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3A82F">
      <w:pPr>
        <w:rPr>
          <w:rFonts w:hint="default" w:ascii="宋体" w:hAnsi="宋体" w:eastAsia="宋体" w:cs="宋体"/>
          <w:color w:val="auto"/>
          <w:highlight w:val="none"/>
          <w:lang w:val="en-US" w:eastAsia="zh-CN"/>
        </w:rPr>
      </w:pPr>
    </w:p>
    <w:p w14:paraId="0CADABD0">
      <w:pPr>
        <w:keepNext w:val="0"/>
        <w:keepLines w:val="0"/>
        <w:pageBreakBefore w:val="0"/>
        <w:widowControl w:val="0"/>
        <w:kinsoku/>
        <w:wordWrap/>
        <w:overflowPunct/>
        <w:topLinePunct w:val="0"/>
        <w:autoSpaceDE/>
        <w:autoSpaceDN/>
        <w:bidi w:val="0"/>
        <w:adjustRightInd/>
        <w:snapToGrid/>
        <w:spacing w:line="1100" w:lineRule="exact"/>
        <w:jc w:val="center"/>
        <w:textAlignment w:val="auto"/>
        <w:rPr>
          <w:rFonts w:hint="eastAsia" w:ascii="宋体" w:hAnsi="宋体" w:eastAsia="宋体" w:cs="宋体"/>
          <w:b/>
          <w:color w:val="auto"/>
          <w:sz w:val="44"/>
          <w:szCs w:val="44"/>
          <w:highlight w:val="none"/>
          <w:lang w:val="en-US" w:eastAsia="zh-CN"/>
        </w:rPr>
      </w:pPr>
      <w:r>
        <w:rPr>
          <w:rFonts w:hint="eastAsia" w:ascii="宋体" w:hAnsi="宋体" w:cs="宋体"/>
          <w:b/>
          <w:color w:val="auto"/>
          <w:kern w:val="0"/>
          <w:sz w:val="44"/>
          <w:szCs w:val="44"/>
          <w:highlight w:val="none"/>
          <w:lang w:eastAsia="zh-CN"/>
        </w:rPr>
        <w:t>浙江衢州公信工程管理有限公司关于</w:t>
      </w:r>
      <w:r>
        <w:rPr>
          <w:rFonts w:hint="eastAsia" w:ascii="宋体" w:hAnsi="宋体" w:cs="宋体"/>
          <w:b/>
          <w:color w:val="auto"/>
          <w:sz w:val="44"/>
          <w:szCs w:val="44"/>
          <w:highlight w:val="none"/>
          <w:lang w:eastAsia="zh-CN"/>
        </w:rPr>
        <w:t>东阳市白云街道2024-2025年度枯死松树清理项目</w:t>
      </w:r>
    </w:p>
    <w:p w14:paraId="668CC541">
      <w:pPr>
        <w:bidi w:val="0"/>
        <w:rPr>
          <w:rFonts w:hint="eastAsia" w:ascii="宋体" w:hAnsi="宋体" w:eastAsia="宋体" w:cs="宋体"/>
          <w:color w:val="auto"/>
          <w:highlight w:val="none"/>
        </w:rPr>
      </w:pPr>
      <w:r>
        <w:rPr>
          <w:rFonts w:hint="eastAsia" w:ascii="宋体" w:hAnsi="宋体" w:eastAsia="宋体" w:cs="宋体"/>
          <w:color w:val="auto"/>
          <w:highlight w:val="none"/>
        </w:rPr>
        <w:tab/>
      </w:r>
    </w:p>
    <w:p w14:paraId="119C7E3F">
      <w:pPr>
        <w:rPr>
          <w:rFonts w:hint="eastAsia"/>
          <w:color w:val="auto"/>
          <w:highlight w:val="none"/>
          <w:lang w:val="en-US" w:eastAsia="zh-CN"/>
        </w:rPr>
      </w:pPr>
    </w:p>
    <w:p w14:paraId="3A1B3787">
      <w:pPr>
        <w:rPr>
          <w:rFonts w:hint="eastAsia"/>
          <w:color w:val="auto"/>
          <w:highlight w:val="none"/>
          <w:lang w:val="en-US" w:eastAsia="zh-CN"/>
        </w:rPr>
      </w:pPr>
    </w:p>
    <w:p w14:paraId="4063F034">
      <w:pPr>
        <w:rPr>
          <w:rFonts w:hint="eastAsia"/>
          <w:color w:val="auto"/>
          <w:highlight w:val="none"/>
          <w:lang w:val="en-US" w:eastAsia="zh-CN"/>
        </w:rPr>
      </w:pPr>
    </w:p>
    <w:p w14:paraId="7DF58561">
      <w:pPr>
        <w:rPr>
          <w:rFonts w:hint="eastAsia"/>
          <w:color w:val="auto"/>
          <w:highlight w:val="none"/>
          <w:lang w:val="en-US" w:eastAsia="zh-CN"/>
        </w:rPr>
      </w:pPr>
    </w:p>
    <w:p w14:paraId="6929FA74">
      <w:pPr>
        <w:rPr>
          <w:rFonts w:hint="eastAsia"/>
          <w:color w:val="auto"/>
          <w:highlight w:val="none"/>
          <w:lang w:val="en-US" w:eastAsia="zh-CN"/>
        </w:rPr>
      </w:pPr>
    </w:p>
    <w:p w14:paraId="7239C8E4">
      <w:pPr>
        <w:rPr>
          <w:rFonts w:hint="eastAsia"/>
          <w:color w:val="auto"/>
          <w:highlight w:val="none"/>
          <w:lang w:val="en-US" w:eastAsia="zh-CN"/>
        </w:rPr>
      </w:pPr>
    </w:p>
    <w:p w14:paraId="37AEC9CD">
      <w:pPr>
        <w:jc w:val="center"/>
        <w:rPr>
          <w:rFonts w:hint="default" w:ascii="宋体" w:hAnsi="宋体" w:eastAsia="宋体" w:cs="宋体"/>
          <w:b/>
          <w:bCs/>
          <w:color w:val="auto"/>
          <w:sz w:val="72"/>
          <w:szCs w:val="72"/>
          <w:highlight w:val="none"/>
          <w:lang w:val="en-US" w:eastAsia="zh-CN"/>
        </w:rPr>
      </w:pPr>
      <w:r>
        <w:rPr>
          <w:rFonts w:hint="eastAsia" w:ascii="宋体" w:hAnsi="宋体" w:cs="宋体"/>
          <w:b/>
          <w:color w:val="auto"/>
          <w:kern w:val="0"/>
          <w:sz w:val="72"/>
          <w:szCs w:val="72"/>
          <w:highlight w:val="none"/>
          <w:lang w:val="en-US" w:eastAsia="zh-CN"/>
        </w:rPr>
        <w:t>公开招标文件</w:t>
      </w:r>
    </w:p>
    <w:p w14:paraId="1D7420D6">
      <w:pPr>
        <w:rPr>
          <w:rFonts w:hint="eastAsia"/>
          <w:color w:val="auto"/>
          <w:highlight w:val="none"/>
          <w:lang w:val="en-US" w:eastAsia="zh-CN"/>
        </w:rPr>
      </w:pPr>
      <w:r>
        <w:rPr>
          <w:rFonts w:hint="eastAsia"/>
          <w:color w:val="auto"/>
          <w:highlight w:val="none"/>
          <w:lang w:val="en-US" w:eastAsia="zh-CN"/>
        </w:rPr>
        <w:tab/>
      </w:r>
    </w:p>
    <w:p w14:paraId="0812BC0F">
      <w:pPr>
        <w:rPr>
          <w:rFonts w:hint="eastAsia"/>
          <w:color w:val="auto"/>
          <w:highlight w:val="none"/>
          <w:lang w:val="en-US" w:eastAsia="zh-CN"/>
        </w:rPr>
      </w:pPr>
    </w:p>
    <w:p w14:paraId="038C32E3">
      <w:pPr>
        <w:rPr>
          <w:rFonts w:hint="eastAsia"/>
          <w:color w:val="auto"/>
          <w:highlight w:val="none"/>
          <w:lang w:val="en-US" w:eastAsia="zh-CN"/>
        </w:rPr>
      </w:pPr>
    </w:p>
    <w:p w14:paraId="64A6BB21">
      <w:pPr>
        <w:rPr>
          <w:rFonts w:hint="eastAsia"/>
          <w:color w:val="auto"/>
          <w:highlight w:val="none"/>
          <w:lang w:val="en-US" w:eastAsia="zh-CN"/>
        </w:rPr>
      </w:pPr>
    </w:p>
    <w:p w14:paraId="7CC1109F">
      <w:pPr>
        <w:rPr>
          <w:rFonts w:hint="eastAsia"/>
          <w:color w:val="auto"/>
          <w:highlight w:val="none"/>
          <w:lang w:val="en-US" w:eastAsia="zh-CN"/>
        </w:rPr>
      </w:pPr>
    </w:p>
    <w:p w14:paraId="37E45B39">
      <w:pPr>
        <w:rPr>
          <w:rFonts w:hint="eastAsia"/>
          <w:color w:val="auto"/>
          <w:highlight w:val="none"/>
          <w:lang w:val="en-US" w:eastAsia="zh-CN"/>
        </w:rPr>
      </w:pPr>
    </w:p>
    <w:p w14:paraId="0C04E1B4">
      <w:pPr>
        <w:keepNext w:val="0"/>
        <w:keepLines w:val="0"/>
        <w:pageBreakBefore w:val="0"/>
        <w:widowControl w:val="0"/>
        <w:kinsoku/>
        <w:wordWrap/>
        <w:overflowPunct/>
        <w:topLinePunct w:val="0"/>
        <w:autoSpaceDE/>
        <w:autoSpaceDN/>
        <w:bidi w:val="0"/>
        <w:adjustRightInd/>
        <w:snapToGrid/>
        <w:spacing w:line="960" w:lineRule="auto"/>
        <w:ind w:left="2247" w:leftChars="458" w:hanging="1285" w:hangingChars="400"/>
        <w:textAlignment w:val="auto"/>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项目名称：</w:t>
      </w:r>
      <w:r>
        <w:rPr>
          <w:rFonts w:hint="eastAsia" w:ascii="宋体" w:hAnsi="宋体" w:cs="宋体"/>
          <w:b/>
          <w:color w:val="auto"/>
          <w:kern w:val="0"/>
          <w:sz w:val="32"/>
          <w:szCs w:val="32"/>
          <w:highlight w:val="none"/>
          <w:lang w:eastAsia="zh-CN"/>
        </w:rPr>
        <w:t>东阳市白云街道2024-2025年度枯死松树清理项目</w:t>
      </w:r>
    </w:p>
    <w:p w14:paraId="6055FCAB">
      <w:pPr>
        <w:keepNext w:val="0"/>
        <w:keepLines w:val="0"/>
        <w:pageBreakBefore w:val="0"/>
        <w:widowControl w:val="0"/>
        <w:kinsoku/>
        <w:wordWrap/>
        <w:overflowPunct/>
        <w:topLinePunct w:val="0"/>
        <w:autoSpaceDE/>
        <w:autoSpaceDN/>
        <w:bidi w:val="0"/>
        <w:adjustRightInd/>
        <w:snapToGrid/>
        <w:spacing w:line="960" w:lineRule="auto"/>
        <w:ind w:left="2247" w:leftChars="458" w:hanging="1285" w:hangingChars="400"/>
        <w:textAlignment w:val="auto"/>
        <w:rPr>
          <w:rFonts w:hint="default" w:ascii="宋体" w:hAnsi="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rPr>
        <w:t>项目编号：</w:t>
      </w:r>
      <w:r>
        <w:rPr>
          <w:rFonts w:hint="eastAsia" w:ascii="宋体" w:hAnsi="宋体" w:cs="宋体"/>
          <w:b/>
          <w:color w:val="auto"/>
          <w:kern w:val="0"/>
          <w:sz w:val="32"/>
          <w:szCs w:val="32"/>
          <w:highlight w:val="none"/>
          <w:lang w:eastAsia="zh-CN"/>
        </w:rPr>
        <w:t>ZJQZGX2024-024</w:t>
      </w:r>
    </w:p>
    <w:p w14:paraId="24BE26AD">
      <w:pPr>
        <w:keepNext w:val="0"/>
        <w:keepLines w:val="0"/>
        <w:pageBreakBefore w:val="0"/>
        <w:widowControl w:val="0"/>
        <w:kinsoku/>
        <w:wordWrap/>
        <w:overflowPunct/>
        <w:topLinePunct w:val="0"/>
        <w:autoSpaceDE/>
        <w:autoSpaceDN/>
        <w:bidi w:val="0"/>
        <w:adjustRightInd/>
        <w:snapToGrid/>
        <w:spacing w:line="960" w:lineRule="auto"/>
        <w:ind w:left="2247" w:leftChars="458" w:hanging="1285" w:hangingChars="400"/>
        <w:textAlignment w:val="auto"/>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rPr>
        <w:t>采购单位：</w:t>
      </w:r>
      <w:r>
        <w:rPr>
          <w:rFonts w:hint="eastAsia" w:ascii="宋体" w:hAnsi="宋体" w:cs="宋体"/>
          <w:b/>
          <w:color w:val="auto"/>
          <w:kern w:val="0"/>
          <w:sz w:val="32"/>
          <w:szCs w:val="32"/>
          <w:highlight w:val="none"/>
          <w:lang w:eastAsia="zh-CN"/>
        </w:rPr>
        <w:t>东阳市白云街道办事处</w:t>
      </w:r>
    </w:p>
    <w:p w14:paraId="27CBBDAE">
      <w:pPr>
        <w:keepNext w:val="0"/>
        <w:keepLines w:val="0"/>
        <w:pageBreakBefore w:val="0"/>
        <w:widowControl w:val="0"/>
        <w:kinsoku/>
        <w:wordWrap/>
        <w:overflowPunct/>
        <w:topLinePunct w:val="0"/>
        <w:autoSpaceDE/>
        <w:autoSpaceDN/>
        <w:bidi w:val="0"/>
        <w:adjustRightInd/>
        <w:snapToGrid/>
        <w:spacing w:line="960" w:lineRule="auto"/>
        <w:ind w:left="2247" w:leftChars="458" w:hanging="1285" w:hangingChars="400"/>
        <w:textAlignment w:val="auto"/>
        <w:rPr>
          <w:rFonts w:hint="eastAsia" w:eastAsia="宋体"/>
          <w:color w:val="auto"/>
          <w:highlight w:val="none"/>
          <w:lang w:eastAsia="zh-CN"/>
        </w:rPr>
      </w:pPr>
      <w:r>
        <w:rPr>
          <w:rFonts w:hint="eastAsia" w:ascii="宋体" w:hAnsi="宋体" w:eastAsia="宋体" w:cs="宋体"/>
          <w:b/>
          <w:color w:val="auto"/>
          <w:kern w:val="0"/>
          <w:sz w:val="32"/>
          <w:szCs w:val="32"/>
          <w:highlight w:val="none"/>
        </w:rPr>
        <w:t>招标机构：</w:t>
      </w:r>
      <w:r>
        <w:rPr>
          <w:rFonts w:hint="eastAsia" w:ascii="宋体" w:hAnsi="宋体" w:cs="宋体"/>
          <w:b/>
          <w:color w:val="auto"/>
          <w:kern w:val="0"/>
          <w:sz w:val="32"/>
          <w:szCs w:val="32"/>
          <w:highlight w:val="none"/>
          <w:lang w:eastAsia="zh-CN"/>
        </w:rPr>
        <w:t>浙江衢州公信工程管理有限公司</w:t>
      </w:r>
    </w:p>
    <w:p w14:paraId="24AC8EE6">
      <w:pPr>
        <w:pStyle w:val="12"/>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hint="eastAsia" w:ascii="宋体" w:hAnsi="宋体" w:eastAsia="宋体" w:cs="宋体"/>
          <w:b/>
          <w:color w:val="auto"/>
          <w:kern w:val="0"/>
          <w:sz w:val="32"/>
          <w:szCs w:val="32"/>
          <w:highlight w:val="none"/>
          <w:lang w:val="en-US" w:eastAsia="zh-CN" w:bidi="ar-SA"/>
        </w:rPr>
      </w:pPr>
      <w:r>
        <w:rPr>
          <w:rFonts w:hint="eastAsia" w:ascii="宋体" w:hAnsi="宋体" w:eastAsia="宋体" w:cs="宋体"/>
          <w:b/>
          <w:color w:val="auto"/>
          <w:kern w:val="0"/>
          <w:sz w:val="32"/>
          <w:szCs w:val="32"/>
          <w:highlight w:val="none"/>
          <w:lang w:val="en-US" w:eastAsia="zh-CN" w:bidi="ar-SA"/>
        </w:rPr>
        <w:t>202</w:t>
      </w:r>
      <w:r>
        <w:rPr>
          <w:rFonts w:hint="eastAsia" w:ascii="宋体" w:hAnsi="宋体" w:cs="宋体"/>
          <w:b/>
          <w:color w:val="auto"/>
          <w:kern w:val="0"/>
          <w:sz w:val="32"/>
          <w:szCs w:val="32"/>
          <w:highlight w:val="none"/>
          <w:lang w:val="en-US" w:eastAsia="zh-CN" w:bidi="ar-SA"/>
        </w:rPr>
        <w:t>4</w:t>
      </w:r>
      <w:r>
        <w:rPr>
          <w:rFonts w:hint="eastAsia" w:ascii="宋体" w:hAnsi="宋体" w:eastAsia="宋体" w:cs="宋体"/>
          <w:b/>
          <w:color w:val="auto"/>
          <w:kern w:val="0"/>
          <w:sz w:val="32"/>
          <w:szCs w:val="32"/>
          <w:highlight w:val="none"/>
          <w:lang w:val="en-US" w:eastAsia="zh-CN" w:bidi="ar-SA"/>
        </w:rPr>
        <w:t>年</w:t>
      </w:r>
      <w:r>
        <w:rPr>
          <w:rFonts w:hint="eastAsia" w:ascii="宋体" w:hAnsi="宋体" w:cs="宋体"/>
          <w:b/>
          <w:color w:val="auto"/>
          <w:kern w:val="0"/>
          <w:sz w:val="32"/>
          <w:szCs w:val="32"/>
          <w:highlight w:val="none"/>
          <w:lang w:val="en-US" w:eastAsia="zh-CN" w:bidi="ar-SA"/>
        </w:rPr>
        <w:t>10</w:t>
      </w:r>
      <w:r>
        <w:rPr>
          <w:rFonts w:hint="eastAsia" w:ascii="宋体" w:hAnsi="宋体" w:eastAsia="宋体" w:cs="宋体"/>
          <w:b/>
          <w:color w:val="auto"/>
          <w:kern w:val="0"/>
          <w:sz w:val="32"/>
          <w:szCs w:val="32"/>
          <w:highlight w:val="none"/>
          <w:lang w:val="en-US" w:eastAsia="zh-CN" w:bidi="ar-SA"/>
        </w:rPr>
        <w:t>月</w:t>
      </w:r>
    </w:p>
    <w:p w14:paraId="1FDEA99B">
      <w:pPr>
        <w:pStyle w:val="12"/>
        <w:keepNext w:val="0"/>
        <w:keepLines w:val="0"/>
        <w:pageBreakBefore/>
        <w:widowControl w:val="0"/>
        <w:kinsoku/>
        <w:wordWrap/>
        <w:overflowPunct/>
        <w:topLinePunct w:val="0"/>
        <w:autoSpaceDE/>
        <w:autoSpaceDN/>
        <w:bidi w:val="0"/>
        <w:adjustRightInd/>
        <w:snapToGrid/>
        <w:spacing w:line="860" w:lineRule="exact"/>
        <w:jc w:val="center"/>
        <w:textAlignment w:val="auto"/>
        <w:rPr>
          <w:rFonts w:hint="eastAsia" w:ascii="宋体" w:hAnsi="宋体" w:eastAsia="宋体" w:cs="宋体"/>
          <w:b/>
          <w:color w:val="auto"/>
          <w:szCs w:val="24"/>
          <w:highlight w:val="none"/>
        </w:rPr>
        <w:sectPr>
          <w:headerReference r:id="rId3" w:type="default"/>
          <w:pgSz w:w="11906" w:h="16838"/>
          <w:pgMar w:top="1060" w:right="1174" w:bottom="1060" w:left="1174"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2BDD543">
      <w:pPr>
        <w:pStyle w:val="12"/>
        <w:pageBreakBefore/>
        <w:spacing w:line="276" w:lineRule="auto"/>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目    录</w:t>
      </w:r>
    </w:p>
    <w:p w14:paraId="144D64FF">
      <w:pPr>
        <w:pStyle w:val="16"/>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color w:val="auto"/>
          <w:sz w:val="28"/>
          <w:szCs w:val="28"/>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TOC \o "1-2" \h \z \u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_Toc10920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  公开招标采购公告</w:t>
      </w:r>
      <w:r>
        <w:rPr>
          <w:color w:val="auto"/>
          <w:sz w:val="28"/>
          <w:szCs w:val="28"/>
        </w:rPr>
        <w:tab/>
      </w:r>
      <w:r>
        <w:rPr>
          <w:color w:val="auto"/>
          <w:sz w:val="28"/>
          <w:szCs w:val="28"/>
        </w:rPr>
        <w:fldChar w:fldCharType="begin"/>
      </w:r>
      <w:r>
        <w:rPr>
          <w:color w:val="auto"/>
          <w:sz w:val="28"/>
          <w:szCs w:val="28"/>
        </w:rPr>
        <w:instrText xml:space="preserve"> PAGEREF _Toc10920 \h </w:instrText>
      </w:r>
      <w:r>
        <w:rPr>
          <w:color w:val="auto"/>
          <w:sz w:val="28"/>
          <w:szCs w:val="28"/>
        </w:rPr>
        <w:fldChar w:fldCharType="separate"/>
      </w:r>
      <w:r>
        <w:rPr>
          <w:color w:val="auto"/>
          <w:sz w:val="28"/>
          <w:szCs w:val="28"/>
        </w:rPr>
        <w:t>1</w:t>
      </w:r>
      <w:r>
        <w:rPr>
          <w:color w:val="auto"/>
          <w:sz w:val="28"/>
          <w:szCs w:val="28"/>
        </w:rPr>
        <w:fldChar w:fldCharType="end"/>
      </w:r>
      <w:r>
        <w:rPr>
          <w:rFonts w:hint="eastAsia" w:ascii="宋体" w:hAnsi="宋体" w:eastAsia="宋体" w:cs="宋体"/>
          <w:color w:val="auto"/>
          <w:sz w:val="28"/>
          <w:szCs w:val="28"/>
          <w:highlight w:val="none"/>
        </w:rPr>
        <w:fldChar w:fldCharType="end"/>
      </w:r>
    </w:p>
    <w:p w14:paraId="4B8EFC1D">
      <w:pPr>
        <w:pStyle w:val="16"/>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p>
    <w:p w14:paraId="1D3C418B">
      <w:pPr>
        <w:pStyle w:val="16"/>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default" w:eastAsia="宋体"/>
          <w:color w:val="auto"/>
          <w:sz w:val="28"/>
          <w:szCs w:val="28"/>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_Toc12918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  招标需求</w:t>
      </w:r>
      <w:r>
        <w:rPr>
          <w:color w:val="auto"/>
          <w:sz w:val="28"/>
          <w:szCs w:val="28"/>
        </w:rPr>
        <w:tab/>
      </w:r>
      <w:r>
        <w:rPr>
          <w:rFonts w:hint="eastAsia"/>
          <w:color w:val="auto"/>
          <w:sz w:val="28"/>
          <w:szCs w:val="28"/>
          <w:lang w:val="en-US" w:eastAsia="zh-CN"/>
        </w:rPr>
        <w:t>8</w:t>
      </w:r>
      <w:r>
        <w:rPr>
          <w:rFonts w:hint="eastAsia" w:ascii="宋体" w:hAnsi="宋体" w:eastAsia="宋体" w:cs="宋体"/>
          <w:color w:val="auto"/>
          <w:sz w:val="28"/>
          <w:szCs w:val="28"/>
          <w:highlight w:val="none"/>
        </w:rPr>
        <w:fldChar w:fldCharType="end"/>
      </w:r>
    </w:p>
    <w:p w14:paraId="5679B66E">
      <w:pPr>
        <w:pStyle w:val="16"/>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p>
    <w:p w14:paraId="6DD792DE">
      <w:pPr>
        <w:pStyle w:val="16"/>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color w:val="auto"/>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_Toc31655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第三章   投标人须知</w:t>
      </w:r>
      <w:r>
        <w:rPr>
          <w:color w:val="auto"/>
          <w:sz w:val="28"/>
          <w:szCs w:val="28"/>
        </w:rPr>
        <w:tab/>
      </w:r>
      <w:r>
        <w:rPr>
          <w:color w:val="auto"/>
          <w:sz w:val="28"/>
          <w:szCs w:val="28"/>
        </w:rPr>
        <w:fldChar w:fldCharType="begin"/>
      </w:r>
      <w:r>
        <w:rPr>
          <w:color w:val="auto"/>
          <w:sz w:val="28"/>
          <w:szCs w:val="28"/>
        </w:rPr>
        <w:instrText xml:space="preserve"> PAGEREF _Toc31655 \h </w:instrText>
      </w:r>
      <w:r>
        <w:rPr>
          <w:color w:val="auto"/>
          <w:sz w:val="28"/>
          <w:szCs w:val="28"/>
        </w:rPr>
        <w:fldChar w:fldCharType="separate"/>
      </w:r>
      <w:r>
        <w:rPr>
          <w:color w:val="auto"/>
          <w:sz w:val="28"/>
          <w:szCs w:val="28"/>
        </w:rPr>
        <w:t>6</w:t>
      </w:r>
      <w:r>
        <w:rPr>
          <w:color w:val="auto"/>
          <w:sz w:val="28"/>
          <w:szCs w:val="28"/>
        </w:rPr>
        <w:fldChar w:fldCharType="end"/>
      </w:r>
      <w:r>
        <w:rPr>
          <w:rFonts w:hint="eastAsia" w:ascii="宋体" w:hAnsi="宋体" w:eastAsia="宋体" w:cs="宋体"/>
          <w:color w:val="auto"/>
          <w:sz w:val="28"/>
          <w:szCs w:val="28"/>
          <w:highlight w:val="none"/>
        </w:rPr>
        <w:fldChar w:fldCharType="end"/>
      </w:r>
    </w:p>
    <w:p w14:paraId="7ADF0A84">
      <w:pPr>
        <w:pStyle w:val="16"/>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p>
    <w:p w14:paraId="0F52E6F5">
      <w:pPr>
        <w:pStyle w:val="16"/>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eastAsia="宋体"/>
          <w:color w:val="auto"/>
          <w:sz w:val="28"/>
          <w:szCs w:val="28"/>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_Toc13547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第四章  评标办法及评分标准</w:t>
      </w:r>
      <w:r>
        <w:rPr>
          <w:color w:val="auto"/>
          <w:sz w:val="28"/>
          <w:szCs w:val="28"/>
        </w:rPr>
        <w:tab/>
      </w:r>
      <w:r>
        <w:rPr>
          <w:rFonts w:hint="eastAsia"/>
          <w:color w:val="auto"/>
          <w:sz w:val="28"/>
          <w:szCs w:val="28"/>
          <w:lang w:val="en-US" w:eastAsia="zh-CN"/>
        </w:rPr>
        <w:t>3</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9</w:t>
      </w:r>
    </w:p>
    <w:p w14:paraId="5BC6F6B3">
      <w:pPr>
        <w:pStyle w:val="16"/>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p>
    <w:p w14:paraId="451A8E01">
      <w:pPr>
        <w:pStyle w:val="16"/>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eastAsia="宋体"/>
          <w:color w:val="auto"/>
          <w:sz w:val="28"/>
          <w:szCs w:val="28"/>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_Toc31984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val="0"/>
          <w:color w:val="auto"/>
          <w:sz w:val="28"/>
          <w:szCs w:val="28"/>
        </w:rPr>
        <w:t xml:space="preserve">第五章 </w:t>
      </w:r>
      <w:r>
        <w:rPr>
          <w:rFonts w:hint="eastAsia" w:ascii="宋体" w:hAnsi="宋体" w:eastAsia="宋体" w:cs="宋体"/>
          <w:bCs w:val="0"/>
          <w:color w:val="auto"/>
          <w:sz w:val="28"/>
          <w:szCs w:val="28"/>
          <w:highlight w:val="none"/>
        </w:rPr>
        <w:t>合同主要条款</w:t>
      </w:r>
      <w:r>
        <w:rPr>
          <w:color w:val="auto"/>
          <w:sz w:val="28"/>
          <w:szCs w:val="28"/>
        </w:rPr>
        <w:tab/>
      </w:r>
      <w:r>
        <w:rPr>
          <w:rFonts w:hint="eastAsia"/>
          <w:color w:val="auto"/>
          <w:sz w:val="28"/>
          <w:szCs w:val="28"/>
          <w:lang w:val="en-US" w:eastAsia="zh-CN"/>
        </w:rPr>
        <w:t>4</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2</w:t>
      </w:r>
    </w:p>
    <w:p w14:paraId="32EF0231">
      <w:pPr>
        <w:pStyle w:val="16"/>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p>
    <w:p w14:paraId="30351C79">
      <w:pPr>
        <w:pStyle w:val="16"/>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eastAsia="宋体"/>
          <w:color w:val="auto"/>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_Toc13445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第六章　投标文件组成内容及格式</w:t>
      </w:r>
      <w:r>
        <w:rPr>
          <w:color w:val="auto"/>
          <w:sz w:val="28"/>
          <w:szCs w:val="28"/>
        </w:rPr>
        <w:tab/>
      </w:r>
      <w:r>
        <w:rPr>
          <w:rFonts w:hint="eastAsia"/>
          <w:color w:val="auto"/>
          <w:sz w:val="28"/>
          <w:szCs w:val="28"/>
          <w:lang w:val="en-US" w:eastAsia="zh-CN"/>
        </w:rPr>
        <w:t>5</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2</w:t>
      </w:r>
    </w:p>
    <w:p w14:paraId="3B4DFF1C">
      <w:pPr>
        <w:pStyle w:val="19"/>
        <w:tabs>
          <w:tab w:val="right" w:leader="dot" w:pos="9412"/>
        </w:tabs>
        <w:rPr>
          <w:color w:val="auto"/>
        </w:rPr>
      </w:pPr>
    </w:p>
    <w:p w14:paraId="611F27C6">
      <w:pPr>
        <w:pStyle w:val="16"/>
        <w:tabs>
          <w:tab w:val="right" w:leader="dot" w:pos="9402"/>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end"/>
      </w:r>
    </w:p>
    <w:p w14:paraId="2E4AC6BC">
      <w:pPr>
        <w:pStyle w:val="16"/>
        <w:pageBreakBefore/>
        <w:tabs>
          <w:tab w:val="right" w:leader="dot" w:pos="9402"/>
        </w:tabs>
        <w:spacing w:line="360" w:lineRule="auto"/>
        <w:jc w:val="center"/>
        <w:outlineLvl w:val="0"/>
        <w:rPr>
          <w:rFonts w:hint="eastAsia" w:ascii="宋体" w:hAnsi="宋体" w:eastAsia="宋体" w:cs="宋体"/>
          <w:b/>
          <w:color w:val="auto"/>
          <w:sz w:val="28"/>
          <w:szCs w:val="28"/>
          <w:highlight w:val="none"/>
        </w:rPr>
        <w:sectPr>
          <w:footerReference r:id="rId4" w:type="default"/>
          <w:pgSz w:w="11907" w:h="16840"/>
          <w:pgMar w:top="1474" w:right="1417" w:bottom="1474" w:left="1418" w:header="851" w:footer="851" w:gutter="0"/>
          <w:pgNumType w:start="1"/>
          <w:cols w:space="720" w:num="1"/>
        </w:sectPr>
      </w:pPr>
      <w:bookmarkStart w:id="0" w:name="_Toc10920"/>
    </w:p>
    <w:p w14:paraId="75ECEC55">
      <w:pPr>
        <w:pStyle w:val="16"/>
        <w:pageBreakBefore/>
        <w:tabs>
          <w:tab w:val="right" w:leader="dot" w:pos="9402"/>
        </w:tabs>
        <w:spacing w:line="360" w:lineRule="auto"/>
        <w:jc w:val="center"/>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第一章  公开招标采购公告</w:t>
      </w:r>
      <w:bookmarkEnd w:id="0"/>
      <w:r>
        <w:rPr>
          <w:rFonts w:hint="eastAsia" w:ascii="宋体" w:hAnsi="宋体" w:eastAsia="宋体" w:cs="宋体"/>
          <w:b/>
          <w:color w:val="auto"/>
          <w:sz w:val="28"/>
          <w:szCs w:val="28"/>
          <w:highlight w:val="none"/>
        </w:rPr>
        <w:t xml:space="preserve"> </w:t>
      </w:r>
    </w:p>
    <w:p w14:paraId="3205C6B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olor w:val="auto"/>
          <w:sz w:val="24"/>
          <w:highlight w:val="none"/>
        </w:rPr>
      </w:pPr>
      <w:r>
        <w:rPr>
          <w:rFonts w:hint="eastAsia" w:ascii="宋体" w:hAnsi="宋体"/>
          <w:color w:val="auto"/>
          <w:sz w:val="24"/>
          <w:highlight w:val="none"/>
        </w:rPr>
        <w:t>项目概况</w:t>
      </w:r>
    </w:p>
    <w:p w14:paraId="5B5DDC05">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ascii="宋体"/>
          <w:color w:val="auto"/>
          <w:sz w:val="24"/>
          <w:highlight w:val="none"/>
        </w:rPr>
      </w:pPr>
      <w:r>
        <w:rPr>
          <w:rFonts w:hint="eastAsia" w:ascii="宋体" w:hAnsi="宋体"/>
          <w:color w:val="auto"/>
          <w:sz w:val="24"/>
          <w:highlight w:val="none"/>
          <w:u w:val="single"/>
        </w:rPr>
        <w:t>根据《中华人民共和国政府采购法》、《政府采购货物和服务招标投标管理办法》、《浙江省财政厅关于印发浙江省政府采购项目电子交易管理暂行办法的通知》等规定，经</w:t>
      </w:r>
      <w:r>
        <w:rPr>
          <w:rFonts w:hint="eastAsia" w:ascii="宋体" w:hAnsi="宋体"/>
          <w:b/>
          <w:bCs/>
          <w:color w:val="auto"/>
          <w:sz w:val="24"/>
          <w:highlight w:val="none"/>
          <w:u w:val="single"/>
        </w:rPr>
        <w:t>东阳市财政局</w:t>
      </w:r>
      <w:r>
        <w:rPr>
          <w:rFonts w:hint="eastAsia" w:ascii="宋体" w:hAnsi="宋体"/>
          <w:b/>
          <w:bCs/>
          <w:color w:val="auto"/>
          <w:sz w:val="24"/>
          <w:highlight w:val="none"/>
          <w:u w:val="single"/>
        </w:rPr>
        <w:fldChar w:fldCharType="begin"/>
      </w:r>
      <w:r>
        <w:rPr>
          <w:rFonts w:hint="eastAsia" w:ascii="宋体" w:hAnsi="宋体"/>
          <w:b/>
          <w:bCs/>
          <w:color w:val="auto"/>
          <w:sz w:val="24"/>
          <w:highlight w:val="none"/>
          <w:u w:val="single"/>
        </w:rPr>
        <w:instrText xml:space="preserve"> HYPERLINK "https://pay.zcygov.cn/purchaseplan_front/" \l "/plan/list/view?id=1000000000014631944&amp;_app_=zcy.procurement" \t "https://www.zcygov.cn/project-center/_procurement_/purchasePlans/_blank" </w:instrText>
      </w:r>
      <w:r>
        <w:rPr>
          <w:rFonts w:hint="eastAsia" w:ascii="宋体" w:hAnsi="宋体"/>
          <w:b/>
          <w:bCs/>
          <w:color w:val="auto"/>
          <w:sz w:val="24"/>
          <w:highlight w:val="none"/>
          <w:u w:val="single"/>
        </w:rPr>
        <w:fldChar w:fldCharType="separate"/>
      </w:r>
      <w:r>
        <w:rPr>
          <w:rFonts w:hint="eastAsia" w:ascii="宋体" w:hAnsi="宋体"/>
          <w:b/>
          <w:bCs/>
          <w:color w:val="auto"/>
          <w:sz w:val="24"/>
          <w:highlight w:val="none"/>
          <w:u w:val="single"/>
        </w:rPr>
        <w:t>政采云[2024]1155号</w:t>
      </w:r>
      <w:r>
        <w:rPr>
          <w:rFonts w:hint="eastAsia" w:ascii="宋体" w:hAnsi="宋体"/>
          <w:b/>
          <w:bCs/>
          <w:color w:val="auto"/>
          <w:sz w:val="24"/>
          <w:highlight w:val="none"/>
          <w:u w:val="single"/>
        </w:rPr>
        <w:fldChar w:fldCharType="end"/>
      </w:r>
      <w:r>
        <w:rPr>
          <w:rFonts w:hint="eastAsia" w:ascii="宋体" w:hAnsi="宋体"/>
          <w:b/>
          <w:bCs/>
          <w:color w:val="auto"/>
          <w:sz w:val="24"/>
          <w:highlight w:val="none"/>
          <w:u w:val="single"/>
        </w:rPr>
        <w:t>政府采购计划书</w:t>
      </w:r>
      <w:r>
        <w:rPr>
          <w:rFonts w:hint="eastAsia" w:ascii="宋体" w:hAnsi="宋体"/>
          <w:color w:val="auto"/>
          <w:sz w:val="24"/>
          <w:highlight w:val="none"/>
          <w:u w:val="single"/>
        </w:rPr>
        <w:t>批准。现就</w:t>
      </w:r>
      <w:r>
        <w:rPr>
          <w:rFonts w:hint="eastAsia" w:ascii="宋体" w:hAnsi="宋体"/>
          <w:color w:val="auto"/>
          <w:sz w:val="24"/>
          <w:highlight w:val="none"/>
          <w:u w:val="single"/>
          <w:lang w:eastAsia="zh-CN"/>
        </w:rPr>
        <w:t>东阳市白云街道2024-2025年度枯死松树清理项目</w:t>
      </w:r>
      <w:r>
        <w:rPr>
          <w:rFonts w:hint="eastAsia" w:ascii="宋体" w:hAnsi="宋体"/>
          <w:color w:val="auto"/>
          <w:sz w:val="24"/>
          <w:highlight w:val="none"/>
          <w:u w:val="single"/>
        </w:rPr>
        <w:t>进行公开招标采购。（</w:t>
      </w:r>
      <w:r>
        <w:rPr>
          <w:rFonts w:hint="eastAsia" w:ascii="宋体" w:hAnsi="宋体"/>
          <w:color w:val="auto"/>
          <w:sz w:val="24"/>
          <w:highlight w:val="none"/>
          <w:u w:val="single"/>
          <w:lang w:eastAsia="zh-CN"/>
        </w:rPr>
        <w:t>东阳市白云街道2024-2025年度枯死松树清理项目</w:t>
      </w:r>
      <w:r>
        <w:rPr>
          <w:rFonts w:ascii="宋体" w:hAnsi="宋体"/>
          <w:color w:val="auto"/>
          <w:sz w:val="24"/>
          <w:highlight w:val="none"/>
          <w:u w:val="single"/>
        </w:rPr>
        <w:t>)</w:t>
      </w:r>
      <w:r>
        <w:rPr>
          <w:rFonts w:hint="eastAsia" w:ascii="宋体" w:hAnsi="宋体"/>
          <w:color w:val="auto"/>
          <w:sz w:val="24"/>
          <w:highlight w:val="none"/>
          <w:u w:val="single"/>
        </w:rPr>
        <w:t>招标项目的潜在投标人应在（网址：浙江政府采购网</w:t>
      </w:r>
      <w:r>
        <w:rPr>
          <w:rFonts w:ascii="宋体" w:hAnsi="宋体"/>
          <w:color w:val="auto"/>
          <w:sz w:val="24"/>
          <w:highlight w:val="none"/>
          <w:u w:val="single"/>
        </w:rPr>
        <w:t>(</w:t>
      </w:r>
      <w:r>
        <w:rPr>
          <w:color w:val="auto"/>
          <w:highlight w:val="none"/>
        </w:rPr>
        <w:fldChar w:fldCharType="begin"/>
      </w:r>
      <w:r>
        <w:rPr>
          <w:color w:val="auto"/>
          <w:highlight w:val="none"/>
        </w:rPr>
        <w:instrText xml:space="preserve"> HYPERLINK "http://www.zjzfcg.gov.cn/)、东阳市公共资源交易网" </w:instrText>
      </w:r>
      <w:r>
        <w:rPr>
          <w:color w:val="auto"/>
          <w:highlight w:val="none"/>
        </w:rPr>
        <w:fldChar w:fldCharType="separate"/>
      </w:r>
      <w:r>
        <w:rPr>
          <w:rFonts w:ascii="宋体" w:hAnsi="宋体"/>
          <w:color w:val="auto"/>
          <w:sz w:val="24"/>
          <w:highlight w:val="none"/>
          <w:u w:val="single"/>
        </w:rPr>
        <w:t>www.zjzfcg.gov.cn/)</w:t>
      </w:r>
      <w:r>
        <w:rPr>
          <w:rFonts w:hint="eastAsia" w:ascii="宋体" w:hAnsi="宋体"/>
          <w:color w:val="auto"/>
          <w:sz w:val="24"/>
          <w:highlight w:val="none"/>
          <w:u w:val="single"/>
        </w:rPr>
        <w:t>、东阳市公共资源交易网</w:t>
      </w:r>
      <w:r>
        <w:rPr>
          <w:rFonts w:hint="eastAsia" w:ascii="宋体" w:hAnsi="宋体"/>
          <w:color w:val="auto"/>
          <w:sz w:val="24"/>
          <w:highlight w:val="none"/>
          <w:u w:val="single"/>
        </w:rPr>
        <w:fldChar w:fldCharType="end"/>
      </w:r>
      <w:r>
        <w:rPr>
          <w:color w:val="auto"/>
          <w:highlight w:val="none"/>
        </w:rPr>
        <w:fldChar w:fldCharType="begin"/>
      </w:r>
      <w:r>
        <w:rPr>
          <w:color w:val="auto"/>
          <w:highlight w:val="none"/>
        </w:rPr>
        <w:instrText xml:space="preserve"> HYPERLINK "http://www.dongyang.gov.cn/ggzyjy/index.html)）获取招标文件，并于2022年%20%20月" </w:instrText>
      </w:r>
      <w:r>
        <w:rPr>
          <w:color w:val="auto"/>
          <w:highlight w:val="none"/>
        </w:rPr>
        <w:fldChar w:fldCharType="separate"/>
      </w:r>
      <w:r>
        <w:rPr>
          <w:color w:val="auto"/>
          <w:sz w:val="24"/>
          <w:highlight w:val="none"/>
        </w:rPr>
        <w:t>http://www.dongyang.gov.cn/ggzyjy/index.html)</w:t>
      </w:r>
      <w:r>
        <w:rPr>
          <w:rFonts w:hint="eastAsia"/>
          <w:color w:val="auto"/>
          <w:sz w:val="24"/>
          <w:highlight w:val="none"/>
        </w:rPr>
        <w:t>）获取招标文件，并于</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4</w:t>
      </w:r>
      <w:r>
        <w:rPr>
          <w:rFonts w:hint="eastAsia" w:ascii="宋体" w:hAnsi="宋体"/>
          <w:color w:val="auto"/>
          <w:sz w:val="24"/>
          <w:highlight w:val="none"/>
          <w:u w:val="single"/>
        </w:rPr>
        <w:t>年</w:t>
      </w:r>
      <w:r>
        <w:rPr>
          <w:rFonts w:hint="eastAsia" w:ascii="宋体" w:hAnsi="宋体"/>
          <w:color w:val="auto"/>
          <w:sz w:val="24"/>
          <w:highlight w:val="none"/>
          <w:u w:val="single"/>
          <w:lang w:val="en-US" w:eastAsia="zh-CN"/>
        </w:rPr>
        <w:t>11</w:t>
      </w:r>
      <w:r>
        <w:rPr>
          <w:rFonts w:hint="eastAsia"/>
          <w:color w:val="auto"/>
          <w:sz w:val="24"/>
          <w:highlight w:val="none"/>
          <w:u w:val="single"/>
        </w:rPr>
        <w:t>月</w:t>
      </w:r>
      <w:r>
        <w:rPr>
          <w:rFonts w:hint="eastAsia"/>
          <w:color w:val="auto"/>
          <w:sz w:val="24"/>
          <w:highlight w:val="none"/>
          <w:u w:val="single"/>
        </w:rPr>
        <w:fldChar w:fldCharType="end"/>
      </w:r>
      <w:r>
        <w:rPr>
          <w:rFonts w:hint="eastAsia"/>
          <w:color w:val="auto"/>
          <w:sz w:val="24"/>
          <w:highlight w:val="none"/>
          <w:u w:val="single"/>
          <w:lang w:val="en-US" w:eastAsia="zh-CN"/>
        </w:rPr>
        <w:t>14</w:t>
      </w:r>
      <w:r>
        <w:rPr>
          <w:rFonts w:hint="eastAsia" w:ascii="宋体" w:hAnsi="宋体"/>
          <w:color w:val="auto"/>
          <w:sz w:val="24"/>
          <w:highlight w:val="none"/>
          <w:u w:val="single"/>
        </w:rPr>
        <w:t>日</w:t>
      </w:r>
      <w:r>
        <w:rPr>
          <w:rFonts w:hint="eastAsia" w:ascii="宋体" w:hAnsi="宋体"/>
          <w:color w:val="auto"/>
          <w:sz w:val="24"/>
          <w:highlight w:val="none"/>
          <w:u w:val="single"/>
          <w:lang w:val="en-US" w:eastAsia="zh-CN"/>
        </w:rPr>
        <w:t>13</w:t>
      </w:r>
      <w:r>
        <w:rPr>
          <w:rFonts w:hint="eastAsia" w:ascii="宋体" w:hAnsi="宋体"/>
          <w:color w:val="auto"/>
          <w:sz w:val="24"/>
          <w:highlight w:val="none"/>
          <w:u w:val="single"/>
        </w:rPr>
        <w:t>时</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0分（北京时间）前递交投标文件。</w:t>
      </w:r>
    </w:p>
    <w:p w14:paraId="084D5E6A">
      <w:pPr>
        <w:keepNext w:val="0"/>
        <w:keepLines w:val="0"/>
        <w:pageBreakBefore w:val="0"/>
        <w:numPr>
          <w:ilvl w:val="0"/>
          <w:numId w:val="1"/>
        </w:numPr>
        <w:kinsoku/>
        <w:wordWrap/>
        <w:overflowPunct/>
        <w:topLinePunct w:val="0"/>
        <w:autoSpaceDE/>
        <w:autoSpaceDN/>
        <w:bidi w:val="0"/>
        <w:snapToGrid w:val="0"/>
        <w:spacing w:line="360" w:lineRule="auto"/>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项目基本情况</w:t>
      </w:r>
    </w:p>
    <w:p w14:paraId="5624B453">
      <w:pPr>
        <w:spacing w:beforeLines="0" w:afterLines="0" w:line="360" w:lineRule="auto"/>
        <w:ind w:firstLine="482"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b/>
          <w:bCs/>
          <w:color w:val="auto"/>
          <w:sz w:val="24"/>
          <w:highlight w:val="none"/>
        </w:rPr>
        <w:t>项目编号：</w:t>
      </w:r>
      <w:r>
        <w:rPr>
          <w:rFonts w:hint="eastAsia" w:ascii="宋体" w:hAnsi="宋体" w:cs="宋体"/>
          <w:b/>
          <w:bCs/>
          <w:color w:val="auto"/>
          <w:sz w:val="24"/>
          <w:highlight w:val="none"/>
          <w:lang w:eastAsia="zh-CN"/>
        </w:rPr>
        <w:t>ZJQZGX2024-024</w:t>
      </w:r>
    </w:p>
    <w:p w14:paraId="422F85EE">
      <w:pPr>
        <w:keepNext w:val="0"/>
        <w:keepLines w:val="0"/>
        <w:pageBreakBefore w:val="0"/>
        <w:kinsoku/>
        <w:wordWrap/>
        <w:overflowPunct/>
        <w:topLinePunct w:val="0"/>
        <w:autoSpaceDE/>
        <w:autoSpaceDN/>
        <w:bidi w:val="0"/>
        <w:spacing w:line="360" w:lineRule="auto"/>
        <w:ind w:left="1684" w:leftChars="228" w:hanging="1205" w:hangingChars="500"/>
        <w:jc w:val="left"/>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项目名称：</w:t>
      </w:r>
      <w:r>
        <w:rPr>
          <w:rFonts w:hint="eastAsia" w:ascii="宋体" w:hAnsi="宋体" w:cs="宋体"/>
          <w:b/>
          <w:bCs/>
          <w:color w:val="auto"/>
          <w:sz w:val="24"/>
          <w:highlight w:val="none"/>
          <w:lang w:eastAsia="zh-CN"/>
        </w:rPr>
        <w:t>东阳市白云街道2024-2025年度枯死松树清理项目</w:t>
      </w:r>
    </w:p>
    <w:p w14:paraId="13047061">
      <w:pPr>
        <w:keepNext w:val="0"/>
        <w:keepLines w:val="0"/>
        <w:pageBreakBefore w:val="0"/>
        <w:kinsoku/>
        <w:wordWrap/>
        <w:overflowPunct/>
        <w:topLinePunct w:val="0"/>
        <w:autoSpaceDE/>
        <w:autoSpaceDN/>
        <w:bidi w:val="0"/>
        <w:spacing w:line="360" w:lineRule="auto"/>
        <w:ind w:firstLine="480" w:firstLineChars="200"/>
        <w:jc w:val="left"/>
        <w:textAlignment w:val="auto"/>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预算金额（元）：</w:t>
      </w:r>
      <w:r>
        <w:rPr>
          <w:rFonts w:hint="eastAsia" w:ascii="宋体" w:hAnsi="宋体" w:cs="宋体"/>
          <w:bCs/>
          <w:color w:val="auto"/>
          <w:sz w:val="24"/>
          <w:highlight w:val="none"/>
          <w:lang w:val="en-US" w:eastAsia="zh-CN"/>
        </w:rPr>
        <w:t>350000</w:t>
      </w:r>
    </w:p>
    <w:p w14:paraId="49799CDB">
      <w:pPr>
        <w:pStyle w:val="8"/>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最高</w:t>
      </w:r>
      <w:r>
        <w:rPr>
          <w:rFonts w:hint="eastAsia" w:ascii="宋体" w:hAnsi="宋体" w:cs="宋体"/>
          <w:bCs/>
          <w:color w:val="auto"/>
          <w:sz w:val="24"/>
          <w:highlight w:val="none"/>
          <w:lang w:eastAsia="zh-CN"/>
        </w:rPr>
        <w:t>单价</w:t>
      </w:r>
      <w:r>
        <w:rPr>
          <w:rFonts w:hint="eastAsia" w:ascii="宋体" w:hAnsi="宋体" w:eastAsia="宋体" w:cs="宋体"/>
          <w:bCs/>
          <w:color w:val="auto"/>
          <w:sz w:val="24"/>
          <w:highlight w:val="none"/>
        </w:rPr>
        <w:t>限价（元）：</w:t>
      </w:r>
      <w:r>
        <w:rPr>
          <w:rFonts w:hint="eastAsia" w:ascii="宋体" w:hAnsi="宋体" w:cs="宋体"/>
          <w:bCs/>
          <w:color w:val="auto"/>
          <w:sz w:val="24"/>
          <w:highlight w:val="none"/>
          <w:u w:val="single"/>
          <w:lang w:val="en-US" w:eastAsia="zh-CN"/>
        </w:rPr>
        <w:t>950</w:t>
      </w:r>
      <w:r>
        <w:rPr>
          <w:rFonts w:hint="eastAsia" w:ascii="宋体" w:hAnsi="宋体" w:eastAsia="宋体" w:cs="宋体"/>
          <w:bCs/>
          <w:color w:val="auto"/>
          <w:sz w:val="24"/>
          <w:highlight w:val="none"/>
        </w:rPr>
        <w:t>元/吨；</w:t>
      </w:r>
    </w:p>
    <w:p w14:paraId="331BF7CD">
      <w:pPr>
        <w:pStyle w:val="8"/>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采购需求：</w:t>
      </w:r>
    </w:p>
    <w:p w14:paraId="706BED58">
      <w:pPr>
        <w:pStyle w:val="8"/>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标项一：</w:t>
      </w:r>
    </w:p>
    <w:p w14:paraId="1704D0A9">
      <w:pPr>
        <w:pStyle w:val="8"/>
        <w:keepNext w:val="0"/>
        <w:keepLines w:val="0"/>
        <w:pageBreakBefore w:val="0"/>
        <w:kinsoku/>
        <w:wordWrap/>
        <w:overflowPunct/>
        <w:topLinePunct w:val="0"/>
        <w:autoSpaceDE/>
        <w:autoSpaceDN/>
        <w:bidi w:val="0"/>
        <w:spacing w:line="440" w:lineRule="exact"/>
        <w:ind w:left="1679" w:leftChars="228" w:hanging="1200" w:hangingChars="500"/>
        <w:textAlignment w:val="auto"/>
        <w:rPr>
          <w:rFonts w:hint="eastAsia" w:ascii="宋体" w:hAnsi="宋体" w:eastAsia="宋体" w:cs="宋体"/>
          <w:b w:val="0"/>
          <w:bCs w:val="0"/>
          <w:color w:val="auto"/>
          <w:sz w:val="24"/>
          <w:highlight w:val="none"/>
        </w:rPr>
      </w:pPr>
      <w:r>
        <w:rPr>
          <w:rFonts w:hint="eastAsia" w:ascii="宋体" w:hAnsi="宋体" w:eastAsia="宋体" w:cs="宋体"/>
          <w:color w:val="auto"/>
          <w:sz w:val="24"/>
          <w:highlight w:val="none"/>
        </w:rPr>
        <w:t>标项名称：</w:t>
      </w:r>
      <w:r>
        <w:rPr>
          <w:rFonts w:hint="eastAsia" w:ascii="宋体" w:hAnsi="宋体" w:cs="宋体"/>
          <w:color w:val="auto"/>
          <w:sz w:val="24"/>
          <w:highlight w:val="none"/>
          <w:lang w:val="en-US" w:eastAsia="zh-CN"/>
        </w:rPr>
        <w:t>东阳市白云街道2024-2025年度枯死松树清理项目</w:t>
      </w:r>
    </w:p>
    <w:p w14:paraId="5DE25908">
      <w:pPr>
        <w:pStyle w:val="8"/>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数量：1</w:t>
      </w:r>
      <w:r>
        <w:rPr>
          <w:rFonts w:hint="eastAsia" w:ascii="宋体" w:hAnsi="宋体" w:cs="宋体"/>
          <w:color w:val="auto"/>
          <w:sz w:val="24"/>
          <w:highlight w:val="none"/>
          <w:lang w:val="en-US" w:eastAsia="zh-CN"/>
        </w:rPr>
        <w:t>项</w:t>
      </w:r>
    </w:p>
    <w:p w14:paraId="59ACA44B">
      <w:pPr>
        <w:pStyle w:val="8"/>
        <w:keepNext w:val="0"/>
        <w:keepLines w:val="0"/>
        <w:pageBreakBefore w:val="0"/>
        <w:kinsoku/>
        <w:wordWrap/>
        <w:overflowPunct/>
        <w:topLinePunct w:val="0"/>
        <w:autoSpaceDE/>
        <w:autoSpaceDN/>
        <w:bidi w:val="0"/>
        <w:spacing w:line="440" w:lineRule="exact"/>
        <w:ind w:firstLine="480" w:firstLineChars="200"/>
        <w:textAlignment w:val="auto"/>
        <w:rPr>
          <w:rFonts w:hint="default" w:ascii="宋体" w:hAnsi="宋体" w:eastAsia="宋体" w:cs="宋体"/>
          <w:bCs/>
          <w:color w:val="auto"/>
          <w:sz w:val="24"/>
          <w:highlight w:val="none"/>
          <w:lang w:val="en-US" w:eastAsia="zh-CN"/>
        </w:rPr>
      </w:pPr>
      <w:r>
        <w:rPr>
          <w:rFonts w:hint="eastAsia" w:ascii="宋体" w:hAnsi="宋体" w:eastAsia="宋体" w:cs="宋体"/>
          <w:color w:val="auto"/>
          <w:sz w:val="24"/>
          <w:highlight w:val="none"/>
        </w:rPr>
        <w:t>预算金额（元）：</w:t>
      </w:r>
      <w:r>
        <w:rPr>
          <w:rFonts w:hint="eastAsia" w:ascii="宋体" w:hAnsi="宋体" w:cs="宋体"/>
          <w:color w:val="auto"/>
          <w:sz w:val="24"/>
          <w:highlight w:val="none"/>
          <w:lang w:val="en-US" w:eastAsia="zh-CN"/>
        </w:rPr>
        <w:t>350000</w:t>
      </w:r>
    </w:p>
    <w:p w14:paraId="03A05949">
      <w:pPr>
        <w:pStyle w:val="8"/>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最高</w:t>
      </w:r>
      <w:r>
        <w:rPr>
          <w:rFonts w:hint="eastAsia" w:ascii="宋体" w:hAnsi="宋体" w:cs="宋体"/>
          <w:bCs/>
          <w:color w:val="auto"/>
          <w:sz w:val="24"/>
          <w:highlight w:val="none"/>
          <w:lang w:eastAsia="zh-CN"/>
        </w:rPr>
        <w:t>单价</w:t>
      </w:r>
      <w:r>
        <w:rPr>
          <w:rFonts w:hint="eastAsia" w:ascii="宋体" w:hAnsi="宋体" w:eastAsia="宋体" w:cs="宋体"/>
          <w:bCs/>
          <w:color w:val="auto"/>
          <w:sz w:val="24"/>
          <w:highlight w:val="none"/>
        </w:rPr>
        <w:t>限价（元）：</w:t>
      </w:r>
      <w:r>
        <w:rPr>
          <w:rFonts w:hint="eastAsia" w:ascii="宋体" w:hAnsi="宋体" w:cs="宋体"/>
          <w:bCs/>
          <w:color w:val="auto"/>
          <w:sz w:val="24"/>
          <w:highlight w:val="none"/>
          <w:u w:val="single"/>
          <w:lang w:val="en-US" w:eastAsia="zh-CN"/>
        </w:rPr>
        <w:t>950</w:t>
      </w:r>
      <w:r>
        <w:rPr>
          <w:rFonts w:hint="eastAsia" w:ascii="宋体" w:hAnsi="宋体" w:eastAsia="宋体" w:cs="宋体"/>
          <w:bCs/>
          <w:color w:val="auto"/>
          <w:sz w:val="24"/>
          <w:highlight w:val="none"/>
        </w:rPr>
        <w:t>元/吨；</w:t>
      </w:r>
    </w:p>
    <w:p w14:paraId="4C48A38A">
      <w:pPr>
        <w:pStyle w:val="8"/>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简要规格描述或项目基本概况介绍、用途：具体要求详见第二章招标需求</w:t>
      </w:r>
    </w:p>
    <w:p w14:paraId="596DE258">
      <w:pPr>
        <w:pStyle w:val="8"/>
        <w:keepNext w:val="0"/>
        <w:keepLines w:val="0"/>
        <w:pageBreakBefore w:val="0"/>
        <w:kinsoku/>
        <w:wordWrap/>
        <w:overflowPunct/>
        <w:topLinePunct w:val="0"/>
        <w:autoSpaceDE/>
        <w:autoSpaceDN/>
        <w:bidi w:val="0"/>
        <w:spacing w:line="440" w:lineRule="exact"/>
        <w:ind w:firstLine="480" w:firstLineChars="200"/>
        <w:textAlignment w:val="auto"/>
        <w:rPr>
          <w:rFonts w:hint="eastAsia"/>
          <w:color w:val="auto"/>
          <w:highlight w:val="none"/>
        </w:rPr>
      </w:pPr>
      <w:r>
        <w:rPr>
          <w:rFonts w:hint="eastAsia" w:ascii="宋体" w:hAnsi="宋体" w:eastAsia="宋体" w:cs="宋体"/>
          <w:color w:val="auto"/>
          <w:sz w:val="24"/>
          <w:highlight w:val="none"/>
        </w:rPr>
        <w:t>备注：</w:t>
      </w:r>
    </w:p>
    <w:p w14:paraId="5BE9EF90">
      <w:pPr>
        <w:pStyle w:val="8"/>
        <w:keepNext w:val="0"/>
        <w:keepLines w:val="0"/>
        <w:pageBreakBefore w:val="0"/>
        <w:kinsoku/>
        <w:wordWrap/>
        <w:overflowPunct/>
        <w:topLinePunct w:val="0"/>
        <w:autoSpaceDE/>
        <w:autoSpaceDN/>
        <w:bidi w:val="0"/>
        <w:spacing w:line="440" w:lineRule="exact"/>
        <w:ind w:firstLine="480" w:firstLineChars="200"/>
        <w:textAlignment w:val="auto"/>
        <w:rPr>
          <w:rFonts w:hint="default" w:eastAsia="宋体"/>
          <w:color w:val="auto"/>
          <w:highlight w:val="none"/>
          <w:lang w:val="en-US" w:eastAsia="zh-CN"/>
        </w:rPr>
      </w:pPr>
      <w:r>
        <w:rPr>
          <w:rFonts w:hint="eastAsia" w:ascii="宋体" w:hAnsi="宋体" w:eastAsia="宋体" w:cs="宋体"/>
          <w:color w:val="auto"/>
          <w:sz w:val="24"/>
          <w:highlight w:val="none"/>
        </w:rPr>
        <w:t>合同履约期限</w:t>
      </w:r>
      <w:r>
        <w:rPr>
          <w:rFonts w:hint="eastAsia" w:ascii="宋体" w:hAnsi="宋体" w:cs="宋体"/>
          <w:color w:val="auto"/>
          <w:sz w:val="24"/>
          <w:highlight w:val="none"/>
          <w:lang w:eastAsia="zh-CN"/>
        </w:rPr>
        <w:t>：合同签订之日起</w:t>
      </w:r>
      <w:r>
        <w:rPr>
          <w:rFonts w:hint="eastAsia" w:ascii="宋体" w:hAnsi="宋体" w:cs="宋体"/>
          <w:color w:val="auto"/>
          <w:sz w:val="24"/>
          <w:highlight w:val="none"/>
          <w:lang w:val="en-US" w:eastAsia="zh-CN"/>
        </w:rPr>
        <w:t>-2025年9月底前完成</w:t>
      </w:r>
    </w:p>
    <w:p w14:paraId="72AB98A6">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bCs w:val="0"/>
          <w:color w:val="auto"/>
          <w:sz w:val="24"/>
          <w:highlight w:val="none"/>
          <w:lang w:eastAsia="zh-CN"/>
        </w:rPr>
      </w:pPr>
      <w:r>
        <w:rPr>
          <w:rFonts w:hint="eastAsia" w:ascii="宋体" w:hAnsi="宋体" w:eastAsia="宋体" w:cs="宋体"/>
          <w:b w:val="0"/>
          <w:bCs w:val="0"/>
          <w:color w:val="auto"/>
          <w:sz w:val="24"/>
          <w:szCs w:val="24"/>
          <w:highlight w:val="none"/>
          <w:lang w:eastAsia="zh-CN"/>
        </w:rPr>
        <w:t>本项目接受联合体投标：</w:t>
      </w:r>
      <w:r>
        <w:rPr>
          <w:rFonts w:hint="eastAsia" w:ascii="宋体" w:hAnsi="宋体" w:eastAsia="宋体" w:cs="宋体"/>
          <w:b/>
          <w:bCs w:val="0"/>
          <w:color w:val="auto"/>
          <w:sz w:val="24"/>
          <w:highlight w:val="none"/>
        </w:rPr>
        <w:t>（√）</w:t>
      </w:r>
      <w:r>
        <w:rPr>
          <w:rFonts w:hint="eastAsia" w:ascii="宋体" w:hAnsi="宋体" w:eastAsia="宋体" w:cs="宋体"/>
          <w:b/>
          <w:bCs w:val="0"/>
          <w:color w:val="auto"/>
          <w:sz w:val="24"/>
          <w:highlight w:val="none"/>
          <w:lang w:eastAsia="zh-CN"/>
        </w:rPr>
        <w:t>是，</w:t>
      </w:r>
      <w:r>
        <w:rPr>
          <w:rFonts w:hint="eastAsia" w:ascii="宋体" w:hAnsi="宋体" w:eastAsia="宋体" w:cs="宋体"/>
          <w:b/>
          <w:bCs w:val="0"/>
          <w:color w:val="auto"/>
          <w:sz w:val="24"/>
          <w:highlight w:val="none"/>
        </w:rPr>
        <w:t>（</w:t>
      </w:r>
      <w:r>
        <w:rPr>
          <w:rFonts w:hint="eastAsia" w:ascii="宋体" w:hAnsi="宋体" w:cs="宋体"/>
          <w:b/>
          <w:bCs w:val="0"/>
          <w:color w:val="auto"/>
          <w:sz w:val="24"/>
          <w:highlight w:val="none"/>
          <w:lang w:val="en-US" w:eastAsia="zh-CN"/>
        </w:rPr>
        <w:t xml:space="preserve">  </w:t>
      </w:r>
      <w:r>
        <w:rPr>
          <w:rFonts w:hint="eastAsia" w:ascii="宋体" w:hAnsi="宋体" w:eastAsia="宋体" w:cs="宋体"/>
          <w:b/>
          <w:bCs w:val="0"/>
          <w:color w:val="auto"/>
          <w:sz w:val="24"/>
          <w:highlight w:val="none"/>
        </w:rPr>
        <w:t>）</w:t>
      </w:r>
      <w:r>
        <w:rPr>
          <w:rFonts w:hint="eastAsia" w:ascii="宋体" w:hAnsi="宋体" w:eastAsia="宋体" w:cs="宋体"/>
          <w:b/>
          <w:bCs w:val="0"/>
          <w:color w:val="auto"/>
          <w:sz w:val="24"/>
          <w:highlight w:val="none"/>
          <w:lang w:eastAsia="zh-CN"/>
        </w:rPr>
        <w:t>否</w:t>
      </w:r>
    </w:p>
    <w:p w14:paraId="34B896F3">
      <w:pPr>
        <w:keepNext w:val="0"/>
        <w:keepLines w:val="0"/>
        <w:pageBreakBefore w:val="0"/>
        <w:kinsoku/>
        <w:wordWrap/>
        <w:overflowPunct/>
        <w:topLinePunct w:val="0"/>
        <w:autoSpaceDE/>
        <w:autoSpaceDN/>
        <w:bidi w:val="0"/>
        <w:snapToGrid w:val="0"/>
        <w:spacing w:line="440" w:lineRule="exact"/>
        <w:textAlignment w:val="auto"/>
        <w:rPr>
          <w:rFonts w:hint="eastAsia" w:ascii="宋体" w:hAnsi="宋体" w:eastAsia="宋体" w:cs="宋体"/>
          <w:b/>
          <w:bCs/>
          <w:strike/>
          <w:color w:val="auto"/>
          <w:sz w:val="24"/>
          <w:highlight w:val="none"/>
        </w:rPr>
      </w:pPr>
      <w:r>
        <w:rPr>
          <w:rFonts w:hint="eastAsia" w:ascii="宋体" w:hAnsi="宋体" w:eastAsia="宋体" w:cs="宋体"/>
          <w:b/>
          <w:bCs/>
          <w:color w:val="auto"/>
          <w:sz w:val="24"/>
          <w:highlight w:val="none"/>
        </w:rPr>
        <w:t xml:space="preserve">▲二、申请人的资格要求： </w:t>
      </w:r>
    </w:p>
    <w:p w14:paraId="1458BBBD">
      <w:pPr>
        <w:pStyle w:val="8"/>
        <w:keepNext w:val="0"/>
        <w:keepLines w:val="0"/>
        <w:pageBreakBefore w:val="0"/>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3175BC57">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b/>
          <w:bCs/>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落实政府采购政策需满足的资格要求</w:t>
      </w:r>
      <w:r>
        <w:rPr>
          <w:rFonts w:hint="eastAsia" w:ascii="宋体" w:hAnsi="宋体" w:eastAsia="宋体" w:cs="宋体"/>
          <w:b w:val="0"/>
          <w:bCs w:val="0"/>
          <w:color w:val="auto"/>
          <w:sz w:val="24"/>
          <w:highlight w:val="none"/>
          <w:lang w:eastAsia="zh-CN"/>
        </w:rPr>
        <w:t>：</w:t>
      </w:r>
      <w:r>
        <w:rPr>
          <w:rFonts w:hint="eastAsia" w:ascii="宋体" w:hAnsi="宋体" w:cs="宋体"/>
          <w:b w:val="0"/>
          <w:bCs w:val="0"/>
          <w:color w:val="auto"/>
          <w:sz w:val="24"/>
          <w:highlight w:val="none"/>
        </w:rPr>
        <w:t>根据《政府采购促进中小企业发展管理办法》</w:t>
      </w:r>
      <w:r>
        <w:rPr>
          <w:rFonts w:hint="eastAsia" w:ascii="宋体" w:hAnsi="宋体" w:cs="宋体"/>
          <w:b w:val="0"/>
          <w:bCs w:val="0"/>
          <w:color w:val="auto"/>
          <w:sz w:val="24"/>
          <w:highlight w:val="none"/>
          <w:lang w:eastAsia="zh-CN"/>
        </w:rPr>
        <w:t>有关规定</w:t>
      </w:r>
      <w:r>
        <w:rPr>
          <w:rFonts w:hint="eastAsia" w:ascii="宋体" w:hAnsi="宋体" w:cs="宋体"/>
          <w:b w:val="0"/>
          <w:bCs w:val="0"/>
          <w:color w:val="auto"/>
          <w:sz w:val="24"/>
          <w:highlight w:val="none"/>
        </w:rPr>
        <w:t>，本项目仅</w:t>
      </w:r>
      <w:r>
        <w:rPr>
          <w:rFonts w:hint="eastAsia" w:ascii="宋体" w:hAnsi="宋体" w:cs="宋体"/>
          <w:b w:val="0"/>
          <w:bCs w:val="0"/>
          <w:color w:val="auto"/>
          <w:sz w:val="24"/>
          <w:highlight w:val="none"/>
          <w:lang w:eastAsia="zh-CN"/>
        </w:rPr>
        <w:t>面</w:t>
      </w:r>
      <w:r>
        <w:rPr>
          <w:rFonts w:hint="eastAsia" w:ascii="宋体" w:hAnsi="宋体" w:cs="宋体"/>
          <w:b w:val="0"/>
          <w:bCs w:val="0"/>
          <w:color w:val="auto"/>
          <w:sz w:val="24"/>
          <w:highlight w:val="none"/>
        </w:rPr>
        <w:t>向中小型及以下企业响应投标。</w:t>
      </w:r>
    </w:p>
    <w:p w14:paraId="3F249403">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3.本项目的特定资格要求：</w:t>
      </w:r>
    </w:p>
    <w:p w14:paraId="7C5F60E4">
      <w:pPr>
        <w:pStyle w:val="8"/>
        <w:keepNext w:val="0"/>
        <w:keepLines w:val="0"/>
        <w:pageBreakBefore w:val="0"/>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）投标人须为浙江政府采购网注册的正式供应商或承诺中标后30天内注册为浙江政府采购网正式供应商。</w:t>
      </w:r>
    </w:p>
    <w:p w14:paraId="2E0B35CE">
      <w:pPr>
        <w:keepNext w:val="0"/>
        <w:keepLines w:val="0"/>
        <w:pageBreakBefore w:val="0"/>
        <w:kinsoku/>
        <w:wordWrap/>
        <w:overflowPunct/>
        <w:topLinePunct w:val="0"/>
        <w:autoSpaceDE/>
        <w:autoSpaceDN/>
        <w:bidi w:val="0"/>
        <w:snapToGrid w:val="0"/>
        <w:spacing w:line="44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▲三、获取招标文件： </w:t>
      </w:r>
    </w:p>
    <w:p w14:paraId="08BB18B4">
      <w:pPr>
        <w:keepNext w:val="0"/>
        <w:keepLines w:val="0"/>
        <w:pageBreakBefore w:val="0"/>
        <w:kinsoku/>
        <w:wordWrap/>
        <w:overflowPunct/>
        <w:topLinePunct w:val="0"/>
        <w:autoSpaceDE/>
        <w:autoSpaceDN/>
        <w:bidi w:val="0"/>
        <w:spacing w:line="440" w:lineRule="exact"/>
        <w:ind w:firstLine="64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时间：/至</w:t>
      </w:r>
      <w:r>
        <w:rPr>
          <w:rFonts w:hint="eastAsia" w:ascii="宋体" w:hAnsi="宋体" w:cs="宋体"/>
          <w:color w:val="auto"/>
          <w:sz w:val="24"/>
          <w:highlight w:val="none"/>
          <w:lang w:eastAsia="zh-CN"/>
        </w:rPr>
        <w:t>2024年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14</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13</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 xml:space="preserve">30 </w:t>
      </w:r>
      <w:r>
        <w:rPr>
          <w:rFonts w:hint="eastAsia" w:ascii="宋体" w:hAnsi="宋体" w:cs="宋体"/>
          <w:color w:val="auto"/>
          <w:sz w:val="24"/>
          <w:highlight w:val="none"/>
          <w:lang w:eastAsia="zh-CN"/>
        </w:rPr>
        <w:t>分</w:t>
      </w:r>
      <w:r>
        <w:rPr>
          <w:rFonts w:hint="eastAsia" w:ascii="宋体" w:hAnsi="宋体" w:eastAsia="宋体" w:cs="宋体"/>
          <w:color w:val="auto"/>
          <w:sz w:val="24"/>
          <w:highlight w:val="none"/>
        </w:rPr>
        <w:t>，每天上午00：00至12:00，下午12:00至23:59（北京时间，线上获取法定节假日均可，线下获取文件法定节假日除外）</w:t>
      </w:r>
    </w:p>
    <w:p w14:paraId="7E41E3ED">
      <w:pPr>
        <w:keepNext w:val="0"/>
        <w:keepLines w:val="0"/>
        <w:pageBreakBefore w:val="0"/>
        <w:kinsoku/>
        <w:wordWrap/>
        <w:overflowPunct/>
        <w:topLinePunct w:val="0"/>
        <w:autoSpaceDE/>
        <w:autoSpaceDN/>
        <w:bidi w:val="0"/>
        <w:spacing w:line="440" w:lineRule="exact"/>
        <w:ind w:firstLine="64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地点（网址）：浙江政府采购网（http://zfcg.czt.zj.gov.cn/）； 东阳市公共资源交易网(http://www.dongyang.gov.cn/ggzyjy/index.html)</w:t>
      </w:r>
    </w:p>
    <w:p w14:paraId="2C88E70A">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方式：1、由投标人通过登录浙江省政府采购网(http://zfcg.czt.zj.gov.cn/)上的政采云系统进行获取（首次参加投标的单位应先登录浙江省政府采购网(http://zfcg.czt.zj.gov.cn/)进行账户注册，注册完毕待审核成功后方可登录政采云系统获取；注册流程见网址</w:t>
      </w:r>
    </w:p>
    <w:p w14:paraId="31C0C1F9">
      <w:pPr>
        <w:keepNext w:val="0"/>
        <w:keepLines w:val="0"/>
        <w:pageBreakBefore w:val="0"/>
        <w:kinsoku/>
        <w:wordWrap/>
        <w:overflowPunct/>
        <w:topLinePunct w:val="0"/>
        <w:autoSpaceDE/>
        <w:autoSpaceDN/>
        <w:bidi w:val="0"/>
        <w:snapToGrid w:val="0"/>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http://zfcg.czt.zj.gov.cn/register/2017-07-24/6728.html?_=2017-11-13%2011:10:28）；</w:t>
      </w:r>
    </w:p>
    <w:p w14:paraId="60214556">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2、招标文件获取流程：浙江政府采购网-政采云用户登录-用户中心-项目采购-获取采购文件管理。</w:t>
      </w:r>
    </w:p>
    <w:p w14:paraId="713AFE2E">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3、浙江政府采购网上以“游客”身份获取的采购文件仅供阅览；潜在供应商应按上述方式获取采购文件；未按上述方式获取采购文件的，不得对采购文件提起质疑投诉。</w:t>
      </w:r>
    </w:p>
    <w:p w14:paraId="51C1A672">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售价（元）：0</w:t>
      </w:r>
    </w:p>
    <w:p w14:paraId="0BB61E41">
      <w:pPr>
        <w:keepNext w:val="0"/>
        <w:keepLines w:val="0"/>
        <w:pageBreakBefore w:val="0"/>
        <w:kinsoku/>
        <w:wordWrap/>
        <w:overflowPunct/>
        <w:topLinePunct w:val="0"/>
        <w:autoSpaceDE/>
        <w:autoSpaceDN/>
        <w:bidi w:val="0"/>
        <w:snapToGrid w:val="0"/>
        <w:spacing w:line="44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四、提交投标文件截止时间、开标时间和地点</w:t>
      </w:r>
    </w:p>
    <w:p w14:paraId="538BDC4D">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提交投标文件截止时间：</w:t>
      </w:r>
      <w:r>
        <w:rPr>
          <w:rFonts w:hint="eastAsia" w:ascii="宋体" w:hAnsi="宋体" w:cs="宋体"/>
          <w:color w:val="auto"/>
          <w:sz w:val="24"/>
          <w:highlight w:val="none"/>
          <w:lang w:eastAsia="zh-CN"/>
        </w:rPr>
        <w:t>2024年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14</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 xml:space="preserve">13 </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 xml:space="preserve">30 </w:t>
      </w:r>
      <w:r>
        <w:rPr>
          <w:rFonts w:hint="eastAsia" w:ascii="宋体" w:hAnsi="宋体" w:cs="宋体"/>
          <w:color w:val="auto"/>
          <w:sz w:val="24"/>
          <w:highlight w:val="none"/>
          <w:lang w:eastAsia="zh-CN"/>
        </w:rPr>
        <w:t>分</w:t>
      </w:r>
      <w:r>
        <w:rPr>
          <w:rFonts w:hint="eastAsia" w:ascii="宋体" w:hAnsi="宋体" w:eastAsia="宋体" w:cs="宋体"/>
          <w:color w:val="auto"/>
          <w:sz w:val="24"/>
          <w:highlight w:val="none"/>
        </w:rPr>
        <w:t>（北京时间）</w:t>
      </w:r>
    </w:p>
    <w:p w14:paraId="7EEC1CB8">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投标地点（网址）：政采云平台</w:t>
      </w:r>
    </w:p>
    <w:p w14:paraId="4E2A1009">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开标时间：</w:t>
      </w:r>
      <w:r>
        <w:rPr>
          <w:rFonts w:hint="eastAsia" w:ascii="宋体" w:hAnsi="宋体" w:cs="宋体"/>
          <w:color w:val="auto"/>
          <w:sz w:val="24"/>
          <w:highlight w:val="none"/>
          <w:lang w:eastAsia="zh-CN"/>
        </w:rPr>
        <w:t>2024年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14</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 xml:space="preserve">13 </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 xml:space="preserve">30 </w:t>
      </w:r>
      <w:r>
        <w:rPr>
          <w:rFonts w:hint="eastAsia" w:ascii="宋体" w:hAnsi="宋体" w:cs="宋体"/>
          <w:color w:val="auto"/>
          <w:sz w:val="24"/>
          <w:highlight w:val="none"/>
          <w:lang w:eastAsia="zh-CN"/>
        </w:rPr>
        <w:t>分</w:t>
      </w:r>
    </w:p>
    <w:p w14:paraId="4512698F">
      <w:pPr>
        <w:keepNext w:val="0"/>
        <w:keepLines w:val="0"/>
        <w:pageBreakBefore w:val="0"/>
        <w:kinsoku/>
        <w:wordWrap/>
        <w:overflowPunct/>
        <w:topLinePunct w:val="0"/>
        <w:autoSpaceDE/>
        <w:autoSpaceDN/>
        <w:bidi w:val="0"/>
        <w:snapToGrid w:val="0"/>
        <w:spacing w:line="440" w:lineRule="exact"/>
        <w:ind w:firstLine="481"/>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开标地点（网址）：政采云平台</w:t>
      </w:r>
    </w:p>
    <w:p w14:paraId="230E99CB">
      <w:pPr>
        <w:keepNext w:val="0"/>
        <w:keepLines w:val="0"/>
        <w:pageBreakBefore w:val="0"/>
        <w:kinsoku/>
        <w:wordWrap/>
        <w:overflowPunct/>
        <w:topLinePunct w:val="0"/>
        <w:autoSpaceDE/>
        <w:autoSpaceDN/>
        <w:bidi w:val="0"/>
        <w:snapToGrid w:val="0"/>
        <w:spacing w:line="440" w:lineRule="exact"/>
        <w:jc w:val="left"/>
        <w:textAlignment w:val="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五</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公告期限</w:t>
      </w:r>
    </w:p>
    <w:p w14:paraId="295ECE9F">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08D82E74">
      <w:pPr>
        <w:keepNext w:val="0"/>
        <w:keepLines w:val="0"/>
        <w:pageBreakBefore w:val="0"/>
        <w:numPr>
          <w:ilvl w:val="0"/>
          <w:numId w:val="0"/>
        </w:numPr>
        <w:kinsoku/>
        <w:wordWrap/>
        <w:overflowPunct/>
        <w:topLinePunct w:val="0"/>
        <w:autoSpaceDE/>
        <w:autoSpaceDN/>
        <w:bidi w:val="0"/>
        <w:snapToGrid w:val="0"/>
        <w:spacing w:line="440" w:lineRule="exact"/>
        <w:textAlignment w:val="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六</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其他补充事宜</w:t>
      </w:r>
    </w:p>
    <w:p w14:paraId="52D7BBCF">
      <w:pPr>
        <w:pStyle w:val="20"/>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420" w:lineRule="atLeast"/>
        <w:ind w:left="0" w:firstLine="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 xml:space="preserve"> </w:t>
      </w:r>
      <w:r>
        <w:rPr>
          <w:rFonts w:hint="eastAsia" w:cs="宋体"/>
          <w:color w:val="auto"/>
          <w:sz w:val="24"/>
          <w:highlight w:val="none"/>
          <w:lang w:val="en-US" w:eastAsia="zh-CN"/>
        </w:rPr>
        <w:t xml:space="preserve"> </w:t>
      </w:r>
      <w:r>
        <w:rPr>
          <w:rFonts w:hint="eastAsia" w:ascii="宋体" w:hAnsi="宋体" w:eastAsia="宋体" w:cs="宋体"/>
          <w:color w:val="auto"/>
          <w:sz w:val="24"/>
          <w:highlight w:val="none"/>
        </w:rPr>
        <w:t xml:space="preserve"> </w:t>
      </w:r>
      <w:bookmarkStart w:id="1" w:name="_Toc28359008"/>
      <w:bookmarkStart w:id="2" w:name="_Toc35393796"/>
      <w:bookmarkStart w:id="3" w:name="_Toc35393627"/>
      <w:bookmarkStart w:id="4" w:name="_Toc28359085"/>
      <w:r>
        <w:rPr>
          <w:rFonts w:hint="eastAsia" w:ascii="宋体" w:hAnsi="宋体" w:eastAsia="宋体" w:cs="宋体"/>
          <w:color w:val="auto"/>
          <w:kern w:val="2"/>
          <w:sz w:val="24"/>
          <w:szCs w:val="24"/>
          <w:highlight w:val="none"/>
          <w:lang w:val="en-US" w:eastAsia="zh-CN" w:bidi="ar-SA"/>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36B6335D">
      <w:pPr>
        <w:pStyle w:val="20"/>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420" w:lineRule="atLeast"/>
        <w:ind w:lef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EBA28E">
      <w:pPr>
        <w:pStyle w:val="20"/>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420" w:lineRule="atLeast"/>
        <w:ind w:left="0" w:firstLine="240" w:firstLineChars="1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 xml:space="preserve"> </w:t>
      </w:r>
      <w:r>
        <w:rPr>
          <w:rFonts w:hint="eastAsia" w:cs="宋体"/>
          <w:color w:val="auto"/>
          <w:sz w:val="24"/>
          <w:highlight w:val="none"/>
          <w:lang w:val="en-US" w:eastAsia="zh-CN"/>
        </w:rPr>
        <w:t>3.</w:t>
      </w:r>
      <w:r>
        <w:rPr>
          <w:rFonts w:hint="eastAsia" w:ascii="宋体" w:hAnsi="宋体" w:eastAsia="宋体" w:cs="宋体"/>
          <w:color w:val="auto"/>
          <w:kern w:val="2"/>
          <w:sz w:val="24"/>
          <w:szCs w:val="24"/>
          <w:highlight w:val="none"/>
          <w:lang w:val="en-US" w:eastAsia="zh-CN" w:bidi="ar-SA"/>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2F16F27">
      <w:pPr>
        <w:pStyle w:val="20"/>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420" w:lineRule="atLeast"/>
        <w:ind w:left="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其他事项：见招标文件  </w:t>
      </w:r>
    </w:p>
    <w:p w14:paraId="5AD19FD1">
      <w:pPr>
        <w:keepNext w:val="0"/>
        <w:keepLines w:val="0"/>
        <w:pageBreakBefore w:val="0"/>
        <w:kinsoku/>
        <w:wordWrap/>
        <w:overflowPunct/>
        <w:topLinePunct w:val="0"/>
        <w:autoSpaceDE/>
        <w:autoSpaceDN/>
        <w:bidi w:val="0"/>
        <w:spacing w:line="420" w:lineRule="atLeas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w:t>
      </w:r>
      <w:r>
        <w:rPr>
          <w:rFonts w:hint="eastAsia" w:ascii="宋体" w:hAnsi="宋体" w:cs="宋体"/>
          <w:color w:val="auto"/>
          <w:kern w:val="2"/>
          <w:sz w:val="24"/>
          <w:szCs w:val="24"/>
          <w:highlight w:val="none"/>
          <w:lang w:val="en-US" w:eastAsia="zh-CN" w:bidi="ar-SA"/>
        </w:rPr>
        <w:t>登录</w:t>
      </w:r>
      <w:r>
        <w:rPr>
          <w:rFonts w:hint="eastAsia" w:ascii="宋体" w:hAnsi="宋体" w:eastAsia="宋体" w:cs="宋体"/>
          <w:color w:val="auto"/>
          <w:kern w:val="2"/>
          <w:sz w:val="24"/>
          <w:szCs w:val="24"/>
          <w:highlight w:val="none"/>
          <w:lang w:val="en-US" w:eastAsia="zh-CN" w:bidi="ar-SA"/>
        </w:rPr>
        <w:t>浙江政府采购( 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69221322">
      <w:pPr>
        <w:keepNext w:val="0"/>
        <w:keepLines w:val="0"/>
        <w:pageBreakBefore w:val="0"/>
        <w:kinsoku/>
        <w:wordWrap/>
        <w:overflowPunct/>
        <w:topLinePunct w:val="0"/>
        <w:autoSpaceDE/>
        <w:autoSpaceDN/>
        <w:bidi w:val="0"/>
        <w:snapToGrid w:val="0"/>
        <w:spacing w:line="420" w:lineRule="atLeas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3E08F111">
      <w:pPr>
        <w:keepNext w:val="0"/>
        <w:keepLines w:val="0"/>
        <w:pageBreakBefore w:val="0"/>
        <w:kinsoku/>
        <w:wordWrap/>
        <w:overflowPunct/>
        <w:topLinePunct w:val="0"/>
        <w:autoSpaceDE/>
        <w:autoSpaceDN/>
        <w:bidi w:val="0"/>
        <w:snapToGrid w:val="0"/>
        <w:spacing w:line="420" w:lineRule="atLeas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highlight w:val="none"/>
        </w:rPr>
        <w:t>本项目实行电子投标，投标文件应按照本项目招标文件和政采云平台的要求编制、加密并递交。投标人在使用系统进行投标的过程中遇到涉及平台使用的任何问题，可致电政采云平台技术支持热线咨询，联系方式：400-881-7190。</w:t>
      </w:r>
    </w:p>
    <w:p w14:paraId="202A78F4">
      <w:pPr>
        <w:keepNext w:val="0"/>
        <w:keepLines w:val="0"/>
        <w:pageBreakBefore w:val="0"/>
        <w:kinsoku/>
        <w:wordWrap/>
        <w:overflowPunct/>
        <w:topLinePunct w:val="0"/>
        <w:autoSpaceDE/>
        <w:autoSpaceDN/>
        <w:bidi w:val="0"/>
        <w:snapToGrid w:val="0"/>
        <w:spacing w:line="420" w:lineRule="atLeas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highlight w:val="none"/>
        </w:rPr>
        <w:t xml:space="preserve"> 投 标 人 应 在 开 标 前 完 成 CA 数 字 证 书 办 理 。 （ 办 理 流 程 详 见http://zfcg.czt.zj.gov.cn/bidClientTemplate/2019-05-27/12945.html）。完成 CA 数字证书办理预计一周左右，建议各投标人抓紧时间办理。</w:t>
      </w:r>
    </w:p>
    <w:p w14:paraId="60E20D5A">
      <w:pPr>
        <w:keepNext w:val="0"/>
        <w:keepLines w:val="0"/>
        <w:pageBreakBefore w:val="0"/>
        <w:kinsoku/>
        <w:wordWrap w:val="0"/>
        <w:overflowPunct/>
        <w:topLinePunct w:val="0"/>
        <w:autoSpaceDE/>
        <w:autoSpaceDN/>
        <w:bidi w:val="0"/>
        <w:snapToGrid w:val="0"/>
        <w:spacing w:line="420" w:lineRule="atLeas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sz w:val="24"/>
          <w:highlight w:val="none"/>
        </w:rPr>
        <w:t>投标人通过政采云平台电子投标工具制作投标文件，电子投标工具请供应商自行前往浙江省政府采购网下载并安装，（下载网址：http://zfcg.czt.zj.gov.cn/bidClientTemplate/2019-08-30/12975.html），</w:t>
      </w:r>
    </w:p>
    <w:p w14:paraId="178650D9">
      <w:pPr>
        <w:keepNext w:val="0"/>
        <w:keepLines w:val="0"/>
        <w:pageBreakBefore w:val="0"/>
        <w:kinsoku/>
        <w:wordWrap w:val="0"/>
        <w:overflowPunct/>
        <w:topLinePunct w:val="0"/>
        <w:autoSpaceDE/>
        <w:autoSpaceDN/>
        <w:bidi w:val="0"/>
        <w:snapToGrid w:val="0"/>
        <w:spacing w:line="420" w:lineRule="atLeast"/>
        <w:textAlignment w:val="auto"/>
        <w:rPr>
          <w:rStyle w:val="28"/>
          <w:rFonts w:hint="eastAsia" w:ascii="宋体" w:hAnsi="宋体" w:eastAsia="宋体" w:cs="宋体"/>
          <w:color w:val="auto"/>
          <w:sz w:val="24"/>
          <w:highlight w:val="none"/>
        </w:rPr>
      </w:pPr>
      <w:r>
        <w:rPr>
          <w:rFonts w:hint="eastAsia" w:ascii="宋体" w:hAnsi="宋体" w:cs="宋体"/>
          <w:color w:val="auto"/>
          <w:sz w:val="24"/>
          <w:highlight w:val="none"/>
        </w:rPr>
        <w:t>（ 电 子 投 标 相 关 学 习 网 址 ： https://edu.zcygov.cn/luban/e-biding?utm=a0004.2ef5001f.0001.0109.2d44db10df9111e9b92b0f36d4889416。）</w:t>
      </w:r>
    </w:p>
    <w:p w14:paraId="36CF9B9E">
      <w:pPr>
        <w:keepNext w:val="0"/>
        <w:keepLines w:val="0"/>
        <w:pageBreakBefore w:val="0"/>
        <w:kinsoku/>
        <w:wordWrap/>
        <w:overflowPunct/>
        <w:topLinePunct w:val="0"/>
        <w:autoSpaceDE/>
        <w:autoSpaceDN/>
        <w:bidi w:val="0"/>
        <w:adjustRightInd/>
        <w:spacing w:line="420" w:lineRule="atLeast"/>
        <w:ind w:firstLine="480" w:firstLineChars="200"/>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10</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bCs w:val="0"/>
          <w:color w:val="auto"/>
          <w:sz w:val="24"/>
          <w:highlight w:val="none"/>
          <w:lang w:val="en-US" w:eastAsia="zh-CN"/>
        </w:rPr>
        <w:t xml:space="preserve">政府采购金融服务提示：为扩大政府采购金融服务面，除政采云网上金融服务合作银行外，东阳市范围内增加浙商银行金华分行东阳支行作为线下合作银行。   </w:t>
      </w:r>
    </w:p>
    <w:p w14:paraId="0FB0905C">
      <w:pPr>
        <w:keepNext w:val="0"/>
        <w:keepLines w:val="0"/>
        <w:pageBreakBefore w:val="0"/>
        <w:kinsoku/>
        <w:wordWrap/>
        <w:overflowPunct/>
        <w:topLinePunct w:val="0"/>
        <w:autoSpaceDE/>
        <w:autoSpaceDN/>
        <w:bidi w:val="0"/>
        <w:adjustRightInd/>
        <w:spacing w:line="420" w:lineRule="atLeast"/>
        <w:ind w:firstLine="480" w:firstLineChars="200"/>
        <w:textAlignment w:val="auto"/>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浙商银行金华东阳支行  联系人：</w:t>
      </w:r>
      <w:r>
        <w:rPr>
          <w:rFonts w:hint="eastAsia" w:ascii="宋体" w:hAnsi="宋体" w:cs="宋体"/>
          <w:b w:val="0"/>
          <w:bCs w:val="0"/>
          <w:color w:val="auto"/>
          <w:sz w:val="24"/>
          <w:highlight w:val="none"/>
        </w:rPr>
        <w:t>许燕  联系电话：13967983441  0579-86222992</w:t>
      </w:r>
    </w:p>
    <w:p w14:paraId="20D3F4C7">
      <w:pPr>
        <w:keepNext w:val="0"/>
        <w:keepLines w:val="0"/>
        <w:pageBreakBefore w:val="0"/>
        <w:kinsoku/>
        <w:overflowPunct/>
        <w:topLinePunct w:val="0"/>
        <w:autoSpaceDE/>
        <w:autoSpaceDN/>
        <w:bidi w:val="0"/>
        <w:snapToGrid w:val="0"/>
        <w:spacing w:line="420" w:lineRule="atLeast"/>
        <w:ind w:firstLine="480" w:firstLineChars="200"/>
        <w:textAlignment w:val="auto"/>
        <w:rPr>
          <w:rFonts w:hint="eastAsia"/>
          <w:b w:val="0"/>
          <w:bCs w:val="0"/>
          <w:color w:val="auto"/>
        </w:rPr>
      </w:pPr>
      <w:r>
        <w:rPr>
          <w:rFonts w:hint="eastAsia" w:ascii="宋体" w:hAnsi="宋体" w:cs="宋体"/>
          <w:b w:val="0"/>
          <w:bCs w:val="0"/>
          <w:color w:val="auto"/>
          <w:sz w:val="24"/>
          <w:highlight w:val="none"/>
          <w:lang w:val="en-US" w:eastAsia="zh-CN"/>
        </w:rPr>
        <w:t>具体内容详见附件《政府采购支持中小企业信用融资相关事项通知》。</w:t>
      </w:r>
    </w:p>
    <w:p w14:paraId="6A48DD57">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七</w:t>
      </w:r>
      <w:r>
        <w:rPr>
          <w:rFonts w:hint="eastAsia" w:ascii="宋体" w:hAnsi="宋体" w:eastAsia="宋体" w:cs="宋体"/>
          <w:b/>
          <w:color w:val="auto"/>
          <w:sz w:val="24"/>
          <w:highlight w:val="none"/>
        </w:rPr>
        <w:t>、</w:t>
      </w:r>
      <w:bookmarkEnd w:id="1"/>
      <w:bookmarkEnd w:id="2"/>
      <w:bookmarkEnd w:id="3"/>
      <w:bookmarkEnd w:id="4"/>
      <w:r>
        <w:rPr>
          <w:rFonts w:hint="eastAsia" w:ascii="宋体" w:hAnsi="宋体" w:eastAsia="宋体" w:cs="宋体"/>
          <w:b/>
          <w:color w:val="auto"/>
          <w:sz w:val="24"/>
          <w:highlight w:val="none"/>
        </w:rPr>
        <w:t>对本次采购提出询问、质疑、投诉，请按以下方式联系。</w:t>
      </w:r>
    </w:p>
    <w:p w14:paraId="3D9FF5F2">
      <w:pPr>
        <w:keepNext w:val="0"/>
        <w:keepLines w:val="0"/>
        <w:pageBreakBefore w:val="0"/>
        <w:kinsoku/>
        <w:wordWrap/>
        <w:overflowPunct/>
        <w:topLinePunct w:val="0"/>
        <w:autoSpaceDE/>
        <w:autoSpaceDN/>
        <w:bidi w:val="0"/>
        <w:spacing w:line="440" w:lineRule="exact"/>
        <w:ind w:firstLine="723" w:firstLineChars="3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1.采购人信息  </w:t>
      </w:r>
    </w:p>
    <w:p w14:paraId="421E5A71">
      <w:pPr>
        <w:keepNext w:val="0"/>
        <w:keepLines w:val="0"/>
        <w:pageBreakBefore w:val="0"/>
        <w:kinsoku/>
        <w:wordWrap/>
        <w:overflowPunct/>
        <w:topLinePunct w:val="0"/>
        <w:autoSpaceDE/>
        <w:autoSpaceDN/>
        <w:bidi w:val="0"/>
        <w:spacing w:line="360" w:lineRule="auto"/>
        <w:ind w:firstLine="720" w:firstLineChars="300"/>
        <w:textAlignment w:val="auto"/>
        <w:rPr>
          <w:rFonts w:hint="eastAsia" w:ascii="宋体" w:hAnsi="宋体" w:eastAsia="宋体" w:cs="宋体"/>
          <w:color w:val="auto"/>
          <w:sz w:val="24"/>
          <w:highlight w:val="none"/>
          <w:lang w:eastAsia="zh-CN"/>
        </w:rPr>
      </w:pPr>
      <w:bookmarkStart w:id="5" w:name="_Toc28359009"/>
      <w:bookmarkStart w:id="6" w:name="_Toc28359086"/>
      <w:r>
        <w:rPr>
          <w:rFonts w:hint="eastAsia" w:ascii="宋体" w:hAnsi="宋体" w:eastAsia="宋体" w:cs="宋体"/>
          <w:color w:val="auto"/>
          <w:sz w:val="24"/>
          <w:highlight w:val="none"/>
        </w:rPr>
        <w:t>名</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称：</w:t>
      </w:r>
      <w:r>
        <w:rPr>
          <w:rFonts w:hint="eastAsia" w:ascii="宋体" w:hAnsi="宋体" w:cs="宋体"/>
          <w:color w:val="auto"/>
          <w:sz w:val="24"/>
          <w:highlight w:val="none"/>
          <w:lang w:eastAsia="zh-CN"/>
        </w:rPr>
        <w:t>东阳市白云街道办事处</w:t>
      </w:r>
    </w:p>
    <w:p w14:paraId="4419DA0D">
      <w:pPr>
        <w:spacing w:line="360" w:lineRule="auto"/>
        <w:ind w:firstLine="720" w:firstLineChars="300"/>
        <w:rPr>
          <w:rFonts w:hint="default" w:ascii="宋体" w:hAnsi="宋体" w:eastAsia="宋体" w:cs="宋体"/>
          <w:color w:val="auto"/>
          <w:sz w:val="24"/>
          <w:lang w:val="en-US" w:eastAsia="zh-CN"/>
        </w:rPr>
      </w:pPr>
      <w:r>
        <w:rPr>
          <w:rFonts w:hint="eastAsia" w:ascii="宋体" w:hAnsi="宋体" w:cs="宋体"/>
          <w:color w:val="auto"/>
          <w:sz w:val="24"/>
        </w:rPr>
        <w:t>地址：</w:t>
      </w:r>
      <w:r>
        <w:rPr>
          <w:rFonts w:hint="eastAsia" w:ascii="宋体" w:hAnsi="宋体" w:cs="宋体"/>
          <w:color w:val="auto"/>
          <w:sz w:val="24"/>
          <w:lang w:val="en-US" w:eastAsia="zh-CN"/>
        </w:rPr>
        <w:t>东阳市望江北路2号</w:t>
      </w:r>
    </w:p>
    <w:p w14:paraId="39310E67">
      <w:pPr>
        <w:keepNext w:val="0"/>
        <w:keepLines w:val="0"/>
        <w:pageBreakBefore w:val="0"/>
        <w:kinsoku/>
        <w:wordWrap/>
        <w:overflowPunct/>
        <w:topLinePunct w:val="0"/>
        <w:autoSpaceDE/>
        <w:autoSpaceDN/>
        <w:bidi w:val="0"/>
        <w:spacing w:line="360" w:lineRule="auto"/>
        <w:ind w:firstLine="720" w:firstLineChars="300"/>
        <w:textAlignment w:val="auto"/>
        <w:rPr>
          <w:rFonts w:hint="default" w:ascii="宋体" w:hAnsi="宋体" w:eastAsia="宋体" w:cs="宋体"/>
          <w:color w:val="auto"/>
          <w:sz w:val="24"/>
          <w:lang w:val="en-US" w:eastAsia="zh-CN"/>
        </w:rPr>
      </w:pPr>
      <w:r>
        <w:rPr>
          <w:rFonts w:hint="eastAsia" w:ascii="宋体" w:hAnsi="宋体" w:cs="宋体"/>
          <w:color w:val="auto"/>
          <w:sz w:val="24"/>
        </w:rPr>
        <w:t>项目联系人：</w:t>
      </w:r>
      <w:r>
        <w:rPr>
          <w:rFonts w:hint="eastAsia" w:ascii="宋体" w:hAnsi="宋体" w:cs="宋体"/>
          <w:color w:val="auto"/>
          <w:sz w:val="24"/>
          <w:lang w:val="en-US" w:eastAsia="zh-CN"/>
        </w:rPr>
        <w:t>吴女士</w:t>
      </w:r>
      <w:r>
        <w:rPr>
          <w:rFonts w:hint="eastAsia" w:ascii="宋体" w:hAnsi="宋体" w:cs="宋体"/>
          <w:color w:val="auto"/>
          <w:sz w:val="24"/>
        </w:rPr>
        <w:t xml:space="preserve">     项目联系方式：</w:t>
      </w:r>
      <w:r>
        <w:rPr>
          <w:rFonts w:hint="eastAsia" w:ascii="宋体" w:hAnsi="宋体" w:cs="宋体"/>
          <w:color w:val="auto"/>
          <w:sz w:val="24"/>
          <w:lang w:val="en-US" w:eastAsia="zh-CN"/>
        </w:rPr>
        <w:t>13958432059</w:t>
      </w:r>
    </w:p>
    <w:p w14:paraId="23BF338C">
      <w:pPr>
        <w:keepNext w:val="0"/>
        <w:keepLines w:val="0"/>
        <w:pageBreakBefore w:val="0"/>
        <w:kinsoku/>
        <w:wordWrap/>
        <w:overflowPunct/>
        <w:topLinePunct w:val="0"/>
        <w:autoSpaceDE/>
        <w:autoSpaceDN/>
        <w:bidi w:val="0"/>
        <w:spacing w:line="360" w:lineRule="auto"/>
        <w:ind w:firstLine="720" w:firstLineChars="300"/>
        <w:textAlignment w:val="auto"/>
        <w:rPr>
          <w:rFonts w:hint="default" w:ascii="宋体" w:hAnsi="宋体" w:eastAsia="宋体" w:cs="宋体"/>
          <w:color w:val="auto"/>
          <w:sz w:val="24"/>
          <w:lang w:val="en-US" w:eastAsia="zh-CN"/>
        </w:rPr>
      </w:pPr>
      <w:r>
        <w:rPr>
          <w:rFonts w:hint="eastAsia" w:ascii="宋体" w:hAnsi="宋体" w:cs="宋体"/>
          <w:color w:val="auto"/>
          <w:sz w:val="24"/>
        </w:rPr>
        <w:t>质疑联系人：</w:t>
      </w:r>
      <w:r>
        <w:rPr>
          <w:rFonts w:hint="eastAsia" w:ascii="宋体" w:hAnsi="宋体" w:cs="宋体"/>
          <w:color w:val="auto"/>
          <w:sz w:val="24"/>
          <w:lang w:val="en-US" w:eastAsia="zh-CN"/>
        </w:rPr>
        <w:t>吴先生</w:t>
      </w:r>
      <w:r>
        <w:rPr>
          <w:rFonts w:hint="eastAsia" w:ascii="宋体" w:hAnsi="宋体" w:cs="宋体"/>
          <w:color w:val="auto"/>
          <w:sz w:val="24"/>
        </w:rPr>
        <w:t xml:space="preserve">     质疑联系方式 ：</w:t>
      </w:r>
      <w:r>
        <w:rPr>
          <w:rFonts w:hint="eastAsia" w:ascii="宋体" w:hAnsi="宋体" w:cs="宋体"/>
          <w:color w:val="auto"/>
          <w:sz w:val="24"/>
          <w:lang w:val="en-US" w:eastAsia="zh-CN"/>
        </w:rPr>
        <w:t>13566982552</w:t>
      </w:r>
    </w:p>
    <w:p w14:paraId="25057FFB">
      <w:pPr>
        <w:keepNext w:val="0"/>
        <w:keepLines w:val="0"/>
        <w:pageBreakBefore w:val="0"/>
        <w:kinsoku/>
        <w:wordWrap/>
        <w:overflowPunct/>
        <w:topLinePunct w:val="0"/>
        <w:autoSpaceDE/>
        <w:autoSpaceDN/>
        <w:bidi w:val="0"/>
        <w:spacing w:line="360" w:lineRule="auto"/>
        <w:ind w:firstLine="723" w:firstLineChars="3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2.采购代理机构</w:t>
      </w:r>
      <w:bookmarkEnd w:id="5"/>
      <w:bookmarkEnd w:id="6"/>
      <w:r>
        <w:rPr>
          <w:rFonts w:hint="eastAsia" w:ascii="宋体" w:hAnsi="宋体" w:eastAsia="宋体" w:cs="宋体"/>
          <w:b/>
          <w:bCs/>
          <w:color w:val="auto"/>
          <w:sz w:val="24"/>
          <w:highlight w:val="none"/>
        </w:rPr>
        <w:t>信息</w:t>
      </w:r>
    </w:p>
    <w:p w14:paraId="50A9A5A5">
      <w:pPr>
        <w:keepNext w:val="0"/>
        <w:keepLines w:val="0"/>
        <w:pageBreakBefore w:val="0"/>
        <w:kinsoku/>
        <w:wordWrap/>
        <w:overflowPunct/>
        <w:topLinePunct w:val="0"/>
        <w:autoSpaceDE/>
        <w:autoSpaceDN/>
        <w:bidi w:val="0"/>
        <w:spacing w:line="440" w:lineRule="exact"/>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浙江衢州公信工程管理有限公司</w:t>
      </w:r>
      <w:r>
        <w:rPr>
          <w:rFonts w:hint="eastAsia" w:ascii="宋体" w:hAnsi="宋体" w:eastAsia="宋体" w:cs="宋体"/>
          <w:color w:val="auto"/>
          <w:sz w:val="24"/>
          <w:highlight w:val="none"/>
        </w:rPr>
        <w:t xml:space="preserve"> </w:t>
      </w:r>
    </w:p>
    <w:p w14:paraId="40B76FB9">
      <w:pPr>
        <w:keepNext w:val="0"/>
        <w:keepLines w:val="0"/>
        <w:pageBreakBefore w:val="0"/>
        <w:kinsoku/>
        <w:wordWrap/>
        <w:overflowPunct/>
        <w:topLinePunct w:val="0"/>
        <w:autoSpaceDE/>
        <w:autoSpaceDN/>
        <w:bidi w:val="0"/>
        <w:spacing w:line="440" w:lineRule="exact"/>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东阳市江滨南街555号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14:paraId="7519F417">
      <w:pPr>
        <w:keepNext w:val="0"/>
        <w:keepLines w:val="0"/>
        <w:pageBreakBefore w:val="0"/>
        <w:kinsoku/>
        <w:wordWrap/>
        <w:overflowPunct/>
        <w:topLinePunct w:val="0"/>
        <w:autoSpaceDE/>
        <w:autoSpaceDN/>
        <w:bidi w:val="0"/>
        <w:spacing w:line="440" w:lineRule="exact"/>
        <w:ind w:firstLine="720" w:firstLineChars="300"/>
        <w:textAlignment w:val="auto"/>
        <w:rPr>
          <w:rFonts w:hint="eastAsia" w:ascii="宋体" w:hAnsi="宋体" w:eastAsia="宋体" w:cs="宋体"/>
          <w:color w:val="auto"/>
          <w:sz w:val="24"/>
          <w:highlight w:val="none"/>
        </w:rPr>
      </w:pPr>
      <w:bookmarkStart w:id="7" w:name="_Toc28359010"/>
      <w:bookmarkStart w:id="8" w:name="_Toc28359087"/>
      <w:r>
        <w:rPr>
          <w:rFonts w:hint="eastAsia" w:ascii="宋体" w:hAnsi="宋体" w:eastAsia="宋体" w:cs="宋体"/>
          <w:color w:val="auto"/>
          <w:sz w:val="24"/>
          <w:highlight w:val="none"/>
        </w:rPr>
        <w:t>项目联系人：张先生</w:t>
      </w:r>
    </w:p>
    <w:p w14:paraId="541FFBEB">
      <w:pPr>
        <w:keepNext w:val="0"/>
        <w:keepLines w:val="0"/>
        <w:pageBreakBefore w:val="0"/>
        <w:kinsoku/>
        <w:wordWrap/>
        <w:overflowPunct/>
        <w:topLinePunct w:val="0"/>
        <w:autoSpaceDE/>
        <w:autoSpaceDN/>
        <w:bidi w:val="0"/>
        <w:spacing w:line="440" w:lineRule="exact"/>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项目联系方式：18267906178 </w:t>
      </w:r>
    </w:p>
    <w:p w14:paraId="67A4EDEC">
      <w:pPr>
        <w:keepNext w:val="0"/>
        <w:keepLines w:val="0"/>
        <w:pageBreakBefore w:val="0"/>
        <w:kinsoku/>
        <w:wordWrap/>
        <w:overflowPunct/>
        <w:topLinePunct w:val="0"/>
        <w:autoSpaceDE/>
        <w:autoSpaceDN/>
        <w:bidi w:val="0"/>
        <w:spacing w:line="440" w:lineRule="exact"/>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质疑联系人：卜先生</w:t>
      </w:r>
    </w:p>
    <w:p w14:paraId="7E48308E">
      <w:pPr>
        <w:keepNext w:val="0"/>
        <w:keepLines w:val="0"/>
        <w:pageBreakBefore w:val="0"/>
        <w:kinsoku/>
        <w:wordWrap/>
        <w:overflowPunct/>
        <w:topLinePunct w:val="0"/>
        <w:autoSpaceDE/>
        <w:autoSpaceDN/>
        <w:bidi w:val="0"/>
        <w:spacing w:line="440" w:lineRule="exact"/>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联系方式：15957956000</w:t>
      </w:r>
    </w:p>
    <w:p w14:paraId="55CA96CC">
      <w:pPr>
        <w:keepNext w:val="0"/>
        <w:keepLines w:val="0"/>
        <w:pageBreakBefore w:val="0"/>
        <w:kinsoku/>
        <w:wordWrap/>
        <w:overflowPunct/>
        <w:topLinePunct w:val="0"/>
        <w:autoSpaceDE/>
        <w:autoSpaceDN/>
        <w:bidi w:val="0"/>
        <w:spacing w:line="440" w:lineRule="exact"/>
        <w:ind w:firstLine="723" w:firstLineChars="300"/>
        <w:textAlignment w:val="auto"/>
        <w:rPr>
          <w:rFonts w:hint="eastAsia" w:ascii="宋体" w:hAnsi="宋体" w:eastAsia="宋体" w:cs="宋体"/>
          <w:color w:val="auto"/>
          <w:sz w:val="24"/>
          <w:highlight w:val="none"/>
          <w:u w:val="single"/>
        </w:rPr>
      </w:pPr>
      <w:r>
        <w:rPr>
          <w:rFonts w:hint="eastAsia" w:ascii="宋体" w:hAnsi="宋体" w:eastAsia="宋体" w:cs="宋体"/>
          <w:b/>
          <w:bCs/>
          <w:color w:val="auto"/>
          <w:sz w:val="24"/>
          <w:highlight w:val="none"/>
        </w:rPr>
        <w:t>3.</w:t>
      </w:r>
      <w:bookmarkEnd w:id="7"/>
      <w:bookmarkEnd w:id="8"/>
      <w:r>
        <w:rPr>
          <w:rFonts w:hint="eastAsia" w:ascii="宋体" w:hAnsi="宋体" w:eastAsia="宋体" w:cs="宋体"/>
          <w:b/>
          <w:bCs/>
          <w:color w:val="auto"/>
          <w:sz w:val="24"/>
          <w:highlight w:val="none"/>
        </w:rPr>
        <w:t>同级政府采购监督管理部门：</w:t>
      </w:r>
    </w:p>
    <w:p w14:paraId="320986BF">
      <w:pPr>
        <w:keepNext w:val="0"/>
        <w:keepLines w:val="0"/>
        <w:pageBreakBefore w:val="0"/>
        <w:kinsoku/>
        <w:wordWrap/>
        <w:overflowPunct/>
        <w:topLinePunct w:val="0"/>
        <w:autoSpaceDE/>
        <w:autoSpaceDN/>
        <w:bidi w:val="0"/>
        <w:spacing w:line="440" w:lineRule="exact"/>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名称：东阳市财政局采监科              地址：东阳市人民</w:t>
      </w:r>
      <w:r>
        <w:rPr>
          <w:rFonts w:hint="eastAsia" w:ascii="宋体" w:hAnsi="宋体" w:cs="宋体"/>
          <w:color w:val="auto"/>
          <w:sz w:val="24"/>
          <w:highlight w:val="none"/>
          <w:lang w:eastAsia="zh-CN"/>
        </w:rPr>
        <w:t>北</w:t>
      </w:r>
      <w:r>
        <w:rPr>
          <w:rFonts w:hint="eastAsia" w:ascii="宋体" w:hAnsi="宋体" w:eastAsia="宋体" w:cs="宋体"/>
          <w:color w:val="auto"/>
          <w:sz w:val="24"/>
          <w:highlight w:val="none"/>
        </w:rPr>
        <w:t>路8号</w:t>
      </w:r>
    </w:p>
    <w:p w14:paraId="0DA28F19">
      <w:pPr>
        <w:keepNext w:val="0"/>
        <w:keepLines w:val="0"/>
        <w:pageBreakBefore w:val="0"/>
        <w:kinsoku/>
        <w:wordWrap/>
        <w:overflowPunct/>
        <w:topLinePunct w:val="0"/>
        <w:autoSpaceDE/>
        <w:autoSpaceDN/>
        <w:bidi w:val="0"/>
        <w:spacing w:line="440" w:lineRule="exact"/>
        <w:ind w:firstLine="720" w:firstLineChars="3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监督投诉电话：0579-86662677</w:t>
      </w:r>
    </w:p>
    <w:p w14:paraId="19A66FC9">
      <w:pPr>
        <w:keepNext w:val="0"/>
        <w:keepLines w:val="0"/>
        <w:pageBreakBefore w:val="0"/>
        <w:kinsoku/>
        <w:wordWrap/>
        <w:overflowPunct/>
        <w:topLinePunct w:val="0"/>
        <w:autoSpaceDE/>
        <w:autoSpaceDN/>
        <w:bidi w:val="0"/>
        <w:snapToGrid w:val="0"/>
        <w:spacing w:line="440" w:lineRule="exact"/>
        <w:textAlignment w:val="auto"/>
        <w:rPr>
          <w:rFonts w:hint="eastAsia" w:ascii="宋体" w:hAnsi="宋体" w:eastAsia="宋体" w:cs="宋体"/>
          <w:color w:val="auto"/>
          <w:szCs w:val="24"/>
          <w:highlight w:val="none"/>
        </w:rPr>
      </w:pPr>
      <w:r>
        <w:rPr>
          <w:rFonts w:hint="eastAsia" w:ascii="宋体" w:hAnsi="宋体" w:eastAsia="宋体" w:cs="宋体"/>
          <w:b/>
          <w:color w:val="auto"/>
          <w:sz w:val="24"/>
          <w:highlight w:val="none"/>
        </w:rPr>
        <w:t xml:space="preserve">  </w:t>
      </w:r>
    </w:p>
    <w:p w14:paraId="14AFE8F0">
      <w:pPr>
        <w:keepNext w:val="0"/>
        <w:keepLines w:val="0"/>
        <w:pageBreakBefore w:val="0"/>
        <w:kinsoku/>
        <w:wordWrap/>
        <w:overflowPunct/>
        <w:topLinePunct w:val="0"/>
        <w:autoSpaceDE/>
        <w:autoSpaceDN/>
        <w:bidi w:val="0"/>
        <w:snapToGrid w:val="0"/>
        <w:spacing w:line="440" w:lineRule="exact"/>
        <w:ind w:left="5799" w:leftChars="237" w:right="198" w:hanging="5301" w:hangingChars="220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r>
        <w:rPr>
          <w:rFonts w:hint="eastAsia" w:ascii="宋体" w:hAnsi="宋体" w:cs="宋体"/>
          <w:b/>
          <w:color w:val="auto"/>
          <w:sz w:val="24"/>
          <w:highlight w:val="none"/>
          <w:lang w:eastAsia="zh-CN"/>
        </w:rPr>
        <w:t>东阳市白云街道办事处</w:t>
      </w:r>
      <w:r>
        <w:rPr>
          <w:rFonts w:hint="eastAsia" w:ascii="宋体" w:hAnsi="宋体" w:eastAsia="宋体" w:cs="宋体"/>
          <w:b/>
          <w:color w:val="auto"/>
          <w:sz w:val="24"/>
          <w:highlight w:val="none"/>
        </w:rPr>
        <w:t xml:space="preserve">                           </w:t>
      </w:r>
    </w:p>
    <w:p w14:paraId="2A1305C7">
      <w:pPr>
        <w:keepNext w:val="0"/>
        <w:keepLines w:val="0"/>
        <w:pageBreakBefore w:val="0"/>
        <w:kinsoku/>
        <w:wordWrap/>
        <w:overflowPunct/>
        <w:topLinePunct w:val="0"/>
        <w:autoSpaceDE/>
        <w:autoSpaceDN/>
        <w:bidi w:val="0"/>
        <w:snapToGrid w:val="0"/>
        <w:spacing w:line="440" w:lineRule="exact"/>
        <w:ind w:left="5799" w:leftChars="237" w:right="198" w:hanging="5301" w:hangingChars="2200"/>
        <w:jc w:val="center"/>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 xml:space="preserve">                                         </w:t>
      </w:r>
      <w:r>
        <w:rPr>
          <w:rFonts w:hint="eastAsia" w:ascii="宋体" w:hAnsi="宋体" w:cs="宋体"/>
          <w:b/>
          <w:color w:val="auto"/>
          <w:sz w:val="24"/>
          <w:highlight w:val="none"/>
          <w:lang w:eastAsia="zh-CN"/>
        </w:rPr>
        <w:t>浙江衢州公信工程管理有限公司</w:t>
      </w:r>
    </w:p>
    <w:p w14:paraId="3AD38341">
      <w:pPr>
        <w:keepNext w:val="0"/>
        <w:keepLines w:val="0"/>
        <w:pageBreakBefore w:val="0"/>
        <w:kinsoku/>
        <w:wordWrap/>
        <w:overflowPunct/>
        <w:topLinePunct w:val="0"/>
        <w:autoSpaceDE/>
        <w:autoSpaceDN/>
        <w:bidi w:val="0"/>
        <w:snapToGrid w:val="0"/>
        <w:spacing w:line="440" w:lineRule="exact"/>
        <w:ind w:right="198" w:firstLine="6505" w:firstLineChars="2700"/>
        <w:textAlignment w:val="auto"/>
        <w:rPr>
          <w:rFonts w:hint="eastAsia" w:ascii="宋体" w:hAnsi="宋体" w:eastAsia="宋体" w:cs="宋体"/>
          <w:color w:val="auto"/>
          <w:kern w:val="0"/>
          <w:sz w:val="24"/>
          <w:highlight w:val="none"/>
          <w:lang w:bidi="ar"/>
        </w:rPr>
      </w:pPr>
      <w:r>
        <w:rPr>
          <w:rFonts w:hint="eastAsia" w:ascii="宋体" w:hAnsi="宋体" w:eastAsia="宋体" w:cs="宋体"/>
          <w:b/>
          <w:color w:val="auto"/>
          <w:sz w:val="24"/>
          <w:highlight w:val="none"/>
        </w:rPr>
        <w:t>202</w:t>
      </w:r>
      <w:r>
        <w:rPr>
          <w:rFonts w:hint="eastAsia" w:ascii="宋体" w:hAnsi="宋体" w:cs="宋体"/>
          <w:b/>
          <w:color w:val="auto"/>
          <w:sz w:val="24"/>
          <w:highlight w:val="none"/>
          <w:lang w:val="en-US" w:eastAsia="zh-CN"/>
        </w:rPr>
        <w:t>4</w:t>
      </w:r>
      <w:r>
        <w:rPr>
          <w:rFonts w:hint="eastAsia" w:ascii="宋体" w:hAnsi="宋体" w:eastAsia="宋体" w:cs="宋体"/>
          <w:b/>
          <w:color w:val="auto"/>
          <w:sz w:val="24"/>
          <w:highlight w:val="none"/>
        </w:rPr>
        <w:t>年</w:t>
      </w:r>
      <w:r>
        <w:rPr>
          <w:rFonts w:hint="eastAsia" w:ascii="宋体" w:hAnsi="宋体" w:cs="宋体"/>
          <w:b/>
          <w:color w:val="auto"/>
          <w:sz w:val="24"/>
          <w:highlight w:val="none"/>
          <w:lang w:val="en-US" w:eastAsia="zh-CN"/>
        </w:rPr>
        <w:t>10</w:t>
      </w:r>
      <w:r>
        <w:rPr>
          <w:rFonts w:hint="eastAsia" w:ascii="宋体" w:hAnsi="宋体" w:eastAsia="宋体" w:cs="宋体"/>
          <w:b/>
          <w:color w:val="auto"/>
          <w:sz w:val="24"/>
          <w:highlight w:val="none"/>
        </w:rPr>
        <w:t>月</w:t>
      </w:r>
      <w:r>
        <w:rPr>
          <w:rFonts w:hint="eastAsia" w:ascii="宋体" w:hAnsi="宋体" w:cs="宋体"/>
          <w:b/>
          <w:color w:val="auto"/>
          <w:sz w:val="24"/>
          <w:highlight w:val="none"/>
          <w:lang w:val="en-US" w:eastAsia="zh-CN"/>
        </w:rPr>
        <w:t>22</w:t>
      </w:r>
      <w:r>
        <w:rPr>
          <w:rFonts w:hint="eastAsia" w:ascii="宋体" w:hAnsi="宋体" w:eastAsia="宋体" w:cs="宋体"/>
          <w:b/>
          <w:color w:val="auto"/>
          <w:sz w:val="24"/>
          <w:highlight w:val="none"/>
        </w:rPr>
        <w:t>日</w:t>
      </w:r>
    </w:p>
    <w:p w14:paraId="21145033">
      <w:pPr>
        <w:keepNext w:val="0"/>
        <w:keepLines w:val="0"/>
        <w:pageBreakBefore w:val="0"/>
        <w:kinsoku/>
        <w:wordWrap/>
        <w:overflowPunct/>
        <w:topLinePunct w:val="0"/>
        <w:autoSpaceDE/>
        <w:autoSpaceDN/>
        <w:bidi w:val="0"/>
        <w:adjustRightInd/>
        <w:snapToGrid w:val="0"/>
        <w:spacing w:line="440" w:lineRule="exact"/>
        <w:ind w:right="198"/>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若对项目采购电子交易系统操作有疑问，可登录政采云（https://www.zcygov.cn/），点击右侧咨询小采，获取采小蜜智能服务管家帮助，或拨打政采云服务热线400-881-7190获取热线服务帮助。</w:t>
      </w:r>
    </w:p>
    <w:p w14:paraId="4E6D276B">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CA问题联系电话（人工）：汇信CA 400-888-4636；天谷CA 400-087-8198。</w:t>
      </w:r>
    </w:p>
    <w:p w14:paraId="3D0D9C56">
      <w:pPr>
        <w:pStyle w:val="12"/>
        <w:pageBreakBefore/>
        <w:snapToGrid w:val="0"/>
        <w:spacing w:before="120" w:after="120" w:line="360" w:lineRule="auto"/>
        <w:jc w:val="center"/>
        <w:outlineLvl w:val="0"/>
        <w:rPr>
          <w:rFonts w:hint="eastAsia" w:ascii="宋体" w:hAnsi="宋体" w:eastAsia="宋体" w:cs="宋体"/>
          <w:b/>
          <w:color w:val="auto"/>
          <w:sz w:val="36"/>
          <w:szCs w:val="36"/>
          <w:highlight w:val="none"/>
        </w:rPr>
      </w:pPr>
      <w:bookmarkStart w:id="9" w:name="_Toc12918"/>
      <w:r>
        <w:rPr>
          <w:rFonts w:hint="eastAsia" w:ascii="宋体" w:hAnsi="宋体" w:eastAsia="宋体" w:cs="宋体"/>
          <w:b/>
          <w:color w:val="auto"/>
          <w:sz w:val="36"/>
          <w:szCs w:val="36"/>
          <w:highlight w:val="none"/>
        </w:rPr>
        <w:t>第二章  招标需求</w:t>
      </w:r>
      <w:bookmarkEnd w:id="9"/>
    </w:p>
    <w:p w14:paraId="312214DD">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Cs/>
          <w:color w:val="auto"/>
          <w:sz w:val="24"/>
          <w:lang w:val="en-US" w:eastAsia="zh-CN"/>
        </w:rPr>
      </w:pPr>
      <w:bookmarkStart w:id="10" w:name="_Toc31655"/>
      <w:r>
        <w:rPr>
          <w:rFonts w:hint="eastAsia" w:ascii="宋体" w:hAnsi="宋体" w:eastAsia="宋体" w:cs="宋体"/>
          <w:b/>
          <w:bCs/>
          <w:color w:val="auto"/>
          <w:sz w:val="24"/>
        </w:rPr>
        <w:t>一、项目编号：</w:t>
      </w:r>
      <w:r>
        <w:rPr>
          <w:rFonts w:hint="eastAsia" w:ascii="宋体" w:hAnsi="宋体" w:cs="Arial"/>
          <w:color w:val="auto"/>
          <w:sz w:val="24"/>
          <w:lang w:val="en-US" w:eastAsia="zh-CN"/>
        </w:rPr>
        <w:t>ZJQZGX2024-024</w:t>
      </w:r>
    </w:p>
    <w:p w14:paraId="4DBD5CE7">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Cs/>
          <w:color w:val="auto"/>
          <w:sz w:val="24"/>
        </w:rPr>
      </w:pPr>
      <w:r>
        <w:rPr>
          <w:rFonts w:hint="eastAsia" w:ascii="宋体" w:hAnsi="宋体" w:cs="宋体"/>
          <w:b/>
          <w:color w:val="auto"/>
          <w:sz w:val="24"/>
          <w:lang w:val="en-US" w:eastAsia="zh-CN"/>
        </w:rPr>
        <w:t>二、</w:t>
      </w:r>
      <w:r>
        <w:rPr>
          <w:rFonts w:hint="eastAsia" w:ascii="宋体" w:hAnsi="宋体" w:eastAsia="宋体" w:cs="宋体"/>
          <w:b/>
          <w:color w:val="auto"/>
          <w:sz w:val="24"/>
        </w:rPr>
        <w:t>项目名称：</w:t>
      </w:r>
      <w:r>
        <w:rPr>
          <w:rFonts w:hint="eastAsia" w:ascii="宋体" w:hAnsi="宋体" w:cs="宋体"/>
          <w:bCs/>
          <w:color w:val="auto"/>
          <w:sz w:val="24"/>
          <w:lang w:eastAsia="zh-CN"/>
        </w:rPr>
        <w:t>东阳市白云街道2024-2025年度枯死松树清理项目</w:t>
      </w:r>
    </w:p>
    <w:p w14:paraId="73EADC96">
      <w:pPr>
        <w:snapToGrid w:val="0"/>
        <w:spacing w:line="360" w:lineRule="auto"/>
        <w:outlineLvl w:val="1"/>
        <w:rPr>
          <w:rFonts w:ascii="宋体" w:hAnsi="宋体" w:cs="宋体"/>
          <w:color w:val="auto"/>
          <w:sz w:val="24"/>
        </w:rPr>
      </w:pPr>
      <w:r>
        <w:rPr>
          <w:rFonts w:hint="eastAsia" w:ascii="宋体" w:hAnsi="宋体" w:cs="宋体"/>
          <w:b/>
          <w:color w:val="auto"/>
          <w:sz w:val="24"/>
        </w:rPr>
        <w:t>三、项目</w:t>
      </w:r>
      <w:r>
        <w:rPr>
          <w:rStyle w:val="63"/>
          <w:rFonts w:hint="eastAsia" w:ascii="宋体" w:hAnsi="宋体" w:cs="宋体"/>
          <w:color w:val="auto"/>
          <w:sz w:val="24"/>
          <w:szCs w:val="24"/>
        </w:rPr>
        <w:t>采购</w:t>
      </w:r>
      <w:r>
        <w:rPr>
          <w:rFonts w:hint="eastAsia" w:ascii="宋体" w:hAnsi="宋体" w:cs="宋体"/>
          <w:b/>
          <w:bCs/>
          <w:color w:val="auto"/>
          <w:kern w:val="0"/>
          <w:sz w:val="24"/>
        </w:rPr>
        <w:t>内容清单</w:t>
      </w:r>
    </w:p>
    <w:tbl>
      <w:tblPr>
        <w:tblStyle w:val="2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5479"/>
        <w:gridCol w:w="2865"/>
      </w:tblGrid>
      <w:tr w14:paraId="41EAB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vAlign w:val="center"/>
          </w:tcPr>
          <w:p w14:paraId="61828617">
            <w:pPr>
              <w:spacing w:line="360" w:lineRule="auto"/>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序号</w:t>
            </w:r>
          </w:p>
        </w:tc>
        <w:tc>
          <w:tcPr>
            <w:tcW w:w="2951" w:type="pct"/>
            <w:vAlign w:val="center"/>
          </w:tcPr>
          <w:p w14:paraId="27162472">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采购内容</w:t>
            </w:r>
          </w:p>
        </w:tc>
        <w:tc>
          <w:tcPr>
            <w:tcW w:w="1543" w:type="pct"/>
            <w:vAlign w:val="center"/>
          </w:tcPr>
          <w:p w14:paraId="08E68DA2">
            <w:pPr>
              <w:spacing w:line="360" w:lineRule="auto"/>
              <w:ind w:firstLine="120" w:firstLineChars="50"/>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投标</w:t>
            </w:r>
            <w:r>
              <w:rPr>
                <w:rFonts w:hint="eastAsia" w:ascii="宋体" w:hAnsi="宋体" w:cs="宋体"/>
                <w:b/>
                <w:bCs/>
                <w:color w:val="auto"/>
                <w:sz w:val="24"/>
                <w:highlight w:val="none"/>
                <w:lang w:eastAsia="zh-CN"/>
              </w:rPr>
              <w:t>最高限价</w:t>
            </w:r>
          </w:p>
        </w:tc>
      </w:tr>
      <w:tr w14:paraId="5031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5" w:type="pct"/>
            <w:vAlign w:val="center"/>
          </w:tcPr>
          <w:p w14:paraId="4F1CB5B6">
            <w:pPr>
              <w:spacing w:line="24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951" w:type="pct"/>
            <w:vAlign w:val="center"/>
          </w:tcPr>
          <w:p w14:paraId="6E42E8AF">
            <w:pPr>
              <w:pStyle w:val="12"/>
              <w:snapToGrid w:val="0"/>
              <w:spacing w:beforeLines="0" w:afterLines="0" w:line="240" w:lineRule="auto"/>
              <w:jc w:val="center"/>
              <w:rPr>
                <w:rFonts w:hint="default" w:hAnsi="宋体" w:cs="宋体"/>
                <w:color w:val="auto"/>
                <w:highlight w:val="none"/>
                <w:lang w:val="en-US"/>
              </w:rPr>
            </w:pPr>
            <w:r>
              <w:rPr>
                <w:rFonts w:hint="eastAsia" w:ascii="宋体" w:hAnsi="宋体" w:cs="宋体"/>
                <w:bCs/>
                <w:color w:val="auto"/>
                <w:sz w:val="24"/>
                <w:lang w:eastAsia="zh-CN"/>
              </w:rPr>
              <w:t>白云街道辖区内枯死松木清理作业</w:t>
            </w:r>
          </w:p>
        </w:tc>
        <w:tc>
          <w:tcPr>
            <w:tcW w:w="1543" w:type="pct"/>
            <w:vAlign w:val="center"/>
          </w:tcPr>
          <w:p w14:paraId="717AA759">
            <w:pPr>
              <w:spacing w:line="240" w:lineRule="auto"/>
              <w:jc w:val="center"/>
              <w:rPr>
                <w:rFonts w:ascii="宋体" w:hAnsi="宋体" w:cs="宋体"/>
                <w:b w:val="0"/>
                <w:bCs w:val="0"/>
                <w:color w:val="auto"/>
                <w:sz w:val="24"/>
                <w:szCs w:val="24"/>
                <w:highlight w:val="none"/>
              </w:rPr>
            </w:pPr>
            <w:r>
              <w:rPr>
                <w:rFonts w:hint="eastAsia" w:hAnsi="宋体" w:cs="宋体"/>
                <w:b w:val="0"/>
                <w:bCs w:val="0"/>
                <w:color w:val="auto"/>
                <w:sz w:val="24"/>
                <w:szCs w:val="24"/>
                <w:lang w:val="en-US" w:eastAsia="zh-CN"/>
              </w:rPr>
              <w:t>950</w:t>
            </w:r>
            <w:r>
              <w:rPr>
                <w:rFonts w:hint="eastAsia" w:ascii="宋体" w:hAnsi="宋体" w:cs="Arial"/>
                <w:b w:val="0"/>
                <w:bCs w:val="0"/>
                <w:color w:val="auto"/>
                <w:sz w:val="24"/>
                <w:szCs w:val="24"/>
              </w:rPr>
              <w:t>元/吨</w:t>
            </w:r>
          </w:p>
        </w:tc>
      </w:tr>
    </w:tbl>
    <w:p w14:paraId="0578AEAB">
      <w:pPr>
        <w:keepNext w:val="0"/>
        <w:keepLines w:val="0"/>
        <w:pageBreakBefore w:val="0"/>
        <w:widowControl w:val="0"/>
        <w:kinsoku/>
        <w:wordWrap/>
        <w:overflowPunct/>
        <w:topLinePunct w:val="0"/>
        <w:autoSpaceDE/>
        <w:autoSpaceDN/>
        <w:bidi w:val="0"/>
        <w:snapToGrid w:val="0"/>
        <w:spacing w:line="360" w:lineRule="auto"/>
        <w:textAlignment w:val="auto"/>
        <w:outlineLvl w:val="1"/>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四</w:t>
      </w:r>
      <w:r>
        <w:rPr>
          <w:rFonts w:hint="eastAsia" w:ascii="宋体" w:hAnsi="宋体" w:eastAsia="宋体" w:cs="宋体"/>
          <w:b/>
          <w:color w:val="auto"/>
          <w:sz w:val="24"/>
          <w:szCs w:val="24"/>
        </w:rPr>
        <w:t>、项目</w:t>
      </w:r>
      <w:r>
        <w:rPr>
          <w:rFonts w:hint="eastAsia" w:ascii="宋体" w:hAnsi="宋体" w:eastAsia="宋体" w:cs="宋体"/>
          <w:b/>
          <w:bCs/>
          <w:color w:val="auto"/>
          <w:sz w:val="24"/>
          <w:szCs w:val="24"/>
        </w:rPr>
        <w:t>概况</w:t>
      </w:r>
    </w:p>
    <w:p w14:paraId="0036D365">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（1）</w:t>
      </w:r>
      <w:r>
        <w:rPr>
          <w:rFonts w:hint="eastAsia" w:ascii="宋体" w:hAnsi="宋体" w:eastAsia="宋体" w:cs="宋体"/>
          <w:color w:val="auto"/>
          <w:sz w:val="24"/>
          <w:szCs w:val="24"/>
          <w:shd w:val="clear" w:color="auto" w:fill="FFFFFF"/>
        </w:rPr>
        <w:t>自然地理条件</w:t>
      </w:r>
    </w:p>
    <w:p w14:paraId="5A9FD2EA">
      <w:pPr>
        <w:pStyle w:val="60"/>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东阳市地处浙江省中部、金衢盆地东侧，地理位置处东经120°05′--120°44′，北纬28°58′--29°30′间，全市土地总面积262.02万亩，现有耕地面积36万亩。本市属中亚热带季风气候，兼有盆地性小气候特征。季风交替显著，四季分明，光照较多，热量较优，雨量充沛，空气湿润。年平均温度17℃，极端最低温度-13.1℃，极端最高温度40.3℃,年平均降水量1316mm，年平均日照2002小时，无霜期239天。土壤以香灰土、紫砂土、红壤土等土质为主，土壤深厚，肥力较高。</w:t>
      </w:r>
    </w:p>
    <w:p w14:paraId="57DFA8AE">
      <w:pPr>
        <w:pStyle w:val="60"/>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）规范松树枯死木清理工作，有效遏制松树线虫病蔓延，确保东阳森林生态安全，根据《浙江省松材线虫病防治条例》、《松材线虫病疫区和疫木管理办法》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《松材线虫病</w:t>
      </w:r>
      <w:r>
        <w:rPr>
          <w:rFonts w:hint="eastAsia" w:ascii="宋体" w:hAnsi="宋体" w:eastAsia="宋体" w:cs="宋体"/>
          <w:color w:val="auto"/>
          <w:sz w:val="24"/>
          <w:szCs w:val="24"/>
          <w:lang w:eastAsia="zh-CN"/>
        </w:rPr>
        <w:t>防治技术方案（</w:t>
      </w:r>
      <w:r>
        <w:rPr>
          <w:rFonts w:hint="eastAsia" w:ascii="宋体" w:hAnsi="宋体" w:eastAsia="宋体" w:cs="宋体"/>
          <w:color w:val="auto"/>
          <w:sz w:val="24"/>
          <w:szCs w:val="24"/>
          <w:lang w:val="en-US" w:eastAsia="zh-CN"/>
        </w:rPr>
        <w:t>2022年版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林生发</w:t>
      </w:r>
      <w:r>
        <w:rPr>
          <w:rFonts w:hint="eastAsia" w:ascii="宋体" w:hAnsi="宋体" w:eastAsia="宋体" w:cs="宋体"/>
          <w:color w:val="auto"/>
          <w:sz w:val="24"/>
          <w:szCs w:val="24"/>
          <w:lang w:val="en-US" w:eastAsia="zh-CN"/>
        </w:rPr>
        <w:t>〔2022〕94号)</w:t>
      </w:r>
      <w:r>
        <w:rPr>
          <w:rFonts w:hint="eastAsia" w:ascii="宋体" w:hAnsi="宋体" w:eastAsia="宋体" w:cs="宋体"/>
          <w:color w:val="auto"/>
          <w:sz w:val="24"/>
          <w:szCs w:val="24"/>
        </w:rPr>
        <w:t>，持续202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年度的</w:t>
      </w:r>
      <w:r>
        <w:rPr>
          <w:rFonts w:hint="eastAsia" w:ascii="宋体" w:hAnsi="宋体" w:eastAsia="宋体" w:cs="宋体"/>
          <w:color w:val="auto"/>
          <w:sz w:val="24"/>
          <w:szCs w:val="24"/>
          <w:shd w:val="clear" w:color="auto" w:fill="FFFFFF"/>
          <w:lang w:eastAsia="zh-CN"/>
        </w:rPr>
        <w:t>白云街道</w:t>
      </w:r>
      <w:r>
        <w:rPr>
          <w:rFonts w:hint="eastAsia" w:ascii="宋体" w:hAnsi="宋体" w:eastAsia="宋体" w:cs="宋体"/>
          <w:color w:val="auto"/>
          <w:sz w:val="24"/>
          <w:szCs w:val="24"/>
        </w:rPr>
        <w:t>全域范围清理。</w:t>
      </w:r>
    </w:p>
    <w:p w14:paraId="3555F78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五</w:t>
      </w:r>
      <w:r>
        <w:rPr>
          <w:rFonts w:hint="eastAsia" w:ascii="宋体" w:hAnsi="宋体" w:eastAsia="宋体" w:cs="宋体"/>
          <w:b/>
          <w:color w:val="auto"/>
          <w:sz w:val="24"/>
          <w:szCs w:val="24"/>
        </w:rPr>
        <w:t>、实施内容及范围</w:t>
      </w:r>
    </w:p>
    <w:p w14:paraId="44B37FD7">
      <w:pPr>
        <w:pStyle w:val="60"/>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采用择伐</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方式，</w:t>
      </w:r>
      <w:r>
        <w:rPr>
          <w:rFonts w:hint="eastAsia" w:ascii="宋体" w:hAnsi="宋体" w:eastAsia="宋体" w:cs="宋体"/>
          <w:color w:val="auto"/>
          <w:sz w:val="24"/>
          <w:szCs w:val="24"/>
          <w:lang w:val="en-US" w:eastAsia="zh-CN"/>
        </w:rPr>
        <w:t>在规定期限</w:t>
      </w:r>
      <w:r>
        <w:rPr>
          <w:rFonts w:hint="eastAsia" w:ascii="宋体" w:hAnsi="宋体" w:eastAsia="宋体" w:cs="宋体"/>
          <w:color w:val="auto"/>
          <w:sz w:val="24"/>
          <w:szCs w:val="24"/>
        </w:rPr>
        <w:t>对约定范围内所有病死（枯死、濒死）</w:t>
      </w:r>
      <w:r>
        <w:rPr>
          <w:rFonts w:hint="eastAsia" w:ascii="宋体" w:hAnsi="宋体" w:eastAsia="宋体" w:cs="宋体"/>
          <w:color w:val="auto"/>
          <w:sz w:val="24"/>
          <w:szCs w:val="24"/>
          <w:lang w:val="en-US" w:eastAsia="zh-CN"/>
        </w:rPr>
        <w:t>和因</w:t>
      </w:r>
      <w:r>
        <w:rPr>
          <w:rFonts w:hint="eastAsia" w:ascii="宋体" w:hAnsi="宋体" w:eastAsia="宋体" w:cs="宋体"/>
          <w:color w:val="auto"/>
          <w:sz w:val="24"/>
          <w:szCs w:val="24"/>
          <w:lang w:eastAsia="zh-CN"/>
        </w:rPr>
        <w:t>干旱、风折、雪压、火烧等死亡的</w:t>
      </w:r>
      <w:r>
        <w:rPr>
          <w:rFonts w:hint="eastAsia" w:ascii="宋体" w:hAnsi="宋体" w:eastAsia="宋体" w:cs="宋体"/>
          <w:color w:val="auto"/>
          <w:sz w:val="24"/>
          <w:szCs w:val="24"/>
        </w:rPr>
        <w:t>松树进行</w:t>
      </w:r>
      <w:r>
        <w:rPr>
          <w:rFonts w:hint="eastAsia" w:ascii="宋体" w:hAnsi="宋体" w:eastAsia="宋体" w:cs="宋体"/>
          <w:color w:val="auto"/>
          <w:sz w:val="24"/>
          <w:szCs w:val="24"/>
          <w:lang w:val="en-US" w:eastAsia="zh-CN"/>
        </w:rPr>
        <w:t>除治</w:t>
      </w:r>
      <w:r>
        <w:rPr>
          <w:rFonts w:hint="eastAsia" w:ascii="宋体" w:hAnsi="宋体" w:eastAsia="宋体" w:cs="宋体"/>
          <w:color w:val="auto"/>
          <w:sz w:val="24"/>
          <w:szCs w:val="24"/>
        </w:rPr>
        <w:t>，并对伐除的</w:t>
      </w:r>
      <w:r>
        <w:rPr>
          <w:rFonts w:hint="eastAsia" w:ascii="宋体" w:hAnsi="宋体" w:eastAsia="宋体" w:cs="宋体"/>
          <w:color w:val="auto"/>
          <w:sz w:val="24"/>
          <w:szCs w:val="24"/>
          <w:lang w:val="en-US" w:eastAsia="zh-CN"/>
        </w:rPr>
        <w:t>松木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清理的枝桠</w:t>
      </w:r>
      <w:r>
        <w:rPr>
          <w:rFonts w:hint="eastAsia" w:ascii="宋体" w:hAnsi="宋体" w:eastAsia="宋体" w:cs="宋体"/>
          <w:color w:val="auto"/>
          <w:sz w:val="24"/>
          <w:szCs w:val="24"/>
          <w:lang w:val="en-US" w:eastAsia="zh-CN"/>
        </w:rPr>
        <w:t>以及伐桩</w:t>
      </w:r>
      <w:r>
        <w:rPr>
          <w:rFonts w:hint="eastAsia" w:ascii="宋体" w:hAnsi="宋体" w:eastAsia="宋体" w:cs="宋体"/>
          <w:color w:val="auto"/>
          <w:sz w:val="24"/>
          <w:szCs w:val="24"/>
        </w:rPr>
        <w:t>进行管理、处理。</w:t>
      </w:r>
    </w:p>
    <w:p w14:paraId="18B0BACA">
      <w:pPr>
        <w:pStyle w:val="60"/>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jc w:val="lef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cs="宋体"/>
          <w:color w:val="auto"/>
          <w:sz w:val="24"/>
          <w:szCs w:val="24"/>
          <w:shd w:val="clear" w:color="auto" w:fill="FFFFFF"/>
          <w:lang w:val="en-US" w:eastAsia="zh-CN"/>
        </w:rPr>
        <w:t>施工</w:t>
      </w:r>
      <w:r>
        <w:rPr>
          <w:rFonts w:hint="eastAsia" w:ascii="宋体" w:hAnsi="宋体" w:eastAsia="宋体" w:cs="宋体"/>
          <w:color w:val="auto"/>
          <w:sz w:val="24"/>
          <w:szCs w:val="24"/>
          <w:shd w:val="clear" w:color="auto" w:fill="FFFFFF"/>
        </w:rPr>
        <w:t>范围：</w:t>
      </w:r>
      <w:r>
        <w:rPr>
          <w:rFonts w:hint="eastAsia" w:ascii="宋体" w:hAnsi="宋体" w:eastAsia="宋体" w:cs="宋体"/>
          <w:color w:val="auto"/>
          <w:sz w:val="24"/>
          <w:szCs w:val="24"/>
          <w:shd w:val="clear" w:color="auto" w:fill="FFFFFF"/>
          <w:lang w:eastAsia="zh-CN"/>
        </w:rPr>
        <w:t>东阳市白云街道</w:t>
      </w:r>
      <w:r>
        <w:rPr>
          <w:rFonts w:hint="eastAsia" w:ascii="宋体" w:hAnsi="宋体" w:eastAsia="宋体" w:cs="宋体"/>
          <w:color w:val="auto"/>
          <w:sz w:val="24"/>
          <w:szCs w:val="24"/>
          <w:shd w:val="clear" w:color="auto" w:fill="FFFFFF"/>
        </w:rPr>
        <w:t>辖区范围。</w:t>
      </w:r>
    </w:p>
    <w:p w14:paraId="3405BEE9">
      <w:pPr>
        <w:pStyle w:val="60"/>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jc w:val="lef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2、清理除治对象：</w:t>
      </w:r>
      <w:r>
        <w:rPr>
          <w:rFonts w:hint="eastAsia" w:ascii="宋体" w:hAnsi="宋体" w:eastAsia="宋体" w:cs="宋体"/>
          <w:color w:val="auto"/>
          <w:sz w:val="24"/>
          <w:szCs w:val="24"/>
        </w:rPr>
        <w:t>范围内所有病死（枯死、濒死）</w:t>
      </w:r>
      <w:r>
        <w:rPr>
          <w:rFonts w:hint="eastAsia" w:ascii="宋体" w:hAnsi="宋体" w:eastAsia="宋体" w:cs="宋体"/>
          <w:color w:val="auto"/>
          <w:sz w:val="24"/>
          <w:szCs w:val="24"/>
          <w:lang w:val="en-US" w:eastAsia="zh-CN"/>
        </w:rPr>
        <w:t>和因</w:t>
      </w:r>
      <w:r>
        <w:rPr>
          <w:rFonts w:hint="eastAsia" w:ascii="宋体" w:hAnsi="宋体" w:eastAsia="宋体" w:cs="宋体"/>
          <w:color w:val="auto"/>
          <w:sz w:val="24"/>
          <w:szCs w:val="24"/>
          <w:lang w:eastAsia="zh-CN"/>
        </w:rPr>
        <w:t>干旱、风折、雪压、火烧等死亡的</w:t>
      </w:r>
      <w:r>
        <w:rPr>
          <w:rFonts w:hint="eastAsia" w:ascii="宋体" w:hAnsi="宋体" w:eastAsia="宋体" w:cs="宋体"/>
          <w:color w:val="auto"/>
          <w:sz w:val="24"/>
          <w:szCs w:val="24"/>
        </w:rPr>
        <w:t>松树。</w:t>
      </w:r>
    </w:p>
    <w:p w14:paraId="458B025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六、</w:t>
      </w:r>
      <w:r>
        <w:rPr>
          <w:rFonts w:hint="eastAsia" w:ascii="宋体" w:hAnsi="宋体" w:eastAsia="宋体" w:cs="宋体"/>
          <w:b/>
          <w:color w:val="auto"/>
          <w:sz w:val="24"/>
          <w:szCs w:val="24"/>
        </w:rPr>
        <w:t>清理技术要求</w:t>
      </w:r>
    </w:p>
    <w:p w14:paraId="25F73CA7">
      <w:pPr>
        <w:pStyle w:val="60"/>
        <w:keepNext w:val="0"/>
        <w:keepLines w:val="0"/>
        <w:pageBreakBefore w:val="0"/>
        <w:widowControl w:val="0"/>
        <w:kinsoku/>
        <w:wordWrap/>
        <w:overflowPunct/>
        <w:topLinePunct w:val="0"/>
        <w:autoSpaceDE/>
        <w:autoSpaceDN/>
        <w:bidi w:val="0"/>
        <w:snapToGrid w:val="0"/>
        <w:spacing w:before="0" w:beforeLines="0" w:after="0" w:afterLines="0" w:line="360" w:lineRule="auto"/>
        <w:ind w:firstLine="56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清理范围内枯死松树清理率达到100％，清理质量要求严格执行《松材线虫病防治技术方案（2022年版）》相关规定，并按要求运用“数字森防”APP上传除治数据：</w:t>
      </w:r>
    </w:p>
    <w:p w14:paraId="736BDBD8">
      <w:pPr>
        <w:pStyle w:val="60"/>
        <w:keepNext w:val="0"/>
        <w:keepLines w:val="0"/>
        <w:pageBreakBefore w:val="0"/>
        <w:widowControl w:val="0"/>
        <w:kinsoku/>
        <w:wordWrap/>
        <w:overflowPunct/>
        <w:topLinePunct w:val="0"/>
        <w:autoSpaceDE/>
        <w:autoSpaceDN/>
        <w:bidi w:val="0"/>
        <w:snapToGrid w:val="0"/>
        <w:spacing w:before="0" w:beforeLines="0" w:after="0" w:afterLines="0" w:line="360" w:lineRule="auto"/>
        <w:ind w:firstLine="56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（1）伐桩处理：对疫木伐除后，伐桩最高处上坡度面的高度不得超过5cm；疫木伐除后，按照《松材线虫病防治技术方案（2022年版）》相关规定处理。</w:t>
      </w:r>
    </w:p>
    <w:p w14:paraId="47813E9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枝桠处理：除治山场范围内，清理收集所有直径大于1cm的病死（病死、不明原因枯死、濒死）和其他原因（确认由干旱、风折、雪压、火烧、环剥等）致死的松树枝桠，随疫木主干运到指定的疫木定点加工企业进行除害处理，或就近采取粉碎、烧毁等除害措施。</w:t>
      </w:r>
      <w:r>
        <w:rPr>
          <w:rFonts w:hint="eastAsia" w:ascii="宋体" w:hAnsi="宋体" w:eastAsia="宋体" w:cs="宋体"/>
          <w:color w:val="auto"/>
          <w:sz w:val="24"/>
          <w:szCs w:val="24"/>
        </w:rPr>
        <w:t>采取其它处理方式的，须征得松材线虫病预防指挥部办公室同意后执行。</w:t>
      </w:r>
    </w:p>
    <w:p w14:paraId="5B09D1D8">
      <w:pPr>
        <w:pStyle w:val="60"/>
        <w:keepNext w:val="0"/>
        <w:keepLines w:val="0"/>
        <w:pageBreakBefore w:val="0"/>
        <w:widowControl w:val="0"/>
        <w:kinsoku/>
        <w:wordWrap/>
        <w:overflowPunct/>
        <w:topLinePunct w:val="0"/>
        <w:autoSpaceDE/>
        <w:autoSpaceDN/>
        <w:bidi w:val="0"/>
        <w:snapToGrid w:val="0"/>
        <w:spacing w:before="0" w:beforeLines="0" w:after="0" w:afterLines="0" w:line="360" w:lineRule="auto"/>
        <w:ind w:firstLine="56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（3）疫木处理：伐除的松木必须当天下山，运到指定的疫木定点企业进行安全除害处理，或就近采取粉碎、烧毁等除害措施。加强对疫木的监管，造成疫木人为流失的，按有关法律规定追究相关责任。</w:t>
      </w:r>
    </w:p>
    <w:p w14:paraId="0DDCAFAD">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）中标供应商在进场前，要把清理队伍人员和要进入的山场告知采购人，经采购人同意，才可进场清理。清理完工后，由中标供应商自检合格后提出验收的申请，采购人组织相关人员按验收标准及时进行验收。</w:t>
      </w:r>
    </w:p>
    <w:p w14:paraId="393997EB">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）施工方要做好施工档案记载，施工照片（施工前、施工中、施工后，同一地点为佳），施工记录，疫木的流向、数量（双签字、双称重）等</w:t>
      </w:r>
      <w:r>
        <w:rPr>
          <w:rFonts w:hint="eastAsia" w:ascii="宋体" w:hAnsi="宋体" w:eastAsia="宋体" w:cs="宋体"/>
          <w:color w:val="auto"/>
          <w:sz w:val="24"/>
          <w:szCs w:val="24"/>
          <w:lang w:eastAsia="zh-CN"/>
        </w:rPr>
        <w:t>均通过</w:t>
      </w:r>
      <w:r>
        <w:rPr>
          <w:rFonts w:hint="eastAsia" w:ascii="宋体" w:hAnsi="宋体" w:eastAsia="宋体" w:cs="宋体"/>
          <w:color w:val="auto"/>
          <w:kern w:val="2"/>
          <w:sz w:val="24"/>
          <w:szCs w:val="24"/>
          <w:lang w:val="en-US" w:eastAsia="zh-CN" w:bidi="ar-SA"/>
        </w:rPr>
        <w:t>“数字森防”APP上传施工除治数据</w:t>
      </w:r>
      <w:r>
        <w:rPr>
          <w:rFonts w:hint="eastAsia" w:ascii="宋体" w:hAnsi="宋体" w:eastAsia="宋体" w:cs="宋体"/>
          <w:color w:val="auto"/>
          <w:sz w:val="24"/>
          <w:szCs w:val="24"/>
        </w:rPr>
        <w:t>。</w:t>
      </w:r>
    </w:p>
    <w:p w14:paraId="64F927E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）无病害的松树或在砍伐枯死松树时受损的松树，一律不得砍伐。如因特殊原因，无法按以上规定方法清理的，应报告相关部门，经程序审批完成后按其他方式进行处理。</w:t>
      </w:r>
    </w:p>
    <w:p w14:paraId="76996D4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其他：采伐过程中，严禁砍伐活立木。</w:t>
      </w:r>
    </w:p>
    <w:p w14:paraId="170DBEC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szCs w:val="24"/>
        </w:rPr>
      </w:pPr>
      <w:r>
        <w:rPr>
          <w:rFonts w:hint="eastAsia" w:ascii="宋体" w:hAnsi="宋体" w:cs="宋体"/>
          <w:b/>
          <w:color w:val="auto"/>
          <w:sz w:val="24"/>
          <w:szCs w:val="24"/>
          <w:lang w:val="en-US" w:eastAsia="zh-CN"/>
        </w:rPr>
        <w:t>七</w:t>
      </w:r>
      <w:r>
        <w:rPr>
          <w:rFonts w:hint="eastAsia" w:ascii="宋体" w:hAnsi="宋体" w:eastAsia="宋体" w:cs="宋体"/>
          <w:b/>
          <w:color w:val="auto"/>
          <w:sz w:val="24"/>
          <w:szCs w:val="24"/>
        </w:rPr>
        <w:t>、</w:t>
      </w:r>
      <w:r>
        <w:rPr>
          <w:rFonts w:hint="eastAsia" w:ascii="宋体" w:hAnsi="宋体" w:eastAsia="宋体" w:cs="宋体"/>
          <w:b/>
          <w:bCs/>
          <w:color w:val="auto"/>
          <w:sz w:val="24"/>
          <w:szCs w:val="24"/>
        </w:rPr>
        <w:t>商务及其他要求</w:t>
      </w:r>
    </w:p>
    <w:p w14:paraId="19459C63">
      <w:pPr>
        <w:keepNext w:val="0"/>
        <w:keepLines w:val="0"/>
        <w:pageBreakBefore w:val="0"/>
        <w:widowControl w:val="0"/>
        <w:kinsoku/>
        <w:wordWrap/>
        <w:overflowPunct/>
        <w:topLinePunct w:val="0"/>
        <w:autoSpaceDE/>
        <w:autoSpaceDN/>
        <w:bidi w:val="0"/>
        <w:adjustRightInd/>
        <w:snapToGrid w:val="0"/>
        <w:spacing w:line="360" w:lineRule="auto"/>
        <w:ind w:firstLine="424" w:firstLineChars="176"/>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（一）投标单价</w:t>
      </w:r>
    </w:p>
    <w:p w14:paraId="75281AC8">
      <w:pPr>
        <w:pStyle w:val="60"/>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24" w:firstLineChars="177"/>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1、本项目报价为综合单价：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吨）。清理重量实现两次过磅，即甲方定点公平秤过磅一次，送定点加工企业再过磅一次。结算重量以两次过磅的低值为准（提供甲方定点公平秤称重点与加工企业过磅单据及电子小票）。为防止疫木流失，两次过磅重量不得超过有效误差范围（≤200公斤），否则本车次重量作废处理，不计入重量结算。</w:t>
      </w:r>
    </w:p>
    <w:p w14:paraId="650F0127">
      <w:pPr>
        <w:pStyle w:val="60"/>
        <w:keepNext w:val="0"/>
        <w:keepLines w:val="0"/>
        <w:pageBreakBefore w:val="0"/>
        <w:widowControl w:val="0"/>
        <w:kinsoku/>
        <w:wordWrap/>
        <w:overflowPunct/>
        <w:topLinePunct w:val="0"/>
        <w:autoSpaceDE/>
        <w:autoSpaceDN/>
        <w:bidi w:val="0"/>
        <w:snapToGrid w:val="0"/>
        <w:spacing w:before="0" w:beforeLines="0" w:after="0" w:afterLines="0" w:line="360" w:lineRule="auto"/>
        <w:ind w:firstLine="424" w:firstLineChars="177"/>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2、项目资金结算：本年度集中清理时段产生的资金、本年度清理整改时段产生的资金与本年度</w:t>
      </w:r>
      <w:r>
        <w:rPr>
          <w:rFonts w:hint="eastAsia" w:ascii="宋体" w:hAnsi="宋体" w:eastAsia="宋体" w:cs="宋体"/>
          <w:color w:val="auto"/>
          <w:sz w:val="24"/>
          <w:szCs w:val="24"/>
          <w:lang w:eastAsia="zh-CN"/>
        </w:rPr>
        <w:t>即现即清</w:t>
      </w:r>
      <w:r>
        <w:rPr>
          <w:rFonts w:hint="eastAsia" w:ascii="宋体" w:hAnsi="宋体" w:eastAsia="宋体" w:cs="宋体"/>
          <w:color w:val="auto"/>
          <w:sz w:val="24"/>
          <w:szCs w:val="24"/>
        </w:rPr>
        <w:t>时段产生的资金之和为项目结算资金。集中清理</w:t>
      </w:r>
      <w:r>
        <w:rPr>
          <w:rFonts w:hint="eastAsia" w:ascii="宋体" w:hAnsi="宋体" w:eastAsia="宋体" w:cs="宋体"/>
          <w:color w:val="auto"/>
          <w:sz w:val="24"/>
          <w:szCs w:val="24"/>
          <w:lang w:eastAsia="zh-CN"/>
        </w:rPr>
        <w:t>时</w:t>
      </w:r>
      <w:r>
        <w:rPr>
          <w:rFonts w:hint="eastAsia" w:ascii="宋体" w:hAnsi="宋体" w:eastAsia="宋体" w:cs="宋体"/>
          <w:color w:val="auto"/>
          <w:sz w:val="24"/>
          <w:szCs w:val="24"/>
        </w:rPr>
        <w:t>段补助单价为中标单价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（元/吨）；</w:t>
      </w:r>
      <w:r>
        <w:rPr>
          <w:rFonts w:hint="eastAsia" w:ascii="宋体" w:hAnsi="宋体" w:eastAsia="宋体" w:cs="宋体"/>
          <w:color w:val="auto"/>
          <w:sz w:val="24"/>
          <w:szCs w:val="24"/>
          <w:highlight w:val="none"/>
        </w:rPr>
        <w:t>清理整改</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rPr>
        <w:t>段补助单价为中标单价下浮</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个点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（元/吨）；</w:t>
      </w:r>
      <w:r>
        <w:rPr>
          <w:rFonts w:hint="eastAsia" w:ascii="宋体" w:hAnsi="宋体" w:eastAsia="宋体" w:cs="宋体"/>
          <w:color w:val="auto"/>
          <w:sz w:val="24"/>
          <w:szCs w:val="24"/>
          <w:highlight w:val="none"/>
          <w:lang w:eastAsia="zh-CN"/>
        </w:rPr>
        <w:t>即现即清时</w:t>
      </w:r>
      <w:r>
        <w:rPr>
          <w:rFonts w:hint="eastAsia" w:ascii="宋体" w:hAnsi="宋体" w:eastAsia="宋体" w:cs="宋体"/>
          <w:color w:val="auto"/>
          <w:sz w:val="24"/>
          <w:szCs w:val="24"/>
          <w:highlight w:val="none"/>
        </w:rPr>
        <w:t>段补助单价为中标单价下浮</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个点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（元/吨）</w:t>
      </w:r>
      <w:r>
        <w:rPr>
          <w:rFonts w:hint="eastAsia" w:ascii="宋体" w:hAnsi="宋体" w:eastAsia="宋体" w:cs="宋体"/>
          <w:color w:val="auto"/>
          <w:sz w:val="24"/>
          <w:szCs w:val="24"/>
          <w:highlight w:val="none"/>
        </w:rPr>
        <w:t>。</w:t>
      </w:r>
    </w:p>
    <w:p w14:paraId="01DA8118">
      <w:pPr>
        <w:pStyle w:val="60"/>
        <w:keepNext w:val="0"/>
        <w:keepLines w:val="0"/>
        <w:pageBreakBefore w:val="0"/>
        <w:widowControl w:val="0"/>
        <w:kinsoku/>
        <w:wordWrap/>
        <w:overflowPunct/>
        <w:topLinePunct w:val="0"/>
        <w:autoSpaceDE/>
        <w:autoSpaceDN/>
        <w:bidi w:val="0"/>
        <w:snapToGrid w:val="0"/>
        <w:spacing w:before="0" w:beforeLines="0" w:after="0" w:afterLines="0" w:line="360" w:lineRule="auto"/>
        <w:ind w:firstLine="424" w:firstLineChars="177"/>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3、投标人的投标报价，应包含完成本项目任务中所列招标范围的全部内容，投标人应按本招标文件及招标人提供的技术资料进行报价，任何有选择的报价将不予接受。</w:t>
      </w:r>
    </w:p>
    <w:p w14:paraId="1E175D2B">
      <w:pPr>
        <w:pStyle w:val="60"/>
        <w:keepNext w:val="0"/>
        <w:keepLines w:val="0"/>
        <w:pageBreakBefore w:val="0"/>
        <w:widowControl w:val="0"/>
        <w:kinsoku/>
        <w:wordWrap/>
        <w:overflowPunct/>
        <w:topLinePunct w:val="0"/>
        <w:autoSpaceDE/>
        <w:autoSpaceDN/>
        <w:bidi w:val="0"/>
        <w:snapToGrid w:val="0"/>
        <w:spacing w:before="0" w:beforeLines="0" w:after="0" w:afterLines="0" w:line="360" w:lineRule="auto"/>
        <w:ind w:left="0" w:leftChars="0" w:firstLine="480" w:firstLineChars="200"/>
        <w:jc w:val="left"/>
        <w:textAlignment w:val="auto"/>
        <w:rPr>
          <w:rFonts w:hint="eastAsia" w:ascii="宋体" w:hAnsi="宋体" w:eastAsia="宋体" w:cs="宋体"/>
          <w:b/>
          <w:color w:val="auto"/>
          <w:sz w:val="24"/>
          <w:szCs w:val="24"/>
        </w:rPr>
      </w:pPr>
      <w:r>
        <w:rPr>
          <w:rFonts w:hint="eastAsia" w:ascii="宋体" w:hAnsi="宋体" w:cs="宋体"/>
          <w:color w:val="auto"/>
          <w:sz w:val="24"/>
          <w:szCs w:val="24"/>
        </w:rPr>
        <w:t>▲</w:t>
      </w:r>
      <w:r>
        <w:rPr>
          <w:rFonts w:hint="eastAsia" w:ascii="宋体" w:hAnsi="宋体" w:eastAsia="宋体" w:cs="宋体"/>
          <w:b/>
          <w:color w:val="auto"/>
          <w:sz w:val="24"/>
          <w:szCs w:val="24"/>
        </w:rPr>
        <w:t>最终结算资金=三个清理时段有效误差内两次过磅重量数值的低值（换算成吨）×三个清理时段对应单价（元/吨) ×合格率（按面积计算合格率）</w:t>
      </w:r>
    </w:p>
    <w:p w14:paraId="06C9A69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color w:val="auto"/>
          <w:sz w:val="24"/>
          <w:szCs w:val="24"/>
        </w:rPr>
      </w:pPr>
      <w:r>
        <w:rPr>
          <w:rFonts w:hint="eastAsia" w:ascii="宋体" w:hAnsi="宋体" w:cs="宋体"/>
          <w:color w:val="auto"/>
          <w:sz w:val="24"/>
          <w:szCs w:val="24"/>
        </w:rPr>
        <w:t>▲</w:t>
      </w:r>
      <w:r>
        <w:rPr>
          <w:rFonts w:hint="eastAsia" w:ascii="宋体" w:hAnsi="宋体" w:eastAsia="宋体" w:cs="宋体"/>
          <w:b/>
          <w:color w:val="auto"/>
          <w:sz w:val="24"/>
          <w:szCs w:val="24"/>
        </w:rPr>
        <w:t>投标报价是履行合同的最终价格，本项目报价采用综合</w:t>
      </w:r>
      <w:r>
        <w:rPr>
          <w:rFonts w:hint="eastAsia" w:ascii="宋体" w:hAnsi="宋体" w:eastAsia="宋体" w:cs="宋体"/>
          <w:b/>
          <w:color w:val="auto"/>
          <w:sz w:val="24"/>
          <w:szCs w:val="24"/>
        </w:rPr>
        <w:t>单价（除人工费用外，还应包括本次项目实施所需的设备及物资、运费、装卸费、税费、利润、采伐监管费、保险费、政策性文件规定及合同包含的所有风险、责任等全部费用。政策性文件规定及合同包含的所有风险、责任等各项应有费用均应考虑在内。结算时由成交单位开具</w:t>
      </w:r>
      <w:r>
        <w:rPr>
          <w:rFonts w:hint="eastAsia" w:ascii="宋体" w:hAnsi="宋体" w:eastAsia="宋体" w:cs="宋体"/>
          <w:b/>
          <w:color w:val="auto"/>
          <w:sz w:val="24"/>
          <w:szCs w:val="24"/>
        </w:rPr>
        <w:t>正式发票。投标人在报价时应充分考虑各种风险，除合同条款规定的内容外，价格将不予调整。</w:t>
      </w:r>
    </w:p>
    <w:p w14:paraId="7E804534">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合同签订</w:t>
      </w:r>
    </w:p>
    <w:p w14:paraId="79CF137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中标单位在收到《中标通知书》后20日内与甲方签订合同。</w:t>
      </w:r>
    </w:p>
    <w:p w14:paraId="234CCDAD">
      <w:pPr>
        <w:keepNext w:val="0"/>
        <w:keepLines w:val="0"/>
        <w:pageBreakBefore w:val="0"/>
        <w:widowControl w:val="0"/>
        <w:kinsoku/>
        <w:wordWrap/>
        <w:overflowPunct/>
        <w:topLinePunct w:val="0"/>
        <w:autoSpaceDE/>
        <w:autoSpaceDN/>
        <w:bidi w:val="0"/>
        <w:adjustRightInd/>
        <w:spacing w:line="360" w:lineRule="auto"/>
        <w:ind w:firstLine="424" w:firstLineChars="176"/>
        <w:textAlignment w:val="auto"/>
        <w:rPr>
          <w:rFonts w:hint="eastAsia" w:ascii="宋体" w:hAnsi="宋体" w:eastAsia="宋体" w:cs="宋体"/>
          <w:b/>
          <w:bCs/>
          <w:color w:val="auto"/>
          <w:sz w:val="24"/>
          <w:szCs w:val="24"/>
          <w:lang w:bidi="ar"/>
        </w:rPr>
      </w:pPr>
      <w:r>
        <w:rPr>
          <w:rFonts w:hint="eastAsia" w:ascii="宋体" w:hAnsi="宋体" w:eastAsia="宋体" w:cs="宋体"/>
          <w:b/>
          <w:bCs/>
          <w:color w:val="auto"/>
          <w:sz w:val="24"/>
          <w:szCs w:val="24"/>
          <w:lang w:bidi="ar"/>
        </w:rPr>
        <w:t>（</w:t>
      </w:r>
      <w:r>
        <w:rPr>
          <w:rFonts w:hint="eastAsia" w:ascii="宋体" w:hAnsi="宋体" w:eastAsia="宋体" w:cs="宋体"/>
          <w:b/>
          <w:bCs/>
          <w:color w:val="auto"/>
          <w:sz w:val="24"/>
          <w:szCs w:val="24"/>
          <w:lang w:eastAsia="zh-CN" w:bidi="ar"/>
        </w:rPr>
        <w:t>三</w:t>
      </w:r>
      <w:r>
        <w:rPr>
          <w:rFonts w:hint="eastAsia" w:ascii="宋体" w:hAnsi="宋体" w:eastAsia="宋体" w:cs="宋体"/>
          <w:b/>
          <w:bCs/>
          <w:color w:val="auto"/>
          <w:sz w:val="24"/>
          <w:szCs w:val="24"/>
          <w:lang w:bidi="ar"/>
        </w:rPr>
        <w:t>）付款方式</w:t>
      </w:r>
    </w:p>
    <w:p w14:paraId="61D2192D">
      <w:pPr>
        <w:pStyle w:val="60"/>
        <w:keepNext w:val="0"/>
        <w:keepLines w:val="0"/>
        <w:pageBreakBefore w:val="0"/>
        <w:widowControl w:val="0"/>
        <w:kinsoku/>
        <w:wordWrap/>
        <w:overflowPunct/>
        <w:topLinePunct w:val="0"/>
        <w:autoSpaceDE/>
        <w:autoSpaceDN/>
        <w:bidi w:val="0"/>
        <w:snapToGrid w:val="0"/>
        <w:spacing w:before="0" w:beforeLines="0" w:after="0" w:afterLines="0"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合同生效后7个工作日内支付合同金额</w:t>
      </w:r>
      <w:r>
        <w:rPr>
          <w:rFonts w:hint="eastAsia" w:ascii="宋体" w:hAnsi="宋体" w:eastAsia="宋体" w:cs="宋体"/>
          <w:color w:val="auto"/>
          <w:sz w:val="24"/>
          <w:szCs w:val="24"/>
        </w:rPr>
        <w:t>的</w:t>
      </w:r>
      <w:r>
        <w:rPr>
          <w:rFonts w:hint="eastAsia" w:ascii="宋体" w:hAnsi="宋体" w:cs="宋体"/>
          <w:color w:val="auto"/>
          <w:sz w:val="24"/>
          <w:szCs w:val="24"/>
          <w:lang w:val="en-US" w:eastAsia="zh-CN"/>
        </w:rPr>
        <w:t>40</w:t>
      </w:r>
      <w:r>
        <w:rPr>
          <w:rFonts w:hint="eastAsia" w:ascii="宋体" w:hAnsi="宋体" w:eastAsia="宋体" w:cs="宋体"/>
          <w:color w:val="auto"/>
          <w:sz w:val="24"/>
          <w:szCs w:val="24"/>
        </w:rPr>
        <w:t>%作</w:t>
      </w:r>
      <w:r>
        <w:rPr>
          <w:rFonts w:hint="eastAsia" w:ascii="宋体" w:hAnsi="宋体" w:eastAsia="宋体" w:cs="宋体"/>
          <w:color w:val="auto"/>
          <w:sz w:val="24"/>
          <w:szCs w:val="24"/>
        </w:rPr>
        <w:t>为项目的预付款；在项目完工并经由市松材线虫病防治指挥部办公室委托的第三方单位进行核验，市松材线虫病防治指挥部办公室进行核查</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结合实际清理重量</w:t>
      </w:r>
      <w:bookmarkStart w:id="111" w:name="_GoBack"/>
      <w:bookmarkEnd w:id="111"/>
      <w:r>
        <w:rPr>
          <w:rFonts w:hint="eastAsia" w:ascii="宋体" w:hAnsi="宋体" w:eastAsia="宋体" w:cs="宋体"/>
          <w:color w:val="auto"/>
          <w:sz w:val="24"/>
          <w:szCs w:val="24"/>
          <w:lang w:eastAsia="zh-CN"/>
        </w:rPr>
        <w:t>和合格率</w:t>
      </w:r>
      <w:r>
        <w:rPr>
          <w:rFonts w:hint="eastAsia" w:ascii="宋体" w:hAnsi="宋体" w:eastAsia="宋体" w:cs="宋体"/>
          <w:color w:val="auto"/>
          <w:sz w:val="24"/>
          <w:szCs w:val="24"/>
        </w:rPr>
        <w:t>，由财政局和林业局统一支付剩余合同最终结算金额；中标方根据支付金额提供正规税务发票。</w:t>
      </w:r>
    </w:p>
    <w:p w14:paraId="00BA4F39">
      <w:pPr>
        <w:pStyle w:val="60"/>
        <w:keepNext w:val="0"/>
        <w:keepLines w:val="0"/>
        <w:pageBreakBefore w:val="0"/>
        <w:widowControl w:val="0"/>
        <w:kinsoku/>
        <w:wordWrap/>
        <w:overflowPunct/>
        <w:topLinePunct w:val="0"/>
        <w:autoSpaceDE/>
        <w:autoSpaceDN/>
        <w:bidi w:val="0"/>
        <w:snapToGrid w:val="0"/>
        <w:spacing w:before="0" w:beforeLines="0" w:after="0" w:afterLines="0" w:line="360" w:lineRule="auto"/>
        <w:ind w:firstLine="48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四</w:t>
      </w:r>
      <w:r>
        <w:rPr>
          <w:rFonts w:hint="eastAsia" w:ascii="宋体" w:hAnsi="宋体" w:eastAsia="宋体" w:cs="宋体"/>
          <w:b/>
          <w:bCs/>
          <w:color w:val="auto"/>
          <w:sz w:val="24"/>
          <w:szCs w:val="24"/>
        </w:rPr>
        <w:t>）履约保证金</w:t>
      </w:r>
    </w:p>
    <w:p w14:paraId="7A11B29B">
      <w:pPr>
        <w:pStyle w:val="60"/>
        <w:keepNext w:val="0"/>
        <w:keepLines w:val="0"/>
        <w:pageBreakBefore w:val="0"/>
        <w:widowControl w:val="0"/>
        <w:kinsoku/>
        <w:wordWrap/>
        <w:overflowPunct/>
        <w:topLinePunct w:val="0"/>
        <w:autoSpaceDE/>
        <w:autoSpaceDN/>
        <w:bidi w:val="0"/>
        <w:snapToGrid w:val="0"/>
        <w:spacing w:before="0" w:beforeLines="0" w:after="0" w:afterLines="0"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（1）中标人按要求签订合同后缴于用户单位支付方式为保函或汇款(保函可以在“政采云”平台线上申请)，履约保证金为中标价的1%（无息）</w:t>
      </w:r>
    </w:p>
    <w:p w14:paraId="15AE23AA">
      <w:pPr>
        <w:pStyle w:val="60"/>
        <w:keepNext w:val="0"/>
        <w:keepLines w:val="0"/>
        <w:pageBreakBefore w:val="0"/>
        <w:widowControl w:val="0"/>
        <w:kinsoku/>
        <w:wordWrap/>
        <w:overflowPunct/>
        <w:topLinePunct w:val="0"/>
        <w:autoSpaceDE/>
        <w:autoSpaceDN/>
        <w:bidi w:val="0"/>
        <w:snapToGrid w:val="0"/>
        <w:spacing w:before="0" w:beforeLines="0" w:after="0" w:afterLines="0"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（2）签订合同后，如中标人不按双方合同约定履约，则没收其全部履约保证金，履约保证金不足以赔偿损失的，按实际损失赔偿。</w:t>
      </w:r>
    </w:p>
    <w:p w14:paraId="5AA4C69D">
      <w:pPr>
        <w:pStyle w:val="60"/>
        <w:keepNext w:val="0"/>
        <w:keepLines w:val="0"/>
        <w:pageBreakBefore w:val="0"/>
        <w:widowControl w:val="0"/>
        <w:kinsoku/>
        <w:wordWrap/>
        <w:overflowPunct/>
        <w:topLinePunct w:val="0"/>
        <w:autoSpaceDE/>
        <w:autoSpaceDN/>
        <w:bidi w:val="0"/>
        <w:snapToGrid w:val="0"/>
        <w:spacing w:before="0" w:beforeLines="0" w:after="0" w:afterLines="0"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（3）履约保证金1%在项目验收结束后十五日内退还；</w:t>
      </w:r>
    </w:p>
    <w:p w14:paraId="6D50CAF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lang w:eastAsia="zh-CN" w:bidi="ar"/>
        </w:rPr>
      </w:pPr>
      <w:r>
        <w:rPr>
          <w:rFonts w:hint="eastAsia" w:ascii="宋体" w:hAnsi="宋体" w:eastAsia="宋体" w:cs="宋体"/>
          <w:b/>
          <w:color w:val="auto"/>
          <w:sz w:val="24"/>
          <w:szCs w:val="24"/>
          <w:lang w:eastAsia="zh-CN" w:bidi="ar"/>
        </w:rPr>
        <w:t>（</w:t>
      </w:r>
      <w:r>
        <w:rPr>
          <w:rFonts w:hint="eastAsia" w:ascii="宋体" w:hAnsi="宋体" w:cs="宋体"/>
          <w:b/>
          <w:color w:val="auto"/>
          <w:sz w:val="24"/>
          <w:szCs w:val="24"/>
          <w:lang w:val="en-US" w:eastAsia="zh-CN" w:bidi="ar"/>
        </w:rPr>
        <w:t>五</w:t>
      </w:r>
      <w:r>
        <w:rPr>
          <w:rFonts w:hint="eastAsia" w:ascii="宋体" w:hAnsi="宋体" w:eastAsia="宋体" w:cs="宋体"/>
          <w:b/>
          <w:color w:val="auto"/>
          <w:sz w:val="24"/>
          <w:szCs w:val="24"/>
          <w:lang w:eastAsia="zh-CN" w:bidi="ar"/>
        </w:rPr>
        <w:t>）项目实施期限</w:t>
      </w:r>
    </w:p>
    <w:p w14:paraId="0F938F5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集中清理阶段：202</w:t>
      </w: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年11月至202</w:t>
      </w: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年3月31日，</w:t>
      </w:r>
      <w:r>
        <w:rPr>
          <w:rFonts w:hint="eastAsia" w:ascii="宋体" w:hAnsi="宋体" w:eastAsia="宋体" w:cs="宋体"/>
          <w:color w:val="auto"/>
          <w:sz w:val="24"/>
          <w:szCs w:val="24"/>
          <w:lang w:eastAsia="zh-CN"/>
        </w:rPr>
        <w:t>东阳市白云街道</w:t>
      </w:r>
      <w:r>
        <w:rPr>
          <w:rFonts w:hint="eastAsia" w:ascii="宋体" w:hAnsi="宋体" w:eastAsia="宋体" w:cs="宋体"/>
          <w:color w:val="auto"/>
          <w:sz w:val="24"/>
          <w:szCs w:val="24"/>
        </w:rPr>
        <w:t>辖区</w:t>
      </w:r>
      <w:r>
        <w:rPr>
          <w:rFonts w:hint="eastAsia" w:ascii="宋体" w:hAnsi="宋体" w:eastAsia="宋体" w:cs="宋体"/>
          <w:color w:val="auto"/>
          <w:kern w:val="2"/>
          <w:sz w:val="24"/>
          <w:szCs w:val="24"/>
          <w:lang w:val="en-US" w:eastAsia="zh-CN" w:bidi="ar-SA"/>
        </w:rPr>
        <w:t>范围内所有病死（病死、不明原因枯死、濒死）和其他原因（确认由干旱、风折、雪压、火烧、环剥等）的松树，除治其主干、枝桠和伐桩；清理整改阶段：202</w:t>
      </w: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年4月1日至202</w:t>
      </w: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年4月30日；即现即清阶段：202</w:t>
      </w: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年5月1日至202</w:t>
      </w: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年9月30日，辖区范围内集中除治结束后，施工范围内所有新发生病死（病死、不明原因枯死、濒死）等松树及其枝桠，对新发现的死树，在三天内完成除治。服务地点：</w:t>
      </w:r>
      <w:r>
        <w:rPr>
          <w:rFonts w:hint="eastAsia" w:ascii="宋体" w:hAnsi="宋体" w:eastAsia="宋体" w:cs="宋体"/>
          <w:color w:val="auto"/>
          <w:sz w:val="24"/>
          <w:szCs w:val="24"/>
          <w:lang w:eastAsia="zh-CN"/>
        </w:rPr>
        <w:t>东阳市白云街道</w:t>
      </w:r>
      <w:r>
        <w:rPr>
          <w:rFonts w:hint="eastAsia" w:ascii="宋体" w:hAnsi="宋体" w:eastAsia="宋体" w:cs="宋体"/>
          <w:color w:val="auto"/>
          <w:sz w:val="24"/>
          <w:szCs w:val="24"/>
        </w:rPr>
        <w:t>辖区</w:t>
      </w:r>
      <w:r>
        <w:rPr>
          <w:rFonts w:hint="eastAsia" w:ascii="宋体" w:hAnsi="宋体" w:eastAsia="宋体" w:cs="宋体"/>
          <w:color w:val="auto"/>
          <w:kern w:val="2"/>
          <w:sz w:val="24"/>
          <w:szCs w:val="24"/>
          <w:lang w:val="en-US" w:eastAsia="zh-CN" w:bidi="ar-SA"/>
        </w:rPr>
        <w:t>（业主指定地点）。</w:t>
      </w:r>
    </w:p>
    <w:p w14:paraId="37AA87E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lang w:bidi="ar"/>
        </w:rPr>
      </w:pPr>
      <w:bookmarkStart w:id="11" w:name="_Toc486423876"/>
      <w:bookmarkStart w:id="12" w:name="_Toc494558345"/>
      <w:bookmarkStart w:id="13" w:name="_Toc493955950"/>
      <w:r>
        <w:rPr>
          <w:rFonts w:hint="eastAsia" w:ascii="宋体" w:hAnsi="宋体" w:eastAsia="宋体" w:cs="宋体"/>
          <w:b/>
          <w:color w:val="auto"/>
          <w:sz w:val="24"/>
          <w:szCs w:val="24"/>
          <w:lang w:eastAsia="zh-CN" w:bidi="ar"/>
        </w:rPr>
        <w:t>（</w:t>
      </w:r>
      <w:r>
        <w:rPr>
          <w:rFonts w:hint="eastAsia" w:ascii="宋体" w:hAnsi="宋体" w:cs="宋体"/>
          <w:b/>
          <w:color w:val="auto"/>
          <w:sz w:val="24"/>
          <w:szCs w:val="24"/>
          <w:lang w:val="en-US" w:eastAsia="zh-CN" w:bidi="ar"/>
        </w:rPr>
        <w:t>六</w:t>
      </w:r>
      <w:r>
        <w:rPr>
          <w:rFonts w:hint="eastAsia" w:ascii="宋体" w:hAnsi="宋体" w:eastAsia="宋体" w:cs="宋体"/>
          <w:b/>
          <w:color w:val="auto"/>
          <w:sz w:val="24"/>
          <w:szCs w:val="24"/>
          <w:lang w:eastAsia="zh-CN" w:bidi="ar"/>
        </w:rPr>
        <w:t>）</w:t>
      </w:r>
      <w:r>
        <w:rPr>
          <w:rFonts w:hint="eastAsia" w:ascii="宋体" w:hAnsi="宋体" w:eastAsia="宋体" w:cs="宋体"/>
          <w:b/>
          <w:color w:val="auto"/>
          <w:sz w:val="24"/>
          <w:szCs w:val="24"/>
          <w:lang w:bidi="ar"/>
        </w:rPr>
        <w:t>验收</w:t>
      </w:r>
      <w:bookmarkEnd w:id="11"/>
      <w:bookmarkEnd w:id="12"/>
      <w:bookmarkEnd w:id="13"/>
    </w:p>
    <w:p w14:paraId="47C72370">
      <w:pPr>
        <w:pStyle w:val="60"/>
        <w:keepNext w:val="0"/>
        <w:keepLines w:val="0"/>
        <w:pageBreakBefore w:val="0"/>
        <w:widowControl w:val="0"/>
        <w:kinsoku/>
        <w:wordWrap/>
        <w:overflowPunct/>
        <w:topLinePunct w:val="0"/>
        <w:autoSpaceDE/>
        <w:autoSpaceDN/>
        <w:bidi w:val="0"/>
        <w:snapToGrid w:val="0"/>
        <w:spacing w:before="0" w:beforeLines="0" w:after="0" w:afterLines="0"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根据《浙江省松材线虫病防治条例》、《松材线虫病疫区和疫木管理办法》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《松材线虫病</w:t>
      </w:r>
      <w:r>
        <w:rPr>
          <w:rFonts w:hint="eastAsia" w:ascii="宋体" w:hAnsi="宋体" w:eastAsia="宋体" w:cs="宋体"/>
          <w:color w:val="auto"/>
          <w:sz w:val="24"/>
          <w:szCs w:val="24"/>
          <w:lang w:eastAsia="zh-CN"/>
        </w:rPr>
        <w:t>防治技术方案（</w:t>
      </w:r>
      <w:r>
        <w:rPr>
          <w:rFonts w:hint="eastAsia" w:ascii="宋体" w:hAnsi="宋体" w:eastAsia="宋体" w:cs="宋体"/>
          <w:color w:val="auto"/>
          <w:sz w:val="24"/>
          <w:szCs w:val="24"/>
          <w:lang w:val="en-US" w:eastAsia="zh-CN"/>
        </w:rPr>
        <w:t>2022年版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》等有关法规和文件，按照松材线虫病防治技术规程对</w:t>
      </w:r>
      <w:r>
        <w:rPr>
          <w:rFonts w:hint="eastAsia" w:ascii="宋体" w:hAnsi="宋体" w:eastAsia="宋体" w:cs="宋体"/>
          <w:color w:val="auto"/>
          <w:sz w:val="24"/>
          <w:szCs w:val="24"/>
          <w:lang w:eastAsia="zh-CN"/>
        </w:rPr>
        <w:t>枯</w:t>
      </w:r>
      <w:r>
        <w:rPr>
          <w:rFonts w:hint="eastAsia" w:ascii="宋体" w:hAnsi="宋体" w:eastAsia="宋体" w:cs="宋体"/>
          <w:color w:val="auto"/>
          <w:sz w:val="24"/>
          <w:szCs w:val="24"/>
        </w:rPr>
        <w:t>死</w:t>
      </w:r>
      <w:r>
        <w:rPr>
          <w:rFonts w:hint="eastAsia" w:ascii="宋体" w:hAnsi="宋体" w:eastAsia="宋体" w:cs="宋体"/>
          <w:color w:val="auto"/>
          <w:sz w:val="24"/>
          <w:szCs w:val="24"/>
          <w:lang w:eastAsia="zh-CN"/>
        </w:rPr>
        <w:t>松</w:t>
      </w:r>
      <w:r>
        <w:rPr>
          <w:rFonts w:hint="eastAsia" w:ascii="宋体" w:hAnsi="宋体" w:eastAsia="宋体" w:cs="宋体"/>
          <w:color w:val="auto"/>
          <w:sz w:val="24"/>
          <w:szCs w:val="24"/>
        </w:rPr>
        <w:t>树的清理进行验收。</w:t>
      </w:r>
    </w:p>
    <w:p w14:paraId="477AFB28">
      <w:pPr>
        <w:pStyle w:val="60"/>
        <w:keepNext w:val="0"/>
        <w:keepLines w:val="0"/>
        <w:pageBreakBefore w:val="0"/>
        <w:widowControl w:val="0"/>
        <w:kinsoku/>
        <w:wordWrap/>
        <w:overflowPunct/>
        <w:topLinePunct w:val="0"/>
        <w:autoSpaceDE/>
        <w:autoSpaceDN/>
        <w:bidi w:val="0"/>
        <w:snapToGrid w:val="0"/>
        <w:spacing w:before="0" w:beforeLines="0" w:after="0" w:afterLines="0"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1．验收程序</w:t>
      </w:r>
    </w:p>
    <w:p w14:paraId="34E3F897">
      <w:pPr>
        <w:pStyle w:val="60"/>
        <w:keepNext w:val="0"/>
        <w:keepLines w:val="0"/>
        <w:pageBreakBefore w:val="0"/>
        <w:widowControl w:val="0"/>
        <w:kinsoku/>
        <w:wordWrap/>
        <w:overflowPunct/>
        <w:topLinePunct w:val="0"/>
        <w:autoSpaceDE/>
        <w:autoSpaceDN/>
        <w:bidi w:val="0"/>
        <w:snapToGrid w:val="0"/>
        <w:spacing w:before="0" w:beforeLines="0" w:after="0" w:afterLines="0"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作业片区清理完成后，施工单位先进行自检，报镇乡街道核查，核查合格后申请市松材线虫病防治指挥部办公室委托的第三方单位进行核验，验收不合格的，按</w:t>
      </w:r>
      <w:r>
        <w:rPr>
          <w:rFonts w:hint="eastAsia" w:ascii="宋体" w:hAnsi="宋体" w:eastAsia="宋体" w:cs="宋体"/>
          <w:color w:val="auto"/>
          <w:sz w:val="24"/>
          <w:szCs w:val="24"/>
          <w:lang w:eastAsia="zh-CN"/>
        </w:rPr>
        <w:t>合格率</w:t>
      </w:r>
      <w:r>
        <w:rPr>
          <w:rFonts w:hint="eastAsia" w:ascii="宋体" w:hAnsi="宋体" w:eastAsia="宋体" w:cs="宋体"/>
          <w:color w:val="auto"/>
          <w:sz w:val="24"/>
          <w:szCs w:val="24"/>
        </w:rPr>
        <w:t>百分比，</w:t>
      </w:r>
      <w:r>
        <w:rPr>
          <w:rFonts w:hint="eastAsia" w:ascii="宋体" w:hAnsi="宋体" w:eastAsia="宋体" w:cs="宋体"/>
          <w:color w:val="auto"/>
          <w:sz w:val="24"/>
          <w:szCs w:val="24"/>
          <w:lang w:eastAsia="zh-CN"/>
        </w:rPr>
        <w:t>进行</w:t>
      </w:r>
      <w:r>
        <w:rPr>
          <w:rFonts w:hint="eastAsia" w:ascii="宋体" w:hAnsi="宋体" w:eastAsia="宋体" w:cs="宋体"/>
          <w:color w:val="auto"/>
          <w:sz w:val="24"/>
          <w:szCs w:val="24"/>
        </w:rPr>
        <w:t>补助</w:t>
      </w:r>
      <w:r>
        <w:rPr>
          <w:rFonts w:hint="eastAsia" w:ascii="宋体" w:hAnsi="宋体" w:eastAsia="宋体" w:cs="宋体"/>
          <w:color w:val="auto"/>
          <w:sz w:val="24"/>
          <w:szCs w:val="24"/>
          <w:lang w:eastAsia="zh-CN"/>
        </w:rPr>
        <w:t>资金的结算</w:t>
      </w:r>
      <w:r>
        <w:rPr>
          <w:rFonts w:hint="eastAsia" w:ascii="宋体" w:hAnsi="宋体" w:eastAsia="宋体" w:cs="宋体"/>
          <w:color w:val="auto"/>
          <w:sz w:val="24"/>
          <w:szCs w:val="24"/>
        </w:rPr>
        <w:t>，清理质量合格</w:t>
      </w:r>
      <w:r>
        <w:rPr>
          <w:rFonts w:hint="eastAsia" w:ascii="宋体" w:hAnsi="宋体" w:eastAsia="宋体" w:cs="宋体"/>
          <w:color w:val="auto"/>
          <w:sz w:val="24"/>
          <w:szCs w:val="24"/>
          <w:lang w:eastAsia="zh-CN"/>
        </w:rPr>
        <w:t>率</w:t>
      </w:r>
      <w:r>
        <w:rPr>
          <w:rFonts w:hint="eastAsia" w:ascii="宋体" w:hAnsi="宋体" w:eastAsia="宋体" w:cs="宋体"/>
          <w:color w:val="auto"/>
          <w:sz w:val="24"/>
          <w:szCs w:val="24"/>
        </w:rPr>
        <w:t>低于</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0%的中标单位及项目负责人上报财政采购办列入黑名单。</w:t>
      </w:r>
    </w:p>
    <w:p w14:paraId="35830225">
      <w:pPr>
        <w:pStyle w:val="60"/>
        <w:keepNext w:val="0"/>
        <w:keepLines w:val="0"/>
        <w:pageBreakBefore w:val="0"/>
        <w:widowControl w:val="0"/>
        <w:kinsoku/>
        <w:wordWrap/>
        <w:overflowPunct/>
        <w:topLinePunct w:val="0"/>
        <w:autoSpaceDE/>
        <w:autoSpaceDN/>
        <w:bidi w:val="0"/>
        <w:snapToGrid w:val="0"/>
        <w:spacing w:before="0" w:beforeLines="0" w:after="0" w:afterLines="0"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2．验收方法</w:t>
      </w:r>
    </w:p>
    <w:p w14:paraId="7467EC67">
      <w:pPr>
        <w:pStyle w:val="60"/>
        <w:keepNext w:val="0"/>
        <w:keepLines w:val="0"/>
        <w:pageBreakBefore w:val="0"/>
        <w:widowControl w:val="0"/>
        <w:kinsoku/>
        <w:wordWrap/>
        <w:overflowPunct/>
        <w:topLinePunct w:val="0"/>
        <w:autoSpaceDE/>
        <w:autoSpaceDN/>
        <w:bidi w:val="0"/>
        <w:snapToGrid w:val="0"/>
        <w:spacing w:before="0" w:beforeLines="0" w:after="0" w:afterLines="0" w:line="360" w:lineRule="auto"/>
        <w:ind w:firstLine="48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按照枯死松树清理检查验收内容及标准对所有小班进行验收，踏查要求在可视范围内无枯死松木</w:t>
      </w:r>
      <w:r>
        <w:rPr>
          <w:rFonts w:hint="eastAsia" w:ascii="宋体" w:hAnsi="宋体" w:eastAsia="宋体" w:cs="宋体"/>
          <w:color w:val="auto"/>
          <w:sz w:val="24"/>
          <w:szCs w:val="24"/>
          <w:lang w:eastAsia="zh-CN"/>
        </w:rPr>
        <w:t>；并对“数字森防”</w:t>
      </w:r>
      <w:r>
        <w:rPr>
          <w:rFonts w:hint="eastAsia" w:ascii="宋体" w:hAnsi="宋体" w:eastAsia="宋体" w:cs="宋体"/>
          <w:color w:val="auto"/>
          <w:sz w:val="24"/>
          <w:szCs w:val="24"/>
          <w:lang w:val="en-US" w:eastAsia="zh-CN"/>
        </w:rPr>
        <w:t>APP内上传的数据真实性进行核查。</w:t>
      </w:r>
    </w:p>
    <w:p w14:paraId="2AB659FC">
      <w:pPr>
        <w:pStyle w:val="60"/>
        <w:keepNext w:val="0"/>
        <w:keepLines w:val="0"/>
        <w:pageBreakBefore w:val="0"/>
        <w:widowControl w:val="0"/>
        <w:kinsoku/>
        <w:wordWrap/>
        <w:overflowPunct/>
        <w:topLinePunct w:val="0"/>
        <w:autoSpaceDE/>
        <w:autoSpaceDN/>
        <w:bidi w:val="0"/>
        <w:snapToGrid w:val="0"/>
        <w:spacing w:before="0" w:beforeLines="0" w:after="0" w:afterLines="0"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3、枯死松树清理检查验收内容及标准</w:t>
      </w:r>
    </w:p>
    <w:p w14:paraId="1A0B8EF2">
      <w:pPr>
        <w:pStyle w:val="60"/>
        <w:keepNext w:val="0"/>
        <w:keepLines w:val="0"/>
        <w:pageBreakBefore w:val="0"/>
        <w:widowControl w:val="0"/>
        <w:kinsoku/>
        <w:wordWrap/>
        <w:overflowPunct/>
        <w:topLinePunct w:val="0"/>
        <w:autoSpaceDE/>
        <w:autoSpaceDN/>
        <w:bidi w:val="0"/>
        <w:snapToGrid w:val="0"/>
        <w:spacing w:before="0" w:beforeLines="0" w:after="0" w:afterLines="0"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(1)整体状况：现场查看有无枯死松树遗留在清理现场，清点株数或按比例测算，验收按10分制计，超过5%的扣除 1分，依此类推；</w:t>
      </w:r>
    </w:p>
    <w:p w14:paraId="6067C199">
      <w:pPr>
        <w:pStyle w:val="60"/>
        <w:keepNext w:val="0"/>
        <w:keepLines w:val="0"/>
        <w:pageBreakBefore w:val="0"/>
        <w:widowControl w:val="0"/>
        <w:kinsoku/>
        <w:wordWrap/>
        <w:overflowPunct/>
        <w:topLinePunct w:val="0"/>
        <w:autoSpaceDE/>
        <w:autoSpaceDN/>
        <w:bidi w:val="0"/>
        <w:snapToGrid w:val="0"/>
        <w:spacing w:before="0" w:beforeLines="0" w:after="0" w:afterLines="0"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伐</w:t>
      </w:r>
      <w:r>
        <w:rPr>
          <w:rFonts w:hint="eastAsia" w:ascii="宋体" w:hAnsi="宋体" w:eastAsia="宋体" w:cs="宋体"/>
          <w:color w:val="auto"/>
          <w:sz w:val="24"/>
          <w:szCs w:val="24"/>
        </w:rPr>
        <w:t>桩</w:t>
      </w:r>
      <w:r>
        <w:rPr>
          <w:rFonts w:hint="eastAsia" w:ascii="宋体" w:hAnsi="宋体" w:eastAsia="宋体" w:cs="宋体"/>
          <w:color w:val="auto"/>
          <w:sz w:val="24"/>
          <w:szCs w:val="24"/>
          <w:lang w:eastAsia="zh-CN"/>
        </w:rPr>
        <w:t>高度</w:t>
      </w:r>
      <w:r>
        <w:rPr>
          <w:rFonts w:hint="eastAsia" w:ascii="宋体" w:hAnsi="宋体" w:eastAsia="宋体" w:cs="宋体"/>
          <w:color w:val="auto"/>
          <w:sz w:val="24"/>
          <w:szCs w:val="24"/>
        </w:rPr>
        <w:t>情况：实地检查山场</w:t>
      </w:r>
      <w:r>
        <w:rPr>
          <w:rFonts w:hint="eastAsia" w:ascii="宋体" w:hAnsi="宋体" w:eastAsia="宋体" w:cs="宋体"/>
          <w:color w:val="auto"/>
          <w:sz w:val="24"/>
          <w:szCs w:val="24"/>
          <w:lang w:eastAsia="zh-CN"/>
        </w:rPr>
        <w:t>伐</w:t>
      </w:r>
      <w:r>
        <w:rPr>
          <w:rFonts w:hint="eastAsia" w:ascii="宋体" w:hAnsi="宋体" w:eastAsia="宋体" w:cs="宋体"/>
          <w:color w:val="auto"/>
          <w:sz w:val="24"/>
          <w:szCs w:val="24"/>
        </w:rPr>
        <w:t>桩</w:t>
      </w:r>
      <w:r>
        <w:rPr>
          <w:rFonts w:hint="eastAsia" w:ascii="宋体" w:hAnsi="宋体" w:eastAsia="宋体" w:cs="宋体"/>
          <w:color w:val="auto"/>
          <w:sz w:val="24"/>
          <w:szCs w:val="24"/>
          <w:lang w:eastAsia="zh-CN"/>
        </w:rPr>
        <w:t>高度</w:t>
      </w:r>
      <w:r>
        <w:rPr>
          <w:rFonts w:hint="eastAsia" w:ascii="宋体" w:hAnsi="宋体" w:eastAsia="宋体" w:cs="宋体"/>
          <w:color w:val="auto"/>
          <w:sz w:val="24"/>
          <w:szCs w:val="24"/>
        </w:rPr>
        <w:t>情况，伐根高度（斜坡按上坡位计）是否在5cm以下，验收按10分制计，超过5%的扣除 1分，依此类推。</w:t>
      </w:r>
    </w:p>
    <w:p w14:paraId="43078892">
      <w:pPr>
        <w:pStyle w:val="60"/>
        <w:keepNext w:val="0"/>
        <w:keepLines w:val="0"/>
        <w:pageBreakBefore w:val="0"/>
        <w:widowControl w:val="0"/>
        <w:kinsoku/>
        <w:wordWrap/>
        <w:overflowPunct/>
        <w:topLinePunct w:val="0"/>
        <w:autoSpaceDE/>
        <w:autoSpaceDN/>
        <w:bidi w:val="0"/>
        <w:snapToGrid w:val="0"/>
        <w:spacing w:before="0" w:beforeLines="0" w:after="0" w:afterLines="0"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(3)树头清理情况：实地检查山场枝桠清理残留情况，有无树干、树头、大的枝条残留，验收按10分制计，超过5%的扣除 1分，依此类推。</w:t>
      </w:r>
    </w:p>
    <w:p w14:paraId="344E05FA">
      <w:pPr>
        <w:pStyle w:val="60"/>
        <w:keepNext w:val="0"/>
        <w:keepLines w:val="0"/>
        <w:pageBreakBefore w:val="0"/>
        <w:widowControl w:val="0"/>
        <w:kinsoku/>
        <w:wordWrap/>
        <w:overflowPunct/>
        <w:topLinePunct w:val="0"/>
        <w:autoSpaceDE/>
        <w:autoSpaceDN/>
        <w:bidi w:val="0"/>
        <w:snapToGrid w:val="0"/>
        <w:spacing w:before="0" w:beforeLines="0" w:after="0" w:afterLines="0"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(4)枝条清理情况：实地检查山场枝桠清理残留情况，有无1㎝以上的枝条残留，验收按10分制计，超过5%的扣除 1分。</w:t>
      </w:r>
    </w:p>
    <w:p w14:paraId="2F102130">
      <w:pPr>
        <w:pStyle w:val="60"/>
        <w:keepNext w:val="0"/>
        <w:keepLines w:val="0"/>
        <w:pageBreakBefore w:val="0"/>
        <w:widowControl w:val="0"/>
        <w:kinsoku/>
        <w:wordWrap/>
        <w:overflowPunct/>
        <w:topLinePunct w:val="0"/>
        <w:autoSpaceDE/>
        <w:autoSpaceDN/>
        <w:bidi w:val="0"/>
        <w:snapToGrid w:val="0"/>
        <w:spacing w:before="0" w:beforeLines="0" w:after="0" w:afterLines="0"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(5)死松树流向：对照镇乡林业站登记情况，对清理下山死松树的流向进行检查，是否按规定运往定点加工企业，运往何地及数量。</w:t>
      </w:r>
    </w:p>
    <w:p w14:paraId="6CA3CB65">
      <w:pPr>
        <w:pStyle w:val="60"/>
        <w:keepNext w:val="0"/>
        <w:keepLines w:val="0"/>
        <w:pageBreakBefore w:val="0"/>
        <w:widowControl w:val="0"/>
        <w:kinsoku/>
        <w:wordWrap/>
        <w:overflowPunct/>
        <w:topLinePunct w:val="0"/>
        <w:autoSpaceDE/>
        <w:autoSpaceDN/>
        <w:bidi w:val="0"/>
        <w:snapToGrid w:val="0"/>
        <w:spacing w:before="0" w:beforeLines="0" w:after="0" w:afterLines="0" w:line="360" w:lineRule="auto"/>
        <w:ind w:left="0" w:leftChars="0" w:firstLine="240" w:firstLineChars="1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）“数字森防”</w:t>
      </w:r>
      <w:r>
        <w:rPr>
          <w:rFonts w:hint="eastAsia" w:ascii="宋体" w:hAnsi="宋体" w:eastAsia="宋体" w:cs="宋体"/>
          <w:color w:val="auto"/>
          <w:sz w:val="24"/>
          <w:szCs w:val="24"/>
          <w:lang w:val="en-US" w:eastAsia="zh-CN"/>
        </w:rPr>
        <w:t>APP：核查比对上传数据的真实性，包括除治作业相关照片、除治作业定位数据、车辆过磅重量数据等。</w:t>
      </w:r>
    </w:p>
    <w:p w14:paraId="3BA21A57">
      <w:pPr>
        <w:pStyle w:val="60"/>
        <w:keepNext w:val="0"/>
        <w:keepLines w:val="0"/>
        <w:pageBreakBefore w:val="0"/>
        <w:widowControl w:val="0"/>
        <w:kinsoku/>
        <w:wordWrap/>
        <w:overflowPunct/>
        <w:topLinePunct w:val="0"/>
        <w:autoSpaceDE/>
        <w:autoSpaceDN/>
        <w:bidi w:val="0"/>
        <w:snapToGrid w:val="0"/>
        <w:spacing w:before="0" w:beforeLines="0" w:after="0" w:afterLines="0" w:line="360" w:lineRule="auto"/>
        <w:ind w:firstLine="48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4. 验收采用百分制，实行倒扣记分法，验收得分90分（含）以上合格，90分以下不合格。第一次验收不合格的，按分值比例扣除相应比例的补助款（如：得分85分，响应扣除5</w:t>
      </w:r>
      <w:r>
        <w:rPr>
          <w:rFonts w:hint="eastAsia" w:ascii="宋体" w:hAnsi="宋体" w:eastAsia="宋体" w:cs="宋体"/>
          <w:color w:val="auto"/>
          <w:sz w:val="24"/>
          <w:szCs w:val="24"/>
        </w:rPr>
        <w:t>%的补助款）清理山场发现枯死松树整根伐倒或拦腰砍断不加清理现象，验收为不合格。由松材线虫病预防指挥部办公室将验收结果告知甲方，甲方应责令乙方整改并重新验收。</w:t>
      </w:r>
      <w:r>
        <w:rPr>
          <w:rFonts w:hint="eastAsia" w:ascii="宋体" w:hAnsi="宋体" w:eastAsia="宋体" w:cs="宋体"/>
          <w:color w:val="auto"/>
          <w:sz w:val="24"/>
          <w:szCs w:val="24"/>
          <w:lang w:eastAsia="zh-CN"/>
        </w:rPr>
        <w:t>省级“数字森防”每轮监理通报除治质量合格率低于85%的，每次扣除项目总补助款的5%；“即现即清”期间被通报一起成片病死树未清理的，每次扣除项目总补助款的10%；省、市局质量抽检通报批评一次或被判除治质量不合格的，扣除项目总补助款的10%。“数字森防”APP核查发现存在恶意数据造假行为，扣除项目总补助款的20%</w:t>
      </w:r>
      <w:r>
        <w:rPr>
          <w:rFonts w:hint="eastAsia" w:ascii="宋体" w:hAnsi="宋体" w:eastAsia="宋体" w:cs="宋体"/>
          <w:color w:val="auto"/>
          <w:sz w:val="24"/>
          <w:szCs w:val="24"/>
          <w:lang w:val="en-US" w:eastAsia="zh-CN"/>
        </w:rPr>
        <w:t>；若造成恶劣影响的，严肃追究相关人员的刑行责任。</w:t>
      </w:r>
    </w:p>
    <w:p w14:paraId="6F7075BB">
      <w:pPr>
        <w:pStyle w:val="60"/>
        <w:keepNext w:val="0"/>
        <w:keepLines w:val="0"/>
        <w:pageBreakBefore w:val="0"/>
        <w:widowControl w:val="0"/>
        <w:kinsoku/>
        <w:wordWrap/>
        <w:overflowPunct/>
        <w:topLinePunct w:val="0"/>
        <w:autoSpaceDE/>
        <w:autoSpaceDN/>
        <w:bidi w:val="0"/>
        <w:snapToGrid w:val="0"/>
        <w:spacing w:before="0" w:beforeLines="0" w:after="0" w:afterLines="0" w:line="360" w:lineRule="auto"/>
        <w:ind w:firstLine="48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（八）</w:t>
      </w:r>
      <w:r>
        <w:rPr>
          <w:rFonts w:hint="eastAsia" w:ascii="宋体" w:hAnsi="宋体" w:eastAsia="宋体" w:cs="宋体"/>
          <w:b/>
          <w:color w:val="auto"/>
          <w:sz w:val="24"/>
          <w:szCs w:val="24"/>
        </w:rPr>
        <w:t>其他要求</w:t>
      </w:r>
    </w:p>
    <w:p w14:paraId="490CF9E7">
      <w:pPr>
        <w:pStyle w:val="60"/>
        <w:keepNext w:val="0"/>
        <w:keepLines w:val="0"/>
        <w:pageBreakBefore w:val="0"/>
        <w:widowControl w:val="0"/>
        <w:kinsoku/>
        <w:wordWrap/>
        <w:overflowPunct/>
        <w:topLinePunct w:val="0"/>
        <w:autoSpaceDE/>
        <w:autoSpaceDN/>
        <w:bidi w:val="0"/>
        <w:snapToGrid w:val="0"/>
        <w:spacing w:before="0" w:beforeLines="0" w:after="0" w:afterLines="0"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1、森林防火</w:t>
      </w:r>
    </w:p>
    <w:p w14:paraId="6CCECC7B">
      <w:pPr>
        <w:pStyle w:val="60"/>
        <w:keepNext w:val="0"/>
        <w:keepLines w:val="0"/>
        <w:pageBreakBefore w:val="0"/>
        <w:widowControl w:val="0"/>
        <w:kinsoku/>
        <w:wordWrap/>
        <w:overflowPunct/>
        <w:topLinePunct w:val="0"/>
        <w:autoSpaceDE/>
        <w:autoSpaceDN/>
        <w:bidi w:val="0"/>
        <w:snapToGrid w:val="0"/>
        <w:spacing w:before="0" w:beforeLines="0" w:after="0" w:afterLines="0"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森林消防本着“预防为主，科学防控”的方针，建立健全森林消防组织机构，严格执行森林消防规章制度，配备专门的管护人员，配置消防器械设备。加强消防巡查管护，提高防火意识，做到早预防、早发现、早扑灭，完善防火系统。一旦发现森林火灾，管护人员应尽快向</w:t>
      </w:r>
      <w:r>
        <w:rPr>
          <w:rFonts w:hint="eastAsia" w:ascii="宋体" w:hAnsi="宋体" w:eastAsia="宋体" w:cs="宋体"/>
          <w:color w:val="auto"/>
          <w:sz w:val="24"/>
          <w:szCs w:val="24"/>
          <w:lang w:eastAsia="zh-CN"/>
        </w:rPr>
        <w:t>市</w:t>
      </w:r>
      <w:r>
        <w:rPr>
          <w:rFonts w:hint="eastAsia" w:ascii="宋体" w:hAnsi="宋体" w:eastAsia="宋体" w:cs="宋体"/>
          <w:color w:val="auto"/>
          <w:sz w:val="24"/>
          <w:szCs w:val="24"/>
        </w:rPr>
        <w:t>森林消防指挥部报告，并及时组织人员上山扑救，确保造林成效。</w:t>
      </w:r>
    </w:p>
    <w:p w14:paraId="76C3D356">
      <w:pPr>
        <w:pStyle w:val="60"/>
        <w:keepNext w:val="0"/>
        <w:keepLines w:val="0"/>
        <w:pageBreakBefore w:val="0"/>
        <w:widowControl w:val="0"/>
        <w:kinsoku/>
        <w:wordWrap/>
        <w:overflowPunct/>
        <w:topLinePunct w:val="0"/>
        <w:autoSpaceDE/>
        <w:autoSpaceDN/>
        <w:bidi w:val="0"/>
        <w:snapToGrid w:val="0"/>
        <w:spacing w:before="0" w:beforeLines="0" w:after="0" w:afterLines="0"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同时，要采取合理的环境保护措施，在地被物处理作业时，未经林业主管部门批准，严禁以炼山的方式处理地被物，也不准采用全垦整地造林，以免造成新的水土流失。</w:t>
      </w:r>
    </w:p>
    <w:p w14:paraId="195FECAF">
      <w:pPr>
        <w:pStyle w:val="60"/>
        <w:keepNext w:val="0"/>
        <w:keepLines w:val="0"/>
        <w:pageBreakBefore w:val="0"/>
        <w:widowControl w:val="0"/>
        <w:kinsoku/>
        <w:wordWrap/>
        <w:overflowPunct/>
        <w:topLinePunct w:val="0"/>
        <w:autoSpaceDE/>
        <w:autoSpaceDN/>
        <w:bidi w:val="0"/>
        <w:snapToGrid w:val="0"/>
        <w:spacing w:before="0" w:beforeLines="0" w:after="0" w:afterLines="0"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2、注意事项：</w:t>
      </w:r>
    </w:p>
    <w:p w14:paraId="5623D734">
      <w:pPr>
        <w:pStyle w:val="60"/>
        <w:keepNext w:val="0"/>
        <w:keepLines w:val="0"/>
        <w:pageBreakBefore w:val="0"/>
        <w:widowControl w:val="0"/>
        <w:kinsoku/>
        <w:wordWrap/>
        <w:overflowPunct/>
        <w:topLinePunct w:val="0"/>
        <w:autoSpaceDE/>
        <w:autoSpaceDN/>
        <w:bidi w:val="0"/>
        <w:snapToGrid w:val="0"/>
        <w:spacing w:before="0" w:beforeLines="0" w:after="0" w:afterLines="0" w:line="360" w:lineRule="auto"/>
        <w:ind w:left="0" w:leftChars="0" w:firstLine="480" w:firstLineChars="200"/>
        <w:textAlignment w:val="auto"/>
        <w:rPr>
          <w:rFonts w:hint="eastAsia" w:ascii="宋体" w:hAnsi="宋体" w:eastAsia="宋体" w:cs="宋体"/>
          <w:b/>
          <w:bCs/>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 xml:space="preserve">1) </w:t>
      </w:r>
      <w:r>
        <w:rPr>
          <w:rFonts w:hint="eastAsia" w:ascii="宋体" w:hAnsi="宋体" w:eastAsia="宋体" w:cs="宋体"/>
          <w:color w:val="auto"/>
          <w:sz w:val="24"/>
          <w:szCs w:val="24"/>
        </w:rPr>
        <w:t>项目工程单价由东阳市松材线虫</w:t>
      </w:r>
      <w:r>
        <w:rPr>
          <w:rFonts w:hint="eastAsia" w:ascii="宋体" w:hAnsi="宋体" w:eastAsia="宋体" w:cs="宋体"/>
          <w:color w:val="auto"/>
          <w:sz w:val="24"/>
          <w:szCs w:val="24"/>
          <w:lang w:eastAsia="zh-CN"/>
        </w:rPr>
        <w:t>病防治</w:t>
      </w:r>
      <w:r>
        <w:rPr>
          <w:rFonts w:hint="eastAsia" w:ascii="宋体" w:hAnsi="宋体" w:eastAsia="宋体" w:cs="宋体"/>
          <w:color w:val="auto"/>
          <w:sz w:val="24"/>
          <w:szCs w:val="24"/>
        </w:rPr>
        <w:t>指挥部</w:t>
      </w:r>
      <w:r>
        <w:rPr>
          <w:rFonts w:hint="eastAsia" w:ascii="宋体" w:hAnsi="宋体" w:eastAsia="宋体" w:cs="宋体"/>
          <w:color w:val="auto"/>
          <w:sz w:val="24"/>
          <w:szCs w:val="24"/>
          <w:lang w:eastAsia="zh-CN"/>
        </w:rPr>
        <w:t>办公室</w:t>
      </w:r>
      <w:r>
        <w:rPr>
          <w:rFonts w:hint="eastAsia" w:ascii="宋体" w:hAnsi="宋体" w:eastAsia="宋体" w:cs="宋体"/>
          <w:color w:val="auto"/>
          <w:sz w:val="24"/>
          <w:szCs w:val="24"/>
        </w:rPr>
        <w:t>预算标准，结合考虑了采伐枯死松木难易程度，松原木及松树顶、枝条最高单价</w:t>
      </w:r>
      <w:r>
        <w:rPr>
          <w:rFonts w:hint="eastAsia" w:ascii="宋体" w:hAnsi="宋体" w:eastAsia="宋体" w:cs="宋体"/>
          <w:b/>
          <w:bCs/>
          <w:color w:val="auto"/>
          <w:sz w:val="24"/>
          <w:szCs w:val="24"/>
        </w:rPr>
        <w:t>（作业区</w:t>
      </w:r>
      <w:r>
        <w:rPr>
          <w:rFonts w:hint="eastAsia" w:ascii="宋体" w:hAnsi="宋体" w:cs="宋体"/>
          <w:b/>
          <w:bCs/>
          <w:color w:val="auto"/>
          <w:sz w:val="24"/>
          <w:szCs w:val="24"/>
          <w:lang w:val="en-US" w:eastAsia="zh-CN"/>
        </w:rPr>
        <w:t>单价投标最高限价</w:t>
      </w:r>
      <w:r>
        <w:rPr>
          <w:rFonts w:hint="eastAsia" w:ascii="宋体" w:hAnsi="宋体" w:eastAsia="宋体" w:cs="宋体"/>
          <w:b/>
          <w:bCs/>
          <w:color w:val="auto"/>
          <w:sz w:val="24"/>
          <w:szCs w:val="24"/>
        </w:rPr>
        <w:t>为</w:t>
      </w:r>
      <w:r>
        <w:rPr>
          <w:rFonts w:hint="eastAsia" w:ascii="宋体" w:hAnsi="宋体" w:eastAsia="宋体" w:cs="宋体"/>
          <w:b/>
          <w:bCs/>
          <w:color w:val="auto"/>
          <w:sz w:val="24"/>
          <w:szCs w:val="24"/>
          <w:lang w:val="en-US" w:eastAsia="zh-CN"/>
        </w:rPr>
        <w:t>9</w:t>
      </w:r>
      <w:r>
        <w:rPr>
          <w:rFonts w:hint="eastAsia" w:ascii="宋体" w:hAnsi="宋体" w:cs="宋体"/>
          <w:b/>
          <w:bCs/>
          <w:color w:val="auto"/>
          <w:sz w:val="24"/>
          <w:szCs w:val="24"/>
          <w:lang w:val="en-US" w:eastAsia="zh-CN"/>
        </w:rPr>
        <w:t>5</w:t>
      </w:r>
      <w:r>
        <w:rPr>
          <w:rFonts w:hint="eastAsia" w:ascii="宋体" w:hAnsi="宋体" w:eastAsia="宋体" w:cs="宋体"/>
          <w:b/>
          <w:bCs/>
          <w:color w:val="auto"/>
          <w:sz w:val="24"/>
          <w:szCs w:val="24"/>
          <w:lang w:val="en-US" w:eastAsia="zh-CN"/>
        </w:rPr>
        <w:t>0</w:t>
      </w:r>
      <w:r>
        <w:rPr>
          <w:rFonts w:hint="eastAsia" w:ascii="宋体" w:hAnsi="宋体" w:eastAsia="宋体" w:cs="宋体"/>
          <w:b/>
          <w:bCs/>
          <w:color w:val="auto"/>
          <w:sz w:val="24"/>
          <w:szCs w:val="24"/>
        </w:rPr>
        <w:t>元/吨）。</w:t>
      </w:r>
    </w:p>
    <w:p w14:paraId="477C009D">
      <w:pPr>
        <w:pStyle w:val="60"/>
        <w:keepNext w:val="0"/>
        <w:keepLines w:val="0"/>
        <w:pageBreakBefore w:val="0"/>
        <w:widowControl w:val="0"/>
        <w:kinsoku/>
        <w:wordWrap/>
        <w:overflowPunct/>
        <w:topLinePunct w:val="0"/>
        <w:autoSpaceDE/>
        <w:autoSpaceDN/>
        <w:bidi w:val="0"/>
        <w:snapToGrid w:val="0"/>
        <w:spacing w:before="0" w:beforeLines="0" w:after="0" w:afterLines="0"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rPr>
        <w:tab/>
      </w:r>
      <w:r>
        <w:rPr>
          <w:rFonts w:hint="eastAsia" w:ascii="宋体" w:hAnsi="宋体" w:eastAsia="宋体" w:cs="宋体"/>
          <w:color w:val="auto"/>
          <w:sz w:val="24"/>
          <w:szCs w:val="24"/>
        </w:rPr>
        <w:t>项目必须开具正式发票。</w:t>
      </w:r>
    </w:p>
    <w:p w14:paraId="17219169">
      <w:pPr>
        <w:pStyle w:val="60"/>
        <w:keepNext w:val="0"/>
        <w:keepLines w:val="0"/>
        <w:pageBreakBefore w:val="0"/>
        <w:widowControl w:val="0"/>
        <w:kinsoku/>
        <w:wordWrap/>
        <w:overflowPunct/>
        <w:topLinePunct w:val="0"/>
        <w:autoSpaceDE/>
        <w:autoSpaceDN/>
        <w:bidi w:val="0"/>
        <w:snapToGrid w:val="0"/>
        <w:spacing w:before="0" w:beforeLines="0" w:after="0" w:afterLines="0"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rPr>
        <w:tab/>
      </w:r>
      <w:r>
        <w:rPr>
          <w:rFonts w:hint="eastAsia" w:ascii="宋体" w:hAnsi="宋体" w:eastAsia="宋体" w:cs="宋体"/>
          <w:color w:val="auto"/>
          <w:sz w:val="24"/>
          <w:szCs w:val="24"/>
        </w:rPr>
        <w:t>考虑到死松木清理的难度，</w:t>
      </w:r>
      <w:r>
        <w:rPr>
          <w:rFonts w:hint="eastAsia" w:ascii="宋体" w:hAnsi="宋体" w:eastAsia="宋体" w:cs="宋体"/>
          <w:b/>
          <w:bCs/>
          <w:color w:val="auto"/>
          <w:sz w:val="24"/>
          <w:szCs w:val="24"/>
        </w:rPr>
        <w:t>采伐下来的疫木归施工方所有</w:t>
      </w:r>
      <w:r>
        <w:rPr>
          <w:rFonts w:hint="eastAsia" w:ascii="宋体" w:hAnsi="宋体" w:eastAsia="宋体" w:cs="宋体"/>
          <w:color w:val="auto"/>
          <w:sz w:val="24"/>
          <w:szCs w:val="24"/>
        </w:rPr>
        <w:t>，但必须按规定运送到</w:t>
      </w:r>
      <w:r>
        <w:rPr>
          <w:rFonts w:hint="eastAsia" w:ascii="宋体" w:hAnsi="宋体" w:eastAsia="宋体" w:cs="宋体"/>
          <w:color w:val="auto"/>
          <w:sz w:val="24"/>
          <w:szCs w:val="24"/>
          <w:lang w:eastAsia="zh-CN"/>
        </w:rPr>
        <w:t>指定疫木定点加工企业</w:t>
      </w:r>
      <w:r>
        <w:rPr>
          <w:rFonts w:hint="eastAsia" w:ascii="宋体" w:hAnsi="宋体" w:eastAsia="宋体" w:cs="宋体"/>
          <w:color w:val="auto"/>
          <w:sz w:val="24"/>
          <w:szCs w:val="24"/>
        </w:rPr>
        <w:t>处理，不得</w:t>
      </w:r>
      <w:r>
        <w:rPr>
          <w:rFonts w:hint="eastAsia" w:ascii="宋体" w:hAnsi="宋体" w:eastAsia="宋体" w:cs="宋体"/>
          <w:color w:val="auto"/>
          <w:sz w:val="24"/>
          <w:szCs w:val="24"/>
          <w:lang w:eastAsia="zh-CN"/>
        </w:rPr>
        <w:t>他</w:t>
      </w:r>
      <w:r>
        <w:rPr>
          <w:rFonts w:hint="eastAsia" w:ascii="宋体" w:hAnsi="宋体" w:eastAsia="宋体" w:cs="宋体"/>
          <w:color w:val="auto"/>
          <w:sz w:val="24"/>
          <w:szCs w:val="24"/>
        </w:rPr>
        <w:t>用。</w:t>
      </w:r>
    </w:p>
    <w:p w14:paraId="5133429F">
      <w:pPr>
        <w:pStyle w:val="60"/>
        <w:keepNext w:val="0"/>
        <w:keepLines w:val="0"/>
        <w:pageBreakBefore w:val="0"/>
        <w:widowControl w:val="0"/>
        <w:kinsoku/>
        <w:wordWrap/>
        <w:overflowPunct/>
        <w:topLinePunct w:val="0"/>
        <w:autoSpaceDE/>
        <w:autoSpaceDN/>
        <w:bidi w:val="0"/>
        <w:snapToGrid w:val="0"/>
        <w:spacing w:before="0" w:beforeLines="0" w:after="0" w:afterLines="0"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3、施工安全措施与环境保护措施</w:t>
      </w:r>
    </w:p>
    <w:p w14:paraId="22DCD1C3">
      <w:pPr>
        <w:pStyle w:val="60"/>
        <w:keepNext w:val="0"/>
        <w:keepLines w:val="0"/>
        <w:pageBreakBefore w:val="0"/>
        <w:widowControl w:val="0"/>
        <w:kinsoku/>
        <w:wordWrap/>
        <w:overflowPunct/>
        <w:topLinePunct w:val="0"/>
        <w:autoSpaceDE/>
        <w:autoSpaceDN/>
        <w:bidi w:val="0"/>
        <w:snapToGrid w:val="0"/>
        <w:spacing w:before="0" w:beforeLines="0" w:after="0" w:afterLines="0"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各施工单位在施工过程中，要注意施工安全，采取正确的安全防范措施，制定安全事故防范预案，配备必要的安全护具如头盔、护目镜、手套等，确保生命财产安全，杜绝事故发生；投标人中标后签署合同及安全责任书（附件）。</w:t>
      </w:r>
    </w:p>
    <w:p w14:paraId="33443502">
      <w:pPr>
        <w:pStyle w:val="60"/>
        <w:keepNext w:val="0"/>
        <w:keepLines w:val="0"/>
        <w:pageBreakBefore w:val="0"/>
        <w:widowControl w:val="0"/>
        <w:kinsoku/>
        <w:wordWrap/>
        <w:overflowPunct/>
        <w:topLinePunct w:val="0"/>
        <w:autoSpaceDE/>
        <w:autoSpaceDN/>
        <w:bidi w:val="0"/>
        <w:snapToGrid w:val="0"/>
        <w:spacing w:before="0" w:beforeLines="0" w:after="0" w:afterLines="0"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2）项目服务期间发生的所有安全责任事故，由中标单位负全部责任。</w:t>
      </w:r>
    </w:p>
    <w:p w14:paraId="5911B868">
      <w:pPr>
        <w:pStyle w:val="60"/>
        <w:keepNext w:val="0"/>
        <w:keepLines w:val="0"/>
        <w:pageBreakBefore w:val="0"/>
        <w:widowControl w:val="0"/>
        <w:kinsoku/>
        <w:wordWrap/>
        <w:overflowPunct/>
        <w:topLinePunct w:val="0"/>
        <w:autoSpaceDE/>
        <w:autoSpaceDN/>
        <w:bidi w:val="0"/>
        <w:snapToGrid w:val="0"/>
        <w:spacing w:before="0" w:beforeLines="0" w:after="0" w:afterLines="0"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3）如中途发生拖欠民工工资现象，进入业主单位的招标黑名单。</w:t>
      </w:r>
    </w:p>
    <w:p w14:paraId="54FAFA47">
      <w:pPr>
        <w:pStyle w:val="60"/>
        <w:keepNext w:val="0"/>
        <w:keepLines w:val="0"/>
        <w:pageBreakBefore w:val="0"/>
        <w:widowControl w:val="0"/>
        <w:kinsoku/>
        <w:wordWrap/>
        <w:overflowPunct/>
        <w:topLinePunct w:val="0"/>
        <w:autoSpaceDE/>
        <w:autoSpaceDN/>
        <w:bidi w:val="0"/>
        <w:snapToGrid w:val="0"/>
        <w:spacing w:before="0" w:beforeLines="0" w:after="0" w:afterLines="0" w:line="360" w:lineRule="auto"/>
        <w:ind w:firstLine="480"/>
        <w:textAlignment w:val="auto"/>
        <w:rPr>
          <w:rFonts w:hint="eastAsia" w:ascii="宋体" w:hAnsi="宋体" w:eastAsia="宋体" w:cs="宋体"/>
          <w:color w:val="auto"/>
          <w:sz w:val="24"/>
          <w:szCs w:val="24"/>
        </w:rPr>
      </w:pPr>
    </w:p>
    <w:p w14:paraId="394513A2">
      <w:pPr>
        <w:spacing w:line="360" w:lineRule="auto"/>
        <w:ind w:firstLine="422" w:firstLineChars="201"/>
        <w:rPr>
          <w:rFonts w:hint="eastAsia" w:ascii="宋体" w:hAnsi="宋体" w:eastAsia="宋体" w:cs="宋体"/>
          <w:color w:val="auto"/>
        </w:rPr>
      </w:pPr>
    </w:p>
    <w:p w14:paraId="45347E84">
      <w:pPr>
        <w:spacing w:line="360" w:lineRule="auto"/>
        <w:ind w:firstLine="422" w:firstLineChars="201"/>
        <w:rPr>
          <w:rFonts w:hint="eastAsia" w:ascii="仿宋_GB2312" w:hAnsi="仿宋" w:eastAsia="仿宋_GB2312" w:cs="仿宋_GB2312"/>
          <w:color w:val="auto"/>
        </w:rPr>
      </w:pPr>
    </w:p>
    <w:p w14:paraId="72F3693C">
      <w:pPr>
        <w:spacing w:line="360" w:lineRule="auto"/>
        <w:ind w:firstLine="422" w:firstLineChars="201"/>
        <w:rPr>
          <w:rFonts w:hint="eastAsia" w:ascii="仿宋_GB2312" w:hAnsi="仿宋" w:eastAsia="仿宋_GB2312" w:cs="仿宋_GB2312"/>
          <w:color w:val="auto"/>
        </w:rPr>
      </w:pPr>
    </w:p>
    <w:p w14:paraId="7246B5CE">
      <w:pPr>
        <w:spacing w:line="360" w:lineRule="auto"/>
        <w:rPr>
          <w:rFonts w:hint="eastAsia" w:ascii="仿宋_GB2312" w:hAnsi="仿宋" w:eastAsia="仿宋_GB2312" w:cs="仿宋_GB2312"/>
          <w:color w:val="auto"/>
        </w:rPr>
      </w:pPr>
    </w:p>
    <w:p w14:paraId="3BF6FB2D">
      <w:pPr>
        <w:pStyle w:val="4"/>
        <w:bidi w:val="0"/>
        <w:jc w:val="center"/>
        <w:rPr>
          <w:rFonts w:hint="eastAsia"/>
          <w:color w:val="auto"/>
        </w:rPr>
      </w:pPr>
      <w:r>
        <w:rPr>
          <w:rFonts w:hint="eastAsia"/>
          <w:color w:val="auto"/>
        </w:rPr>
        <w:t>第三章   投标人须知</w:t>
      </w:r>
      <w:bookmarkEnd w:id="10"/>
    </w:p>
    <w:p w14:paraId="1B0D109F">
      <w:pPr>
        <w:pStyle w:val="12"/>
        <w:snapToGrid w:val="0"/>
        <w:spacing w:before="120" w:after="120"/>
        <w:ind w:firstLine="472" w:firstLineChars="196"/>
        <w:jc w:val="center"/>
        <w:outlineLvl w:val="1"/>
        <w:rPr>
          <w:rFonts w:hint="eastAsia" w:ascii="宋体" w:hAnsi="宋体" w:eastAsia="宋体" w:cs="宋体"/>
          <w:b/>
          <w:color w:val="auto"/>
          <w:szCs w:val="24"/>
          <w:highlight w:val="none"/>
        </w:rPr>
      </w:pPr>
      <w:bookmarkStart w:id="14" w:name="_Toc31542"/>
      <w:r>
        <w:rPr>
          <w:rFonts w:hint="eastAsia" w:ascii="宋体" w:hAnsi="宋体" w:eastAsia="宋体" w:cs="宋体"/>
          <w:b/>
          <w:color w:val="auto"/>
          <w:szCs w:val="24"/>
          <w:highlight w:val="none"/>
        </w:rPr>
        <w:t>前附表</w:t>
      </w:r>
      <w:bookmarkEnd w:id="14"/>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
        <w:gridCol w:w="2111"/>
        <w:gridCol w:w="6639"/>
      </w:tblGrid>
      <w:tr w14:paraId="44EF2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40EADCB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487D140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内容、要求</w:t>
            </w:r>
          </w:p>
        </w:tc>
      </w:tr>
      <w:tr w14:paraId="63017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BBE69D7">
            <w:pPr>
              <w:snapToGrid w:val="0"/>
              <w:spacing w:line="36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419AA9C9">
            <w:pPr>
              <w:snapToGrid w:val="0"/>
              <w:spacing w:line="360" w:lineRule="auto"/>
              <w:jc w:val="left"/>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东阳市白云街道2024-2025年度枯死松树清理项目</w:t>
            </w:r>
          </w:p>
        </w:tc>
      </w:tr>
      <w:tr w14:paraId="41AE40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48A54D9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4BC3ED5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投标报价及费用：1、本项目投标应以</w:t>
            </w:r>
            <w:r>
              <w:rPr>
                <w:rFonts w:hint="eastAsia" w:ascii="宋体" w:hAnsi="宋体" w:cs="宋体"/>
                <w:color w:val="auto"/>
                <w:sz w:val="24"/>
                <w:highlight w:val="none"/>
                <w:lang w:val="en-US" w:eastAsia="zh-CN"/>
              </w:rPr>
              <w:t>人民币</w:t>
            </w:r>
            <w:r>
              <w:rPr>
                <w:rFonts w:hint="eastAsia" w:ascii="宋体" w:hAnsi="宋体" w:eastAsia="宋体" w:cs="宋体"/>
                <w:color w:val="auto"/>
                <w:sz w:val="24"/>
                <w:highlight w:val="none"/>
              </w:rPr>
              <w:t>报价；2、不论投标结果如何，投标人均应自行承担所有与投标有关的全部费用；3、投标费用：</w:t>
            </w:r>
            <w:r>
              <w:rPr>
                <w:rFonts w:hint="eastAsia" w:ascii="宋体" w:hAnsi="宋体" w:cs="宋体"/>
                <w:color w:val="auto"/>
                <w:sz w:val="24"/>
                <w:highlight w:val="none"/>
                <w:lang w:eastAsia="zh-CN"/>
              </w:rPr>
              <w:t>浙江衢州公信工程管理有限公司</w:t>
            </w:r>
            <w:r>
              <w:rPr>
                <w:rFonts w:hint="eastAsia" w:ascii="宋体" w:hAnsi="宋体" w:eastAsia="宋体" w:cs="宋体"/>
                <w:color w:val="auto"/>
                <w:sz w:val="24"/>
                <w:highlight w:val="none"/>
              </w:rPr>
              <w:t>按照本招标文件总则第（五）条规定向中标人收取中标服务费。</w:t>
            </w:r>
          </w:p>
        </w:tc>
      </w:tr>
      <w:tr w14:paraId="33A5E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61483E63">
            <w:pPr>
              <w:keepNext w:val="0"/>
              <w:keepLines w:val="0"/>
              <w:pageBreakBefore w:val="0"/>
              <w:widowControl w:val="0"/>
              <w:kinsoku/>
              <w:wordWrap/>
              <w:overflowPunct/>
              <w:topLinePunct w:val="0"/>
              <w:bidi w:val="0"/>
              <w:adjustRightInd/>
              <w:snapToGrid w:val="0"/>
              <w:spacing w:line="4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7FD16385">
            <w:pPr>
              <w:keepNext w:val="0"/>
              <w:keepLines w:val="0"/>
              <w:pageBreakBefore w:val="0"/>
              <w:widowControl w:val="0"/>
              <w:kinsoku/>
              <w:wordWrap/>
              <w:overflowPunct/>
              <w:topLinePunct w:val="0"/>
              <w:bidi w:val="0"/>
              <w:adjustRightInd/>
              <w:snapToGrid w:val="0"/>
              <w:spacing w:line="42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sz w:val="24"/>
                <w:szCs w:val="24"/>
                <w:highlight w:val="none"/>
              </w:rPr>
              <w:t>根据《政府采购促进中小企业管理办法》及《关于印发中小企业划型标准规定的通</w:t>
            </w:r>
            <w:r>
              <w:rPr>
                <w:rFonts w:hint="eastAsia" w:ascii="宋体" w:hAnsi="宋体" w:cs="宋体"/>
                <w:b/>
                <w:bCs/>
                <w:color w:val="auto"/>
                <w:sz w:val="24"/>
                <w:szCs w:val="24"/>
                <w:highlight w:val="none"/>
                <w:shd w:val="clear"/>
              </w:rPr>
              <w:t>知工信部联企业》（〔2011〕300号）有关规定，</w:t>
            </w:r>
            <w:r>
              <w:rPr>
                <w:rFonts w:hint="eastAsia" w:ascii="宋体" w:hAnsi="宋体" w:cs="宋体"/>
                <w:b/>
                <w:bCs/>
                <w:color w:val="auto"/>
                <w:sz w:val="24"/>
              </w:rPr>
              <w:t>本采购标的对应的所属行业为</w:t>
            </w:r>
            <w:r>
              <w:rPr>
                <w:rFonts w:hint="eastAsia" w:ascii="宋体" w:hAnsi="宋体" w:cs="宋体"/>
                <w:color w:val="auto"/>
                <w:sz w:val="24"/>
              </w:rPr>
              <w:t>：</w:t>
            </w:r>
            <w:r>
              <w:rPr>
                <w:rFonts w:hint="eastAsia" w:ascii="宋体" w:hAnsi="宋体" w:cs="宋体"/>
                <w:b/>
                <w:bCs/>
                <w:color w:val="auto"/>
                <w:sz w:val="24"/>
                <w:u w:val="single"/>
              </w:rPr>
              <w:t>其他未列明行业。</w:t>
            </w:r>
          </w:p>
        </w:tc>
      </w:tr>
      <w:tr w14:paraId="756AA7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5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61523C8C">
            <w:pPr>
              <w:snapToGrid w:val="0"/>
              <w:spacing w:line="42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highlight w:val="none"/>
                <w:lang w:val="en-US" w:eastAsia="zh-CN"/>
              </w:rPr>
              <w:t>4</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2E81F31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根据《关于在政府采购活动中查询及使用信用记录有关问题的通知》财库[2016]125号的规定：</w:t>
            </w:r>
          </w:p>
          <w:p w14:paraId="1FE72C2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（1）采购人或采购代理机构将对本项目供应商的信用记录进行查询。查询渠道为信用中国网站（www.creditchina.gov.cn）、中国政府采购网（www.ccgp.gov.cn）；</w:t>
            </w:r>
          </w:p>
          <w:p w14:paraId="237131C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（2）截止时点：提交投标文件（响应文件）截止时间前3年内；</w:t>
            </w:r>
          </w:p>
          <w:p w14:paraId="19A22DA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（3）查询记录和证据的留存：信用信息查询记录和证据以网页截图等方式留存。</w:t>
            </w:r>
          </w:p>
          <w:p w14:paraId="53742DF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74995BE6">
            <w:pPr>
              <w:snapToGrid w:val="0"/>
              <w:spacing w:line="360" w:lineRule="auto"/>
              <w:rPr>
                <w:rFonts w:hint="eastAsia" w:ascii="宋体" w:hAnsi="宋体" w:cs="宋体"/>
                <w:b/>
                <w:bCs/>
                <w:color w:val="auto"/>
                <w:sz w:val="24"/>
                <w:szCs w:val="24"/>
                <w:highlight w:val="none"/>
              </w:rPr>
            </w:pPr>
            <w:r>
              <w:rPr>
                <w:rFonts w:hint="eastAsia" w:ascii="宋体" w:hAnsi="宋体" w:cs="宋体"/>
                <w:color w:val="auto"/>
                <w:sz w:val="24"/>
                <w:highlight w:val="none"/>
              </w:rPr>
              <w:t>（5）联合体成员任意一方存在不良信用记录的，视同联合体存在不良信用记录。</w:t>
            </w:r>
          </w:p>
        </w:tc>
      </w:tr>
      <w:tr w14:paraId="68448A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7FC464E">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3DA2482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答疑与澄清：投标人如认为招标文件表述不清晰、存在歧视性、排他性或者其他违法内容的，应当按照公开招标公告第</w:t>
            </w:r>
            <w:r>
              <w:rPr>
                <w:rFonts w:hint="eastAsia" w:ascii="宋体" w:hAnsi="宋体" w:eastAsia="宋体" w:cs="宋体"/>
                <w:color w:val="auto"/>
                <w:sz w:val="24"/>
                <w:highlight w:val="none"/>
                <w:lang w:eastAsia="zh-CN"/>
              </w:rPr>
              <w:t>三、</w:t>
            </w:r>
            <w:r>
              <w:rPr>
                <w:rFonts w:hint="eastAsia" w:ascii="宋体" w:hAnsi="宋体" w:cs="宋体"/>
                <w:color w:val="auto"/>
                <w:sz w:val="24"/>
                <w:highlight w:val="none"/>
                <w:lang w:val="en-US" w:eastAsia="zh-CN"/>
              </w:rPr>
              <w:t>七</w:t>
            </w:r>
            <w:r>
              <w:rPr>
                <w:rFonts w:hint="eastAsia" w:ascii="宋体" w:hAnsi="宋体" w:eastAsia="宋体" w:cs="宋体"/>
                <w:color w:val="auto"/>
                <w:sz w:val="24"/>
                <w:highlight w:val="none"/>
              </w:rPr>
              <w:t>条规定以书面形式要求招标方作出书面解释、澄清或者向招标方提出书面质疑；</w:t>
            </w:r>
            <w:r>
              <w:rPr>
                <w:rFonts w:hint="eastAsia" w:ascii="宋体" w:hAnsi="宋体" w:eastAsia="宋体" w:cs="宋体"/>
                <w:b/>
                <w:color w:val="auto"/>
                <w:sz w:val="24"/>
                <w:highlight w:val="none"/>
              </w:rPr>
              <w:t>在质疑截止时间前，未对招标文件提出质疑时，视投标人对招标文件的默认；</w:t>
            </w:r>
            <w:r>
              <w:rPr>
                <w:rFonts w:hint="eastAsia" w:ascii="宋体" w:hAnsi="宋体" w:eastAsia="宋体" w:cs="宋体"/>
                <w:color w:val="auto"/>
                <w:sz w:val="24"/>
                <w:highlight w:val="none"/>
              </w:rPr>
              <w:t>招标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14:paraId="50BD8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D1AA388">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499C12AA">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投标文件的递交：</w:t>
            </w:r>
          </w:p>
          <w:p w14:paraId="01199CAD">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本项目投标文件由资格审查文件、商务技术文件和报价文件三部分组成。投标人应按以下方式递交投标文件：</w:t>
            </w:r>
          </w:p>
          <w:p w14:paraId="21CF43E5">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▲1、本项目实行“网上投标、电子评标”，投标人应于投标截止时间前在“政采云”（电子交易平台）上传输、递交电子版投标文件（包括资格审查文件、商务技术文件和报价文件）；</w:t>
            </w:r>
          </w:p>
          <w:p w14:paraId="4177AC65">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w:t>
            </w:r>
            <w:r>
              <w:rPr>
                <w:rFonts w:hint="eastAsia" w:ascii="宋体" w:hAnsi="宋体" w:cs="宋体"/>
                <w:color w:val="auto"/>
                <w:sz w:val="24"/>
                <w:highlight w:val="none"/>
                <w:lang w:eastAsia="zh-CN"/>
              </w:rPr>
              <w:t>浙江衢州公信工程管理有限公司</w:t>
            </w:r>
            <w:r>
              <w:rPr>
                <w:rFonts w:hint="eastAsia" w:ascii="宋体" w:hAnsi="宋体" w:eastAsia="宋体" w:cs="宋体"/>
                <w:color w:val="auto"/>
                <w:sz w:val="24"/>
                <w:highlight w:val="none"/>
              </w:rPr>
              <w:t>邮箱：</w:t>
            </w:r>
            <w:r>
              <w:rPr>
                <w:rFonts w:hint="eastAsia" w:ascii="宋体" w:hAnsi="宋体" w:cs="宋体"/>
                <w:color w:val="auto"/>
                <w:sz w:val="24"/>
                <w:highlight w:val="none"/>
                <w:lang w:eastAsia="zh-CN"/>
              </w:rPr>
              <w:t>477628472@qq.com</w:t>
            </w:r>
            <w:r>
              <w:rPr>
                <w:rFonts w:hint="eastAsia" w:ascii="宋体" w:hAnsi="宋体" w:eastAsia="宋体" w:cs="宋体"/>
                <w:color w:val="auto"/>
                <w:sz w:val="24"/>
                <w:highlight w:val="none"/>
              </w:rPr>
              <w:t>，逾期发送或发错后缀名的备份投标文件将被视为无效；</w:t>
            </w:r>
          </w:p>
          <w:p w14:paraId="1389CCC2">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3、投标人仅提交电子备份投标文件的，投标无效；</w:t>
            </w:r>
          </w:p>
          <w:p w14:paraId="40D7D167">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2705F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9800992">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5C2AD199">
            <w:pPr>
              <w:autoSpaceDE w:val="0"/>
              <w:autoSpaceDN w:val="0"/>
              <w:snapToGrid w:val="0"/>
              <w:textAlignment w:val="bottom"/>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投标文件的组成：</w:t>
            </w:r>
          </w:p>
          <w:p w14:paraId="074D4625">
            <w:pPr>
              <w:autoSpaceDE w:val="0"/>
              <w:autoSpaceDN w:val="0"/>
              <w:snapToGrid w:val="0"/>
              <w:textAlignment w:val="bottom"/>
              <w:rPr>
                <w:rFonts w:hint="eastAsia" w:ascii="宋体" w:hAnsi="宋体" w:eastAsia="宋体" w:cs="宋体"/>
                <w:bCs/>
                <w:color w:val="auto"/>
                <w:szCs w:val="24"/>
                <w:highlight w:val="none"/>
              </w:rPr>
            </w:pPr>
            <w:r>
              <w:rPr>
                <w:rFonts w:hint="eastAsia" w:ascii="宋体" w:hAnsi="宋体" w:cs="宋体"/>
                <w:b w:val="0"/>
                <w:bCs w:val="0"/>
                <w:color w:val="auto"/>
                <w:sz w:val="24"/>
                <w:szCs w:val="24"/>
                <w:highlight w:val="none"/>
                <w:lang w:eastAsia="zh-CN"/>
              </w:rPr>
              <w:t>本项目投标文件由</w:t>
            </w:r>
            <w:r>
              <w:rPr>
                <w:rFonts w:hint="eastAsia" w:ascii="宋体" w:hAnsi="宋体" w:eastAsia="宋体" w:cs="宋体"/>
                <w:color w:val="auto"/>
                <w:sz w:val="24"/>
                <w:highlight w:val="none"/>
              </w:rPr>
              <w:t>投标文件由资格审查文件、商务技术文件、报价文件三部分组成</w:t>
            </w:r>
          </w:p>
        </w:tc>
      </w:tr>
      <w:tr w14:paraId="784FA2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4F3FD92E">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18AA5925">
            <w:pPr>
              <w:snapToGrid w:val="0"/>
              <w:spacing w:line="360" w:lineRule="auto"/>
              <w:rPr>
                <w:rFonts w:hint="eastAsia" w:ascii="宋体" w:hAnsi="宋体" w:eastAsia="宋体" w:cs="宋体"/>
                <w:bCs/>
                <w:color w:val="auto"/>
                <w:sz w:val="24"/>
                <w:highlight w:val="none"/>
                <w:u w:val="single"/>
                <w:lang w:eastAsia="zh-CN"/>
              </w:rPr>
            </w:pPr>
            <w:r>
              <w:rPr>
                <w:rFonts w:hint="eastAsia" w:ascii="宋体" w:hAnsi="宋体" w:eastAsia="宋体" w:cs="宋体"/>
                <w:bCs/>
                <w:color w:val="auto"/>
                <w:sz w:val="24"/>
                <w:highlight w:val="none"/>
              </w:rPr>
              <w:t>投标截止时间：</w:t>
            </w:r>
            <w:r>
              <w:rPr>
                <w:rFonts w:hint="eastAsia" w:ascii="宋体" w:hAnsi="宋体" w:cs="宋体"/>
                <w:color w:val="auto"/>
                <w:sz w:val="24"/>
                <w:highlight w:val="none"/>
                <w:lang w:eastAsia="zh-CN"/>
              </w:rPr>
              <w:t>2024年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14</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 xml:space="preserve">13 </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 xml:space="preserve">30 </w:t>
            </w:r>
            <w:r>
              <w:rPr>
                <w:rFonts w:hint="eastAsia" w:ascii="宋体" w:hAnsi="宋体" w:cs="宋体"/>
                <w:color w:val="auto"/>
                <w:sz w:val="24"/>
                <w:highlight w:val="none"/>
                <w:lang w:eastAsia="zh-CN"/>
              </w:rPr>
              <w:t>分</w:t>
            </w:r>
          </w:p>
          <w:p w14:paraId="0030D34D">
            <w:pPr>
              <w:pStyle w:val="12"/>
              <w:spacing w:line="360" w:lineRule="auto"/>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投标人应当在投标截止时间前在“政采云”（电子交易平台）上自行上传加密的电子投标文件。投标截止时间前未完成传输的，视为撤回电子投标文件。投标截止时间后递交的电子投标文件，将被政采云平台拒收。</w:t>
            </w:r>
          </w:p>
          <w:p w14:paraId="19B0243F">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2、电子备份投标文件的递交时间：投标人应当在投标截止时间前，逾期未递交的视为自动放弃。</w:t>
            </w:r>
          </w:p>
          <w:p w14:paraId="47C005F0">
            <w:pPr>
              <w:pStyle w:val="12"/>
              <w:spacing w:line="360" w:lineRule="auto"/>
              <w:rPr>
                <w:rFonts w:hint="eastAsia" w:ascii="宋体" w:hAnsi="宋体" w:eastAsia="宋体" w:cs="宋体"/>
                <w:color w:val="auto"/>
                <w:szCs w:val="24"/>
                <w:highlight w:val="none"/>
              </w:rPr>
            </w:pPr>
            <w:r>
              <w:rPr>
                <w:rFonts w:hint="eastAsia" w:ascii="宋体" w:hAnsi="宋体" w:eastAsia="宋体" w:cs="宋体"/>
                <w:bCs/>
                <w:color w:val="auto"/>
                <w:szCs w:val="24"/>
                <w:highlight w:val="none"/>
              </w:rPr>
              <w:t>3、投标人应当在投标截止时间前完成投标准备事宜（应具备上网的技术条件并保持网络及联系方式畅通）及电子投标文件的传输递交，可以补充、修改或者撤回电子投标文件。补充或者修改电子投标文件的，应当先行撤回原文件，补充、修改后重新传输递交。</w:t>
            </w:r>
          </w:p>
        </w:tc>
      </w:tr>
      <w:tr w14:paraId="58173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426F9683">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4B3F64AA">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开标时间：</w:t>
            </w:r>
            <w:r>
              <w:rPr>
                <w:rFonts w:hint="eastAsia" w:ascii="宋体" w:hAnsi="宋体" w:cs="宋体"/>
                <w:color w:val="auto"/>
                <w:sz w:val="24"/>
                <w:highlight w:val="none"/>
                <w:lang w:eastAsia="zh-CN"/>
              </w:rPr>
              <w:t>2024年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14</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 xml:space="preserve">13 </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 xml:space="preserve">30 </w:t>
            </w:r>
            <w:r>
              <w:rPr>
                <w:rFonts w:hint="eastAsia" w:ascii="宋体" w:hAnsi="宋体" w:cs="宋体"/>
                <w:color w:val="auto"/>
                <w:sz w:val="24"/>
                <w:highlight w:val="none"/>
                <w:lang w:eastAsia="zh-CN"/>
              </w:rPr>
              <w:t>分</w:t>
            </w:r>
          </w:p>
          <w:p w14:paraId="160DD75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要求投标人到开标现场开标，但投标人应派法定代表人或委托代理人【委托代理人应当是投标人的在职正式职工（以投标人本单位缴纳社保花名册为准）】准时在线出席电子开标会议，随时关注开标进度，如在开标过程中有电子询标，应在规定的时间内对电子询标函进行澄清回复。</w:t>
            </w:r>
          </w:p>
          <w:p w14:paraId="448D45E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14:paraId="0C1AE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602AEF63">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225C4340">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评标办法：综合评分法</w:t>
            </w:r>
          </w:p>
        </w:tc>
      </w:tr>
      <w:tr w14:paraId="080E7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23BDD17">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6F7E6748">
            <w:pPr>
              <w:autoSpaceDE w:val="0"/>
              <w:autoSpaceDN w:val="0"/>
              <w:snapToGrid w:val="0"/>
              <w:spacing w:line="360" w:lineRule="auto"/>
              <w:textAlignment w:val="bottom"/>
              <w:rPr>
                <w:rFonts w:hint="eastAsia" w:ascii="宋体" w:hAnsi="宋体" w:eastAsia="宋体" w:cs="宋体"/>
                <w:color w:val="auto"/>
                <w:sz w:val="24"/>
                <w:highlight w:val="none"/>
              </w:rPr>
            </w:pPr>
            <w:bookmarkStart w:id="15" w:name="_Toc457480905"/>
            <w:r>
              <w:rPr>
                <w:rFonts w:hint="eastAsia" w:ascii="宋体" w:hAnsi="宋体" w:eastAsia="宋体" w:cs="宋体"/>
                <w:color w:val="auto"/>
                <w:sz w:val="24"/>
                <w:highlight w:val="none"/>
              </w:rPr>
              <w:t>中标结果公告：自中标人确定之日起2个工作日内，中标结果公告于浙江省政府采购网(http://zfcg.czt.zj.gov.cn/)、东阳市公共资源交易网(http://www.dongyang.gov.cn/ggzyjy/index.html)，公告1个工作日</w:t>
            </w:r>
            <w:bookmarkEnd w:id="15"/>
            <w:r>
              <w:rPr>
                <w:rFonts w:hint="eastAsia" w:ascii="宋体" w:hAnsi="宋体" w:eastAsia="宋体" w:cs="宋体"/>
                <w:color w:val="auto"/>
                <w:sz w:val="24"/>
                <w:highlight w:val="none"/>
              </w:rPr>
              <w:t>。</w:t>
            </w:r>
          </w:p>
        </w:tc>
      </w:tr>
      <w:tr w14:paraId="18396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4E0681B">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49B5DDD1">
            <w:pPr>
              <w:autoSpaceDE w:val="0"/>
              <w:autoSpaceDN w:val="0"/>
              <w:snapToGrid w:val="0"/>
              <w:spacing w:line="360" w:lineRule="auto"/>
              <w:textAlignment w:val="bottom"/>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《中标通知书》的领取时间：中标人应自中标结果公告结束日起，在3个工作日内领取，否则按放弃中标资格处理</w:t>
            </w:r>
            <w:r>
              <w:rPr>
                <w:rFonts w:hint="eastAsia" w:ascii="宋体" w:hAnsi="宋体" w:cs="宋体"/>
                <w:color w:val="auto"/>
                <w:sz w:val="24"/>
                <w:highlight w:val="none"/>
                <w:lang w:eastAsia="zh-CN"/>
              </w:rPr>
              <w:t>。</w:t>
            </w:r>
          </w:p>
        </w:tc>
      </w:tr>
      <w:tr w14:paraId="0B889A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FB4010F">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13</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5652BBC4">
            <w:pPr>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highlight w:val="none"/>
              </w:rPr>
              <w:t>履约保证金：</w:t>
            </w:r>
            <w:r>
              <w:rPr>
                <w:rFonts w:hint="eastAsia" w:ascii="宋体" w:hAnsi="宋体" w:eastAsia="宋体" w:cs="宋体"/>
                <w:b w:val="0"/>
                <w:bCs w:val="0"/>
                <w:color w:val="auto"/>
                <w:sz w:val="24"/>
                <w:szCs w:val="24"/>
                <w:lang w:val="en-US" w:eastAsia="zh-CN"/>
              </w:rPr>
              <w:t>本项目履约保证金为中标金额的1%，中标人应在合同签订前交纳（可用支票、汇票、本票或者金融机构、担保机构出具的保函等非现金形式提交，鼓励和支持供应商以履约保函形式提供履约保证金，保函可在政采云平台线上办理），在本项目服务期满后经采购单位验收合格后7日内由采购单位退还（无息）。</w:t>
            </w:r>
          </w:p>
          <w:p w14:paraId="343F99D4">
            <w:pPr>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b/>
                <w:bCs/>
                <w:color w:val="auto"/>
                <w:sz w:val="24"/>
                <w:highlight w:val="none"/>
                <w:lang w:eastAsia="zh-CN"/>
              </w:rPr>
            </w:pPr>
            <w:r>
              <w:rPr>
                <w:rFonts w:hint="eastAsia" w:ascii="宋体" w:hAnsi="宋体" w:eastAsia="宋体" w:cs="宋体"/>
                <w:b w:val="0"/>
                <w:bCs w:val="0"/>
                <w:color w:val="auto"/>
                <w:sz w:val="24"/>
                <w:szCs w:val="24"/>
                <w:lang w:val="en-US" w:eastAsia="zh-CN"/>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14:paraId="2DAC4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7708785">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14</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6CBA78B7">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w:t>
            </w:r>
            <w:r>
              <w:rPr>
                <w:rFonts w:hint="eastAsia" w:ascii="宋体" w:hAnsi="宋体" w:cs="宋体"/>
                <w:color w:val="auto"/>
                <w:sz w:val="24"/>
                <w:highlight w:val="none"/>
                <w:lang w:eastAsia="zh-CN"/>
              </w:rPr>
              <w:t>登录</w:t>
            </w:r>
            <w:r>
              <w:rPr>
                <w:rFonts w:hint="eastAsia" w:ascii="宋体" w:hAnsi="宋体" w:eastAsia="宋体" w:cs="宋体"/>
                <w:color w:val="auto"/>
                <w:sz w:val="24"/>
                <w:highlight w:val="none"/>
              </w:rPr>
              <w:t>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2DB29C1D">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政府采购金融服务提示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为扩大政府采购金融服务面，除政采云网上金融服务合作银行外，东阳市范围内增加浙商银行金华分行东阳支行作为线下合作银行。   </w:t>
            </w:r>
          </w:p>
          <w:p w14:paraId="08F09B29">
            <w:pPr>
              <w:snapToGrid w:val="0"/>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浙商银行金华东阳支行联系人：</w:t>
            </w:r>
            <w:r>
              <w:rPr>
                <w:rFonts w:hint="eastAsia" w:ascii="宋体" w:hAnsi="宋体" w:cs="宋体"/>
                <w:color w:val="auto"/>
                <w:sz w:val="24"/>
                <w:highlight w:val="none"/>
              </w:rPr>
              <w:t xml:space="preserve">许燕  联系电话：13967983441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0579-86222992</w:t>
            </w:r>
          </w:p>
        </w:tc>
      </w:tr>
      <w:tr w14:paraId="0CA3B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980389C">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5</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732685E9">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签订合同时间：发出《中标通知书》之日起</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0天内。</w:t>
            </w:r>
          </w:p>
        </w:tc>
      </w:tr>
      <w:tr w14:paraId="5102B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A29E5BB">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rPr>
              <w:t>1</w:t>
            </w:r>
            <w:r>
              <w:rPr>
                <w:rFonts w:hint="eastAsia" w:ascii="宋体" w:hAnsi="宋体" w:cs="宋体"/>
                <w:bCs/>
                <w:color w:val="auto"/>
                <w:sz w:val="24"/>
                <w:highlight w:val="none"/>
                <w:lang w:val="en-US" w:eastAsia="zh-CN"/>
              </w:rPr>
              <w:t>6</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7C994B0E">
            <w:pPr>
              <w:autoSpaceDE w:val="0"/>
              <w:autoSpaceDN w:val="0"/>
              <w:snapToGrid w:val="0"/>
              <w:spacing w:line="360" w:lineRule="auto"/>
              <w:textAlignment w:val="bottom"/>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中标人与</w:t>
            </w:r>
            <w:r>
              <w:rPr>
                <w:rFonts w:hint="eastAsia" w:ascii="宋体" w:hAnsi="宋体" w:cs="宋体"/>
                <w:color w:val="auto"/>
                <w:sz w:val="24"/>
                <w:highlight w:val="none"/>
                <w:lang w:val="en-US" w:eastAsia="zh-CN"/>
              </w:rPr>
              <w:t>东阳市白云街道办事处</w:t>
            </w:r>
            <w:r>
              <w:rPr>
                <w:rFonts w:hint="eastAsia" w:ascii="宋体" w:hAnsi="宋体" w:eastAsia="宋体" w:cs="宋体"/>
                <w:color w:val="auto"/>
                <w:sz w:val="24"/>
                <w:highlight w:val="none"/>
                <w:lang w:eastAsia="zh-CN"/>
              </w:rPr>
              <w:t>签订政府采购合同</w:t>
            </w:r>
            <w:r>
              <w:rPr>
                <w:rFonts w:hint="eastAsia" w:ascii="宋体" w:hAnsi="宋体" w:cs="宋体"/>
                <w:color w:val="auto"/>
                <w:sz w:val="24"/>
                <w:highlight w:val="none"/>
                <w:lang w:eastAsia="zh-CN"/>
              </w:rPr>
              <w:t>。</w:t>
            </w:r>
          </w:p>
        </w:tc>
      </w:tr>
      <w:tr w14:paraId="26918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76F0DA8">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7</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19B2126E">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color w:val="auto"/>
                <w:sz w:val="24"/>
                <w:highlight w:val="none"/>
              </w:rPr>
            </w:pPr>
            <w:r>
              <w:rPr>
                <w:rFonts w:hint="eastAsia" w:ascii="宋体" w:hAnsi="宋体"/>
                <w:color w:val="auto"/>
                <w:sz w:val="24"/>
                <w:highlight w:val="none"/>
              </w:rPr>
              <w:t>付款方式：</w:t>
            </w:r>
          </w:p>
          <w:p w14:paraId="5C577CE8">
            <w:pPr>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eastAsia="zh-CN"/>
              </w:rPr>
              <w:t>合同生效后7个工作日内支付合同金额的</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0%作为项目的预付款；在项目完工并经由市松材线虫病防治指挥部办公室委托的第三方单位进行核验，市松材线虫病防治指挥部办公室进行核查，按面积计算合格率，结合实际清理重量</w:t>
            </w:r>
            <w:r>
              <w:rPr>
                <w:rFonts w:hint="eastAsia" w:ascii="宋体" w:hAnsi="宋体" w:cs="宋体"/>
                <w:color w:val="auto"/>
                <w:sz w:val="24"/>
                <w:szCs w:val="24"/>
                <w:highlight w:val="none"/>
                <w:lang w:eastAsia="zh-CN"/>
              </w:rPr>
              <w:t>后</w:t>
            </w:r>
            <w:r>
              <w:rPr>
                <w:rFonts w:hint="eastAsia" w:ascii="宋体" w:hAnsi="宋体" w:cs="宋体"/>
                <w:color w:val="auto"/>
                <w:sz w:val="24"/>
                <w:szCs w:val="24"/>
                <w:highlight w:val="none"/>
                <w:lang w:val="en-US" w:eastAsia="zh-CN"/>
              </w:rPr>
              <w:t>7个工作日内支付</w:t>
            </w:r>
            <w:r>
              <w:rPr>
                <w:rFonts w:hint="eastAsia" w:ascii="宋体" w:hAnsi="宋体" w:eastAsia="宋体" w:cs="宋体"/>
                <w:color w:val="auto"/>
                <w:sz w:val="24"/>
                <w:szCs w:val="24"/>
                <w:highlight w:val="none"/>
                <w:lang w:eastAsia="zh-CN"/>
              </w:rPr>
              <w:t>最终结算金额；中标方根据支付金额提供正规税务发票。</w:t>
            </w:r>
          </w:p>
        </w:tc>
      </w:tr>
      <w:tr w14:paraId="3E583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28B450C">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18</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7802EF1B">
            <w:pPr>
              <w:widowControl/>
              <w:snapToGrid w:val="0"/>
              <w:spacing w:line="4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1、扶持中小企业（监狱企业、残疾人福利性单位）：</w:t>
            </w:r>
          </w:p>
          <w:p w14:paraId="697F3D88">
            <w:pPr>
              <w:widowControl/>
              <w:snapToGrid w:val="0"/>
              <w:spacing w:line="4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1ED84E0D">
            <w:pPr>
              <w:widowControl/>
              <w:snapToGrid w:val="0"/>
              <w:spacing w:line="4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（1）项目预算：</w:t>
            </w:r>
            <w:r>
              <w:rPr>
                <w:rFonts w:hint="eastAsia" w:ascii="宋体" w:hAnsi="宋体" w:cs="宋体"/>
                <w:color w:val="auto"/>
                <w:sz w:val="24"/>
                <w:szCs w:val="24"/>
                <w:highlight w:val="none"/>
                <w:u w:val="single"/>
                <w:lang w:val="en-US" w:eastAsia="zh-CN"/>
              </w:rPr>
              <w:t>35</w:t>
            </w:r>
            <w:r>
              <w:rPr>
                <w:rFonts w:hint="eastAsia" w:ascii="宋体" w:hAnsi="宋体" w:cs="宋体"/>
                <w:color w:val="auto"/>
                <w:sz w:val="24"/>
                <w:szCs w:val="24"/>
                <w:highlight w:val="none"/>
              </w:rPr>
              <w:t>万元</w:t>
            </w:r>
          </w:p>
          <w:p w14:paraId="2DDF51F0">
            <w:pPr>
              <w:widowControl/>
              <w:snapToGrid w:val="0"/>
              <w:spacing w:line="4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（2）项目属性：</w:t>
            </w:r>
            <w:r>
              <w:rPr>
                <w:rFonts w:hint="eastAsia" w:ascii="宋体" w:hAnsi="宋体" w:cs="宋体"/>
                <w:color w:val="auto"/>
                <w:sz w:val="24"/>
                <w:szCs w:val="24"/>
                <w:highlight w:val="none"/>
                <w:u w:val="single"/>
              </w:rPr>
              <w:t>②服务类</w:t>
            </w:r>
            <w:r>
              <w:rPr>
                <w:rFonts w:hint="eastAsia" w:ascii="宋体" w:hAnsi="宋体" w:cs="宋体"/>
                <w:color w:val="auto"/>
                <w:sz w:val="24"/>
                <w:szCs w:val="24"/>
                <w:highlight w:val="none"/>
              </w:rPr>
              <w:t>（①货物类/②服务类/③工程类）</w:t>
            </w:r>
          </w:p>
          <w:p w14:paraId="128B5E93">
            <w:pPr>
              <w:widowControl/>
              <w:snapToGrid w:val="0"/>
              <w:spacing w:line="4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（3）项目对应的中小企业划分标准所属行业</w:t>
            </w:r>
            <w:r>
              <w:rPr>
                <w:rFonts w:hint="eastAsia" w:ascii="宋体" w:hAnsi="宋体" w:cs="宋体"/>
                <w:color w:val="auto"/>
                <w:sz w:val="24"/>
                <w:szCs w:val="24"/>
                <w:highlight w:val="none"/>
                <w:lang w:eastAsia="zh-CN"/>
              </w:rPr>
              <w:t>：</w:t>
            </w:r>
            <w:r>
              <w:rPr>
                <w:rFonts w:hint="eastAsia" w:ascii="宋体" w:hAnsi="宋体" w:cs="仿宋_GB2312"/>
                <w:color w:val="auto"/>
                <w:sz w:val="24"/>
                <w:szCs w:val="24"/>
                <w:highlight w:val="none"/>
              </w:rPr>
              <w:t>“</w:t>
            </w:r>
            <w:r>
              <w:rPr>
                <w:rFonts w:hint="eastAsia" w:ascii="宋体" w:hAnsi="宋体" w:cs="仿宋_GB2312"/>
                <w:color w:val="auto"/>
                <w:sz w:val="24"/>
                <w:szCs w:val="24"/>
                <w:highlight w:val="none"/>
                <w:u w:val="single"/>
              </w:rPr>
              <w:t xml:space="preserve">其他未列明行业 </w:t>
            </w:r>
            <w:r>
              <w:rPr>
                <w:rFonts w:hint="eastAsia" w:ascii="宋体" w:hAnsi="宋体" w:cs="仿宋_GB2312"/>
                <w:color w:val="auto"/>
                <w:sz w:val="24"/>
                <w:szCs w:val="24"/>
                <w:highlight w:val="none"/>
              </w:rPr>
              <w:t>”</w:t>
            </w:r>
            <w:r>
              <w:rPr>
                <w:rFonts w:hint="eastAsia" w:ascii="宋体" w:hAnsi="宋体" w:cs="宋体"/>
                <w:color w:val="auto"/>
                <w:sz w:val="24"/>
                <w:szCs w:val="24"/>
                <w:highlight w:val="none"/>
              </w:rPr>
              <w:t>（具体根据《中小企业划型标准规定》执行）</w:t>
            </w:r>
          </w:p>
          <w:p w14:paraId="2DCFC800">
            <w:pPr>
              <w:widowControl/>
              <w:snapToGrid w:val="0"/>
              <w:spacing w:line="4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42CD4813">
            <w:pPr>
              <w:widowControl/>
              <w:snapToGrid w:val="0"/>
              <w:spacing w:line="4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（4）本项目 </w:t>
            </w:r>
            <w:r>
              <w:rPr>
                <w:rFonts w:hint="eastAsia" w:ascii="宋体" w:hAnsi="宋体" w:cs="宋体"/>
                <w:color w:val="auto"/>
                <w:sz w:val="24"/>
                <w:szCs w:val="24"/>
                <w:highlight w:val="none"/>
                <w:u w:val="single"/>
              </w:rPr>
              <w:t xml:space="preserve">  是 </w:t>
            </w:r>
            <w:r>
              <w:rPr>
                <w:rFonts w:hint="eastAsia" w:ascii="宋体" w:hAnsi="宋体" w:cs="宋体"/>
                <w:color w:val="auto"/>
                <w:sz w:val="24"/>
                <w:szCs w:val="24"/>
                <w:highlight w:val="none"/>
              </w:rPr>
              <w:t>（是/否）属于预留份额专门面向中小企业采购的项目。</w:t>
            </w:r>
          </w:p>
          <w:p w14:paraId="4DF4EE37">
            <w:pPr>
              <w:widowControl/>
              <w:snapToGrid w:val="0"/>
              <w:spacing w:line="4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（5）上述第4项中确定为“是”的采购项目，预留份额通过（①）措施进行：</w:t>
            </w:r>
          </w:p>
          <w:p w14:paraId="40290116">
            <w:pPr>
              <w:widowControl/>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①将采购项目整体或者设置采购包专门面向中小企业采购； </w:t>
            </w:r>
          </w:p>
          <w:p w14:paraId="2A09B764">
            <w:pPr>
              <w:widowControl/>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②要求供应商以联合体形式参加采购活动，且联合体中中小企业承担的部分达到</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 xml:space="preserve">(比例)； </w:t>
            </w:r>
          </w:p>
          <w:p w14:paraId="3F0418BD">
            <w:pPr>
              <w:widowControl/>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③要求获得采购合同的供应商将采购项目中的</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(比例)分包给一家或者多家中小企业。</w:t>
            </w:r>
          </w:p>
          <w:p w14:paraId="647AC994">
            <w:pPr>
              <w:widowControl/>
              <w:snapToGrid w:val="0"/>
              <w:spacing w:line="4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（6）对于经主管预算单位统筹后未预留份额专门面向中小企业采购的采购项目，以及预留份额项目中的非预留部分采购包，对小微企业报价给予</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 xml:space="preserve"> 的扣除，用扣除后的价格参加评审。 </w:t>
            </w:r>
          </w:p>
          <w:p w14:paraId="0683BEE2">
            <w:pPr>
              <w:widowControl/>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的扣除，用扣除后的价格参加评审。</w:t>
            </w:r>
          </w:p>
          <w:p w14:paraId="2BB81D8B">
            <w:pPr>
              <w:widowControl/>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注：货物和服务项目中未预留份额专门面向中小企业采购的，以及预留份额项目中的非预留部分采购包，采购单位、采购代理机构应结合项目实际，对符合规定的小微企业报价原则上按最高优惠幅度20%给予扣除，用扣除后的价格参加评审；对于联合协议或者分包意向协议约定小微企业的合同份额占到合同总金额30%以上的，采购单位、采购代理机构应结合项目实际，对联合体或者大中型企业的报价原则上按最高优惠幅度6%给予扣除，用扣除后的价格参加评审。自2022年7月1日起至2022年12月31日期间发布采购公告或者发出采购邀请的货物、服务采购项目按照此《浙江省财政厅关于进一步加大政府采购支持中小企业力度 助力扎实稳住经济的通知》（浙财采监〔2022〕8号）规定执行，到期后按财库〔2022〕19号文件规定执行。</w:t>
            </w:r>
          </w:p>
          <w:p w14:paraId="186CB01D">
            <w:pPr>
              <w:widowControl/>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专门面向中小企业采购的项目或者标项，不再执行价格评审优惠的扶持政策。</w:t>
            </w:r>
          </w:p>
          <w:p w14:paraId="29B3E96F">
            <w:pPr>
              <w:widowControl/>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2、节能产品、环境标志产品的强制采购政策</w:t>
            </w:r>
          </w:p>
          <w:p w14:paraId="4A5BC0D0">
            <w:pPr>
              <w:widowControl/>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528F2F1E">
            <w:pPr>
              <w:widowControl/>
              <w:snapToGrid w:val="0"/>
              <w:spacing w:line="46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3、节能产品、环境标志产品的优先采购政策</w:t>
            </w:r>
          </w:p>
          <w:p w14:paraId="747248AE">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szCs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7A97BF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D5FE53E">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0646C971">
            <w:pPr>
              <w:snapToGrid w:val="0"/>
              <w:spacing w:before="120" w:beforeLines="50" w:line="360" w:lineRule="auto"/>
              <w:outlineLvl w:val="2"/>
              <w:rPr>
                <w:rFonts w:hint="eastAsia" w:ascii="宋体" w:hAnsi="宋体"/>
                <w:b/>
                <w:color w:val="auto"/>
                <w:sz w:val="24"/>
                <w:highlight w:val="none"/>
              </w:rPr>
            </w:pPr>
            <w:r>
              <w:rPr>
                <w:rFonts w:hint="eastAsia" w:ascii="宋体" w:hAnsi="宋体"/>
                <w:b/>
                <w:color w:val="auto"/>
                <w:sz w:val="24"/>
                <w:highlight w:val="none"/>
              </w:rPr>
              <w:t>供应商有下列情形之一的，列入失信名单，同时依照《政府采购法》第七十七条及《中华人民共和国政府采购法实施条例》第七十二条规定处罚并追求法律责任。</w:t>
            </w:r>
          </w:p>
          <w:p w14:paraId="34CE935A">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1、提供虚假材料谋取中标、成交的； </w:t>
            </w:r>
            <w:r>
              <w:rPr>
                <w:rFonts w:hint="eastAsia" w:ascii="宋体" w:hAnsi="宋体"/>
                <w:color w:val="auto"/>
                <w:sz w:val="24"/>
                <w:highlight w:val="none"/>
              </w:rPr>
              <w:br w:type="textWrapping"/>
            </w:r>
            <w:r>
              <w:rPr>
                <w:rFonts w:hint="eastAsia" w:ascii="宋体" w:hAnsi="宋体"/>
                <w:color w:val="auto"/>
                <w:sz w:val="24"/>
                <w:highlight w:val="none"/>
              </w:rPr>
              <w:t xml:space="preserve">2、采取不正当手段诋毁、排挤其他供应商的； </w:t>
            </w:r>
            <w:r>
              <w:rPr>
                <w:rFonts w:hint="eastAsia" w:ascii="宋体" w:hAnsi="宋体"/>
                <w:color w:val="auto"/>
                <w:sz w:val="24"/>
                <w:highlight w:val="none"/>
              </w:rPr>
              <w:br w:type="textWrapping"/>
            </w:r>
            <w:r>
              <w:rPr>
                <w:rFonts w:hint="eastAsia" w:ascii="宋体" w:hAnsi="宋体"/>
                <w:color w:val="auto"/>
                <w:sz w:val="24"/>
                <w:highlight w:val="none"/>
              </w:rPr>
              <w:t xml:space="preserve">3、与采购人、其他供应商或者采购代理机构恶意串通的； </w:t>
            </w:r>
            <w:r>
              <w:rPr>
                <w:rFonts w:hint="eastAsia" w:ascii="宋体" w:hAnsi="宋体"/>
                <w:color w:val="auto"/>
                <w:sz w:val="24"/>
                <w:highlight w:val="none"/>
              </w:rPr>
              <w:br w:type="textWrapping"/>
            </w:r>
            <w:r>
              <w:rPr>
                <w:rFonts w:hint="eastAsia" w:ascii="宋体" w:hAnsi="宋体"/>
                <w:color w:val="auto"/>
                <w:sz w:val="24"/>
                <w:highlight w:val="none"/>
              </w:rPr>
              <w:t xml:space="preserve">4、向采购人、采购代理机构行贿或者提供其他不正当利益的； </w:t>
            </w:r>
            <w:r>
              <w:rPr>
                <w:rFonts w:hint="eastAsia" w:ascii="宋体" w:hAnsi="宋体"/>
                <w:color w:val="auto"/>
                <w:sz w:val="24"/>
                <w:highlight w:val="none"/>
              </w:rPr>
              <w:br w:type="textWrapping"/>
            </w:r>
            <w:r>
              <w:rPr>
                <w:rFonts w:hint="eastAsia" w:ascii="宋体" w:hAnsi="宋体"/>
                <w:color w:val="auto"/>
                <w:sz w:val="24"/>
                <w:highlight w:val="none"/>
              </w:rPr>
              <w:t xml:space="preserve">5、在招标采购过程中与采购人进行协商谈判的； </w:t>
            </w:r>
          </w:p>
          <w:p w14:paraId="6321EB79">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6、向评标委员会、竞争性谈判小组或者询价小组成员行贿或者提供其他不正当利益；</w:t>
            </w:r>
          </w:p>
          <w:p w14:paraId="07C6026B">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7、中标或者成交后无正当理由拒不与采购人签订政府采购合同；</w:t>
            </w:r>
          </w:p>
          <w:p w14:paraId="38375062">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8、未按照采购文件确定的事项签订政府采购合同；</w:t>
            </w:r>
          </w:p>
          <w:p w14:paraId="1AF22D2E">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9、将政府采购合同转包；</w:t>
            </w:r>
          </w:p>
          <w:p w14:paraId="5C164074">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10、提供假冒伪劣产品；</w:t>
            </w:r>
          </w:p>
          <w:p w14:paraId="3872C0AD">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11、擅自变更、中止或者终止政府采购合同。</w:t>
            </w:r>
          </w:p>
          <w:p w14:paraId="3EBC8858">
            <w:pPr>
              <w:snapToGrid w:val="0"/>
              <w:spacing w:line="360" w:lineRule="auto"/>
              <w:rPr>
                <w:rFonts w:hint="eastAsia" w:ascii="宋体" w:hAnsi="宋体" w:eastAsia="宋体" w:cs="宋体"/>
                <w:color w:val="auto"/>
                <w:sz w:val="24"/>
                <w:highlight w:val="none"/>
              </w:rPr>
            </w:pPr>
            <w:r>
              <w:rPr>
                <w:rFonts w:hint="eastAsia" w:ascii="宋体" w:hAnsi="宋体"/>
                <w:color w:val="auto"/>
                <w:sz w:val="24"/>
                <w:highlight w:val="none"/>
              </w:rPr>
              <w:t>12、其他严重扰乱招投标程序的。</w:t>
            </w:r>
          </w:p>
        </w:tc>
      </w:tr>
      <w:tr w14:paraId="4221D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6EB2F103">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2111" w:type="dxa"/>
            <w:tcBorders>
              <w:top w:val="single" w:color="auto" w:sz="4" w:space="0"/>
              <w:left w:val="single" w:color="auto" w:sz="4" w:space="0"/>
              <w:bottom w:val="single" w:color="auto" w:sz="4" w:space="0"/>
              <w:right w:val="single" w:color="auto" w:sz="4" w:space="0"/>
            </w:tcBorders>
            <w:vAlign w:val="center"/>
          </w:tcPr>
          <w:p w14:paraId="4F89B566">
            <w:pPr>
              <w:snapToGrid w:val="0"/>
              <w:jc w:val="left"/>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rPr>
              <w:t>节能产品</w:t>
            </w:r>
          </w:p>
        </w:tc>
        <w:tc>
          <w:tcPr>
            <w:tcW w:w="6639" w:type="dxa"/>
            <w:tcBorders>
              <w:top w:val="single" w:color="auto" w:sz="4" w:space="0"/>
              <w:left w:val="single" w:color="auto" w:sz="4" w:space="0"/>
              <w:bottom w:val="single" w:color="auto" w:sz="4" w:space="0"/>
              <w:right w:val="single" w:color="auto" w:sz="4" w:space="0"/>
            </w:tcBorders>
            <w:vAlign w:val="center"/>
          </w:tcPr>
          <w:p w14:paraId="3824D9C6">
            <w:pPr>
              <w:snapToGrid w:val="0"/>
              <w:spacing w:line="440" w:lineRule="atLeast"/>
              <w:rPr>
                <w:rFonts w:ascii="宋体" w:hAnsi="宋体" w:cs="宋体"/>
                <w:color w:val="auto"/>
                <w:sz w:val="24"/>
                <w:szCs w:val="24"/>
                <w:highlight w:val="none"/>
              </w:rPr>
            </w:pPr>
            <w:r>
              <w:rPr>
                <w:rFonts w:hint="eastAsia" w:ascii="宋体" w:hAnsi="宋体" w:cs="宋体"/>
                <w:color w:val="auto"/>
                <w:sz w:val="24"/>
                <w:szCs w:val="24"/>
                <w:highlight w:val="none"/>
              </w:rPr>
              <w:t>□ 强制采购节能产品</w:t>
            </w:r>
          </w:p>
          <w:p w14:paraId="341F1BCA">
            <w:pPr>
              <w:snapToGrid w:val="0"/>
              <w:spacing w:line="440" w:lineRule="atLeast"/>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 优先采购节能产品</w:t>
            </w:r>
          </w:p>
          <w:p w14:paraId="223AD04A">
            <w:pPr>
              <w:snapToGrid w:val="0"/>
              <w:spacing w:line="440" w:lineRule="atLeas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rPr>
              <w:t xml:space="preserve"> 不适用</w:t>
            </w:r>
          </w:p>
        </w:tc>
      </w:tr>
      <w:tr w14:paraId="4A974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0FE49CE">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2111" w:type="dxa"/>
            <w:tcBorders>
              <w:top w:val="single" w:color="auto" w:sz="4" w:space="0"/>
              <w:left w:val="single" w:color="auto" w:sz="4" w:space="0"/>
              <w:bottom w:val="single" w:color="auto" w:sz="4" w:space="0"/>
              <w:right w:val="single" w:color="auto" w:sz="4" w:space="0"/>
            </w:tcBorders>
            <w:vAlign w:val="center"/>
          </w:tcPr>
          <w:p w14:paraId="25956C13">
            <w:pPr>
              <w:snapToGrid w:val="0"/>
              <w:jc w:val="left"/>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rPr>
              <w:t>环境标志产品</w:t>
            </w:r>
          </w:p>
        </w:tc>
        <w:tc>
          <w:tcPr>
            <w:tcW w:w="6639" w:type="dxa"/>
            <w:tcBorders>
              <w:top w:val="single" w:color="auto" w:sz="4" w:space="0"/>
              <w:left w:val="single" w:color="auto" w:sz="4" w:space="0"/>
              <w:bottom w:val="single" w:color="auto" w:sz="4" w:space="0"/>
              <w:right w:val="single" w:color="auto" w:sz="4" w:space="0"/>
            </w:tcBorders>
            <w:vAlign w:val="center"/>
          </w:tcPr>
          <w:p w14:paraId="7B0A59D1">
            <w:pPr>
              <w:snapToGrid w:val="0"/>
              <w:spacing w:line="440" w:lineRule="atLeast"/>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 优先采购环境标志产品</w:t>
            </w:r>
          </w:p>
          <w:p w14:paraId="291CCABB">
            <w:pPr>
              <w:snapToGrid w:val="0"/>
              <w:spacing w:line="440" w:lineRule="atLeas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rPr>
              <w:t xml:space="preserve"> 不适用</w:t>
            </w:r>
          </w:p>
        </w:tc>
      </w:tr>
      <w:tr w14:paraId="1432E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CA4F936">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22</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2860321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投标文件有效期：</w:t>
            </w:r>
            <w:r>
              <w:rPr>
                <w:rFonts w:hint="eastAsia" w:ascii="宋体" w:hAnsi="宋体" w:eastAsia="宋体" w:cs="宋体"/>
                <w:color w:val="auto"/>
                <w:sz w:val="24"/>
                <w:highlight w:val="none"/>
                <w:u w:val="single"/>
              </w:rPr>
              <w:t>60</w:t>
            </w:r>
            <w:r>
              <w:rPr>
                <w:rFonts w:hint="eastAsia" w:ascii="宋体" w:hAnsi="宋体" w:eastAsia="宋体" w:cs="宋体"/>
                <w:color w:val="auto"/>
                <w:sz w:val="24"/>
                <w:highlight w:val="none"/>
              </w:rPr>
              <w:t>天</w:t>
            </w:r>
          </w:p>
        </w:tc>
      </w:tr>
      <w:tr w14:paraId="7139F5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9488E03">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23</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78B88E6C">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招标方对投标人的落选不作出任何解释。</w:t>
            </w:r>
          </w:p>
        </w:tc>
      </w:tr>
      <w:tr w14:paraId="47FDF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81D5141">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24</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15F851A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采购人和招标代理机构的任何工作人员对投标人所作的任何口头解释、介绍、答复，仅供投标人参考，不作为招标依据，对采购人、招标代理机构和投标人无任何约束力，一切以网上公告及书面形式为准。</w:t>
            </w:r>
          </w:p>
        </w:tc>
      </w:tr>
      <w:tr w14:paraId="6119DE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71111D1">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25</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531B223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解释：本招标文件的解释权属于</w:t>
            </w:r>
            <w:r>
              <w:rPr>
                <w:rFonts w:hint="eastAsia" w:ascii="宋体" w:hAnsi="宋体" w:cs="宋体"/>
                <w:color w:val="auto"/>
                <w:sz w:val="24"/>
                <w:highlight w:val="none"/>
                <w:lang w:eastAsia="zh-CN"/>
              </w:rPr>
              <w:t>浙江衢州公信工程管理有限公司</w:t>
            </w:r>
            <w:r>
              <w:rPr>
                <w:rFonts w:hint="eastAsia" w:ascii="宋体" w:hAnsi="宋体" w:eastAsia="宋体" w:cs="宋体"/>
                <w:color w:val="auto"/>
                <w:sz w:val="24"/>
                <w:highlight w:val="none"/>
              </w:rPr>
              <w:t>。</w:t>
            </w:r>
          </w:p>
        </w:tc>
      </w:tr>
    </w:tbl>
    <w:p w14:paraId="04CC734F">
      <w:pPr>
        <w:pStyle w:val="12"/>
        <w:snapToGrid w:val="0"/>
        <w:spacing w:before="120" w:after="120"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注：如本招标文件后面的条款与本表有矛盾的以本表的内容为准。</w:t>
      </w:r>
    </w:p>
    <w:p w14:paraId="737D2B49">
      <w:pPr>
        <w:pStyle w:val="12"/>
        <w:pageBreakBefore/>
        <w:numPr>
          <w:ilvl w:val="0"/>
          <w:numId w:val="2"/>
        </w:numPr>
        <w:snapToGrid w:val="0"/>
        <w:spacing w:line="360" w:lineRule="auto"/>
        <w:ind w:left="826" w:hanging="826" w:hangingChars="343"/>
        <w:jc w:val="center"/>
        <w:outlineLvl w:val="1"/>
        <w:rPr>
          <w:rFonts w:hint="eastAsia" w:ascii="宋体" w:hAnsi="宋体" w:eastAsia="宋体" w:cs="宋体"/>
          <w:b/>
          <w:color w:val="auto"/>
          <w:szCs w:val="24"/>
          <w:highlight w:val="none"/>
        </w:rPr>
      </w:pPr>
      <w:bookmarkStart w:id="16" w:name="_Toc13398"/>
      <w:r>
        <w:rPr>
          <w:rFonts w:hint="eastAsia" w:ascii="宋体" w:hAnsi="宋体" w:eastAsia="宋体" w:cs="宋体"/>
          <w:b/>
          <w:color w:val="auto"/>
          <w:szCs w:val="24"/>
          <w:highlight w:val="none"/>
        </w:rPr>
        <w:t>总则</w:t>
      </w:r>
      <w:bookmarkEnd w:id="16"/>
    </w:p>
    <w:p w14:paraId="727A8814">
      <w:pPr>
        <w:spacing w:line="440" w:lineRule="exact"/>
        <w:rPr>
          <w:rFonts w:hint="eastAsia" w:ascii="宋体" w:hAnsi="宋体" w:eastAsia="宋体" w:cs="宋体"/>
          <w:b/>
          <w:color w:val="auto"/>
          <w:sz w:val="24"/>
          <w:highlight w:val="none"/>
        </w:rPr>
      </w:pPr>
      <w:bookmarkStart w:id="17" w:name="_Toc407182093"/>
      <w:r>
        <w:rPr>
          <w:rFonts w:hint="eastAsia" w:ascii="宋体" w:hAnsi="宋体" w:eastAsia="宋体" w:cs="宋体"/>
          <w:b/>
          <w:color w:val="auto"/>
          <w:sz w:val="24"/>
          <w:highlight w:val="none"/>
        </w:rPr>
        <w:t>（一） 适用范围</w:t>
      </w:r>
      <w:bookmarkEnd w:id="17"/>
    </w:p>
    <w:p w14:paraId="4264A5BB">
      <w:pPr>
        <w:spacing w:line="44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本招标文件适用于</w:t>
      </w:r>
      <w:r>
        <w:rPr>
          <w:rFonts w:hint="eastAsia" w:ascii="宋体" w:hAnsi="宋体" w:cs="宋体"/>
          <w:color w:val="auto"/>
          <w:sz w:val="24"/>
          <w:highlight w:val="none"/>
          <w:lang w:eastAsia="zh-CN"/>
        </w:rPr>
        <w:t>东阳市白云街道2024-2025年度枯死松树清理项目</w:t>
      </w:r>
      <w:r>
        <w:rPr>
          <w:rFonts w:hint="eastAsia" w:ascii="宋体" w:hAnsi="宋体" w:eastAsia="宋体" w:cs="宋体"/>
          <w:color w:val="auto"/>
          <w:sz w:val="24"/>
          <w:highlight w:val="none"/>
        </w:rPr>
        <w:t>的招标、投标、评标、定标、验收、合同履约、付款等行为（法律、法规另有规定的，从其规定）。</w:t>
      </w:r>
    </w:p>
    <w:p w14:paraId="3405DA14">
      <w:pPr>
        <w:spacing w:line="440" w:lineRule="exact"/>
        <w:rPr>
          <w:rFonts w:hint="eastAsia" w:ascii="宋体" w:hAnsi="宋体" w:eastAsia="宋体" w:cs="宋体"/>
          <w:b/>
          <w:color w:val="auto"/>
          <w:sz w:val="24"/>
          <w:highlight w:val="none"/>
          <w:lang w:val="en-US" w:eastAsia="zh-CN"/>
        </w:rPr>
      </w:pPr>
      <w:bookmarkStart w:id="18" w:name="_Toc407182094"/>
      <w:r>
        <w:rPr>
          <w:rFonts w:hint="eastAsia" w:ascii="宋体" w:hAnsi="宋体" w:eastAsia="宋体" w:cs="宋体"/>
          <w:b/>
          <w:color w:val="auto"/>
          <w:sz w:val="24"/>
          <w:highlight w:val="none"/>
        </w:rPr>
        <w:t>（二）定义</w:t>
      </w:r>
      <w:bookmarkEnd w:id="18"/>
      <w:r>
        <w:rPr>
          <w:rFonts w:hint="eastAsia" w:ascii="宋体" w:hAnsi="宋体" w:cs="宋体"/>
          <w:b/>
          <w:color w:val="auto"/>
          <w:sz w:val="24"/>
          <w:highlight w:val="none"/>
          <w:lang w:val="en-US" w:eastAsia="zh-CN"/>
        </w:rPr>
        <w:t>及</w:t>
      </w:r>
      <w:r>
        <w:rPr>
          <w:rFonts w:hint="eastAsia" w:ascii="宋体" w:hAnsi="宋体" w:eastAsia="宋体" w:cs="宋体"/>
          <w:b/>
          <w:color w:val="auto"/>
          <w:sz w:val="24"/>
          <w:highlight w:val="none"/>
        </w:rPr>
        <w:t>采购项目需要落实的政府采购政策</w:t>
      </w:r>
    </w:p>
    <w:p w14:paraId="0704C40A">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1.招标采购单位系指组织本次招标的</w:t>
      </w:r>
      <w:r>
        <w:rPr>
          <w:rFonts w:hint="eastAsia" w:ascii="宋体" w:hAnsi="宋体" w:cs="宋体"/>
          <w:color w:val="auto"/>
          <w:sz w:val="24"/>
          <w:highlight w:val="none"/>
          <w:lang w:eastAsia="zh-CN"/>
        </w:rPr>
        <w:t>浙江衢州公信工程管理有限公司</w:t>
      </w:r>
      <w:r>
        <w:rPr>
          <w:rFonts w:hint="eastAsia" w:ascii="宋体" w:hAnsi="宋体" w:eastAsia="宋体" w:cs="宋体"/>
          <w:color w:val="auto"/>
          <w:sz w:val="24"/>
          <w:highlight w:val="none"/>
        </w:rPr>
        <w:t>（“招标方”）和</w:t>
      </w:r>
      <w:r>
        <w:rPr>
          <w:rFonts w:hint="eastAsia" w:ascii="宋体" w:hAnsi="宋体" w:cs="宋体"/>
          <w:color w:val="auto"/>
          <w:sz w:val="24"/>
          <w:highlight w:val="none"/>
          <w:lang w:val="en-US" w:eastAsia="zh-CN"/>
        </w:rPr>
        <w:t>东阳市白云街道办事处</w:t>
      </w:r>
      <w:r>
        <w:rPr>
          <w:rFonts w:hint="eastAsia" w:ascii="宋体" w:hAnsi="宋体" w:eastAsia="宋体" w:cs="宋体"/>
          <w:color w:val="auto"/>
          <w:sz w:val="24"/>
          <w:highlight w:val="none"/>
        </w:rPr>
        <w:t>（“采购人”）。</w:t>
      </w:r>
    </w:p>
    <w:p w14:paraId="3E43E567">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2.“投标人”系指向招标方提交投标文件的单位或个人。</w:t>
      </w:r>
    </w:p>
    <w:p w14:paraId="7D745A85">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3.“服务”系指招标文件规定投标人须承担的本项目所衍生的一切服务义务。 </w:t>
      </w:r>
    </w:p>
    <w:p w14:paraId="7DB1E96D">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4.“项目”系指投标人按招标文件规定向采购人提供的成果和项目服务。</w:t>
      </w:r>
    </w:p>
    <w:p w14:paraId="3160CEC2">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5.“书面形式”包括信函、传真、电报等。</w:t>
      </w:r>
    </w:p>
    <w:p w14:paraId="33D6B505">
      <w:pPr>
        <w:spacing w:line="44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6. “▲”系指实质性要求条款。</w:t>
      </w:r>
      <w:r>
        <w:rPr>
          <w:rFonts w:hint="eastAsia" w:ascii="宋体" w:hAnsi="宋体" w:cs="宋体"/>
          <w:color w:val="auto"/>
          <w:sz w:val="24"/>
          <w:szCs w:val="24"/>
          <w:highlight w:val="none"/>
        </w:rPr>
        <w:t>“（√）” 系指适用本项目的要求，“（  ）”系指不适用本项目的要求。</w:t>
      </w:r>
      <w:r>
        <w:rPr>
          <w:rFonts w:hint="eastAsia" w:ascii="宋体" w:hAnsi="宋体" w:cs="宋体"/>
          <w:b/>
          <w:bCs/>
          <w:color w:val="auto"/>
          <w:sz w:val="24"/>
          <w:highlight w:val="none"/>
        </w:rPr>
        <w:t>“★”系指重要指标</w:t>
      </w:r>
      <w:r>
        <w:rPr>
          <w:rFonts w:hint="eastAsia" w:ascii="宋体" w:hAnsi="宋体" w:cs="宋体"/>
          <w:b/>
          <w:bCs/>
          <w:color w:val="auto"/>
          <w:sz w:val="24"/>
          <w:highlight w:val="none"/>
          <w:lang w:eastAsia="zh-CN"/>
        </w:rPr>
        <w:t>。</w:t>
      </w:r>
    </w:p>
    <w:p w14:paraId="12C414CD">
      <w:pPr>
        <w:spacing w:line="440" w:lineRule="exac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 采购项目需要落实的政府采购政策</w:t>
      </w:r>
    </w:p>
    <w:p w14:paraId="01338335">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54813B12">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7.2 支持绿色发展</w:t>
      </w:r>
    </w:p>
    <w:p w14:paraId="3E913092">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采购人拟采购的产品属于政府强制采购的节能产品品目清单范围的，供应商未按采购文件要求提供国家确定的认证机构出具的、处于有效期之内的节能产品认证证书的，投标无效。</w:t>
      </w:r>
    </w:p>
    <w:p w14:paraId="5F8C40DF">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602BF90">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7.3支持中小企业发展</w:t>
      </w:r>
    </w:p>
    <w:p w14:paraId="7407047A">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7.3.1中小企业，是指在中华人民共和国境内依法设立，依据国务院批准的中小企业划分标准确定的中型企业、小型企业和微型企业，但与大企业的负责人为同一人，或者与大企业存在直接控股、管理关系的除外。</w:t>
      </w:r>
    </w:p>
    <w:p w14:paraId="1C89A5F3">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符合中小企业划分标准的个体工商户，在政府采购活动中视同中小企业。</w:t>
      </w:r>
    </w:p>
    <w:p w14:paraId="45572CFF">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7.3.2在政府采购活动中，供应商提供的货物、工程或者服务符合下列情形的，享受中小企业扶持政策：</w:t>
      </w:r>
    </w:p>
    <w:p w14:paraId="2831D85C">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7.3.2.1在货物采购项目中，货物由中小企业制造，即货物由中小企业生产且使用该中小企业商号或者注册商标；</w:t>
      </w:r>
    </w:p>
    <w:p w14:paraId="09D3F2EC">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7.3.2.2在工程采购项目中，工程由中小企业承建，即工程施工单位为中小企业；</w:t>
      </w:r>
    </w:p>
    <w:p w14:paraId="1756FBCE">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7.3.2.3在服务采购项目中，服务由中小企业承接，即提供服务的人员为中小企业依照《中华人民共和国劳动合同法》订立劳动合同的从业人员。</w:t>
      </w:r>
    </w:p>
    <w:p w14:paraId="4CB021EA">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在货物采购项目中，供应商提供的货物既有中小企业制造货物，也有大型企业制造货物的，不享受中小企业扶持政策。</w:t>
      </w:r>
    </w:p>
    <w:p w14:paraId="432B2DEE">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以联合体形式参加政府采购活动，联合体各方均为中小企业的，联合体视同中小企业。其中，联合体各方均为小微企业的，联合体视同小微企业。</w:t>
      </w:r>
    </w:p>
    <w:p w14:paraId="0D3AF8EB">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7.3.3符合《关于促进残疾人就业政府采购政策的通知》（财库〔2017〕141号）规定的条件并提供《残疾人福利性单位声明函》（附件1）的残疾人福利性单位视同小型、微型企业；</w:t>
      </w:r>
    </w:p>
    <w:p w14:paraId="35AD6DA9">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7.3.4符合《关于政府采购支持监狱企业发展有关问题的通知》（财库[2014]68号）规定的监狱企业并提供由省级以上监狱管理局、戒毒管理局（含新疆生产建设兵团）出具的属于监狱企业证明文件的，视同为小型、微型企业。</w:t>
      </w:r>
    </w:p>
    <w:p w14:paraId="3EAAFD57">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7.3.5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6CCBE1D2">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7.3.6中小企业享受扶持政策获得政府采购合同的，小微企业不得将合同分包给大中型企业，中型企业不得将合同分包给大型企业。</w:t>
      </w:r>
    </w:p>
    <w:p w14:paraId="619AB60D">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7.4支持创新发展</w:t>
      </w:r>
    </w:p>
    <w:p w14:paraId="00207DAD">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7.4.1 采购人优先采购被认定为首台套产品和“制造精品”的自主创新产品。</w:t>
      </w:r>
    </w:p>
    <w:p w14:paraId="1631C56E">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1F2B5D5C">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33D5B695">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（三）招标方式</w:t>
      </w:r>
    </w:p>
    <w:p w14:paraId="6ED8E33A">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本次招标采用公开招标方式进行。</w:t>
      </w:r>
    </w:p>
    <w:p w14:paraId="7BBAB3E7">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（四）投标委托</w:t>
      </w:r>
    </w:p>
    <w:p w14:paraId="4F177D52">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如投标人代表不是法定代表人，须有法定代表人出具的授权委托书，委托代理人必须为投标人的在职正式职工（以投标人本单位缴纳社保花名册</w:t>
      </w:r>
      <w:r>
        <w:rPr>
          <w:rFonts w:hint="eastAsia" w:ascii="宋体" w:hAnsi="宋体"/>
          <w:color w:val="auto"/>
          <w:sz w:val="24"/>
          <w:highlight w:val="none"/>
        </w:rPr>
        <w:t>或浙江政务服务网查询打印的社会保险参保证明（需带二维码及浙江省社会保险电子专用章</w:t>
      </w:r>
      <w:r>
        <w:rPr>
          <w:rFonts w:hint="eastAsia" w:ascii="宋体" w:hAnsi="宋体"/>
          <w:color w:val="auto"/>
          <w:sz w:val="24"/>
          <w:highlight w:val="none"/>
          <w:lang w:eastAsia="zh-CN"/>
        </w:rPr>
        <w:t>）</w:t>
      </w:r>
      <w:r>
        <w:rPr>
          <w:rFonts w:hint="eastAsia" w:ascii="宋体" w:hAnsi="宋体"/>
          <w:color w:val="auto"/>
          <w:sz w:val="24"/>
          <w:highlight w:val="none"/>
        </w:rPr>
        <w:t>为准</w:t>
      </w:r>
      <w:r>
        <w:rPr>
          <w:rFonts w:hint="eastAsia" w:ascii="宋体" w:hAnsi="宋体" w:eastAsia="宋体" w:cs="宋体"/>
          <w:color w:val="auto"/>
          <w:sz w:val="24"/>
          <w:highlight w:val="none"/>
        </w:rPr>
        <w:t>）。</w:t>
      </w:r>
    </w:p>
    <w:p w14:paraId="48D3DE22">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▲（五）投标费用</w:t>
      </w:r>
    </w:p>
    <w:p w14:paraId="619A81AD">
      <w:pPr>
        <w:spacing w:line="44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1.不论投标结果如何，投标人均应自行承担所有与投标有关的全部费用（招标文件有相反规定除外）。</w:t>
      </w:r>
    </w:p>
    <w:p w14:paraId="4A3935B2">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cs="宋体"/>
          <w:b/>
          <w:color w:val="auto"/>
          <w:sz w:val="24"/>
          <w:szCs w:val="24"/>
          <w:highlight w:val="none"/>
          <w:lang w:eastAsia="zh-CN"/>
        </w:rPr>
        <w:t>浙江衢州公信工程管理有限公司</w:t>
      </w:r>
      <w:r>
        <w:rPr>
          <w:rFonts w:hint="eastAsia" w:ascii="宋体" w:hAnsi="宋体" w:eastAsia="宋体" w:cs="宋体"/>
          <w:b/>
          <w:color w:val="auto"/>
          <w:sz w:val="24"/>
          <w:szCs w:val="24"/>
          <w:highlight w:val="none"/>
        </w:rPr>
        <w:t>按差额定率累进法计算（详见本条下列表格收费标准），向中标单位收取中标服务费</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rPr>
        <w:t>中标服务费在中标结果公示结束之日起3天内（在领取中标通知书前）交纳。</w:t>
      </w:r>
    </w:p>
    <w:tbl>
      <w:tblPr>
        <w:tblStyle w:val="24"/>
        <w:tblW w:w="9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9"/>
        <w:gridCol w:w="4160"/>
      </w:tblGrid>
      <w:tr w14:paraId="15AB1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5399"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68195B75">
            <w:pPr>
              <w:ind w:firstLine="840" w:firstLineChars="400"/>
              <w:rPr>
                <w:rFonts w:hint="eastAsia" w:ascii="宋体" w:hAnsi="宋体" w:cs="宋体"/>
                <w:b/>
                <w:color w:val="auto"/>
                <w:sz w:val="24"/>
                <w:highlight w:val="none"/>
              </w:rPr>
            </w:pPr>
            <w:r>
              <w:rPr>
                <w:rFonts w:hint="eastAsia" w:ascii="宋体" w:hAnsi="宋体" w:cs="宋体"/>
                <w:color w:val="auto"/>
                <w:highlight w:val="none"/>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rkdN+1QAAAAkBAAAP&#10;AAAAAAAAAAEAIAAAACIAAABkcnMvZG93bnJldi54bWxQSwECFAAUAAAACACHTuJACXyhK+IBAACy&#10;AwAADgAAAAAAAAABACAAAAAkAQAAZHJzL2Uyb0RvYy54bWxQSwUGAAAAAAYABgBZAQAAeAUAAAAA&#10;">
                      <v:fill on="f" focussize="0,0"/>
                      <v:stroke color="#000000" joinstyle="round"/>
                      <v:imagedata o:title=""/>
                      <o:lock v:ext="edit" aspectratio="f"/>
                    </v:line>
                  </w:pict>
                </mc:Fallback>
              </mc:AlternateContent>
            </w:r>
            <w:r>
              <w:rPr>
                <w:rFonts w:hint="eastAsia" w:ascii="宋体" w:hAnsi="宋体" w:cs="宋体"/>
                <w:b/>
                <w:color w:val="auto"/>
                <w:sz w:val="24"/>
                <w:highlight w:val="none"/>
              </w:rPr>
              <w:t>服务类型</w:t>
            </w:r>
          </w:p>
          <w:p w14:paraId="3F4162E1">
            <w:pPr>
              <w:rPr>
                <w:rFonts w:hint="eastAsia" w:ascii="宋体" w:hAnsi="宋体" w:cs="宋体"/>
                <w:b/>
                <w:color w:val="auto"/>
                <w:sz w:val="24"/>
                <w:highlight w:val="none"/>
              </w:rPr>
            </w:pPr>
            <w:r>
              <w:rPr>
                <w:rFonts w:hint="eastAsia" w:ascii="宋体" w:hAnsi="宋体" w:cs="宋体"/>
                <w:b/>
                <w:color w:val="auto"/>
                <w:sz w:val="24"/>
                <w:highlight w:val="none"/>
              </w:rPr>
              <w:t>费率</w:t>
            </w:r>
          </w:p>
          <w:p w14:paraId="68C4F704">
            <w:pPr>
              <w:rPr>
                <w:rFonts w:hint="eastAsia" w:ascii="宋体" w:hAnsi="宋体" w:cs="宋体"/>
                <w:b/>
                <w:color w:val="auto"/>
                <w:sz w:val="24"/>
                <w:highlight w:val="none"/>
              </w:rPr>
            </w:pPr>
            <w:r>
              <w:rPr>
                <w:rFonts w:hint="eastAsia" w:ascii="宋体" w:hAnsi="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-58420</wp:posOffset>
                      </wp:positionH>
                      <wp:positionV relativeFrom="paragraph">
                        <wp:posOffset>71755</wp:posOffset>
                      </wp:positionV>
                      <wp:extent cx="3423285" cy="619760"/>
                      <wp:effectExtent l="635" t="4445" r="5080" b="23495"/>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3423285" cy="61976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6pt;margin-top:5.65pt;height:48.8pt;width:269.55pt;z-index:251661312;mso-width-relative:page;mso-height-relative:page;" filled="f" stroked="t" coordsize="21600,21600" o:gfxdata="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G3B7bXAAAACQEAAA8AAAAAAAAAAQAgAAAAIgAAAGRycy9kb3ducmV2LnhtbFBLAQIUABQA&#10;AAAIAIdO4kDzDt2Z8QEAAL0DAAAOAAAAAAAAAAEAIAAAACYBAABkcnMvZTJvRG9jLnhtbFBLBQYA&#10;AAAABgAGAFkBAACJBQAAAAA=&#10;">
                      <v:fill on="f" focussize="0,0"/>
                      <v:stroke color="#000000" joinstyle="round"/>
                      <v:imagedata o:title=""/>
                      <o:lock v:ext="edit" aspectratio="f"/>
                    </v:line>
                  </w:pict>
                </mc:Fallback>
              </mc:AlternateContent>
            </w:r>
          </w:p>
          <w:p w14:paraId="7EDCF6DD">
            <w:pPr>
              <w:rPr>
                <w:rFonts w:hint="eastAsia" w:ascii="宋体" w:hAnsi="宋体" w:cs="宋体"/>
                <w:b/>
                <w:color w:val="auto"/>
                <w:sz w:val="24"/>
                <w:highlight w:val="none"/>
              </w:rPr>
            </w:pPr>
          </w:p>
          <w:p w14:paraId="00CECBE9">
            <w:pPr>
              <w:rPr>
                <w:rFonts w:hint="eastAsia" w:ascii="宋体" w:hAnsi="宋体" w:cs="宋体"/>
                <w:b/>
                <w:color w:val="auto"/>
                <w:sz w:val="24"/>
                <w:highlight w:val="none"/>
              </w:rPr>
            </w:pPr>
            <w:r>
              <w:rPr>
                <w:rFonts w:hint="eastAsia" w:ascii="宋体" w:hAnsi="宋体" w:cs="宋体"/>
                <w:b/>
                <w:color w:val="auto"/>
                <w:sz w:val="24"/>
                <w:highlight w:val="none"/>
              </w:rPr>
              <w:t>中标金额（万元）</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7BFE9B27">
            <w:pPr>
              <w:jc w:val="center"/>
              <w:rPr>
                <w:rFonts w:hint="eastAsia" w:ascii="宋体" w:hAnsi="宋体" w:cs="宋体"/>
                <w:b/>
                <w:color w:val="auto"/>
                <w:sz w:val="24"/>
                <w:highlight w:val="none"/>
              </w:rPr>
            </w:pPr>
            <w:r>
              <w:rPr>
                <w:rFonts w:hint="eastAsia" w:ascii="宋体" w:hAnsi="宋体" w:cs="宋体"/>
                <w:b/>
                <w:color w:val="auto"/>
                <w:sz w:val="24"/>
                <w:highlight w:val="none"/>
              </w:rPr>
              <w:t>服务招标</w:t>
            </w:r>
          </w:p>
        </w:tc>
      </w:tr>
      <w:tr w14:paraId="3FC6B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399" w:type="dxa"/>
            <w:tcBorders>
              <w:top w:val="single" w:color="auto" w:sz="4" w:space="0"/>
              <w:left w:val="single" w:color="auto" w:sz="4" w:space="0"/>
              <w:bottom w:val="single" w:color="auto" w:sz="4" w:space="0"/>
              <w:right w:val="single" w:color="auto" w:sz="4" w:space="0"/>
            </w:tcBorders>
            <w:noWrap w:val="0"/>
            <w:vAlign w:val="top"/>
          </w:tcPr>
          <w:p w14:paraId="5F4019A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100以下</w:t>
            </w:r>
          </w:p>
        </w:tc>
        <w:tc>
          <w:tcPr>
            <w:tcW w:w="4160" w:type="dxa"/>
            <w:tcBorders>
              <w:top w:val="single" w:color="auto" w:sz="4" w:space="0"/>
              <w:left w:val="single" w:color="auto" w:sz="4" w:space="0"/>
              <w:bottom w:val="single" w:color="auto" w:sz="4" w:space="0"/>
              <w:right w:val="single" w:color="auto" w:sz="4" w:space="0"/>
            </w:tcBorders>
            <w:noWrap w:val="0"/>
            <w:vAlign w:val="top"/>
          </w:tcPr>
          <w:p w14:paraId="2D3035C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1.5%</w:t>
            </w:r>
          </w:p>
        </w:tc>
      </w:tr>
    </w:tbl>
    <w:p w14:paraId="13E5D5E6">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中标服务费由中标人汇至以下账户：</w:t>
      </w:r>
    </w:p>
    <w:p w14:paraId="40D84320">
      <w:pPr>
        <w:snapToGrid w:val="0"/>
        <w:spacing w:line="360" w:lineRule="auto"/>
        <w:ind w:firstLine="482" w:firstLineChars="200"/>
        <w:jc w:val="left"/>
        <w:rPr>
          <w:rFonts w:hint="eastAsia" w:ascii="宋体" w:hAnsi="宋体"/>
          <w:b/>
          <w:bCs/>
          <w:color w:val="auto"/>
          <w:sz w:val="24"/>
        </w:rPr>
      </w:pPr>
      <w:r>
        <w:rPr>
          <w:rFonts w:hint="eastAsia" w:ascii="宋体" w:hAnsi="宋体"/>
          <w:b/>
          <w:bCs/>
          <w:color w:val="auto"/>
          <w:sz w:val="24"/>
        </w:rPr>
        <w:t>汇款帐户名称：浙江衢州公信工程管理有限公司东阳分公司</w:t>
      </w:r>
    </w:p>
    <w:p w14:paraId="2DED920F">
      <w:pPr>
        <w:snapToGrid w:val="0"/>
        <w:spacing w:line="360" w:lineRule="auto"/>
        <w:ind w:firstLine="482" w:firstLineChars="200"/>
        <w:jc w:val="left"/>
        <w:rPr>
          <w:rFonts w:hint="eastAsia" w:ascii="宋体" w:hAnsi="宋体"/>
          <w:b/>
          <w:bCs/>
          <w:color w:val="auto"/>
          <w:sz w:val="24"/>
        </w:rPr>
      </w:pPr>
      <w:r>
        <w:rPr>
          <w:rFonts w:hint="eastAsia" w:ascii="宋体" w:hAnsi="宋体"/>
          <w:b/>
          <w:bCs/>
          <w:color w:val="auto"/>
          <w:sz w:val="24"/>
        </w:rPr>
        <w:t>银行账号：1208040009200230330</w:t>
      </w:r>
    </w:p>
    <w:p w14:paraId="7D2FD061">
      <w:pPr>
        <w:snapToGrid w:val="0"/>
        <w:spacing w:line="360" w:lineRule="auto"/>
        <w:ind w:firstLine="482" w:firstLineChars="200"/>
        <w:jc w:val="left"/>
        <w:rPr>
          <w:rFonts w:hint="eastAsia" w:ascii="宋体" w:hAnsi="宋体"/>
          <w:b/>
          <w:bCs/>
          <w:color w:val="auto"/>
          <w:sz w:val="24"/>
        </w:rPr>
      </w:pPr>
      <w:r>
        <w:rPr>
          <w:rFonts w:hint="eastAsia" w:ascii="宋体" w:hAnsi="宋体"/>
          <w:b/>
          <w:bCs/>
          <w:color w:val="auto"/>
          <w:sz w:val="24"/>
        </w:rPr>
        <w:t>开户银行：工商银行东阳支行</w:t>
      </w:r>
    </w:p>
    <w:p w14:paraId="50C92AAA">
      <w:pPr>
        <w:spacing w:line="44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（六）联合体投标</w:t>
      </w:r>
      <w:r>
        <w:rPr>
          <w:rFonts w:hint="eastAsia" w:ascii="宋体" w:hAnsi="宋体" w:eastAsia="宋体" w:cs="宋体"/>
          <w:b/>
          <w:color w:val="auto"/>
          <w:sz w:val="24"/>
          <w:highlight w:val="none"/>
        </w:rPr>
        <w:tab/>
      </w:r>
    </w:p>
    <w:p w14:paraId="2AAEF3A6">
      <w:pPr>
        <w:spacing w:line="44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本项目接受联合体投标。</w:t>
      </w:r>
    </w:p>
    <w:p w14:paraId="4D172617">
      <w:pPr>
        <w:spacing w:line="440" w:lineRule="exact"/>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（七）</w:t>
      </w:r>
      <w:r>
        <w:rPr>
          <w:rFonts w:hint="eastAsia" w:ascii="宋体" w:hAnsi="宋体" w:eastAsia="宋体" w:cs="宋体"/>
          <w:b/>
          <w:color w:val="auto"/>
          <w:kern w:val="0"/>
          <w:sz w:val="24"/>
          <w:highlight w:val="none"/>
        </w:rPr>
        <w:t>转包与分包</w:t>
      </w:r>
    </w:p>
    <w:p w14:paraId="4CDA0A59">
      <w:pPr>
        <w:spacing w:line="44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1.本项目不允许转包。</w:t>
      </w:r>
    </w:p>
    <w:p w14:paraId="46677FA5">
      <w:pPr>
        <w:spacing w:line="44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2.本项目允许分包。</w:t>
      </w:r>
    </w:p>
    <w:p w14:paraId="78ACA1B0">
      <w:pPr>
        <w:spacing w:line="440" w:lineRule="exact"/>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val="en-US" w:eastAsia="zh-CN"/>
        </w:rPr>
        <w:t>▲</w:t>
      </w:r>
      <w:r>
        <w:rPr>
          <w:rFonts w:hint="eastAsia" w:ascii="宋体" w:hAnsi="宋体" w:eastAsia="宋体" w:cs="宋体"/>
          <w:b/>
          <w:bCs/>
          <w:color w:val="auto"/>
          <w:sz w:val="24"/>
          <w:highlight w:val="none"/>
        </w:rPr>
        <w:t>（八）特别说明：</w:t>
      </w:r>
    </w:p>
    <w:p w14:paraId="78D7C4CC">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1.多家供应商参加投标，如其中两家或两家以上供应商的法定代表人为同一人或相互之间存在投资关系且达到控股的，同时提供的是同一品牌产品的，应当按一个供应商认定。</w:t>
      </w:r>
    </w:p>
    <w:p w14:paraId="303A063F">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2.投标人投标所使用的资格、信誉、荣誉与企业认证必须为本法人所拥有。</w:t>
      </w:r>
    </w:p>
    <w:p w14:paraId="79961DCD">
      <w:pPr>
        <w:spacing w:line="440" w:lineRule="exac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投标人投标所使用的采购项目实施人员必须为本法人员工（或必须为本法人或控股公司正式员工）。</w:t>
      </w:r>
    </w:p>
    <w:p w14:paraId="3D171856">
      <w:pPr>
        <w:spacing w:line="440" w:lineRule="exac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.投标人应仔细阅读招标文件的所有内容，按照招标文件的要求提交投标文件，并对所提供的全部资料的真实性承担法律责任。</w:t>
      </w:r>
    </w:p>
    <w:p w14:paraId="3E11C4D8">
      <w:pPr>
        <w:spacing w:line="440" w:lineRule="exac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投标人在投标活动中提供任何虚假材料,其投标无效，并报监管部门查处；中标后发现的,中标人须依照《中华人民共和国消费者权益保护法》第49条之规定，按中标价双倍赔偿采购人，且民事赔偿并不免除违法投标人的行政与刑事责任。</w:t>
      </w:r>
    </w:p>
    <w:p w14:paraId="2D3B20D0">
      <w:pPr>
        <w:spacing w:line="440" w:lineRule="exac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 评标委员会认为预中标人的投标报价明显低于其他通过符合性审查投标人的报价，有可能影响产品质量或者不能诚信履约的，应当要求其在评标现场合理的时间内提供书面说明，必要时提交相关证明材料，预中标人不能证明其报价合理性的，评标委员会应当将其作为无效投标处理。</w:t>
      </w:r>
    </w:p>
    <w:p w14:paraId="2AF77A68">
      <w:pPr>
        <w:spacing w:line="440" w:lineRule="exac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 招标方不保证最低报价者为中标方。</w:t>
      </w:r>
    </w:p>
    <w:p w14:paraId="6E1CA146">
      <w:pPr>
        <w:spacing w:line="440" w:lineRule="exac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 为维护国家利益及招标方自身利益，允许招标方在合同签订之前仍有选择或拒绝任何或全部投标的权力。</w:t>
      </w:r>
    </w:p>
    <w:p w14:paraId="76A90A44">
      <w:pPr>
        <w:spacing w:line="440" w:lineRule="exac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.“政采云”平台运营机构，以及与该机构有直接控股或者管理关系可能影响采购公正性的任何单位和个人，不得在该平台进行的政府采购项目电子交易中投标、响应政府采购项目。</w:t>
      </w:r>
    </w:p>
    <w:p w14:paraId="4229AA8F">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（九）质疑和投诉</w:t>
      </w:r>
    </w:p>
    <w:p w14:paraId="6BEDFD2E">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认为招标文件、招标过程或中标结果使自己的合法权益受到损害的，应当在知道或者应知其权益受到损害之日起七个工作日内，以书面形式向采购人、招标方提出质疑。投标人对招标方的质疑答复不满意或者招标方未在规定时间内作出答复的，可以在答复期满后十五个工作日内向同级采购监管部门投诉。</w:t>
      </w:r>
    </w:p>
    <w:p w14:paraId="3F0136D2">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7C5D33C7">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 采购人、招标方应当按照《浙江省政府采购供应商质疑处理办法》、中华人民共和国财政部第94号令《政府采购质疑和投诉办法》进行受理与答复质疑。</w:t>
      </w:r>
    </w:p>
    <w:p w14:paraId="3BD38692">
      <w:pPr>
        <w:pStyle w:val="4"/>
        <w:keepNext w:val="0"/>
        <w:keepLines w:val="0"/>
        <w:pageBreakBefore/>
        <w:spacing w:line="360" w:lineRule="auto"/>
        <w:jc w:val="center"/>
        <w:rPr>
          <w:rFonts w:hint="eastAsia" w:ascii="宋体" w:hAnsi="宋体" w:eastAsia="宋体" w:cs="宋体"/>
          <w:color w:val="auto"/>
          <w:sz w:val="24"/>
          <w:szCs w:val="24"/>
          <w:highlight w:val="none"/>
        </w:rPr>
      </w:pPr>
      <w:bookmarkStart w:id="19" w:name="_Toc17916"/>
      <w:bookmarkStart w:id="20" w:name="_Toc454196066"/>
      <w:bookmarkStart w:id="21" w:name="_Toc458697268"/>
      <w:r>
        <w:rPr>
          <w:rFonts w:hint="eastAsia" w:ascii="宋体" w:hAnsi="宋体" w:eastAsia="宋体" w:cs="宋体"/>
          <w:color w:val="auto"/>
          <w:sz w:val="24"/>
          <w:szCs w:val="24"/>
          <w:highlight w:val="none"/>
        </w:rPr>
        <w:t>二、招标文件</w:t>
      </w:r>
      <w:bookmarkEnd w:id="19"/>
      <w:bookmarkEnd w:id="20"/>
      <w:bookmarkEnd w:id="21"/>
    </w:p>
    <w:p w14:paraId="38A97F2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（一）招标文件的构成。本招标文件由以下部分组成：</w:t>
      </w:r>
    </w:p>
    <w:p w14:paraId="4C175D4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1.招标公告</w:t>
      </w:r>
    </w:p>
    <w:p w14:paraId="24F50C6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2.招标需求</w:t>
      </w:r>
    </w:p>
    <w:p w14:paraId="3A4634D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3.投标人须知</w:t>
      </w:r>
    </w:p>
    <w:p w14:paraId="396B4C5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4.评标办法及标准</w:t>
      </w:r>
    </w:p>
    <w:p w14:paraId="5EC59EC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5.合同主要条款</w:t>
      </w:r>
    </w:p>
    <w:p w14:paraId="207C2DC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6.投标文件格式</w:t>
      </w:r>
    </w:p>
    <w:p w14:paraId="286A3F3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7.本项目招标文件的澄清、答复、修改、补充的内容</w:t>
      </w:r>
    </w:p>
    <w:p w14:paraId="1A48D37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（二）投标人的风险</w:t>
      </w:r>
    </w:p>
    <w:p w14:paraId="737E088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投标人没有按照招标文件要求提供全部资料，或者投标人没有对招标文件在各方面作出实质性响应是投标人的风险，并可能导致其投标被拒绝。</w:t>
      </w:r>
    </w:p>
    <w:p w14:paraId="49D8B7F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（三）招标文件的澄清与修改 </w:t>
      </w:r>
    </w:p>
    <w:p w14:paraId="2150125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bCs/>
          <w:color w:val="auto"/>
          <w:sz w:val="24"/>
          <w:highlight w:val="none"/>
        </w:rPr>
        <w:t>投标人应认真阅读本招标文件，发现其中有误或有不合理要求的，投标人应当按照公开招标公告第</w:t>
      </w:r>
      <w:r>
        <w:rPr>
          <w:rFonts w:hint="eastAsia" w:ascii="宋体" w:hAnsi="宋体" w:eastAsia="宋体" w:cs="宋体"/>
          <w:bCs/>
          <w:color w:val="auto"/>
          <w:sz w:val="24"/>
          <w:highlight w:val="none"/>
          <w:lang w:eastAsia="zh-CN"/>
        </w:rPr>
        <w:t>三、</w:t>
      </w:r>
      <w:r>
        <w:rPr>
          <w:rFonts w:hint="eastAsia" w:ascii="宋体" w:hAnsi="宋体" w:cs="宋体"/>
          <w:bCs/>
          <w:color w:val="auto"/>
          <w:sz w:val="24"/>
          <w:highlight w:val="none"/>
          <w:lang w:val="en-US" w:eastAsia="zh-CN"/>
        </w:rPr>
        <w:t>七</w:t>
      </w:r>
      <w:r>
        <w:rPr>
          <w:rFonts w:hint="eastAsia" w:ascii="宋体" w:hAnsi="宋体" w:eastAsia="宋体" w:cs="宋体"/>
          <w:bCs/>
          <w:color w:val="auto"/>
          <w:sz w:val="24"/>
          <w:highlight w:val="none"/>
        </w:rPr>
        <w:t>条规定以书面形式要求招标方澄清</w:t>
      </w:r>
      <w:r>
        <w:rPr>
          <w:rFonts w:hint="eastAsia" w:ascii="宋体" w:hAnsi="宋体" w:eastAsia="宋体" w:cs="宋体"/>
          <w:color w:val="auto"/>
          <w:sz w:val="24"/>
          <w:highlight w:val="none"/>
        </w:rPr>
        <w:t>。招标方对已发出的招标文件进行必要澄清、答复、修改或补充的，应当在招标文件要求提交投标文件截止时间15日前，在财政部门指定的政府采购信息发布媒体上发布更正公告，并以书面形式通知所有招标文件收受人。</w:t>
      </w:r>
    </w:p>
    <w:p w14:paraId="6B01ACF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2.招标方必须以书面形式答复投标人要求澄清的问题，并将不包含问题来源的答复书面通知所有购买招标文件的投标人；除书面答复以外的其他澄清方式及澄清内容均无效。</w:t>
      </w:r>
    </w:p>
    <w:p w14:paraId="1734DA1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3.招标文件澄清、答复、修改、补充的内容为招标文件的组成部分。当招标文件与招标文件的答复、澄清、修改、补充通知就同一内容的表述不一致时，以最后发出的书面文件为准。</w:t>
      </w:r>
    </w:p>
    <w:p w14:paraId="3FE74B6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4.招标文件的澄清、答复、修改或补充都应该通过本招标机构以法定形式发布，采购人非通过本机构，不得擅自澄清、答复、修改或补充招标文件。</w:t>
      </w:r>
    </w:p>
    <w:p w14:paraId="006400D6">
      <w:pPr>
        <w:pStyle w:val="4"/>
        <w:keepNext w:val="0"/>
        <w:keepLines w:val="0"/>
        <w:pageBreakBefore/>
        <w:spacing w:line="360" w:lineRule="auto"/>
        <w:jc w:val="center"/>
        <w:rPr>
          <w:rFonts w:hint="eastAsia" w:ascii="宋体" w:hAnsi="宋体" w:eastAsia="宋体" w:cs="宋体"/>
          <w:color w:val="auto"/>
          <w:sz w:val="24"/>
          <w:szCs w:val="24"/>
          <w:highlight w:val="none"/>
        </w:rPr>
      </w:pPr>
      <w:bookmarkStart w:id="22" w:name="_Toc458697269"/>
      <w:bookmarkStart w:id="23" w:name="_Toc454196067"/>
      <w:bookmarkStart w:id="24" w:name="_Toc27820"/>
      <w:r>
        <w:rPr>
          <w:rFonts w:hint="eastAsia" w:ascii="宋体" w:hAnsi="宋体" w:eastAsia="宋体" w:cs="宋体"/>
          <w:color w:val="auto"/>
          <w:sz w:val="24"/>
          <w:szCs w:val="24"/>
          <w:highlight w:val="none"/>
        </w:rPr>
        <w:t>三、投标文件的编制</w:t>
      </w:r>
      <w:bookmarkEnd w:id="22"/>
      <w:bookmarkEnd w:id="23"/>
      <w:bookmarkEnd w:id="24"/>
    </w:p>
    <w:p w14:paraId="7DBA6B7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▲（一）投标文件的组成</w:t>
      </w:r>
    </w:p>
    <w:p w14:paraId="2DC7793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投标文件由资格审查文件、商务技术文件、报价文件三部分组成。</w:t>
      </w:r>
    </w:p>
    <w:p w14:paraId="0AA7C91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1.资格审查文件：</w:t>
      </w:r>
    </w:p>
    <w:p w14:paraId="5380C64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olor w:val="auto"/>
          <w:sz w:val="24"/>
          <w:highlight w:val="none"/>
        </w:rPr>
        <w:t>营业执照复印件；</w:t>
      </w:r>
    </w:p>
    <w:p w14:paraId="05EA065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）法定代表人身份证复印件或法定代表人授权委托书(格式见附件)；</w:t>
      </w:r>
    </w:p>
    <w:p w14:paraId="03A34397">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eastAsia="zh-CN"/>
        </w:rPr>
        <w:t>符合参加政府采购活动应当具备的一般条件的承诺函（格式见附件）；</w:t>
      </w:r>
    </w:p>
    <w:p w14:paraId="3F940D28">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58BA8E2">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）浙江政府采购网注册正式供应商的网络截图或承诺中标后30天内注册为浙江政府采购网正式供应商（须提供承诺书）；</w:t>
      </w:r>
    </w:p>
    <w:p w14:paraId="35B71EBF">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）东阳市政府采购代理机构社会评价表（格式见附件）；</w:t>
      </w:r>
    </w:p>
    <w:p w14:paraId="27636325">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）投标声明书 (格式见附件) ；</w:t>
      </w:r>
    </w:p>
    <w:p w14:paraId="43AB39C3">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）政府采购活动现场确认声明书 (格式见附件) ；</w:t>
      </w:r>
    </w:p>
    <w:p w14:paraId="502EA529">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）联合体协议书/分包意向协议；（联合体投标/分包时提供，格式见附件）；</w:t>
      </w:r>
    </w:p>
    <w:p w14:paraId="69A6AE5A">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）中小企业声明函（格式见附件）；</w:t>
      </w:r>
    </w:p>
    <w:p w14:paraId="6E184A4C">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）投标人情况介绍；</w:t>
      </w:r>
    </w:p>
    <w:p w14:paraId="48DF9748">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）投标人认为有必要提供的其它文件。</w:t>
      </w:r>
    </w:p>
    <w:p w14:paraId="22D3B4F3">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2.商务技术文件</w:t>
      </w:r>
    </w:p>
    <w:p w14:paraId="3EEB4ED0">
      <w:pPr>
        <w:spacing w:line="360" w:lineRule="auto"/>
        <w:rPr>
          <w:rFonts w:hint="eastAsia" w:ascii="宋体" w:hAnsi="宋体"/>
          <w:color w:val="auto"/>
          <w:sz w:val="24"/>
          <w:highlight w:val="none"/>
        </w:rPr>
      </w:pPr>
      <w:r>
        <w:rPr>
          <w:rFonts w:hint="eastAsia" w:ascii="宋体" w:hAnsi="宋体"/>
          <w:color w:val="auto"/>
          <w:sz w:val="24"/>
          <w:highlight w:val="none"/>
        </w:rPr>
        <w:t>（1）投标人资信商务、技术自评得分表（格式见附件）；</w:t>
      </w:r>
    </w:p>
    <w:p w14:paraId="2AD57BB3">
      <w:pPr>
        <w:spacing w:line="360" w:lineRule="auto"/>
        <w:rPr>
          <w:rFonts w:hint="eastAsia" w:ascii="宋体" w:hAnsi="宋体"/>
          <w:color w:val="auto"/>
          <w:sz w:val="24"/>
          <w:highlight w:val="none"/>
        </w:rPr>
      </w:pPr>
      <w:r>
        <w:rPr>
          <w:rFonts w:hint="eastAsia" w:ascii="宋体" w:hAnsi="宋体"/>
          <w:color w:val="auto"/>
          <w:sz w:val="24"/>
          <w:highlight w:val="none"/>
        </w:rPr>
        <w:t>（2）商务响应表（格式见附件）；</w:t>
      </w:r>
    </w:p>
    <w:p w14:paraId="42BF2BEE">
      <w:pPr>
        <w:spacing w:line="360" w:lineRule="auto"/>
        <w:rPr>
          <w:rFonts w:hint="eastAsia" w:ascii="宋体" w:hAnsi="宋体"/>
          <w:color w:val="auto"/>
          <w:sz w:val="24"/>
          <w:highlight w:val="none"/>
        </w:rPr>
      </w:pPr>
      <w:r>
        <w:rPr>
          <w:rFonts w:hint="eastAsia" w:ascii="宋体" w:hAnsi="宋体"/>
          <w:color w:val="auto"/>
          <w:sz w:val="24"/>
          <w:highlight w:val="none"/>
        </w:rPr>
        <w:t>（3）技术响应表（格式见附件）；</w:t>
      </w:r>
    </w:p>
    <w:p w14:paraId="69EEB311">
      <w:pPr>
        <w:spacing w:line="360" w:lineRule="auto"/>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同类项目业绩</w:t>
      </w:r>
      <w:r>
        <w:rPr>
          <w:rFonts w:hint="eastAsia" w:ascii="宋体" w:hAnsi="宋体"/>
          <w:color w:val="auto"/>
          <w:sz w:val="24"/>
          <w:highlight w:val="none"/>
        </w:rPr>
        <w:t>；</w:t>
      </w:r>
    </w:p>
    <w:p w14:paraId="38FAC1AE">
      <w:pPr>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hint="eastAsia" w:eastAsia="宋体"/>
          <w:color w:val="auto"/>
          <w:sz w:val="21"/>
        </w:rPr>
        <w:t>企业保障</w:t>
      </w:r>
      <w:r>
        <w:rPr>
          <w:rFonts w:hint="eastAsia" w:ascii="宋体" w:hAnsi="宋体"/>
          <w:color w:val="auto"/>
          <w:sz w:val="24"/>
          <w:highlight w:val="none"/>
        </w:rPr>
        <w:t>；</w:t>
      </w:r>
    </w:p>
    <w:p w14:paraId="18AF4187">
      <w:pPr>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）企业证书；</w:t>
      </w:r>
    </w:p>
    <w:p w14:paraId="5DEF6F85">
      <w:pPr>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7</w:t>
      </w:r>
      <w:r>
        <w:rPr>
          <w:rFonts w:hint="eastAsia" w:ascii="宋体" w:hAnsi="宋体"/>
          <w:color w:val="auto"/>
          <w:sz w:val="24"/>
          <w:highlight w:val="none"/>
        </w:rPr>
        <w:t>）售后服务方案；</w:t>
      </w:r>
    </w:p>
    <w:p w14:paraId="46603113">
      <w:pPr>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）调研情况；</w:t>
      </w:r>
    </w:p>
    <w:p w14:paraId="19BDDF10">
      <w:pPr>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9</w:t>
      </w:r>
      <w:r>
        <w:rPr>
          <w:rFonts w:hint="eastAsia" w:ascii="宋体" w:hAnsi="宋体"/>
          <w:color w:val="auto"/>
          <w:sz w:val="24"/>
          <w:highlight w:val="none"/>
        </w:rPr>
        <w:t>）履约保障；</w:t>
      </w:r>
    </w:p>
    <w:p w14:paraId="5C705F86">
      <w:pPr>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10</w:t>
      </w:r>
      <w:r>
        <w:rPr>
          <w:rFonts w:hint="eastAsia" w:ascii="宋体" w:hAnsi="宋体"/>
          <w:color w:val="auto"/>
          <w:sz w:val="24"/>
          <w:highlight w:val="none"/>
        </w:rPr>
        <w:t>）项目人员配置情况；</w:t>
      </w:r>
    </w:p>
    <w:p w14:paraId="2EF0187A">
      <w:pPr>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11</w:t>
      </w:r>
      <w:r>
        <w:rPr>
          <w:rFonts w:hint="eastAsia" w:ascii="宋体" w:hAnsi="宋体"/>
          <w:color w:val="auto"/>
          <w:sz w:val="24"/>
          <w:highlight w:val="none"/>
        </w:rPr>
        <w:t>）施工技术方案；</w:t>
      </w:r>
    </w:p>
    <w:p w14:paraId="670173D1">
      <w:pPr>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12</w:t>
      </w:r>
      <w:r>
        <w:rPr>
          <w:rFonts w:hint="eastAsia" w:ascii="宋体" w:hAnsi="宋体"/>
          <w:color w:val="auto"/>
          <w:sz w:val="24"/>
          <w:highlight w:val="none"/>
        </w:rPr>
        <w:t>）进度计划方案；</w:t>
      </w:r>
    </w:p>
    <w:p w14:paraId="1BD7DCE0">
      <w:pPr>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13</w:t>
      </w:r>
      <w:r>
        <w:rPr>
          <w:rFonts w:hint="eastAsia" w:ascii="宋体" w:hAnsi="宋体"/>
          <w:color w:val="auto"/>
          <w:sz w:val="24"/>
          <w:highlight w:val="none"/>
        </w:rPr>
        <w:t>）安全、质量保障措施；</w:t>
      </w:r>
    </w:p>
    <w:p w14:paraId="3B2866A6">
      <w:pPr>
        <w:spacing w:line="360" w:lineRule="auto"/>
        <w:rPr>
          <w:rFonts w:hint="eastAsia" w:ascii="宋体" w:hAnsi="宋体" w:eastAsia="宋体"/>
          <w:color w:val="auto"/>
          <w:sz w:val="24"/>
          <w:highlight w:val="none"/>
          <w:lang w:val="en-US"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14</w:t>
      </w:r>
      <w:r>
        <w:rPr>
          <w:rFonts w:hint="eastAsia" w:ascii="宋体" w:hAnsi="宋体"/>
          <w:color w:val="auto"/>
          <w:sz w:val="24"/>
          <w:highlight w:val="none"/>
        </w:rPr>
        <w:t>）突发事件应急方案；</w:t>
      </w:r>
    </w:p>
    <w:p w14:paraId="223A8E3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rPr>
        <w:t>）服务费承诺书（格式见附件）；</w:t>
      </w:r>
    </w:p>
    <w:p w14:paraId="31FE2EE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16</w:t>
      </w:r>
      <w:r>
        <w:rPr>
          <w:rFonts w:hint="eastAsia" w:ascii="宋体" w:hAnsi="宋体" w:eastAsia="宋体" w:cs="宋体"/>
          <w:color w:val="auto"/>
          <w:sz w:val="24"/>
          <w:highlight w:val="none"/>
        </w:rPr>
        <w:t>）投标人需要说明的其他文件和说明。</w:t>
      </w:r>
    </w:p>
    <w:p w14:paraId="085D2CD8">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.报价文件</w:t>
      </w:r>
    </w:p>
    <w:p w14:paraId="550A223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（1）投标函（格式见附件）；</w:t>
      </w:r>
    </w:p>
    <w:p w14:paraId="1F89D65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 xml:space="preserve">）开标一览表（格式见附件）； </w:t>
      </w:r>
    </w:p>
    <w:p w14:paraId="43AF39D4">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）投标人针对报价需要说明的其他文件和说明（格式自拟）。</w:t>
      </w:r>
    </w:p>
    <w:p w14:paraId="753B53C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▲（二）投标文件的语言及计量</w:t>
      </w:r>
    </w:p>
    <w:p w14:paraId="02CF2E3A">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1886DE33">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2.投标计量单位，应采用中华人民共和国法定计量单位（货币单位：人民币元），否则视同未响应。</w:t>
      </w:r>
    </w:p>
    <w:p w14:paraId="1A954085">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▲（三）投标报价</w:t>
      </w:r>
    </w:p>
    <w:p w14:paraId="665C966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1.投标报价应按招标文件中相关附表格式填写。</w:t>
      </w:r>
    </w:p>
    <w:p w14:paraId="53BF12C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color w:val="auto"/>
          <w:sz w:val="24"/>
          <w:highlight w:val="none"/>
        </w:rPr>
        <w:t>投标报价为本项目</w:t>
      </w:r>
      <w:r>
        <w:rPr>
          <w:rFonts w:hint="eastAsia" w:ascii="宋体" w:hAnsi="宋体"/>
          <w:color w:val="auto"/>
          <w:sz w:val="24"/>
          <w:highlight w:val="none"/>
          <w:lang w:val="en-US" w:eastAsia="zh-CN"/>
        </w:rPr>
        <w:t>服务期内</w:t>
      </w:r>
      <w:r>
        <w:rPr>
          <w:rFonts w:hint="eastAsia" w:ascii="宋体" w:hAnsi="宋体"/>
          <w:color w:val="auto"/>
          <w:sz w:val="24"/>
          <w:highlight w:val="none"/>
        </w:rPr>
        <w:t>的全部价款。应包括利润、税金、管理费、基本工资、岗位津贴、奖金、房补、劳保福利、社保、工伤费、教育培训费</w:t>
      </w:r>
      <w:r>
        <w:rPr>
          <w:rFonts w:hint="eastAsia" w:ascii="宋体" w:hAnsi="宋体"/>
          <w:color w:val="auto"/>
          <w:sz w:val="24"/>
          <w:highlight w:val="none"/>
          <w:lang w:eastAsia="zh-CN"/>
        </w:rPr>
        <w:t>、装备配备费、</w:t>
      </w:r>
      <w:r>
        <w:rPr>
          <w:rFonts w:hint="eastAsia" w:ascii="宋体" w:hAnsi="宋体"/>
          <w:color w:val="auto"/>
          <w:sz w:val="24"/>
          <w:highlight w:val="none"/>
        </w:rPr>
        <w:t>不可预见费及处理一切意外伤亡事故等完成合同所需的一切本身和不可或缺的所有工作开支、政策性文件规定及合同包含的所有风险、责任等各项全部费用。投标人在编写投标方案时应充分考虑各种风险因素，凡中标人漏项、漏报均认为已包含在总报价中，不作调整。</w:t>
      </w:r>
    </w:p>
    <w:p w14:paraId="21377D8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按国家规定由中标人缴纳的各种税收已包含在投标总价内，由中标人向税务机关缴纳。</w:t>
      </w:r>
    </w:p>
    <w:p w14:paraId="2A8EF812">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（四）投标文件的有效期</w:t>
      </w:r>
    </w:p>
    <w:p w14:paraId="7FD836FB">
      <w:pPr>
        <w:spacing w:line="360" w:lineRule="auto"/>
        <w:rPr>
          <w:rFonts w:hint="eastAsia" w:ascii="宋体" w:hAnsi="宋体" w:eastAsia="宋体" w:cs="宋体"/>
          <w:color w:val="auto"/>
          <w:sz w:val="24"/>
          <w:highlight w:val="none"/>
        </w:rPr>
      </w:pPr>
      <w:bookmarkStart w:id="25" w:name="_Toc450548873"/>
      <w:bookmarkStart w:id="26" w:name="_Toc405368930"/>
      <w:r>
        <w:rPr>
          <w:rFonts w:hint="eastAsia" w:ascii="宋体" w:hAnsi="宋体" w:eastAsia="宋体" w:cs="宋体"/>
          <w:color w:val="auto"/>
          <w:sz w:val="24"/>
          <w:highlight w:val="none"/>
        </w:rPr>
        <w:t>▲1.自投标截止日起</w:t>
      </w:r>
      <w:r>
        <w:rPr>
          <w:rFonts w:hint="eastAsia" w:ascii="宋体" w:hAnsi="宋体" w:eastAsia="宋体" w:cs="宋体"/>
          <w:color w:val="auto"/>
          <w:sz w:val="24"/>
          <w:highlight w:val="none"/>
          <w:u w:val="single"/>
        </w:rPr>
        <w:t>60</w:t>
      </w:r>
      <w:r>
        <w:rPr>
          <w:rFonts w:hint="eastAsia" w:ascii="宋体" w:hAnsi="宋体" w:eastAsia="宋体" w:cs="宋体"/>
          <w:color w:val="auto"/>
          <w:sz w:val="24"/>
          <w:highlight w:val="none"/>
        </w:rPr>
        <w:t>天投标文件应保持有效。有效期不足的投标文件将被拒绝。</w:t>
      </w:r>
    </w:p>
    <w:p w14:paraId="661057D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2.在特殊情况下，招标人可与投标人协商延长投标书的有效期，这种要求和答复均以书面形式进行。</w:t>
      </w:r>
    </w:p>
    <w:p w14:paraId="2D893326">
      <w:pPr>
        <w:spacing w:line="360" w:lineRule="auto"/>
        <w:rPr>
          <w:rFonts w:hint="eastAsia" w:ascii="宋体" w:hAnsi="宋体" w:eastAsia="宋体" w:cs="宋体"/>
          <w:color w:val="auto"/>
          <w:sz w:val="24"/>
          <w:highlight w:val="none"/>
        </w:rPr>
      </w:pPr>
      <w:bookmarkStart w:id="27" w:name="_Toc407182105"/>
      <w:r>
        <w:rPr>
          <w:rFonts w:hint="eastAsia" w:ascii="宋体" w:hAnsi="宋体" w:eastAsia="宋体" w:cs="宋体"/>
          <w:color w:val="auto"/>
          <w:sz w:val="24"/>
          <w:highlight w:val="none"/>
        </w:rPr>
        <w:t>3.投标人可拒绝接受延期要求，若同意延长有效期的投标人，则不能修改投标文件。</w:t>
      </w:r>
      <w:bookmarkEnd w:id="27"/>
      <w:r>
        <w:rPr>
          <w:rFonts w:hint="eastAsia" w:ascii="宋体" w:hAnsi="宋体" w:eastAsia="宋体" w:cs="宋体"/>
          <w:color w:val="auto"/>
          <w:sz w:val="24"/>
          <w:highlight w:val="none"/>
        </w:rPr>
        <w:t xml:space="preserve"> </w:t>
      </w:r>
    </w:p>
    <w:p w14:paraId="2C45FF6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4.中标人的投标文件自开标之日起至合同履行完毕止均应保持有效。</w:t>
      </w:r>
    </w:p>
    <w:p w14:paraId="17749701">
      <w:pPr>
        <w:spacing w:line="360" w:lineRule="auto"/>
        <w:rPr>
          <w:rFonts w:hint="eastAsia" w:ascii="宋体" w:hAnsi="宋体" w:cs="宋体"/>
          <w:b/>
          <w:color w:val="auto"/>
          <w:sz w:val="24"/>
          <w:highlight w:val="cyan"/>
          <w:lang w:eastAsia="zh-CN"/>
        </w:rPr>
      </w:pPr>
      <w:r>
        <w:rPr>
          <w:rFonts w:hint="eastAsia" w:ascii="宋体" w:hAnsi="宋体" w:eastAsia="宋体" w:cs="宋体"/>
          <w:b/>
          <w:color w:val="auto"/>
          <w:sz w:val="24"/>
          <w:highlight w:val="none"/>
        </w:rPr>
        <w:t>（五）履约保证金</w:t>
      </w:r>
      <w:r>
        <w:rPr>
          <w:rFonts w:hint="eastAsia" w:ascii="宋体" w:hAnsi="宋体" w:cs="宋体"/>
          <w:b/>
          <w:color w:val="auto"/>
          <w:sz w:val="24"/>
          <w:highlight w:val="none"/>
          <w:lang w:eastAsia="zh-CN"/>
        </w:rPr>
        <w:t>：</w:t>
      </w:r>
    </w:p>
    <w:bookmarkEnd w:id="25"/>
    <w:bookmarkEnd w:id="26"/>
    <w:p w14:paraId="6CA44D4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本项目履约保证金为中标金额的1%，中标人应在合同签订前交纳（可用支票、汇票、本票或者金融机构、担保机构出具的保函等非现金形式提交，鼓励和支持供应商以履约保函形式提供履约保证金，保函可在政采云平台线上办理），在本项目服务期满后经采购单位验收合格后7日内由采购单位退还（无息）。</w:t>
      </w:r>
    </w:p>
    <w:p w14:paraId="486FE86D">
      <w:pPr>
        <w:pStyle w:val="4"/>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D13E92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六</w:t>
      </w:r>
      <w:r>
        <w:rPr>
          <w:rFonts w:hint="eastAsia" w:ascii="宋体" w:hAnsi="宋体" w:eastAsia="宋体" w:cs="宋体"/>
          <w:b/>
          <w:color w:val="auto"/>
          <w:sz w:val="24"/>
          <w:highlight w:val="none"/>
        </w:rPr>
        <w:t>）投标文件的签署</w:t>
      </w:r>
    </w:p>
    <w:p w14:paraId="7AD86B60">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按本招标文件规定的格式和顺序编制投标文件并标注页码，因投标文件内容不完整、编排混乱、放弃关联点或关联点错误等原因导致投标文件被误读、漏读或者查找不到相关内容等风险由投标人自行承担。</w:t>
      </w:r>
    </w:p>
    <w:p w14:paraId="3EA0CEE1">
      <w:pPr>
        <w:spacing w:line="360" w:lineRule="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rPr>
        <w:t>. 投标文件需盖章签字的地方必须由投标人法定代表人或法定代表人的授权委托人签署并加盖单位公章，投标人应写全称。</w:t>
      </w:r>
    </w:p>
    <w:p w14:paraId="021B7163">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.投标文件不得涂改，若有修改错漏处，须加盖单位公章和由法定代表人或授权委托人签字或盖章。投标文件因字迹潦草或表达不清所引起的后果由投标人负责。</w:t>
      </w:r>
    </w:p>
    <w:p w14:paraId="7517773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七</w:t>
      </w:r>
      <w:r>
        <w:rPr>
          <w:rFonts w:hint="eastAsia" w:ascii="宋体" w:hAnsi="宋体" w:eastAsia="宋体" w:cs="宋体"/>
          <w:b/>
          <w:color w:val="auto"/>
          <w:sz w:val="24"/>
          <w:highlight w:val="none"/>
        </w:rPr>
        <w:t>）投标文件的上传、递交、修改和撤回</w:t>
      </w:r>
    </w:p>
    <w:p w14:paraId="3C02274F">
      <w:pPr>
        <w:spacing w:line="360" w:lineRule="auto"/>
        <w:ind w:firstLine="495"/>
        <w:rPr>
          <w:rFonts w:hint="eastAsia" w:ascii="宋体" w:hAnsi="宋体" w:eastAsia="宋体" w:cs="宋体"/>
          <w:color w:val="auto"/>
          <w:sz w:val="24"/>
          <w:highlight w:val="none"/>
        </w:rPr>
      </w:pPr>
      <w:r>
        <w:rPr>
          <w:rFonts w:hint="eastAsia" w:ascii="宋体" w:hAnsi="宋体" w:eastAsia="宋体" w:cs="宋体"/>
          <w:color w:val="auto"/>
          <w:sz w:val="24"/>
          <w:highlight w:val="none"/>
        </w:rPr>
        <w:t>1. 投标人应当在投标截止时间前在“政采云”（电子交易平台）上自行上传加密的电子投标文件。</w:t>
      </w:r>
    </w:p>
    <w:p w14:paraId="295AF93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2.未按规定上传的投标文件将被拒绝，由此造成投标文件解密失败或被误投的风险由投标人承担。</w:t>
      </w:r>
    </w:p>
    <w:p w14:paraId="54AFC3A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投标人未在“政采云”（电子交易平台）上自行上传加密的电子投标文件，仅提交电子备份投标文件的，投标无效。</w:t>
      </w:r>
    </w:p>
    <w:p w14:paraId="08043D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14:paraId="374AF0D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6536D1B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 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14:paraId="59737EF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 电子投标文件无法解密或解密失败时，投标人提供了电子备份投标文件的，以电子备份投标文件作为评审依据，否则视为投标文件撤回。投标文件已按时解密的，电子备份投标文件自动失效。</w:t>
      </w:r>
    </w:p>
    <w:p w14:paraId="0A395A4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八</w:t>
      </w:r>
      <w:r>
        <w:rPr>
          <w:rFonts w:hint="eastAsia" w:ascii="宋体" w:hAnsi="宋体" w:eastAsia="宋体" w:cs="宋体"/>
          <w:b/>
          <w:color w:val="auto"/>
          <w:sz w:val="24"/>
          <w:highlight w:val="none"/>
        </w:rPr>
        <w:t>）投标无效的情形</w:t>
      </w:r>
    </w:p>
    <w:p w14:paraId="25F8D89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限期内不补正或经补正后仍不符合招标文件要求的，应认定其投标无效。投标人修改、补正投标文件后，不影响评标委员会对其投标文件所作的评价和评分结果。</w:t>
      </w:r>
    </w:p>
    <w:p w14:paraId="3DF3E7DB">
      <w:pPr>
        <w:snapToGrid w:val="0"/>
        <w:spacing w:line="312" w:lineRule="auto"/>
        <w:rPr>
          <w:rFonts w:ascii="宋体" w:hAnsi="宋体"/>
          <w:b/>
          <w:color w:val="auto"/>
          <w:sz w:val="24"/>
        </w:rPr>
      </w:pPr>
      <w:r>
        <w:rPr>
          <w:rFonts w:hint="eastAsia" w:ascii="宋体" w:hAnsi="宋体"/>
          <w:b/>
          <w:color w:val="auto"/>
          <w:sz w:val="24"/>
        </w:rPr>
        <w:t>1.有下列情形之一的，视为投标人串通投标，其投标无效，：</w:t>
      </w:r>
    </w:p>
    <w:p w14:paraId="3BA2442F">
      <w:pPr>
        <w:snapToGrid w:val="0"/>
        <w:spacing w:line="312" w:lineRule="auto"/>
        <w:ind w:firstLine="470" w:firstLineChars="196"/>
        <w:rPr>
          <w:rFonts w:hint="eastAsia" w:ascii="宋体" w:hAnsi="宋体"/>
          <w:color w:val="auto"/>
          <w:sz w:val="24"/>
        </w:rPr>
      </w:pPr>
      <w:r>
        <w:rPr>
          <w:rFonts w:hint="eastAsia" w:ascii="宋体" w:hAnsi="宋体"/>
          <w:color w:val="auto"/>
          <w:sz w:val="24"/>
        </w:rPr>
        <w:t>A.不同投标人的投标文件由同一单位或者个人编制；</w:t>
      </w:r>
    </w:p>
    <w:p w14:paraId="0033E089">
      <w:pPr>
        <w:snapToGrid w:val="0"/>
        <w:spacing w:line="312" w:lineRule="auto"/>
        <w:ind w:firstLine="470" w:firstLineChars="196"/>
        <w:rPr>
          <w:rFonts w:hint="eastAsia" w:ascii="宋体" w:hAnsi="宋体"/>
          <w:color w:val="auto"/>
          <w:sz w:val="24"/>
        </w:rPr>
      </w:pPr>
      <w:r>
        <w:rPr>
          <w:rFonts w:hint="eastAsia" w:ascii="宋体" w:hAnsi="宋体"/>
          <w:color w:val="auto"/>
          <w:sz w:val="24"/>
        </w:rPr>
        <w:t>B.不同投标人委托同一单位或者个人办理投标事宜；</w:t>
      </w:r>
    </w:p>
    <w:p w14:paraId="22DEB035">
      <w:pPr>
        <w:snapToGrid w:val="0"/>
        <w:spacing w:line="312" w:lineRule="auto"/>
        <w:ind w:firstLine="470" w:firstLineChars="196"/>
        <w:rPr>
          <w:rFonts w:hint="eastAsia" w:ascii="宋体" w:hAnsi="宋体"/>
          <w:color w:val="auto"/>
          <w:sz w:val="24"/>
        </w:rPr>
      </w:pPr>
      <w:r>
        <w:rPr>
          <w:rFonts w:hint="eastAsia" w:ascii="宋体" w:hAnsi="宋体"/>
          <w:color w:val="auto"/>
          <w:sz w:val="24"/>
        </w:rPr>
        <w:t>C.不同投标人的投标文件载明的项目管理成员或者联系人员为同一人；</w:t>
      </w:r>
    </w:p>
    <w:p w14:paraId="3C33F1AF">
      <w:pPr>
        <w:snapToGrid w:val="0"/>
        <w:spacing w:line="312" w:lineRule="auto"/>
        <w:ind w:firstLine="470" w:firstLineChars="196"/>
        <w:rPr>
          <w:rFonts w:hint="eastAsia" w:ascii="宋体" w:hAnsi="宋体"/>
          <w:color w:val="auto"/>
          <w:sz w:val="24"/>
        </w:rPr>
      </w:pPr>
      <w:r>
        <w:rPr>
          <w:rFonts w:hint="eastAsia" w:ascii="宋体" w:hAnsi="宋体"/>
          <w:color w:val="auto"/>
          <w:sz w:val="24"/>
        </w:rPr>
        <w:t xml:space="preserve">D.不同投标人的投标文件异常一致或者投标报价呈规律性差异； </w:t>
      </w:r>
    </w:p>
    <w:p w14:paraId="0CD2C547">
      <w:pPr>
        <w:snapToGrid w:val="0"/>
        <w:spacing w:line="312" w:lineRule="auto"/>
        <w:ind w:firstLine="470" w:firstLineChars="196"/>
        <w:rPr>
          <w:rFonts w:hint="eastAsia" w:ascii="宋体" w:hAnsi="宋体"/>
          <w:color w:val="auto"/>
          <w:sz w:val="24"/>
        </w:rPr>
      </w:pPr>
      <w:r>
        <w:rPr>
          <w:rFonts w:hint="eastAsia" w:ascii="宋体" w:hAnsi="宋体"/>
          <w:color w:val="auto"/>
          <w:sz w:val="24"/>
        </w:rPr>
        <w:t>E.不同投标人的投标文件相互混装；</w:t>
      </w:r>
    </w:p>
    <w:p w14:paraId="64320D09">
      <w:pPr>
        <w:snapToGrid w:val="0"/>
        <w:spacing w:line="312" w:lineRule="auto"/>
        <w:ind w:firstLine="470" w:firstLineChars="196"/>
        <w:rPr>
          <w:rFonts w:hint="eastAsia" w:ascii="宋体" w:hAnsi="宋体"/>
          <w:color w:val="auto"/>
          <w:sz w:val="24"/>
        </w:rPr>
      </w:pPr>
      <w:r>
        <w:rPr>
          <w:rFonts w:hint="eastAsia" w:ascii="宋体" w:hAnsi="宋体"/>
          <w:color w:val="auto"/>
          <w:sz w:val="24"/>
        </w:rPr>
        <w:t>F.其他严重扰乱招投标程序的。</w:t>
      </w:r>
    </w:p>
    <w:p w14:paraId="177FEF6D">
      <w:pPr>
        <w:pStyle w:val="2"/>
        <w:rPr>
          <w:rFonts w:hint="eastAsia"/>
          <w:color w:val="auto"/>
        </w:rPr>
      </w:pPr>
    </w:p>
    <w:p w14:paraId="75675115">
      <w:pPr>
        <w:spacing w:line="360" w:lineRule="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rPr>
        <w:t>.在符合性审查和</w:t>
      </w:r>
      <w:r>
        <w:rPr>
          <w:rFonts w:hint="eastAsia" w:ascii="宋体" w:hAnsi="宋体" w:cs="宋体"/>
          <w:b/>
          <w:color w:val="auto"/>
          <w:sz w:val="24"/>
          <w:highlight w:val="none"/>
          <w:lang w:eastAsia="zh-CN"/>
        </w:rPr>
        <w:t>商务评审</w:t>
      </w:r>
      <w:r>
        <w:rPr>
          <w:rFonts w:hint="eastAsia" w:ascii="宋体" w:hAnsi="宋体" w:eastAsia="宋体" w:cs="宋体"/>
          <w:b/>
          <w:color w:val="auto"/>
          <w:sz w:val="24"/>
          <w:highlight w:val="none"/>
        </w:rPr>
        <w:t>时，如发现下列情形之一的，投标文件将被视为无效：</w:t>
      </w:r>
    </w:p>
    <w:p w14:paraId="7363EE7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color w:val="auto"/>
          <w:sz w:val="24"/>
        </w:rPr>
        <w:t>资信及商务标内有商务报价出现的</w:t>
      </w:r>
      <w:r>
        <w:rPr>
          <w:rFonts w:hint="eastAsia" w:ascii="宋体" w:hAnsi="宋体" w:eastAsia="宋体" w:cs="宋体"/>
          <w:color w:val="auto"/>
          <w:sz w:val="24"/>
          <w:highlight w:val="none"/>
        </w:rPr>
        <w:t>；</w:t>
      </w:r>
    </w:p>
    <w:p w14:paraId="20835621">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在开评标时出现电子投标文件无法解密或解密失败等情况，投标人未提供电子备份投标文件，无法对投标人继续进行评审的；</w:t>
      </w:r>
      <w:r>
        <w:rPr>
          <w:rFonts w:hint="eastAsia" w:ascii="宋体" w:hAnsi="宋体" w:cs="宋体"/>
          <w:color w:val="auto"/>
          <w:sz w:val="24"/>
          <w:highlight w:val="none"/>
          <w:lang w:eastAsia="zh-CN"/>
        </w:rPr>
        <w:t>或仅提供电子备份投标文件的；</w:t>
      </w:r>
    </w:p>
    <w:p w14:paraId="0269A37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 xml:space="preserve">）投标文件格式不规范、项目不齐全或者内容虚假的；； </w:t>
      </w:r>
    </w:p>
    <w:p w14:paraId="1F8A5706">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）资格证明文件不全的，或者不符合招标文件标明的资格要求的</w:t>
      </w:r>
      <w:r>
        <w:rPr>
          <w:rFonts w:hint="eastAsia" w:ascii="宋体" w:hAnsi="宋体" w:cs="宋体"/>
          <w:color w:val="auto"/>
          <w:sz w:val="24"/>
          <w:highlight w:val="none"/>
          <w:lang w:eastAsia="zh-CN"/>
        </w:rPr>
        <w:t>；</w:t>
      </w:r>
    </w:p>
    <w:p w14:paraId="3BE34954">
      <w:pPr>
        <w:keepNext w:val="0"/>
        <w:keepLines w:val="0"/>
        <w:pageBreakBefore w:val="0"/>
        <w:widowControl w:val="0"/>
        <w:kinsoku/>
        <w:wordWrap/>
        <w:overflowPunct/>
        <w:topLinePunct w:val="0"/>
        <w:autoSpaceDE/>
        <w:autoSpaceDN/>
        <w:bidi w:val="0"/>
        <w:adjustRightInd/>
        <w:spacing w:line="45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本项目投标截止之日前三年内，相关主体在“信用中国”网站、中国政府采购网有失信行为或被列入</w:t>
      </w:r>
      <w:r>
        <w:rPr>
          <w:rFonts w:hint="eastAsia" w:ascii="宋体" w:hAnsi="宋体" w:cs="宋体"/>
          <w:color w:val="auto"/>
          <w:sz w:val="24"/>
          <w:szCs w:val="24"/>
          <w:highlight w:val="none"/>
          <w:lang w:eastAsia="zh-CN"/>
        </w:rPr>
        <w:t>黑</w:t>
      </w:r>
      <w:r>
        <w:rPr>
          <w:rFonts w:hint="eastAsia" w:ascii="宋体" w:hAnsi="宋体" w:cs="宋体"/>
          <w:color w:val="auto"/>
          <w:sz w:val="24"/>
          <w:szCs w:val="24"/>
          <w:highlight w:val="none"/>
        </w:rPr>
        <w:t>名单。</w:t>
      </w:r>
    </w:p>
    <w:p w14:paraId="1C95BEC8">
      <w:pPr>
        <w:pStyle w:val="2"/>
        <w:rPr>
          <w:rFonts w:hint="eastAsia"/>
          <w:color w:val="auto"/>
          <w:highlight w:val="none"/>
        </w:rPr>
      </w:pPr>
    </w:p>
    <w:p w14:paraId="2F200B5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）投标文件无法定代表人签字,或未提供法定代表人授权委托书、投标声明书或者填写项目不齐全的；</w:t>
      </w:r>
    </w:p>
    <w:p w14:paraId="3E39EB8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 xml:space="preserve">）投标代表人未能出具身份证明或与法定代表人授权委托人身份不符的； </w:t>
      </w:r>
    </w:p>
    <w:p w14:paraId="0007302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w:t>
      </w:r>
      <w:r>
        <w:rPr>
          <w:rFonts w:hint="eastAsia" w:hAnsi="宋体"/>
          <w:color w:val="auto"/>
          <w:sz w:val="24"/>
        </w:rPr>
        <w:t>电子投标文件未按规定要求进行签字、电子签章的</w:t>
      </w:r>
      <w:r>
        <w:rPr>
          <w:rFonts w:hint="eastAsia" w:ascii="宋体" w:hAnsi="宋体" w:eastAsia="宋体" w:cs="宋体"/>
          <w:color w:val="auto"/>
          <w:sz w:val="24"/>
          <w:highlight w:val="none"/>
        </w:rPr>
        <w:t>；</w:t>
      </w:r>
    </w:p>
    <w:p w14:paraId="77F29CC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）投标文件的实质性内容未使用中文表述的或意思表述不明确、前后矛盾的或者使用计量单位不符合招标文件要求的（经评标委员会认定并允许其当场更正的笔误除外）；</w:t>
      </w:r>
    </w:p>
    <w:p w14:paraId="639A385E">
      <w:pPr>
        <w:keepNext w:val="0"/>
        <w:keepLines w:val="0"/>
        <w:pageBreakBefore w:val="0"/>
        <w:widowControl w:val="0"/>
        <w:kinsoku/>
        <w:wordWrap/>
        <w:overflowPunct/>
        <w:topLinePunct w:val="0"/>
        <w:bidi w:val="0"/>
        <w:snapToGrid/>
        <w:spacing w:line="40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）投标有效期、服务期（交货期）、质保期、付款方式等商务条款不能满足招标文件要求的；</w:t>
      </w:r>
    </w:p>
    <w:p w14:paraId="635649CF">
      <w:pPr>
        <w:pStyle w:val="22"/>
        <w:keepNext w:val="0"/>
        <w:keepLines w:val="0"/>
        <w:pageBreakBefore w:val="0"/>
        <w:widowControl w:val="0"/>
        <w:kinsoku/>
        <w:wordWrap/>
        <w:overflowPunct/>
        <w:topLinePunct w:val="0"/>
        <w:bidi w:val="0"/>
        <w:snapToGrid/>
        <w:spacing w:line="400" w:lineRule="atLeast"/>
        <w:ind w:left="0" w:leftChars="0" w:firstLine="0" w:firstLineChars="0"/>
        <w:textAlignment w:val="auto"/>
        <w:rPr>
          <w:rFonts w:hint="eastAsia"/>
          <w:color w:val="auto"/>
          <w:sz w:val="24"/>
          <w:szCs w:val="24"/>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w:t>
      </w:r>
      <w:r>
        <w:rPr>
          <w:rFonts w:hint="eastAsia"/>
          <w:color w:val="auto"/>
          <w:sz w:val="24"/>
          <w:szCs w:val="24"/>
        </w:rPr>
        <w:t>未实质性响应招标文件中标有“▲”条款要求的；</w:t>
      </w:r>
    </w:p>
    <w:p w14:paraId="322223DE">
      <w:pPr>
        <w:keepNext w:val="0"/>
        <w:keepLines w:val="0"/>
        <w:pageBreakBefore w:val="0"/>
        <w:widowControl w:val="0"/>
        <w:kinsoku/>
        <w:wordWrap/>
        <w:overflowPunct/>
        <w:topLinePunct w:val="0"/>
        <w:bidi w:val="0"/>
        <w:snapToGrid/>
        <w:spacing w:line="40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）未实质性响应招标文件要求或者投标文件有招标方不能接受的附加条件的；</w:t>
      </w:r>
    </w:p>
    <w:p w14:paraId="6370B09B">
      <w:pPr>
        <w:keepNext w:val="0"/>
        <w:keepLines w:val="0"/>
        <w:pageBreakBefore w:val="0"/>
        <w:widowControl w:val="0"/>
        <w:kinsoku/>
        <w:wordWrap/>
        <w:overflowPunct/>
        <w:topLinePunct w:val="0"/>
        <w:bidi w:val="0"/>
        <w:snapToGrid/>
        <w:spacing w:line="40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）招标文件规定的其它投标无效的情况；</w:t>
      </w:r>
    </w:p>
    <w:p w14:paraId="6EE096B5">
      <w:pPr>
        <w:keepNext w:val="0"/>
        <w:keepLines w:val="0"/>
        <w:pageBreakBefore w:val="0"/>
        <w:widowControl w:val="0"/>
        <w:tabs>
          <w:tab w:val="left" w:pos="401"/>
        </w:tabs>
        <w:kinsoku/>
        <w:wordWrap/>
        <w:overflowPunct/>
        <w:topLinePunct w:val="0"/>
        <w:bidi w:val="0"/>
        <w:snapToGrid/>
        <w:spacing w:line="40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）法律、法规规定的其它投标无效情况。</w:t>
      </w:r>
    </w:p>
    <w:p w14:paraId="476A7351">
      <w:pPr>
        <w:keepNext w:val="0"/>
        <w:keepLines w:val="0"/>
        <w:pageBreakBefore w:val="0"/>
        <w:widowControl w:val="0"/>
        <w:kinsoku/>
        <w:wordWrap/>
        <w:overflowPunct/>
        <w:topLinePunct w:val="0"/>
        <w:bidi w:val="0"/>
        <w:snapToGrid/>
        <w:spacing w:line="400" w:lineRule="atLeast"/>
        <w:textAlignment w:val="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3</w:t>
      </w:r>
      <w:r>
        <w:rPr>
          <w:rFonts w:hint="eastAsia" w:ascii="宋体" w:hAnsi="宋体" w:eastAsia="宋体" w:cs="宋体"/>
          <w:b/>
          <w:color w:val="auto"/>
          <w:sz w:val="24"/>
          <w:highlight w:val="none"/>
        </w:rPr>
        <w:t>.在技术评审时，如发现下列情形之一的，投标文件将被视为无效：</w:t>
      </w:r>
    </w:p>
    <w:p w14:paraId="36697334">
      <w:pPr>
        <w:keepNext w:val="0"/>
        <w:keepLines w:val="0"/>
        <w:pageBreakBefore w:val="0"/>
        <w:widowControl w:val="0"/>
        <w:kinsoku/>
        <w:wordWrap/>
        <w:overflowPunct/>
        <w:topLinePunct w:val="0"/>
        <w:bidi w:val="0"/>
        <w:snapToGrid/>
        <w:spacing w:line="400" w:lineRule="atLeas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（1）投标人未在规定的时间内对电子询标函进行澄清回复、拒绝澄清回复或澄清回复的内容改变了投标文件的实质性内容的；</w:t>
      </w:r>
    </w:p>
    <w:p w14:paraId="02E8BE04">
      <w:pPr>
        <w:keepNext w:val="0"/>
        <w:keepLines w:val="0"/>
        <w:pageBreakBefore w:val="0"/>
        <w:widowControl w:val="0"/>
        <w:kinsoku/>
        <w:wordWrap/>
        <w:overflowPunct/>
        <w:topLinePunct w:val="0"/>
        <w:bidi w:val="0"/>
        <w:snapToGrid/>
        <w:spacing w:line="40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（2）投标文件标明的响应或偏离与事实不符的或虚假投标的；</w:t>
      </w:r>
    </w:p>
    <w:p w14:paraId="28BBBFBC">
      <w:pPr>
        <w:keepNext w:val="0"/>
        <w:keepLines w:val="0"/>
        <w:pageBreakBefore w:val="0"/>
        <w:widowControl w:val="0"/>
        <w:kinsoku/>
        <w:wordWrap/>
        <w:overflowPunct/>
        <w:topLinePunct w:val="0"/>
        <w:bidi w:val="0"/>
        <w:snapToGrid/>
        <w:spacing w:line="40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（3）明显不符合招标文件质量标准的，或者与招标文件中标有“ ▲”特殊符号的技术指标、主要功能项目发生实质性偏离的；</w:t>
      </w:r>
    </w:p>
    <w:p w14:paraId="5D9D920D">
      <w:pPr>
        <w:keepNext w:val="0"/>
        <w:keepLines w:val="0"/>
        <w:pageBreakBefore w:val="0"/>
        <w:widowControl w:val="0"/>
        <w:kinsoku/>
        <w:wordWrap/>
        <w:overflowPunct/>
        <w:topLinePunct w:val="0"/>
        <w:bidi w:val="0"/>
        <w:snapToGrid/>
        <w:spacing w:line="40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（4）招标文件中允许偏离的技术、性能指标或者辅助功能发生较大负偏离的，经评标委员会认定对项目实际使用造成影响的；</w:t>
      </w:r>
    </w:p>
    <w:p w14:paraId="56DFEA40">
      <w:pPr>
        <w:keepNext w:val="0"/>
        <w:keepLines w:val="0"/>
        <w:pageBreakBefore w:val="0"/>
        <w:widowControl w:val="0"/>
        <w:kinsoku/>
        <w:wordWrap/>
        <w:overflowPunct/>
        <w:topLinePunct w:val="0"/>
        <w:bidi w:val="0"/>
        <w:snapToGrid/>
        <w:spacing w:line="40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（5）投标技术方案不明确，存在一个或一个以上备选（替代）投标方案的；</w:t>
      </w:r>
    </w:p>
    <w:p w14:paraId="39D5A7DC">
      <w:pPr>
        <w:keepNext w:val="0"/>
        <w:keepLines w:val="0"/>
        <w:pageBreakBefore w:val="0"/>
        <w:widowControl w:val="0"/>
        <w:kinsoku/>
        <w:wordWrap/>
        <w:overflowPunct/>
        <w:topLinePunct w:val="0"/>
        <w:bidi w:val="0"/>
        <w:snapToGrid/>
        <w:spacing w:line="40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（6）与其他参加本次投标供应商的投标文件的文字表述内容相同连续20行以上或者差错相同2处以上的；</w:t>
      </w:r>
    </w:p>
    <w:p w14:paraId="69738E9F">
      <w:pPr>
        <w:keepNext w:val="0"/>
        <w:keepLines w:val="0"/>
        <w:pageBreakBefore w:val="0"/>
        <w:widowControl w:val="0"/>
        <w:kinsoku/>
        <w:wordWrap/>
        <w:overflowPunct/>
        <w:topLinePunct w:val="0"/>
        <w:bidi w:val="0"/>
        <w:snapToGrid/>
        <w:spacing w:line="400" w:lineRule="atLeast"/>
        <w:textAlignment w:val="auto"/>
        <w:rPr>
          <w:rFonts w:hint="eastAsia"/>
          <w:color w:val="auto"/>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）在商务技术标内出现商务报价；</w:t>
      </w:r>
    </w:p>
    <w:p w14:paraId="5D67D725">
      <w:pPr>
        <w:keepNext w:val="0"/>
        <w:keepLines w:val="0"/>
        <w:pageBreakBefore w:val="0"/>
        <w:widowControl w:val="0"/>
        <w:kinsoku/>
        <w:wordWrap/>
        <w:overflowPunct/>
        <w:topLinePunct w:val="0"/>
        <w:bidi w:val="0"/>
        <w:snapToGrid/>
        <w:spacing w:line="40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）招标文件规定的其它投标无效的情况；</w:t>
      </w:r>
    </w:p>
    <w:p w14:paraId="5EBCFF8B">
      <w:pPr>
        <w:keepNext w:val="0"/>
        <w:keepLines w:val="0"/>
        <w:pageBreakBefore w:val="0"/>
        <w:widowControl w:val="0"/>
        <w:kinsoku/>
        <w:wordWrap/>
        <w:overflowPunct/>
        <w:topLinePunct w:val="0"/>
        <w:bidi w:val="0"/>
        <w:snapToGrid/>
        <w:spacing w:line="40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）法律、法规规定的其它投标无效情况。</w:t>
      </w:r>
    </w:p>
    <w:p w14:paraId="371C8501">
      <w:pPr>
        <w:keepNext w:val="0"/>
        <w:keepLines w:val="0"/>
        <w:pageBreakBefore w:val="0"/>
        <w:widowControl w:val="0"/>
        <w:kinsoku/>
        <w:wordWrap/>
        <w:overflowPunct/>
        <w:topLinePunct w:val="0"/>
        <w:bidi w:val="0"/>
        <w:snapToGrid/>
        <w:spacing w:line="400" w:lineRule="atLeast"/>
        <w:textAlignment w:val="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4</w:t>
      </w:r>
      <w:r>
        <w:rPr>
          <w:rFonts w:hint="eastAsia" w:ascii="宋体" w:hAnsi="宋体" w:eastAsia="宋体" w:cs="宋体"/>
          <w:b/>
          <w:color w:val="auto"/>
          <w:sz w:val="24"/>
          <w:highlight w:val="none"/>
        </w:rPr>
        <w:t>.在报价评审时，如发现下列情形之一的，投标文件将被视为无效：</w:t>
      </w:r>
    </w:p>
    <w:p w14:paraId="30898C23">
      <w:pPr>
        <w:keepNext w:val="0"/>
        <w:keepLines w:val="0"/>
        <w:pageBreakBefore w:val="0"/>
        <w:widowControl w:val="0"/>
        <w:kinsoku/>
        <w:wordWrap/>
        <w:overflowPunct/>
        <w:topLinePunct w:val="0"/>
        <w:bidi w:val="0"/>
        <w:snapToGrid/>
        <w:spacing w:line="40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（1）投标人未在规定的时间内对电子询标函进行澄清回复、拒绝澄清回复或者澄清回复的内容改变了投标文件的实质性内容的；</w:t>
      </w:r>
    </w:p>
    <w:p w14:paraId="5D68E606">
      <w:pPr>
        <w:keepNext w:val="0"/>
        <w:keepLines w:val="0"/>
        <w:pageBreakBefore w:val="0"/>
        <w:widowControl w:val="0"/>
        <w:kinsoku/>
        <w:wordWrap/>
        <w:overflowPunct/>
        <w:topLinePunct w:val="0"/>
        <w:bidi w:val="0"/>
        <w:snapToGrid/>
        <w:spacing w:line="40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未填写投标报价或</w:t>
      </w:r>
      <w:r>
        <w:rPr>
          <w:rFonts w:hint="eastAsia" w:ascii="宋体" w:hAnsi="宋体" w:eastAsia="宋体" w:cs="宋体"/>
          <w:color w:val="auto"/>
          <w:sz w:val="24"/>
          <w:highlight w:val="none"/>
        </w:rPr>
        <w:t>未采用人民币报价或者未按照招标文件标明的币种报价的；</w:t>
      </w:r>
    </w:p>
    <w:p w14:paraId="218E1BD6">
      <w:pPr>
        <w:keepNext w:val="0"/>
        <w:keepLines w:val="0"/>
        <w:pageBreakBefore w:val="0"/>
        <w:widowControl w:val="0"/>
        <w:kinsoku/>
        <w:wordWrap/>
        <w:overflowPunct/>
        <w:topLinePunct w:val="0"/>
        <w:bidi w:val="0"/>
        <w:snapToGrid/>
        <w:spacing w:line="40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（3）投标报价具有选择性的，或者开标价格与投标文件承诺的优惠（折扣）价格不一致的；</w:t>
      </w:r>
    </w:p>
    <w:p w14:paraId="6EDE81DE">
      <w:pPr>
        <w:keepNext w:val="0"/>
        <w:keepLines w:val="0"/>
        <w:pageBreakBefore w:val="0"/>
        <w:widowControl w:val="0"/>
        <w:kinsoku/>
        <w:wordWrap/>
        <w:overflowPunct/>
        <w:topLinePunct w:val="0"/>
        <w:bidi w:val="0"/>
        <w:snapToGrid/>
        <w:spacing w:line="40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（4）报价</w:t>
      </w:r>
      <w:r>
        <w:rPr>
          <w:rFonts w:hint="eastAsia" w:ascii="宋体" w:hAnsi="宋体" w:cs="宋体"/>
          <w:color w:val="auto"/>
          <w:sz w:val="24"/>
          <w:highlight w:val="none"/>
          <w:lang w:val="en-US" w:eastAsia="zh-CN"/>
        </w:rPr>
        <w:t>高于</w:t>
      </w:r>
      <w:r>
        <w:rPr>
          <w:rFonts w:hint="eastAsia" w:ascii="宋体" w:hAnsi="宋体" w:eastAsia="宋体" w:cs="宋体"/>
          <w:color w:val="auto"/>
          <w:sz w:val="24"/>
          <w:highlight w:val="none"/>
        </w:rPr>
        <w:t>用户设定的最高限价或预算金额的；</w:t>
      </w:r>
    </w:p>
    <w:p w14:paraId="303B5806">
      <w:pPr>
        <w:keepNext w:val="0"/>
        <w:keepLines w:val="0"/>
        <w:pageBreakBefore w:val="0"/>
        <w:widowControl w:val="0"/>
        <w:kinsoku/>
        <w:wordWrap/>
        <w:overflowPunct/>
        <w:topLinePunct w:val="0"/>
        <w:bidi w:val="0"/>
        <w:snapToGrid/>
        <w:spacing w:line="40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（5）招标文件规定的其它投标无效的情况；</w:t>
      </w:r>
    </w:p>
    <w:p w14:paraId="39749761">
      <w:pPr>
        <w:keepNext w:val="0"/>
        <w:keepLines w:val="0"/>
        <w:pageBreakBefore w:val="0"/>
        <w:widowControl w:val="0"/>
        <w:kinsoku/>
        <w:wordWrap/>
        <w:overflowPunct/>
        <w:topLinePunct w:val="0"/>
        <w:bidi w:val="0"/>
        <w:snapToGrid/>
        <w:spacing w:line="40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（6）法律、法规规定的其它投标无效情况。</w:t>
      </w:r>
    </w:p>
    <w:p w14:paraId="1FB0C4E9">
      <w:pPr>
        <w:pStyle w:val="2"/>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eastAsia="宋体"/>
          <w:color w:val="auto"/>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w:t>
      </w:r>
      <w:r>
        <w:rPr>
          <w:rFonts w:hint="eastAsia" w:hAnsi="宋体"/>
          <w:b/>
          <w:bCs/>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B04D841">
      <w:pPr>
        <w:keepNext w:val="0"/>
        <w:keepLines w:val="0"/>
        <w:pageBreakBefore w:val="0"/>
        <w:widowControl w:val="0"/>
        <w:kinsoku/>
        <w:wordWrap/>
        <w:overflowPunct/>
        <w:topLinePunct w:val="0"/>
        <w:bidi w:val="0"/>
        <w:snapToGrid/>
        <w:spacing w:line="400" w:lineRule="atLeast"/>
        <w:textAlignment w:val="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5</w:t>
      </w:r>
      <w:r>
        <w:rPr>
          <w:rFonts w:hint="eastAsia" w:ascii="宋体" w:hAnsi="宋体" w:eastAsia="宋体" w:cs="宋体"/>
          <w:b/>
          <w:color w:val="auto"/>
          <w:sz w:val="24"/>
          <w:highlight w:val="none"/>
        </w:rPr>
        <w:t>.被拒绝的投标文件为无效。</w:t>
      </w:r>
    </w:p>
    <w:p w14:paraId="4BF18663">
      <w:pPr>
        <w:keepNext w:val="0"/>
        <w:keepLines w:val="0"/>
        <w:pageBreakBefore w:val="0"/>
        <w:widowControl w:val="0"/>
        <w:kinsoku/>
        <w:wordWrap/>
        <w:overflowPunct/>
        <w:topLinePunct w:val="0"/>
        <w:bidi w:val="0"/>
        <w:snapToGrid/>
        <w:spacing w:line="400" w:lineRule="atLeast"/>
        <w:textAlignment w:val="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rPr>
        <w:t>.根据有关法律、法规规定为无效、废标的，按法律、法规规定执行。</w:t>
      </w:r>
    </w:p>
    <w:p w14:paraId="6AE63510">
      <w:pPr>
        <w:spacing w:line="430" w:lineRule="exact"/>
        <w:rPr>
          <w:rFonts w:hint="eastAsia" w:ascii="宋体" w:hAnsi="宋体" w:cs="宋体"/>
          <w:b/>
          <w:bCs/>
          <w:color w:val="auto"/>
          <w:sz w:val="24"/>
          <w:lang w:val="en-US" w:eastAsia="zh-CN"/>
        </w:rPr>
      </w:pPr>
      <w:r>
        <w:rPr>
          <w:rFonts w:hint="eastAsia" w:ascii="宋体" w:hAnsi="宋体" w:cs="宋体"/>
          <w:b/>
          <w:bCs/>
          <w:color w:val="auto"/>
          <w:sz w:val="24"/>
          <w:lang w:val="en-US" w:eastAsia="zh-CN"/>
        </w:rPr>
        <w:t>7</w:t>
      </w:r>
      <w:r>
        <w:rPr>
          <w:rFonts w:hint="eastAsia" w:ascii="宋体" w:hAnsi="宋体" w:cs="宋体"/>
          <w:b/>
          <w:bCs/>
          <w:color w:val="auto"/>
          <w:sz w:val="24"/>
        </w:rPr>
        <w:t>.</w:t>
      </w:r>
      <w:r>
        <w:rPr>
          <w:rFonts w:hint="eastAsia" w:ascii="宋体" w:hAnsi="宋体" w:cs="宋体"/>
          <w:b/>
          <w:color w:val="auto"/>
          <w:sz w:val="24"/>
        </w:rPr>
        <w:t>如发现下列情形之一的，响应文件将被视为无效</w:t>
      </w:r>
      <w:r>
        <w:rPr>
          <w:rFonts w:hint="eastAsia" w:ascii="宋体" w:hAnsi="宋体" w:cs="宋体"/>
          <w:b/>
          <w:color w:val="auto"/>
          <w:sz w:val="24"/>
          <w:lang w:eastAsia="zh-CN"/>
        </w:rPr>
        <w:t>，</w:t>
      </w:r>
      <w:r>
        <w:rPr>
          <w:rFonts w:hint="eastAsia" w:ascii="宋体" w:hAnsi="宋体" w:cs="宋体"/>
          <w:b/>
          <w:bCs/>
          <w:color w:val="auto"/>
          <w:sz w:val="24"/>
          <w:lang w:val="en-US" w:eastAsia="zh-CN"/>
        </w:rPr>
        <w:t>投标（响应）文件无效：</w:t>
      </w:r>
    </w:p>
    <w:p w14:paraId="5709202F">
      <w:pPr>
        <w:spacing w:line="430" w:lineRule="exact"/>
        <w:ind w:firstLine="240" w:firstLineChars="100"/>
        <w:rPr>
          <w:rFonts w:hint="eastAsia" w:ascii="宋体" w:hAnsi="宋体" w:cs="宋体"/>
          <w:color w:val="auto"/>
          <w:sz w:val="24"/>
          <w:lang w:val="en-US" w:eastAsia="zh-CN"/>
        </w:rPr>
      </w:pPr>
      <w:r>
        <w:rPr>
          <w:rFonts w:hint="eastAsia" w:ascii="宋体" w:hAnsi="宋体" w:cs="宋体"/>
          <w:color w:val="auto"/>
          <w:sz w:val="24"/>
          <w:lang w:val="en-US" w:eastAsia="zh-CN"/>
        </w:rPr>
        <w:t>（1）不同供应商制作电子投标（响应）文件的计算机网卡MAC地址相同的；</w:t>
      </w:r>
    </w:p>
    <w:p w14:paraId="2B0D8790">
      <w:pPr>
        <w:spacing w:line="430" w:lineRule="exact"/>
        <w:ind w:firstLine="240" w:firstLineChars="100"/>
        <w:rPr>
          <w:rFonts w:hint="eastAsia" w:ascii="宋体" w:hAnsi="宋体" w:cs="宋体"/>
          <w:color w:val="auto"/>
          <w:sz w:val="24"/>
          <w:lang w:val="en-US" w:eastAsia="zh-CN"/>
        </w:rPr>
      </w:pPr>
      <w:r>
        <w:rPr>
          <w:rFonts w:hint="eastAsia" w:ascii="宋体" w:hAnsi="宋体" w:cs="宋体"/>
          <w:color w:val="auto"/>
          <w:sz w:val="24"/>
          <w:lang w:val="en-US" w:eastAsia="zh-CN"/>
        </w:rPr>
        <w:t>（2）不同供应商制作电子投标（响应）文件的计算机硬盘序列号相同的；</w:t>
      </w:r>
    </w:p>
    <w:p w14:paraId="3C0C2285">
      <w:pPr>
        <w:spacing w:line="430" w:lineRule="exact"/>
        <w:ind w:firstLine="240" w:firstLineChars="100"/>
        <w:rPr>
          <w:rFonts w:hint="eastAsia"/>
          <w:color w:val="auto"/>
        </w:rPr>
      </w:pPr>
      <w:r>
        <w:rPr>
          <w:rFonts w:hint="eastAsia" w:ascii="宋体" w:hAnsi="宋体" w:cs="宋体"/>
          <w:color w:val="auto"/>
          <w:sz w:val="24"/>
          <w:lang w:val="en-US" w:eastAsia="zh-CN"/>
        </w:rPr>
        <w:t>（3）不同供应商的投标（响应）文件的内容存在两处以上细节错误一致，且无法合理解释的。</w:t>
      </w:r>
    </w:p>
    <w:p w14:paraId="40DAE249">
      <w:pPr>
        <w:pStyle w:val="29"/>
        <w:rPr>
          <w:rFonts w:hint="eastAsia"/>
          <w:color w:val="auto"/>
        </w:rPr>
      </w:pPr>
    </w:p>
    <w:p w14:paraId="2D7A1104">
      <w:pPr>
        <w:pStyle w:val="4"/>
        <w:keepNext w:val="0"/>
        <w:keepLines w:val="0"/>
        <w:pageBreakBefore/>
        <w:spacing w:line="360" w:lineRule="auto"/>
        <w:jc w:val="center"/>
        <w:rPr>
          <w:rFonts w:hint="eastAsia" w:ascii="宋体" w:hAnsi="宋体" w:eastAsia="宋体" w:cs="宋体"/>
          <w:color w:val="auto"/>
          <w:sz w:val="24"/>
          <w:szCs w:val="24"/>
          <w:highlight w:val="none"/>
        </w:rPr>
      </w:pPr>
      <w:bookmarkStart w:id="28" w:name="_Toc28071"/>
      <w:bookmarkStart w:id="29" w:name="_Toc458697270"/>
      <w:r>
        <w:rPr>
          <w:rFonts w:hint="eastAsia" w:ascii="宋体" w:hAnsi="宋体" w:eastAsia="宋体" w:cs="宋体"/>
          <w:color w:val="auto"/>
          <w:sz w:val="24"/>
          <w:szCs w:val="24"/>
          <w:highlight w:val="none"/>
        </w:rPr>
        <w:t>四、开标</w:t>
      </w:r>
      <w:bookmarkEnd w:id="28"/>
      <w:bookmarkEnd w:id="29"/>
    </w:p>
    <w:p w14:paraId="13AA5D6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（一）开标准备   </w:t>
      </w:r>
    </w:p>
    <w:p w14:paraId="4A600DD2">
      <w:pPr>
        <w:spacing w:line="360" w:lineRule="auto"/>
        <w:ind w:firstLine="720" w:firstLineChars="3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采购代理机构将在规定的时间和地点进行电子开标，投标人的法定代表人或其委托代理人应做好投标准备，准时在线参加电子开标会议，随时关注开标进度。</w:t>
      </w:r>
    </w:p>
    <w:p w14:paraId="4BBAC12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（二）电子招投标开标程序</w:t>
      </w:r>
    </w:p>
    <w:p w14:paraId="26DDFADE">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1.开标会由招标代理机构主持，主持人宣布开标会议开始；</w:t>
      </w:r>
    </w:p>
    <w:p w14:paraId="1386F1B4">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2.主持人宣布评标室会议纪律及评标期间的有关事项；告知应当回避的情形,提请有关人员回避；</w:t>
      </w:r>
    </w:p>
    <w:p w14:paraId="23FADD7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3.开标及评审程序</w:t>
      </w:r>
    </w:p>
    <w:p w14:paraId="67FA7ED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3.1在开标时间截止后30分钟内由各投标人自行对投标文件进行解密；</w:t>
      </w:r>
    </w:p>
    <w:p w14:paraId="7AFBFD8E">
      <w:pPr>
        <w:spacing w:line="360" w:lineRule="auto"/>
        <w:ind w:left="480" w:hanging="480" w:hanging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3.2由采购人进行资格审查，通过资格审查的投标人进入商务技术响应文件进行评审；</w:t>
      </w:r>
    </w:p>
    <w:p w14:paraId="2A9C0EB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3.3系统对各投标人的商务技术进行汇总</w:t>
      </w:r>
      <w:r>
        <w:rPr>
          <w:rFonts w:hint="eastAsia" w:ascii="宋体" w:hAnsi="宋体" w:cs="宋体"/>
          <w:color w:val="auto"/>
          <w:sz w:val="24"/>
          <w:szCs w:val="24"/>
          <w:highlight w:val="none"/>
          <w:lang w:eastAsia="zh-CN"/>
        </w:rPr>
        <w:t>并公布商务技术得分</w:t>
      </w:r>
      <w:r>
        <w:rPr>
          <w:rFonts w:hint="eastAsia" w:ascii="宋体" w:hAnsi="宋体" w:eastAsia="宋体" w:cs="宋体"/>
          <w:color w:val="auto"/>
          <w:sz w:val="24"/>
          <w:highlight w:val="none"/>
        </w:rPr>
        <w:t>；</w:t>
      </w:r>
    </w:p>
    <w:p w14:paraId="4EB49D5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3.4在系统上公开报价开标情况；</w:t>
      </w:r>
    </w:p>
    <w:p w14:paraId="3225325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3.5评标委员会对报价情况进行评审；</w:t>
      </w:r>
    </w:p>
    <w:p w14:paraId="2A319CB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3.6在系统上公布评审结果。</w:t>
      </w:r>
    </w:p>
    <w:p w14:paraId="3D107B8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特别说明：政采云公司如对电子化开标及评审程序有调整的，按调整后的程序操作。</w:t>
      </w:r>
    </w:p>
    <w:p w14:paraId="12D28979">
      <w:pPr>
        <w:numPr>
          <w:ilvl w:val="0"/>
          <w:numId w:val="4"/>
        </w:numPr>
        <w:spacing w:line="360" w:lineRule="auto"/>
        <w:rPr>
          <w:rFonts w:hint="eastAsia"/>
          <w:color w:val="auto"/>
        </w:rPr>
      </w:pPr>
      <w:r>
        <w:rPr>
          <w:rFonts w:hint="eastAsia" w:ascii="宋体" w:hAnsi="宋体" w:eastAsia="宋体" w:cs="宋体"/>
          <w:color w:val="auto"/>
          <w:sz w:val="24"/>
          <w:highlight w:val="none"/>
        </w:rPr>
        <w:t>本项目采用政采云电子招投标开标及评审程序，开评标时出现电子投标文件无法解密或解密失败等情况时，采购代理机构可上传投标人的电子备份投标文件继续评审。</w:t>
      </w:r>
    </w:p>
    <w:p w14:paraId="46B1FD9E">
      <w:pPr>
        <w:spacing w:line="360" w:lineRule="auto"/>
        <w:rPr>
          <w:rFonts w:hint="eastAsia" w:ascii="宋体" w:hAnsi="宋体" w:cs="宋体"/>
          <w:b/>
          <w:color w:val="auto"/>
          <w:sz w:val="24"/>
        </w:rPr>
      </w:pPr>
      <w:r>
        <w:rPr>
          <w:rFonts w:hint="eastAsia" w:ascii="宋体" w:hAnsi="宋体" w:cs="宋体"/>
          <w:b/>
          <w:color w:val="auto"/>
          <w:sz w:val="24"/>
        </w:rPr>
        <w:t>（三）特殊情况处理</w:t>
      </w:r>
    </w:p>
    <w:p w14:paraId="650BAE84">
      <w:pPr>
        <w:spacing w:line="360" w:lineRule="auto"/>
        <w:ind w:firstLine="480" w:firstLineChars="200"/>
        <w:rPr>
          <w:rFonts w:hint="eastAsia"/>
          <w:color w:val="auto"/>
        </w:rPr>
      </w:pPr>
      <w:r>
        <w:rPr>
          <w:rFonts w:hint="eastAsia" w:ascii="宋体" w:hAnsi="宋体" w:cs="宋体"/>
          <w:color w:val="auto"/>
          <w:sz w:val="24"/>
        </w:rPr>
        <w:t>投标文件评审期间采购响应（指投标或谈判、报价，下同），出现有效供应商不足3家的，按照《政府采购货物和服务招标投标管理办法》相关规定，报请东阳市采监科同意，可以按原采购方式继续进行采购活动，也可以变更为竞争性谈判等其他采购方式。变更采购方式时，原评标委员会所有成员，为竞争性谈判或单一来源采购的谈判小组成员。</w:t>
      </w:r>
    </w:p>
    <w:p w14:paraId="0562E00E">
      <w:pPr>
        <w:pStyle w:val="21"/>
        <w:ind w:left="0" w:leftChars="0" w:firstLine="0" w:firstLineChars="0"/>
        <w:rPr>
          <w:rFonts w:hint="eastAsia"/>
          <w:color w:val="auto"/>
        </w:rPr>
      </w:pPr>
    </w:p>
    <w:p w14:paraId="2CB94088">
      <w:pPr>
        <w:pStyle w:val="4"/>
        <w:keepNext w:val="0"/>
        <w:keepLines w:val="0"/>
        <w:pageBreakBefore/>
        <w:spacing w:line="360" w:lineRule="auto"/>
        <w:jc w:val="center"/>
        <w:rPr>
          <w:rFonts w:ascii="宋体" w:hAnsi="宋体" w:eastAsia="宋体" w:cs="宋体"/>
          <w:b/>
          <w:bCs/>
          <w:color w:val="auto"/>
          <w:sz w:val="24"/>
          <w:szCs w:val="24"/>
          <w:highlight w:val="none"/>
        </w:rPr>
      </w:pPr>
      <w:bookmarkStart w:id="30" w:name="_Toc13249"/>
      <w:bookmarkStart w:id="31" w:name="_Toc7166"/>
      <w:bookmarkStart w:id="32" w:name="_Toc458697271"/>
      <w:r>
        <w:rPr>
          <w:rFonts w:hint="eastAsia" w:ascii="宋体" w:hAnsi="宋体" w:eastAsia="宋体" w:cs="宋体"/>
          <w:b/>
          <w:bCs/>
          <w:color w:val="auto"/>
          <w:sz w:val="24"/>
          <w:szCs w:val="24"/>
          <w:highlight w:val="none"/>
        </w:rPr>
        <w:t>五、评标</w:t>
      </w:r>
      <w:bookmarkEnd w:id="30"/>
      <w:bookmarkEnd w:id="31"/>
      <w:bookmarkEnd w:id="32"/>
    </w:p>
    <w:p w14:paraId="5ABBD543">
      <w:pPr>
        <w:spacing w:line="360" w:lineRule="auto"/>
        <w:rPr>
          <w:rFonts w:ascii="宋体" w:hAnsi="宋体" w:cs="宋体"/>
          <w:b/>
          <w:color w:val="auto"/>
          <w:sz w:val="24"/>
          <w:highlight w:val="none"/>
        </w:rPr>
      </w:pPr>
      <w:r>
        <w:rPr>
          <w:rFonts w:hint="eastAsia" w:ascii="宋体" w:hAnsi="宋体" w:cs="宋体"/>
          <w:b/>
          <w:color w:val="auto"/>
          <w:sz w:val="24"/>
          <w:highlight w:val="none"/>
        </w:rPr>
        <w:t>（一）组建评标委员会</w:t>
      </w:r>
    </w:p>
    <w:p w14:paraId="49D1733B">
      <w:pPr>
        <w:spacing w:line="360" w:lineRule="auto"/>
        <w:rPr>
          <w:rFonts w:ascii="宋体" w:hAnsi="宋体" w:cs="宋体"/>
          <w:color w:val="auto"/>
          <w:sz w:val="24"/>
          <w:highlight w:val="none"/>
        </w:rPr>
      </w:pPr>
      <w:r>
        <w:rPr>
          <w:rFonts w:hint="eastAsia" w:ascii="宋体" w:hAnsi="宋体" w:cs="宋体"/>
          <w:color w:val="auto"/>
          <w:sz w:val="24"/>
          <w:highlight w:val="none"/>
        </w:rPr>
        <w:t>本项目评标委员会由政府采购评审专家</w:t>
      </w:r>
      <w:r>
        <w:rPr>
          <w:rFonts w:hint="eastAsia" w:ascii="宋体" w:hAnsi="宋体" w:cs="宋体"/>
          <w:color w:val="auto"/>
          <w:sz w:val="24"/>
          <w:highlight w:val="none"/>
          <w:u w:val="single"/>
        </w:rPr>
        <w:t>4</w:t>
      </w:r>
      <w:r>
        <w:rPr>
          <w:rFonts w:hint="eastAsia" w:ascii="宋体" w:hAnsi="宋体" w:cs="宋体"/>
          <w:color w:val="auto"/>
          <w:sz w:val="24"/>
          <w:highlight w:val="none"/>
        </w:rPr>
        <w:t>人和采购人代表</w:t>
      </w:r>
      <w:r>
        <w:rPr>
          <w:rFonts w:hint="eastAsia" w:ascii="宋体" w:hAnsi="宋体" w:cs="宋体"/>
          <w:color w:val="auto"/>
          <w:sz w:val="24"/>
          <w:highlight w:val="none"/>
          <w:u w:val="single"/>
        </w:rPr>
        <w:t>1</w:t>
      </w:r>
      <w:r>
        <w:rPr>
          <w:rFonts w:hint="eastAsia" w:ascii="宋体" w:hAnsi="宋体" w:cs="宋体"/>
          <w:color w:val="auto"/>
          <w:sz w:val="24"/>
          <w:highlight w:val="none"/>
        </w:rPr>
        <w:t>人,共</w:t>
      </w:r>
      <w:r>
        <w:rPr>
          <w:rFonts w:hint="eastAsia" w:ascii="宋体" w:hAnsi="宋体" w:cs="宋体"/>
          <w:color w:val="auto"/>
          <w:sz w:val="24"/>
          <w:highlight w:val="none"/>
          <w:u w:val="single"/>
        </w:rPr>
        <w:t>5</w:t>
      </w:r>
      <w:r>
        <w:rPr>
          <w:rFonts w:hint="eastAsia" w:ascii="宋体" w:hAnsi="宋体" w:cs="宋体"/>
          <w:color w:val="auto"/>
          <w:sz w:val="24"/>
          <w:highlight w:val="none"/>
        </w:rPr>
        <w:t>人组成。（允许采购人不推荐采购人代表参加，如采购人不推荐采购人代表参加评审时，评标委员会（5人）都从评标专家库中抽取）。</w:t>
      </w:r>
    </w:p>
    <w:p w14:paraId="00A8F5D4">
      <w:pPr>
        <w:spacing w:line="360" w:lineRule="auto"/>
        <w:rPr>
          <w:rFonts w:ascii="宋体" w:hAnsi="宋体" w:cs="宋体"/>
          <w:b/>
          <w:color w:val="auto"/>
          <w:sz w:val="24"/>
          <w:highlight w:val="none"/>
        </w:rPr>
      </w:pPr>
      <w:r>
        <w:rPr>
          <w:rFonts w:hint="eastAsia" w:ascii="宋体" w:hAnsi="宋体" w:cs="宋体"/>
          <w:b/>
          <w:color w:val="auto"/>
          <w:sz w:val="24"/>
          <w:highlight w:val="none"/>
        </w:rPr>
        <w:t>（二）评标的方式</w:t>
      </w:r>
    </w:p>
    <w:p w14:paraId="169A139B">
      <w:pPr>
        <w:spacing w:line="360" w:lineRule="auto"/>
        <w:rPr>
          <w:rFonts w:ascii="宋体" w:hAnsi="宋体" w:cs="宋体"/>
          <w:color w:val="auto"/>
          <w:sz w:val="24"/>
          <w:highlight w:val="none"/>
        </w:rPr>
      </w:pPr>
      <w:r>
        <w:rPr>
          <w:rFonts w:hint="eastAsia" w:ascii="宋体" w:hAnsi="宋体" w:cs="宋体"/>
          <w:color w:val="auto"/>
          <w:sz w:val="24"/>
          <w:highlight w:val="none"/>
        </w:rPr>
        <w:t>本项目采用不公开方式评标，评标的依据为招标文件和投标文件。</w:t>
      </w:r>
    </w:p>
    <w:p w14:paraId="63D7574D">
      <w:pPr>
        <w:spacing w:line="360" w:lineRule="auto"/>
        <w:rPr>
          <w:rFonts w:ascii="宋体" w:hAnsi="宋体" w:cs="宋体"/>
          <w:b/>
          <w:color w:val="auto"/>
          <w:sz w:val="24"/>
          <w:highlight w:val="none"/>
        </w:rPr>
      </w:pPr>
      <w:r>
        <w:rPr>
          <w:rFonts w:hint="eastAsia" w:ascii="宋体" w:hAnsi="宋体" w:cs="宋体"/>
          <w:b/>
          <w:color w:val="auto"/>
          <w:sz w:val="24"/>
          <w:highlight w:val="none"/>
        </w:rPr>
        <w:t>（三）评标程序</w:t>
      </w:r>
    </w:p>
    <w:p w14:paraId="5C21B349">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1.形式审查</w:t>
      </w:r>
    </w:p>
    <w:p w14:paraId="18C9F24C">
      <w:pPr>
        <w:spacing w:line="360" w:lineRule="auto"/>
        <w:rPr>
          <w:rFonts w:ascii="宋体" w:hAnsi="宋体" w:cs="宋体"/>
          <w:b/>
          <w:color w:val="auto"/>
          <w:sz w:val="24"/>
          <w:highlight w:val="none"/>
        </w:rPr>
      </w:pPr>
      <w:r>
        <w:rPr>
          <w:rFonts w:hint="eastAsia" w:ascii="宋体" w:hAnsi="宋体" w:cs="宋体"/>
          <w:color w:val="auto"/>
          <w:sz w:val="24"/>
          <w:highlight w:val="none"/>
        </w:rPr>
        <w:t>招标方工作人员协助评标委员会对投标人的商务技术文件、报价投标文件的完整性、合法性等进行审查。</w:t>
      </w:r>
    </w:p>
    <w:p w14:paraId="56BD4053">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2.实质审查与比较</w:t>
      </w:r>
    </w:p>
    <w:p w14:paraId="2198BFD4">
      <w:pPr>
        <w:spacing w:line="360" w:lineRule="auto"/>
        <w:rPr>
          <w:rFonts w:ascii="宋体" w:hAnsi="宋体" w:cs="宋体"/>
          <w:color w:val="auto"/>
          <w:sz w:val="24"/>
          <w:highlight w:val="none"/>
        </w:rPr>
      </w:pPr>
      <w:r>
        <w:rPr>
          <w:rFonts w:hint="eastAsia" w:ascii="宋体" w:hAnsi="宋体" w:cs="宋体"/>
          <w:color w:val="auto"/>
          <w:sz w:val="24"/>
          <w:highlight w:val="none"/>
        </w:rPr>
        <w:t>（1）评标委员会审查投标文件的实质性内容是否符合招标文件的实质性要求。</w:t>
      </w:r>
    </w:p>
    <w:p w14:paraId="544F2B89">
      <w:pPr>
        <w:spacing w:line="360" w:lineRule="auto"/>
        <w:rPr>
          <w:rFonts w:ascii="宋体" w:hAnsi="宋体" w:cs="宋体"/>
          <w:color w:val="auto"/>
          <w:sz w:val="24"/>
          <w:highlight w:val="none"/>
        </w:rPr>
      </w:pPr>
      <w:r>
        <w:rPr>
          <w:rFonts w:hint="eastAsia" w:ascii="宋体" w:hAnsi="宋体" w:cs="宋体"/>
          <w:color w:val="auto"/>
          <w:sz w:val="24"/>
          <w:highlight w:val="none"/>
        </w:rPr>
        <w:t>（2）评标委员会将对投标人的投标文件进行审查、核对,如有疑问,将对投标人进行电子询标,投标人须在规定的时间内向评标委员会澄清有关问题,并在政采云上进行询标答复。</w:t>
      </w:r>
    </w:p>
    <w:p w14:paraId="723E8E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投标人代表未在规定的时间内进行澄清、拒绝澄清或者澄清的内容改变了投标文件的实质性内容的，评标委员会有权对该投标文件作出不利于投标人的评判。</w:t>
      </w:r>
    </w:p>
    <w:p w14:paraId="431B0D93">
      <w:pPr>
        <w:spacing w:line="360" w:lineRule="auto"/>
        <w:rPr>
          <w:rFonts w:ascii="宋体" w:hAnsi="宋体" w:cs="宋体"/>
          <w:color w:val="auto"/>
          <w:sz w:val="24"/>
          <w:highlight w:val="none"/>
        </w:rPr>
      </w:pPr>
      <w:r>
        <w:rPr>
          <w:rFonts w:hint="eastAsia" w:ascii="宋体" w:hAnsi="宋体" w:cs="宋体"/>
          <w:color w:val="auto"/>
          <w:sz w:val="24"/>
          <w:highlight w:val="none"/>
        </w:rPr>
        <w:t>（3）各投标人的技术得分为所有评委的有效评分的算术平均数，由指定专人进行计算复核。</w:t>
      </w:r>
    </w:p>
    <w:p w14:paraId="230B9535">
      <w:pPr>
        <w:spacing w:line="360" w:lineRule="auto"/>
        <w:rPr>
          <w:rFonts w:ascii="宋体" w:hAnsi="宋体" w:cs="宋体"/>
          <w:color w:val="auto"/>
          <w:sz w:val="24"/>
          <w:highlight w:val="none"/>
        </w:rPr>
      </w:pPr>
      <w:r>
        <w:rPr>
          <w:rFonts w:hint="eastAsia" w:ascii="宋体" w:hAnsi="宋体" w:cs="宋体"/>
          <w:color w:val="auto"/>
          <w:sz w:val="24"/>
          <w:highlight w:val="none"/>
        </w:rPr>
        <w:t>（4）招标方工作人员协助评标委员会审核商务报价有无计算错误，并根据本项目的评分标准计算各投标人的商务报价得分。</w:t>
      </w:r>
    </w:p>
    <w:p w14:paraId="349C787C">
      <w:pPr>
        <w:spacing w:line="360" w:lineRule="auto"/>
        <w:rPr>
          <w:rFonts w:ascii="宋体" w:hAnsi="宋体" w:cs="宋体"/>
          <w:color w:val="auto"/>
          <w:sz w:val="24"/>
          <w:highlight w:val="none"/>
        </w:rPr>
      </w:pPr>
      <w:r>
        <w:rPr>
          <w:rFonts w:hint="eastAsia" w:ascii="宋体" w:hAnsi="宋体" w:cs="宋体"/>
          <w:color w:val="auto"/>
          <w:sz w:val="24"/>
          <w:highlight w:val="none"/>
        </w:rPr>
        <w:t>（5）评标委员会完成评标后, 招标方工作人员对系统中的得分汇总进行复核,计算出本项目最终得分，评标委员会按评标原则推荐中标候选人并起草评标报告。</w:t>
      </w:r>
    </w:p>
    <w:p w14:paraId="24510896">
      <w:pPr>
        <w:spacing w:line="360" w:lineRule="auto"/>
        <w:rPr>
          <w:rFonts w:ascii="宋体" w:hAnsi="宋体" w:cs="宋体"/>
          <w:b/>
          <w:color w:val="auto"/>
          <w:sz w:val="24"/>
          <w:highlight w:val="none"/>
        </w:rPr>
      </w:pPr>
      <w:r>
        <w:rPr>
          <w:rFonts w:hint="eastAsia" w:ascii="宋体" w:hAnsi="宋体" w:cs="宋体"/>
          <w:b/>
          <w:color w:val="auto"/>
          <w:sz w:val="24"/>
          <w:highlight w:val="none"/>
        </w:rPr>
        <w:t>（四）澄清问题的形式</w:t>
      </w:r>
    </w:p>
    <w:p w14:paraId="359784B2">
      <w:pPr>
        <w:spacing w:line="360" w:lineRule="auto"/>
        <w:rPr>
          <w:rFonts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投标人作出必要的澄清、说明或者纠正，投标人应在询标规定时间内进行澄清或说明（需盖CA电子签章或实体公章），并不得超出投标文件的范围或者改变投标文件的实质性内容。</w:t>
      </w:r>
    </w:p>
    <w:p w14:paraId="694A3E64">
      <w:pPr>
        <w:spacing w:line="360" w:lineRule="auto"/>
        <w:rPr>
          <w:rFonts w:ascii="宋体" w:hAnsi="宋体" w:cs="宋体"/>
          <w:b/>
          <w:color w:val="auto"/>
          <w:sz w:val="24"/>
          <w:highlight w:val="none"/>
        </w:rPr>
      </w:pPr>
      <w:r>
        <w:rPr>
          <w:rFonts w:hint="eastAsia" w:ascii="宋体" w:hAnsi="宋体" w:cs="宋体"/>
          <w:b/>
          <w:color w:val="auto"/>
          <w:sz w:val="24"/>
          <w:highlight w:val="none"/>
        </w:rPr>
        <w:t>（五）错误修正</w:t>
      </w:r>
    </w:p>
    <w:p w14:paraId="7B793BB8">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投标文件如果出现计算或表达上的错误，修正错误的原则如下：</w:t>
      </w:r>
    </w:p>
    <w:p w14:paraId="11A57B6D">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1.投标文件中开标一览表（报价表）内容与与投标文件中相应内容不一致的，以开标一览表（报价表）为准；</w:t>
      </w:r>
    </w:p>
    <w:p w14:paraId="4339788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4465F54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14:paraId="76FF692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14:paraId="65AF87A1">
      <w:pPr>
        <w:pStyle w:val="22"/>
        <w:spacing w:line="360" w:lineRule="auto"/>
        <w:ind w:left="0" w:leftChars="0" w:firstLine="240" w:firstLineChars="100"/>
        <w:rPr>
          <w:rFonts w:ascii="宋体" w:hAnsi="宋体" w:cs="宋体"/>
          <w:color w:val="auto"/>
          <w:sz w:val="24"/>
          <w:highlight w:val="none"/>
        </w:rPr>
      </w:pPr>
      <w:r>
        <w:rPr>
          <w:rFonts w:hint="eastAsia" w:ascii="宋体" w:hAnsi="宋体" w:cs="宋体"/>
          <w:color w:val="auto"/>
          <w:sz w:val="24"/>
          <w:highlight w:val="none"/>
        </w:rPr>
        <w:t>5.政采云系统投标报价与投标文件中开标一览表（报价表）相应内容不一致的，以开标一览表（报价表）为准。</w:t>
      </w:r>
    </w:p>
    <w:p w14:paraId="65CBF2DB">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6.对不同文字文本投标文件的解释发生异议的，以中文文本为准。</w:t>
      </w:r>
    </w:p>
    <w:p w14:paraId="7068DA2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14:paraId="2A7BCCEB">
      <w:pPr>
        <w:spacing w:line="360" w:lineRule="auto"/>
        <w:rPr>
          <w:rFonts w:ascii="宋体" w:hAnsi="宋体" w:cs="宋体"/>
          <w:b/>
          <w:bCs/>
          <w:color w:val="auto"/>
          <w:sz w:val="24"/>
          <w:highlight w:val="none"/>
        </w:rPr>
      </w:pPr>
      <w:r>
        <w:rPr>
          <w:rFonts w:hint="eastAsia" w:ascii="宋体" w:hAnsi="宋体" w:cs="宋体"/>
          <w:b/>
          <w:color w:val="auto"/>
          <w:sz w:val="24"/>
          <w:highlight w:val="none"/>
        </w:rPr>
        <w:t>（六）评标原则和评标办法</w:t>
      </w:r>
    </w:p>
    <w:p w14:paraId="354A369D">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评审专家必须公平、公正评审，遵纪守法，客观、廉洁地履行职责。</w:t>
      </w:r>
    </w:p>
    <w:p w14:paraId="4BB0DD25">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评审专家在评审开始前，应关闭并上交随身携带的各种通信工具。</w:t>
      </w:r>
    </w:p>
    <w:p w14:paraId="008F6109">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评审专家在评审过程中，未经许可不得中途离开评审现场，不得迟到早退。</w:t>
      </w:r>
    </w:p>
    <w:p w14:paraId="0D92DA52">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评审专家和工作人员不得透露评审过程中的讨论情况和评审结果。</w:t>
      </w:r>
    </w:p>
    <w:p w14:paraId="2FC1AD89">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6D0EC067">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6.采购人、采购代理机构不得向评审委员会的评审专家作倾向性、误导性的解释或者说明。</w:t>
      </w:r>
    </w:p>
    <w:p w14:paraId="3CE73A30">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325DAB23">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评审专家在评审过程中不得将自己的观点强加给其他评审专家，评审专家应自主发表见解，对评审意见承担个人责任。</w:t>
      </w:r>
    </w:p>
    <w:p w14:paraId="660E289A">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0971C357">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评审专家应当独立、客观、公正地提出评审意见，不得带有倾向性，不得影响其他评审专家评审，并在评审报告上签字；如对评审报告有异议的，可在报告上签署不同意见，并说明理由，否则将视为同意。</w:t>
      </w:r>
    </w:p>
    <w:p w14:paraId="0CED5F94">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评审专家应当遵守评审工作纪律，不得泄露评审文件、评审情况和评审中获悉的商业秘密。</w:t>
      </w:r>
    </w:p>
    <w:p w14:paraId="5E026655">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评审委员会在评审过程中发现投标人有行贿、提供虚假材料或者串通等违法行为的，应当及时向财政部门报告。</w:t>
      </w:r>
    </w:p>
    <w:p w14:paraId="1593EE12">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招标文件内容违反国家有关强制性规定的，评审委员会应当停止评审并向采购代理机构说明情况。</w:t>
      </w:r>
    </w:p>
    <w:p w14:paraId="5C833294">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13.</w:t>
      </w:r>
      <w:r>
        <w:rPr>
          <w:rFonts w:hint="eastAsia" w:ascii="宋体" w:hAnsi="宋体" w:cs="宋体"/>
          <w:color w:val="auto"/>
          <w:sz w:val="24"/>
          <w:highlight w:val="none"/>
        </w:rPr>
        <w:t>评审专家应当配合采购代理机构答复投标人提出的质疑。</w:t>
      </w:r>
    </w:p>
    <w:p w14:paraId="58EB0043">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14.</w:t>
      </w:r>
      <w:r>
        <w:rPr>
          <w:rFonts w:hint="eastAsia" w:ascii="宋体" w:hAnsi="宋体" w:cs="宋体"/>
          <w:color w:val="auto"/>
          <w:sz w:val="24"/>
          <w:highlight w:val="none"/>
        </w:rPr>
        <w:t>评审专家应当配合财政部门的投诉处理工作。</w:t>
      </w:r>
    </w:p>
    <w:p w14:paraId="66A3C546">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15.</w:t>
      </w:r>
      <w:r>
        <w:rPr>
          <w:rFonts w:hint="eastAsia" w:ascii="宋体" w:hAnsi="宋体" w:cs="宋体"/>
          <w:color w:val="auto"/>
          <w:sz w:val="24"/>
          <w:highlight w:val="none"/>
        </w:rPr>
        <w:t>评审专家有如下行为之一的，责令改正，给予警告，可以并处一千元以下的罚款：</w:t>
      </w:r>
    </w:p>
    <w:p w14:paraId="0DDC1CB5">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①</w:t>
      </w:r>
      <w:r>
        <w:rPr>
          <w:rFonts w:hint="eastAsia" w:ascii="宋体" w:hAnsi="宋体" w:cs="宋体"/>
          <w:color w:val="auto"/>
          <w:sz w:val="24"/>
          <w:highlight w:val="none"/>
        </w:rPr>
        <w:t>明知应当回避而未主动回避的；</w:t>
      </w:r>
    </w:p>
    <w:p w14:paraId="11EFCA59">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②</w:t>
      </w:r>
      <w:r>
        <w:rPr>
          <w:rFonts w:hint="eastAsia" w:ascii="宋体" w:hAnsi="宋体" w:cs="宋体"/>
          <w:color w:val="auto"/>
          <w:sz w:val="24"/>
          <w:highlight w:val="none"/>
        </w:rPr>
        <w:t>在</w:t>
      </w:r>
      <w:r>
        <w:rPr>
          <w:rFonts w:hint="eastAsia" w:ascii="宋体" w:hAnsi="宋体" w:cs="宋体"/>
          <w:color w:val="auto"/>
          <w:sz w:val="24"/>
          <w:highlight w:val="none"/>
          <w:lang w:eastAsia="zh-CN"/>
        </w:rPr>
        <w:t>得知</w:t>
      </w:r>
      <w:r>
        <w:rPr>
          <w:rFonts w:hint="eastAsia" w:ascii="宋体" w:hAnsi="宋体" w:cs="宋体"/>
          <w:color w:val="auto"/>
          <w:sz w:val="24"/>
          <w:highlight w:val="none"/>
        </w:rPr>
        <w:t>自己为评审专家身份后至评审结束前时段内私下接触投标人的；</w:t>
      </w:r>
    </w:p>
    <w:p w14:paraId="1D24060C">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③</w:t>
      </w:r>
      <w:r>
        <w:rPr>
          <w:rFonts w:hint="eastAsia" w:ascii="宋体" w:hAnsi="宋体" w:cs="宋体"/>
          <w:color w:val="auto"/>
          <w:sz w:val="24"/>
          <w:highlight w:val="none"/>
        </w:rPr>
        <w:t>在评审过程中擅离职守，影响评审程序正常进行的；</w:t>
      </w:r>
    </w:p>
    <w:p w14:paraId="21D0514A">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④</w:t>
      </w:r>
      <w:r>
        <w:rPr>
          <w:rFonts w:hint="eastAsia" w:ascii="宋体" w:hAnsi="宋体" w:cs="宋体"/>
          <w:color w:val="auto"/>
          <w:sz w:val="24"/>
          <w:highlight w:val="none"/>
        </w:rPr>
        <w:t>在评审过程有明显不合理或者不正当倾向性的；</w:t>
      </w:r>
    </w:p>
    <w:p w14:paraId="3291DF37">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⑤</w:t>
      </w:r>
      <w:r>
        <w:rPr>
          <w:rFonts w:hint="eastAsia" w:ascii="宋体" w:hAnsi="宋体" w:cs="宋体"/>
          <w:color w:val="auto"/>
          <w:sz w:val="24"/>
          <w:highlight w:val="none"/>
        </w:rPr>
        <w:t>未按招标文件规定的评审方法和标准进行评审的。</w:t>
      </w:r>
    </w:p>
    <w:p w14:paraId="6A758288">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⑥</w:t>
      </w:r>
      <w:r>
        <w:rPr>
          <w:rFonts w:hint="eastAsia" w:ascii="宋体" w:hAnsi="宋体" w:cs="宋体"/>
          <w:color w:val="auto"/>
          <w:sz w:val="24"/>
          <w:highlight w:val="none"/>
        </w:rPr>
        <w:t>上述</w:t>
      </w:r>
      <w:r>
        <w:rPr>
          <w:rFonts w:hint="eastAsia" w:ascii="宋体" w:hAnsi="宋体" w:cs="宋体"/>
          <w:color w:val="auto"/>
          <w:sz w:val="24"/>
          <w:highlight w:val="none"/>
          <w:lang w:eastAsia="zh-CN"/>
        </w:rPr>
        <w:t>①</w:t>
      </w:r>
      <w:r>
        <w:rPr>
          <w:rFonts w:hint="eastAsia" w:ascii="宋体" w:hAnsi="宋体" w:cs="宋体"/>
          <w:color w:val="auto"/>
          <w:sz w:val="24"/>
          <w:highlight w:val="none"/>
        </w:rPr>
        <w:t>至</w:t>
      </w:r>
      <w:r>
        <w:rPr>
          <w:rFonts w:hint="eastAsia" w:ascii="宋体" w:hAnsi="宋体" w:cs="宋体"/>
          <w:color w:val="auto"/>
          <w:sz w:val="24"/>
          <w:highlight w:val="none"/>
          <w:lang w:eastAsia="zh-CN"/>
        </w:rPr>
        <w:t>⑤</w:t>
      </w:r>
      <w:r>
        <w:rPr>
          <w:rFonts w:hint="eastAsia" w:ascii="宋体" w:hAnsi="宋体" w:cs="宋体"/>
          <w:color w:val="auto"/>
          <w:sz w:val="24"/>
          <w:highlight w:val="none"/>
        </w:rPr>
        <w:t>行为影响中标结果的，中标结果无效。</w:t>
      </w:r>
    </w:p>
    <w:p w14:paraId="0D2756DA">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0296F826">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政府采购评审专家与投标人存在利害关系未回避的，处2万元以上5万元以下的罚款，禁止其参加政府采购评审活动。</w:t>
      </w:r>
    </w:p>
    <w:p w14:paraId="76C85965">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5AD6C581">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政府采购评审专家有上述违法行为的，其评审意见无效，不得获取评审费；有违法所得的，没收违法所得；给他人造成损失的，依法承担民事责任。</w:t>
      </w:r>
    </w:p>
    <w:p w14:paraId="18FE87BA">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17</w:t>
      </w:r>
      <w:r>
        <w:rPr>
          <w:rFonts w:hint="eastAsia" w:ascii="宋体" w:hAnsi="宋体" w:cs="宋体"/>
          <w:color w:val="auto"/>
          <w:sz w:val="24"/>
          <w:highlight w:val="none"/>
        </w:rPr>
        <w:t>.评标办法。</w:t>
      </w:r>
    </w:p>
    <w:p w14:paraId="16694074">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本项目评标办法是：综合评分法，具体评标内容及评分标准等详见《第四章：评标办法及评分标准》。</w:t>
      </w:r>
    </w:p>
    <w:p w14:paraId="2E679025">
      <w:pPr>
        <w:spacing w:line="360" w:lineRule="auto"/>
        <w:rPr>
          <w:rFonts w:ascii="宋体" w:hAnsi="宋体" w:cs="宋体"/>
          <w:b/>
          <w:color w:val="auto"/>
          <w:sz w:val="24"/>
          <w:highlight w:val="none"/>
        </w:rPr>
      </w:pPr>
      <w:r>
        <w:rPr>
          <w:rFonts w:hint="eastAsia" w:ascii="宋体" w:hAnsi="宋体" w:cs="宋体"/>
          <w:b/>
          <w:color w:val="auto"/>
          <w:sz w:val="24"/>
          <w:highlight w:val="none"/>
        </w:rPr>
        <w:t>（七）评标过程的监控</w:t>
      </w:r>
    </w:p>
    <w:p w14:paraId="5B9C043D">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本项目评标过程实行全程录音、录像监控，投标人在评标过程中所进行的试图影响评标结果的不公正活动，可能导致其投标被拒绝。</w:t>
      </w:r>
    </w:p>
    <w:p w14:paraId="426B84DD">
      <w:pPr>
        <w:spacing w:line="360" w:lineRule="auto"/>
        <w:rPr>
          <w:rFonts w:ascii="宋体" w:hAnsi="宋体" w:cs="宋体"/>
          <w:b/>
          <w:color w:val="auto"/>
          <w:sz w:val="24"/>
          <w:highlight w:val="none"/>
        </w:rPr>
      </w:pPr>
      <w:r>
        <w:rPr>
          <w:rFonts w:hint="eastAsia" w:ascii="宋体" w:hAnsi="宋体" w:cs="宋体"/>
          <w:b/>
          <w:color w:val="auto"/>
          <w:sz w:val="24"/>
          <w:highlight w:val="none"/>
        </w:rPr>
        <w:t>（八）其他</w:t>
      </w:r>
    </w:p>
    <w:p w14:paraId="7002035E">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采购过程中出现以下情形，导致电子交易平台无法正常运行，或者无法保证电子交易的公平、公正和安全时，采购组织机构可中止电子交易活动：</w:t>
      </w:r>
    </w:p>
    <w:p w14:paraId="1C81F69E">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1、电子交易平台发生故障而无法登录访问的；</w:t>
      </w:r>
    </w:p>
    <w:p w14:paraId="5852E4CD">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2、电子交易平台应用或数据库出现错误，不能进行正常操作的；</w:t>
      </w:r>
    </w:p>
    <w:p w14:paraId="30F19F97">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3、电子交易平台发现严重安全漏洞，有潜在泄密危险的；</w:t>
      </w:r>
    </w:p>
    <w:p w14:paraId="5D594821">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4、病毒发作导致不能进行正常操作的；</w:t>
      </w:r>
    </w:p>
    <w:p w14:paraId="4ABD95B4">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5、其他无法保证电子交易的公平、公正和安全的情况。</w:t>
      </w:r>
    </w:p>
    <w:p w14:paraId="75E9C861">
      <w:pPr>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出现前款规定情形，不影响采购公平、公正性的，采购组织机构可以待上述情形消除后继续组织电子交易活动；影响或可能影响采购公平、公正性的，应当重新采购。</w:t>
      </w:r>
      <w:bookmarkStart w:id="33" w:name="_Toc458697272"/>
      <w:bookmarkStart w:id="34" w:name="_Toc19907"/>
      <w:bookmarkStart w:id="35" w:name="_Toc3516"/>
    </w:p>
    <w:p w14:paraId="4E11BBFE">
      <w:pPr>
        <w:spacing w:line="360" w:lineRule="auto"/>
        <w:ind w:firstLine="4084" w:firstLineChars="1695"/>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六、定标</w:t>
      </w:r>
      <w:bookmarkEnd w:id="33"/>
      <w:bookmarkEnd w:id="34"/>
      <w:bookmarkEnd w:id="35"/>
    </w:p>
    <w:p w14:paraId="0E3651DE">
      <w:pPr>
        <w:spacing w:line="360" w:lineRule="auto"/>
        <w:rPr>
          <w:rFonts w:ascii="宋体" w:hAnsi="宋体" w:cs="宋体"/>
          <w:color w:val="auto"/>
          <w:sz w:val="24"/>
          <w:highlight w:val="none"/>
        </w:rPr>
      </w:pPr>
      <w:r>
        <w:rPr>
          <w:rFonts w:hint="eastAsia" w:ascii="宋体" w:hAnsi="宋体" w:cs="宋体"/>
          <w:color w:val="auto"/>
          <w:sz w:val="24"/>
          <w:highlight w:val="none"/>
        </w:rPr>
        <w:t>（一）确定中标人 。</w:t>
      </w:r>
      <w:r>
        <w:rPr>
          <w:rFonts w:hint="eastAsia" w:ascii="宋体" w:hAnsi="宋体" w:cs="宋体"/>
          <w:b/>
          <w:bCs/>
          <w:color w:val="auto"/>
          <w:sz w:val="24"/>
          <w:highlight w:val="none"/>
        </w:rPr>
        <w:t>本项目由采购人授权评标委员会确定中标人。</w:t>
      </w:r>
    </w:p>
    <w:p w14:paraId="44307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bookmarkStart w:id="36" w:name="_Toc458697273"/>
      <w:r>
        <w:rPr>
          <w:rFonts w:hint="eastAsia" w:ascii="宋体" w:hAnsi="宋体" w:cs="宋体"/>
          <w:color w:val="auto"/>
          <w:sz w:val="24"/>
          <w:highlight w:val="none"/>
        </w:rPr>
        <w:t>1.招标方在评标结束后2个工作日内将评标报告交采购人确认。</w:t>
      </w:r>
    </w:p>
    <w:p w14:paraId="762801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2.采购人应在收到评标报告后5个工作日内对评标结果进行确认。如有投标人对评标结果提出质疑的，采购人可在质疑处理完毕后确定中标人。</w:t>
      </w:r>
    </w:p>
    <w:p w14:paraId="4C5BE3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3.采购人依法确定中标人后2个工作日内，招标方以书面形式发出《中标通知书》,并同时在相关网站上发布中标公告。</w:t>
      </w:r>
    </w:p>
    <w:p w14:paraId="2C6C45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 确定中标人后，中标人应在三个工作日内，向招标方领取《中标通知书》，否则按放弃中标资格处理。</w:t>
      </w:r>
      <w:bookmarkStart w:id="37" w:name="_Toc27700"/>
      <w:bookmarkStart w:id="38" w:name="_Toc9345"/>
    </w:p>
    <w:p w14:paraId="09B0F80B">
      <w:pPr>
        <w:spacing w:line="360" w:lineRule="auto"/>
        <w:ind w:firstLine="3855" w:firstLineChars="16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七、合同授予</w:t>
      </w:r>
      <w:bookmarkEnd w:id="36"/>
      <w:bookmarkEnd w:id="37"/>
      <w:bookmarkEnd w:id="38"/>
      <w:r>
        <w:rPr>
          <w:rFonts w:hint="eastAsia" w:ascii="宋体" w:hAnsi="宋体" w:cs="宋体"/>
          <w:b/>
          <w:bCs/>
          <w:color w:val="auto"/>
          <w:sz w:val="24"/>
          <w:szCs w:val="24"/>
          <w:highlight w:val="none"/>
          <w:lang w:eastAsia="zh-CN"/>
        </w:rPr>
        <w:t>及验收</w:t>
      </w:r>
    </w:p>
    <w:p w14:paraId="341B2D1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（一）签订合同</w:t>
      </w:r>
    </w:p>
    <w:p w14:paraId="1F694D0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除不可抗力等特殊情况外，采购人原则上应当在中标通知书发出之日起20日内，与成交人按照采购文件确定的事项签订政府采购合同，并在签订之日起2个工作日内将政府采购合同在浙江政府采购网上公告。</w:t>
      </w:r>
    </w:p>
    <w:p w14:paraId="6E0613E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成交人按规定的日期、时间、地点，由法定代表人或其授权代表与采购人代表签订合同。如成交人为联合体的，由联合体成员各方法定代表人或其授权代表与采购人代表签订合同。</w:t>
      </w:r>
    </w:p>
    <w:p w14:paraId="5DC7EFC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如签订合同并生效后，供应商无故拒绝或延期，除按照合同条款处理外，列入不良行为记录一次，并给予通报。</w:t>
      </w:r>
    </w:p>
    <w:p w14:paraId="4613894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成交人拒绝与采购人签订合同的，采购人可以按照评审报告推荐的中标或者成交候选人名单排序，确定下一候选人为成交人，也可以重新开展政府采购活动。</w:t>
      </w:r>
    </w:p>
    <w:p w14:paraId="7953D6A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采购合同由采购人与成交人根据采购文件、磋商响应文件等内容通过政府采购电子交易平台在线签订，自动备案。</w:t>
      </w:r>
    </w:p>
    <w:p w14:paraId="002FDA3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6</w:t>
      </w:r>
      <w:r>
        <w:rPr>
          <w:rFonts w:hint="eastAsia" w:ascii="宋体" w:hAnsi="宋体" w:cs="宋体"/>
          <w:b w:val="0"/>
          <w:bCs/>
          <w:color w:val="auto"/>
          <w:sz w:val="24"/>
          <w:highlight w:val="none"/>
          <w:lang w:val="en-US" w:eastAsia="zh-CN"/>
        </w:rPr>
        <w:t>.</w:t>
      </w:r>
      <w:r>
        <w:rPr>
          <w:rFonts w:hint="eastAsia" w:ascii="宋体" w:hAnsi="宋体" w:eastAsia="宋体" w:cs="宋体"/>
          <w:b w:val="0"/>
          <w:bCs/>
          <w:color w:val="auto"/>
          <w:sz w:val="24"/>
          <w:highlight w:val="none"/>
        </w:rPr>
        <w:t>政府采购货物和服务项目不得收取质量保证金。政府采购工程以及与工程建设有关的货物、服务，采用招标方式采购的，按国家和省有关规定执行。</w:t>
      </w:r>
    </w:p>
    <w:p w14:paraId="31B8D36B">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（二）验收</w:t>
      </w:r>
    </w:p>
    <w:p w14:paraId="13A6A04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09B4F7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.采购人原则上应当在履约验收之日起2个工作日内，将履约验收结果在浙江政府采购网上公告。</w:t>
      </w:r>
    </w:p>
    <w:p w14:paraId="3FE9006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.验收合格的项目，采购人将根据采购合同的约定及时向供应商支付采购资金、退还履约保证金。</w:t>
      </w:r>
    </w:p>
    <w:p w14:paraId="74BDE07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黑体" w:hAnsi="宋体" w:eastAsia="黑体"/>
          <w:color w:val="auto"/>
          <w:sz w:val="30"/>
          <w:szCs w:val="30"/>
          <w:highlight w:val="green"/>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39" w:name="_Toc31984"/>
      <w:bookmarkStart w:id="40" w:name="_Toc502652282"/>
      <w:bookmarkStart w:id="41" w:name="_Hlt452359757"/>
      <w:bookmarkStart w:id="42" w:name="_Hlt452359758"/>
    </w:p>
    <w:p w14:paraId="5808D5AC">
      <w:pPr>
        <w:pStyle w:val="12"/>
        <w:snapToGrid w:val="0"/>
        <w:spacing w:before="120" w:after="120"/>
        <w:jc w:val="center"/>
        <w:rPr>
          <w:rFonts w:ascii="黑体" w:hAnsi="宋体" w:eastAsia="黑体"/>
          <w:color w:val="auto"/>
          <w:sz w:val="30"/>
          <w:szCs w:val="30"/>
          <w:highlight w:val="none"/>
        </w:rPr>
      </w:pPr>
      <w:r>
        <w:rPr>
          <w:rFonts w:hint="eastAsia" w:ascii="黑体" w:hAnsi="宋体" w:eastAsia="黑体"/>
          <w:color w:val="auto"/>
          <w:sz w:val="30"/>
          <w:szCs w:val="30"/>
          <w:highlight w:val="none"/>
        </w:rPr>
        <w:t>第</w:t>
      </w:r>
      <w:r>
        <w:rPr>
          <w:rFonts w:hint="eastAsia" w:ascii="黑体" w:hAnsi="宋体" w:eastAsia="黑体"/>
          <w:color w:val="auto"/>
          <w:sz w:val="30"/>
          <w:szCs w:val="30"/>
          <w:highlight w:val="none"/>
          <w:lang w:eastAsia="zh-CN"/>
        </w:rPr>
        <w:t>四</w:t>
      </w:r>
      <w:r>
        <w:rPr>
          <w:rFonts w:hint="eastAsia" w:ascii="黑体" w:hAnsi="宋体" w:eastAsia="黑体"/>
          <w:color w:val="auto"/>
          <w:sz w:val="30"/>
          <w:szCs w:val="30"/>
          <w:highlight w:val="none"/>
        </w:rPr>
        <w:t>章  评标办法及评分标准</w:t>
      </w:r>
    </w:p>
    <w:p w14:paraId="4DA32311">
      <w:pPr>
        <w:spacing w:before="120" w:beforeLines="50" w:after="120" w:afterLines="50" w:line="400" w:lineRule="exact"/>
        <w:ind w:firstLine="420"/>
        <w:rPr>
          <w:rFonts w:hint="eastAsia" w:ascii="宋体" w:hAnsi="宋体"/>
          <w:color w:val="auto"/>
          <w:sz w:val="24"/>
          <w:highlight w:val="none"/>
        </w:rPr>
      </w:pPr>
    </w:p>
    <w:p w14:paraId="6E46B91D">
      <w:pPr>
        <w:spacing w:before="120" w:beforeLines="50" w:after="120" w:afterLines="50" w:line="400" w:lineRule="exact"/>
        <w:ind w:firstLine="420"/>
        <w:rPr>
          <w:rFonts w:ascii="宋体" w:hAnsi="宋体"/>
          <w:color w:val="auto"/>
          <w:sz w:val="24"/>
          <w:highlight w:val="none"/>
        </w:rPr>
      </w:pPr>
      <w:r>
        <w:rPr>
          <w:rFonts w:hint="eastAsia" w:ascii="宋体" w:hAnsi="宋体"/>
          <w:color w:val="auto"/>
          <w:sz w:val="24"/>
          <w:highlight w:val="none"/>
        </w:rPr>
        <w:t>为公正、公平、科学地选择中标人，根据《中华人民共和国政府采购法》等有关法律法规的规定，并结合本项目的实际，制定本办法。</w:t>
      </w:r>
    </w:p>
    <w:p w14:paraId="31E7B319">
      <w:pPr>
        <w:spacing w:before="120" w:beforeLines="50" w:after="120" w:afterLines="50" w:line="400" w:lineRule="exact"/>
        <w:ind w:firstLine="420"/>
        <w:rPr>
          <w:color w:val="auto"/>
          <w:sz w:val="24"/>
          <w:highlight w:val="none"/>
        </w:rPr>
      </w:pPr>
      <w:r>
        <w:rPr>
          <w:rFonts w:hint="eastAsia"/>
          <w:color w:val="auto"/>
          <w:sz w:val="24"/>
          <w:highlight w:val="none"/>
        </w:rPr>
        <w:t>本办法适用于</w:t>
      </w:r>
      <w:r>
        <w:rPr>
          <w:rFonts w:hint="eastAsia" w:ascii="宋体" w:hAnsi="宋体" w:cs="宋体"/>
          <w:color w:val="auto"/>
          <w:sz w:val="24"/>
          <w:highlight w:val="none"/>
          <w:lang w:eastAsia="zh-CN"/>
        </w:rPr>
        <w:t>东阳市白云街道2024-2025年度枯死松树清理项目</w:t>
      </w:r>
      <w:r>
        <w:rPr>
          <w:rFonts w:hint="eastAsia"/>
          <w:color w:val="auto"/>
          <w:sz w:val="24"/>
          <w:highlight w:val="none"/>
        </w:rPr>
        <w:t>的评标。</w:t>
      </w:r>
    </w:p>
    <w:p w14:paraId="5D13BD58">
      <w:pPr>
        <w:spacing w:before="120" w:beforeLines="50" w:after="120" w:afterLines="50" w:line="400" w:lineRule="exact"/>
        <w:ind w:firstLine="551" w:firstLineChars="196"/>
        <w:rPr>
          <w:rFonts w:ascii="宋体"/>
          <w:b/>
          <w:color w:val="auto"/>
          <w:sz w:val="28"/>
          <w:szCs w:val="28"/>
          <w:highlight w:val="none"/>
        </w:rPr>
      </w:pPr>
      <w:r>
        <w:rPr>
          <w:rFonts w:hint="eastAsia" w:ascii="宋体" w:hAnsi="宋体"/>
          <w:b/>
          <w:color w:val="auto"/>
          <w:sz w:val="28"/>
          <w:szCs w:val="28"/>
          <w:highlight w:val="none"/>
        </w:rPr>
        <w:t>一、总则</w:t>
      </w:r>
    </w:p>
    <w:p w14:paraId="043A3169">
      <w:pPr>
        <w:spacing w:before="120" w:beforeLines="50" w:after="120" w:afterLines="50" w:line="400" w:lineRule="exact"/>
        <w:ind w:firstLine="480" w:firstLineChars="200"/>
        <w:rPr>
          <w:rFonts w:ascii="宋体" w:hAnsi="宋体"/>
          <w:b/>
          <w:color w:val="auto"/>
          <w:sz w:val="24"/>
          <w:highlight w:val="none"/>
        </w:rPr>
      </w:pPr>
      <w:r>
        <w:rPr>
          <w:rFonts w:hint="eastAsia" w:ascii="宋体" w:hAnsi="宋体"/>
          <w:color w:val="auto"/>
          <w:sz w:val="24"/>
          <w:highlight w:val="none"/>
        </w:rPr>
        <w:t>本次评标采用综合评分法，总分为</w:t>
      </w:r>
      <w:r>
        <w:rPr>
          <w:rFonts w:ascii="宋体" w:hAnsi="宋体"/>
          <w:color w:val="auto"/>
          <w:sz w:val="24"/>
          <w:highlight w:val="none"/>
        </w:rPr>
        <w:t>100</w:t>
      </w:r>
      <w:r>
        <w:rPr>
          <w:rFonts w:hint="eastAsia" w:ascii="宋体" w:hAnsi="宋体"/>
          <w:color w:val="auto"/>
          <w:sz w:val="24"/>
          <w:highlight w:val="none"/>
        </w:rPr>
        <w:t>分，其中价格</w:t>
      </w:r>
      <w:r>
        <w:rPr>
          <w:rFonts w:hint="eastAsia" w:ascii="宋体" w:hAnsi="宋体"/>
          <w:color w:val="auto"/>
          <w:sz w:val="24"/>
          <w:highlight w:val="none"/>
          <w:lang w:val="en-US" w:eastAsia="zh-CN"/>
        </w:rPr>
        <w:t>3</w:t>
      </w:r>
      <w:r>
        <w:rPr>
          <w:rFonts w:hint="eastAsia" w:ascii="宋体" w:hAnsi="宋体"/>
          <w:color w:val="auto"/>
          <w:sz w:val="24"/>
          <w:highlight w:val="none"/>
        </w:rPr>
        <w:t>0分，技术、资信及商务分</w:t>
      </w:r>
      <w:r>
        <w:rPr>
          <w:rFonts w:hint="eastAsia" w:ascii="宋体" w:hAnsi="宋体"/>
          <w:color w:val="auto"/>
          <w:sz w:val="24"/>
          <w:highlight w:val="none"/>
          <w:lang w:val="en-US" w:eastAsia="zh-CN"/>
        </w:rPr>
        <w:t>7</w:t>
      </w:r>
      <w:r>
        <w:rPr>
          <w:rFonts w:hint="eastAsia" w:ascii="宋体" w:hAnsi="宋体"/>
          <w:color w:val="auto"/>
          <w:sz w:val="24"/>
          <w:highlight w:val="none"/>
        </w:rPr>
        <w:t>0分。</w:t>
      </w:r>
      <w:r>
        <w:rPr>
          <w:rFonts w:hint="eastAsia" w:ascii="宋体" w:hAnsi="宋体" w:cs="宋体"/>
          <w:color w:val="auto"/>
          <w:sz w:val="24"/>
          <w:highlight w:val="none"/>
        </w:rPr>
        <w:t>合格投标人的评标得分为各项目汇总得分，中标候选资格按评标综合得分由高到低顺序排列，得分相同的，按投标报价由低到高顺序排列；得分且投标报价相同的，按技术分由高到低顺序排列。排名第一的投标人为中标候选人,排名第二的投标人为候补中标候选人(有效投标人为3家时推荐2名中标候选人，有效标大于3家时，推荐3名中标候选人)……其他投标人中标候选资格依此类推。评分过程中采用四舍五入法，并保留小数2位。</w:t>
      </w:r>
    </w:p>
    <w:p w14:paraId="48C4C6B7">
      <w:pPr>
        <w:spacing w:before="120" w:beforeLines="50" w:after="120" w:afterLines="50" w:line="400" w:lineRule="exact"/>
        <w:ind w:firstLine="480" w:firstLineChars="200"/>
        <w:rPr>
          <w:rFonts w:ascii="宋体"/>
          <w:color w:val="auto"/>
          <w:sz w:val="24"/>
          <w:highlight w:val="none"/>
        </w:rPr>
      </w:pPr>
      <w:r>
        <w:rPr>
          <w:rFonts w:hint="eastAsia" w:ascii="宋体" w:hAnsi="宋体"/>
          <w:color w:val="auto"/>
          <w:sz w:val="24"/>
          <w:highlight w:val="none"/>
        </w:rPr>
        <w:t>投标人评标综合得分</w:t>
      </w:r>
      <w:r>
        <w:rPr>
          <w:rFonts w:ascii="宋体" w:hAnsi="宋体"/>
          <w:color w:val="auto"/>
          <w:sz w:val="24"/>
          <w:highlight w:val="none"/>
        </w:rPr>
        <w:t>=</w:t>
      </w:r>
      <w:r>
        <w:rPr>
          <w:rFonts w:hint="eastAsia" w:ascii="宋体" w:hAnsi="宋体"/>
          <w:color w:val="auto"/>
          <w:sz w:val="24"/>
          <w:highlight w:val="none"/>
        </w:rPr>
        <w:t>技术、资信及商务分</w:t>
      </w:r>
      <w:r>
        <w:rPr>
          <w:rFonts w:ascii="宋体" w:hAnsi="宋体"/>
          <w:color w:val="auto"/>
          <w:sz w:val="24"/>
          <w:highlight w:val="none"/>
        </w:rPr>
        <w:t>+</w:t>
      </w:r>
      <w:r>
        <w:rPr>
          <w:rFonts w:hint="eastAsia" w:ascii="宋体" w:hAnsi="宋体"/>
          <w:color w:val="auto"/>
          <w:sz w:val="24"/>
          <w:highlight w:val="none"/>
        </w:rPr>
        <w:t>报价分</w:t>
      </w:r>
    </w:p>
    <w:p w14:paraId="2DB135F0">
      <w:pPr>
        <w:pStyle w:val="57"/>
        <w:spacing w:line="400" w:lineRule="exact"/>
        <w:ind w:left="420" w:leftChars="200" w:firstLine="0" w:firstLineChars="0"/>
        <w:jc w:val="left"/>
        <w:outlineLvl w:val="0"/>
        <w:rPr>
          <w:rFonts w:hAnsi="宋体" w:cs="宋体"/>
          <w:b/>
          <w:bCs/>
          <w:color w:val="auto"/>
          <w:sz w:val="24"/>
          <w:highlight w:val="none"/>
        </w:rPr>
      </w:pPr>
      <w:r>
        <w:rPr>
          <w:rFonts w:hint="eastAsia" w:ascii="宋体" w:hAnsi="宋体"/>
          <w:b/>
          <w:color w:val="auto"/>
          <w:sz w:val="28"/>
          <w:szCs w:val="28"/>
          <w:highlight w:val="none"/>
        </w:rPr>
        <w:t>二、评标内容及标准</w:t>
      </w:r>
      <w:bookmarkStart w:id="43" w:name="_Toc110982316"/>
      <w:bookmarkStart w:id="44" w:name="_Toc23364"/>
    </w:p>
    <w:p w14:paraId="7ED76608">
      <w:pPr>
        <w:spacing w:line="360" w:lineRule="auto"/>
        <w:rPr>
          <w:rFonts w:ascii="宋体" w:hAnsi="宋体" w:cs="宋体"/>
          <w:b/>
          <w:color w:val="auto"/>
          <w:sz w:val="24"/>
          <w:highlight w:val="none"/>
        </w:rPr>
      </w:pPr>
      <w:r>
        <w:rPr>
          <w:rFonts w:hint="eastAsia" w:ascii="宋体" w:hAnsi="宋体" w:cs="宋体"/>
          <w:b/>
          <w:color w:val="auto"/>
          <w:sz w:val="24"/>
          <w:highlight w:val="none"/>
        </w:rPr>
        <w:t>（一）</w:t>
      </w:r>
      <w:r>
        <w:rPr>
          <w:rFonts w:ascii="宋体" w:hAnsi="宋体" w:cs="宋体"/>
          <w:b/>
          <w:color w:val="auto"/>
          <w:sz w:val="24"/>
          <w:highlight w:val="none"/>
        </w:rPr>
        <w:t>价格分</w:t>
      </w:r>
      <w:r>
        <w:rPr>
          <w:rFonts w:hint="eastAsia" w:ascii="宋体" w:hAnsi="宋体" w:cs="宋体"/>
          <w:b/>
          <w:color w:val="auto"/>
          <w:sz w:val="24"/>
          <w:highlight w:val="none"/>
        </w:rPr>
        <w:t>（0～</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0分）</w:t>
      </w:r>
    </w:p>
    <w:p w14:paraId="4C0AFD46">
      <w:pPr>
        <w:spacing w:line="360" w:lineRule="auto"/>
        <w:ind w:firstLine="480" w:firstLineChars="200"/>
        <w:rPr>
          <w:color w:val="auto"/>
          <w:sz w:val="24"/>
          <w:highlight w:val="none"/>
        </w:rPr>
      </w:pPr>
      <w:r>
        <w:rPr>
          <w:rFonts w:hint="eastAsia"/>
          <w:color w:val="auto"/>
          <w:sz w:val="24"/>
          <w:highlight w:val="none"/>
        </w:rPr>
        <w:t>1.价格分采用低价优先法计算，即满足招标文件要求且投标价格最低的投标报价为评标基准价，报价得分按照下列公式计算：</w:t>
      </w:r>
    </w:p>
    <w:p w14:paraId="7F253654">
      <w:pPr>
        <w:spacing w:line="360" w:lineRule="auto"/>
        <w:ind w:firstLine="480" w:firstLineChars="200"/>
        <w:rPr>
          <w:rFonts w:hint="eastAsia" w:eastAsia="宋体"/>
          <w:color w:val="auto"/>
          <w:sz w:val="24"/>
          <w:highlight w:val="none"/>
          <w:lang w:val="en-US" w:eastAsia="zh-CN"/>
        </w:rPr>
      </w:pPr>
      <w:r>
        <w:rPr>
          <w:rFonts w:hint="eastAsia"/>
          <w:color w:val="auto"/>
          <w:sz w:val="24"/>
          <w:highlight w:val="none"/>
        </w:rPr>
        <w:t>价格分=（评标基准价/投标报价）×</w:t>
      </w:r>
      <w:r>
        <w:rPr>
          <w:rFonts w:hint="eastAsia"/>
          <w:color w:val="auto"/>
          <w:sz w:val="24"/>
          <w:highlight w:val="none"/>
          <w:lang w:val="en-US" w:eastAsia="zh-CN"/>
        </w:rPr>
        <w:t>3</w:t>
      </w:r>
      <w:r>
        <w:rPr>
          <w:rFonts w:hint="eastAsia"/>
          <w:color w:val="auto"/>
          <w:sz w:val="24"/>
          <w:highlight w:val="none"/>
        </w:rPr>
        <w:t>0×100</w:t>
      </w:r>
      <w:r>
        <w:rPr>
          <w:rFonts w:hint="eastAsia"/>
          <w:color w:val="auto"/>
          <w:sz w:val="24"/>
          <w:highlight w:val="none"/>
          <w:lang w:val="en-US" w:eastAsia="zh-CN"/>
        </w:rPr>
        <w:t>%</w:t>
      </w:r>
    </w:p>
    <w:p w14:paraId="7506C1B9">
      <w:pPr>
        <w:spacing w:line="360" w:lineRule="auto"/>
        <w:rPr>
          <w:rFonts w:hint="eastAsia" w:ascii="宋体" w:hAnsi="宋体" w:cs="宋体"/>
          <w:b/>
          <w:color w:val="auto"/>
          <w:sz w:val="24"/>
          <w:highlight w:val="none"/>
        </w:rPr>
      </w:pPr>
      <w:bookmarkStart w:id="45" w:name="_Toc357584969"/>
      <w:bookmarkStart w:id="46" w:name="_Toc401844727"/>
      <w:r>
        <w:rPr>
          <w:rFonts w:hint="eastAsia" w:ascii="宋体" w:hAnsi="宋体" w:cs="宋体"/>
          <w:b/>
          <w:color w:val="auto"/>
          <w:sz w:val="24"/>
          <w:highlight w:val="none"/>
        </w:rPr>
        <w:t>（二）</w:t>
      </w:r>
      <w:r>
        <w:rPr>
          <w:rFonts w:hint="eastAsia" w:ascii="宋体" w:hAnsi="宋体" w:cs="宋体"/>
          <w:b/>
          <w:color w:val="auto"/>
          <w:sz w:val="24"/>
          <w:highlight w:val="none"/>
          <w:lang w:eastAsia="zh-CN"/>
        </w:rPr>
        <w:t>商务</w:t>
      </w:r>
      <w:r>
        <w:rPr>
          <w:rFonts w:hint="eastAsia" w:ascii="宋体" w:hAnsi="宋体" w:cs="宋体"/>
          <w:b/>
          <w:color w:val="auto"/>
          <w:sz w:val="24"/>
          <w:highlight w:val="none"/>
        </w:rPr>
        <w:t>技术分（0～</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0分）：</w:t>
      </w:r>
    </w:p>
    <w:tbl>
      <w:tblPr>
        <w:tblStyle w:val="24"/>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467"/>
        <w:gridCol w:w="6379"/>
        <w:gridCol w:w="839"/>
      </w:tblGrid>
      <w:tr w14:paraId="610EF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48" w:type="dxa"/>
            <w:tcBorders>
              <w:top w:val="single" w:color="auto" w:sz="4" w:space="0"/>
              <w:left w:val="single" w:color="auto" w:sz="4" w:space="0"/>
              <w:bottom w:val="single" w:color="auto" w:sz="4" w:space="0"/>
              <w:right w:val="single" w:color="auto" w:sz="4" w:space="0"/>
            </w:tcBorders>
            <w:noWrap/>
            <w:vAlign w:val="center"/>
          </w:tcPr>
          <w:p w14:paraId="57F9986F">
            <w:pPr>
              <w:pStyle w:val="20"/>
              <w:adjustRightInd w:val="0"/>
              <w:spacing w:before="0" w:beforeAutospacing="0" w:after="0" w:afterAutospacing="0" w:line="400" w:lineRule="exact"/>
              <w:jc w:val="center"/>
              <w:rPr>
                <w:b/>
                <w:bCs/>
                <w:color w:val="auto"/>
                <w:highlight w:val="none"/>
              </w:rPr>
            </w:pPr>
            <w:r>
              <w:rPr>
                <w:rFonts w:hint="eastAsia" w:eastAsia="宋体"/>
                <w:b/>
                <w:bCs/>
                <w:color w:val="auto"/>
                <w:highlight w:val="none"/>
              </w:rPr>
              <w:t>序号</w:t>
            </w:r>
          </w:p>
        </w:tc>
        <w:tc>
          <w:tcPr>
            <w:tcW w:w="1467" w:type="dxa"/>
            <w:tcBorders>
              <w:top w:val="single" w:color="auto" w:sz="4" w:space="0"/>
              <w:left w:val="single" w:color="auto" w:sz="4" w:space="0"/>
              <w:bottom w:val="single" w:color="auto" w:sz="4" w:space="0"/>
              <w:right w:val="single" w:color="auto" w:sz="4" w:space="0"/>
            </w:tcBorders>
            <w:noWrap/>
            <w:vAlign w:val="center"/>
          </w:tcPr>
          <w:p w14:paraId="7D9DDD66">
            <w:pPr>
              <w:pStyle w:val="20"/>
              <w:adjustRightInd w:val="0"/>
              <w:spacing w:before="0" w:beforeAutospacing="0" w:after="0" w:afterAutospacing="0" w:line="400" w:lineRule="exact"/>
              <w:jc w:val="center"/>
              <w:rPr>
                <w:b/>
                <w:bCs/>
                <w:color w:val="auto"/>
                <w:highlight w:val="none"/>
              </w:rPr>
            </w:pPr>
            <w:r>
              <w:rPr>
                <w:rFonts w:hint="eastAsia" w:eastAsia="宋体"/>
                <w:b/>
                <w:bCs/>
                <w:color w:val="auto"/>
                <w:highlight w:val="none"/>
              </w:rPr>
              <w:t>评审内容</w:t>
            </w:r>
          </w:p>
        </w:tc>
        <w:tc>
          <w:tcPr>
            <w:tcW w:w="6379" w:type="dxa"/>
            <w:tcBorders>
              <w:top w:val="single" w:color="auto" w:sz="4" w:space="0"/>
              <w:left w:val="single" w:color="auto" w:sz="4" w:space="0"/>
              <w:bottom w:val="single" w:color="auto" w:sz="4" w:space="0"/>
              <w:right w:val="single" w:color="auto" w:sz="4" w:space="0"/>
            </w:tcBorders>
            <w:noWrap/>
            <w:vAlign w:val="center"/>
          </w:tcPr>
          <w:p w14:paraId="56C651FD">
            <w:pPr>
              <w:pStyle w:val="20"/>
              <w:adjustRightInd w:val="0"/>
              <w:spacing w:before="0" w:beforeAutospacing="0" w:after="0" w:afterAutospacing="0" w:line="400" w:lineRule="exact"/>
              <w:ind w:firstLine="708" w:firstLineChars="294"/>
              <w:jc w:val="center"/>
              <w:rPr>
                <w:b/>
                <w:bCs/>
                <w:color w:val="auto"/>
                <w:highlight w:val="none"/>
              </w:rPr>
            </w:pPr>
            <w:r>
              <w:rPr>
                <w:rFonts w:hint="eastAsia" w:eastAsia="宋体"/>
                <w:b/>
                <w:bCs/>
                <w:color w:val="auto"/>
                <w:highlight w:val="none"/>
              </w:rPr>
              <w:t>评分标准</w:t>
            </w:r>
          </w:p>
        </w:tc>
        <w:tc>
          <w:tcPr>
            <w:tcW w:w="839" w:type="dxa"/>
            <w:tcBorders>
              <w:top w:val="single" w:color="auto" w:sz="4" w:space="0"/>
              <w:left w:val="single" w:color="auto" w:sz="4" w:space="0"/>
              <w:bottom w:val="single" w:color="auto" w:sz="4" w:space="0"/>
              <w:right w:val="single" w:color="auto" w:sz="4" w:space="0"/>
            </w:tcBorders>
            <w:noWrap/>
            <w:vAlign w:val="center"/>
          </w:tcPr>
          <w:p w14:paraId="064E3C64">
            <w:pPr>
              <w:pStyle w:val="20"/>
              <w:adjustRightInd w:val="0"/>
              <w:spacing w:before="0" w:beforeAutospacing="0" w:after="0" w:afterAutospacing="0" w:line="400" w:lineRule="exact"/>
              <w:jc w:val="center"/>
              <w:rPr>
                <w:b/>
                <w:bCs/>
                <w:color w:val="auto"/>
                <w:highlight w:val="none"/>
              </w:rPr>
            </w:pPr>
            <w:r>
              <w:rPr>
                <w:rFonts w:hint="eastAsia" w:eastAsia="宋体"/>
                <w:b/>
                <w:bCs/>
                <w:color w:val="auto"/>
                <w:highlight w:val="none"/>
              </w:rPr>
              <w:t>分值</w:t>
            </w:r>
          </w:p>
        </w:tc>
      </w:tr>
      <w:tr w14:paraId="15A8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48" w:type="dxa"/>
            <w:tcBorders>
              <w:top w:val="single" w:color="auto" w:sz="4" w:space="0"/>
              <w:left w:val="single" w:color="auto" w:sz="4" w:space="0"/>
              <w:bottom w:val="single" w:color="auto" w:sz="4" w:space="0"/>
              <w:right w:val="single" w:color="auto" w:sz="4" w:space="0"/>
            </w:tcBorders>
            <w:noWrap/>
            <w:vAlign w:val="center"/>
          </w:tcPr>
          <w:p w14:paraId="528BD734">
            <w:pPr>
              <w:pStyle w:val="20"/>
              <w:adjustRightInd w:val="0"/>
              <w:spacing w:before="0" w:beforeAutospacing="0" w:after="0" w:afterAutospacing="0" w:line="400" w:lineRule="exact"/>
              <w:jc w:val="center"/>
              <w:rPr>
                <w:b/>
                <w:bCs/>
                <w:color w:val="auto"/>
                <w:highlight w:val="none"/>
              </w:rPr>
            </w:pPr>
            <w:r>
              <w:rPr>
                <w:rFonts w:hint="eastAsia" w:eastAsia="宋体"/>
                <w:b/>
                <w:bCs/>
                <w:color w:val="auto"/>
                <w:highlight w:val="none"/>
              </w:rPr>
              <w:t>一</w:t>
            </w:r>
          </w:p>
        </w:tc>
        <w:tc>
          <w:tcPr>
            <w:tcW w:w="1467" w:type="dxa"/>
            <w:tcBorders>
              <w:top w:val="single" w:color="auto" w:sz="4" w:space="0"/>
              <w:left w:val="single" w:color="auto" w:sz="4" w:space="0"/>
              <w:bottom w:val="single" w:color="auto" w:sz="4" w:space="0"/>
              <w:right w:val="single" w:color="auto" w:sz="4" w:space="0"/>
            </w:tcBorders>
            <w:noWrap/>
            <w:vAlign w:val="center"/>
          </w:tcPr>
          <w:p w14:paraId="5A015EEE">
            <w:pPr>
              <w:pStyle w:val="20"/>
              <w:adjustRightInd w:val="0"/>
              <w:spacing w:before="0" w:beforeAutospacing="0" w:after="0" w:afterAutospacing="0" w:line="400" w:lineRule="exact"/>
              <w:jc w:val="center"/>
              <w:rPr>
                <w:b/>
                <w:bCs/>
                <w:color w:val="auto"/>
                <w:highlight w:val="none"/>
              </w:rPr>
            </w:pPr>
            <w:r>
              <w:rPr>
                <w:rFonts w:hint="eastAsia" w:eastAsia="宋体"/>
                <w:b/>
                <w:bCs/>
                <w:color w:val="auto"/>
                <w:highlight w:val="none"/>
              </w:rPr>
              <w:t>资信、商务</w:t>
            </w:r>
          </w:p>
        </w:tc>
        <w:tc>
          <w:tcPr>
            <w:tcW w:w="6379" w:type="dxa"/>
            <w:tcBorders>
              <w:top w:val="single" w:color="auto" w:sz="4" w:space="0"/>
              <w:left w:val="single" w:color="auto" w:sz="4" w:space="0"/>
              <w:bottom w:val="single" w:color="auto" w:sz="4" w:space="0"/>
              <w:right w:val="single" w:color="auto" w:sz="4" w:space="0"/>
            </w:tcBorders>
            <w:noWrap/>
            <w:vAlign w:val="center"/>
          </w:tcPr>
          <w:p w14:paraId="716CFF5C">
            <w:pPr>
              <w:pStyle w:val="20"/>
              <w:adjustRightInd w:val="0"/>
              <w:spacing w:before="0" w:beforeAutospacing="0" w:after="0" w:afterAutospacing="0" w:line="400" w:lineRule="exact"/>
              <w:ind w:firstLine="708" w:firstLineChars="294"/>
              <w:jc w:val="center"/>
              <w:rPr>
                <w:b/>
                <w:bCs/>
                <w:color w:val="auto"/>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2E965A12">
            <w:pPr>
              <w:pStyle w:val="20"/>
              <w:adjustRightInd w:val="0"/>
              <w:spacing w:before="0" w:beforeAutospacing="0" w:after="0" w:afterAutospacing="0" w:line="400" w:lineRule="exact"/>
              <w:jc w:val="center"/>
              <w:rPr>
                <w:b/>
                <w:bCs/>
                <w:color w:val="auto"/>
                <w:highlight w:val="none"/>
              </w:rPr>
            </w:pPr>
            <w:r>
              <w:rPr>
                <w:rFonts w:hint="eastAsia"/>
                <w:b/>
                <w:bCs/>
                <w:color w:val="auto"/>
                <w:highlight w:val="none"/>
                <w:lang w:val="en-US" w:eastAsia="zh-CN"/>
              </w:rPr>
              <w:t>16</w:t>
            </w:r>
            <w:r>
              <w:rPr>
                <w:rFonts w:hint="eastAsia" w:eastAsia="宋体"/>
                <w:b/>
                <w:bCs/>
                <w:color w:val="auto"/>
                <w:highlight w:val="none"/>
                <w:lang w:eastAsia="zh-CN"/>
              </w:rPr>
              <w:t>分</w:t>
            </w:r>
          </w:p>
        </w:tc>
      </w:tr>
      <w:tr w14:paraId="2EC26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848" w:type="dxa"/>
            <w:tcBorders>
              <w:top w:val="single" w:color="auto" w:sz="4" w:space="0"/>
              <w:left w:val="single" w:color="auto" w:sz="4" w:space="0"/>
              <w:bottom w:val="single" w:color="auto" w:sz="4" w:space="0"/>
              <w:right w:val="single" w:color="auto" w:sz="4" w:space="0"/>
            </w:tcBorders>
            <w:noWrap/>
            <w:vAlign w:val="center"/>
          </w:tcPr>
          <w:p w14:paraId="2FED56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467" w:type="dxa"/>
            <w:tcBorders>
              <w:top w:val="single" w:color="auto" w:sz="4" w:space="0"/>
              <w:left w:val="single" w:color="auto" w:sz="4" w:space="0"/>
              <w:bottom w:val="single" w:color="auto" w:sz="4" w:space="0"/>
              <w:right w:val="single" w:color="auto" w:sz="4" w:space="0"/>
            </w:tcBorders>
            <w:noWrap/>
            <w:vAlign w:val="center"/>
          </w:tcPr>
          <w:p w14:paraId="5386D7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体系证书</w:t>
            </w:r>
          </w:p>
        </w:tc>
        <w:tc>
          <w:tcPr>
            <w:tcW w:w="6379" w:type="dxa"/>
            <w:tcBorders>
              <w:top w:val="single" w:color="auto" w:sz="4" w:space="0"/>
              <w:left w:val="single" w:color="auto" w:sz="4" w:space="0"/>
              <w:bottom w:val="single" w:color="auto" w:sz="4" w:space="0"/>
              <w:right w:val="single" w:color="auto" w:sz="4" w:space="0"/>
            </w:tcBorders>
            <w:noWrap/>
            <w:vAlign w:val="center"/>
          </w:tcPr>
          <w:p w14:paraId="6933DD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具有有效的质量管理体系认证证书、职业健康安全管理体系认证证书、环境管理体系认证证书的得6分，每缺一本扣2分。（认证范围需包含本项目相关内容）。投标文件中提供相关体系认证证书扫描件及国家认监委官网查询页面截图，否则不得分。</w:t>
            </w:r>
          </w:p>
        </w:tc>
        <w:tc>
          <w:tcPr>
            <w:tcW w:w="839" w:type="dxa"/>
            <w:tcBorders>
              <w:top w:val="single" w:color="auto" w:sz="4" w:space="0"/>
              <w:left w:val="single" w:color="auto" w:sz="4" w:space="0"/>
              <w:bottom w:val="single" w:color="auto" w:sz="4" w:space="0"/>
              <w:right w:val="single" w:color="auto" w:sz="4" w:space="0"/>
            </w:tcBorders>
            <w:noWrap/>
            <w:vAlign w:val="center"/>
          </w:tcPr>
          <w:p w14:paraId="47EBCF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29DC5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8" w:type="dxa"/>
            <w:tcBorders>
              <w:top w:val="single" w:color="auto" w:sz="4" w:space="0"/>
              <w:left w:val="single" w:color="auto" w:sz="4" w:space="0"/>
              <w:bottom w:val="single" w:color="auto" w:sz="4" w:space="0"/>
              <w:right w:val="single" w:color="auto" w:sz="4" w:space="0"/>
            </w:tcBorders>
            <w:noWrap/>
            <w:vAlign w:val="center"/>
          </w:tcPr>
          <w:p w14:paraId="7907F6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467" w:type="dxa"/>
            <w:tcBorders>
              <w:top w:val="single" w:color="auto" w:sz="4" w:space="0"/>
              <w:left w:val="single" w:color="auto" w:sz="4" w:space="0"/>
              <w:bottom w:val="single" w:color="auto" w:sz="4" w:space="0"/>
              <w:right w:val="single" w:color="auto" w:sz="4" w:space="0"/>
            </w:tcBorders>
            <w:noWrap/>
            <w:vAlign w:val="center"/>
          </w:tcPr>
          <w:p w14:paraId="5C0401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类似</w:t>
            </w:r>
            <w:r>
              <w:rPr>
                <w:rFonts w:hint="eastAsia" w:ascii="宋体" w:hAnsi="宋体" w:eastAsia="宋体" w:cs="宋体"/>
                <w:color w:val="auto"/>
                <w:sz w:val="24"/>
                <w:szCs w:val="24"/>
                <w:highlight w:val="none"/>
                <w:lang w:val="en-US" w:eastAsia="zh-CN"/>
              </w:rPr>
              <w:t>业绩</w:t>
            </w:r>
          </w:p>
        </w:tc>
        <w:tc>
          <w:tcPr>
            <w:tcW w:w="6379" w:type="dxa"/>
            <w:tcBorders>
              <w:top w:val="single" w:color="auto" w:sz="4" w:space="0"/>
              <w:left w:val="single" w:color="auto" w:sz="4" w:space="0"/>
              <w:bottom w:val="single" w:color="auto" w:sz="4" w:space="0"/>
              <w:right w:val="single" w:color="auto" w:sz="4" w:space="0"/>
            </w:tcBorders>
            <w:noWrap/>
            <w:vAlign w:val="center"/>
          </w:tcPr>
          <w:p w14:paraId="4C715D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投标人自2021年1月1日起至今承接类似项目业绩，每提供一个得1分，最高3分。</w:t>
            </w:r>
          </w:p>
          <w:p w14:paraId="5DBE2A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注：提供合同扫描件或中标通知书，并加盖公章，否则不得分。</w:t>
            </w:r>
          </w:p>
        </w:tc>
        <w:tc>
          <w:tcPr>
            <w:tcW w:w="839" w:type="dxa"/>
            <w:tcBorders>
              <w:top w:val="single" w:color="auto" w:sz="4" w:space="0"/>
              <w:left w:val="single" w:color="auto" w:sz="4" w:space="0"/>
              <w:bottom w:val="single" w:color="auto" w:sz="4" w:space="0"/>
              <w:right w:val="single" w:color="auto" w:sz="4" w:space="0"/>
            </w:tcBorders>
            <w:noWrap/>
            <w:vAlign w:val="center"/>
          </w:tcPr>
          <w:p w14:paraId="0451D6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7DEE9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8" w:type="dxa"/>
            <w:tcBorders>
              <w:top w:val="single" w:color="auto" w:sz="4" w:space="0"/>
              <w:left w:val="single" w:color="auto" w:sz="4" w:space="0"/>
              <w:bottom w:val="single" w:color="auto" w:sz="4" w:space="0"/>
              <w:right w:val="single" w:color="auto" w:sz="4" w:space="0"/>
            </w:tcBorders>
            <w:noWrap/>
            <w:vAlign w:val="center"/>
          </w:tcPr>
          <w:p w14:paraId="525839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467" w:type="dxa"/>
            <w:tcBorders>
              <w:top w:val="single" w:color="auto" w:sz="4" w:space="0"/>
              <w:left w:val="single" w:color="auto" w:sz="4" w:space="0"/>
              <w:bottom w:val="single" w:color="auto" w:sz="4" w:space="0"/>
              <w:right w:val="single" w:color="auto" w:sz="4" w:space="0"/>
            </w:tcBorders>
            <w:noWrap/>
            <w:vAlign w:val="center"/>
          </w:tcPr>
          <w:p w14:paraId="5E0CCB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项目保障</w:t>
            </w:r>
          </w:p>
        </w:tc>
        <w:tc>
          <w:tcPr>
            <w:tcW w:w="6379" w:type="dxa"/>
            <w:tcBorders>
              <w:top w:val="single" w:color="auto" w:sz="4" w:space="0"/>
              <w:left w:val="single" w:color="auto" w:sz="4" w:space="0"/>
              <w:bottom w:val="single" w:color="auto" w:sz="4" w:space="0"/>
              <w:right w:val="single" w:color="auto" w:sz="4" w:space="0"/>
            </w:tcBorders>
            <w:noWrap/>
            <w:vAlign w:val="center"/>
          </w:tcPr>
          <w:p w14:paraId="5D3E9B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投标人为施工人员办理意外伤害险且保险在有效期内；每提供1人有效保险得0.5分，本项最多得7分。</w:t>
            </w:r>
          </w:p>
          <w:p w14:paraId="2D559E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注：提供投标人企业的年度保险合同，否则不得分。</w:t>
            </w:r>
          </w:p>
        </w:tc>
        <w:tc>
          <w:tcPr>
            <w:tcW w:w="839" w:type="dxa"/>
            <w:tcBorders>
              <w:top w:val="single" w:color="auto" w:sz="4" w:space="0"/>
              <w:left w:val="single" w:color="auto" w:sz="4" w:space="0"/>
              <w:bottom w:val="single" w:color="auto" w:sz="4" w:space="0"/>
              <w:right w:val="single" w:color="auto" w:sz="4" w:space="0"/>
            </w:tcBorders>
            <w:noWrap/>
            <w:vAlign w:val="center"/>
          </w:tcPr>
          <w:p w14:paraId="4EDD20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r>
      <w:tr w14:paraId="66CAF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8" w:type="dxa"/>
            <w:tcBorders>
              <w:top w:val="single" w:color="auto" w:sz="4" w:space="0"/>
              <w:left w:val="single" w:color="auto" w:sz="4" w:space="0"/>
              <w:bottom w:val="single" w:color="auto" w:sz="4" w:space="0"/>
              <w:right w:val="single" w:color="auto" w:sz="4" w:space="0"/>
            </w:tcBorders>
            <w:noWrap/>
            <w:vAlign w:val="center"/>
          </w:tcPr>
          <w:p w14:paraId="76ACEB6E">
            <w:pPr>
              <w:pStyle w:val="20"/>
              <w:adjustRightInd w:val="0"/>
              <w:spacing w:before="0" w:beforeAutospacing="0" w:after="0" w:afterAutospacing="0"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p>
        </w:tc>
        <w:tc>
          <w:tcPr>
            <w:tcW w:w="1467" w:type="dxa"/>
            <w:tcBorders>
              <w:top w:val="single" w:color="auto" w:sz="4" w:space="0"/>
              <w:left w:val="single" w:color="auto" w:sz="4" w:space="0"/>
              <w:bottom w:val="single" w:color="auto" w:sz="4" w:space="0"/>
              <w:right w:val="single" w:color="auto" w:sz="4" w:space="0"/>
            </w:tcBorders>
            <w:noWrap/>
            <w:vAlign w:val="center"/>
          </w:tcPr>
          <w:p w14:paraId="69489F8C">
            <w:pPr>
              <w:pStyle w:val="20"/>
              <w:adjustRightInd w:val="0"/>
              <w:spacing w:before="0" w:beforeAutospacing="0" w:after="0" w:afterAutospacing="0"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技术分</w:t>
            </w:r>
          </w:p>
        </w:tc>
        <w:tc>
          <w:tcPr>
            <w:tcW w:w="6379" w:type="dxa"/>
            <w:tcBorders>
              <w:top w:val="single" w:color="auto" w:sz="4" w:space="0"/>
              <w:left w:val="single" w:color="auto" w:sz="4" w:space="0"/>
              <w:bottom w:val="single" w:color="auto" w:sz="4" w:space="0"/>
              <w:right w:val="single" w:color="auto" w:sz="4" w:space="0"/>
            </w:tcBorders>
            <w:noWrap/>
            <w:vAlign w:val="center"/>
          </w:tcPr>
          <w:p w14:paraId="49360EDB">
            <w:pPr>
              <w:pStyle w:val="20"/>
              <w:adjustRightInd w:val="0"/>
              <w:spacing w:before="0" w:beforeAutospacing="0" w:after="0" w:afterAutospacing="0" w:line="400" w:lineRule="exact"/>
              <w:ind w:firstLine="708" w:firstLineChars="294"/>
              <w:rPr>
                <w:rFonts w:hint="eastAsia" w:ascii="宋体" w:hAnsi="宋体" w:eastAsia="宋体" w:cs="宋体"/>
                <w:b/>
                <w:bCs/>
                <w:color w:val="auto"/>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1619A313">
            <w:pPr>
              <w:pStyle w:val="20"/>
              <w:adjustRightInd w:val="0"/>
              <w:spacing w:before="0" w:beforeAutospacing="0" w:after="0" w:afterAutospacing="0" w:line="400" w:lineRule="exact"/>
              <w:jc w:val="center"/>
              <w:rPr>
                <w:rFonts w:hint="eastAsia" w:ascii="宋体" w:hAnsi="宋体" w:eastAsia="宋体" w:cs="宋体"/>
                <w:b/>
                <w:bCs/>
                <w:color w:val="auto"/>
                <w:sz w:val="24"/>
                <w:szCs w:val="24"/>
                <w:highlight w:val="none"/>
              </w:rPr>
            </w:pPr>
            <w:r>
              <w:rPr>
                <w:rFonts w:hint="eastAsia" w:cs="宋体"/>
                <w:b/>
                <w:bCs/>
                <w:color w:val="auto"/>
                <w:sz w:val="24"/>
                <w:szCs w:val="24"/>
                <w:highlight w:val="none"/>
                <w:lang w:val="en-US" w:eastAsia="zh-CN"/>
              </w:rPr>
              <w:t>54</w:t>
            </w:r>
            <w:r>
              <w:rPr>
                <w:rFonts w:hint="eastAsia" w:ascii="宋体" w:hAnsi="宋体" w:eastAsia="宋体" w:cs="宋体"/>
                <w:b/>
                <w:bCs/>
                <w:color w:val="auto"/>
                <w:sz w:val="24"/>
                <w:szCs w:val="24"/>
                <w:highlight w:val="none"/>
                <w:lang w:eastAsia="zh-CN"/>
              </w:rPr>
              <w:t>分</w:t>
            </w:r>
          </w:p>
        </w:tc>
      </w:tr>
      <w:tr w14:paraId="3BE9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48" w:type="dxa"/>
            <w:tcBorders>
              <w:top w:val="single" w:color="auto" w:sz="4" w:space="0"/>
              <w:left w:val="single" w:color="auto" w:sz="4" w:space="0"/>
              <w:right w:val="single" w:color="auto" w:sz="4" w:space="0"/>
            </w:tcBorders>
            <w:noWrap/>
            <w:vAlign w:val="center"/>
          </w:tcPr>
          <w:p w14:paraId="70F2F85A">
            <w:pPr>
              <w:pStyle w:val="20"/>
              <w:adjustRightInd w:val="0"/>
              <w:spacing w:before="0" w:beforeAutospacing="0" w:after="0" w:afterAutospacing="0"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1467" w:type="dxa"/>
            <w:tcBorders>
              <w:top w:val="single" w:color="auto" w:sz="4" w:space="0"/>
              <w:left w:val="single" w:color="auto" w:sz="4" w:space="0"/>
              <w:right w:val="single" w:color="auto" w:sz="4" w:space="0"/>
            </w:tcBorders>
            <w:noWrap/>
            <w:vAlign w:val="center"/>
          </w:tcPr>
          <w:p w14:paraId="4B366944">
            <w:pPr>
              <w:keepNext w:val="0"/>
              <w:keepLines w:val="0"/>
              <w:pageBreakBefore w:val="0"/>
              <w:kinsoku/>
              <w:wordWrap/>
              <w:overflowPunct/>
              <w:topLinePunct w:val="0"/>
              <w:autoSpaceDE/>
              <w:autoSpaceDN/>
              <w:bidi w:val="0"/>
              <w:snapToGrid/>
              <w:spacing w:line="56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项目背景及现状分析</w:t>
            </w:r>
          </w:p>
        </w:tc>
        <w:tc>
          <w:tcPr>
            <w:tcW w:w="6379" w:type="dxa"/>
            <w:tcBorders>
              <w:top w:val="single" w:color="auto" w:sz="4" w:space="0"/>
              <w:left w:val="single" w:color="auto" w:sz="4" w:space="0"/>
              <w:bottom w:val="single" w:color="auto" w:sz="4" w:space="0"/>
              <w:right w:val="single" w:color="auto" w:sz="4" w:space="0"/>
            </w:tcBorders>
            <w:noWrap/>
            <w:vAlign w:val="center"/>
          </w:tcPr>
          <w:p w14:paraId="5C519E9A">
            <w:pPr>
              <w:keepNext w:val="0"/>
              <w:keepLines w:val="0"/>
              <w:pageBreakBefore w:val="0"/>
              <w:kinsoku/>
              <w:wordWrap/>
              <w:overflowPunct/>
              <w:topLinePunct w:val="0"/>
              <w:autoSpaceDE/>
              <w:autoSpaceDN/>
              <w:bidi w:val="0"/>
              <w:snapToGrid/>
              <w:spacing w:line="560" w:lineRule="exact"/>
              <w:jc w:val="left"/>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投标人对本项目的背景、目标定位是否准确(</w:t>
            </w:r>
            <w:r>
              <w:rPr>
                <w:rFonts w:hint="eastAsia" w:ascii="宋体" w:hAnsi="宋体" w:eastAsia="宋体" w:cs="宋体"/>
                <w:color w:val="auto"/>
                <w:kern w:val="2"/>
                <w:sz w:val="24"/>
                <w:szCs w:val="24"/>
                <w:highlight w:val="none"/>
                <w:lang w:val="en-US" w:eastAsia="zh-CN" w:bidi="ar-SA"/>
              </w:rPr>
              <w:t>0~1</w:t>
            </w:r>
            <w:r>
              <w:rPr>
                <w:rFonts w:hint="eastAsia" w:ascii="宋体" w:hAnsi="宋体" w:eastAsia="宋体" w:cs="宋体"/>
                <w:color w:val="auto"/>
                <w:kern w:val="2"/>
                <w:sz w:val="24"/>
                <w:szCs w:val="24"/>
                <w:highlight w:val="none"/>
                <w:lang w:val="zh-CN" w:eastAsia="zh-CN" w:bidi="ar-SA"/>
              </w:rPr>
              <w:t>分)、对区域山林、道路现状是否调查充分（</w:t>
            </w:r>
            <w:r>
              <w:rPr>
                <w:rFonts w:hint="eastAsia" w:ascii="宋体" w:hAnsi="宋体" w:eastAsia="宋体" w:cs="宋体"/>
                <w:color w:val="auto"/>
                <w:kern w:val="2"/>
                <w:sz w:val="24"/>
                <w:szCs w:val="24"/>
                <w:highlight w:val="none"/>
                <w:lang w:val="en-US" w:eastAsia="zh-CN" w:bidi="ar-SA"/>
              </w:rPr>
              <w:t>0~2</w:t>
            </w:r>
            <w:r>
              <w:rPr>
                <w:rFonts w:hint="eastAsia" w:ascii="宋体" w:hAnsi="宋体" w:eastAsia="宋体" w:cs="宋体"/>
                <w:color w:val="auto"/>
                <w:kern w:val="2"/>
                <w:sz w:val="24"/>
                <w:szCs w:val="24"/>
                <w:highlight w:val="none"/>
                <w:lang w:val="zh-CN" w:eastAsia="zh-CN" w:bidi="ar-SA"/>
              </w:rPr>
              <w:t>分）、对项目区域是否熟悉（</w:t>
            </w:r>
            <w:r>
              <w:rPr>
                <w:rFonts w:hint="eastAsia" w:ascii="宋体" w:hAnsi="宋体" w:eastAsia="宋体" w:cs="宋体"/>
                <w:color w:val="auto"/>
                <w:kern w:val="2"/>
                <w:sz w:val="24"/>
                <w:szCs w:val="24"/>
                <w:highlight w:val="none"/>
                <w:lang w:val="en-US" w:eastAsia="zh-CN" w:bidi="ar-SA"/>
              </w:rPr>
              <w:t>0~1</w:t>
            </w:r>
            <w:r>
              <w:rPr>
                <w:rFonts w:hint="eastAsia" w:ascii="宋体" w:hAnsi="宋体" w:eastAsia="宋体" w:cs="宋体"/>
                <w:color w:val="auto"/>
                <w:kern w:val="2"/>
                <w:sz w:val="24"/>
                <w:szCs w:val="24"/>
                <w:highlight w:val="none"/>
                <w:lang w:val="zh-CN" w:eastAsia="zh-CN" w:bidi="ar-SA"/>
              </w:rPr>
              <w:t>分）等了解程度进行评审，最高</w:t>
            </w: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分。</w:t>
            </w:r>
            <w:r>
              <w:rPr>
                <w:rFonts w:hint="eastAsia" w:ascii="宋体" w:hAnsi="宋体" w:eastAsia="宋体" w:cs="宋体"/>
                <w:color w:val="auto"/>
                <w:kern w:val="2"/>
                <w:sz w:val="24"/>
                <w:szCs w:val="24"/>
                <w:highlight w:val="none"/>
                <w:lang w:val="en-US" w:eastAsia="zh-CN" w:bidi="ar-SA"/>
              </w:rPr>
              <w:t>；</w:t>
            </w:r>
          </w:p>
          <w:p w14:paraId="63689A37">
            <w:pPr>
              <w:keepNext w:val="0"/>
              <w:keepLines w:val="0"/>
              <w:pageBreakBefore w:val="0"/>
              <w:kinsoku/>
              <w:wordWrap/>
              <w:overflowPunct/>
              <w:topLinePunct w:val="0"/>
              <w:autoSpaceDE/>
              <w:autoSpaceDN/>
              <w:bidi w:val="0"/>
              <w:snapToGrid/>
              <w:spacing w:line="560" w:lineRule="exact"/>
              <w:jc w:val="left"/>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投标人对本项目</w:t>
            </w:r>
            <w:r>
              <w:rPr>
                <w:rFonts w:hint="eastAsia" w:ascii="宋体" w:hAnsi="宋体" w:eastAsia="宋体" w:cs="宋体"/>
                <w:color w:val="auto"/>
                <w:kern w:val="2"/>
                <w:sz w:val="24"/>
                <w:szCs w:val="24"/>
                <w:highlight w:val="none"/>
                <w:lang w:val="en-US" w:eastAsia="zh-CN" w:bidi="ar-SA"/>
              </w:rPr>
              <w:t>施工区域</w:t>
            </w:r>
            <w:r>
              <w:rPr>
                <w:rFonts w:hint="eastAsia" w:ascii="宋体" w:hAnsi="宋体" w:eastAsia="宋体" w:cs="宋体"/>
                <w:color w:val="auto"/>
                <w:kern w:val="2"/>
                <w:sz w:val="24"/>
                <w:szCs w:val="24"/>
                <w:highlight w:val="none"/>
                <w:lang w:val="zh-CN" w:eastAsia="zh-CN" w:bidi="ar-SA"/>
              </w:rPr>
              <w:t>存在问题以及林木运输重点难点的调查充分，并且有提出合理化建议</w:t>
            </w:r>
            <w:r>
              <w:rPr>
                <w:rFonts w:hint="eastAsia" w:ascii="宋体" w:hAnsi="宋体" w:eastAsia="宋体" w:cs="宋体"/>
                <w:color w:val="auto"/>
                <w:kern w:val="2"/>
                <w:sz w:val="24"/>
                <w:szCs w:val="24"/>
                <w:highlight w:val="none"/>
                <w:lang w:val="en-US" w:eastAsia="zh-CN" w:bidi="ar-SA"/>
              </w:rPr>
              <w:t>(0~2)</w:t>
            </w:r>
            <w:r>
              <w:rPr>
                <w:rFonts w:hint="eastAsia" w:ascii="宋体" w:hAnsi="宋体" w:eastAsia="宋体" w:cs="宋体"/>
                <w:color w:val="auto"/>
                <w:kern w:val="2"/>
                <w:sz w:val="24"/>
                <w:szCs w:val="24"/>
                <w:highlight w:val="none"/>
                <w:lang w:val="zh-CN" w:eastAsia="zh-CN" w:bidi="ar-SA"/>
              </w:rPr>
              <w:t>和解决方案</w:t>
            </w:r>
            <w:r>
              <w:rPr>
                <w:rFonts w:hint="eastAsia" w:ascii="宋体" w:hAnsi="宋体" w:eastAsia="宋体" w:cs="宋体"/>
                <w:color w:val="auto"/>
                <w:kern w:val="2"/>
                <w:sz w:val="24"/>
                <w:szCs w:val="24"/>
                <w:highlight w:val="none"/>
                <w:lang w:val="en-US" w:eastAsia="zh-CN" w:bidi="ar-SA"/>
              </w:rPr>
              <w:t>(0~2)</w:t>
            </w:r>
            <w:r>
              <w:rPr>
                <w:rFonts w:hint="eastAsia" w:ascii="宋体" w:hAnsi="宋体" w:eastAsia="宋体" w:cs="宋体"/>
                <w:color w:val="auto"/>
                <w:kern w:val="2"/>
                <w:sz w:val="24"/>
                <w:szCs w:val="24"/>
                <w:highlight w:val="none"/>
                <w:lang w:val="zh-CN" w:eastAsia="zh-CN" w:bidi="ar-SA"/>
              </w:rPr>
              <w:t>的得</w:t>
            </w:r>
            <w:r>
              <w:rPr>
                <w:rFonts w:hint="eastAsia" w:ascii="宋体" w:hAnsi="宋体" w:eastAsia="宋体" w:cs="宋体"/>
                <w:color w:val="auto"/>
                <w:kern w:val="2"/>
                <w:sz w:val="24"/>
                <w:szCs w:val="24"/>
                <w:highlight w:val="none"/>
                <w:lang w:val="en-US" w:eastAsia="zh-CN" w:bidi="ar-SA"/>
              </w:rPr>
              <w:t>4分，本项最多得4分。</w:t>
            </w:r>
          </w:p>
        </w:tc>
        <w:tc>
          <w:tcPr>
            <w:tcW w:w="839" w:type="dxa"/>
            <w:tcBorders>
              <w:top w:val="single" w:color="auto" w:sz="4" w:space="0"/>
              <w:left w:val="single" w:color="auto" w:sz="4" w:space="0"/>
              <w:right w:val="single" w:color="auto" w:sz="4" w:space="0"/>
            </w:tcBorders>
            <w:noWrap/>
            <w:vAlign w:val="center"/>
          </w:tcPr>
          <w:p w14:paraId="355DD0A1">
            <w:pPr>
              <w:keepNext w:val="0"/>
              <w:keepLines w:val="0"/>
              <w:pageBreakBefore w:val="0"/>
              <w:kinsoku/>
              <w:wordWrap/>
              <w:overflowPunct/>
              <w:topLinePunct w:val="0"/>
              <w:autoSpaceDE/>
              <w:autoSpaceDN/>
              <w:bidi w:val="0"/>
              <w:snapToGrid/>
              <w:spacing w:line="56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w:t>
            </w:r>
          </w:p>
        </w:tc>
      </w:tr>
      <w:tr w14:paraId="28EC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848" w:type="dxa"/>
            <w:tcBorders>
              <w:top w:val="single" w:color="auto" w:sz="4" w:space="0"/>
              <w:left w:val="single" w:color="auto" w:sz="4" w:space="0"/>
              <w:bottom w:val="single" w:color="auto" w:sz="4" w:space="0"/>
              <w:right w:val="single" w:color="auto" w:sz="4" w:space="0"/>
            </w:tcBorders>
            <w:noWrap/>
            <w:vAlign w:val="center"/>
          </w:tcPr>
          <w:p w14:paraId="30443204">
            <w:pPr>
              <w:keepNext w:val="0"/>
              <w:keepLines w:val="0"/>
              <w:pageBreakBefore w:val="0"/>
              <w:kinsoku/>
              <w:wordWrap/>
              <w:overflowPunct/>
              <w:topLinePunct w:val="0"/>
              <w:autoSpaceDE/>
              <w:autoSpaceDN/>
              <w:bidi w:val="0"/>
              <w:snapToGrid/>
              <w:spacing w:line="560" w:lineRule="exact"/>
              <w:jc w:val="center"/>
              <w:textAlignment w:val="auto"/>
              <w:outlineLvl w:val="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5</w:t>
            </w:r>
          </w:p>
        </w:tc>
        <w:tc>
          <w:tcPr>
            <w:tcW w:w="1467" w:type="dxa"/>
            <w:tcBorders>
              <w:top w:val="single" w:color="auto" w:sz="4" w:space="0"/>
              <w:left w:val="single" w:color="auto" w:sz="4" w:space="0"/>
              <w:bottom w:val="single" w:color="auto" w:sz="4" w:space="0"/>
              <w:right w:val="single" w:color="auto" w:sz="4" w:space="0"/>
            </w:tcBorders>
            <w:noWrap/>
            <w:vAlign w:val="center"/>
          </w:tcPr>
          <w:p w14:paraId="279301F6">
            <w:pPr>
              <w:keepNext w:val="0"/>
              <w:keepLines w:val="0"/>
              <w:pageBreakBefore w:val="0"/>
              <w:kinsoku/>
              <w:wordWrap/>
              <w:overflowPunct/>
              <w:topLinePunct w:val="0"/>
              <w:autoSpaceDE/>
              <w:autoSpaceDN/>
              <w:bidi w:val="0"/>
              <w:snapToGrid/>
              <w:spacing w:line="560" w:lineRule="exact"/>
              <w:jc w:val="left"/>
              <w:textAlignment w:val="auto"/>
              <w:outlineLvl w:val="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技术方案</w:t>
            </w:r>
          </w:p>
        </w:tc>
        <w:tc>
          <w:tcPr>
            <w:tcW w:w="6379" w:type="dxa"/>
            <w:tcBorders>
              <w:top w:val="single" w:color="auto" w:sz="4" w:space="0"/>
              <w:left w:val="single" w:color="auto" w:sz="4" w:space="0"/>
              <w:bottom w:val="single" w:color="auto" w:sz="4" w:space="0"/>
              <w:right w:val="single" w:color="auto" w:sz="4" w:space="0"/>
            </w:tcBorders>
            <w:noWrap/>
            <w:vAlign w:val="center"/>
          </w:tcPr>
          <w:p w14:paraId="4C426036">
            <w:pPr>
              <w:keepNext w:val="0"/>
              <w:keepLines w:val="0"/>
              <w:pageBreakBefore w:val="0"/>
              <w:kinsoku/>
              <w:wordWrap/>
              <w:overflowPunct/>
              <w:topLinePunct w:val="0"/>
              <w:autoSpaceDE/>
              <w:autoSpaceDN/>
              <w:bidi w:val="0"/>
              <w:snapToGrid/>
              <w:spacing w:line="560" w:lineRule="exact"/>
              <w:jc w:val="left"/>
              <w:textAlignment w:val="auto"/>
              <w:outlineLvl w:val="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投标人针对本项目制定的进场施工组织方案（</w:t>
            </w:r>
            <w:r>
              <w:rPr>
                <w:rFonts w:hint="eastAsia" w:ascii="宋体" w:hAnsi="宋体" w:eastAsia="宋体" w:cs="宋体"/>
                <w:color w:val="auto"/>
                <w:kern w:val="2"/>
                <w:sz w:val="24"/>
                <w:szCs w:val="24"/>
                <w:highlight w:val="none"/>
                <w:lang w:val="en-US" w:eastAsia="zh-CN" w:bidi="ar-SA"/>
              </w:rPr>
              <w:t>0~3</w:t>
            </w:r>
            <w:r>
              <w:rPr>
                <w:rFonts w:hint="eastAsia" w:ascii="宋体" w:hAnsi="宋体" w:eastAsia="宋体" w:cs="宋体"/>
                <w:color w:val="auto"/>
                <w:kern w:val="2"/>
                <w:sz w:val="24"/>
                <w:szCs w:val="24"/>
                <w:highlight w:val="none"/>
                <w:lang w:val="zh-CN" w:eastAsia="zh-CN" w:bidi="ar-SA"/>
              </w:rPr>
              <w:t>）；</w:t>
            </w:r>
          </w:p>
          <w:p w14:paraId="46A922D0">
            <w:pPr>
              <w:keepNext w:val="0"/>
              <w:keepLines w:val="0"/>
              <w:pageBreakBefore w:val="0"/>
              <w:kinsoku/>
              <w:wordWrap/>
              <w:overflowPunct/>
              <w:topLinePunct w:val="0"/>
              <w:autoSpaceDE/>
              <w:autoSpaceDN/>
              <w:bidi w:val="0"/>
              <w:snapToGrid/>
              <w:spacing w:line="560" w:lineRule="exact"/>
              <w:jc w:val="left"/>
              <w:textAlignment w:val="auto"/>
              <w:outlineLvl w:val="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施工技术措施</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0~</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zh-CN" w:eastAsia="zh-CN" w:bidi="ar-SA"/>
              </w:rPr>
              <w:t>、安全技术措施（</w:t>
            </w:r>
            <w:r>
              <w:rPr>
                <w:rFonts w:hint="eastAsia" w:ascii="宋体" w:hAnsi="宋体" w:eastAsia="宋体" w:cs="宋体"/>
                <w:color w:val="auto"/>
                <w:kern w:val="2"/>
                <w:sz w:val="24"/>
                <w:szCs w:val="24"/>
                <w:highlight w:val="none"/>
                <w:lang w:val="en-US" w:eastAsia="zh-CN" w:bidi="ar-SA"/>
              </w:rPr>
              <w:t>0~2</w:t>
            </w:r>
            <w:r>
              <w:rPr>
                <w:rFonts w:hint="eastAsia" w:ascii="宋体" w:hAnsi="宋体" w:eastAsia="宋体" w:cs="宋体"/>
                <w:color w:val="auto"/>
                <w:kern w:val="2"/>
                <w:sz w:val="24"/>
                <w:szCs w:val="24"/>
                <w:highlight w:val="none"/>
                <w:lang w:val="zh-CN" w:eastAsia="zh-CN" w:bidi="ar-SA"/>
              </w:rPr>
              <w:t>）；</w:t>
            </w:r>
          </w:p>
          <w:p w14:paraId="7975C4D1">
            <w:pPr>
              <w:keepNext w:val="0"/>
              <w:keepLines w:val="0"/>
              <w:pageBreakBefore w:val="0"/>
              <w:kinsoku/>
              <w:wordWrap/>
              <w:overflowPunct/>
              <w:topLinePunct w:val="0"/>
              <w:autoSpaceDE/>
              <w:autoSpaceDN/>
              <w:bidi w:val="0"/>
              <w:snapToGrid/>
              <w:spacing w:line="560" w:lineRule="exact"/>
              <w:jc w:val="left"/>
              <w:textAlignment w:val="auto"/>
              <w:outlineLvl w:val="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eastAsia="zh-CN" w:bidi="ar-SA"/>
              </w:rPr>
              <w:t>施工路线安排</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0~</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zh-CN" w:eastAsia="zh-CN" w:bidi="ar-SA"/>
              </w:rPr>
              <w:t>等情况进行</w:t>
            </w:r>
            <w:r>
              <w:rPr>
                <w:rFonts w:hint="eastAsia" w:ascii="宋体" w:hAnsi="宋体" w:eastAsia="宋体" w:cs="宋体"/>
                <w:color w:val="auto"/>
                <w:kern w:val="2"/>
                <w:sz w:val="24"/>
                <w:szCs w:val="24"/>
                <w:highlight w:val="none"/>
                <w:lang w:val="en-US" w:eastAsia="zh-CN" w:bidi="ar-SA"/>
              </w:rPr>
              <w:t>评分；</w:t>
            </w:r>
          </w:p>
        </w:tc>
        <w:tc>
          <w:tcPr>
            <w:tcW w:w="839" w:type="dxa"/>
            <w:tcBorders>
              <w:top w:val="single" w:color="auto" w:sz="4" w:space="0"/>
              <w:left w:val="single" w:color="auto" w:sz="4" w:space="0"/>
              <w:bottom w:val="single" w:color="auto" w:sz="4" w:space="0"/>
              <w:right w:val="single" w:color="auto" w:sz="4" w:space="0"/>
            </w:tcBorders>
            <w:noWrap/>
            <w:vAlign w:val="center"/>
          </w:tcPr>
          <w:p w14:paraId="286D167D">
            <w:pPr>
              <w:keepNext w:val="0"/>
              <w:keepLines w:val="0"/>
              <w:pageBreakBefore w:val="0"/>
              <w:kinsoku/>
              <w:wordWrap/>
              <w:overflowPunct/>
              <w:topLinePunct w:val="0"/>
              <w:autoSpaceDE/>
              <w:autoSpaceDN/>
              <w:bidi w:val="0"/>
              <w:snapToGrid/>
              <w:spacing w:line="560" w:lineRule="exact"/>
              <w:jc w:val="center"/>
              <w:textAlignment w:val="auto"/>
              <w:outlineLvl w:val="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10</w:t>
            </w:r>
          </w:p>
        </w:tc>
      </w:tr>
      <w:tr w14:paraId="7363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Borders>
              <w:top w:val="single" w:color="auto" w:sz="4" w:space="0"/>
              <w:left w:val="single" w:color="auto" w:sz="4" w:space="0"/>
              <w:right w:val="single" w:color="auto" w:sz="4" w:space="0"/>
            </w:tcBorders>
            <w:noWrap/>
            <w:vAlign w:val="center"/>
          </w:tcPr>
          <w:p w14:paraId="6A485A10">
            <w:pPr>
              <w:pStyle w:val="20"/>
              <w:adjustRightInd w:val="0"/>
              <w:spacing w:before="0" w:beforeAutospacing="0" w:after="0" w:afterAutospacing="0" w:line="400" w:lineRule="exact"/>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6</w:t>
            </w:r>
          </w:p>
        </w:tc>
        <w:tc>
          <w:tcPr>
            <w:tcW w:w="1467" w:type="dxa"/>
            <w:tcBorders>
              <w:top w:val="single" w:color="auto" w:sz="4" w:space="0"/>
              <w:left w:val="single" w:color="auto" w:sz="4" w:space="0"/>
              <w:right w:val="single" w:color="auto" w:sz="4" w:space="0"/>
            </w:tcBorders>
            <w:noWrap/>
            <w:vAlign w:val="center"/>
          </w:tcPr>
          <w:p w14:paraId="68CFAC4B">
            <w:pPr>
              <w:keepNext w:val="0"/>
              <w:keepLines w:val="0"/>
              <w:pageBreakBefore w:val="0"/>
              <w:kinsoku/>
              <w:wordWrap/>
              <w:overflowPunct/>
              <w:topLinePunct w:val="0"/>
              <w:autoSpaceDE/>
              <w:autoSpaceDN/>
              <w:bidi w:val="0"/>
              <w:snapToGrid/>
              <w:spacing w:line="560" w:lineRule="exact"/>
              <w:jc w:val="left"/>
              <w:textAlignment w:val="auto"/>
              <w:outlineLvl w:val="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项目负责人</w:t>
            </w:r>
          </w:p>
        </w:tc>
        <w:tc>
          <w:tcPr>
            <w:tcW w:w="6379" w:type="dxa"/>
            <w:tcBorders>
              <w:top w:val="single" w:color="auto" w:sz="4" w:space="0"/>
              <w:left w:val="single" w:color="auto" w:sz="4" w:space="0"/>
              <w:bottom w:val="single" w:color="auto" w:sz="4" w:space="0"/>
              <w:right w:val="single" w:color="auto" w:sz="4" w:space="0"/>
            </w:tcBorders>
            <w:noWrap/>
            <w:vAlign w:val="center"/>
          </w:tcPr>
          <w:p w14:paraId="389A78B4">
            <w:pPr>
              <w:keepNext w:val="0"/>
              <w:keepLines w:val="0"/>
              <w:pageBreakBefore w:val="0"/>
              <w:kinsoku/>
              <w:wordWrap/>
              <w:overflowPunct/>
              <w:topLinePunct w:val="0"/>
              <w:autoSpaceDE/>
              <w:autoSpaceDN/>
              <w:bidi w:val="0"/>
              <w:snapToGrid/>
              <w:spacing w:line="560" w:lineRule="exact"/>
              <w:jc w:val="left"/>
              <w:textAlignment w:val="auto"/>
              <w:outlineLvl w:val="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拟派项目负责人从事森林抚育、病虫防治、林木采伐</w:t>
            </w:r>
            <w:r>
              <w:rPr>
                <w:rFonts w:hint="eastAsia" w:ascii="宋体" w:hAnsi="宋体" w:eastAsia="宋体" w:cs="宋体"/>
                <w:color w:val="auto"/>
                <w:kern w:val="2"/>
                <w:sz w:val="24"/>
                <w:szCs w:val="24"/>
                <w:highlight w:val="none"/>
                <w:lang w:val="en-US" w:eastAsia="zh-CN" w:bidi="ar-SA"/>
              </w:rPr>
              <w:t>相关工作经验满分</w:t>
            </w:r>
            <w:r>
              <w:rPr>
                <w:rFonts w:hint="eastAsia" w:ascii="宋体" w:hAnsi="宋体" w:eastAsia="宋体" w:cs="宋体"/>
                <w:color w:val="auto"/>
                <w:kern w:val="2"/>
                <w:sz w:val="24"/>
                <w:szCs w:val="24"/>
                <w:highlight w:val="none"/>
                <w:lang w:val="zh-CN" w:eastAsia="zh-CN" w:bidi="ar-SA"/>
              </w:rPr>
              <w:t>得3分，</w:t>
            </w:r>
            <w:r>
              <w:rPr>
                <w:rFonts w:hint="eastAsia" w:ascii="宋体" w:hAnsi="宋体" w:eastAsia="宋体" w:cs="宋体"/>
                <w:color w:val="auto"/>
                <w:kern w:val="2"/>
                <w:sz w:val="24"/>
                <w:szCs w:val="24"/>
                <w:highlight w:val="none"/>
                <w:lang w:val="en-US" w:eastAsia="zh-CN" w:bidi="ar-SA"/>
              </w:rPr>
              <w:t>每提供一个项目负责人类似合同得0.5分</w:t>
            </w:r>
            <w:r>
              <w:rPr>
                <w:rFonts w:hint="eastAsia" w:ascii="宋体" w:hAnsi="宋体" w:eastAsia="宋体" w:cs="宋体"/>
                <w:color w:val="auto"/>
                <w:kern w:val="2"/>
                <w:sz w:val="24"/>
                <w:szCs w:val="24"/>
                <w:highlight w:val="none"/>
                <w:lang w:val="zh-CN" w:eastAsia="zh-CN" w:bidi="ar-SA"/>
              </w:rPr>
              <w:t>。</w:t>
            </w:r>
          </w:p>
          <w:p w14:paraId="5E422AF1">
            <w:pPr>
              <w:keepNext w:val="0"/>
              <w:keepLines w:val="0"/>
              <w:pageBreakBefore w:val="0"/>
              <w:kinsoku/>
              <w:wordWrap/>
              <w:overflowPunct/>
              <w:topLinePunct w:val="0"/>
              <w:autoSpaceDE/>
              <w:autoSpaceDN/>
              <w:bidi w:val="0"/>
              <w:snapToGrid/>
              <w:spacing w:line="560" w:lineRule="exact"/>
              <w:jc w:val="left"/>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2、拟派项目负责人具有林业有害生物防治证书得3分，证书或证书颁证机构可在人力资源和社会保障部职业技能鉴定中心官网查询，提供查询截图，查询网站pjjg.osta.org.cn</w:t>
            </w:r>
          </w:p>
          <w:p w14:paraId="08398C0F">
            <w:pPr>
              <w:keepNext w:val="0"/>
              <w:keepLines w:val="0"/>
              <w:pageBreakBefore w:val="0"/>
              <w:kinsoku/>
              <w:wordWrap/>
              <w:overflowPunct/>
              <w:topLinePunct w:val="0"/>
              <w:autoSpaceDE/>
              <w:autoSpaceDN/>
              <w:bidi w:val="0"/>
              <w:snapToGrid/>
              <w:spacing w:line="560" w:lineRule="exact"/>
              <w:jc w:val="left"/>
              <w:textAlignment w:val="auto"/>
              <w:outlineLvl w:val="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（投标人提供</w:t>
            </w:r>
            <w:r>
              <w:rPr>
                <w:rFonts w:hint="eastAsia" w:ascii="宋体" w:hAnsi="宋体" w:eastAsia="宋体" w:cs="宋体"/>
                <w:color w:val="auto"/>
                <w:kern w:val="2"/>
                <w:sz w:val="24"/>
                <w:szCs w:val="24"/>
                <w:highlight w:val="none"/>
                <w:lang w:val="en-US" w:eastAsia="zh-CN" w:bidi="ar-SA"/>
              </w:rPr>
              <w:t>项目负责人本单位半年</w:t>
            </w:r>
            <w:r>
              <w:rPr>
                <w:rFonts w:hint="eastAsia" w:ascii="宋体" w:hAnsi="宋体" w:eastAsia="宋体" w:cs="宋体"/>
                <w:color w:val="auto"/>
                <w:kern w:val="2"/>
                <w:sz w:val="24"/>
                <w:szCs w:val="24"/>
                <w:highlight w:val="none"/>
                <w:lang w:val="zh-CN" w:eastAsia="zh-CN" w:bidi="ar-SA"/>
              </w:rPr>
              <w:t>社保</w:t>
            </w:r>
            <w:r>
              <w:rPr>
                <w:rFonts w:hint="eastAsia" w:ascii="宋体" w:hAnsi="宋体" w:eastAsia="宋体" w:cs="宋体"/>
                <w:color w:val="auto"/>
                <w:kern w:val="2"/>
                <w:sz w:val="24"/>
                <w:szCs w:val="24"/>
                <w:highlight w:val="none"/>
                <w:lang w:val="en-US" w:eastAsia="zh-CN" w:bidi="ar-SA"/>
              </w:rPr>
              <w:t>缴纳证明，否则不得分</w:t>
            </w:r>
            <w:r>
              <w:rPr>
                <w:rFonts w:hint="eastAsia" w:ascii="宋体" w:hAnsi="宋体" w:eastAsia="宋体" w:cs="宋体"/>
                <w:color w:val="auto"/>
                <w:kern w:val="2"/>
                <w:sz w:val="24"/>
                <w:szCs w:val="24"/>
                <w:highlight w:val="none"/>
                <w:lang w:val="zh-CN" w:eastAsia="zh-CN" w:bidi="ar-SA"/>
              </w:rPr>
              <w:t>。）</w:t>
            </w:r>
          </w:p>
        </w:tc>
        <w:tc>
          <w:tcPr>
            <w:tcW w:w="839" w:type="dxa"/>
            <w:tcBorders>
              <w:top w:val="single" w:color="auto" w:sz="4" w:space="0"/>
              <w:left w:val="single" w:color="auto" w:sz="4" w:space="0"/>
              <w:bottom w:val="single" w:color="auto" w:sz="4" w:space="0"/>
              <w:right w:val="single" w:color="auto" w:sz="4" w:space="0"/>
            </w:tcBorders>
            <w:noWrap/>
            <w:vAlign w:val="center"/>
          </w:tcPr>
          <w:p w14:paraId="387A301C">
            <w:pPr>
              <w:keepNext w:val="0"/>
              <w:keepLines w:val="0"/>
              <w:pageBreakBefore w:val="0"/>
              <w:kinsoku/>
              <w:wordWrap/>
              <w:overflowPunct/>
              <w:topLinePunct w:val="0"/>
              <w:autoSpaceDE/>
              <w:autoSpaceDN/>
              <w:bidi w:val="0"/>
              <w:snapToGrid/>
              <w:spacing w:line="560" w:lineRule="exact"/>
              <w:jc w:val="center"/>
              <w:textAlignment w:val="auto"/>
              <w:outlineLvl w:val="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6</w:t>
            </w:r>
          </w:p>
        </w:tc>
      </w:tr>
      <w:tr w14:paraId="7E4C6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48" w:type="dxa"/>
            <w:tcBorders>
              <w:top w:val="single" w:color="auto" w:sz="4" w:space="0"/>
              <w:left w:val="single" w:color="auto" w:sz="4" w:space="0"/>
              <w:bottom w:val="single" w:color="auto" w:sz="4" w:space="0"/>
              <w:right w:val="single" w:color="auto" w:sz="4" w:space="0"/>
            </w:tcBorders>
            <w:noWrap/>
            <w:vAlign w:val="center"/>
          </w:tcPr>
          <w:p w14:paraId="169922B2">
            <w:pPr>
              <w:keepNext w:val="0"/>
              <w:keepLines w:val="0"/>
              <w:pageBreakBefore w:val="0"/>
              <w:kinsoku/>
              <w:wordWrap/>
              <w:overflowPunct/>
              <w:topLinePunct w:val="0"/>
              <w:autoSpaceDE/>
              <w:autoSpaceDN/>
              <w:bidi w:val="0"/>
              <w:snapToGrid/>
              <w:spacing w:line="560" w:lineRule="exact"/>
              <w:jc w:val="center"/>
              <w:textAlignment w:val="auto"/>
              <w:outlineLvl w:val="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7</w:t>
            </w:r>
          </w:p>
        </w:tc>
        <w:tc>
          <w:tcPr>
            <w:tcW w:w="1467" w:type="dxa"/>
            <w:tcBorders>
              <w:top w:val="single" w:color="auto" w:sz="4" w:space="0"/>
              <w:left w:val="single" w:color="auto" w:sz="4" w:space="0"/>
              <w:bottom w:val="single" w:color="auto" w:sz="4" w:space="0"/>
              <w:right w:val="single" w:color="auto" w:sz="4" w:space="0"/>
            </w:tcBorders>
            <w:noWrap/>
            <w:vAlign w:val="center"/>
          </w:tcPr>
          <w:p w14:paraId="790608FE">
            <w:pPr>
              <w:keepNext w:val="0"/>
              <w:keepLines w:val="0"/>
              <w:pageBreakBefore w:val="0"/>
              <w:kinsoku/>
              <w:wordWrap/>
              <w:overflowPunct/>
              <w:topLinePunct w:val="0"/>
              <w:autoSpaceDE/>
              <w:autoSpaceDN/>
              <w:bidi w:val="0"/>
              <w:snapToGrid/>
              <w:spacing w:line="560" w:lineRule="exact"/>
              <w:jc w:val="left"/>
              <w:textAlignment w:val="auto"/>
              <w:outlineLvl w:val="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项目组成员</w:t>
            </w:r>
          </w:p>
        </w:tc>
        <w:tc>
          <w:tcPr>
            <w:tcW w:w="6379" w:type="dxa"/>
            <w:tcBorders>
              <w:top w:val="single" w:color="auto" w:sz="4" w:space="0"/>
              <w:left w:val="single" w:color="auto" w:sz="4" w:space="0"/>
              <w:bottom w:val="single" w:color="auto" w:sz="4" w:space="0"/>
              <w:right w:val="single" w:color="auto" w:sz="4" w:space="0"/>
            </w:tcBorders>
            <w:noWrap/>
            <w:vAlign w:val="center"/>
          </w:tcPr>
          <w:p w14:paraId="4FDBC682">
            <w:pPr>
              <w:keepNext w:val="0"/>
              <w:keepLines w:val="0"/>
              <w:pageBreakBefore w:val="0"/>
              <w:kinsoku/>
              <w:wordWrap/>
              <w:overflowPunct/>
              <w:topLinePunct w:val="0"/>
              <w:autoSpaceDE/>
              <w:autoSpaceDN/>
              <w:bidi w:val="0"/>
              <w:snapToGrid/>
              <w:spacing w:line="560" w:lineRule="exact"/>
              <w:jc w:val="left"/>
              <w:textAlignment w:val="auto"/>
              <w:outlineLvl w:val="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拟任本项目组成员（项目负责人除外）</w:t>
            </w:r>
          </w:p>
          <w:p w14:paraId="5CC43ED5">
            <w:pPr>
              <w:keepNext w:val="0"/>
              <w:keepLines w:val="0"/>
              <w:pageBreakBefore w:val="0"/>
              <w:kinsoku/>
              <w:wordWrap/>
              <w:overflowPunct/>
              <w:topLinePunct w:val="0"/>
              <w:autoSpaceDE/>
              <w:autoSpaceDN/>
              <w:bidi w:val="0"/>
              <w:snapToGrid/>
              <w:spacing w:line="560" w:lineRule="exact"/>
              <w:jc w:val="left"/>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项目组关键成员配备</w:t>
            </w: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zh-CN" w:eastAsia="zh-CN" w:bidi="ar-SA"/>
              </w:rPr>
              <w:t>人及以上</w:t>
            </w:r>
            <w:r>
              <w:rPr>
                <w:rFonts w:hint="eastAsia" w:ascii="宋体" w:hAnsi="宋体" w:cs="宋体"/>
                <w:color w:val="auto"/>
                <w:kern w:val="2"/>
                <w:sz w:val="24"/>
                <w:szCs w:val="24"/>
                <w:highlight w:val="none"/>
                <w:lang w:val="en-US" w:eastAsia="zh-CN" w:bidi="ar-SA"/>
              </w:rPr>
              <w:t>得2分</w:t>
            </w:r>
            <w:r>
              <w:rPr>
                <w:rFonts w:hint="eastAsia" w:ascii="宋体" w:hAnsi="宋体" w:eastAsia="宋体" w:cs="宋体"/>
                <w:color w:val="auto"/>
                <w:kern w:val="2"/>
                <w:sz w:val="24"/>
                <w:szCs w:val="24"/>
                <w:highlight w:val="none"/>
                <w:lang w:val="zh-CN" w:eastAsia="zh-CN" w:bidi="ar-SA"/>
              </w:rPr>
              <w:t>，</w:t>
            </w:r>
            <w:r>
              <w:rPr>
                <w:rFonts w:hint="eastAsia" w:ascii="宋体" w:hAnsi="宋体" w:cs="宋体"/>
                <w:color w:val="auto"/>
                <w:sz w:val="24"/>
                <w:highlight w:val="none"/>
                <w:lang w:val="en-US" w:eastAsia="zh-CN"/>
              </w:rPr>
              <w:t>根据成员的学历情况（0-1分）、</w:t>
            </w:r>
            <w:r>
              <w:rPr>
                <w:rFonts w:hint="eastAsia" w:ascii="宋体" w:hAnsi="宋体" w:cs="宋体"/>
                <w:color w:val="auto"/>
                <w:sz w:val="24"/>
                <w:highlight w:val="none"/>
              </w:rPr>
              <w:t>各工种配置</w:t>
            </w:r>
            <w:r>
              <w:rPr>
                <w:rFonts w:hint="eastAsia" w:ascii="宋体" w:hAnsi="宋体" w:cs="宋体"/>
                <w:color w:val="auto"/>
                <w:sz w:val="24"/>
                <w:highlight w:val="none"/>
                <w:lang w:val="en-US" w:eastAsia="zh-CN"/>
              </w:rPr>
              <w:t>情况（0-1分）、相应工作经验情况（0-1分）等情况打分</w:t>
            </w:r>
            <w:r>
              <w:rPr>
                <w:rFonts w:hint="eastAsia" w:ascii="宋体" w:hAnsi="宋体" w:eastAsia="宋体" w:cs="宋体"/>
                <w:color w:val="auto"/>
                <w:kern w:val="2"/>
                <w:sz w:val="24"/>
                <w:szCs w:val="24"/>
                <w:highlight w:val="none"/>
                <w:lang w:val="zh-CN" w:eastAsia="zh-CN" w:bidi="ar-SA"/>
              </w:rPr>
              <w:t>；</w:t>
            </w:r>
          </w:p>
          <w:p w14:paraId="4056519E">
            <w:pPr>
              <w:keepNext w:val="0"/>
              <w:keepLines w:val="0"/>
              <w:pageBreakBefore w:val="0"/>
              <w:kinsoku/>
              <w:wordWrap/>
              <w:overflowPunct/>
              <w:topLinePunct w:val="0"/>
              <w:autoSpaceDE/>
              <w:autoSpaceDN/>
              <w:bidi w:val="0"/>
              <w:snapToGrid/>
              <w:spacing w:line="560" w:lineRule="exact"/>
              <w:jc w:val="left"/>
              <w:textAlignment w:val="auto"/>
              <w:outlineLvl w:val="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注：须提供相关资质证书且内容清晰可辨，并加盖公章。</w:t>
            </w:r>
          </w:p>
          <w:p w14:paraId="7EC55C10">
            <w:pPr>
              <w:keepNext w:val="0"/>
              <w:keepLines w:val="0"/>
              <w:pageBreakBefore w:val="0"/>
              <w:kinsoku/>
              <w:wordWrap/>
              <w:overflowPunct/>
              <w:topLinePunct w:val="0"/>
              <w:autoSpaceDE/>
              <w:autoSpaceDN/>
              <w:bidi w:val="0"/>
              <w:snapToGrid/>
              <w:spacing w:line="560" w:lineRule="exact"/>
              <w:jc w:val="left"/>
              <w:textAlignment w:val="auto"/>
              <w:outlineLvl w:val="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（投标人提供项目人员</w:t>
            </w:r>
            <w:r>
              <w:rPr>
                <w:rFonts w:hint="eastAsia" w:ascii="宋体" w:hAnsi="宋体" w:eastAsia="宋体" w:cs="宋体"/>
                <w:color w:val="auto"/>
                <w:kern w:val="2"/>
                <w:sz w:val="24"/>
                <w:szCs w:val="24"/>
                <w:highlight w:val="none"/>
                <w:lang w:val="en-US" w:eastAsia="zh-CN" w:bidi="ar-SA"/>
              </w:rPr>
              <w:t>本项目发起前本单位</w:t>
            </w:r>
            <w:r>
              <w:rPr>
                <w:rFonts w:hint="eastAsia" w:ascii="宋体" w:hAnsi="宋体" w:eastAsia="宋体" w:cs="宋体"/>
                <w:color w:val="auto"/>
                <w:kern w:val="2"/>
                <w:sz w:val="24"/>
                <w:szCs w:val="24"/>
                <w:highlight w:val="none"/>
                <w:lang w:val="zh-CN" w:eastAsia="zh-CN" w:bidi="ar-SA"/>
              </w:rPr>
              <w:t>社保</w:t>
            </w:r>
            <w:r>
              <w:rPr>
                <w:rFonts w:hint="eastAsia" w:ascii="宋体" w:hAnsi="宋体" w:eastAsia="宋体" w:cs="宋体"/>
                <w:color w:val="auto"/>
                <w:kern w:val="2"/>
                <w:sz w:val="24"/>
                <w:szCs w:val="24"/>
                <w:highlight w:val="none"/>
                <w:lang w:val="en-US" w:eastAsia="zh-CN" w:bidi="ar-SA"/>
              </w:rPr>
              <w:t>缴纳证明，否则不得分）</w:t>
            </w:r>
          </w:p>
        </w:tc>
        <w:tc>
          <w:tcPr>
            <w:tcW w:w="839" w:type="dxa"/>
            <w:tcBorders>
              <w:top w:val="single" w:color="auto" w:sz="4" w:space="0"/>
              <w:left w:val="single" w:color="auto" w:sz="4" w:space="0"/>
              <w:bottom w:val="single" w:color="auto" w:sz="4" w:space="0"/>
              <w:right w:val="single" w:color="auto" w:sz="4" w:space="0"/>
            </w:tcBorders>
            <w:noWrap/>
            <w:vAlign w:val="center"/>
          </w:tcPr>
          <w:p w14:paraId="0722CD98">
            <w:pPr>
              <w:keepNext w:val="0"/>
              <w:keepLines w:val="0"/>
              <w:pageBreakBefore w:val="0"/>
              <w:kinsoku/>
              <w:wordWrap/>
              <w:overflowPunct/>
              <w:topLinePunct w:val="0"/>
              <w:autoSpaceDE/>
              <w:autoSpaceDN/>
              <w:bidi w:val="0"/>
              <w:snapToGrid/>
              <w:spacing w:line="560" w:lineRule="exact"/>
              <w:jc w:val="center"/>
              <w:textAlignment w:val="auto"/>
              <w:outlineLvl w:val="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5</w:t>
            </w:r>
          </w:p>
        </w:tc>
      </w:tr>
      <w:tr w14:paraId="655A5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atLeast"/>
          <w:jc w:val="center"/>
        </w:trPr>
        <w:tc>
          <w:tcPr>
            <w:tcW w:w="848" w:type="dxa"/>
            <w:tcBorders>
              <w:top w:val="single" w:color="auto" w:sz="4" w:space="0"/>
              <w:left w:val="single" w:color="auto" w:sz="4" w:space="0"/>
              <w:bottom w:val="single" w:color="auto" w:sz="4" w:space="0"/>
              <w:right w:val="single" w:color="auto" w:sz="4" w:space="0"/>
            </w:tcBorders>
            <w:noWrap/>
            <w:vAlign w:val="center"/>
          </w:tcPr>
          <w:p w14:paraId="2019153F">
            <w:pPr>
              <w:keepNext w:val="0"/>
              <w:keepLines w:val="0"/>
              <w:pageBreakBefore w:val="0"/>
              <w:kinsoku/>
              <w:wordWrap/>
              <w:overflowPunct/>
              <w:topLinePunct w:val="0"/>
              <w:autoSpaceDE/>
              <w:autoSpaceDN/>
              <w:bidi w:val="0"/>
              <w:snapToGrid/>
              <w:spacing w:line="560" w:lineRule="exact"/>
              <w:jc w:val="center"/>
              <w:textAlignment w:val="auto"/>
              <w:outlineLvl w:val="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8</w:t>
            </w:r>
          </w:p>
        </w:tc>
        <w:tc>
          <w:tcPr>
            <w:tcW w:w="1467" w:type="dxa"/>
            <w:tcBorders>
              <w:top w:val="single" w:color="auto" w:sz="4" w:space="0"/>
              <w:left w:val="single" w:color="auto" w:sz="4" w:space="0"/>
              <w:bottom w:val="single" w:color="auto" w:sz="4" w:space="0"/>
              <w:right w:val="single" w:color="auto" w:sz="4" w:space="0"/>
            </w:tcBorders>
            <w:noWrap/>
            <w:vAlign w:val="top"/>
          </w:tcPr>
          <w:p w14:paraId="1E167D81">
            <w:pPr>
              <w:keepNext w:val="0"/>
              <w:keepLines w:val="0"/>
              <w:pageBreakBefore w:val="0"/>
              <w:kinsoku/>
              <w:wordWrap/>
              <w:overflowPunct/>
              <w:topLinePunct w:val="0"/>
              <w:autoSpaceDE/>
              <w:autoSpaceDN/>
              <w:bidi w:val="0"/>
              <w:snapToGrid/>
              <w:spacing w:line="560" w:lineRule="exact"/>
              <w:jc w:val="left"/>
              <w:textAlignment w:val="auto"/>
              <w:outlineLvl w:val="0"/>
              <w:rPr>
                <w:rFonts w:hint="eastAsia" w:ascii="宋体" w:hAnsi="宋体" w:eastAsia="宋体" w:cs="宋体"/>
                <w:color w:val="auto"/>
                <w:kern w:val="2"/>
                <w:sz w:val="24"/>
                <w:szCs w:val="24"/>
                <w:highlight w:val="none"/>
                <w:lang w:val="zh-CN" w:eastAsia="zh-CN" w:bidi="ar-SA"/>
              </w:rPr>
            </w:pPr>
          </w:p>
          <w:p w14:paraId="22CB4E24">
            <w:pPr>
              <w:keepNext w:val="0"/>
              <w:keepLines w:val="0"/>
              <w:pageBreakBefore w:val="0"/>
              <w:kinsoku/>
              <w:wordWrap/>
              <w:overflowPunct/>
              <w:topLinePunct w:val="0"/>
              <w:autoSpaceDE/>
              <w:autoSpaceDN/>
              <w:bidi w:val="0"/>
              <w:snapToGrid/>
              <w:spacing w:line="560" w:lineRule="exact"/>
              <w:jc w:val="left"/>
              <w:textAlignment w:val="auto"/>
              <w:outlineLvl w:val="0"/>
              <w:rPr>
                <w:rFonts w:hint="eastAsia" w:ascii="宋体" w:hAnsi="宋体" w:eastAsia="宋体" w:cs="宋体"/>
                <w:color w:val="auto"/>
                <w:kern w:val="2"/>
                <w:sz w:val="24"/>
                <w:szCs w:val="24"/>
                <w:highlight w:val="none"/>
                <w:lang w:val="zh-CN" w:eastAsia="zh-CN" w:bidi="ar-SA"/>
              </w:rPr>
            </w:pPr>
          </w:p>
          <w:p w14:paraId="56F0BA9F">
            <w:pPr>
              <w:keepNext w:val="0"/>
              <w:keepLines w:val="0"/>
              <w:pageBreakBefore w:val="0"/>
              <w:kinsoku/>
              <w:wordWrap/>
              <w:overflowPunct/>
              <w:topLinePunct w:val="0"/>
              <w:autoSpaceDE/>
              <w:autoSpaceDN/>
              <w:bidi w:val="0"/>
              <w:snapToGrid/>
              <w:spacing w:line="560" w:lineRule="exact"/>
              <w:jc w:val="left"/>
              <w:textAlignment w:val="auto"/>
              <w:outlineLvl w:val="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拟投入设备</w:t>
            </w:r>
          </w:p>
        </w:tc>
        <w:tc>
          <w:tcPr>
            <w:tcW w:w="6379" w:type="dxa"/>
            <w:tcBorders>
              <w:top w:val="single" w:color="auto" w:sz="4" w:space="0"/>
              <w:left w:val="single" w:color="auto" w:sz="4" w:space="0"/>
              <w:bottom w:val="single" w:color="auto" w:sz="4" w:space="0"/>
              <w:right w:val="single" w:color="auto" w:sz="4" w:space="0"/>
            </w:tcBorders>
            <w:noWrap/>
            <w:vAlign w:val="center"/>
          </w:tcPr>
          <w:p w14:paraId="48F95060">
            <w:pPr>
              <w:keepNext w:val="0"/>
              <w:keepLines w:val="0"/>
              <w:pageBreakBefore w:val="0"/>
              <w:kinsoku/>
              <w:wordWrap/>
              <w:overflowPunct/>
              <w:topLinePunct w:val="0"/>
              <w:autoSpaceDE/>
              <w:autoSpaceDN/>
              <w:bidi w:val="0"/>
              <w:snapToGrid/>
              <w:spacing w:line="560" w:lineRule="exact"/>
              <w:jc w:val="left"/>
              <w:textAlignment w:val="auto"/>
              <w:outlineLvl w:val="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投标人拟投入伐木油锯一套得0.5分，最高</w:t>
            </w: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分；（提供投标人设备清单、发票，</w:t>
            </w:r>
            <w:r>
              <w:rPr>
                <w:rFonts w:hint="eastAsia" w:ascii="宋体" w:hAnsi="宋体" w:eastAsia="宋体" w:cs="宋体"/>
                <w:color w:val="auto"/>
                <w:kern w:val="2"/>
                <w:sz w:val="24"/>
                <w:szCs w:val="24"/>
                <w:highlight w:val="none"/>
                <w:lang w:val="en-US" w:eastAsia="zh-CN" w:bidi="ar-SA"/>
              </w:rPr>
              <w:t>否则不得分</w:t>
            </w:r>
            <w:r>
              <w:rPr>
                <w:rFonts w:hint="eastAsia" w:ascii="宋体" w:hAnsi="宋体" w:eastAsia="宋体" w:cs="宋体"/>
                <w:color w:val="auto"/>
                <w:kern w:val="2"/>
                <w:sz w:val="24"/>
                <w:szCs w:val="24"/>
                <w:highlight w:val="none"/>
                <w:lang w:val="zh-CN" w:eastAsia="zh-CN" w:bidi="ar-SA"/>
              </w:rPr>
              <w:t>）</w:t>
            </w:r>
          </w:p>
          <w:p w14:paraId="582AEE81">
            <w:pPr>
              <w:keepNext w:val="0"/>
              <w:keepLines w:val="0"/>
              <w:pageBreakBefore w:val="0"/>
              <w:kinsoku/>
              <w:wordWrap/>
              <w:overflowPunct/>
              <w:topLinePunct w:val="0"/>
              <w:autoSpaceDE/>
              <w:autoSpaceDN/>
              <w:bidi w:val="0"/>
              <w:snapToGrid/>
              <w:spacing w:line="560" w:lineRule="exact"/>
              <w:jc w:val="left"/>
              <w:textAlignment w:val="auto"/>
              <w:outlineLvl w:val="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投标人运输车辆情况，每提供一辆车（轻型或小型货车）得</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分，最多得</w:t>
            </w: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eastAsia="zh-CN" w:bidi="ar-SA"/>
              </w:rPr>
              <w:t>分。（提供车辆照片、行驶证，如非自有车辆须提供工期内租赁合同）</w:t>
            </w:r>
          </w:p>
        </w:tc>
        <w:tc>
          <w:tcPr>
            <w:tcW w:w="839" w:type="dxa"/>
            <w:tcBorders>
              <w:top w:val="single" w:color="auto" w:sz="4" w:space="0"/>
              <w:left w:val="single" w:color="auto" w:sz="4" w:space="0"/>
              <w:bottom w:val="single" w:color="auto" w:sz="4" w:space="0"/>
              <w:right w:val="single" w:color="auto" w:sz="4" w:space="0"/>
            </w:tcBorders>
            <w:noWrap/>
            <w:vAlign w:val="center"/>
          </w:tcPr>
          <w:p w14:paraId="17177B14">
            <w:pPr>
              <w:keepNext w:val="0"/>
              <w:keepLines w:val="0"/>
              <w:pageBreakBefore w:val="0"/>
              <w:kinsoku/>
              <w:wordWrap/>
              <w:overflowPunct/>
              <w:topLinePunct w:val="0"/>
              <w:autoSpaceDE/>
              <w:autoSpaceDN/>
              <w:bidi w:val="0"/>
              <w:snapToGrid/>
              <w:spacing w:line="560" w:lineRule="exact"/>
              <w:jc w:val="center"/>
              <w:textAlignment w:val="auto"/>
              <w:outlineLvl w:val="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7</w:t>
            </w:r>
          </w:p>
        </w:tc>
      </w:tr>
      <w:tr w14:paraId="37353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8" w:type="dxa"/>
            <w:tcBorders>
              <w:top w:val="single" w:color="auto" w:sz="4" w:space="0"/>
              <w:left w:val="single" w:color="auto" w:sz="4" w:space="0"/>
              <w:bottom w:val="single" w:color="auto" w:sz="4" w:space="0"/>
              <w:right w:val="single" w:color="auto" w:sz="4" w:space="0"/>
            </w:tcBorders>
            <w:noWrap/>
            <w:vAlign w:val="center"/>
          </w:tcPr>
          <w:p w14:paraId="0B550E3E">
            <w:pPr>
              <w:keepNext w:val="0"/>
              <w:keepLines w:val="0"/>
              <w:pageBreakBefore w:val="0"/>
              <w:kinsoku/>
              <w:wordWrap/>
              <w:overflowPunct/>
              <w:topLinePunct w:val="0"/>
              <w:autoSpaceDE/>
              <w:autoSpaceDN/>
              <w:bidi w:val="0"/>
              <w:snapToGrid/>
              <w:spacing w:line="560" w:lineRule="exact"/>
              <w:jc w:val="center"/>
              <w:textAlignment w:val="auto"/>
              <w:outlineLvl w:val="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9</w:t>
            </w:r>
          </w:p>
        </w:tc>
        <w:tc>
          <w:tcPr>
            <w:tcW w:w="1467" w:type="dxa"/>
            <w:tcBorders>
              <w:top w:val="single" w:color="auto" w:sz="4" w:space="0"/>
              <w:left w:val="single" w:color="auto" w:sz="4" w:space="0"/>
              <w:bottom w:val="single" w:color="auto" w:sz="4" w:space="0"/>
              <w:right w:val="single" w:color="auto" w:sz="4" w:space="0"/>
            </w:tcBorders>
            <w:noWrap/>
            <w:vAlign w:val="center"/>
          </w:tcPr>
          <w:p w14:paraId="16287E68">
            <w:pPr>
              <w:keepNext w:val="0"/>
              <w:keepLines w:val="0"/>
              <w:pageBreakBefore w:val="0"/>
              <w:kinsoku/>
              <w:wordWrap/>
              <w:overflowPunct/>
              <w:topLinePunct w:val="0"/>
              <w:autoSpaceDE/>
              <w:autoSpaceDN/>
              <w:bidi w:val="0"/>
              <w:snapToGrid/>
              <w:spacing w:line="560" w:lineRule="exact"/>
              <w:jc w:val="left"/>
              <w:textAlignment w:val="auto"/>
              <w:outlineLvl w:val="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质量保证</w:t>
            </w:r>
          </w:p>
        </w:tc>
        <w:tc>
          <w:tcPr>
            <w:tcW w:w="6379" w:type="dxa"/>
            <w:tcBorders>
              <w:top w:val="single" w:color="auto" w:sz="4" w:space="0"/>
              <w:left w:val="single" w:color="auto" w:sz="4" w:space="0"/>
              <w:bottom w:val="single" w:color="auto" w:sz="4" w:space="0"/>
              <w:right w:val="single" w:color="auto" w:sz="4" w:space="0"/>
            </w:tcBorders>
            <w:noWrap/>
            <w:vAlign w:val="center"/>
          </w:tcPr>
          <w:p w14:paraId="665F5773">
            <w:pPr>
              <w:keepNext w:val="0"/>
              <w:keepLines w:val="0"/>
              <w:pageBreakBefore w:val="0"/>
              <w:kinsoku/>
              <w:wordWrap/>
              <w:overflowPunct/>
              <w:topLinePunct w:val="0"/>
              <w:autoSpaceDE/>
              <w:autoSpaceDN/>
              <w:bidi w:val="0"/>
              <w:snapToGrid/>
              <w:spacing w:line="560" w:lineRule="exact"/>
              <w:jc w:val="left"/>
              <w:textAlignment w:val="auto"/>
              <w:outlineLvl w:val="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根据投标人提供的质量保障措施方案，是否具有明确的质量目标（</w:t>
            </w:r>
            <w:r>
              <w:rPr>
                <w:rFonts w:hint="eastAsia" w:ascii="宋体" w:hAnsi="宋体" w:eastAsia="宋体" w:cs="宋体"/>
                <w:color w:val="auto"/>
                <w:kern w:val="2"/>
                <w:sz w:val="24"/>
                <w:szCs w:val="24"/>
                <w:highlight w:val="none"/>
                <w:lang w:val="en-US" w:eastAsia="zh-CN" w:bidi="ar-SA"/>
              </w:rPr>
              <w:t>0~2</w:t>
            </w:r>
            <w:r>
              <w:rPr>
                <w:rFonts w:hint="eastAsia" w:ascii="宋体" w:hAnsi="宋体" w:eastAsia="宋体" w:cs="宋体"/>
                <w:color w:val="auto"/>
                <w:kern w:val="2"/>
                <w:sz w:val="24"/>
                <w:szCs w:val="24"/>
                <w:highlight w:val="none"/>
                <w:lang w:val="zh-CN" w:eastAsia="zh-CN" w:bidi="ar-SA"/>
              </w:rPr>
              <w:t>），质量保证措施（</w:t>
            </w:r>
            <w:r>
              <w:rPr>
                <w:rFonts w:hint="eastAsia" w:ascii="宋体" w:hAnsi="宋体" w:eastAsia="宋体" w:cs="宋体"/>
                <w:color w:val="auto"/>
                <w:kern w:val="2"/>
                <w:sz w:val="24"/>
                <w:szCs w:val="24"/>
                <w:highlight w:val="none"/>
                <w:lang w:val="en-US" w:eastAsia="zh-CN" w:bidi="ar-SA"/>
              </w:rPr>
              <w:t>0~2</w:t>
            </w:r>
            <w:r>
              <w:rPr>
                <w:rFonts w:hint="eastAsia" w:ascii="宋体" w:hAnsi="宋体" w:eastAsia="宋体" w:cs="宋体"/>
                <w:color w:val="auto"/>
                <w:kern w:val="2"/>
                <w:sz w:val="24"/>
                <w:szCs w:val="24"/>
                <w:highlight w:val="none"/>
                <w:lang w:val="zh-CN" w:eastAsia="zh-CN" w:bidi="ar-SA"/>
              </w:rPr>
              <w:t>）设施内容是否详细可行等方面综合评分，本项最多得</w:t>
            </w: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分。</w:t>
            </w:r>
          </w:p>
        </w:tc>
        <w:tc>
          <w:tcPr>
            <w:tcW w:w="839" w:type="dxa"/>
            <w:tcBorders>
              <w:top w:val="single" w:color="auto" w:sz="4" w:space="0"/>
              <w:left w:val="single" w:color="auto" w:sz="4" w:space="0"/>
              <w:bottom w:val="single" w:color="auto" w:sz="4" w:space="0"/>
              <w:right w:val="single" w:color="auto" w:sz="4" w:space="0"/>
            </w:tcBorders>
            <w:noWrap/>
            <w:vAlign w:val="center"/>
          </w:tcPr>
          <w:p w14:paraId="1F9501F3">
            <w:pPr>
              <w:keepNext w:val="0"/>
              <w:keepLines w:val="0"/>
              <w:pageBreakBefore w:val="0"/>
              <w:kinsoku/>
              <w:wordWrap/>
              <w:overflowPunct/>
              <w:topLinePunct w:val="0"/>
              <w:autoSpaceDE/>
              <w:autoSpaceDN/>
              <w:bidi w:val="0"/>
              <w:snapToGrid/>
              <w:spacing w:line="560" w:lineRule="exact"/>
              <w:jc w:val="center"/>
              <w:textAlignment w:val="auto"/>
              <w:outlineLvl w:val="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4</w:t>
            </w:r>
          </w:p>
        </w:tc>
      </w:tr>
      <w:tr w14:paraId="4F1AD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8" w:type="dxa"/>
            <w:tcBorders>
              <w:top w:val="single" w:color="auto" w:sz="4" w:space="0"/>
              <w:left w:val="single" w:color="auto" w:sz="4" w:space="0"/>
              <w:bottom w:val="single" w:color="auto" w:sz="4" w:space="0"/>
              <w:right w:val="single" w:color="auto" w:sz="4" w:space="0"/>
            </w:tcBorders>
            <w:noWrap/>
            <w:vAlign w:val="center"/>
          </w:tcPr>
          <w:p w14:paraId="2490A183">
            <w:pPr>
              <w:keepNext w:val="0"/>
              <w:keepLines w:val="0"/>
              <w:pageBreakBefore w:val="0"/>
              <w:kinsoku/>
              <w:wordWrap/>
              <w:overflowPunct/>
              <w:topLinePunct w:val="0"/>
              <w:autoSpaceDE/>
              <w:autoSpaceDN/>
              <w:bidi w:val="0"/>
              <w:snapToGrid/>
              <w:spacing w:line="560" w:lineRule="exact"/>
              <w:jc w:val="center"/>
              <w:textAlignment w:val="auto"/>
              <w:outlineLvl w:val="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c>
          <w:tcPr>
            <w:tcW w:w="1467" w:type="dxa"/>
            <w:tcBorders>
              <w:top w:val="single" w:color="auto" w:sz="4" w:space="0"/>
              <w:left w:val="single" w:color="auto" w:sz="4" w:space="0"/>
              <w:bottom w:val="single" w:color="auto" w:sz="4" w:space="0"/>
              <w:right w:val="single" w:color="auto" w:sz="4" w:space="0"/>
            </w:tcBorders>
            <w:noWrap/>
            <w:vAlign w:val="center"/>
          </w:tcPr>
          <w:p w14:paraId="1732A165">
            <w:pPr>
              <w:keepNext w:val="0"/>
              <w:keepLines w:val="0"/>
              <w:pageBreakBefore w:val="0"/>
              <w:kinsoku/>
              <w:wordWrap/>
              <w:overflowPunct/>
              <w:topLinePunct w:val="0"/>
              <w:autoSpaceDE/>
              <w:autoSpaceDN/>
              <w:bidi w:val="0"/>
              <w:snapToGrid/>
              <w:spacing w:line="560" w:lineRule="exact"/>
              <w:jc w:val="left"/>
              <w:textAlignment w:val="auto"/>
              <w:outlineLvl w:val="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进度安排</w:t>
            </w:r>
          </w:p>
        </w:tc>
        <w:tc>
          <w:tcPr>
            <w:tcW w:w="6379" w:type="dxa"/>
            <w:tcBorders>
              <w:top w:val="single" w:color="auto" w:sz="4" w:space="0"/>
              <w:left w:val="single" w:color="auto" w:sz="4" w:space="0"/>
              <w:bottom w:val="single" w:color="auto" w:sz="4" w:space="0"/>
              <w:right w:val="single" w:color="auto" w:sz="4" w:space="0"/>
            </w:tcBorders>
            <w:noWrap/>
            <w:vAlign w:val="center"/>
          </w:tcPr>
          <w:p w14:paraId="5702B529">
            <w:pPr>
              <w:keepNext w:val="0"/>
              <w:keepLines w:val="0"/>
              <w:pageBreakBefore w:val="0"/>
              <w:kinsoku/>
              <w:wordWrap/>
              <w:overflowPunct/>
              <w:topLinePunct w:val="0"/>
              <w:autoSpaceDE/>
              <w:autoSpaceDN/>
              <w:bidi w:val="0"/>
              <w:snapToGrid/>
              <w:spacing w:line="560" w:lineRule="exact"/>
              <w:jc w:val="left"/>
              <w:textAlignment w:val="auto"/>
              <w:outlineLvl w:val="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投标人按照采购人的要求，提供详实的砍伐进度计划(</w:t>
            </w:r>
            <w:r>
              <w:rPr>
                <w:rFonts w:hint="eastAsia" w:ascii="宋体" w:hAnsi="宋体" w:eastAsia="宋体" w:cs="宋体"/>
                <w:color w:val="auto"/>
                <w:kern w:val="2"/>
                <w:sz w:val="24"/>
                <w:szCs w:val="24"/>
                <w:highlight w:val="none"/>
                <w:lang w:val="en-US" w:eastAsia="zh-CN" w:bidi="ar-SA"/>
              </w:rPr>
              <w:t>0~2</w:t>
            </w:r>
            <w:r>
              <w:rPr>
                <w:rFonts w:hint="eastAsia" w:ascii="宋体" w:hAnsi="宋体" w:eastAsia="宋体" w:cs="宋体"/>
                <w:color w:val="auto"/>
                <w:kern w:val="2"/>
                <w:sz w:val="24"/>
                <w:szCs w:val="24"/>
                <w:highlight w:val="none"/>
                <w:lang w:val="zh-CN" w:eastAsia="zh-CN" w:bidi="ar-SA"/>
              </w:rPr>
              <w:t>)、工期保障措施(</w:t>
            </w:r>
            <w:r>
              <w:rPr>
                <w:rFonts w:hint="eastAsia" w:ascii="宋体" w:hAnsi="宋体" w:eastAsia="宋体" w:cs="宋体"/>
                <w:color w:val="auto"/>
                <w:kern w:val="2"/>
                <w:sz w:val="24"/>
                <w:szCs w:val="24"/>
                <w:highlight w:val="none"/>
                <w:lang w:val="en-US" w:eastAsia="zh-CN" w:bidi="ar-SA"/>
              </w:rPr>
              <w:t>0~2</w:t>
            </w:r>
            <w:r>
              <w:rPr>
                <w:rFonts w:hint="eastAsia" w:ascii="宋体" w:hAnsi="宋体" w:eastAsia="宋体" w:cs="宋体"/>
                <w:color w:val="auto"/>
                <w:kern w:val="2"/>
                <w:sz w:val="24"/>
                <w:szCs w:val="24"/>
                <w:highlight w:val="none"/>
                <w:lang w:val="zh-CN" w:eastAsia="zh-CN" w:bidi="ar-SA"/>
              </w:rPr>
              <w:t>)等方面综合评分，本项最多得</w:t>
            </w: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分。</w:t>
            </w:r>
          </w:p>
        </w:tc>
        <w:tc>
          <w:tcPr>
            <w:tcW w:w="839" w:type="dxa"/>
            <w:tcBorders>
              <w:top w:val="single" w:color="auto" w:sz="4" w:space="0"/>
              <w:left w:val="single" w:color="auto" w:sz="4" w:space="0"/>
              <w:bottom w:val="single" w:color="auto" w:sz="4" w:space="0"/>
              <w:right w:val="single" w:color="auto" w:sz="4" w:space="0"/>
            </w:tcBorders>
            <w:noWrap/>
            <w:vAlign w:val="center"/>
          </w:tcPr>
          <w:p w14:paraId="326754A8">
            <w:pPr>
              <w:keepNext w:val="0"/>
              <w:keepLines w:val="0"/>
              <w:pageBreakBefore w:val="0"/>
              <w:kinsoku/>
              <w:wordWrap/>
              <w:overflowPunct/>
              <w:topLinePunct w:val="0"/>
              <w:autoSpaceDE/>
              <w:autoSpaceDN/>
              <w:bidi w:val="0"/>
              <w:snapToGrid/>
              <w:spacing w:line="560" w:lineRule="exact"/>
              <w:jc w:val="center"/>
              <w:textAlignment w:val="auto"/>
              <w:outlineLvl w:val="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4</w:t>
            </w:r>
          </w:p>
        </w:tc>
      </w:tr>
      <w:tr w14:paraId="3386C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8" w:type="dxa"/>
            <w:tcBorders>
              <w:top w:val="single" w:color="auto" w:sz="4" w:space="0"/>
              <w:left w:val="single" w:color="auto" w:sz="4" w:space="0"/>
              <w:bottom w:val="single" w:color="auto" w:sz="4" w:space="0"/>
              <w:right w:val="single" w:color="auto" w:sz="4" w:space="0"/>
            </w:tcBorders>
            <w:noWrap/>
            <w:vAlign w:val="center"/>
          </w:tcPr>
          <w:p w14:paraId="3598F84A">
            <w:pPr>
              <w:keepNext w:val="0"/>
              <w:keepLines w:val="0"/>
              <w:pageBreakBefore w:val="0"/>
              <w:kinsoku/>
              <w:wordWrap/>
              <w:overflowPunct/>
              <w:topLinePunct w:val="0"/>
              <w:autoSpaceDE/>
              <w:autoSpaceDN/>
              <w:bidi w:val="0"/>
              <w:snapToGrid/>
              <w:spacing w:line="56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w:t>
            </w:r>
          </w:p>
        </w:tc>
        <w:tc>
          <w:tcPr>
            <w:tcW w:w="1467" w:type="dxa"/>
            <w:tcBorders>
              <w:top w:val="single" w:color="auto" w:sz="4" w:space="0"/>
              <w:left w:val="single" w:color="auto" w:sz="4" w:space="0"/>
              <w:bottom w:val="single" w:color="auto" w:sz="4" w:space="0"/>
              <w:right w:val="single" w:color="auto" w:sz="4" w:space="0"/>
            </w:tcBorders>
            <w:noWrap/>
            <w:vAlign w:val="center"/>
          </w:tcPr>
          <w:p w14:paraId="11706222">
            <w:pPr>
              <w:keepNext w:val="0"/>
              <w:keepLines w:val="0"/>
              <w:pageBreakBefore w:val="0"/>
              <w:kinsoku/>
              <w:wordWrap/>
              <w:overflowPunct/>
              <w:topLinePunct w:val="0"/>
              <w:autoSpaceDE/>
              <w:autoSpaceDN/>
              <w:bidi w:val="0"/>
              <w:snapToGrid/>
              <w:spacing w:line="560" w:lineRule="exact"/>
              <w:jc w:val="left"/>
              <w:textAlignment w:val="auto"/>
              <w:outlineLvl w:val="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突发事件应急方案</w:t>
            </w:r>
          </w:p>
        </w:tc>
        <w:tc>
          <w:tcPr>
            <w:tcW w:w="6379" w:type="dxa"/>
            <w:tcBorders>
              <w:top w:val="single" w:color="auto" w:sz="4" w:space="0"/>
              <w:left w:val="single" w:color="auto" w:sz="4" w:space="0"/>
              <w:bottom w:val="single" w:color="auto" w:sz="4" w:space="0"/>
              <w:right w:val="single" w:color="auto" w:sz="4" w:space="0"/>
            </w:tcBorders>
            <w:noWrap/>
            <w:vAlign w:val="center"/>
          </w:tcPr>
          <w:p w14:paraId="09EACD6E">
            <w:pPr>
              <w:keepNext w:val="0"/>
              <w:keepLines w:val="0"/>
              <w:pageBreakBefore w:val="0"/>
              <w:kinsoku/>
              <w:wordWrap/>
              <w:overflowPunct/>
              <w:topLinePunct w:val="0"/>
              <w:autoSpaceDE/>
              <w:autoSpaceDN/>
              <w:bidi w:val="0"/>
              <w:snapToGrid/>
              <w:spacing w:line="560" w:lineRule="exact"/>
              <w:jc w:val="left"/>
              <w:textAlignment w:val="auto"/>
              <w:outlineLvl w:val="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根据突发事件的应急抢险方案包括应急抢救队伍的组织（0~2分），台风、雨雪天气的抢险措施（0~2分）、森林防灭火措施（0~2分）进行评审，本项最多得</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分。</w:t>
            </w:r>
          </w:p>
        </w:tc>
        <w:tc>
          <w:tcPr>
            <w:tcW w:w="839" w:type="dxa"/>
            <w:tcBorders>
              <w:top w:val="single" w:color="auto" w:sz="4" w:space="0"/>
              <w:left w:val="single" w:color="auto" w:sz="4" w:space="0"/>
              <w:bottom w:val="single" w:color="auto" w:sz="4" w:space="0"/>
              <w:right w:val="single" w:color="auto" w:sz="4" w:space="0"/>
            </w:tcBorders>
            <w:noWrap/>
            <w:vAlign w:val="center"/>
          </w:tcPr>
          <w:p w14:paraId="1C4EB988">
            <w:pPr>
              <w:keepNext w:val="0"/>
              <w:keepLines w:val="0"/>
              <w:pageBreakBefore w:val="0"/>
              <w:kinsoku/>
              <w:wordWrap/>
              <w:overflowPunct/>
              <w:topLinePunct w:val="0"/>
              <w:autoSpaceDE/>
              <w:autoSpaceDN/>
              <w:bidi w:val="0"/>
              <w:snapToGrid/>
              <w:spacing w:line="56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r>
      <w:tr w14:paraId="15F0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8" w:type="dxa"/>
            <w:tcBorders>
              <w:top w:val="single" w:color="auto" w:sz="4" w:space="0"/>
              <w:left w:val="single" w:color="auto" w:sz="4" w:space="0"/>
              <w:bottom w:val="single" w:color="auto" w:sz="4" w:space="0"/>
              <w:right w:val="single" w:color="auto" w:sz="4" w:space="0"/>
            </w:tcBorders>
            <w:noWrap/>
            <w:vAlign w:val="center"/>
          </w:tcPr>
          <w:p w14:paraId="2E9CA12F">
            <w:pPr>
              <w:keepNext w:val="0"/>
              <w:keepLines w:val="0"/>
              <w:pageBreakBefore w:val="0"/>
              <w:kinsoku/>
              <w:wordWrap/>
              <w:overflowPunct/>
              <w:topLinePunct w:val="0"/>
              <w:autoSpaceDE/>
              <w:autoSpaceDN/>
              <w:bidi w:val="0"/>
              <w:snapToGrid/>
              <w:spacing w:line="56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w:t>
            </w:r>
          </w:p>
        </w:tc>
        <w:tc>
          <w:tcPr>
            <w:tcW w:w="1467" w:type="dxa"/>
            <w:tcBorders>
              <w:top w:val="single" w:color="auto" w:sz="4" w:space="0"/>
              <w:left w:val="single" w:color="auto" w:sz="4" w:space="0"/>
              <w:bottom w:val="single" w:color="auto" w:sz="4" w:space="0"/>
              <w:right w:val="single" w:color="auto" w:sz="4" w:space="0"/>
            </w:tcBorders>
            <w:noWrap/>
            <w:vAlign w:val="center"/>
          </w:tcPr>
          <w:p w14:paraId="0EE9D757">
            <w:pPr>
              <w:keepNext w:val="0"/>
              <w:keepLines w:val="0"/>
              <w:pageBreakBefore w:val="0"/>
              <w:kinsoku/>
              <w:wordWrap/>
              <w:overflowPunct/>
              <w:topLinePunct w:val="0"/>
              <w:autoSpaceDE/>
              <w:autoSpaceDN/>
              <w:bidi w:val="0"/>
              <w:snapToGrid/>
              <w:spacing w:line="560" w:lineRule="exact"/>
              <w:jc w:val="left"/>
              <w:textAlignment w:val="auto"/>
              <w:outlineLvl w:val="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售后服务方案</w:t>
            </w:r>
          </w:p>
        </w:tc>
        <w:tc>
          <w:tcPr>
            <w:tcW w:w="6379" w:type="dxa"/>
            <w:tcBorders>
              <w:top w:val="single" w:color="auto" w:sz="4" w:space="0"/>
              <w:left w:val="single" w:color="auto" w:sz="4" w:space="0"/>
              <w:bottom w:val="single" w:color="auto" w:sz="4" w:space="0"/>
              <w:right w:val="single" w:color="auto" w:sz="4" w:space="0"/>
            </w:tcBorders>
            <w:noWrap/>
            <w:vAlign w:val="center"/>
          </w:tcPr>
          <w:p w14:paraId="131C8840">
            <w:pPr>
              <w:keepNext w:val="0"/>
              <w:keepLines w:val="0"/>
              <w:pageBreakBefore w:val="0"/>
              <w:kinsoku/>
              <w:wordWrap/>
              <w:overflowPunct/>
              <w:topLinePunct w:val="0"/>
              <w:autoSpaceDE/>
              <w:autoSpaceDN/>
              <w:bidi w:val="0"/>
              <w:snapToGrid/>
              <w:spacing w:line="560" w:lineRule="exact"/>
              <w:jc w:val="left"/>
              <w:textAlignment w:val="auto"/>
              <w:outlineLvl w:val="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根据投标人提供的售后服务方案响应的及时性、便利性（0~2分）、人员安排的合理性（0~2分）等是否满足本项目的实际需要等内容，最高4分。</w:t>
            </w:r>
          </w:p>
        </w:tc>
        <w:tc>
          <w:tcPr>
            <w:tcW w:w="839" w:type="dxa"/>
            <w:tcBorders>
              <w:top w:val="single" w:color="auto" w:sz="4" w:space="0"/>
              <w:left w:val="single" w:color="auto" w:sz="4" w:space="0"/>
              <w:bottom w:val="single" w:color="auto" w:sz="4" w:space="0"/>
              <w:right w:val="single" w:color="auto" w:sz="4" w:space="0"/>
            </w:tcBorders>
            <w:noWrap/>
            <w:vAlign w:val="center"/>
          </w:tcPr>
          <w:p w14:paraId="75A1B125">
            <w:pPr>
              <w:keepNext w:val="0"/>
              <w:keepLines w:val="0"/>
              <w:pageBreakBefore w:val="0"/>
              <w:kinsoku/>
              <w:wordWrap/>
              <w:overflowPunct/>
              <w:topLinePunct w:val="0"/>
              <w:autoSpaceDE/>
              <w:autoSpaceDN/>
              <w:bidi w:val="0"/>
              <w:snapToGrid/>
              <w:spacing w:line="56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r>
    </w:tbl>
    <w:p w14:paraId="50F0EB26">
      <w:pPr>
        <w:pStyle w:val="22"/>
        <w:ind w:left="0" w:leftChars="0" w:firstLine="0" w:firstLineChars="0"/>
        <w:rPr>
          <w:rFonts w:hint="eastAsia" w:ascii="宋体" w:hAnsi="宋体" w:cs="宋体"/>
          <w:b/>
          <w:color w:val="auto"/>
          <w:sz w:val="24"/>
          <w:highlight w:val="none"/>
        </w:rPr>
      </w:pPr>
    </w:p>
    <w:p w14:paraId="32642D65">
      <w:pPr>
        <w:rPr>
          <w:rFonts w:hint="eastAsia"/>
          <w:color w:val="auto"/>
          <w:highlight w:val="none"/>
        </w:rPr>
      </w:pPr>
    </w:p>
    <w:bookmarkEnd w:id="43"/>
    <w:bookmarkEnd w:id="44"/>
    <w:bookmarkEnd w:id="45"/>
    <w:bookmarkEnd w:id="46"/>
    <w:p w14:paraId="60D510DF">
      <w:pPr>
        <w:spacing w:line="360" w:lineRule="auto"/>
        <w:rPr>
          <w:rFonts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eastAsia="zh-CN"/>
        </w:rPr>
        <w:t>三</w:t>
      </w:r>
      <w:r>
        <w:rPr>
          <w:rFonts w:hint="eastAsia" w:ascii="宋体" w:hAnsi="宋体" w:cs="宋体"/>
          <w:b/>
          <w:color w:val="auto"/>
          <w:sz w:val="24"/>
          <w:highlight w:val="none"/>
        </w:rPr>
        <w:t>）技术、资信及商务分的计算</w:t>
      </w:r>
    </w:p>
    <w:p w14:paraId="66E436EF">
      <w:pPr>
        <w:snapToGrid w:val="0"/>
        <w:spacing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技术、资信及商务分按照评标委员会成员的独立评分结果汇总数的算术平均分计算，计算公式为：</w:t>
      </w:r>
    </w:p>
    <w:p w14:paraId="04E8A715">
      <w:pPr>
        <w:adjustRightInd w:val="0"/>
        <w:spacing w:line="400" w:lineRule="exact"/>
        <w:ind w:firstLine="480" w:firstLineChars="200"/>
        <w:rPr>
          <w:rFonts w:hint="eastAsia" w:ascii="宋体" w:hAnsi="宋体"/>
          <w:color w:val="auto"/>
          <w:sz w:val="24"/>
          <w:highlight w:val="none"/>
        </w:rPr>
      </w:pPr>
      <w:r>
        <w:rPr>
          <w:rFonts w:hint="eastAsia" w:ascii="宋体" w:hAnsi="宋体" w:cs="宋体"/>
          <w:color w:val="auto"/>
          <w:sz w:val="24"/>
          <w:highlight w:val="none"/>
        </w:rPr>
        <w:t>技术、资信及商务分=（评标委员会所有成员评分合计数）/（评标委员会组成人员数</w:t>
      </w:r>
      <w:r>
        <w:rPr>
          <w:rFonts w:hint="eastAsia" w:ascii="宋体" w:hAnsi="宋体"/>
          <w:color w:val="auto"/>
          <w:sz w:val="24"/>
          <w:highlight w:val="none"/>
        </w:rPr>
        <w:t>）</w:t>
      </w:r>
    </w:p>
    <w:p w14:paraId="67BB44F4">
      <w:pPr>
        <w:pStyle w:val="22"/>
        <w:rPr>
          <w:color w:val="auto"/>
          <w:highlight w:val="none"/>
        </w:rPr>
      </w:pPr>
    </w:p>
    <w:p w14:paraId="512EB0AA">
      <w:pPr>
        <w:spacing w:line="360" w:lineRule="auto"/>
        <w:rPr>
          <w:rFonts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eastAsia="zh-CN"/>
        </w:rPr>
        <w:t>四</w:t>
      </w:r>
      <w:r>
        <w:rPr>
          <w:rFonts w:hint="eastAsia" w:ascii="宋体" w:hAnsi="宋体" w:cs="宋体"/>
          <w:b/>
          <w:color w:val="auto"/>
          <w:sz w:val="24"/>
          <w:highlight w:val="none"/>
        </w:rPr>
        <w:t>）确定中标人</w:t>
      </w:r>
    </w:p>
    <w:p w14:paraId="6ECCBCC0">
      <w:pPr>
        <w:adjustRightInd w:val="0"/>
        <w:spacing w:line="400" w:lineRule="exact"/>
        <w:ind w:firstLine="720" w:firstLineChars="300"/>
        <w:rPr>
          <w:rFonts w:ascii="宋体" w:hAnsi="宋体"/>
          <w:color w:val="auto"/>
          <w:sz w:val="24"/>
          <w:highlight w:val="none"/>
        </w:rPr>
      </w:pPr>
      <w:r>
        <w:rPr>
          <w:rFonts w:hint="eastAsia" w:ascii="宋体" w:hAnsi="宋体"/>
          <w:color w:val="auto"/>
          <w:sz w:val="24"/>
          <w:highlight w:val="none"/>
        </w:rPr>
        <w:t>1．技术、资信及商务分和报价分之和排名第一的投标人为预中标人。</w:t>
      </w:r>
    </w:p>
    <w:p w14:paraId="54C4F70E">
      <w:pPr>
        <w:adjustRightInd w:val="0"/>
        <w:spacing w:line="400" w:lineRule="exact"/>
        <w:ind w:firstLine="720" w:firstLineChars="300"/>
        <w:rPr>
          <w:rFonts w:hint="eastAsia" w:ascii="宋体" w:hAnsi="宋体"/>
          <w:color w:val="auto"/>
          <w:sz w:val="24"/>
          <w:highlight w:val="none"/>
        </w:rPr>
      </w:pPr>
      <w:r>
        <w:rPr>
          <w:rFonts w:hint="eastAsia" w:ascii="宋体" w:hAnsi="宋体"/>
          <w:color w:val="auto"/>
          <w:sz w:val="24"/>
          <w:highlight w:val="none"/>
        </w:rPr>
        <w:t>2.中标方不得将中标项目转让给他人或将中标项目支解后分别转让给他人，一经发现，立即取消投标、中标资格，并依法追究法律责任。</w:t>
      </w:r>
    </w:p>
    <w:p w14:paraId="2A62BA5C">
      <w:pPr>
        <w:pStyle w:val="22"/>
        <w:rPr>
          <w:color w:val="auto"/>
          <w:highlight w:val="none"/>
        </w:rPr>
      </w:pPr>
    </w:p>
    <w:p w14:paraId="5CCD96C2">
      <w:pPr>
        <w:spacing w:line="360" w:lineRule="auto"/>
        <w:rPr>
          <w:rFonts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eastAsia="zh-CN"/>
        </w:rPr>
        <w:t>五</w:t>
      </w:r>
      <w:r>
        <w:rPr>
          <w:rFonts w:hint="eastAsia" w:ascii="宋体" w:hAnsi="宋体" w:cs="宋体"/>
          <w:b/>
          <w:color w:val="auto"/>
          <w:sz w:val="24"/>
          <w:highlight w:val="none"/>
        </w:rPr>
        <w:t>）招标方不保证最低报价者为中标方。</w:t>
      </w:r>
    </w:p>
    <w:p w14:paraId="7B866270">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eastAsia="zh-CN"/>
        </w:rPr>
        <w:t>六</w:t>
      </w:r>
      <w:r>
        <w:rPr>
          <w:rFonts w:hint="eastAsia" w:ascii="宋体" w:hAnsi="宋体" w:cs="宋体"/>
          <w:b/>
          <w:color w:val="auto"/>
          <w:sz w:val="24"/>
          <w:highlight w:val="none"/>
        </w:rPr>
        <w:t>）招标人不对落标原因作任何解释。</w:t>
      </w:r>
      <w:bookmarkEnd w:id="39"/>
      <w:bookmarkEnd w:id="40"/>
    </w:p>
    <w:p w14:paraId="061827C2">
      <w:pPr>
        <w:pStyle w:val="2"/>
        <w:rPr>
          <w:rFonts w:hint="eastAsia" w:ascii="宋体" w:hAnsi="宋体" w:cs="宋体"/>
          <w:b/>
          <w:color w:val="auto"/>
          <w:sz w:val="24"/>
          <w:highlight w:val="none"/>
        </w:rPr>
      </w:pPr>
    </w:p>
    <w:p w14:paraId="400ED90F">
      <w:pPr>
        <w:rPr>
          <w:rFonts w:hint="eastAsia" w:ascii="宋体" w:hAnsi="宋体" w:cs="宋体"/>
          <w:b/>
          <w:color w:val="auto"/>
          <w:sz w:val="24"/>
          <w:highlight w:val="none"/>
        </w:rPr>
      </w:pPr>
    </w:p>
    <w:p w14:paraId="57BAA6E6">
      <w:pPr>
        <w:pStyle w:val="2"/>
        <w:rPr>
          <w:rFonts w:hint="eastAsia" w:ascii="宋体" w:hAnsi="宋体" w:cs="宋体"/>
          <w:b/>
          <w:color w:val="auto"/>
          <w:sz w:val="24"/>
          <w:highlight w:val="none"/>
        </w:rPr>
      </w:pPr>
    </w:p>
    <w:p w14:paraId="02DA7EB9">
      <w:pPr>
        <w:rPr>
          <w:rFonts w:hint="eastAsia" w:ascii="宋体" w:hAnsi="宋体" w:cs="宋体"/>
          <w:b/>
          <w:color w:val="auto"/>
          <w:sz w:val="24"/>
          <w:highlight w:val="none"/>
        </w:rPr>
      </w:pPr>
    </w:p>
    <w:p w14:paraId="5FC6374B">
      <w:pPr>
        <w:pStyle w:val="2"/>
        <w:rPr>
          <w:rFonts w:hint="eastAsia" w:ascii="宋体" w:hAnsi="宋体" w:cs="宋体"/>
          <w:b/>
          <w:color w:val="auto"/>
          <w:sz w:val="24"/>
          <w:highlight w:val="none"/>
        </w:rPr>
      </w:pPr>
    </w:p>
    <w:p w14:paraId="42FA9C6C">
      <w:pPr>
        <w:rPr>
          <w:rFonts w:hint="eastAsia" w:ascii="宋体" w:hAnsi="宋体" w:cs="宋体"/>
          <w:b/>
          <w:color w:val="auto"/>
          <w:sz w:val="24"/>
          <w:highlight w:val="none"/>
        </w:rPr>
      </w:pPr>
    </w:p>
    <w:p w14:paraId="511D4C37">
      <w:pPr>
        <w:pStyle w:val="2"/>
        <w:rPr>
          <w:rFonts w:hint="eastAsia" w:ascii="宋体" w:hAnsi="宋体" w:cs="宋体"/>
          <w:b/>
          <w:color w:val="auto"/>
          <w:sz w:val="24"/>
          <w:highlight w:val="none"/>
        </w:rPr>
      </w:pPr>
    </w:p>
    <w:p w14:paraId="6D47F5C6">
      <w:pPr>
        <w:rPr>
          <w:rFonts w:hint="eastAsia" w:ascii="宋体" w:hAnsi="宋体" w:cs="宋体"/>
          <w:b/>
          <w:color w:val="auto"/>
          <w:sz w:val="24"/>
          <w:highlight w:val="none"/>
        </w:rPr>
      </w:pPr>
    </w:p>
    <w:p w14:paraId="1BD09C43">
      <w:pPr>
        <w:pStyle w:val="2"/>
        <w:rPr>
          <w:rFonts w:hint="eastAsia" w:ascii="宋体" w:hAnsi="宋体" w:cs="宋体"/>
          <w:b/>
          <w:color w:val="auto"/>
          <w:sz w:val="24"/>
          <w:highlight w:val="none"/>
        </w:rPr>
      </w:pPr>
    </w:p>
    <w:p w14:paraId="02E2B770">
      <w:pPr>
        <w:rPr>
          <w:rFonts w:hint="eastAsia" w:ascii="宋体" w:hAnsi="宋体" w:cs="宋体"/>
          <w:b/>
          <w:color w:val="auto"/>
          <w:sz w:val="24"/>
          <w:highlight w:val="none"/>
        </w:rPr>
      </w:pPr>
    </w:p>
    <w:p w14:paraId="1EE7D401">
      <w:pPr>
        <w:pStyle w:val="2"/>
        <w:rPr>
          <w:rFonts w:hint="eastAsia" w:ascii="宋体" w:hAnsi="宋体" w:cs="宋体"/>
          <w:b/>
          <w:color w:val="auto"/>
          <w:sz w:val="24"/>
          <w:highlight w:val="none"/>
        </w:rPr>
      </w:pPr>
    </w:p>
    <w:p w14:paraId="599EE3AE">
      <w:pPr>
        <w:rPr>
          <w:rFonts w:hint="eastAsia" w:ascii="宋体" w:hAnsi="宋体" w:cs="宋体"/>
          <w:b/>
          <w:color w:val="auto"/>
          <w:sz w:val="24"/>
          <w:highlight w:val="none"/>
        </w:rPr>
      </w:pPr>
    </w:p>
    <w:p w14:paraId="59ED7CE3">
      <w:pPr>
        <w:pStyle w:val="2"/>
        <w:rPr>
          <w:rFonts w:hint="eastAsia" w:ascii="宋体" w:hAnsi="宋体" w:cs="宋体"/>
          <w:b/>
          <w:color w:val="auto"/>
          <w:sz w:val="24"/>
          <w:highlight w:val="none"/>
        </w:rPr>
      </w:pPr>
    </w:p>
    <w:p w14:paraId="16F7DCF2">
      <w:pPr>
        <w:rPr>
          <w:rFonts w:hint="eastAsia" w:ascii="宋体" w:hAnsi="宋体" w:cs="宋体"/>
          <w:b/>
          <w:color w:val="auto"/>
          <w:sz w:val="24"/>
          <w:highlight w:val="none"/>
        </w:rPr>
      </w:pPr>
    </w:p>
    <w:p w14:paraId="58B99724">
      <w:pPr>
        <w:pStyle w:val="2"/>
        <w:rPr>
          <w:rFonts w:hint="eastAsia" w:ascii="宋体" w:hAnsi="宋体" w:cs="宋体"/>
          <w:b/>
          <w:color w:val="auto"/>
          <w:sz w:val="24"/>
          <w:highlight w:val="none"/>
        </w:rPr>
      </w:pPr>
    </w:p>
    <w:p w14:paraId="7E16E240">
      <w:pPr>
        <w:rPr>
          <w:rFonts w:hint="eastAsia" w:ascii="宋体" w:hAnsi="宋体" w:cs="宋体"/>
          <w:b/>
          <w:color w:val="auto"/>
          <w:sz w:val="24"/>
          <w:highlight w:val="none"/>
        </w:rPr>
      </w:pPr>
    </w:p>
    <w:p w14:paraId="1BFE7684">
      <w:pPr>
        <w:pStyle w:val="2"/>
        <w:rPr>
          <w:rFonts w:hint="eastAsia" w:ascii="宋体" w:hAnsi="宋体" w:cs="宋体"/>
          <w:b/>
          <w:color w:val="auto"/>
          <w:sz w:val="24"/>
          <w:highlight w:val="none"/>
        </w:rPr>
      </w:pPr>
    </w:p>
    <w:p w14:paraId="722ED709">
      <w:pPr>
        <w:rPr>
          <w:rFonts w:hint="eastAsia" w:ascii="宋体" w:hAnsi="宋体" w:cs="宋体"/>
          <w:b/>
          <w:color w:val="auto"/>
          <w:sz w:val="24"/>
          <w:highlight w:val="none"/>
        </w:rPr>
      </w:pPr>
    </w:p>
    <w:p w14:paraId="6153588D">
      <w:pPr>
        <w:pStyle w:val="2"/>
        <w:rPr>
          <w:rFonts w:hint="eastAsia" w:ascii="宋体" w:hAnsi="宋体" w:cs="宋体"/>
          <w:b/>
          <w:color w:val="auto"/>
          <w:sz w:val="24"/>
          <w:highlight w:val="none"/>
        </w:rPr>
      </w:pPr>
    </w:p>
    <w:p w14:paraId="76BBF2CF">
      <w:pPr>
        <w:rPr>
          <w:rFonts w:hint="eastAsia" w:ascii="宋体" w:hAnsi="宋体" w:cs="宋体"/>
          <w:b/>
          <w:color w:val="auto"/>
          <w:sz w:val="24"/>
          <w:highlight w:val="none"/>
        </w:rPr>
      </w:pPr>
    </w:p>
    <w:p w14:paraId="66D62C23">
      <w:pPr>
        <w:pStyle w:val="2"/>
        <w:rPr>
          <w:rFonts w:hint="eastAsia" w:ascii="宋体" w:hAnsi="宋体" w:cs="宋体"/>
          <w:b/>
          <w:color w:val="auto"/>
          <w:sz w:val="24"/>
          <w:highlight w:val="none"/>
        </w:rPr>
      </w:pPr>
    </w:p>
    <w:p w14:paraId="3C3E3994">
      <w:pPr>
        <w:rPr>
          <w:rFonts w:hint="eastAsia" w:ascii="宋体" w:hAnsi="宋体" w:cs="宋体"/>
          <w:b/>
          <w:color w:val="auto"/>
          <w:sz w:val="24"/>
          <w:highlight w:val="none"/>
        </w:rPr>
      </w:pPr>
    </w:p>
    <w:p w14:paraId="4963E373">
      <w:pPr>
        <w:pStyle w:val="2"/>
        <w:rPr>
          <w:rFonts w:hint="eastAsia" w:ascii="宋体" w:hAnsi="宋体" w:cs="宋体"/>
          <w:b/>
          <w:color w:val="auto"/>
          <w:sz w:val="24"/>
          <w:highlight w:val="none"/>
        </w:rPr>
      </w:pPr>
    </w:p>
    <w:p w14:paraId="0DDC5BBC">
      <w:pPr>
        <w:rPr>
          <w:rFonts w:hint="eastAsia" w:ascii="宋体" w:hAnsi="宋体" w:cs="宋体"/>
          <w:b/>
          <w:color w:val="auto"/>
          <w:sz w:val="24"/>
          <w:highlight w:val="none"/>
        </w:rPr>
      </w:pPr>
    </w:p>
    <w:p w14:paraId="7E958AA7">
      <w:pPr>
        <w:pStyle w:val="2"/>
        <w:rPr>
          <w:rFonts w:hint="eastAsia" w:ascii="宋体" w:hAnsi="宋体" w:cs="宋体"/>
          <w:b/>
          <w:color w:val="auto"/>
          <w:sz w:val="24"/>
          <w:highlight w:val="none"/>
        </w:rPr>
      </w:pPr>
    </w:p>
    <w:p w14:paraId="0FA735EF">
      <w:pPr>
        <w:rPr>
          <w:rFonts w:hint="eastAsia" w:ascii="宋体" w:hAnsi="宋体" w:cs="宋体"/>
          <w:b/>
          <w:color w:val="auto"/>
          <w:sz w:val="24"/>
          <w:highlight w:val="none"/>
        </w:rPr>
      </w:pPr>
    </w:p>
    <w:p w14:paraId="59449430">
      <w:pPr>
        <w:pStyle w:val="2"/>
        <w:rPr>
          <w:rFonts w:hint="eastAsia" w:ascii="宋体" w:hAnsi="宋体" w:cs="宋体"/>
          <w:b/>
          <w:color w:val="auto"/>
          <w:sz w:val="24"/>
          <w:highlight w:val="none"/>
        </w:rPr>
      </w:pPr>
    </w:p>
    <w:p w14:paraId="6DEBB761">
      <w:pPr>
        <w:rPr>
          <w:rFonts w:hint="eastAsia" w:ascii="宋体" w:hAnsi="宋体" w:cs="宋体"/>
          <w:b/>
          <w:color w:val="auto"/>
          <w:sz w:val="24"/>
          <w:highlight w:val="none"/>
        </w:rPr>
      </w:pPr>
    </w:p>
    <w:p w14:paraId="448F6B98">
      <w:pPr>
        <w:pStyle w:val="2"/>
        <w:rPr>
          <w:rFonts w:hint="eastAsia"/>
          <w:color w:val="auto"/>
        </w:rPr>
      </w:pPr>
    </w:p>
    <w:p w14:paraId="4FEDFEC5">
      <w:pPr>
        <w:spacing w:line="360" w:lineRule="auto"/>
        <w:ind w:left="720" w:leftChars="343" w:firstLine="1084" w:firstLineChars="300"/>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第五部分</w:t>
      </w:r>
      <w:r>
        <w:rPr>
          <w:rFonts w:ascii="仿宋_GB2312" w:hAnsi="仿宋" w:eastAsia="仿宋_GB2312" w:cs="仿宋_GB2312"/>
          <w:b/>
          <w:color w:val="auto"/>
          <w:sz w:val="36"/>
          <w:szCs w:val="36"/>
        </w:rPr>
        <w:t xml:space="preserve"> </w:t>
      </w:r>
      <w:r>
        <w:rPr>
          <w:rFonts w:hint="eastAsia" w:ascii="仿宋_GB2312" w:hAnsi="仿宋" w:eastAsia="仿宋_GB2312" w:cs="仿宋_GB2312"/>
          <w:b/>
          <w:color w:val="auto"/>
          <w:sz w:val="36"/>
          <w:szCs w:val="36"/>
        </w:rPr>
        <w:t>政府采购合同参考范本</w:t>
      </w:r>
    </w:p>
    <w:p w14:paraId="35A5B7BC">
      <w:pPr>
        <w:pStyle w:val="58"/>
        <w:rPr>
          <w:rFonts w:ascii="仿宋" w:hAnsi="仿宋" w:eastAsia="仿宋"/>
          <w:color w:val="auto"/>
          <w:szCs w:val="24"/>
        </w:rPr>
      </w:pPr>
    </w:p>
    <w:p w14:paraId="2A6642D4">
      <w:pPr>
        <w:pStyle w:val="58"/>
        <w:jc w:val="center"/>
        <w:rPr>
          <w:rFonts w:ascii="仿宋" w:hAnsi="仿宋" w:eastAsia="仿宋"/>
          <w:color w:val="auto"/>
          <w:szCs w:val="24"/>
        </w:rPr>
      </w:pPr>
    </w:p>
    <w:p w14:paraId="117DAD34">
      <w:pPr>
        <w:pStyle w:val="58"/>
        <w:jc w:val="center"/>
        <w:rPr>
          <w:rFonts w:ascii="仿宋" w:hAnsi="仿宋" w:eastAsia="仿宋"/>
          <w:color w:val="auto"/>
          <w:szCs w:val="24"/>
        </w:rPr>
      </w:pPr>
    </w:p>
    <w:p w14:paraId="3A230DB6">
      <w:pPr>
        <w:pStyle w:val="58"/>
        <w:ind w:firstLine="2843" w:firstLineChars="1180"/>
        <w:rPr>
          <w:rFonts w:ascii="仿宋" w:hAnsi="仿宋" w:eastAsia="仿宋"/>
          <w:b/>
          <w:color w:val="auto"/>
          <w:szCs w:val="24"/>
        </w:rPr>
      </w:pPr>
      <w:r>
        <w:rPr>
          <w:rFonts w:hint="eastAsia" w:ascii="仿宋" w:hAnsi="仿宋" w:eastAsia="仿宋"/>
          <w:b/>
          <w:color w:val="auto"/>
          <w:szCs w:val="24"/>
        </w:rPr>
        <w:t>第一部分</w:t>
      </w:r>
      <w:r>
        <w:rPr>
          <w:rFonts w:ascii="仿宋" w:hAnsi="仿宋" w:eastAsia="仿宋"/>
          <w:b/>
          <w:color w:val="auto"/>
          <w:szCs w:val="24"/>
        </w:rPr>
        <w:t xml:space="preserve"> </w:t>
      </w:r>
      <w:r>
        <w:rPr>
          <w:rFonts w:hint="eastAsia" w:ascii="仿宋" w:hAnsi="仿宋" w:eastAsia="仿宋"/>
          <w:b/>
          <w:color w:val="auto"/>
          <w:szCs w:val="24"/>
        </w:rPr>
        <w:t>合同书</w:t>
      </w:r>
    </w:p>
    <w:p w14:paraId="3959FC42">
      <w:pPr>
        <w:pStyle w:val="58"/>
        <w:rPr>
          <w:rFonts w:ascii="仿宋" w:hAnsi="仿宋" w:eastAsia="仿宋"/>
          <w:color w:val="auto"/>
          <w:szCs w:val="24"/>
        </w:rPr>
      </w:pPr>
    </w:p>
    <w:p w14:paraId="4ECA3040">
      <w:pPr>
        <w:pStyle w:val="58"/>
        <w:rPr>
          <w:rFonts w:ascii="仿宋" w:hAnsi="仿宋" w:eastAsia="仿宋"/>
          <w:color w:val="auto"/>
          <w:szCs w:val="24"/>
        </w:rPr>
      </w:pPr>
    </w:p>
    <w:p w14:paraId="77BB69AD">
      <w:pPr>
        <w:spacing w:before="120" w:line="22" w:lineRule="atLeast"/>
        <w:rPr>
          <w:rFonts w:ascii="仿宋" w:hAnsi="仿宋" w:eastAsia="仿宋"/>
          <w:color w:val="auto"/>
          <w:sz w:val="24"/>
        </w:rPr>
      </w:pPr>
    </w:p>
    <w:p w14:paraId="4BB45BA8">
      <w:pPr>
        <w:spacing w:before="120" w:line="22" w:lineRule="atLeast"/>
        <w:ind w:left="960"/>
        <w:rPr>
          <w:rFonts w:ascii="仿宋" w:hAnsi="仿宋" w:eastAsia="仿宋"/>
          <w:color w:val="auto"/>
          <w:sz w:val="24"/>
        </w:rPr>
      </w:pPr>
      <w:r>
        <w:rPr>
          <w:rFonts w:hint="eastAsia" w:ascii="仿宋" w:hAnsi="仿宋" w:eastAsia="仿宋"/>
          <w:color w:val="auto"/>
          <w:sz w:val="24"/>
        </w:rPr>
        <w:t>项目名称：</w:t>
      </w:r>
      <w:r>
        <w:rPr>
          <w:rFonts w:ascii="仿宋" w:hAnsi="仿宋" w:eastAsia="仿宋"/>
          <w:color w:val="auto"/>
          <w:sz w:val="24"/>
          <w:u w:val="single"/>
        </w:rPr>
        <w:t xml:space="preserve">                                   </w:t>
      </w:r>
    </w:p>
    <w:p w14:paraId="74401D75">
      <w:pPr>
        <w:pStyle w:val="59"/>
        <w:spacing w:before="120" w:line="22" w:lineRule="atLeast"/>
        <w:rPr>
          <w:rFonts w:ascii="仿宋" w:hAnsi="仿宋" w:eastAsia="仿宋"/>
          <w:color w:val="auto"/>
          <w:szCs w:val="24"/>
        </w:rPr>
      </w:pPr>
    </w:p>
    <w:p w14:paraId="3CE6CBA9">
      <w:pPr>
        <w:pStyle w:val="59"/>
        <w:spacing w:before="120" w:line="22" w:lineRule="atLeast"/>
        <w:rPr>
          <w:rFonts w:ascii="仿宋" w:hAnsi="仿宋" w:eastAsia="仿宋"/>
          <w:color w:val="auto"/>
          <w:szCs w:val="24"/>
        </w:rPr>
      </w:pPr>
    </w:p>
    <w:p w14:paraId="708ED861">
      <w:pPr>
        <w:rPr>
          <w:rFonts w:ascii="仿宋" w:hAnsi="仿宋" w:eastAsia="仿宋"/>
          <w:color w:val="auto"/>
          <w:sz w:val="24"/>
        </w:rPr>
      </w:pPr>
    </w:p>
    <w:p w14:paraId="2BE9F677">
      <w:pPr>
        <w:spacing w:before="120" w:line="22" w:lineRule="atLeast"/>
        <w:ind w:left="960"/>
        <w:rPr>
          <w:rFonts w:ascii="仿宋" w:hAnsi="仿宋" w:eastAsia="仿宋"/>
          <w:color w:val="auto"/>
          <w:sz w:val="24"/>
          <w:u w:val="single"/>
        </w:rPr>
      </w:pPr>
      <w:r>
        <w:rPr>
          <w:rFonts w:hint="eastAsia" w:ascii="仿宋" w:hAnsi="仿宋" w:eastAsia="仿宋"/>
          <w:color w:val="auto"/>
          <w:sz w:val="24"/>
        </w:rPr>
        <w:t>甲方：</w:t>
      </w:r>
      <w:r>
        <w:rPr>
          <w:rFonts w:ascii="仿宋" w:hAnsi="仿宋" w:eastAsia="仿宋"/>
          <w:color w:val="auto"/>
          <w:sz w:val="24"/>
          <w:u w:val="single"/>
        </w:rPr>
        <w:t xml:space="preserve">                      </w:t>
      </w:r>
      <w:r>
        <w:rPr>
          <w:rFonts w:hint="eastAsia" w:ascii="仿宋" w:hAnsi="仿宋" w:eastAsia="仿宋"/>
          <w:color w:val="auto"/>
          <w:sz w:val="24"/>
          <w:u w:val="single"/>
        </w:rPr>
        <w:t xml:space="preserve">     </w:t>
      </w:r>
      <w:r>
        <w:rPr>
          <w:rFonts w:ascii="仿宋" w:hAnsi="仿宋" w:eastAsia="仿宋"/>
          <w:color w:val="auto"/>
          <w:sz w:val="24"/>
          <w:u w:val="single"/>
        </w:rPr>
        <w:t xml:space="preserve">                 </w:t>
      </w:r>
    </w:p>
    <w:p w14:paraId="0CA140B4">
      <w:pPr>
        <w:spacing w:before="120" w:line="22" w:lineRule="atLeast"/>
        <w:rPr>
          <w:rFonts w:ascii="仿宋" w:hAnsi="仿宋" w:eastAsia="仿宋"/>
          <w:color w:val="auto"/>
          <w:sz w:val="24"/>
        </w:rPr>
      </w:pPr>
    </w:p>
    <w:p w14:paraId="07D3F5BD">
      <w:pPr>
        <w:spacing w:before="120" w:line="22" w:lineRule="atLeast"/>
        <w:ind w:left="960"/>
        <w:rPr>
          <w:rFonts w:ascii="仿宋" w:hAnsi="仿宋" w:eastAsia="仿宋"/>
          <w:color w:val="auto"/>
          <w:sz w:val="24"/>
          <w:u w:val="single"/>
        </w:rPr>
      </w:pPr>
      <w:r>
        <w:rPr>
          <w:rFonts w:hint="eastAsia" w:ascii="仿宋" w:hAnsi="仿宋" w:eastAsia="仿宋"/>
          <w:color w:val="auto"/>
          <w:sz w:val="24"/>
        </w:rPr>
        <w:t>乙方：</w:t>
      </w:r>
      <w:r>
        <w:rPr>
          <w:rFonts w:ascii="仿宋" w:hAnsi="仿宋" w:eastAsia="仿宋"/>
          <w:color w:val="auto"/>
          <w:sz w:val="24"/>
          <w:u w:val="single"/>
        </w:rPr>
        <w:t xml:space="preserve">                         </w:t>
      </w:r>
      <w:r>
        <w:rPr>
          <w:rFonts w:hint="eastAsia" w:ascii="仿宋" w:hAnsi="仿宋" w:eastAsia="仿宋"/>
          <w:color w:val="auto"/>
          <w:sz w:val="24"/>
          <w:u w:val="single"/>
        </w:rPr>
        <w:t xml:space="preserve">     </w:t>
      </w:r>
      <w:r>
        <w:rPr>
          <w:rFonts w:ascii="仿宋" w:hAnsi="仿宋" w:eastAsia="仿宋"/>
          <w:color w:val="auto"/>
          <w:sz w:val="24"/>
          <w:u w:val="single"/>
        </w:rPr>
        <w:t xml:space="preserve">              </w:t>
      </w:r>
    </w:p>
    <w:p w14:paraId="331C367A">
      <w:pPr>
        <w:spacing w:before="120" w:line="22" w:lineRule="atLeast"/>
        <w:rPr>
          <w:rFonts w:ascii="仿宋" w:hAnsi="仿宋" w:eastAsia="仿宋"/>
          <w:color w:val="auto"/>
          <w:sz w:val="24"/>
        </w:rPr>
      </w:pPr>
    </w:p>
    <w:p w14:paraId="4B57EE3D">
      <w:pPr>
        <w:spacing w:before="120" w:line="22" w:lineRule="atLeast"/>
        <w:ind w:left="960"/>
        <w:rPr>
          <w:rFonts w:ascii="仿宋" w:hAnsi="仿宋" w:eastAsia="仿宋"/>
          <w:color w:val="auto"/>
          <w:sz w:val="24"/>
        </w:rPr>
      </w:pPr>
      <w:r>
        <w:rPr>
          <w:rFonts w:ascii="仿宋" w:hAnsi="仿宋" w:eastAsia="仿宋"/>
          <w:color w:val="auto"/>
          <w:sz w:val="24"/>
        </w:rPr>
        <w:t>鉴证方（招标代理公司）</w:t>
      </w:r>
      <w:r>
        <w:rPr>
          <w:rFonts w:hint="eastAsia" w:ascii="仿宋" w:hAnsi="仿宋" w:eastAsia="仿宋"/>
          <w:color w:val="auto"/>
          <w:sz w:val="24"/>
        </w:rPr>
        <w:t>：</w:t>
      </w:r>
      <w:r>
        <w:rPr>
          <w:rFonts w:ascii="仿宋" w:hAnsi="仿宋" w:eastAsia="仿宋"/>
          <w:color w:val="auto"/>
          <w:sz w:val="24"/>
          <w:u w:val="single"/>
        </w:rPr>
        <w:t xml:space="preserve">                          </w:t>
      </w:r>
    </w:p>
    <w:p w14:paraId="56DBCD20">
      <w:pPr>
        <w:spacing w:before="120" w:line="22" w:lineRule="atLeast"/>
        <w:rPr>
          <w:rFonts w:ascii="仿宋" w:hAnsi="仿宋" w:eastAsia="仿宋"/>
          <w:color w:val="auto"/>
          <w:sz w:val="24"/>
        </w:rPr>
      </w:pPr>
    </w:p>
    <w:p w14:paraId="3DE8323F">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签订地：</w:t>
      </w:r>
      <w:r>
        <w:rPr>
          <w:rFonts w:ascii="仿宋" w:hAnsi="仿宋" w:eastAsia="仿宋"/>
          <w:color w:val="auto"/>
          <w:sz w:val="24"/>
          <w:u w:val="single"/>
        </w:rPr>
        <w:t xml:space="preserve">                                     </w:t>
      </w:r>
    </w:p>
    <w:p w14:paraId="7170FD4C">
      <w:pPr>
        <w:spacing w:before="120" w:line="22" w:lineRule="atLeast"/>
        <w:rPr>
          <w:rFonts w:ascii="仿宋" w:hAnsi="仿宋" w:eastAsia="仿宋"/>
          <w:color w:val="auto"/>
          <w:sz w:val="24"/>
        </w:rPr>
      </w:pPr>
    </w:p>
    <w:p w14:paraId="053E81E0">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签订日期：</w:t>
      </w:r>
      <w:r>
        <w:rPr>
          <w:rFonts w:ascii="仿宋" w:hAnsi="仿宋" w:eastAsia="仿宋"/>
          <w:color w:val="auto"/>
          <w:sz w:val="24"/>
          <w:u w:val="single"/>
        </w:rPr>
        <w:t xml:space="preserve">               </w:t>
      </w:r>
      <w:r>
        <w:rPr>
          <w:rFonts w:hint="eastAsia" w:ascii="仿宋" w:hAnsi="仿宋" w:eastAsia="仿宋"/>
          <w:color w:val="auto"/>
          <w:sz w:val="24"/>
        </w:rPr>
        <w:t>年</w:t>
      </w:r>
      <w:r>
        <w:rPr>
          <w:rFonts w:ascii="仿宋" w:hAnsi="仿宋" w:eastAsia="仿宋"/>
          <w:color w:val="auto"/>
          <w:sz w:val="24"/>
          <w:u w:val="single"/>
        </w:rPr>
        <w:t xml:space="preserve">       </w:t>
      </w:r>
      <w:r>
        <w:rPr>
          <w:rFonts w:hint="eastAsia" w:ascii="仿宋" w:hAnsi="仿宋" w:eastAsia="仿宋"/>
          <w:color w:val="auto"/>
          <w:sz w:val="24"/>
        </w:rPr>
        <w:t>月</w:t>
      </w:r>
      <w:r>
        <w:rPr>
          <w:rFonts w:ascii="仿宋" w:hAnsi="仿宋" w:eastAsia="仿宋"/>
          <w:color w:val="auto"/>
          <w:sz w:val="24"/>
          <w:u w:val="single"/>
        </w:rPr>
        <w:t xml:space="preserve">       </w:t>
      </w:r>
      <w:r>
        <w:rPr>
          <w:rFonts w:hint="eastAsia" w:ascii="仿宋" w:hAnsi="仿宋" w:eastAsia="仿宋"/>
          <w:color w:val="auto"/>
          <w:sz w:val="24"/>
        </w:rPr>
        <w:t>日</w:t>
      </w:r>
    </w:p>
    <w:p w14:paraId="4C0CAB58">
      <w:pPr>
        <w:widowControl/>
        <w:jc w:val="left"/>
        <w:rPr>
          <w:rFonts w:ascii="仿宋" w:hAnsi="仿宋" w:eastAsia="仿宋"/>
          <w:color w:val="auto"/>
          <w:kern w:val="0"/>
          <w:sz w:val="24"/>
        </w:rPr>
        <w:sectPr>
          <w:footerReference r:id="rId5" w:type="default"/>
          <w:pgSz w:w="11907" w:h="16840"/>
          <w:pgMar w:top="1474" w:right="1417" w:bottom="1474" w:left="1418" w:header="851" w:footer="851" w:gutter="0"/>
          <w:pgNumType w:start="1"/>
          <w:cols w:space="720" w:num="1"/>
        </w:sectPr>
      </w:pPr>
    </w:p>
    <w:p w14:paraId="353360DE">
      <w:pPr>
        <w:spacing w:line="560" w:lineRule="exact"/>
        <w:ind w:firstLine="480" w:firstLineChars="200"/>
        <w:rPr>
          <w:rFonts w:ascii="仿宋" w:hAnsi="仿宋" w:eastAsia="仿宋"/>
          <w:color w:val="auto"/>
          <w:sz w:val="24"/>
        </w:rPr>
      </w:pPr>
      <w:r>
        <w:rPr>
          <w:rFonts w:ascii="仿宋" w:hAnsi="仿宋" w:eastAsia="仿宋"/>
          <w:color w:val="auto"/>
          <w:sz w:val="24"/>
          <w:u w:val="single"/>
          <w:lang w:val="zh-CN"/>
        </w:rPr>
        <w:t xml:space="preserve">        </w:t>
      </w:r>
      <w:r>
        <w:rPr>
          <w:rFonts w:hint="eastAsia" w:ascii="仿宋" w:hAnsi="仿宋" w:eastAsia="仿宋"/>
          <w:color w:val="auto"/>
          <w:sz w:val="24"/>
          <w:lang w:val="zh-CN"/>
        </w:rPr>
        <w:t>年</w:t>
      </w:r>
      <w:r>
        <w:rPr>
          <w:rFonts w:ascii="仿宋" w:hAnsi="仿宋" w:eastAsia="仿宋"/>
          <w:color w:val="auto"/>
          <w:sz w:val="24"/>
          <w:u w:val="single"/>
          <w:lang w:val="zh-CN"/>
        </w:rPr>
        <w:t xml:space="preserve">    </w:t>
      </w:r>
      <w:r>
        <w:rPr>
          <w:rFonts w:hint="eastAsia" w:ascii="仿宋" w:hAnsi="仿宋" w:eastAsia="仿宋"/>
          <w:color w:val="auto"/>
          <w:sz w:val="24"/>
          <w:lang w:val="zh-CN"/>
        </w:rPr>
        <w:t>月</w:t>
      </w:r>
      <w:r>
        <w:rPr>
          <w:rFonts w:ascii="仿宋" w:hAnsi="仿宋" w:eastAsia="仿宋"/>
          <w:color w:val="auto"/>
          <w:sz w:val="24"/>
          <w:u w:val="single"/>
          <w:lang w:val="zh-CN"/>
        </w:rPr>
        <w:t xml:space="preserve">    </w:t>
      </w:r>
      <w:r>
        <w:rPr>
          <w:rFonts w:hint="eastAsia" w:ascii="仿宋" w:hAnsi="仿宋" w:eastAsia="仿宋"/>
          <w:color w:val="auto"/>
          <w:sz w:val="24"/>
          <w:lang w:val="zh-CN"/>
        </w:rPr>
        <w:t>日</w:t>
      </w:r>
      <w:r>
        <w:rPr>
          <w:rFonts w:hint="eastAsia" w:ascii="仿宋" w:hAnsi="仿宋" w:eastAsia="仿宋"/>
          <w:color w:val="auto"/>
          <w:sz w:val="24"/>
        </w:rPr>
        <w:t>，</w:t>
      </w:r>
      <w:r>
        <w:rPr>
          <w:rFonts w:ascii="仿宋" w:hAnsi="仿宋" w:eastAsia="仿宋"/>
          <w:color w:val="auto"/>
          <w:sz w:val="24"/>
          <w:u w:val="single"/>
        </w:rPr>
        <w:t xml:space="preserve">   </w:t>
      </w:r>
      <w:r>
        <w:rPr>
          <w:rFonts w:hint="eastAsia" w:ascii="仿宋" w:hAnsi="仿宋" w:eastAsia="仿宋"/>
          <w:color w:val="auto"/>
          <w:sz w:val="24"/>
          <w:u w:val="single"/>
        </w:rPr>
        <w:t>（采购人）</w:t>
      </w:r>
      <w:r>
        <w:rPr>
          <w:rFonts w:ascii="仿宋" w:hAnsi="仿宋" w:eastAsia="仿宋"/>
          <w:color w:val="auto"/>
          <w:sz w:val="24"/>
          <w:u w:val="single"/>
        </w:rPr>
        <w:t xml:space="preserve">   </w:t>
      </w:r>
      <w:r>
        <w:rPr>
          <w:rFonts w:hint="eastAsia" w:ascii="仿宋" w:hAnsi="仿宋" w:eastAsia="仿宋"/>
          <w:color w:val="auto"/>
          <w:sz w:val="24"/>
        </w:rPr>
        <w:t>以</w:t>
      </w:r>
      <w:r>
        <w:rPr>
          <w:rFonts w:ascii="仿宋" w:hAnsi="仿宋" w:eastAsia="仿宋"/>
          <w:color w:val="auto"/>
          <w:sz w:val="24"/>
          <w:u w:val="single"/>
        </w:rPr>
        <w:t xml:space="preserve">   （政府采购方式）</w:t>
      </w:r>
      <w:r>
        <w:rPr>
          <w:rFonts w:hint="eastAsia" w:ascii="仿宋" w:hAnsi="仿宋" w:eastAsia="仿宋"/>
          <w:color w:val="auto"/>
          <w:sz w:val="24"/>
        </w:rPr>
        <w:t>方式招标确定，</w:t>
      </w:r>
      <w:r>
        <w:rPr>
          <w:rFonts w:ascii="仿宋" w:hAnsi="仿宋" w:eastAsia="仿宋"/>
          <w:color w:val="auto"/>
          <w:sz w:val="24"/>
          <w:u w:val="single"/>
        </w:rPr>
        <w:t xml:space="preserve">   （中标供应商名称）</w:t>
      </w:r>
      <w:r>
        <w:rPr>
          <w:rFonts w:hint="eastAsia" w:ascii="仿宋" w:hAnsi="仿宋" w:eastAsia="仿宋"/>
          <w:color w:val="auto"/>
          <w:sz w:val="24"/>
        </w:rPr>
        <w:t>为该项目中标供应商。现于中标通知书发出之日起三十日内，按照采购文件确定的事项签订本合同。</w:t>
      </w:r>
    </w:p>
    <w:p w14:paraId="58E57D4D">
      <w:pPr>
        <w:spacing w:line="560" w:lineRule="exact"/>
        <w:ind w:firstLine="480" w:firstLineChars="200"/>
        <w:rPr>
          <w:rFonts w:ascii="仿宋" w:hAnsi="仿宋" w:eastAsia="仿宋"/>
          <w:color w:val="auto"/>
          <w:sz w:val="24"/>
        </w:rPr>
      </w:pPr>
      <w:r>
        <w:rPr>
          <w:rFonts w:hint="eastAsia" w:ascii="仿宋" w:hAnsi="仿宋" w:eastAsia="仿宋"/>
          <w:color w:val="auto"/>
          <w:sz w:val="24"/>
          <w:lang w:val="zh-CN"/>
        </w:rPr>
        <w:t>根据《中华人民共和国民法典》、《中华人民共和国政府采购法》等相关法律法规之规定，按照平等、自愿、公平、诚实信用和绿色的原则，经</w:t>
      </w:r>
      <w:r>
        <w:rPr>
          <w:rFonts w:ascii="仿宋" w:hAnsi="仿宋" w:eastAsia="仿宋"/>
          <w:color w:val="auto"/>
          <w:sz w:val="24"/>
          <w:u w:val="single"/>
        </w:rPr>
        <w:t xml:space="preserve">   </w:t>
      </w:r>
      <w:r>
        <w:rPr>
          <w:rFonts w:hint="eastAsia" w:ascii="仿宋" w:hAnsi="仿宋" w:eastAsia="仿宋"/>
          <w:color w:val="auto"/>
          <w:sz w:val="24"/>
          <w:u w:val="single"/>
        </w:rPr>
        <w:t>（采购人）</w:t>
      </w:r>
      <w:r>
        <w:rPr>
          <w:rFonts w:ascii="仿宋" w:hAnsi="仿宋" w:eastAsia="仿宋"/>
          <w:color w:val="auto"/>
          <w:sz w:val="24"/>
          <w:u w:val="single"/>
        </w:rPr>
        <w:t xml:space="preserve">   </w:t>
      </w:r>
      <w:r>
        <w:rPr>
          <w:rFonts w:ascii="仿宋" w:hAnsi="仿宋" w:eastAsia="仿宋"/>
          <w:color w:val="auto"/>
          <w:sz w:val="24"/>
          <w:lang w:val="zh-CN"/>
        </w:rPr>
        <w:t>(以下简称：甲方)和</w:t>
      </w:r>
      <w:r>
        <w:rPr>
          <w:rFonts w:ascii="仿宋" w:hAnsi="仿宋" w:eastAsia="仿宋"/>
          <w:color w:val="auto"/>
          <w:sz w:val="24"/>
          <w:u w:val="single"/>
        </w:rPr>
        <w:t xml:space="preserve">   （中标供应商名称）   </w:t>
      </w:r>
      <w:r>
        <w:rPr>
          <w:rFonts w:ascii="仿宋" w:hAnsi="仿宋" w:eastAsia="仿宋"/>
          <w:color w:val="auto"/>
          <w:sz w:val="24"/>
          <w:lang w:val="zh-CN"/>
        </w:rPr>
        <w:t>(以下简称：乙方)协商一致，约定以下合同</w:t>
      </w:r>
      <w:r>
        <w:rPr>
          <w:rFonts w:hint="eastAsia" w:ascii="仿宋" w:hAnsi="仿宋" w:eastAsia="仿宋"/>
          <w:color w:val="auto"/>
          <w:sz w:val="24"/>
        </w:rPr>
        <w:t>条款，以兹共同遵守、全面履行。</w:t>
      </w:r>
    </w:p>
    <w:p w14:paraId="112CD001">
      <w:pPr>
        <w:spacing w:line="560" w:lineRule="exact"/>
        <w:ind w:firstLine="482" w:firstLineChars="200"/>
        <w:outlineLvl w:val="0"/>
        <w:rPr>
          <w:rFonts w:ascii="仿宋" w:hAnsi="仿宋" w:eastAsia="仿宋"/>
          <w:b/>
          <w:color w:val="auto"/>
          <w:sz w:val="24"/>
        </w:rPr>
      </w:pPr>
      <w:bookmarkStart w:id="47" w:name="_Toc3029"/>
      <w:bookmarkStart w:id="48" w:name="_Toc24059"/>
      <w:bookmarkStart w:id="49" w:name="_Toc2232"/>
      <w:r>
        <w:rPr>
          <w:rFonts w:ascii="仿宋" w:hAnsi="仿宋" w:eastAsia="仿宋"/>
          <w:b/>
          <w:color w:val="auto"/>
          <w:sz w:val="24"/>
        </w:rPr>
        <w:t xml:space="preserve">1.1 </w:t>
      </w:r>
      <w:r>
        <w:rPr>
          <w:rFonts w:hint="eastAsia" w:ascii="仿宋" w:hAnsi="仿宋" w:eastAsia="仿宋"/>
          <w:b/>
          <w:color w:val="auto"/>
          <w:sz w:val="24"/>
        </w:rPr>
        <w:t>合同组成部分</w:t>
      </w:r>
      <w:bookmarkEnd w:id="47"/>
      <w:bookmarkEnd w:id="48"/>
      <w:bookmarkEnd w:id="49"/>
    </w:p>
    <w:p w14:paraId="3135B465">
      <w:pPr>
        <w:spacing w:line="560" w:lineRule="exact"/>
        <w:ind w:firstLine="480" w:firstLineChars="200"/>
        <w:rPr>
          <w:rFonts w:ascii="仿宋" w:hAnsi="仿宋" w:eastAsia="仿宋"/>
          <w:color w:val="auto"/>
          <w:sz w:val="24"/>
        </w:rPr>
      </w:pPr>
      <w:r>
        <w:rPr>
          <w:rFonts w:hint="eastAsia" w:ascii="仿宋" w:hAnsi="仿宋" w:eastAsia="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575651A">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1.1.1 </w:t>
      </w:r>
      <w:r>
        <w:rPr>
          <w:rFonts w:hint="eastAsia" w:ascii="仿宋" w:hAnsi="仿宋" w:eastAsia="仿宋"/>
          <w:color w:val="auto"/>
          <w:sz w:val="24"/>
        </w:rPr>
        <w:t>本合同及其补充合同、变更协议；</w:t>
      </w:r>
    </w:p>
    <w:p w14:paraId="48E4E960">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1.1.2 </w:t>
      </w:r>
      <w:r>
        <w:rPr>
          <w:rFonts w:hint="eastAsia" w:ascii="仿宋" w:hAnsi="仿宋" w:eastAsia="仿宋"/>
          <w:color w:val="auto"/>
          <w:sz w:val="24"/>
        </w:rPr>
        <w:t>中标通知书；</w:t>
      </w:r>
    </w:p>
    <w:p w14:paraId="0D10A678">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1.1.3 </w:t>
      </w:r>
      <w:r>
        <w:rPr>
          <w:rFonts w:hint="eastAsia" w:ascii="仿宋" w:hAnsi="仿宋" w:eastAsia="仿宋"/>
          <w:color w:val="auto"/>
          <w:sz w:val="24"/>
        </w:rPr>
        <w:t>投标文件（含澄清或者说明文件）；</w:t>
      </w:r>
    </w:p>
    <w:p w14:paraId="6FD45BEF">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1.1.4 </w:t>
      </w:r>
      <w:r>
        <w:rPr>
          <w:rFonts w:hint="eastAsia" w:ascii="仿宋" w:hAnsi="仿宋" w:eastAsia="仿宋"/>
          <w:color w:val="auto"/>
          <w:sz w:val="24"/>
        </w:rPr>
        <w:t>招标文件（含澄清或者修改文件）；</w:t>
      </w:r>
    </w:p>
    <w:p w14:paraId="13B361E0">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1.1.5 </w:t>
      </w:r>
      <w:r>
        <w:rPr>
          <w:rFonts w:hint="eastAsia" w:ascii="仿宋" w:hAnsi="仿宋" w:eastAsia="仿宋"/>
          <w:color w:val="auto"/>
          <w:sz w:val="24"/>
        </w:rPr>
        <w:t>其他相关采购文件。</w:t>
      </w:r>
    </w:p>
    <w:p w14:paraId="172CEF35">
      <w:pPr>
        <w:pStyle w:val="60"/>
        <w:snapToGrid w:val="0"/>
        <w:spacing w:before="0"/>
        <w:ind w:firstLine="480"/>
        <w:jc w:val="left"/>
        <w:rPr>
          <w:rFonts w:hint="eastAsia" w:ascii="仿宋" w:hAnsi="仿宋" w:eastAsia="仿宋"/>
          <w:b/>
          <w:color w:val="auto"/>
          <w:sz w:val="24"/>
        </w:rPr>
      </w:pPr>
      <w:bookmarkStart w:id="50" w:name="_Toc21295"/>
      <w:bookmarkStart w:id="51" w:name="_Toc24300"/>
      <w:bookmarkStart w:id="52" w:name="_Toc27126"/>
      <w:bookmarkStart w:id="53" w:name="_Toc21551"/>
      <w:bookmarkStart w:id="54" w:name="_Toc21631"/>
      <w:bookmarkStart w:id="55" w:name="_Toc23292"/>
      <w:r>
        <w:rPr>
          <w:rFonts w:ascii="仿宋" w:hAnsi="仿宋" w:eastAsia="仿宋"/>
          <w:b/>
          <w:color w:val="auto"/>
          <w:sz w:val="24"/>
        </w:rPr>
        <w:t xml:space="preserve">1.2 </w:t>
      </w:r>
      <w:bookmarkEnd w:id="50"/>
      <w:bookmarkEnd w:id="51"/>
      <w:bookmarkEnd w:id="52"/>
      <w:r>
        <w:rPr>
          <w:rFonts w:hint="eastAsia" w:ascii="仿宋" w:hAnsi="仿宋" w:eastAsia="仿宋"/>
          <w:b/>
          <w:color w:val="auto"/>
          <w:sz w:val="24"/>
        </w:rPr>
        <w:t>服务内容及要求</w:t>
      </w:r>
    </w:p>
    <w:p w14:paraId="654D68B5">
      <w:pPr>
        <w:pStyle w:val="60"/>
        <w:snapToGrid w:val="0"/>
        <w:spacing w:before="0"/>
        <w:ind w:firstLine="480"/>
        <w:jc w:val="left"/>
        <w:rPr>
          <w:rFonts w:ascii="仿宋_GB2312" w:hAnsi="仿宋" w:eastAsia="仿宋_GB2312" w:cs="仿宋_GB2312"/>
          <w:color w:val="auto"/>
        </w:rPr>
      </w:pPr>
      <w:r>
        <w:rPr>
          <w:rFonts w:hint="eastAsia" w:ascii="仿宋" w:hAnsi="仿宋" w:eastAsia="仿宋"/>
          <w:color w:val="auto"/>
          <w:sz w:val="24"/>
        </w:rPr>
        <w:t>1.2.1</w:t>
      </w:r>
      <w:r>
        <w:rPr>
          <w:rFonts w:hint="eastAsia" w:ascii="仿宋_GB2312" w:hAnsi="仿宋" w:eastAsia="仿宋_GB2312" w:cs="仿宋_GB2312"/>
          <w:color w:val="auto"/>
        </w:rPr>
        <w:t>采用择伐</w:t>
      </w:r>
      <w:r>
        <w:rPr>
          <w:rFonts w:hint="eastAsia" w:ascii="仿宋_GB2312" w:hAnsi="仿宋" w:eastAsia="仿宋_GB2312" w:cs="仿宋_GB2312"/>
          <w:color w:val="auto"/>
          <w:lang w:val="en-US" w:eastAsia="zh-CN"/>
        </w:rPr>
        <w:t>等</w:t>
      </w:r>
      <w:r>
        <w:rPr>
          <w:rFonts w:hint="eastAsia" w:ascii="仿宋_GB2312" w:hAnsi="仿宋" w:eastAsia="仿宋_GB2312" w:cs="仿宋_GB2312"/>
          <w:color w:val="auto"/>
        </w:rPr>
        <w:t>方式，</w:t>
      </w:r>
      <w:r>
        <w:rPr>
          <w:rFonts w:hint="eastAsia" w:ascii="仿宋_GB2312" w:hAnsi="仿宋" w:eastAsia="仿宋_GB2312" w:cs="仿宋_GB2312"/>
          <w:color w:val="auto"/>
          <w:lang w:val="en-US" w:eastAsia="zh-CN"/>
        </w:rPr>
        <w:t>在规定期限</w:t>
      </w:r>
      <w:r>
        <w:rPr>
          <w:rFonts w:hint="eastAsia" w:ascii="仿宋_GB2312" w:hAnsi="仿宋" w:eastAsia="仿宋_GB2312" w:cs="仿宋_GB2312"/>
          <w:color w:val="auto"/>
        </w:rPr>
        <w:t>对约定范围内所有病死（枯死、濒死）</w:t>
      </w:r>
      <w:r>
        <w:rPr>
          <w:rFonts w:hint="eastAsia" w:ascii="仿宋_GB2312" w:hAnsi="仿宋" w:eastAsia="仿宋_GB2312" w:cs="仿宋_GB2312"/>
          <w:color w:val="auto"/>
          <w:lang w:val="en-US" w:eastAsia="zh-CN"/>
        </w:rPr>
        <w:t>和因</w:t>
      </w:r>
      <w:r>
        <w:rPr>
          <w:rFonts w:hint="eastAsia" w:ascii="仿宋_GB2312" w:hAnsi="仿宋" w:eastAsia="仿宋_GB2312" w:cs="仿宋_GB2312"/>
          <w:color w:val="auto"/>
          <w:lang w:eastAsia="zh-CN"/>
        </w:rPr>
        <w:t>干旱、风折、雪压、火烧等死亡的</w:t>
      </w:r>
      <w:r>
        <w:rPr>
          <w:rFonts w:hint="eastAsia" w:ascii="仿宋_GB2312" w:hAnsi="仿宋" w:eastAsia="仿宋_GB2312" w:cs="仿宋_GB2312"/>
          <w:color w:val="auto"/>
        </w:rPr>
        <w:t>松树进行</w:t>
      </w:r>
      <w:r>
        <w:rPr>
          <w:rFonts w:hint="eastAsia" w:ascii="仿宋_GB2312" w:hAnsi="仿宋" w:eastAsia="仿宋_GB2312" w:cs="仿宋_GB2312"/>
          <w:color w:val="auto"/>
          <w:lang w:val="en-US" w:eastAsia="zh-CN"/>
        </w:rPr>
        <w:t>除治</w:t>
      </w:r>
      <w:r>
        <w:rPr>
          <w:rFonts w:hint="eastAsia" w:ascii="仿宋_GB2312" w:hAnsi="仿宋" w:eastAsia="仿宋_GB2312" w:cs="仿宋_GB2312"/>
          <w:color w:val="auto"/>
        </w:rPr>
        <w:t>，并对伐除的</w:t>
      </w:r>
      <w:r>
        <w:rPr>
          <w:rFonts w:hint="eastAsia" w:ascii="仿宋_GB2312" w:hAnsi="仿宋" w:eastAsia="仿宋_GB2312" w:cs="仿宋_GB2312"/>
          <w:color w:val="auto"/>
          <w:lang w:val="en-US" w:eastAsia="zh-CN"/>
        </w:rPr>
        <w:t>松木</w:t>
      </w:r>
      <w:r>
        <w:rPr>
          <w:rFonts w:hint="eastAsia" w:ascii="仿宋_GB2312" w:hAnsi="仿宋" w:eastAsia="仿宋_GB2312" w:cs="仿宋_GB2312"/>
          <w:color w:val="auto"/>
          <w:lang w:eastAsia="zh-CN"/>
        </w:rPr>
        <w:t>、</w:t>
      </w:r>
      <w:r>
        <w:rPr>
          <w:rFonts w:hint="eastAsia" w:ascii="仿宋_GB2312" w:hAnsi="仿宋" w:eastAsia="仿宋_GB2312" w:cs="仿宋_GB2312"/>
          <w:color w:val="auto"/>
        </w:rPr>
        <w:t>清理的枝桠</w:t>
      </w:r>
      <w:r>
        <w:rPr>
          <w:rFonts w:hint="eastAsia" w:ascii="仿宋_GB2312" w:hAnsi="仿宋" w:eastAsia="仿宋_GB2312" w:cs="仿宋_GB2312"/>
          <w:color w:val="auto"/>
          <w:lang w:val="en-US" w:eastAsia="zh-CN"/>
        </w:rPr>
        <w:t>以及伐桩</w:t>
      </w:r>
      <w:r>
        <w:rPr>
          <w:rFonts w:hint="eastAsia" w:ascii="仿宋_GB2312" w:hAnsi="仿宋" w:eastAsia="仿宋_GB2312" w:cs="仿宋_GB2312"/>
          <w:color w:val="auto"/>
        </w:rPr>
        <w:t>进行管理、处理。</w:t>
      </w:r>
    </w:p>
    <w:p w14:paraId="4550D59F">
      <w:pPr>
        <w:pStyle w:val="60"/>
        <w:snapToGrid w:val="0"/>
        <w:spacing w:before="0"/>
        <w:ind w:firstLine="480"/>
        <w:jc w:val="left"/>
        <w:rPr>
          <w:rFonts w:ascii="仿宋_GB2312" w:hAnsi="仿宋" w:eastAsia="仿宋_GB2312" w:cs="仿宋_GB2312"/>
          <w:color w:val="auto"/>
        </w:rPr>
      </w:pPr>
      <w:r>
        <w:rPr>
          <w:rFonts w:hint="eastAsia" w:ascii="仿宋_GB2312" w:hAnsi="仿宋" w:eastAsia="仿宋_GB2312" w:cs="仿宋_GB2312"/>
          <w:color w:val="auto"/>
          <w:lang w:val="en-US" w:eastAsia="zh-CN"/>
        </w:rPr>
        <w:t>1）</w:t>
      </w:r>
      <w:r>
        <w:rPr>
          <w:rFonts w:hint="eastAsia" w:ascii="仿宋_GB2312" w:hAnsi="仿宋" w:eastAsia="仿宋_GB2312" w:cs="仿宋_GB2312"/>
          <w:color w:val="auto"/>
        </w:rPr>
        <w:t>施工范围：东阳市</w:t>
      </w:r>
      <w:r>
        <w:rPr>
          <w:rFonts w:hint="eastAsia" w:ascii="仿宋_GB2312" w:hAnsi="仿宋" w:eastAsia="仿宋_GB2312" w:cs="仿宋_GB2312"/>
          <w:color w:val="auto"/>
          <w:lang w:val="en-US" w:eastAsia="zh-CN"/>
        </w:rPr>
        <w:t>白云街道</w:t>
      </w:r>
      <w:r>
        <w:rPr>
          <w:rFonts w:hint="eastAsia" w:ascii="仿宋_GB2312" w:hAnsi="仿宋" w:eastAsia="仿宋_GB2312" w:cs="仿宋_GB2312"/>
          <w:color w:val="auto"/>
        </w:rPr>
        <w:t>辖区范围。</w:t>
      </w:r>
    </w:p>
    <w:p w14:paraId="630B3182">
      <w:pPr>
        <w:pStyle w:val="60"/>
        <w:snapToGrid w:val="0"/>
        <w:spacing w:before="0"/>
        <w:ind w:firstLine="480"/>
        <w:jc w:val="left"/>
        <w:rPr>
          <w:rFonts w:hint="eastAsia" w:ascii="仿宋_GB2312" w:hAnsi="仿宋" w:eastAsia="仿宋_GB2312" w:cs="仿宋_GB2312"/>
          <w:color w:val="auto"/>
        </w:rPr>
      </w:pPr>
      <w:r>
        <w:rPr>
          <w:rFonts w:hint="eastAsia" w:ascii="仿宋_GB2312" w:hAnsi="仿宋" w:eastAsia="仿宋_GB2312" w:cs="仿宋_GB2312"/>
          <w:color w:val="auto"/>
          <w:lang w:val="en-US" w:eastAsia="zh-CN"/>
        </w:rPr>
        <w:t>2）</w:t>
      </w:r>
      <w:r>
        <w:rPr>
          <w:rFonts w:hint="eastAsia" w:ascii="仿宋_GB2312" w:hAnsi="仿宋" w:eastAsia="仿宋_GB2312" w:cs="仿宋_GB2312"/>
          <w:color w:val="auto"/>
        </w:rPr>
        <w:t>清理除治对象：范围内所有病死（枯死、濒死）</w:t>
      </w:r>
      <w:r>
        <w:rPr>
          <w:rFonts w:hint="eastAsia" w:ascii="仿宋_GB2312" w:hAnsi="仿宋" w:eastAsia="仿宋_GB2312" w:cs="仿宋_GB2312"/>
          <w:color w:val="auto"/>
          <w:lang w:val="en-US" w:eastAsia="zh-CN"/>
        </w:rPr>
        <w:t>和因</w:t>
      </w:r>
      <w:r>
        <w:rPr>
          <w:rFonts w:hint="eastAsia" w:ascii="仿宋_GB2312" w:hAnsi="仿宋" w:eastAsia="仿宋_GB2312" w:cs="仿宋_GB2312"/>
          <w:color w:val="auto"/>
          <w:lang w:eastAsia="zh-CN"/>
        </w:rPr>
        <w:t>干旱、风折、雪压、火烧等死亡的</w:t>
      </w:r>
      <w:r>
        <w:rPr>
          <w:rFonts w:hint="eastAsia" w:ascii="仿宋_GB2312" w:hAnsi="仿宋" w:eastAsia="仿宋_GB2312" w:cs="仿宋_GB2312"/>
          <w:color w:val="auto"/>
        </w:rPr>
        <w:t>松树。</w:t>
      </w:r>
    </w:p>
    <w:p w14:paraId="36FEF871">
      <w:pPr>
        <w:pStyle w:val="60"/>
        <w:keepNext w:val="0"/>
        <w:pageBreakBefore w:val="0"/>
        <w:kinsoku/>
        <w:wordWrap/>
        <w:overflowPunct/>
        <w:topLinePunct w:val="0"/>
        <w:autoSpaceDE/>
        <w:autoSpaceDN/>
        <w:bidi w:val="0"/>
        <w:snapToGrid w:val="0"/>
        <w:spacing w:before="0" w:beforeLines="0" w:after="0" w:afterLines="0" w:line="360" w:lineRule="auto"/>
        <w:ind w:left="0" w:leftChars="0" w:firstLine="480" w:firstLineChars="200"/>
        <w:jc w:val="left"/>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olor w:val="auto"/>
          <w:sz w:val="24"/>
        </w:rPr>
        <w:t>1.2.2实施阶段要求：</w:t>
      </w:r>
      <w:r>
        <w:rPr>
          <w:rFonts w:hint="eastAsia" w:ascii="仿宋" w:hAnsi="仿宋" w:eastAsia="仿宋" w:cs="Times New Roman"/>
          <w:color w:val="auto"/>
          <w:kern w:val="2"/>
          <w:sz w:val="24"/>
          <w:szCs w:val="24"/>
          <w:lang w:val="en-US" w:eastAsia="zh-CN" w:bidi="ar-SA"/>
        </w:rPr>
        <w:t>集中清理阶段：2024年11月至2025年3月31日，江北街道辖区范围内所有病死（病死、不明原因枯死、濒死）和其他原因（确认由干旱、风折、雪压、火烧、环剥等）的松树，除治其主干、枝桠和伐桩；清理整改阶段：2025年4月1日至2025年4月30日；即现即清阶段：2025年5月1日至2025年9月30日，辖区范围内集中除治结束后，施工范围内所有新发生病死（病死、不明原因枯死、濒死）等松树及其枝桠，对新发现的死树，在三天内完成除治。</w:t>
      </w:r>
    </w:p>
    <w:p w14:paraId="36820C9C">
      <w:pPr>
        <w:pStyle w:val="60"/>
        <w:snapToGrid w:val="0"/>
        <w:spacing w:before="0"/>
        <w:ind w:firstLine="560"/>
        <w:rPr>
          <w:rFonts w:hint="eastAsia" w:ascii="仿宋" w:hAnsi="仿宋" w:eastAsia="仿宋"/>
          <w:b/>
          <w:color w:val="auto"/>
          <w:sz w:val="24"/>
        </w:rPr>
      </w:pPr>
      <w:r>
        <w:rPr>
          <w:rFonts w:hint="eastAsia" w:ascii="仿宋" w:hAnsi="仿宋" w:eastAsia="仿宋"/>
          <w:b/>
          <w:color w:val="auto"/>
          <w:sz w:val="24"/>
        </w:rPr>
        <w:t>1.2.3清理技术要求</w:t>
      </w:r>
    </w:p>
    <w:p w14:paraId="37F995DC">
      <w:pPr>
        <w:pStyle w:val="60"/>
        <w:snapToGrid w:val="0"/>
        <w:spacing w:before="0"/>
        <w:ind w:firstLine="560"/>
        <w:rPr>
          <w:rFonts w:hint="eastAsia" w:ascii="仿宋_GB2312" w:hAnsi="仿宋" w:eastAsia="仿宋_GB2312" w:cs="仿宋_GB2312"/>
          <w:color w:val="auto"/>
          <w:kern w:val="2"/>
          <w:sz w:val="24"/>
          <w:szCs w:val="20"/>
          <w:lang w:val="en-US" w:eastAsia="zh-CN" w:bidi="ar-SA"/>
        </w:rPr>
      </w:pPr>
      <w:r>
        <w:rPr>
          <w:rFonts w:hint="eastAsia" w:ascii="仿宋_GB2312" w:hAnsi="仿宋" w:eastAsia="仿宋_GB2312" w:cs="仿宋_GB2312"/>
          <w:color w:val="auto"/>
          <w:kern w:val="2"/>
          <w:sz w:val="24"/>
          <w:szCs w:val="20"/>
          <w:lang w:val="en-US" w:eastAsia="zh-CN" w:bidi="ar-SA"/>
        </w:rPr>
        <w:t>清理范围内枯死松树清理率达到100％，清理质量要求严格执行《松材线虫病防治技术方案（2022年版）》相关规定，并按要求运用“数字森防”APP上传除治数据：</w:t>
      </w:r>
    </w:p>
    <w:p w14:paraId="77453F49">
      <w:pPr>
        <w:pStyle w:val="60"/>
        <w:snapToGrid w:val="0"/>
        <w:spacing w:before="0"/>
        <w:ind w:firstLine="560"/>
        <w:rPr>
          <w:rFonts w:hint="eastAsia" w:ascii="仿宋_GB2312" w:hAnsi="仿宋" w:eastAsia="仿宋_GB2312" w:cs="仿宋_GB2312"/>
          <w:color w:val="auto"/>
          <w:kern w:val="2"/>
          <w:sz w:val="24"/>
          <w:szCs w:val="20"/>
          <w:lang w:val="en-US" w:eastAsia="zh-CN" w:bidi="ar-SA"/>
        </w:rPr>
      </w:pPr>
      <w:r>
        <w:rPr>
          <w:rFonts w:hint="eastAsia" w:ascii="仿宋_GB2312" w:hAnsi="仿宋" w:eastAsia="仿宋_GB2312" w:cs="仿宋_GB2312"/>
          <w:color w:val="auto"/>
          <w:kern w:val="2"/>
          <w:sz w:val="24"/>
          <w:szCs w:val="20"/>
          <w:lang w:val="en-US" w:eastAsia="zh-CN" w:bidi="ar-SA"/>
        </w:rPr>
        <w:t>（1）伐桩处理：对疫木伐除后，伐桩最高处上坡度面的高度不得超过5cm；疫木伐除后，按照《松材线虫病防治技术方案（2022年版）》相关规定处理。</w:t>
      </w:r>
    </w:p>
    <w:p w14:paraId="101D4F04">
      <w:pPr>
        <w:keepNext w:val="0"/>
        <w:keepLines w:val="0"/>
        <w:pageBreakBefore w:val="0"/>
        <w:widowControl w:val="0"/>
        <w:numPr>
          <w:ilvl w:val="0"/>
          <w:numId w:val="0"/>
        </w:numPr>
        <w:kinsoku/>
        <w:wordWrap/>
        <w:overflowPunct/>
        <w:topLinePunct w:val="0"/>
        <w:autoSpaceDE/>
        <w:autoSpaceDN/>
        <w:bidi w:val="0"/>
        <w:adjustRightInd w:val="0"/>
        <w:snapToGrid w:val="0"/>
        <w:spacing w:after="50" w:line="360" w:lineRule="auto"/>
        <w:ind w:firstLine="480" w:firstLineChars="200"/>
        <w:textAlignment w:val="auto"/>
        <w:rPr>
          <w:rFonts w:hint="eastAsia" w:ascii="仿宋_GB2312" w:hAnsi="仿宋" w:eastAsia="仿宋_GB2312" w:cs="仿宋_GB2312"/>
          <w:color w:val="auto"/>
          <w:kern w:val="2"/>
          <w:sz w:val="24"/>
          <w:szCs w:val="20"/>
          <w:lang w:val="en-US" w:eastAsia="zh-CN" w:bidi="ar-SA"/>
        </w:rPr>
      </w:pPr>
      <w:r>
        <w:rPr>
          <w:rFonts w:hint="eastAsia" w:ascii="仿宋_GB2312" w:hAnsi="仿宋" w:eastAsia="仿宋_GB2312" w:cs="仿宋_GB2312"/>
          <w:color w:val="auto"/>
          <w:kern w:val="2"/>
          <w:sz w:val="24"/>
          <w:szCs w:val="20"/>
          <w:lang w:val="en-US" w:eastAsia="zh-CN" w:bidi="ar-SA"/>
        </w:rPr>
        <w:t>（2）枝桠处理：除治山场范围内，清理收集所有直径大于1cm的病死（病死、不明原因枯死、濒死）和其他原因（确认由干旱、风折、雪压、火烧、环剥等）致死的松树枝桠，随疫木主干运到指定的疫木定点加工企业进行除害处理，或就近采取粉碎、烧毁等除害措施。</w:t>
      </w:r>
      <w:r>
        <w:rPr>
          <w:rFonts w:hint="eastAsia" w:ascii="仿宋_GB2312" w:hAnsi="仿宋" w:eastAsia="仿宋_GB2312" w:cs="仿宋_GB2312"/>
          <w:color w:val="auto"/>
          <w:sz w:val="24"/>
          <w:szCs w:val="20"/>
        </w:rPr>
        <w:t>采取其它处理方式的，须征得松材线虫病预防指挥部办公室同意后执行。</w:t>
      </w:r>
    </w:p>
    <w:p w14:paraId="7A506078">
      <w:pPr>
        <w:pStyle w:val="60"/>
        <w:snapToGrid w:val="0"/>
        <w:spacing w:before="0"/>
        <w:ind w:firstLine="560"/>
        <w:rPr>
          <w:rFonts w:hint="eastAsia" w:ascii="仿宋_GB2312" w:hAnsi="仿宋" w:eastAsia="仿宋_GB2312" w:cs="仿宋_GB2312"/>
          <w:color w:val="auto"/>
          <w:kern w:val="2"/>
          <w:sz w:val="24"/>
          <w:szCs w:val="20"/>
          <w:lang w:val="en-US" w:eastAsia="zh-CN" w:bidi="ar-SA"/>
        </w:rPr>
      </w:pPr>
      <w:r>
        <w:rPr>
          <w:rFonts w:hint="eastAsia" w:ascii="仿宋_GB2312" w:hAnsi="仿宋" w:eastAsia="仿宋_GB2312" w:cs="仿宋_GB2312"/>
          <w:color w:val="auto"/>
          <w:kern w:val="2"/>
          <w:sz w:val="24"/>
          <w:szCs w:val="20"/>
          <w:lang w:val="en-US" w:eastAsia="zh-CN" w:bidi="ar-SA"/>
        </w:rPr>
        <w:t>（3）疫木处理：伐除的松木必须当天下山，运到指定的疫木定点企业进行安全除害处理，或就近采取粉碎、烧毁等除害措施。加强对疫木的监管，造成疫木人为流失的，按有关法律规定追究相关责任。</w:t>
      </w:r>
    </w:p>
    <w:p w14:paraId="1E0F6B12">
      <w:pPr>
        <w:snapToGrid w:val="0"/>
        <w:spacing w:after="50" w:line="360" w:lineRule="auto"/>
        <w:ind w:firstLine="480" w:firstLineChars="200"/>
        <w:rPr>
          <w:rFonts w:ascii="仿宋_GB2312" w:hAnsi="仿宋" w:eastAsia="仿宋_GB2312" w:cs="仿宋_GB2312"/>
          <w:color w:val="auto"/>
          <w:sz w:val="24"/>
          <w:szCs w:val="20"/>
        </w:rPr>
      </w:pPr>
      <w:r>
        <w:rPr>
          <w:rFonts w:hint="eastAsia" w:ascii="仿宋_GB2312" w:hAnsi="仿宋" w:eastAsia="仿宋_GB2312" w:cs="仿宋_GB2312"/>
          <w:color w:val="auto"/>
          <w:sz w:val="24"/>
          <w:szCs w:val="20"/>
        </w:rPr>
        <w:t>（</w:t>
      </w:r>
      <w:r>
        <w:rPr>
          <w:rFonts w:hint="eastAsia" w:ascii="仿宋_GB2312" w:hAnsi="仿宋" w:eastAsia="仿宋_GB2312" w:cs="仿宋_GB2312"/>
          <w:color w:val="auto"/>
          <w:sz w:val="24"/>
          <w:szCs w:val="20"/>
          <w:lang w:val="en-US" w:eastAsia="zh-CN"/>
        </w:rPr>
        <w:t>4</w:t>
      </w:r>
      <w:r>
        <w:rPr>
          <w:rFonts w:hint="eastAsia" w:ascii="仿宋_GB2312" w:hAnsi="仿宋" w:eastAsia="仿宋_GB2312" w:cs="仿宋_GB2312"/>
          <w:color w:val="auto"/>
          <w:sz w:val="24"/>
          <w:szCs w:val="20"/>
        </w:rPr>
        <w:t>）中标供应商在进场前，要把清理队伍人员和要进入的山场告知采购人，经采购人同意，才可进场清理。清理完工后，由中标供应商自检合格后提出验收的申请，采购人组织相关人员按验收标准及时进行验收。</w:t>
      </w:r>
    </w:p>
    <w:p w14:paraId="10B40036">
      <w:pPr>
        <w:snapToGrid w:val="0"/>
        <w:spacing w:after="50" w:line="360" w:lineRule="auto"/>
        <w:ind w:firstLine="480" w:firstLineChars="200"/>
        <w:rPr>
          <w:rFonts w:ascii="仿宋_GB2312" w:hAnsi="仿宋" w:eastAsia="仿宋_GB2312" w:cs="仿宋_GB2312"/>
          <w:color w:val="auto"/>
          <w:sz w:val="24"/>
          <w:szCs w:val="20"/>
        </w:rPr>
      </w:pPr>
      <w:r>
        <w:rPr>
          <w:rFonts w:hint="eastAsia" w:ascii="仿宋_GB2312" w:hAnsi="仿宋" w:eastAsia="仿宋_GB2312" w:cs="仿宋_GB2312"/>
          <w:color w:val="auto"/>
          <w:sz w:val="24"/>
          <w:szCs w:val="20"/>
        </w:rPr>
        <w:t>（</w:t>
      </w:r>
      <w:r>
        <w:rPr>
          <w:rFonts w:hint="eastAsia" w:ascii="仿宋_GB2312" w:hAnsi="仿宋" w:eastAsia="仿宋_GB2312" w:cs="仿宋_GB2312"/>
          <w:color w:val="auto"/>
          <w:sz w:val="24"/>
          <w:szCs w:val="20"/>
          <w:lang w:val="en-US" w:eastAsia="zh-CN"/>
        </w:rPr>
        <w:t>5</w:t>
      </w:r>
      <w:r>
        <w:rPr>
          <w:rFonts w:hint="eastAsia" w:ascii="仿宋_GB2312" w:hAnsi="仿宋" w:eastAsia="仿宋_GB2312" w:cs="仿宋_GB2312"/>
          <w:color w:val="auto"/>
          <w:sz w:val="24"/>
          <w:szCs w:val="20"/>
        </w:rPr>
        <w:t>）施工方要做好施工档案记载，施工照片（施工前、施工中、施工后，同一地点为佳），施工记录，疫木的流向、数量（双签字、双称重）等</w:t>
      </w:r>
      <w:r>
        <w:rPr>
          <w:rFonts w:hint="eastAsia" w:ascii="仿宋_GB2312" w:hAnsi="仿宋" w:eastAsia="仿宋_GB2312" w:cs="仿宋_GB2312"/>
          <w:color w:val="auto"/>
          <w:sz w:val="24"/>
          <w:szCs w:val="20"/>
          <w:lang w:eastAsia="zh-CN"/>
        </w:rPr>
        <w:t>均通过</w:t>
      </w:r>
      <w:r>
        <w:rPr>
          <w:rFonts w:hint="eastAsia" w:ascii="仿宋_GB2312" w:hAnsi="仿宋" w:eastAsia="仿宋_GB2312" w:cs="仿宋_GB2312"/>
          <w:color w:val="auto"/>
          <w:kern w:val="2"/>
          <w:sz w:val="24"/>
          <w:szCs w:val="20"/>
          <w:lang w:val="en-US" w:eastAsia="zh-CN" w:bidi="ar-SA"/>
        </w:rPr>
        <w:t>“数字森防”APP上传施工除治数据</w:t>
      </w:r>
      <w:r>
        <w:rPr>
          <w:rFonts w:hint="eastAsia" w:ascii="仿宋_GB2312" w:hAnsi="仿宋" w:eastAsia="仿宋_GB2312" w:cs="仿宋_GB2312"/>
          <w:color w:val="auto"/>
          <w:sz w:val="24"/>
          <w:szCs w:val="20"/>
        </w:rPr>
        <w:t>。</w:t>
      </w:r>
    </w:p>
    <w:p w14:paraId="3F269C40">
      <w:pPr>
        <w:snapToGrid w:val="0"/>
        <w:spacing w:after="50" w:line="360" w:lineRule="auto"/>
        <w:ind w:firstLine="480" w:firstLineChars="200"/>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w:t>
      </w:r>
      <w:r>
        <w:rPr>
          <w:rFonts w:hint="eastAsia" w:ascii="仿宋_GB2312" w:hAnsi="仿宋" w:eastAsia="仿宋_GB2312" w:cs="仿宋_GB2312"/>
          <w:color w:val="auto"/>
          <w:sz w:val="24"/>
          <w:szCs w:val="20"/>
          <w:lang w:val="en-US" w:eastAsia="zh-CN"/>
        </w:rPr>
        <w:t>6</w:t>
      </w:r>
      <w:r>
        <w:rPr>
          <w:rFonts w:hint="eastAsia" w:ascii="仿宋_GB2312" w:hAnsi="仿宋" w:eastAsia="仿宋_GB2312" w:cs="仿宋_GB2312"/>
          <w:color w:val="auto"/>
          <w:sz w:val="24"/>
          <w:szCs w:val="20"/>
        </w:rPr>
        <w:t>）无病害的松树或在砍伐枯死松树时受损的松树，一律不得砍伐。如因特殊原因，无法按以上规定方法清理的，应报告相关部门，经程序审批完成后按其他方式进行处理。</w:t>
      </w:r>
    </w:p>
    <w:p w14:paraId="1FCE40C1">
      <w:pPr>
        <w:snapToGrid w:val="0"/>
        <w:spacing w:after="50" w:line="360" w:lineRule="auto"/>
        <w:ind w:firstLine="480" w:firstLineChars="200"/>
        <w:rPr>
          <w:rFonts w:hint="eastAsia" w:ascii="仿宋_GB2312" w:hAnsi="仿宋" w:eastAsia="仿宋_GB2312" w:cs="仿宋_GB2312"/>
          <w:color w:val="auto"/>
          <w:sz w:val="24"/>
          <w:szCs w:val="20"/>
          <w:lang w:val="en-US" w:eastAsia="zh-CN"/>
        </w:rPr>
      </w:pPr>
      <w:r>
        <w:rPr>
          <w:rFonts w:hint="eastAsia" w:ascii="仿宋_GB2312" w:hAnsi="仿宋" w:eastAsia="仿宋_GB2312" w:cs="仿宋_GB2312"/>
          <w:color w:val="auto"/>
          <w:sz w:val="24"/>
          <w:szCs w:val="20"/>
        </w:rPr>
        <w:t>（</w:t>
      </w:r>
      <w:r>
        <w:rPr>
          <w:rFonts w:hint="eastAsia" w:ascii="仿宋_GB2312" w:hAnsi="仿宋" w:eastAsia="仿宋_GB2312" w:cs="仿宋_GB2312"/>
          <w:color w:val="auto"/>
          <w:sz w:val="24"/>
          <w:szCs w:val="20"/>
          <w:lang w:val="en-US" w:eastAsia="zh-CN"/>
        </w:rPr>
        <w:t>7</w:t>
      </w:r>
      <w:r>
        <w:rPr>
          <w:rFonts w:hint="eastAsia" w:ascii="仿宋_GB2312" w:hAnsi="仿宋" w:eastAsia="仿宋_GB2312" w:cs="仿宋_GB2312"/>
          <w:color w:val="auto"/>
          <w:sz w:val="24"/>
          <w:szCs w:val="20"/>
        </w:rPr>
        <w:t>）</w:t>
      </w:r>
      <w:r>
        <w:rPr>
          <w:rFonts w:hint="eastAsia" w:ascii="仿宋_GB2312" w:hAnsi="仿宋" w:eastAsia="仿宋_GB2312" w:cs="仿宋_GB2312"/>
          <w:color w:val="auto"/>
          <w:sz w:val="24"/>
          <w:szCs w:val="20"/>
          <w:lang w:val="en-US" w:eastAsia="zh-CN"/>
        </w:rPr>
        <w:t>其他：采伐过程中，严禁砍伐活立木。</w:t>
      </w:r>
    </w:p>
    <w:p w14:paraId="59252968">
      <w:pPr>
        <w:snapToGrid w:val="0"/>
        <w:spacing w:after="50" w:line="360" w:lineRule="auto"/>
        <w:ind w:firstLine="482" w:firstLineChars="200"/>
        <w:rPr>
          <w:rFonts w:ascii="仿宋" w:hAnsi="仿宋" w:eastAsia="仿宋"/>
          <w:b/>
          <w:color w:val="auto"/>
          <w:sz w:val="24"/>
        </w:rPr>
      </w:pPr>
      <w:r>
        <w:rPr>
          <w:rFonts w:hint="eastAsia" w:ascii="仿宋" w:hAnsi="仿宋" w:eastAsia="仿宋"/>
          <w:b/>
          <w:color w:val="auto"/>
          <w:sz w:val="24"/>
        </w:rPr>
        <w:t>1.2.4其他要求</w:t>
      </w:r>
    </w:p>
    <w:p w14:paraId="36B5002B">
      <w:pPr>
        <w:spacing w:line="560" w:lineRule="exact"/>
        <w:ind w:firstLine="480" w:firstLineChars="200"/>
        <w:rPr>
          <w:rFonts w:ascii="仿宋" w:hAnsi="仿宋" w:eastAsia="仿宋"/>
          <w:color w:val="auto"/>
          <w:sz w:val="24"/>
        </w:rPr>
      </w:pPr>
      <w:r>
        <w:rPr>
          <w:rFonts w:hint="eastAsia" w:ascii="仿宋" w:hAnsi="仿宋" w:eastAsia="仿宋"/>
          <w:color w:val="auto"/>
          <w:sz w:val="24"/>
          <w:lang w:eastAsia="zh-CN"/>
        </w:rPr>
        <w:t>（</w:t>
      </w:r>
      <w:r>
        <w:rPr>
          <w:rFonts w:hint="eastAsia" w:ascii="仿宋" w:hAnsi="仿宋" w:eastAsia="仿宋"/>
          <w:color w:val="auto"/>
          <w:sz w:val="24"/>
          <w:lang w:val="en-US" w:eastAsia="zh-CN"/>
        </w:rPr>
        <w:t>1</w:t>
      </w:r>
      <w:r>
        <w:rPr>
          <w:rFonts w:hint="eastAsia" w:ascii="仿宋" w:hAnsi="仿宋" w:eastAsia="仿宋"/>
          <w:color w:val="auto"/>
          <w:sz w:val="24"/>
          <w:lang w:eastAsia="zh-CN"/>
        </w:rPr>
        <w:t>）</w:t>
      </w:r>
      <w:r>
        <w:rPr>
          <w:rFonts w:hint="eastAsia" w:ascii="仿宋" w:hAnsi="仿宋" w:eastAsia="仿宋"/>
          <w:color w:val="auto"/>
          <w:sz w:val="24"/>
        </w:rPr>
        <w:t>为确保清理枯死松树进度和质量，在清理工程实施期间，乙方必须集中精力和人员清理枯死松树。</w:t>
      </w:r>
    </w:p>
    <w:p w14:paraId="26648A2E">
      <w:pPr>
        <w:spacing w:line="560" w:lineRule="exact"/>
        <w:ind w:firstLine="480" w:firstLineChars="200"/>
        <w:rPr>
          <w:rFonts w:ascii="仿宋" w:hAnsi="仿宋" w:eastAsia="仿宋"/>
          <w:color w:val="auto"/>
          <w:sz w:val="24"/>
        </w:rPr>
      </w:pPr>
      <w:r>
        <w:rPr>
          <w:rFonts w:hint="eastAsia" w:ascii="仿宋" w:hAnsi="仿宋" w:eastAsia="仿宋"/>
          <w:color w:val="auto"/>
          <w:sz w:val="24"/>
          <w:lang w:eastAsia="zh-CN"/>
        </w:rPr>
        <w:t>（</w:t>
      </w:r>
      <w:r>
        <w:rPr>
          <w:rFonts w:hint="eastAsia" w:ascii="仿宋" w:hAnsi="仿宋" w:eastAsia="仿宋"/>
          <w:color w:val="auto"/>
          <w:sz w:val="24"/>
          <w:lang w:val="en-US" w:eastAsia="zh-CN"/>
        </w:rPr>
        <w:t>2</w:t>
      </w:r>
      <w:r>
        <w:rPr>
          <w:rFonts w:hint="eastAsia" w:ascii="仿宋" w:hAnsi="仿宋" w:eastAsia="仿宋"/>
          <w:color w:val="auto"/>
          <w:sz w:val="24"/>
          <w:lang w:eastAsia="zh-CN"/>
        </w:rPr>
        <w:t>）</w:t>
      </w:r>
      <w:r>
        <w:rPr>
          <w:rFonts w:hint="eastAsia" w:ascii="仿宋" w:hAnsi="仿宋" w:eastAsia="仿宋"/>
          <w:color w:val="auto"/>
          <w:sz w:val="24"/>
        </w:rPr>
        <w:t>乙方应安排专人负责工程质量和安全施工管理工作，对作业人员要经常进行质量和安全施工教育，落实安全防护措施，为作业人员进行人身安全保险。在采伐作业山场严禁抽烟，防止引发山林火灾，如监管人员或甲方管理人员发现，则每发现一次扣除履约保证金100元。</w:t>
      </w:r>
    </w:p>
    <w:p w14:paraId="6BF2D9FD">
      <w:pPr>
        <w:spacing w:line="560" w:lineRule="exact"/>
        <w:ind w:firstLine="480" w:firstLineChars="200"/>
        <w:rPr>
          <w:rFonts w:ascii="仿宋" w:hAnsi="仿宋" w:eastAsia="仿宋"/>
          <w:color w:val="auto"/>
          <w:sz w:val="24"/>
        </w:rPr>
      </w:pPr>
      <w:r>
        <w:rPr>
          <w:rFonts w:hint="eastAsia" w:ascii="仿宋" w:hAnsi="仿宋" w:eastAsia="仿宋"/>
          <w:color w:val="auto"/>
          <w:sz w:val="24"/>
          <w:lang w:eastAsia="zh-CN"/>
        </w:rPr>
        <w:t>（</w:t>
      </w:r>
      <w:r>
        <w:rPr>
          <w:rFonts w:hint="eastAsia" w:ascii="仿宋" w:hAnsi="仿宋" w:eastAsia="仿宋"/>
          <w:color w:val="auto"/>
          <w:sz w:val="24"/>
          <w:lang w:val="en-US" w:eastAsia="zh-CN"/>
        </w:rPr>
        <w:t>3</w:t>
      </w:r>
      <w:r>
        <w:rPr>
          <w:rFonts w:hint="eastAsia" w:ascii="仿宋" w:hAnsi="仿宋" w:eastAsia="仿宋"/>
          <w:color w:val="auto"/>
          <w:sz w:val="24"/>
          <w:lang w:eastAsia="zh-CN"/>
        </w:rPr>
        <w:t>）</w:t>
      </w:r>
      <w:r>
        <w:rPr>
          <w:rFonts w:hint="eastAsia" w:ascii="仿宋" w:hAnsi="仿宋" w:eastAsia="仿宋"/>
          <w:color w:val="auto"/>
          <w:sz w:val="24"/>
        </w:rPr>
        <w:t>在施工期间，乙方作业人员工资、生活费及生产用具费、运输费、装卸费、房屋租赁费等一切费用均由乙方负责。</w:t>
      </w:r>
    </w:p>
    <w:p w14:paraId="1DBDA1F3">
      <w:pPr>
        <w:spacing w:line="560" w:lineRule="exact"/>
        <w:ind w:firstLine="480" w:firstLineChars="200"/>
        <w:rPr>
          <w:rFonts w:ascii="仿宋" w:hAnsi="仿宋" w:eastAsia="仿宋"/>
          <w:color w:val="auto"/>
          <w:sz w:val="24"/>
        </w:rPr>
      </w:pPr>
      <w:r>
        <w:rPr>
          <w:rFonts w:hint="eastAsia" w:ascii="仿宋" w:hAnsi="仿宋" w:eastAsia="仿宋"/>
          <w:color w:val="auto"/>
          <w:sz w:val="24"/>
          <w:lang w:eastAsia="zh-CN"/>
        </w:rPr>
        <w:t>（</w:t>
      </w:r>
      <w:r>
        <w:rPr>
          <w:rFonts w:hint="eastAsia" w:ascii="仿宋" w:hAnsi="仿宋" w:eastAsia="仿宋"/>
          <w:color w:val="auto"/>
          <w:sz w:val="24"/>
          <w:lang w:val="en-US" w:eastAsia="zh-CN"/>
        </w:rPr>
        <w:t>4</w:t>
      </w:r>
      <w:r>
        <w:rPr>
          <w:rFonts w:hint="eastAsia" w:ascii="仿宋" w:hAnsi="仿宋" w:eastAsia="仿宋"/>
          <w:color w:val="auto"/>
          <w:sz w:val="24"/>
          <w:lang w:eastAsia="zh-CN"/>
        </w:rPr>
        <w:t>）</w:t>
      </w:r>
      <w:r>
        <w:rPr>
          <w:rFonts w:hint="eastAsia" w:ascii="仿宋" w:hAnsi="仿宋" w:eastAsia="仿宋"/>
          <w:color w:val="auto"/>
          <w:sz w:val="24"/>
        </w:rPr>
        <w:t>在枯死松树运输中，运输车辆必须有年检合格证和车辆保险，严禁货、人混运。乙方要经常教育驾驶员，如发生安全事故，则后果由驾驶员和乙方承担。</w:t>
      </w:r>
    </w:p>
    <w:p w14:paraId="3D0FCA32">
      <w:pPr>
        <w:spacing w:line="560" w:lineRule="exact"/>
        <w:ind w:firstLine="480" w:firstLineChars="200"/>
        <w:rPr>
          <w:rFonts w:ascii="仿宋" w:hAnsi="仿宋" w:eastAsia="仿宋"/>
          <w:color w:val="auto"/>
          <w:sz w:val="24"/>
        </w:rPr>
      </w:pPr>
      <w:r>
        <w:rPr>
          <w:rFonts w:hint="eastAsia" w:ascii="仿宋" w:hAnsi="仿宋" w:eastAsia="仿宋"/>
          <w:color w:val="auto"/>
          <w:sz w:val="24"/>
          <w:lang w:eastAsia="zh-CN"/>
        </w:rPr>
        <w:t>（</w:t>
      </w:r>
      <w:r>
        <w:rPr>
          <w:rFonts w:hint="eastAsia" w:ascii="仿宋" w:hAnsi="仿宋" w:eastAsia="仿宋"/>
          <w:color w:val="auto"/>
          <w:sz w:val="24"/>
          <w:lang w:val="en-US" w:eastAsia="zh-CN"/>
        </w:rPr>
        <w:t>5</w:t>
      </w:r>
      <w:r>
        <w:rPr>
          <w:rFonts w:hint="eastAsia" w:ascii="仿宋" w:hAnsi="仿宋" w:eastAsia="仿宋"/>
          <w:color w:val="auto"/>
          <w:sz w:val="24"/>
          <w:lang w:eastAsia="zh-CN"/>
        </w:rPr>
        <w:t>）</w:t>
      </w:r>
      <w:r>
        <w:rPr>
          <w:rFonts w:hint="eastAsia" w:ascii="仿宋" w:hAnsi="仿宋" w:eastAsia="仿宋"/>
          <w:color w:val="auto"/>
          <w:sz w:val="24"/>
        </w:rPr>
        <w:t>在施工过程中，如遇非乙方直接原因而引起的与当地群众的矛盾时，甲方有义务进行协调解决。因乙方原因直接引起他人利益损害、山林火灾、工伤事故等一切责任均由乙方负责。</w:t>
      </w:r>
    </w:p>
    <w:p w14:paraId="100B87A4">
      <w:pPr>
        <w:spacing w:line="560" w:lineRule="exact"/>
        <w:ind w:firstLine="480" w:firstLineChars="200"/>
        <w:rPr>
          <w:rFonts w:ascii="仿宋" w:hAnsi="仿宋" w:eastAsia="仿宋"/>
          <w:color w:val="auto"/>
          <w:sz w:val="24"/>
        </w:rPr>
      </w:pPr>
      <w:r>
        <w:rPr>
          <w:rFonts w:hint="eastAsia" w:ascii="仿宋" w:hAnsi="仿宋" w:eastAsia="仿宋"/>
          <w:color w:val="auto"/>
          <w:sz w:val="24"/>
          <w:lang w:eastAsia="zh-CN"/>
        </w:rPr>
        <w:t>（</w:t>
      </w:r>
      <w:r>
        <w:rPr>
          <w:rFonts w:hint="eastAsia" w:ascii="仿宋" w:hAnsi="仿宋" w:eastAsia="仿宋"/>
          <w:color w:val="auto"/>
          <w:sz w:val="24"/>
          <w:lang w:val="en-US" w:eastAsia="zh-CN"/>
        </w:rPr>
        <w:t>6</w:t>
      </w:r>
      <w:r>
        <w:rPr>
          <w:rFonts w:hint="eastAsia" w:ascii="仿宋" w:hAnsi="仿宋" w:eastAsia="仿宋"/>
          <w:color w:val="auto"/>
          <w:sz w:val="24"/>
          <w:lang w:eastAsia="zh-CN"/>
        </w:rPr>
        <w:t>）</w:t>
      </w:r>
      <w:r>
        <w:rPr>
          <w:rFonts w:hint="eastAsia" w:ascii="仿宋" w:hAnsi="仿宋" w:eastAsia="仿宋"/>
          <w:color w:val="auto"/>
          <w:sz w:val="24"/>
        </w:rPr>
        <w:t>如乙方恶意采伐阔叶树、无明显病兆的活松树或擅自将枯死松树另作他用引起病松木流失扩散，甲方可立即终止合同，并赔偿甲方由此而造成的损失，情节严重的依法追究刑事责任。</w:t>
      </w:r>
    </w:p>
    <w:p w14:paraId="62F2BCD7">
      <w:pPr>
        <w:spacing w:line="560" w:lineRule="exact"/>
        <w:ind w:firstLine="480" w:firstLineChars="200"/>
        <w:rPr>
          <w:rFonts w:ascii="仿宋" w:hAnsi="仿宋" w:eastAsia="仿宋"/>
          <w:color w:val="auto"/>
          <w:sz w:val="24"/>
        </w:rPr>
      </w:pPr>
      <w:r>
        <w:rPr>
          <w:rFonts w:hint="eastAsia" w:ascii="仿宋" w:hAnsi="仿宋" w:eastAsia="仿宋"/>
          <w:color w:val="auto"/>
          <w:sz w:val="24"/>
          <w:lang w:eastAsia="zh-CN"/>
        </w:rPr>
        <w:t>（</w:t>
      </w:r>
      <w:r>
        <w:rPr>
          <w:rFonts w:hint="eastAsia" w:ascii="仿宋" w:hAnsi="仿宋" w:eastAsia="仿宋"/>
          <w:color w:val="auto"/>
          <w:sz w:val="24"/>
          <w:lang w:val="en-US" w:eastAsia="zh-CN"/>
        </w:rPr>
        <w:t>7</w:t>
      </w:r>
      <w:r>
        <w:rPr>
          <w:rFonts w:hint="eastAsia" w:ascii="仿宋" w:hAnsi="仿宋" w:eastAsia="仿宋"/>
          <w:color w:val="auto"/>
          <w:sz w:val="24"/>
          <w:lang w:eastAsia="zh-CN"/>
        </w:rPr>
        <w:t>）</w:t>
      </w:r>
      <w:r>
        <w:rPr>
          <w:rFonts w:hint="eastAsia" w:ascii="仿宋" w:hAnsi="仿宋" w:eastAsia="仿宋"/>
          <w:color w:val="auto"/>
          <w:sz w:val="24"/>
        </w:rPr>
        <w:t>乙方在每车装完出运前，及运至定点企业称重时分别拍照留底，传给甲方指定人员归档保存</w:t>
      </w:r>
      <w:r>
        <w:rPr>
          <w:rFonts w:hint="eastAsia" w:ascii="仿宋" w:hAnsi="仿宋" w:eastAsia="仿宋"/>
          <w:color w:val="auto"/>
          <w:sz w:val="24"/>
          <w:lang w:eastAsia="zh-CN"/>
        </w:rPr>
        <w:t>且通过</w:t>
      </w:r>
      <w:r>
        <w:rPr>
          <w:rFonts w:hint="eastAsia" w:ascii="仿宋_GB2312" w:hAnsi="仿宋" w:eastAsia="仿宋_GB2312" w:cs="仿宋_GB2312"/>
          <w:color w:val="auto"/>
          <w:kern w:val="2"/>
          <w:sz w:val="24"/>
          <w:szCs w:val="20"/>
          <w:lang w:val="en-US" w:eastAsia="zh-CN" w:bidi="ar-SA"/>
        </w:rPr>
        <w:t>“数字森防”APP平台上传过磅数据</w:t>
      </w:r>
      <w:r>
        <w:rPr>
          <w:rFonts w:hint="eastAsia" w:ascii="仿宋" w:hAnsi="仿宋" w:eastAsia="仿宋"/>
          <w:color w:val="auto"/>
          <w:sz w:val="24"/>
        </w:rPr>
        <w:t>。</w:t>
      </w:r>
    </w:p>
    <w:p w14:paraId="148A4CF1">
      <w:pPr>
        <w:spacing w:line="560" w:lineRule="exact"/>
        <w:ind w:firstLine="480" w:firstLineChars="200"/>
        <w:rPr>
          <w:rFonts w:ascii="仿宋" w:hAnsi="仿宋" w:eastAsia="仿宋"/>
          <w:color w:val="auto"/>
          <w:sz w:val="24"/>
        </w:rPr>
      </w:pPr>
      <w:r>
        <w:rPr>
          <w:rFonts w:hint="eastAsia" w:ascii="仿宋" w:hAnsi="仿宋" w:eastAsia="仿宋"/>
          <w:color w:val="auto"/>
          <w:sz w:val="24"/>
          <w:lang w:eastAsia="zh-CN"/>
        </w:rPr>
        <w:t>（</w:t>
      </w:r>
      <w:r>
        <w:rPr>
          <w:rFonts w:hint="eastAsia" w:ascii="仿宋" w:hAnsi="仿宋" w:eastAsia="仿宋"/>
          <w:color w:val="auto"/>
          <w:sz w:val="24"/>
          <w:lang w:val="en-US" w:eastAsia="zh-CN"/>
        </w:rPr>
        <w:t>8</w:t>
      </w:r>
      <w:r>
        <w:rPr>
          <w:rFonts w:hint="eastAsia" w:ascii="仿宋" w:hAnsi="仿宋" w:eastAsia="仿宋"/>
          <w:color w:val="auto"/>
          <w:sz w:val="24"/>
          <w:lang w:eastAsia="zh-CN"/>
        </w:rPr>
        <w:t>）</w:t>
      </w:r>
      <w:r>
        <w:rPr>
          <w:rFonts w:hint="eastAsia" w:ascii="仿宋" w:hAnsi="仿宋" w:eastAsia="仿宋"/>
          <w:color w:val="auto"/>
          <w:sz w:val="24"/>
        </w:rPr>
        <w:t>各施工单位在施工过程中，要注意施工安全，采取正确的安全防范措施，制定安全事故防范预案，确保生命财产安全，杜绝事故发生；投标人中标后签署合同及安全责任书。</w:t>
      </w:r>
    </w:p>
    <w:p w14:paraId="400D27B8">
      <w:pPr>
        <w:spacing w:line="560" w:lineRule="exact"/>
        <w:ind w:firstLine="480" w:firstLineChars="200"/>
        <w:rPr>
          <w:rFonts w:ascii="仿宋" w:hAnsi="仿宋" w:eastAsia="仿宋"/>
          <w:color w:val="auto"/>
          <w:sz w:val="24"/>
        </w:rPr>
      </w:pPr>
      <w:r>
        <w:rPr>
          <w:rFonts w:hint="eastAsia" w:ascii="仿宋" w:hAnsi="仿宋" w:eastAsia="仿宋"/>
          <w:color w:val="auto"/>
          <w:sz w:val="24"/>
          <w:lang w:eastAsia="zh-CN"/>
        </w:rPr>
        <w:t>（</w:t>
      </w:r>
      <w:r>
        <w:rPr>
          <w:rFonts w:hint="eastAsia" w:ascii="仿宋" w:hAnsi="仿宋" w:eastAsia="仿宋"/>
          <w:color w:val="auto"/>
          <w:sz w:val="24"/>
          <w:lang w:val="en-US" w:eastAsia="zh-CN"/>
        </w:rPr>
        <w:t>9</w:t>
      </w:r>
      <w:r>
        <w:rPr>
          <w:rFonts w:hint="eastAsia" w:ascii="仿宋" w:hAnsi="仿宋" w:eastAsia="仿宋"/>
          <w:color w:val="auto"/>
          <w:sz w:val="24"/>
          <w:lang w:eastAsia="zh-CN"/>
        </w:rPr>
        <w:t>）</w:t>
      </w:r>
      <w:r>
        <w:rPr>
          <w:rFonts w:hint="eastAsia" w:ascii="仿宋" w:hAnsi="仿宋" w:eastAsia="仿宋"/>
          <w:color w:val="auto"/>
          <w:sz w:val="24"/>
        </w:rPr>
        <w:t>如中途发生拖欠民工工资现象进入业主单位的招标黑名单。</w:t>
      </w:r>
    </w:p>
    <w:p w14:paraId="24E9060C">
      <w:pPr>
        <w:spacing w:line="560" w:lineRule="exact"/>
        <w:ind w:firstLine="480" w:firstLineChars="200"/>
        <w:rPr>
          <w:rFonts w:ascii="仿宋" w:hAnsi="仿宋" w:eastAsia="仿宋"/>
          <w:color w:val="auto"/>
          <w:sz w:val="24"/>
        </w:rPr>
      </w:pPr>
      <w:r>
        <w:rPr>
          <w:rFonts w:hint="eastAsia" w:ascii="仿宋" w:hAnsi="仿宋" w:eastAsia="仿宋"/>
          <w:color w:val="auto"/>
          <w:sz w:val="24"/>
          <w:lang w:eastAsia="zh-CN"/>
        </w:rPr>
        <w:t>（</w:t>
      </w:r>
      <w:r>
        <w:rPr>
          <w:rFonts w:hint="eastAsia" w:ascii="仿宋" w:hAnsi="仿宋" w:eastAsia="仿宋"/>
          <w:color w:val="auto"/>
          <w:sz w:val="24"/>
          <w:lang w:val="en-US" w:eastAsia="zh-CN"/>
        </w:rPr>
        <w:t>10</w:t>
      </w:r>
      <w:r>
        <w:rPr>
          <w:rFonts w:hint="eastAsia" w:ascii="仿宋" w:hAnsi="仿宋" w:eastAsia="仿宋"/>
          <w:color w:val="auto"/>
          <w:sz w:val="24"/>
          <w:lang w:eastAsia="zh-CN"/>
        </w:rPr>
        <w:t>）</w:t>
      </w:r>
      <w:r>
        <w:rPr>
          <w:rFonts w:hint="eastAsia" w:ascii="仿宋" w:hAnsi="仿宋" w:eastAsia="仿宋"/>
          <w:color w:val="auto"/>
          <w:sz w:val="24"/>
        </w:rPr>
        <w:t>清理质量合格面积占清理任务总面积百分比低于90%的中标单位及项目负责人列入业主单位的招标黑名单。</w:t>
      </w:r>
    </w:p>
    <w:p w14:paraId="2219A697">
      <w:pPr>
        <w:spacing w:line="560" w:lineRule="exact"/>
        <w:ind w:firstLine="480" w:firstLineChars="200"/>
        <w:rPr>
          <w:rFonts w:ascii="仿宋" w:hAnsi="仿宋" w:eastAsia="仿宋"/>
          <w:color w:val="auto"/>
          <w:sz w:val="24"/>
        </w:rPr>
      </w:pPr>
      <w:r>
        <w:rPr>
          <w:rFonts w:hint="eastAsia" w:ascii="仿宋" w:hAnsi="仿宋" w:eastAsia="仿宋"/>
          <w:color w:val="auto"/>
          <w:sz w:val="24"/>
          <w:lang w:eastAsia="zh-CN"/>
        </w:rPr>
        <w:t>（</w:t>
      </w:r>
      <w:r>
        <w:rPr>
          <w:rFonts w:hint="eastAsia" w:ascii="仿宋" w:hAnsi="仿宋" w:eastAsia="仿宋"/>
          <w:color w:val="auto"/>
          <w:sz w:val="24"/>
          <w:lang w:val="en-US" w:eastAsia="zh-CN"/>
        </w:rPr>
        <w:t>11</w:t>
      </w:r>
      <w:r>
        <w:rPr>
          <w:rFonts w:hint="eastAsia" w:ascii="仿宋" w:hAnsi="仿宋" w:eastAsia="仿宋"/>
          <w:color w:val="auto"/>
          <w:sz w:val="24"/>
          <w:lang w:eastAsia="zh-CN"/>
        </w:rPr>
        <w:t>）</w:t>
      </w:r>
      <w:r>
        <w:rPr>
          <w:rFonts w:hint="eastAsia" w:ascii="仿宋" w:hAnsi="仿宋" w:eastAsia="仿宋"/>
          <w:color w:val="auto"/>
          <w:sz w:val="24"/>
        </w:rPr>
        <w:t>项目服务期间发生的所有安全责任事故，由中标单位负全部责任。</w:t>
      </w:r>
    </w:p>
    <w:p w14:paraId="676BC58A">
      <w:pPr>
        <w:spacing w:line="560" w:lineRule="exact"/>
        <w:ind w:firstLine="482" w:firstLineChars="200"/>
        <w:rPr>
          <w:rFonts w:ascii="仿宋" w:hAnsi="仿宋" w:eastAsia="仿宋"/>
          <w:b/>
          <w:color w:val="auto"/>
          <w:sz w:val="24"/>
        </w:rPr>
      </w:pPr>
      <w:r>
        <w:rPr>
          <w:rFonts w:ascii="仿宋" w:hAnsi="仿宋" w:eastAsia="仿宋"/>
          <w:b/>
          <w:color w:val="auto"/>
          <w:sz w:val="24"/>
        </w:rPr>
        <w:t xml:space="preserve">1.3 </w:t>
      </w:r>
      <w:r>
        <w:rPr>
          <w:rFonts w:hint="eastAsia" w:ascii="仿宋" w:hAnsi="仿宋" w:eastAsia="仿宋"/>
          <w:b/>
          <w:color w:val="auto"/>
          <w:sz w:val="24"/>
        </w:rPr>
        <w:t>价款</w:t>
      </w:r>
      <w:bookmarkEnd w:id="53"/>
      <w:bookmarkEnd w:id="54"/>
      <w:bookmarkEnd w:id="55"/>
    </w:p>
    <w:p w14:paraId="61860E5B">
      <w:pPr>
        <w:pStyle w:val="61"/>
        <w:spacing w:before="0" w:beforeAutospacing="0" w:after="0" w:afterAutospacing="0" w:line="360" w:lineRule="auto"/>
        <w:ind w:firstLine="480"/>
        <w:rPr>
          <w:rFonts w:ascii="仿宋" w:hAnsi="仿宋" w:eastAsia="仿宋" w:cs="Times New Roman"/>
          <w:color w:val="auto"/>
        </w:rPr>
      </w:pPr>
      <w:bookmarkStart w:id="56" w:name="_Toc10340"/>
      <w:bookmarkStart w:id="57" w:name="_Toc22618"/>
      <w:bookmarkStart w:id="58" w:name="_Toc1814"/>
      <w:r>
        <w:rPr>
          <w:rFonts w:hint="eastAsia" w:ascii="仿宋" w:hAnsi="仿宋" w:eastAsia="仿宋" w:cs="Times New Roman"/>
          <w:color w:val="auto"/>
        </w:rPr>
        <w:t>1)本合同报价为综合单价：</w:t>
      </w:r>
      <w:r>
        <w:rPr>
          <w:rFonts w:hint="eastAsia" w:ascii="仿宋" w:hAnsi="仿宋" w:eastAsia="仿宋" w:cs="Times New Roman"/>
          <w:color w:val="auto"/>
          <w:u w:val="single"/>
        </w:rPr>
        <w:t xml:space="preserve">     </w:t>
      </w:r>
      <w:r>
        <w:rPr>
          <w:rFonts w:hint="eastAsia" w:ascii="仿宋" w:hAnsi="仿宋" w:eastAsia="仿宋" w:cs="Times New Roman"/>
          <w:color w:val="auto"/>
        </w:rPr>
        <w:t>（元/吨）。清理重量实现两次过磅，即甲方定点公平秤过磅一次，送定点加工企业再过磅一次。结算重量以两次过磅的低值为准（提供甲方定点公平秤称重点与加工企业过磅单据及电子小票）。为防止疫木流失，两次过磅重量不得超过有效误差范围（≤200公斤），否则本车次重量作废处理，不计入重量结算。</w:t>
      </w:r>
    </w:p>
    <w:p w14:paraId="2FBF7F14">
      <w:pPr>
        <w:pStyle w:val="61"/>
        <w:spacing w:before="0" w:beforeAutospacing="0" w:after="0" w:afterAutospacing="0" w:line="360" w:lineRule="auto"/>
        <w:ind w:firstLine="480"/>
        <w:rPr>
          <w:rFonts w:ascii="仿宋" w:hAnsi="仿宋" w:eastAsia="仿宋" w:cs="Times New Roman"/>
          <w:color w:val="auto"/>
        </w:rPr>
      </w:pPr>
      <w:r>
        <w:rPr>
          <w:rFonts w:hint="eastAsia" w:ascii="仿宋" w:hAnsi="仿宋" w:eastAsia="仿宋" w:cs="Times New Roman"/>
          <w:color w:val="auto"/>
        </w:rPr>
        <w:t>2)项目资金结算：本年度集中清理时段产生的资金、本年度清理整改时段产生的资金与本年度</w:t>
      </w:r>
      <w:r>
        <w:rPr>
          <w:rFonts w:hint="eastAsia" w:ascii="仿宋" w:hAnsi="仿宋" w:eastAsia="仿宋" w:cs="Times New Roman"/>
          <w:color w:val="auto"/>
          <w:lang w:eastAsia="zh-CN"/>
        </w:rPr>
        <w:t>即现即清</w:t>
      </w:r>
      <w:r>
        <w:rPr>
          <w:rFonts w:hint="eastAsia" w:ascii="仿宋" w:hAnsi="仿宋" w:eastAsia="仿宋" w:cs="Times New Roman"/>
          <w:color w:val="auto"/>
        </w:rPr>
        <w:t>时段产生的资金之和为项目结算资金。集中清理时段补助单价为中标单价</w:t>
      </w:r>
      <w:r>
        <w:rPr>
          <w:rFonts w:hint="eastAsia" w:ascii="仿宋" w:hAnsi="仿宋" w:eastAsia="仿宋" w:cs="Times New Roman"/>
          <w:color w:val="auto"/>
          <w:u w:val="single"/>
        </w:rPr>
        <w:t xml:space="preserve">     </w:t>
      </w:r>
      <w:r>
        <w:rPr>
          <w:rFonts w:hint="eastAsia" w:ascii="仿宋" w:hAnsi="仿宋" w:eastAsia="仿宋" w:cs="Times New Roman"/>
          <w:color w:val="auto"/>
        </w:rPr>
        <w:t>（元/吨）；清理整改时段补助单价为中标单价下浮</w:t>
      </w:r>
      <w:r>
        <w:rPr>
          <w:rFonts w:hint="eastAsia" w:ascii="仿宋" w:hAnsi="仿宋" w:eastAsia="仿宋" w:cs="Times New Roman"/>
          <w:color w:val="auto"/>
          <w:lang w:val="en-US" w:eastAsia="zh-CN"/>
        </w:rPr>
        <w:t>6</w:t>
      </w:r>
      <w:r>
        <w:rPr>
          <w:rFonts w:hint="eastAsia" w:ascii="仿宋" w:hAnsi="仿宋" w:eastAsia="仿宋" w:cs="Times New Roman"/>
          <w:color w:val="auto"/>
        </w:rPr>
        <w:t>个点</w:t>
      </w:r>
      <w:r>
        <w:rPr>
          <w:rFonts w:hint="eastAsia" w:ascii="仿宋" w:hAnsi="仿宋" w:eastAsia="仿宋" w:cs="Times New Roman"/>
          <w:color w:val="auto"/>
          <w:u w:val="single"/>
        </w:rPr>
        <w:t xml:space="preserve">    </w:t>
      </w:r>
      <w:r>
        <w:rPr>
          <w:rFonts w:hint="eastAsia" w:ascii="仿宋" w:hAnsi="仿宋" w:eastAsia="仿宋" w:cs="Times New Roman"/>
          <w:color w:val="auto"/>
        </w:rPr>
        <w:t>（元/吨）；</w:t>
      </w:r>
      <w:r>
        <w:rPr>
          <w:rFonts w:hint="eastAsia" w:ascii="仿宋" w:hAnsi="仿宋" w:eastAsia="仿宋" w:cs="Times New Roman"/>
          <w:color w:val="auto"/>
          <w:lang w:eastAsia="zh-CN"/>
        </w:rPr>
        <w:t>即现即清</w:t>
      </w:r>
      <w:r>
        <w:rPr>
          <w:rFonts w:hint="eastAsia" w:ascii="仿宋" w:hAnsi="仿宋" w:eastAsia="仿宋" w:cs="Times New Roman"/>
          <w:color w:val="auto"/>
        </w:rPr>
        <w:t>时段补助单价为中标单价下浮</w:t>
      </w:r>
      <w:r>
        <w:rPr>
          <w:rFonts w:hint="eastAsia" w:ascii="仿宋" w:hAnsi="仿宋" w:eastAsia="仿宋" w:cs="Times New Roman"/>
          <w:color w:val="auto"/>
          <w:lang w:val="en-US" w:eastAsia="zh-CN"/>
        </w:rPr>
        <w:t>8</w:t>
      </w:r>
      <w:r>
        <w:rPr>
          <w:rFonts w:hint="eastAsia" w:ascii="仿宋" w:hAnsi="仿宋" w:eastAsia="仿宋" w:cs="Times New Roman"/>
          <w:color w:val="auto"/>
        </w:rPr>
        <w:t>个点</w:t>
      </w:r>
      <w:r>
        <w:rPr>
          <w:rFonts w:hint="eastAsia" w:ascii="仿宋" w:hAnsi="仿宋" w:eastAsia="仿宋" w:cs="Times New Roman"/>
          <w:color w:val="auto"/>
          <w:u w:val="single"/>
        </w:rPr>
        <w:t xml:space="preserve">    </w:t>
      </w:r>
      <w:r>
        <w:rPr>
          <w:rFonts w:hint="eastAsia" w:ascii="仿宋" w:hAnsi="仿宋" w:eastAsia="仿宋" w:cs="Times New Roman"/>
          <w:color w:val="auto"/>
        </w:rPr>
        <w:t>（元/吨）。</w:t>
      </w:r>
    </w:p>
    <w:p w14:paraId="434F3ACD">
      <w:pPr>
        <w:pStyle w:val="61"/>
        <w:spacing w:before="0" w:beforeAutospacing="0" w:after="0" w:afterAutospacing="0" w:line="360" w:lineRule="auto"/>
        <w:ind w:firstLine="480"/>
        <w:rPr>
          <w:rFonts w:ascii="仿宋" w:hAnsi="仿宋" w:eastAsia="仿宋" w:cs="Times New Roman"/>
          <w:color w:val="auto"/>
        </w:rPr>
      </w:pPr>
      <w:r>
        <w:rPr>
          <w:rFonts w:hint="eastAsia" w:ascii="仿宋" w:hAnsi="仿宋" w:eastAsia="仿宋" w:cs="Times New Roman"/>
          <w:color w:val="auto"/>
        </w:rPr>
        <w:t>3)最终结算资金=三个清理时段有效误差内两次过磅重量数值的低值（换算成吨）×三个清理时段对应单价（元/吨) ×合格率（按面积计算合格率）</w:t>
      </w:r>
    </w:p>
    <w:p w14:paraId="28F62011">
      <w:pPr>
        <w:pStyle w:val="61"/>
        <w:spacing w:before="0" w:beforeAutospacing="0" w:after="0" w:afterAutospacing="0" w:line="360" w:lineRule="auto"/>
        <w:ind w:firstLine="480"/>
        <w:rPr>
          <w:rFonts w:ascii="仿宋" w:hAnsi="仿宋" w:eastAsia="仿宋" w:cs="Times New Roman"/>
          <w:color w:val="auto"/>
        </w:rPr>
      </w:pPr>
      <w:r>
        <w:rPr>
          <w:rFonts w:hint="eastAsia" w:ascii="仿宋" w:hAnsi="仿宋" w:eastAsia="仿宋" w:cs="Times New Roman"/>
          <w:color w:val="auto"/>
        </w:rPr>
        <w:t>4）投标报价是履行合同的最终价格，报价采用综合单价（除人工费用外，还应包括本次项目实施所需的设备及物资、运费、装卸费、税费、利润、采伐监管费、保险费、政策性文件规定及合同包含的所有风险、责任等全部费用。政策性文件规定及合同包含的所有风险、责任等各项应有费用均应考虑在内。结算时由成交单位开具正式发票。投标人在报价时应充分考虑各种风险，除合同条款规定的内容外，价格将不予调整。</w:t>
      </w:r>
    </w:p>
    <w:p w14:paraId="66D843FA">
      <w:pPr>
        <w:spacing w:line="560" w:lineRule="exact"/>
        <w:ind w:firstLine="482" w:firstLineChars="200"/>
        <w:outlineLvl w:val="0"/>
        <w:rPr>
          <w:rFonts w:ascii="仿宋" w:hAnsi="仿宋" w:eastAsia="仿宋"/>
          <w:b/>
          <w:color w:val="auto"/>
          <w:sz w:val="24"/>
        </w:rPr>
      </w:pPr>
      <w:r>
        <w:rPr>
          <w:rFonts w:ascii="仿宋" w:hAnsi="仿宋" w:eastAsia="仿宋"/>
          <w:b/>
          <w:color w:val="auto"/>
          <w:sz w:val="24"/>
        </w:rPr>
        <w:t xml:space="preserve">1.4 </w:t>
      </w:r>
      <w:r>
        <w:rPr>
          <w:rFonts w:hint="eastAsia" w:ascii="仿宋" w:hAnsi="仿宋" w:eastAsia="仿宋"/>
          <w:b/>
          <w:color w:val="auto"/>
          <w:sz w:val="24"/>
        </w:rPr>
        <w:t>付款</w:t>
      </w:r>
      <w:bookmarkEnd w:id="56"/>
      <w:bookmarkEnd w:id="57"/>
      <w:bookmarkEnd w:id="58"/>
      <w:r>
        <w:rPr>
          <w:rFonts w:hint="eastAsia" w:ascii="仿宋" w:hAnsi="仿宋" w:eastAsia="仿宋"/>
          <w:b/>
          <w:color w:val="auto"/>
          <w:sz w:val="24"/>
        </w:rPr>
        <w:t>方式、时间和条件</w:t>
      </w:r>
    </w:p>
    <w:p w14:paraId="65ADCA22">
      <w:pPr>
        <w:pStyle w:val="61"/>
        <w:spacing w:before="0" w:beforeAutospacing="0" w:after="0" w:afterAutospacing="0" w:line="360" w:lineRule="auto"/>
        <w:ind w:firstLine="480"/>
        <w:rPr>
          <w:rFonts w:ascii="仿宋" w:hAnsi="仿宋" w:eastAsia="仿宋" w:cs="Times New Roman"/>
          <w:color w:val="auto"/>
        </w:rPr>
      </w:pPr>
      <w:r>
        <w:rPr>
          <w:rFonts w:ascii="仿宋" w:hAnsi="仿宋" w:eastAsia="仿宋" w:cs="Times New Roman"/>
          <w:color w:val="auto"/>
        </w:rPr>
        <w:t>1.4.1</w:t>
      </w:r>
      <w:r>
        <w:rPr>
          <w:rFonts w:hint="eastAsia" w:ascii="仿宋" w:hAnsi="仿宋" w:eastAsia="仿宋" w:cs="Times New Roman"/>
          <w:color w:val="auto"/>
        </w:rPr>
        <w:t>甲方应严格履行合同，及时组织验收，验收合格后及时将合同款支付完毕。对于满足合同约定支付条件的，甲方自收到发票后7</w:t>
      </w:r>
      <w:r>
        <w:rPr>
          <w:rFonts w:ascii="仿宋" w:hAnsi="仿宋" w:eastAsia="仿宋" w:cs="Times New Roman"/>
          <w:color w:val="auto"/>
        </w:rPr>
        <w:t>个工作日内将资金支付到合同约定的乙方账户，甲方不得以机构变动、人员更替、政策调整、单位放假等为由延迟付款。</w:t>
      </w:r>
    </w:p>
    <w:p w14:paraId="5F4EEC73">
      <w:pPr>
        <w:pStyle w:val="61"/>
        <w:spacing w:before="0" w:beforeAutospacing="0" w:after="0" w:afterAutospacing="0" w:line="360" w:lineRule="auto"/>
        <w:ind w:firstLine="480"/>
        <w:rPr>
          <w:rFonts w:ascii="仿宋" w:hAnsi="仿宋" w:eastAsia="仿宋" w:cs="Times New Roman"/>
          <w:color w:val="auto"/>
        </w:rPr>
      </w:pPr>
      <w:r>
        <w:rPr>
          <w:rFonts w:ascii="仿宋" w:hAnsi="仿宋" w:eastAsia="仿宋" w:cs="Times New Roman"/>
          <w:color w:val="auto"/>
        </w:rPr>
        <w:t>1.4.2甲方可以根据项目特点、乙方信用等实际情况提高预付款比例，最高预付比例</w:t>
      </w:r>
      <w:r>
        <w:rPr>
          <w:rFonts w:hint="eastAsia" w:ascii="仿宋" w:hAnsi="仿宋" w:eastAsia="仿宋" w:cs="Times New Roman"/>
          <w:color w:val="auto"/>
        </w:rPr>
        <w:t>不高于7</w:t>
      </w:r>
      <w:r>
        <w:rPr>
          <w:rFonts w:ascii="仿宋" w:hAnsi="仿宋" w:eastAsia="仿宋" w:cs="Times New Roman"/>
          <w:color w:val="auto"/>
        </w:rPr>
        <w:t>0%。</w:t>
      </w:r>
      <w:r>
        <w:rPr>
          <w:rFonts w:hint="eastAsia" w:ascii="仿宋" w:hAnsi="仿宋" w:eastAsia="仿宋" w:cs="Times New Roman"/>
          <w:color w:val="auto"/>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119A9EF0">
      <w:pPr>
        <w:spacing w:line="560" w:lineRule="exact"/>
        <w:ind w:firstLine="482" w:firstLineChars="200"/>
        <w:outlineLvl w:val="0"/>
        <w:rPr>
          <w:rFonts w:ascii="仿宋" w:hAnsi="仿宋" w:eastAsia="仿宋"/>
          <w:b/>
          <w:color w:val="auto"/>
          <w:sz w:val="24"/>
        </w:rPr>
      </w:pPr>
      <w:r>
        <w:rPr>
          <w:rFonts w:ascii="仿宋" w:hAnsi="仿宋" w:eastAsia="仿宋"/>
          <w:b/>
          <w:color w:val="auto"/>
          <w:sz w:val="24"/>
        </w:rPr>
        <w:t>1.4.</w:t>
      </w:r>
      <w:r>
        <w:rPr>
          <w:rFonts w:hint="eastAsia" w:ascii="仿宋" w:hAnsi="仿宋" w:eastAsia="仿宋"/>
          <w:b/>
          <w:color w:val="auto"/>
          <w:sz w:val="24"/>
        </w:rPr>
        <w:t>3</w:t>
      </w:r>
      <w:r>
        <w:rPr>
          <w:rFonts w:ascii="仿宋" w:hAnsi="仿宋" w:eastAsia="仿宋"/>
          <w:b/>
          <w:color w:val="auto"/>
          <w:sz w:val="24"/>
        </w:rPr>
        <w:t>资金支付的方式、时间和条件</w:t>
      </w:r>
      <w:r>
        <w:rPr>
          <w:rFonts w:hint="eastAsia" w:ascii="仿宋" w:hAnsi="仿宋" w:eastAsia="仿宋"/>
          <w:b/>
          <w:color w:val="auto"/>
          <w:sz w:val="24"/>
        </w:rPr>
        <w:t>：</w:t>
      </w:r>
    </w:p>
    <w:p w14:paraId="0D116254">
      <w:pPr>
        <w:pStyle w:val="61"/>
        <w:spacing w:before="0" w:beforeAutospacing="0" w:after="0" w:afterAutospacing="0" w:line="360" w:lineRule="auto"/>
        <w:ind w:firstLine="480"/>
        <w:rPr>
          <w:rFonts w:ascii="仿宋" w:hAnsi="仿宋" w:eastAsia="仿宋" w:cs="Times New Roman"/>
          <w:color w:val="auto"/>
        </w:rPr>
      </w:pPr>
      <w:r>
        <w:rPr>
          <w:rFonts w:hint="eastAsia" w:ascii="仿宋" w:hAnsi="仿宋" w:eastAsia="仿宋" w:cs="Times New Roman"/>
          <w:color w:val="auto"/>
        </w:rPr>
        <w:t>合同生效后7个工作日内由采购人支付合同金额的</w:t>
      </w:r>
      <w:r>
        <w:rPr>
          <w:rFonts w:hint="eastAsia" w:ascii="仿宋" w:hAnsi="仿宋" w:eastAsia="仿宋" w:cs="Times New Roman"/>
          <w:color w:val="auto"/>
          <w:lang w:val="en-US" w:eastAsia="zh-CN"/>
        </w:rPr>
        <w:t>4</w:t>
      </w:r>
      <w:r>
        <w:rPr>
          <w:rFonts w:hint="eastAsia" w:ascii="仿宋" w:hAnsi="仿宋" w:eastAsia="仿宋" w:cs="Times New Roman"/>
          <w:color w:val="auto"/>
        </w:rPr>
        <w:t>0%作为项目的预付款；在项目完工并经由市松材线虫病防治指挥部办公室委托的第三方单位进行核验，市松材线虫病防治指挥部办公室进行核查，按</w:t>
      </w:r>
      <w:r>
        <w:rPr>
          <w:rFonts w:hint="eastAsia" w:ascii="仿宋" w:hAnsi="仿宋" w:eastAsia="仿宋" w:cs="Times New Roman"/>
          <w:color w:val="auto"/>
          <w:lang w:eastAsia="zh-CN"/>
        </w:rPr>
        <w:t>质量</w:t>
      </w:r>
      <w:r>
        <w:rPr>
          <w:rFonts w:hint="eastAsia" w:ascii="仿宋" w:hAnsi="仿宋" w:eastAsia="仿宋" w:cs="Times New Roman"/>
          <w:color w:val="auto"/>
        </w:rPr>
        <w:t>合格率，结合实际清理重量，由财政局和林业局统一支付剩余合同最终结算金额；中标方根据支付金额提供正规税务发票。</w:t>
      </w:r>
    </w:p>
    <w:p w14:paraId="3D8934FF">
      <w:pPr>
        <w:ind w:firstLine="487" w:firstLineChars="202"/>
        <w:rPr>
          <w:rFonts w:ascii="仿宋" w:hAnsi="仿宋" w:eastAsia="仿宋"/>
          <w:b/>
          <w:color w:val="auto"/>
          <w:sz w:val="24"/>
        </w:rPr>
      </w:pPr>
      <w:r>
        <w:rPr>
          <w:rFonts w:hint="eastAsia" w:ascii="仿宋" w:hAnsi="仿宋" w:eastAsia="仿宋"/>
          <w:b/>
          <w:color w:val="auto"/>
          <w:sz w:val="24"/>
        </w:rPr>
        <w:t>1.4.4履约保证金：</w:t>
      </w:r>
    </w:p>
    <w:p w14:paraId="06475B31">
      <w:pPr>
        <w:pStyle w:val="61"/>
        <w:spacing w:before="0" w:beforeAutospacing="0" w:after="0" w:afterAutospacing="0" w:line="360" w:lineRule="auto"/>
        <w:ind w:firstLine="480"/>
        <w:rPr>
          <w:rFonts w:ascii="仿宋" w:hAnsi="仿宋" w:eastAsia="仿宋" w:cs="Times New Roman"/>
          <w:color w:val="auto"/>
        </w:rPr>
      </w:pPr>
      <w:r>
        <w:rPr>
          <w:rFonts w:hint="eastAsia" w:ascii="仿宋" w:hAnsi="仿宋" w:eastAsia="仿宋" w:cs="Times New Roman"/>
          <w:color w:val="auto"/>
        </w:rPr>
        <w:t>（1）中标人按要求签订合同后缴于用户单位支付方式为保函或汇款(保函可以在“政采云”平台线上申请)，履约保证金为中标价的1%，（无息）</w:t>
      </w:r>
    </w:p>
    <w:p w14:paraId="0B494EDA">
      <w:pPr>
        <w:pStyle w:val="61"/>
        <w:spacing w:before="0" w:beforeAutospacing="0" w:after="0" w:afterAutospacing="0" w:line="360" w:lineRule="auto"/>
        <w:ind w:firstLine="480"/>
        <w:rPr>
          <w:rFonts w:ascii="仿宋" w:hAnsi="仿宋" w:eastAsia="仿宋" w:cs="Times New Roman"/>
          <w:color w:val="auto"/>
        </w:rPr>
      </w:pPr>
      <w:r>
        <w:rPr>
          <w:rFonts w:hint="eastAsia" w:ascii="仿宋" w:hAnsi="仿宋" w:eastAsia="仿宋" w:cs="Times New Roman"/>
          <w:color w:val="auto"/>
        </w:rPr>
        <w:t>（2）签订合同后，如中标人不按双方合同约定履约，则没收其全部履约保证金，履约保证金不足以赔偿损失的，按实际损失赔偿。</w:t>
      </w:r>
    </w:p>
    <w:p w14:paraId="20123449">
      <w:pPr>
        <w:pStyle w:val="61"/>
        <w:spacing w:before="0" w:beforeAutospacing="0" w:after="0" w:afterAutospacing="0" w:line="360" w:lineRule="auto"/>
        <w:ind w:firstLine="480"/>
        <w:rPr>
          <w:rFonts w:ascii="仿宋" w:hAnsi="仿宋" w:eastAsia="仿宋" w:cs="Times New Roman"/>
          <w:color w:val="auto"/>
        </w:rPr>
      </w:pPr>
      <w:r>
        <w:rPr>
          <w:rFonts w:hint="eastAsia" w:ascii="仿宋" w:hAnsi="仿宋" w:eastAsia="仿宋" w:cs="Times New Roman"/>
          <w:color w:val="auto"/>
        </w:rPr>
        <w:t>（3）履约保证金1%在项目验收结束后十五日内退还；</w:t>
      </w:r>
    </w:p>
    <w:p w14:paraId="245D9641">
      <w:pPr>
        <w:spacing w:line="560" w:lineRule="exact"/>
        <w:ind w:firstLine="482" w:firstLineChars="200"/>
        <w:outlineLvl w:val="0"/>
        <w:rPr>
          <w:rFonts w:ascii="仿宋" w:hAnsi="仿宋" w:eastAsia="仿宋"/>
          <w:b/>
          <w:color w:val="auto"/>
          <w:sz w:val="24"/>
        </w:rPr>
      </w:pPr>
      <w:bookmarkStart w:id="59" w:name="_Toc19304"/>
      <w:bookmarkStart w:id="60" w:name="_Toc32071"/>
      <w:bookmarkStart w:id="61" w:name="_Toc2846"/>
      <w:r>
        <w:rPr>
          <w:rFonts w:ascii="仿宋" w:hAnsi="仿宋" w:eastAsia="仿宋"/>
          <w:b/>
          <w:color w:val="auto"/>
          <w:sz w:val="24"/>
        </w:rPr>
        <w:t xml:space="preserve">1.5 </w:t>
      </w:r>
      <w:r>
        <w:rPr>
          <w:rFonts w:hint="eastAsia" w:ascii="仿宋" w:hAnsi="仿宋" w:eastAsia="仿宋"/>
          <w:b/>
          <w:color w:val="auto"/>
          <w:sz w:val="24"/>
        </w:rPr>
        <w:t>货物交付期限、地点和方式</w:t>
      </w:r>
      <w:bookmarkEnd w:id="59"/>
      <w:bookmarkEnd w:id="60"/>
      <w:bookmarkEnd w:id="61"/>
    </w:p>
    <w:p w14:paraId="301BB6CB">
      <w:pPr>
        <w:spacing w:line="560" w:lineRule="exact"/>
        <w:ind w:firstLine="480" w:firstLineChars="200"/>
        <w:rPr>
          <w:rFonts w:ascii="仿宋" w:hAnsi="仿宋" w:eastAsia="仿宋"/>
          <w:color w:val="auto"/>
          <w:sz w:val="24"/>
          <w:u w:val="single"/>
        </w:rPr>
      </w:pPr>
      <w:r>
        <w:rPr>
          <w:rFonts w:ascii="仿宋" w:hAnsi="仿宋" w:eastAsia="仿宋"/>
          <w:color w:val="auto"/>
          <w:sz w:val="24"/>
        </w:rPr>
        <w:t xml:space="preserve">1.5.1 </w:t>
      </w:r>
      <w:r>
        <w:rPr>
          <w:rFonts w:hint="eastAsia" w:ascii="仿宋" w:hAnsi="仿宋" w:eastAsia="仿宋"/>
          <w:color w:val="auto"/>
          <w:sz w:val="24"/>
        </w:rPr>
        <w:t>交付期限：</w:t>
      </w:r>
      <w:r>
        <w:rPr>
          <w:rFonts w:ascii="仿宋" w:hAnsi="仿宋" w:eastAsia="仿宋"/>
          <w:color w:val="auto"/>
          <w:sz w:val="24"/>
        </w:rPr>
        <w:t>详见</w:t>
      </w:r>
      <w:r>
        <w:rPr>
          <w:rFonts w:hint="eastAsia" w:ascii="仿宋" w:hAnsi="仿宋" w:eastAsia="仿宋"/>
          <w:b/>
          <w:i/>
          <w:color w:val="auto"/>
          <w:sz w:val="24"/>
          <w:u w:val="single"/>
        </w:rPr>
        <w:t>签订合同生效后起至202</w:t>
      </w:r>
      <w:r>
        <w:rPr>
          <w:rFonts w:hint="eastAsia" w:ascii="仿宋" w:hAnsi="仿宋" w:eastAsia="仿宋"/>
          <w:b/>
          <w:i/>
          <w:color w:val="auto"/>
          <w:sz w:val="24"/>
          <w:u w:val="single"/>
          <w:lang w:val="en-US" w:eastAsia="zh-CN"/>
        </w:rPr>
        <w:t>5</w:t>
      </w:r>
      <w:r>
        <w:rPr>
          <w:rFonts w:hint="eastAsia" w:ascii="仿宋" w:hAnsi="仿宋" w:eastAsia="仿宋"/>
          <w:b/>
          <w:i/>
          <w:color w:val="auto"/>
          <w:sz w:val="24"/>
          <w:u w:val="single"/>
        </w:rPr>
        <w:t>年9月底前完成</w:t>
      </w:r>
      <w:r>
        <w:rPr>
          <w:rFonts w:hint="eastAsia" w:ascii="仿宋" w:hAnsi="仿宋" w:eastAsia="仿宋"/>
          <w:color w:val="auto"/>
          <w:sz w:val="24"/>
        </w:rPr>
        <w:t>；</w:t>
      </w:r>
    </w:p>
    <w:p w14:paraId="63BE71DB">
      <w:pPr>
        <w:spacing w:line="560" w:lineRule="exact"/>
        <w:ind w:firstLine="480" w:firstLineChars="200"/>
        <w:rPr>
          <w:rFonts w:ascii="仿宋" w:hAnsi="仿宋" w:eastAsia="仿宋"/>
          <w:color w:val="auto"/>
          <w:sz w:val="24"/>
        </w:rPr>
      </w:pPr>
      <w:r>
        <w:rPr>
          <w:rFonts w:ascii="仿宋" w:hAnsi="仿宋" w:eastAsia="仿宋"/>
          <w:color w:val="auto"/>
          <w:sz w:val="24"/>
        </w:rPr>
        <w:t xml:space="preserve">1.5.2 </w:t>
      </w:r>
      <w:r>
        <w:rPr>
          <w:rFonts w:hint="eastAsia" w:ascii="仿宋" w:hAnsi="仿宋" w:eastAsia="仿宋"/>
          <w:color w:val="auto"/>
          <w:sz w:val="24"/>
        </w:rPr>
        <w:t>交付地点：</w:t>
      </w:r>
      <w:r>
        <w:rPr>
          <w:rFonts w:hint="eastAsia" w:ascii="仿宋" w:hAnsi="仿宋" w:eastAsia="仿宋"/>
          <w:b/>
          <w:i/>
          <w:color w:val="auto"/>
          <w:sz w:val="24"/>
          <w:u w:val="single"/>
        </w:rPr>
        <w:t>招标文件招标需求条款</w:t>
      </w:r>
      <w:r>
        <w:rPr>
          <w:rFonts w:hint="eastAsia" w:ascii="仿宋" w:hAnsi="仿宋" w:eastAsia="仿宋"/>
          <w:color w:val="auto"/>
          <w:sz w:val="24"/>
        </w:rPr>
        <w:t>；</w:t>
      </w:r>
    </w:p>
    <w:p w14:paraId="76D0375D">
      <w:pPr>
        <w:spacing w:line="560" w:lineRule="exact"/>
        <w:ind w:firstLine="482" w:firstLineChars="200"/>
        <w:outlineLvl w:val="0"/>
        <w:rPr>
          <w:rFonts w:ascii="仿宋" w:hAnsi="仿宋" w:eastAsia="仿宋"/>
          <w:b/>
          <w:color w:val="auto"/>
          <w:sz w:val="24"/>
        </w:rPr>
      </w:pPr>
      <w:bookmarkStart w:id="62" w:name="_Toc27250"/>
      <w:bookmarkStart w:id="63" w:name="_Toc21423"/>
      <w:bookmarkStart w:id="64" w:name="_Toc19554"/>
      <w:r>
        <w:rPr>
          <w:rFonts w:ascii="仿宋" w:hAnsi="仿宋" w:eastAsia="仿宋"/>
          <w:b/>
          <w:color w:val="auto"/>
          <w:sz w:val="24"/>
        </w:rPr>
        <w:t xml:space="preserve">1.6 </w:t>
      </w:r>
      <w:r>
        <w:rPr>
          <w:rFonts w:hint="eastAsia" w:ascii="仿宋" w:hAnsi="仿宋" w:eastAsia="仿宋"/>
          <w:b/>
          <w:color w:val="auto"/>
          <w:sz w:val="24"/>
        </w:rPr>
        <w:t>违约责任</w:t>
      </w:r>
      <w:bookmarkEnd w:id="62"/>
      <w:bookmarkEnd w:id="63"/>
      <w:bookmarkEnd w:id="64"/>
    </w:p>
    <w:p w14:paraId="39E5C6DF">
      <w:pPr>
        <w:spacing w:line="560" w:lineRule="exact"/>
        <w:ind w:firstLine="480" w:firstLineChars="200"/>
        <w:rPr>
          <w:rFonts w:ascii="仿宋" w:hAnsi="仿宋" w:eastAsia="仿宋"/>
          <w:color w:val="auto"/>
          <w:sz w:val="24"/>
        </w:rPr>
      </w:pPr>
      <w:r>
        <w:rPr>
          <w:rFonts w:ascii="仿宋" w:hAnsi="仿宋" w:eastAsia="仿宋"/>
          <w:color w:val="auto"/>
          <w:sz w:val="24"/>
        </w:rPr>
        <w:t xml:space="preserve">1.6.1 </w:t>
      </w:r>
      <w:r>
        <w:rPr>
          <w:rFonts w:hint="eastAsia" w:ascii="仿宋" w:hAnsi="仿宋" w:eastAsia="仿宋"/>
          <w:color w:val="auto"/>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%计算，最高限额为本合同总价的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%；迟延交付货物的违约金计算数额达到前述最高限额之日起，甲方有权在要求乙方支付违约金的同时，书面通知乙方解除本合同；</w:t>
      </w:r>
    </w:p>
    <w:p w14:paraId="46EE1392">
      <w:pPr>
        <w:spacing w:line="560" w:lineRule="exact"/>
        <w:ind w:firstLine="480" w:firstLineChars="200"/>
        <w:rPr>
          <w:rFonts w:ascii="仿宋" w:hAnsi="仿宋" w:eastAsia="仿宋"/>
          <w:color w:val="auto"/>
          <w:sz w:val="24"/>
        </w:rPr>
      </w:pPr>
      <w:r>
        <w:rPr>
          <w:rFonts w:ascii="仿宋" w:hAnsi="仿宋" w:eastAsia="仿宋"/>
          <w:color w:val="auto"/>
          <w:sz w:val="24"/>
        </w:rPr>
        <w:t xml:space="preserve">1.6.2 </w:t>
      </w:r>
      <w:r>
        <w:rPr>
          <w:rFonts w:hint="eastAsia" w:ascii="仿宋" w:hAnsi="仿宋" w:eastAsia="仿宋"/>
          <w:color w:val="auto"/>
          <w:sz w:val="24"/>
        </w:rPr>
        <w:t>除不可抗力外，如果甲方没有按照本合同约定的付款方式付款，那么乙方可要求甲方支付违约金，违约金按每迟延付款一日的应付而未付款的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%计算，最高限额为本合同总价的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%；迟延付款的违约金计算数额达到前述最高限额之日起，乙方有权在要求甲方支付违约金的同时，书面通知甲方解除本合同；</w:t>
      </w:r>
    </w:p>
    <w:p w14:paraId="3121E4AC">
      <w:pPr>
        <w:spacing w:line="560" w:lineRule="exact"/>
        <w:ind w:firstLine="480" w:firstLineChars="200"/>
        <w:rPr>
          <w:rFonts w:ascii="仿宋" w:hAnsi="仿宋" w:eastAsia="仿宋"/>
          <w:color w:val="auto"/>
          <w:sz w:val="24"/>
        </w:rPr>
      </w:pPr>
      <w:r>
        <w:rPr>
          <w:rFonts w:ascii="仿宋" w:hAnsi="仿宋" w:eastAsia="仿宋"/>
          <w:color w:val="auto"/>
          <w:sz w:val="24"/>
        </w:rPr>
        <w:t xml:space="preserve">1.6.3 </w:t>
      </w:r>
      <w:r>
        <w:rPr>
          <w:rFonts w:hint="eastAsia" w:ascii="仿宋" w:hAnsi="仿宋" w:eastAsia="仿宋"/>
          <w:color w:val="auto"/>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2D8F483">
      <w:pPr>
        <w:spacing w:line="560" w:lineRule="exact"/>
        <w:ind w:firstLine="480" w:firstLineChars="200"/>
        <w:rPr>
          <w:rFonts w:ascii="仿宋" w:hAnsi="仿宋" w:eastAsia="仿宋"/>
          <w:color w:val="auto"/>
          <w:sz w:val="24"/>
        </w:rPr>
      </w:pPr>
      <w:r>
        <w:rPr>
          <w:rFonts w:ascii="仿宋" w:hAnsi="仿宋" w:eastAsia="仿宋"/>
          <w:color w:val="auto"/>
          <w:sz w:val="24"/>
        </w:rPr>
        <w:t xml:space="preserve">1.6.4 </w:t>
      </w:r>
      <w:r>
        <w:rPr>
          <w:rFonts w:hint="eastAsia" w:ascii="仿宋" w:hAnsi="仿宋" w:eastAsia="仿宋"/>
          <w:color w:val="auto"/>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A973610">
      <w:pPr>
        <w:spacing w:line="560" w:lineRule="exact"/>
        <w:ind w:firstLine="480" w:firstLineChars="200"/>
        <w:rPr>
          <w:rFonts w:ascii="仿宋" w:hAnsi="仿宋" w:eastAsia="仿宋"/>
          <w:color w:val="auto"/>
          <w:sz w:val="24"/>
        </w:rPr>
      </w:pPr>
      <w:r>
        <w:rPr>
          <w:rFonts w:ascii="仿宋" w:hAnsi="仿宋" w:eastAsia="仿宋"/>
          <w:color w:val="auto"/>
          <w:sz w:val="24"/>
        </w:rPr>
        <w:t xml:space="preserve">1.6.5 </w:t>
      </w:r>
      <w:r>
        <w:rPr>
          <w:rFonts w:hint="eastAsia" w:ascii="仿宋" w:hAnsi="仿宋" w:eastAsia="仿宋"/>
          <w:color w:val="auto"/>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733F05E">
      <w:pPr>
        <w:spacing w:line="560" w:lineRule="exact"/>
        <w:ind w:firstLine="480" w:firstLineChars="200"/>
        <w:rPr>
          <w:rFonts w:ascii="仿宋" w:hAnsi="仿宋" w:eastAsia="仿宋"/>
          <w:color w:val="auto"/>
          <w:sz w:val="24"/>
        </w:rPr>
      </w:pPr>
      <w:r>
        <w:rPr>
          <w:rFonts w:ascii="仿宋" w:hAnsi="仿宋" w:eastAsia="仿宋"/>
          <w:color w:val="auto"/>
          <w:sz w:val="24"/>
        </w:rPr>
        <w:t xml:space="preserve">1.6.6 </w:t>
      </w:r>
      <w:r>
        <w:rPr>
          <w:rFonts w:hint="eastAsia" w:ascii="仿宋" w:hAnsi="仿宋" w:eastAsia="仿宋"/>
          <w:color w:val="auto"/>
          <w:sz w:val="24"/>
        </w:rPr>
        <w:t>如果出现政府采购监督管理部门在处理投诉事项期间，书面通知甲方暂停采购活动的情形，或者询问或质疑事项可能影响中标结果的，导致甲方中止履行合同的情形，均不视为甲方违约。</w:t>
      </w:r>
    </w:p>
    <w:p w14:paraId="2093A8E4">
      <w:pPr>
        <w:spacing w:line="560" w:lineRule="exact"/>
        <w:ind w:right="-420" w:rightChars="-200" w:firstLine="424" w:firstLineChars="177"/>
        <w:rPr>
          <w:rFonts w:ascii="仿宋" w:hAnsi="仿宋" w:eastAsia="仿宋"/>
          <w:color w:val="auto"/>
          <w:sz w:val="24"/>
        </w:rPr>
      </w:pPr>
      <w:r>
        <w:rPr>
          <w:rFonts w:hint="eastAsia" w:ascii="仿宋" w:hAnsi="仿宋" w:eastAsia="仿宋"/>
          <w:color w:val="auto"/>
          <w:sz w:val="24"/>
        </w:rPr>
        <w:t>1.6.7违约责任</w:t>
      </w:r>
      <w:r>
        <w:rPr>
          <w:rFonts w:hint="eastAsia" w:ascii="仿宋" w:hAnsi="仿宋" w:eastAsia="仿宋"/>
          <w:b/>
          <w:i/>
          <w:color w:val="auto"/>
          <w:sz w:val="24"/>
          <w:u w:val="single"/>
        </w:rPr>
        <w:t>合同专用条款</w:t>
      </w:r>
      <w:r>
        <w:rPr>
          <w:rFonts w:hint="eastAsia" w:ascii="仿宋" w:hAnsi="仿宋" w:eastAsia="仿宋"/>
          <w:color w:val="auto"/>
          <w:sz w:val="24"/>
        </w:rPr>
        <w:t>另有约定的，从其约定。</w:t>
      </w:r>
    </w:p>
    <w:p w14:paraId="6254C813">
      <w:pPr>
        <w:spacing w:line="560" w:lineRule="exact"/>
        <w:ind w:firstLine="482" w:firstLineChars="200"/>
        <w:outlineLvl w:val="0"/>
        <w:rPr>
          <w:rFonts w:ascii="仿宋" w:hAnsi="仿宋" w:eastAsia="仿宋"/>
          <w:b/>
          <w:color w:val="auto"/>
          <w:sz w:val="24"/>
        </w:rPr>
      </w:pPr>
      <w:r>
        <w:rPr>
          <w:rFonts w:hint="eastAsia" w:ascii="仿宋" w:hAnsi="仿宋" w:eastAsia="仿宋"/>
          <w:b/>
          <w:color w:val="auto"/>
          <w:sz w:val="24"/>
        </w:rPr>
        <w:t>1.7</w:t>
      </w:r>
      <w:r>
        <w:rPr>
          <w:rFonts w:ascii="仿宋" w:hAnsi="仿宋" w:eastAsia="仿宋"/>
          <w:b/>
          <w:color w:val="auto"/>
          <w:sz w:val="24"/>
        </w:rPr>
        <w:t>检验和验收</w:t>
      </w:r>
    </w:p>
    <w:p w14:paraId="7C3D1E94">
      <w:pPr>
        <w:spacing w:line="560" w:lineRule="exact"/>
        <w:ind w:firstLine="480" w:firstLineChars="200"/>
        <w:outlineLvl w:val="0"/>
        <w:rPr>
          <w:rFonts w:ascii="仿宋" w:hAnsi="仿宋" w:eastAsia="仿宋"/>
          <w:color w:val="auto"/>
          <w:sz w:val="24"/>
        </w:rPr>
      </w:pPr>
      <w:bookmarkStart w:id="65" w:name="_Toc16021"/>
      <w:bookmarkStart w:id="66" w:name="_Toc28375"/>
      <w:bookmarkStart w:id="67" w:name="_Toc15583"/>
      <w:r>
        <w:rPr>
          <w:rFonts w:hint="eastAsia" w:ascii="仿宋" w:hAnsi="仿宋" w:eastAsia="仿宋"/>
          <w:color w:val="auto"/>
          <w:sz w:val="24"/>
          <w:lang w:eastAsia="zh-CN"/>
        </w:rPr>
        <w:t>按</w:t>
      </w:r>
      <w:r>
        <w:rPr>
          <w:rFonts w:hint="eastAsia" w:ascii="仿宋" w:hAnsi="仿宋" w:eastAsia="仿宋"/>
          <w:color w:val="auto"/>
          <w:sz w:val="24"/>
        </w:rPr>
        <w:t>《浙江省松材线虫病防治条例》、《松材线虫病疫区和疫木管理办法》</w:t>
      </w:r>
      <w:r>
        <w:rPr>
          <w:rFonts w:hint="eastAsia" w:ascii="仿宋" w:hAnsi="仿宋" w:eastAsia="仿宋"/>
          <w:color w:val="auto"/>
          <w:sz w:val="24"/>
          <w:lang w:eastAsia="zh-CN"/>
        </w:rPr>
        <w:t>、</w:t>
      </w:r>
      <w:r>
        <w:rPr>
          <w:rFonts w:hint="eastAsia" w:ascii="仿宋" w:hAnsi="仿宋" w:eastAsia="仿宋" w:cs="Times New Roman"/>
          <w:color w:val="auto"/>
          <w:sz w:val="24"/>
        </w:rPr>
        <w:t>《松材线虫病</w:t>
      </w:r>
      <w:r>
        <w:rPr>
          <w:rFonts w:hint="eastAsia" w:ascii="仿宋" w:hAnsi="仿宋" w:eastAsia="仿宋" w:cs="Times New Roman"/>
          <w:color w:val="auto"/>
          <w:sz w:val="24"/>
          <w:lang w:eastAsia="zh-CN"/>
        </w:rPr>
        <w:t>防治技术方案（</w:t>
      </w:r>
      <w:r>
        <w:rPr>
          <w:rFonts w:hint="eastAsia" w:ascii="仿宋" w:hAnsi="仿宋" w:eastAsia="仿宋" w:cs="Times New Roman"/>
          <w:color w:val="auto"/>
          <w:sz w:val="24"/>
          <w:lang w:val="en-US" w:eastAsia="zh-CN"/>
        </w:rPr>
        <w:t>2022年版</w:t>
      </w:r>
      <w:r>
        <w:rPr>
          <w:rFonts w:hint="eastAsia" w:ascii="仿宋" w:hAnsi="仿宋" w:eastAsia="仿宋" w:cs="Times New Roman"/>
          <w:color w:val="auto"/>
          <w:sz w:val="24"/>
          <w:lang w:eastAsia="zh-CN"/>
        </w:rPr>
        <w:t>）</w:t>
      </w:r>
      <w:r>
        <w:rPr>
          <w:rFonts w:hint="eastAsia" w:ascii="仿宋" w:hAnsi="仿宋" w:eastAsia="仿宋" w:cs="Times New Roman"/>
          <w:color w:val="auto"/>
          <w:sz w:val="24"/>
        </w:rPr>
        <w:t>》</w:t>
      </w:r>
      <w:r>
        <w:rPr>
          <w:rFonts w:hint="eastAsia" w:ascii="仿宋" w:hAnsi="仿宋" w:eastAsia="仿宋" w:cs="Times New Roman"/>
          <w:color w:val="auto"/>
          <w:sz w:val="24"/>
          <w:lang w:val="en-US" w:eastAsia="zh-CN"/>
        </w:rPr>
        <w:t>(</w:t>
      </w:r>
      <w:r>
        <w:rPr>
          <w:rFonts w:hint="eastAsia" w:ascii="仿宋" w:hAnsi="仿宋" w:eastAsia="仿宋" w:cs="Times New Roman"/>
          <w:color w:val="auto"/>
          <w:sz w:val="24"/>
          <w:lang w:eastAsia="zh-CN"/>
        </w:rPr>
        <w:t>林生发</w:t>
      </w:r>
      <w:r>
        <w:rPr>
          <w:rFonts w:hint="eastAsia" w:ascii="仿宋" w:hAnsi="仿宋" w:eastAsia="仿宋" w:cs="Times New Roman"/>
          <w:color w:val="auto"/>
          <w:sz w:val="24"/>
          <w:lang w:val="en-US" w:eastAsia="zh-CN"/>
        </w:rPr>
        <w:t>〔2022〕94号)</w:t>
      </w:r>
      <w:r>
        <w:rPr>
          <w:rFonts w:hint="eastAsia" w:ascii="仿宋" w:hAnsi="仿宋" w:eastAsia="仿宋"/>
          <w:color w:val="auto"/>
          <w:sz w:val="24"/>
        </w:rPr>
        <w:t>等有关法规和文件</w:t>
      </w:r>
      <w:r>
        <w:rPr>
          <w:rFonts w:hint="eastAsia" w:ascii="仿宋" w:hAnsi="仿宋" w:eastAsia="仿宋"/>
          <w:color w:val="auto"/>
          <w:sz w:val="24"/>
          <w:lang w:eastAsia="zh-CN"/>
        </w:rPr>
        <w:t>，</w:t>
      </w:r>
      <w:r>
        <w:rPr>
          <w:rFonts w:hint="eastAsia" w:ascii="仿宋" w:hAnsi="仿宋" w:eastAsia="仿宋"/>
          <w:color w:val="auto"/>
          <w:sz w:val="24"/>
        </w:rPr>
        <w:t>对</w:t>
      </w:r>
      <w:r>
        <w:rPr>
          <w:rFonts w:hint="eastAsia" w:ascii="仿宋" w:hAnsi="仿宋" w:eastAsia="仿宋"/>
          <w:color w:val="auto"/>
          <w:sz w:val="24"/>
          <w:lang w:eastAsia="zh-CN"/>
        </w:rPr>
        <w:t>枯</w:t>
      </w:r>
      <w:r>
        <w:rPr>
          <w:rFonts w:hint="eastAsia" w:ascii="仿宋" w:hAnsi="仿宋" w:eastAsia="仿宋"/>
          <w:color w:val="auto"/>
          <w:sz w:val="24"/>
        </w:rPr>
        <w:t>死松树的清理进行验收。</w:t>
      </w:r>
    </w:p>
    <w:p w14:paraId="1FF62646">
      <w:pPr>
        <w:spacing w:line="560" w:lineRule="exact"/>
        <w:ind w:firstLine="480" w:firstLineChars="200"/>
        <w:outlineLvl w:val="0"/>
        <w:rPr>
          <w:rFonts w:ascii="仿宋" w:hAnsi="仿宋" w:eastAsia="仿宋"/>
          <w:color w:val="auto"/>
          <w:sz w:val="24"/>
        </w:rPr>
      </w:pPr>
      <w:r>
        <w:rPr>
          <w:rFonts w:hint="eastAsia" w:ascii="仿宋" w:hAnsi="仿宋" w:eastAsia="仿宋"/>
          <w:color w:val="auto"/>
          <w:sz w:val="24"/>
        </w:rPr>
        <w:t>1．验收程序</w:t>
      </w:r>
    </w:p>
    <w:p w14:paraId="0CB4525F">
      <w:pPr>
        <w:spacing w:line="560" w:lineRule="exact"/>
        <w:ind w:firstLine="480" w:firstLineChars="200"/>
        <w:outlineLvl w:val="0"/>
        <w:rPr>
          <w:color w:val="auto"/>
        </w:rPr>
      </w:pPr>
      <w:r>
        <w:rPr>
          <w:rFonts w:hint="eastAsia" w:ascii="仿宋" w:hAnsi="仿宋" w:eastAsia="仿宋"/>
          <w:color w:val="auto"/>
          <w:sz w:val="24"/>
        </w:rPr>
        <w:t>作业片区清理完成后，施工单位先进行自检，报镇乡街道核查，核查合格后申请市松材线虫病防治指挥部办公室委托的第三方单位进行核验，验收不合格的，按</w:t>
      </w:r>
      <w:r>
        <w:rPr>
          <w:rFonts w:hint="eastAsia" w:ascii="仿宋" w:hAnsi="仿宋" w:eastAsia="仿宋"/>
          <w:color w:val="auto"/>
          <w:sz w:val="24"/>
          <w:lang w:eastAsia="zh-CN"/>
        </w:rPr>
        <w:t>合格率</w:t>
      </w:r>
      <w:r>
        <w:rPr>
          <w:rFonts w:hint="eastAsia" w:ascii="仿宋" w:hAnsi="仿宋" w:eastAsia="仿宋"/>
          <w:color w:val="auto"/>
          <w:sz w:val="24"/>
        </w:rPr>
        <w:t>百分比，</w:t>
      </w:r>
      <w:r>
        <w:rPr>
          <w:rFonts w:hint="eastAsia" w:ascii="仿宋" w:hAnsi="仿宋" w:eastAsia="仿宋"/>
          <w:color w:val="auto"/>
          <w:sz w:val="24"/>
          <w:lang w:eastAsia="zh-CN"/>
        </w:rPr>
        <w:t>进行</w:t>
      </w:r>
      <w:r>
        <w:rPr>
          <w:rFonts w:hint="eastAsia" w:ascii="仿宋" w:hAnsi="仿宋" w:eastAsia="仿宋"/>
          <w:color w:val="auto"/>
          <w:sz w:val="24"/>
        </w:rPr>
        <w:t>补助</w:t>
      </w:r>
      <w:r>
        <w:rPr>
          <w:rFonts w:hint="eastAsia" w:ascii="仿宋" w:hAnsi="仿宋" w:eastAsia="仿宋"/>
          <w:color w:val="auto"/>
          <w:sz w:val="24"/>
          <w:lang w:eastAsia="zh-CN"/>
        </w:rPr>
        <w:t>资金的结算</w:t>
      </w:r>
      <w:r>
        <w:rPr>
          <w:rFonts w:hint="eastAsia" w:ascii="仿宋" w:hAnsi="仿宋" w:eastAsia="仿宋"/>
          <w:color w:val="auto"/>
          <w:sz w:val="24"/>
        </w:rPr>
        <w:t>，清理质量合格</w:t>
      </w:r>
      <w:r>
        <w:rPr>
          <w:rFonts w:hint="eastAsia" w:ascii="仿宋" w:hAnsi="仿宋" w:eastAsia="仿宋"/>
          <w:color w:val="auto"/>
          <w:sz w:val="24"/>
          <w:lang w:eastAsia="zh-CN"/>
        </w:rPr>
        <w:t>率</w:t>
      </w:r>
      <w:r>
        <w:rPr>
          <w:rFonts w:hint="eastAsia" w:ascii="仿宋" w:hAnsi="仿宋" w:eastAsia="仿宋"/>
          <w:color w:val="auto"/>
          <w:sz w:val="24"/>
        </w:rPr>
        <w:t>低于</w:t>
      </w:r>
      <w:r>
        <w:rPr>
          <w:rFonts w:hint="eastAsia" w:ascii="仿宋" w:hAnsi="仿宋" w:eastAsia="仿宋"/>
          <w:color w:val="auto"/>
          <w:sz w:val="24"/>
          <w:lang w:val="en-US" w:eastAsia="zh-CN"/>
        </w:rPr>
        <w:t>7</w:t>
      </w:r>
      <w:r>
        <w:rPr>
          <w:rFonts w:hint="eastAsia" w:ascii="仿宋" w:hAnsi="仿宋" w:eastAsia="仿宋"/>
          <w:color w:val="auto"/>
          <w:sz w:val="24"/>
        </w:rPr>
        <w:t>0%的中标单位及项目负责人上报财政采购办列入黑名单。</w:t>
      </w:r>
    </w:p>
    <w:p w14:paraId="16672693">
      <w:pPr>
        <w:spacing w:line="560" w:lineRule="exact"/>
        <w:ind w:firstLine="480" w:firstLineChars="200"/>
        <w:outlineLvl w:val="0"/>
        <w:rPr>
          <w:rFonts w:ascii="仿宋" w:hAnsi="仿宋" w:eastAsia="仿宋"/>
          <w:color w:val="auto"/>
          <w:sz w:val="24"/>
        </w:rPr>
      </w:pPr>
      <w:r>
        <w:rPr>
          <w:rFonts w:hint="eastAsia" w:ascii="仿宋" w:hAnsi="仿宋" w:eastAsia="仿宋"/>
          <w:color w:val="auto"/>
          <w:sz w:val="24"/>
        </w:rPr>
        <w:t>2．验收方法</w:t>
      </w:r>
    </w:p>
    <w:p w14:paraId="4C52BE59">
      <w:pPr>
        <w:spacing w:line="560" w:lineRule="exact"/>
        <w:ind w:firstLine="480" w:firstLineChars="200"/>
        <w:outlineLvl w:val="0"/>
        <w:rPr>
          <w:rFonts w:hint="eastAsia" w:ascii="仿宋" w:hAnsi="仿宋" w:eastAsia="仿宋"/>
          <w:color w:val="auto"/>
          <w:sz w:val="24"/>
          <w:lang w:eastAsia="zh-CN"/>
        </w:rPr>
      </w:pPr>
      <w:r>
        <w:rPr>
          <w:rFonts w:hint="eastAsia" w:ascii="仿宋" w:hAnsi="仿宋" w:eastAsia="仿宋"/>
          <w:color w:val="auto"/>
          <w:sz w:val="24"/>
        </w:rPr>
        <w:t>按照枯死松树清理检查验收内容及标准对所有小班进行验收，踏查要求在可视范围内无枯死松木</w:t>
      </w:r>
      <w:r>
        <w:rPr>
          <w:rFonts w:hint="eastAsia" w:ascii="仿宋" w:hAnsi="仿宋" w:eastAsia="仿宋"/>
          <w:color w:val="auto"/>
          <w:sz w:val="24"/>
          <w:lang w:eastAsia="zh-CN"/>
        </w:rPr>
        <w:t>；并对“数字森防”</w:t>
      </w:r>
      <w:r>
        <w:rPr>
          <w:rFonts w:hint="eastAsia" w:ascii="仿宋" w:hAnsi="仿宋" w:eastAsia="仿宋"/>
          <w:color w:val="auto"/>
          <w:sz w:val="24"/>
          <w:lang w:val="en-US" w:eastAsia="zh-CN"/>
        </w:rPr>
        <w:t>APP内上传的数据真实性进行核查。</w:t>
      </w:r>
    </w:p>
    <w:p w14:paraId="75D68B5A">
      <w:pPr>
        <w:spacing w:line="560" w:lineRule="exact"/>
        <w:ind w:firstLine="480" w:firstLineChars="200"/>
        <w:outlineLvl w:val="0"/>
        <w:rPr>
          <w:rFonts w:ascii="仿宋" w:hAnsi="仿宋" w:eastAsia="仿宋"/>
          <w:color w:val="auto"/>
          <w:sz w:val="24"/>
        </w:rPr>
      </w:pPr>
      <w:r>
        <w:rPr>
          <w:rFonts w:hint="eastAsia" w:ascii="仿宋" w:hAnsi="仿宋" w:eastAsia="仿宋"/>
          <w:color w:val="auto"/>
          <w:sz w:val="24"/>
        </w:rPr>
        <w:t>3、枯死松树清理检查验收内容及标准</w:t>
      </w:r>
    </w:p>
    <w:p w14:paraId="0070736A">
      <w:pPr>
        <w:spacing w:line="560" w:lineRule="exact"/>
        <w:ind w:firstLine="480" w:firstLineChars="200"/>
        <w:outlineLvl w:val="0"/>
        <w:rPr>
          <w:rFonts w:ascii="仿宋" w:hAnsi="仿宋" w:eastAsia="仿宋"/>
          <w:color w:val="auto"/>
          <w:sz w:val="24"/>
        </w:rPr>
      </w:pPr>
      <w:r>
        <w:rPr>
          <w:rFonts w:hint="eastAsia" w:ascii="仿宋" w:hAnsi="仿宋" w:eastAsia="仿宋"/>
          <w:color w:val="auto"/>
          <w:sz w:val="24"/>
        </w:rPr>
        <w:t>(1)整体状况：现场查看有无枯死松树遗留在清理现场，清点株数或按比例测算，验收按10分制计，超过5%的扣除 1分，依此类推；</w:t>
      </w:r>
    </w:p>
    <w:p w14:paraId="00B4C163">
      <w:pPr>
        <w:spacing w:line="560" w:lineRule="exact"/>
        <w:ind w:firstLine="480" w:firstLineChars="200"/>
        <w:outlineLvl w:val="0"/>
        <w:rPr>
          <w:rFonts w:ascii="仿宋" w:hAnsi="仿宋" w:eastAsia="仿宋"/>
          <w:color w:val="auto"/>
          <w:sz w:val="24"/>
        </w:rPr>
      </w:pPr>
      <w:r>
        <w:rPr>
          <w:rFonts w:hint="eastAsia" w:ascii="仿宋" w:hAnsi="仿宋" w:eastAsia="仿宋"/>
          <w:color w:val="auto"/>
          <w:sz w:val="24"/>
        </w:rPr>
        <w:t>(2)树桩填埋情况：实地检查山场树桩填埋或剥皮处理情况，伐根高度（斜坡按上坡位计）是否在5cm以下，验收按10分制计，超过5%的扣除 1分，依此类推。</w:t>
      </w:r>
    </w:p>
    <w:p w14:paraId="189EFC9D">
      <w:pPr>
        <w:spacing w:line="560" w:lineRule="exact"/>
        <w:ind w:firstLine="480" w:firstLineChars="200"/>
        <w:outlineLvl w:val="0"/>
        <w:rPr>
          <w:rFonts w:ascii="仿宋" w:hAnsi="仿宋" w:eastAsia="仿宋"/>
          <w:color w:val="auto"/>
          <w:sz w:val="24"/>
        </w:rPr>
      </w:pPr>
      <w:r>
        <w:rPr>
          <w:rFonts w:hint="eastAsia" w:ascii="仿宋" w:hAnsi="仿宋" w:eastAsia="仿宋"/>
          <w:color w:val="auto"/>
          <w:sz w:val="24"/>
        </w:rPr>
        <w:t>(3)树头清理情况：实地检查山场枝桠清理残留情况，有无树干、树头、大的枝条残留，验收按10分制计，超过5%的扣除 1分，依此类推。</w:t>
      </w:r>
    </w:p>
    <w:p w14:paraId="1F07E272">
      <w:pPr>
        <w:spacing w:line="560" w:lineRule="exact"/>
        <w:ind w:firstLine="480" w:firstLineChars="200"/>
        <w:outlineLvl w:val="0"/>
        <w:rPr>
          <w:rFonts w:ascii="仿宋" w:hAnsi="仿宋" w:eastAsia="仿宋"/>
          <w:color w:val="auto"/>
          <w:sz w:val="24"/>
        </w:rPr>
      </w:pPr>
      <w:r>
        <w:rPr>
          <w:rFonts w:hint="eastAsia" w:ascii="仿宋" w:hAnsi="仿宋" w:eastAsia="仿宋"/>
          <w:color w:val="auto"/>
          <w:sz w:val="24"/>
        </w:rPr>
        <w:t>(4)枝条清理情况：实地检查山场枝桠清理残留情况，有无1㎝以上的枝条残留，验收按10分制计，超过5%的扣除 1分。</w:t>
      </w:r>
    </w:p>
    <w:p w14:paraId="37B98097">
      <w:pPr>
        <w:spacing w:line="560" w:lineRule="exact"/>
        <w:ind w:firstLine="480" w:firstLineChars="200"/>
        <w:outlineLvl w:val="0"/>
        <w:rPr>
          <w:rFonts w:hint="eastAsia" w:ascii="仿宋" w:hAnsi="仿宋" w:eastAsia="仿宋"/>
          <w:color w:val="auto"/>
          <w:sz w:val="24"/>
        </w:rPr>
      </w:pPr>
      <w:r>
        <w:rPr>
          <w:rFonts w:hint="eastAsia" w:ascii="仿宋" w:hAnsi="仿宋" w:eastAsia="仿宋"/>
          <w:color w:val="auto"/>
          <w:sz w:val="24"/>
        </w:rPr>
        <w:t xml:space="preserve"> (5)死松树流向：对照镇乡林业站登记情况，对清理下山死松树的流向进行检查，是否按规定运往定点加工企业，运往何地及数量。</w:t>
      </w:r>
    </w:p>
    <w:p w14:paraId="776E1E47">
      <w:pPr>
        <w:pStyle w:val="60"/>
        <w:snapToGrid w:val="0"/>
        <w:ind w:firstLine="480"/>
        <w:jc w:val="left"/>
        <w:rPr>
          <w:color w:val="auto"/>
        </w:rPr>
      </w:pPr>
      <w:r>
        <w:rPr>
          <w:rFonts w:hint="eastAsia" w:ascii="仿宋" w:hAnsi="仿宋" w:eastAsia="仿宋" w:cs="Times New Roman"/>
          <w:color w:val="auto"/>
          <w:kern w:val="2"/>
          <w:sz w:val="24"/>
          <w:szCs w:val="24"/>
          <w:lang w:val="en-US" w:eastAsia="zh-CN" w:bidi="ar-SA"/>
        </w:rPr>
        <w:t>（6）“数字森防”APP：核查比对上传数据的真实性，包括除治作业相关照片、除治作业定位数据、车辆过磅重量数据等。</w:t>
      </w:r>
    </w:p>
    <w:p w14:paraId="704DF2CE">
      <w:pPr>
        <w:spacing w:line="560" w:lineRule="exact"/>
        <w:ind w:firstLine="480" w:firstLineChars="200"/>
        <w:outlineLvl w:val="0"/>
        <w:rPr>
          <w:rFonts w:hint="eastAsia" w:ascii="仿宋" w:hAnsi="仿宋" w:eastAsia="仿宋"/>
          <w:color w:val="auto"/>
          <w:sz w:val="24"/>
          <w:lang w:val="en-US" w:eastAsia="zh-CN"/>
        </w:rPr>
      </w:pPr>
      <w:r>
        <w:rPr>
          <w:rFonts w:hint="eastAsia" w:ascii="仿宋" w:hAnsi="仿宋" w:eastAsia="仿宋"/>
          <w:color w:val="auto"/>
          <w:sz w:val="24"/>
        </w:rPr>
        <w:t>4. 验收采用百分制，实行倒扣记分法，验收得分90分（含）以上合格，90分以下不合格。第一次验收不合格的，按分值比例扣除相应比例的补助款（如：得分85分，响应扣除5%的补助款）清理山场发现枯死松树整根伐倒或拦腰砍断不加清理现象，验收为不合格。由</w:t>
      </w:r>
      <w:r>
        <w:rPr>
          <w:rFonts w:hint="eastAsia" w:ascii="仿宋" w:hAnsi="仿宋" w:eastAsia="仿宋"/>
          <w:color w:val="auto"/>
          <w:sz w:val="24"/>
          <w:lang w:eastAsia="zh-CN"/>
        </w:rPr>
        <w:t>市</w:t>
      </w:r>
      <w:r>
        <w:rPr>
          <w:rFonts w:hint="eastAsia" w:ascii="仿宋" w:hAnsi="仿宋" w:eastAsia="仿宋"/>
          <w:color w:val="auto"/>
          <w:sz w:val="24"/>
        </w:rPr>
        <w:t>松材线虫病</w:t>
      </w:r>
      <w:r>
        <w:rPr>
          <w:rFonts w:hint="eastAsia" w:ascii="仿宋" w:hAnsi="仿宋" w:eastAsia="仿宋"/>
          <w:color w:val="auto"/>
          <w:sz w:val="24"/>
          <w:lang w:eastAsia="zh-CN"/>
        </w:rPr>
        <w:t>防治</w:t>
      </w:r>
      <w:r>
        <w:rPr>
          <w:rFonts w:hint="eastAsia" w:ascii="仿宋" w:hAnsi="仿宋" w:eastAsia="仿宋"/>
          <w:color w:val="auto"/>
          <w:sz w:val="24"/>
        </w:rPr>
        <w:t>指挥部办公室将验收结果告知甲方，甲方应责令乙方整改并重新验收。</w:t>
      </w:r>
      <w:r>
        <w:rPr>
          <w:rFonts w:hint="eastAsia" w:ascii="仿宋_GB2312" w:hAnsi="仿宋" w:eastAsia="仿宋_GB2312" w:cs="仿宋_GB2312"/>
          <w:color w:val="auto"/>
          <w:lang w:eastAsia="zh-CN"/>
        </w:rPr>
        <w:t>省级“数字森防”每轮监理通报除治质量合格率低于全省平均水平的，</w:t>
      </w:r>
      <w:r>
        <w:rPr>
          <w:rFonts w:hint="eastAsia" w:ascii="仿宋" w:hAnsi="仿宋" w:eastAsia="仿宋"/>
          <w:color w:val="auto"/>
          <w:sz w:val="24"/>
          <w:lang w:val="en-US" w:eastAsia="zh-CN"/>
        </w:rPr>
        <w:t>扣除项目总补助款的5%；省、市局质量抽检通报批评一次或被判除治质量不合格的，扣除项目总补助款的10%。</w:t>
      </w:r>
      <w:r>
        <w:rPr>
          <w:rFonts w:hint="eastAsia" w:ascii="仿宋" w:hAnsi="仿宋" w:eastAsia="仿宋"/>
          <w:color w:val="auto"/>
          <w:sz w:val="24"/>
          <w:lang w:eastAsia="zh-CN"/>
        </w:rPr>
        <w:t>“数字森防”</w:t>
      </w:r>
      <w:r>
        <w:rPr>
          <w:rFonts w:hint="eastAsia" w:ascii="仿宋" w:hAnsi="仿宋" w:eastAsia="仿宋"/>
          <w:color w:val="auto"/>
          <w:sz w:val="24"/>
          <w:lang w:val="en-US" w:eastAsia="zh-CN"/>
        </w:rPr>
        <w:t>APP核查发现存在恶意数据造假行为，扣除项目总补助款的20%；若造成恶劣影响的，严肃追究相关人员的刑行责任。</w:t>
      </w:r>
    </w:p>
    <w:p w14:paraId="40B45B13">
      <w:pPr>
        <w:spacing w:line="560" w:lineRule="exact"/>
        <w:ind w:firstLine="482" w:firstLineChars="200"/>
        <w:outlineLvl w:val="0"/>
        <w:rPr>
          <w:rFonts w:ascii="仿宋" w:hAnsi="仿宋" w:eastAsia="仿宋"/>
          <w:b/>
          <w:color w:val="auto"/>
          <w:sz w:val="24"/>
        </w:rPr>
      </w:pPr>
      <w:r>
        <w:rPr>
          <w:rFonts w:ascii="仿宋" w:hAnsi="仿宋" w:eastAsia="仿宋"/>
          <w:b/>
          <w:color w:val="auto"/>
          <w:sz w:val="24"/>
        </w:rPr>
        <w:t>1.</w:t>
      </w:r>
      <w:r>
        <w:rPr>
          <w:rFonts w:hint="eastAsia" w:ascii="仿宋" w:hAnsi="仿宋" w:eastAsia="仿宋"/>
          <w:b/>
          <w:color w:val="auto"/>
          <w:sz w:val="24"/>
        </w:rPr>
        <w:t>8</w:t>
      </w:r>
      <w:r>
        <w:rPr>
          <w:rFonts w:ascii="仿宋" w:hAnsi="仿宋" w:eastAsia="仿宋"/>
          <w:b/>
          <w:color w:val="auto"/>
          <w:sz w:val="24"/>
        </w:rPr>
        <w:t xml:space="preserve"> </w:t>
      </w:r>
      <w:r>
        <w:rPr>
          <w:rFonts w:hint="eastAsia" w:ascii="仿宋" w:hAnsi="仿宋" w:eastAsia="仿宋"/>
          <w:b/>
          <w:color w:val="auto"/>
          <w:sz w:val="24"/>
        </w:rPr>
        <w:t>合同争议的解决</w:t>
      </w:r>
      <w:bookmarkEnd w:id="65"/>
      <w:bookmarkEnd w:id="66"/>
      <w:bookmarkEnd w:id="67"/>
    </w:p>
    <w:p w14:paraId="094FD00B">
      <w:pPr>
        <w:spacing w:line="560" w:lineRule="exact"/>
        <w:ind w:left="-61" w:leftChars="-29" w:right="-420" w:rightChars="-200" w:firstLine="240" w:firstLineChars="100"/>
        <w:rPr>
          <w:rFonts w:ascii="仿宋" w:hAnsi="仿宋" w:eastAsia="仿宋"/>
          <w:color w:val="auto"/>
          <w:sz w:val="24"/>
        </w:rPr>
      </w:pPr>
      <w:r>
        <w:rPr>
          <w:rFonts w:hint="eastAsia" w:ascii="仿宋" w:hAnsi="仿宋" w:eastAsia="仿宋"/>
          <w:color w:val="auto"/>
          <w:sz w:val="24"/>
        </w:rPr>
        <w:t xml:space="preserve">  本合同履行过程中发生的任何争议，双方当事人均可通过和解或者调解解决；不愿和解、调解或者和解、调解不成的，可以选择以下第</w:t>
      </w:r>
      <w:r>
        <w:rPr>
          <w:rFonts w:hint="eastAsia" w:ascii="仿宋" w:hAnsi="仿宋" w:eastAsia="仿宋"/>
          <w:b/>
          <w:i/>
          <w:color w:val="auto"/>
          <w:sz w:val="24"/>
          <w:u w:val="single"/>
        </w:rPr>
        <w:t xml:space="preserve"> 合同专用条款  </w:t>
      </w:r>
      <w:r>
        <w:rPr>
          <w:rFonts w:hint="eastAsia" w:ascii="仿宋" w:hAnsi="仿宋" w:eastAsia="仿宋"/>
          <w:color w:val="auto"/>
          <w:sz w:val="24"/>
        </w:rPr>
        <w:t>条款规定的方式解决：</w:t>
      </w:r>
    </w:p>
    <w:p w14:paraId="13D96AD9">
      <w:pPr>
        <w:spacing w:line="560" w:lineRule="exact"/>
        <w:ind w:right="-420" w:rightChars="-200" w:firstLine="424" w:firstLineChars="177"/>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8</w:t>
      </w:r>
      <w:r>
        <w:rPr>
          <w:rFonts w:ascii="仿宋" w:hAnsi="仿宋" w:eastAsia="仿宋"/>
          <w:color w:val="auto"/>
          <w:sz w:val="24"/>
        </w:rPr>
        <w:t xml:space="preserve">.1 </w:t>
      </w:r>
      <w:r>
        <w:rPr>
          <w:rFonts w:hint="eastAsia" w:ascii="仿宋" w:hAnsi="仿宋" w:eastAsia="仿宋"/>
          <w:color w:val="auto"/>
          <w:sz w:val="24"/>
        </w:rPr>
        <w:t>将争议提交</w:t>
      </w:r>
      <w:r>
        <w:rPr>
          <w:rFonts w:hint="eastAsia" w:ascii="仿宋" w:hAnsi="仿宋" w:eastAsia="仿宋"/>
          <w:b/>
          <w:i/>
          <w:color w:val="auto"/>
          <w:sz w:val="24"/>
          <w:u w:val="single"/>
        </w:rPr>
        <w:t>合同专用条款</w:t>
      </w:r>
      <w:r>
        <w:rPr>
          <w:rFonts w:hint="eastAsia" w:ascii="仿宋" w:hAnsi="仿宋" w:eastAsia="仿宋"/>
          <w:color w:val="auto"/>
          <w:sz w:val="24"/>
        </w:rPr>
        <w:t>仲裁委员会依申请仲裁时其现行有效的仲裁规则裁决；</w:t>
      </w:r>
    </w:p>
    <w:p w14:paraId="7983648A">
      <w:pPr>
        <w:spacing w:line="560" w:lineRule="exact"/>
        <w:ind w:right="-420" w:rightChars="-200" w:firstLine="424" w:firstLineChars="177"/>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8</w:t>
      </w:r>
      <w:r>
        <w:rPr>
          <w:rFonts w:ascii="仿宋" w:hAnsi="仿宋" w:eastAsia="仿宋"/>
          <w:color w:val="auto"/>
          <w:sz w:val="24"/>
        </w:rPr>
        <w:t xml:space="preserve">.2 </w:t>
      </w:r>
      <w:r>
        <w:rPr>
          <w:rFonts w:hint="eastAsia" w:ascii="仿宋" w:hAnsi="仿宋" w:eastAsia="仿宋"/>
          <w:color w:val="auto"/>
          <w:sz w:val="24"/>
        </w:rPr>
        <w:t>向</w:t>
      </w:r>
      <w:r>
        <w:rPr>
          <w:rFonts w:hint="eastAsia" w:ascii="仿宋" w:hAnsi="仿宋" w:eastAsia="仿宋"/>
          <w:b/>
          <w:i/>
          <w:color w:val="auto"/>
          <w:sz w:val="24"/>
          <w:u w:val="single"/>
        </w:rPr>
        <w:t>合同专用条款</w:t>
      </w:r>
      <w:r>
        <w:rPr>
          <w:rFonts w:hint="eastAsia" w:ascii="仿宋" w:hAnsi="仿宋" w:eastAsia="仿宋"/>
          <w:color w:val="auto"/>
          <w:sz w:val="24"/>
        </w:rPr>
        <w:t>人民法院起诉。</w:t>
      </w:r>
    </w:p>
    <w:p w14:paraId="70A9E83E">
      <w:pPr>
        <w:spacing w:line="560" w:lineRule="exact"/>
        <w:ind w:firstLine="482" w:firstLineChars="200"/>
        <w:outlineLvl w:val="0"/>
        <w:rPr>
          <w:rFonts w:ascii="仿宋" w:hAnsi="仿宋" w:eastAsia="仿宋"/>
          <w:b/>
          <w:color w:val="auto"/>
          <w:sz w:val="24"/>
        </w:rPr>
      </w:pPr>
      <w:bookmarkStart w:id="68" w:name="_Toc11173"/>
      <w:bookmarkStart w:id="69" w:name="_Toc7245"/>
      <w:bookmarkStart w:id="70" w:name="_Toc15322"/>
      <w:r>
        <w:rPr>
          <w:rFonts w:ascii="仿宋" w:hAnsi="仿宋" w:eastAsia="仿宋"/>
          <w:b/>
          <w:color w:val="auto"/>
          <w:sz w:val="24"/>
        </w:rPr>
        <w:t>1.</w:t>
      </w:r>
      <w:r>
        <w:rPr>
          <w:rFonts w:hint="eastAsia" w:ascii="仿宋" w:hAnsi="仿宋" w:eastAsia="仿宋"/>
          <w:b/>
          <w:color w:val="auto"/>
          <w:sz w:val="24"/>
        </w:rPr>
        <w:t>9</w:t>
      </w:r>
      <w:r>
        <w:rPr>
          <w:rFonts w:ascii="仿宋" w:hAnsi="仿宋" w:eastAsia="仿宋"/>
          <w:b/>
          <w:color w:val="auto"/>
          <w:sz w:val="24"/>
        </w:rPr>
        <w:t xml:space="preserve"> </w:t>
      </w:r>
      <w:r>
        <w:rPr>
          <w:rFonts w:hint="eastAsia" w:ascii="仿宋" w:hAnsi="仿宋" w:eastAsia="仿宋"/>
          <w:b/>
          <w:color w:val="auto"/>
          <w:sz w:val="24"/>
        </w:rPr>
        <w:t>合同生效</w:t>
      </w:r>
      <w:bookmarkEnd w:id="68"/>
      <w:bookmarkEnd w:id="69"/>
      <w:bookmarkEnd w:id="70"/>
    </w:p>
    <w:p w14:paraId="4688378E">
      <w:pPr>
        <w:spacing w:line="560" w:lineRule="exact"/>
        <w:ind w:firstLine="480" w:firstLineChars="200"/>
        <w:rPr>
          <w:rFonts w:ascii="仿宋" w:hAnsi="仿宋" w:eastAsia="仿宋"/>
          <w:color w:val="auto"/>
          <w:sz w:val="24"/>
        </w:rPr>
      </w:pPr>
      <w:r>
        <w:rPr>
          <w:rFonts w:hint="eastAsia" w:ascii="仿宋" w:hAnsi="仿宋" w:eastAsia="仿宋"/>
          <w:color w:val="auto"/>
          <w:sz w:val="24"/>
        </w:rPr>
        <w:t>1.9.1合同经双方法定代表人或授权委托代理人签字并加盖单位公章后生效。</w:t>
      </w:r>
    </w:p>
    <w:p w14:paraId="44B7FECF">
      <w:pPr>
        <w:spacing w:line="560" w:lineRule="exact"/>
        <w:ind w:firstLine="480" w:firstLineChars="200"/>
        <w:rPr>
          <w:rFonts w:ascii="仿宋" w:hAnsi="仿宋" w:eastAsia="仿宋"/>
          <w:color w:val="auto"/>
          <w:sz w:val="24"/>
        </w:rPr>
      </w:pPr>
      <w:r>
        <w:rPr>
          <w:rFonts w:hint="eastAsia" w:ascii="仿宋" w:hAnsi="仿宋" w:eastAsia="仿宋"/>
          <w:color w:val="auto"/>
          <w:sz w:val="24"/>
        </w:rPr>
        <w:t>1.9.2合同执行中涉及采购资金和采购内容修改或补充的，须经市财政部门审批，并签书面补充协议报政府采购监督管理部门备案，方可作为主合同不可分割的一部分。</w:t>
      </w:r>
    </w:p>
    <w:p w14:paraId="5CE5B923">
      <w:pPr>
        <w:spacing w:line="560" w:lineRule="exact"/>
        <w:ind w:firstLine="480" w:firstLineChars="200"/>
        <w:rPr>
          <w:rFonts w:ascii="仿宋" w:hAnsi="仿宋" w:eastAsia="仿宋"/>
          <w:color w:val="auto"/>
          <w:sz w:val="24"/>
        </w:rPr>
      </w:pPr>
      <w:r>
        <w:rPr>
          <w:rFonts w:hint="eastAsia" w:ascii="仿宋" w:hAnsi="仿宋" w:eastAsia="仿宋"/>
          <w:color w:val="auto"/>
          <w:sz w:val="24"/>
        </w:rPr>
        <w:t>1.9.3本合同未尽事宜，遵照《</w:t>
      </w:r>
      <w:r>
        <w:rPr>
          <w:rFonts w:hint="eastAsia" w:ascii="仿宋" w:hAnsi="仿宋" w:eastAsia="仿宋"/>
          <w:color w:val="auto"/>
          <w:sz w:val="24"/>
          <w:lang w:val="en-US" w:eastAsia="zh-CN"/>
        </w:rPr>
        <w:t>中华人民共和国民法典</w:t>
      </w:r>
      <w:r>
        <w:rPr>
          <w:rFonts w:hint="eastAsia" w:ascii="仿宋" w:hAnsi="仿宋" w:eastAsia="仿宋"/>
          <w:color w:val="auto"/>
          <w:sz w:val="24"/>
        </w:rPr>
        <w:t>》有关条文执行。</w:t>
      </w:r>
    </w:p>
    <w:p w14:paraId="5FFCA2FC">
      <w:pPr>
        <w:spacing w:line="560" w:lineRule="exact"/>
        <w:ind w:firstLine="480" w:firstLineChars="200"/>
        <w:rPr>
          <w:rFonts w:ascii="仿宋" w:hAnsi="仿宋" w:eastAsia="仿宋"/>
          <w:b/>
          <w:color w:val="auto"/>
          <w:sz w:val="24"/>
        </w:rPr>
      </w:pPr>
      <w:r>
        <w:rPr>
          <w:rFonts w:hint="eastAsia" w:ascii="仿宋" w:hAnsi="仿宋" w:eastAsia="仿宋"/>
          <w:color w:val="auto"/>
          <w:sz w:val="24"/>
        </w:rPr>
        <w:t>1.9.4本合同正本一式陆份，具有同等法律效力，甲乙双方各执两份；采购代理机构存档一份，政府采购管理部门备案一份。</w:t>
      </w:r>
    </w:p>
    <w:p w14:paraId="04F55DC7">
      <w:pPr>
        <w:autoSpaceDE w:val="0"/>
        <w:autoSpaceDN w:val="0"/>
        <w:spacing w:line="560" w:lineRule="exact"/>
        <w:rPr>
          <w:rFonts w:ascii="仿宋" w:hAnsi="仿宋" w:eastAsia="仿宋"/>
          <w:color w:val="auto"/>
          <w:sz w:val="24"/>
          <w:lang w:val="zh-CN"/>
        </w:rPr>
      </w:pPr>
    </w:p>
    <w:p w14:paraId="5DD633FF">
      <w:pPr>
        <w:autoSpaceDE w:val="0"/>
        <w:autoSpaceDN w:val="0"/>
        <w:spacing w:line="560" w:lineRule="exact"/>
        <w:rPr>
          <w:rFonts w:ascii="仿宋" w:hAnsi="仿宋" w:eastAsia="仿宋"/>
          <w:color w:val="auto"/>
          <w:sz w:val="24"/>
          <w:lang w:val="zh-CN"/>
        </w:rPr>
      </w:pPr>
      <w:r>
        <w:rPr>
          <w:rFonts w:hint="eastAsia" w:ascii="仿宋" w:hAnsi="仿宋" w:eastAsia="仿宋"/>
          <w:b/>
          <w:color w:val="auto"/>
          <w:sz w:val="24"/>
          <w:lang w:val="zh-CN"/>
        </w:rPr>
        <w:t>甲方</w:t>
      </w:r>
      <w:r>
        <w:rPr>
          <w:rFonts w:hint="eastAsia" w:ascii="仿宋" w:hAnsi="仿宋" w:eastAsia="仿宋"/>
          <w:color w:val="auto"/>
          <w:sz w:val="24"/>
          <w:lang w:val="zh-CN"/>
        </w:rPr>
        <w:t>：</w:t>
      </w:r>
      <w:r>
        <w:rPr>
          <w:rFonts w:ascii="仿宋" w:hAnsi="仿宋" w:eastAsia="仿宋"/>
          <w:color w:val="auto"/>
          <w:sz w:val="24"/>
          <w:lang w:val="zh-CN"/>
        </w:rPr>
        <w:t xml:space="preserve">                             </w:t>
      </w:r>
      <w:r>
        <w:rPr>
          <w:rFonts w:ascii="仿宋" w:hAnsi="仿宋" w:eastAsia="仿宋"/>
          <w:b/>
          <w:color w:val="auto"/>
          <w:sz w:val="24"/>
          <w:lang w:val="zh-CN"/>
        </w:rPr>
        <w:t xml:space="preserve">      乙方</w:t>
      </w:r>
      <w:r>
        <w:rPr>
          <w:rFonts w:hint="eastAsia" w:ascii="仿宋" w:hAnsi="仿宋" w:eastAsia="仿宋"/>
          <w:color w:val="auto"/>
          <w:sz w:val="24"/>
          <w:lang w:val="zh-CN"/>
        </w:rPr>
        <w:t>：</w:t>
      </w:r>
    </w:p>
    <w:p w14:paraId="52A41061">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统一社会信用代码：</w:t>
      </w:r>
      <w:r>
        <w:rPr>
          <w:rFonts w:ascii="仿宋" w:hAnsi="仿宋" w:eastAsia="仿宋"/>
          <w:color w:val="auto"/>
          <w:sz w:val="24"/>
          <w:lang w:val="zh-CN"/>
        </w:rPr>
        <w:t xml:space="preserve">                        </w:t>
      </w:r>
      <w:r>
        <w:rPr>
          <w:rFonts w:hint="eastAsia" w:ascii="仿宋" w:hAnsi="仿宋" w:eastAsia="仿宋"/>
          <w:color w:val="auto"/>
          <w:sz w:val="24"/>
          <w:lang w:val="zh-CN"/>
        </w:rPr>
        <w:t>统一社会信用代码或身份证号码：</w:t>
      </w:r>
    </w:p>
    <w:p w14:paraId="469CFCC7">
      <w:pPr>
        <w:autoSpaceDE w:val="0"/>
        <w:autoSpaceDN w:val="0"/>
        <w:spacing w:line="560" w:lineRule="exact"/>
        <w:rPr>
          <w:rFonts w:ascii="仿宋" w:hAnsi="仿宋" w:eastAsia="仿宋"/>
          <w:color w:val="auto"/>
          <w:sz w:val="24"/>
          <w:lang w:val="zh-CN"/>
        </w:rPr>
      </w:pPr>
    </w:p>
    <w:p w14:paraId="067ABAAA">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住所：</w:t>
      </w:r>
      <w:r>
        <w:rPr>
          <w:rFonts w:ascii="仿宋" w:hAnsi="仿宋" w:eastAsia="仿宋"/>
          <w:color w:val="auto"/>
          <w:sz w:val="24"/>
          <w:lang w:val="zh-CN"/>
        </w:rPr>
        <w:t xml:space="preserve">                                   </w:t>
      </w:r>
      <w:r>
        <w:rPr>
          <w:rFonts w:hint="eastAsia" w:ascii="仿宋" w:hAnsi="仿宋" w:eastAsia="仿宋"/>
          <w:color w:val="auto"/>
          <w:sz w:val="24"/>
          <w:lang w:val="zh-CN"/>
        </w:rPr>
        <w:t>住所：</w:t>
      </w:r>
    </w:p>
    <w:p w14:paraId="079A92F6">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法定代表人或</w:t>
      </w:r>
      <w:r>
        <w:rPr>
          <w:rFonts w:ascii="仿宋" w:hAnsi="仿宋" w:eastAsia="仿宋"/>
          <w:color w:val="auto"/>
          <w:sz w:val="24"/>
          <w:lang w:val="zh-CN"/>
        </w:rPr>
        <w:t xml:space="preserve">                             </w:t>
      </w:r>
      <w:r>
        <w:rPr>
          <w:rFonts w:hint="eastAsia" w:ascii="仿宋" w:hAnsi="仿宋" w:eastAsia="仿宋"/>
          <w:color w:val="auto"/>
          <w:sz w:val="24"/>
          <w:lang w:val="zh-CN"/>
        </w:rPr>
        <w:t>法定代表人</w:t>
      </w:r>
    </w:p>
    <w:p w14:paraId="20660413">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授权代表（签字）：</w:t>
      </w:r>
      <w:r>
        <w:rPr>
          <w:rFonts w:ascii="仿宋" w:hAnsi="仿宋" w:eastAsia="仿宋"/>
          <w:color w:val="auto"/>
          <w:sz w:val="24"/>
          <w:lang w:val="zh-CN"/>
        </w:rPr>
        <w:t xml:space="preserve">                        或授权代表（签字）: </w:t>
      </w:r>
    </w:p>
    <w:p w14:paraId="39577B53">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联系人：</w:t>
      </w:r>
      <w:r>
        <w:rPr>
          <w:rFonts w:ascii="仿宋" w:hAnsi="仿宋" w:eastAsia="仿宋"/>
          <w:color w:val="auto"/>
          <w:sz w:val="24"/>
          <w:lang w:val="zh-CN"/>
        </w:rPr>
        <w:t xml:space="preserve">                                 </w:t>
      </w:r>
      <w:r>
        <w:rPr>
          <w:rFonts w:hint="eastAsia" w:ascii="仿宋" w:hAnsi="仿宋" w:eastAsia="仿宋"/>
          <w:color w:val="auto"/>
          <w:sz w:val="24"/>
          <w:lang w:val="zh-CN"/>
        </w:rPr>
        <w:t>联系人：</w:t>
      </w:r>
    </w:p>
    <w:p w14:paraId="6F4B7BBF">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邮政编码：</w:t>
      </w:r>
      <w:r>
        <w:rPr>
          <w:rFonts w:ascii="仿宋" w:hAnsi="仿宋" w:eastAsia="仿宋"/>
          <w:color w:val="auto"/>
          <w:sz w:val="24"/>
          <w:lang w:val="zh-CN"/>
        </w:rPr>
        <w:t xml:space="preserve">                               </w:t>
      </w:r>
      <w:r>
        <w:rPr>
          <w:rFonts w:hint="eastAsia" w:ascii="仿宋" w:hAnsi="仿宋" w:eastAsia="仿宋"/>
          <w:color w:val="auto"/>
          <w:sz w:val="24"/>
          <w:lang w:val="zh-CN"/>
        </w:rPr>
        <w:t>邮政编码：</w:t>
      </w:r>
    </w:p>
    <w:p w14:paraId="36469386">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电话</w:t>
      </w:r>
      <w:r>
        <w:rPr>
          <w:rFonts w:ascii="仿宋" w:hAnsi="仿宋" w:eastAsia="仿宋"/>
          <w:color w:val="auto"/>
          <w:sz w:val="24"/>
          <w:lang w:val="zh-CN"/>
        </w:rPr>
        <w:t xml:space="preserve">:                                    电话: </w:t>
      </w:r>
    </w:p>
    <w:p w14:paraId="6553DA07">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传真</w:t>
      </w:r>
      <w:r>
        <w:rPr>
          <w:rFonts w:ascii="仿宋" w:hAnsi="仿宋" w:eastAsia="仿宋"/>
          <w:color w:val="auto"/>
          <w:sz w:val="24"/>
          <w:lang w:val="zh-CN"/>
        </w:rPr>
        <w:t xml:space="preserve">:                                    </w:t>
      </w:r>
      <w:r>
        <w:rPr>
          <w:rFonts w:hint="eastAsia" w:ascii="仿宋" w:hAnsi="仿宋" w:eastAsia="仿宋"/>
          <w:color w:val="auto"/>
          <w:sz w:val="24"/>
          <w:lang w:val="zh-CN"/>
        </w:rPr>
        <w:t>传真</w:t>
      </w:r>
      <w:r>
        <w:rPr>
          <w:rFonts w:ascii="仿宋" w:hAnsi="仿宋" w:eastAsia="仿宋"/>
          <w:color w:val="auto"/>
          <w:sz w:val="24"/>
          <w:lang w:val="zh-CN"/>
        </w:rPr>
        <w:t>:</w:t>
      </w:r>
    </w:p>
    <w:p w14:paraId="5C28CD68">
      <w:pPr>
        <w:autoSpaceDE w:val="0"/>
        <w:autoSpaceDN w:val="0"/>
        <w:spacing w:line="560" w:lineRule="exact"/>
        <w:rPr>
          <w:rFonts w:ascii="仿宋" w:hAnsi="仿宋" w:eastAsia="仿宋"/>
          <w:color w:val="auto"/>
          <w:sz w:val="24"/>
        </w:rPr>
      </w:pPr>
      <w:r>
        <w:rPr>
          <w:rFonts w:hint="eastAsia" w:ascii="仿宋" w:hAnsi="仿宋" w:eastAsia="仿宋"/>
          <w:color w:val="auto"/>
          <w:sz w:val="24"/>
        </w:rPr>
        <w:t>开户银行：</w:t>
      </w:r>
      <w:r>
        <w:rPr>
          <w:rFonts w:ascii="仿宋" w:hAnsi="仿宋" w:eastAsia="仿宋"/>
          <w:color w:val="auto"/>
          <w:sz w:val="24"/>
        </w:rPr>
        <w:t xml:space="preserve">                               开户银行： </w:t>
      </w:r>
    </w:p>
    <w:p w14:paraId="43CC2F7B">
      <w:pPr>
        <w:autoSpaceDE w:val="0"/>
        <w:autoSpaceDN w:val="0"/>
        <w:spacing w:line="560" w:lineRule="exact"/>
        <w:rPr>
          <w:rFonts w:ascii="仿宋" w:hAnsi="仿宋" w:eastAsia="仿宋"/>
          <w:color w:val="auto"/>
          <w:sz w:val="24"/>
        </w:rPr>
      </w:pPr>
      <w:r>
        <w:rPr>
          <w:rFonts w:hint="eastAsia" w:ascii="仿宋" w:hAnsi="仿宋" w:eastAsia="仿宋"/>
          <w:color w:val="auto"/>
          <w:sz w:val="24"/>
        </w:rPr>
        <w:t>开户名称：</w:t>
      </w:r>
      <w:r>
        <w:rPr>
          <w:rFonts w:ascii="仿宋" w:hAnsi="仿宋" w:eastAsia="仿宋"/>
          <w:color w:val="auto"/>
          <w:sz w:val="24"/>
        </w:rPr>
        <w:t xml:space="preserve">                               开户名称： </w:t>
      </w:r>
    </w:p>
    <w:p w14:paraId="1043E192">
      <w:pPr>
        <w:autoSpaceDE w:val="0"/>
        <w:autoSpaceDN w:val="0"/>
        <w:spacing w:line="560" w:lineRule="exact"/>
        <w:rPr>
          <w:rFonts w:ascii="仿宋" w:hAnsi="仿宋" w:eastAsia="仿宋"/>
          <w:color w:val="auto"/>
          <w:sz w:val="24"/>
        </w:rPr>
      </w:pPr>
      <w:r>
        <w:rPr>
          <w:rFonts w:hint="eastAsia" w:ascii="仿宋" w:hAnsi="仿宋" w:eastAsia="仿宋"/>
          <w:color w:val="auto"/>
          <w:sz w:val="24"/>
        </w:rPr>
        <w:t>开户账号：</w:t>
      </w:r>
      <w:r>
        <w:rPr>
          <w:rFonts w:ascii="仿宋" w:hAnsi="仿宋" w:eastAsia="仿宋"/>
          <w:color w:val="auto"/>
          <w:sz w:val="24"/>
          <w:lang w:val="zh-CN"/>
        </w:rPr>
        <w:t xml:space="preserve">                               </w:t>
      </w:r>
      <w:r>
        <w:rPr>
          <w:rFonts w:hint="eastAsia" w:ascii="仿宋" w:hAnsi="仿宋" w:eastAsia="仿宋"/>
          <w:color w:val="auto"/>
          <w:sz w:val="24"/>
        </w:rPr>
        <w:t>开户账号：</w:t>
      </w:r>
    </w:p>
    <w:p w14:paraId="2FFD8E39">
      <w:pPr>
        <w:pStyle w:val="2"/>
        <w:rPr>
          <w:color w:val="auto"/>
        </w:rPr>
      </w:pPr>
    </w:p>
    <w:p w14:paraId="78757354">
      <w:pPr>
        <w:spacing w:line="400" w:lineRule="exact"/>
        <w:rPr>
          <w:rFonts w:hint="eastAsia"/>
          <w:color w:val="auto"/>
          <w:sz w:val="24"/>
          <w:szCs w:val="24"/>
          <w:highlight w:val="none"/>
        </w:rPr>
      </w:pPr>
    </w:p>
    <w:p w14:paraId="1A8E800F">
      <w:pPr>
        <w:rPr>
          <w:rFonts w:hint="eastAsia" w:ascii="宋体" w:hAnsi="宋体" w:cs="宋体"/>
          <w:color w:val="auto"/>
          <w:sz w:val="24"/>
          <w:szCs w:val="24"/>
          <w:highlight w:val="none"/>
        </w:rPr>
      </w:pPr>
    </w:p>
    <w:p w14:paraId="60D4824A">
      <w:pPr>
        <w:pStyle w:val="34"/>
        <w:rPr>
          <w:rFonts w:hint="eastAsia" w:ascii="宋体" w:hAnsi="宋体" w:cs="宋体"/>
          <w:color w:val="auto"/>
          <w:sz w:val="24"/>
          <w:szCs w:val="24"/>
          <w:highlight w:val="none"/>
        </w:rPr>
      </w:pPr>
    </w:p>
    <w:p w14:paraId="7C731BDC">
      <w:pPr>
        <w:spacing w:line="420" w:lineRule="exact"/>
        <w:jc w:val="center"/>
        <w:rPr>
          <w:rFonts w:hint="eastAsia" w:ascii="宋体" w:hAnsi="宋体"/>
          <w:color w:val="auto"/>
          <w:sz w:val="24"/>
          <w:highlight w:val="none"/>
        </w:rPr>
      </w:pPr>
      <w:r>
        <w:rPr>
          <w:rFonts w:hint="eastAsia" w:ascii="宋体" w:hAnsi="宋体" w:cs="宋体"/>
          <w:b/>
          <w:color w:val="auto"/>
          <w:sz w:val="24"/>
          <w:highlight w:val="none"/>
        </w:rPr>
        <w:t>注：签订合同时，可以使用项目相关国家标准合同文本。</w:t>
      </w:r>
    </w:p>
    <w:p w14:paraId="055C3841">
      <w:pPr>
        <w:pageBreakBefore/>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政府采购廉洁承诺书</w:t>
      </w:r>
    </w:p>
    <w:p w14:paraId="44C8855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（中标人须将此表附在合同后）</w:t>
      </w:r>
    </w:p>
    <w:p w14:paraId="7482E435">
      <w:pPr>
        <w:spacing w:line="360" w:lineRule="auto"/>
        <w:jc w:val="center"/>
        <w:rPr>
          <w:rFonts w:hint="eastAsia" w:ascii="宋体" w:hAnsi="宋体" w:eastAsia="宋体" w:cs="宋体"/>
          <w:b/>
          <w:color w:val="auto"/>
          <w:sz w:val="24"/>
          <w:highlight w:val="none"/>
        </w:rPr>
      </w:pPr>
    </w:p>
    <w:p w14:paraId="3C3E689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项目编号：</w:t>
      </w:r>
    </w:p>
    <w:p w14:paraId="318CCE1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w:t>
      </w:r>
    </w:p>
    <w:p w14:paraId="393FC33E">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14:paraId="6F25BB8A">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第一条参与政府采购活动时，除具备采购文件规定的资格、资质要求外，我方还将严格遵守有关法律、法规、政策以及国家、地方关于廉政建设的各项规定。</w:t>
      </w:r>
    </w:p>
    <w:p w14:paraId="72623B62">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第二条遵循公开、公平、公正、诚实信用原则，不发生损害上述原则及各方当事人合法权益得不正当竞争行为。</w:t>
      </w:r>
    </w:p>
    <w:p w14:paraId="13C04516">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第三条与政府采购各方当事人保持正常的业务交往，不向采购人、采购代理机构、监督机构、评审专家、工作人员及其他参与采购活动的人员提供不正当利益。主要有：</w:t>
      </w:r>
    </w:p>
    <w:p w14:paraId="48F99A6D">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（一）向上述人员赠送礼金、有价证券、贵重物品及回扣、好处费、感谢费等。</w:t>
      </w:r>
    </w:p>
    <w:p w14:paraId="56D3E694">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（二）为上述人员或单位报销应由对方支付的费用。</w:t>
      </w:r>
    </w:p>
    <w:p w14:paraId="44B997B1">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（三）暗示为上述人员装修住房、婚丧嫁娶、配偶子女的工作安排以及出国（境）、旅游等提供方便。</w:t>
      </w:r>
    </w:p>
    <w:p w14:paraId="2370DF94">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（四）为上述人员或单位提供可能影响采购活动开展的宴请、健身、娱乐等活动。</w:t>
      </w:r>
    </w:p>
    <w:p w14:paraId="391289DD">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第四条严格执行采购合同，自觉按合同办事；在合同执行过程中，不发生本承诺书第三条中所列不良行为。    </w:t>
      </w:r>
    </w:p>
    <w:p w14:paraId="03838996">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第五条 发现采购活动各方当事人有违规、违纪、违法行为的，及时提醒对方，情节严重的，主动向其主管部门或纪检监察、司法等机关举报。</w:t>
      </w:r>
    </w:p>
    <w:p w14:paraId="1EDCC424">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第六条 自觉接受政府采购管理部门的监管。在采购活动中出现违反本承诺书规定行为的，自觉接受政府采购管理部门的处罚，因违法违规行为给其他当事人造成经济损失的，按规定予以赔偿。</w:t>
      </w:r>
    </w:p>
    <w:p w14:paraId="1DBA8746">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第七条 本承诺书自签署之日起生效。</w:t>
      </w:r>
    </w:p>
    <w:p w14:paraId="0A1E0E12">
      <w:pPr>
        <w:spacing w:line="360" w:lineRule="auto"/>
        <w:ind w:left="840" w:hanging="840" w:hangingChars="350"/>
        <w:jc w:val="center"/>
        <w:rPr>
          <w:rFonts w:hint="eastAsia" w:ascii="宋体" w:hAnsi="宋体" w:eastAsia="宋体" w:cs="宋体"/>
          <w:color w:val="auto"/>
          <w:sz w:val="24"/>
          <w:highlight w:val="none"/>
        </w:rPr>
      </w:pPr>
    </w:p>
    <w:p w14:paraId="4B590BE7">
      <w:pPr>
        <w:spacing w:line="360" w:lineRule="auto"/>
        <w:ind w:left="840" w:hanging="840" w:hangingChars="3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投标人（盖章）：</w:t>
      </w:r>
    </w:p>
    <w:p w14:paraId="4E161531">
      <w:pPr>
        <w:spacing w:line="360" w:lineRule="auto"/>
        <w:ind w:left="840" w:hanging="840" w:hanging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w:t>
      </w:r>
    </w:p>
    <w:p w14:paraId="34C8F265">
      <w:pPr>
        <w:spacing w:line="360" w:lineRule="auto"/>
        <w:ind w:left="840" w:hanging="840" w:hanging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3D323942">
      <w:pPr>
        <w:spacing w:line="360" w:lineRule="auto"/>
        <w:ind w:left="840" w:hanging="840" w:hangingChars="350"/>
        <w:rPr>
          <w:rFonts w:hint="eastAsia" w:ascii="宋体" w:hAnsi="宋体" w:eastAsia="宋体" w:cs="宋体"/>
          <w:color w:val="auto"/>
          <w:sz w:val="24"/>
          <w:highlight w:val="none"/>
        </w:rPr>
      </w:pPr>
    </w:p>
    <w:p w14:paraId="487405BD">
      <w:pPr>
        <w:pStyle w:val="3"/>
        <w:jc w:val="center"/>
        <w:rPr>
          <w:rFonts w:hint="eastAsia" w:ascii="宋体" w:hAnsi="宋体" w:eastAsia="宋体" w:cs="宋体"/>
          <w:color w:val="auto"/>
          <w:sz w:val="24"/>
          <w:szCs w:val="24"/>
          <w:highlight w:val="none"/>
        </w:rPr>
      </w:pPr>
      <w:bookmarkStart w:id="71" w:name="_Toc13445"/>
      <w:r>
        <w:rPr>
          <w:rFonts w:hint="eastAsia" w:ascii="宋体" w:hAnsi="宋体" w:eastAsia="宋体" w:cs="宋体"/>
          <w:color w:val="auto"/>
          <w:sz w:val="24"/>
          <w:szCs w:val="24"/>
          <w:highlight w:val="none"/>
        </w:rPr>
        <w:t>第六章　投标文件组成内容及格式</w:t>
      </w:r>
      <w:bookmarkEnd w:id="71"/>
    </w:p>
    <w:bookmarkEnd w:id="41"/>
    <w:bookmarkEnd w:id="42"/>
    <w:p w14:paraId="0A017B46">
      <w:pPr>
        <w:pStyle w:val="12"/>
        <w:spacing w:before="120" w:after="120" w:line="360" w:lineRule="auto"/>
        <w:rPr>
          <w:rFonts w:hint="eastAsia" w:ascii="宋体" w:hAnsi="宋体" w:eastAsia="宋体" w:cs="宋体"/>
          <w:color w:val="auto"/>
          <w:szCs w:val="24"/>
          <w:highlight w:val="none"/>
          <w:u w:val="single"/>
        </w:rPr>
      </w:pPr>
    </w:p>
    <w:p w14:paraId="19FAFB6D">
      <w:pPr>
        <w:pStyle w:val="4"/>
        <w:jc w:val="center"/>
        <w:rPr>
          <w:rFonts w:ascii="宋体" w:hAnsi="宋体" w:eastAsia="宋体" w:cs="宋体"/>
          <w:b w:val="0"/>
          <w:color w:val="auto"/>
          <w:sz w:val="28"/>
          <w:szCs w:val="28"/>
        </w:rPr>
      </w:pPr>
      <w:bookmarkStart w:id="72" w:name="_Toc696"/>
      <w:bookmarkStart w:id="73" w:name="_Toc405368940"/>
      <w:r>
        <w:rPr>
          <w:rFonts w:hint="eastAsia" w:ascii="宋体" w:hAnsi="宋体" w:eastAsia="宋体" w:cs="宋体"/>
          <w:b w:val="0"/>
          <w:color w:val="auto"/>
          <w:sz w:val="28"/>
          <w:szCs w:val="28"/>
        </w:rPr>
        <w:t>一、纸质投标文件封面格式</w:t>
      </w:r>
      <w:bookmarkEnd w:id="72"/>
      <w:bookmarkEnd w:id="73"/>
    </w:p>
    <w:p w14:paraId="26F9CE19">
      <w:pPr>
        <w:rPr>
          <w:rFonts w:ascii="宋体" w:hAnsi="宋体" w:cs="宋体"/>
          <w:color w:val="auto"/>
          <w:sz w:val="24"/>
        </w:rPr>
      </w:pPr>
    </w:p>
    <w:p w14:paraId="27EF8C8A">
      <w:pPr>
        <w:rPr>
          <w:rFonts w:ascii="宋体" w:hAnsi="宋体" w:cs="宋体"/>
          <w:color w:val="auto"/>
          <w:sz w:val="24"/>
        </w:rPr>
      </w:pPr>
    </w:p>
    <w:p w14:paraId="01B1E2C6">
      <w:pPr>
        <w:rPr>
          <w:rFonts w:ascii="宋体" w:hAnsi="宋体" w:cs="宋体"/>
          <w:color w:val="auto"/>
          <w:sz w:val="24"/>
        </w:rPr>
      </w:pPr>
    </w:p>
    <w:p w14:paraId="343DD3AE">
      <w:pPr>
        <w:spacing w:line="360" w:lineRule="auto"/>
        <w:rPr>
          <w:rFonts w:ascii="宋体" w:hAnsi="宋体" w:cs="宋体"/>
          <w:color w:val="auto"/>
          <w:sz w:val="24"/>
        </w:rPr>
      </w:pPr>
      <w:r>
        <w:rPr>
          <w:rFonts w:hint="eastAsia" w:ascii="宋体" w:hAnsi="宋体" w:cs="宋体"/>
          <w:color w:val="auto"/>
          <w:sz w:val="24"/>
        </w:rPr>
        <w:t xml:space="preserve">1.纸质投标文件封面格式： </w:t>
      </w:r>
    </w:p>
    <w:p w14:paraId="794F989E">
      <w:pPr>
        <w:spacing w:line="360" w:lineRule="auto"/>
        <w:rPr>
          <w:rFonts w:ascii="宋体" w:hAnsi="宋体" w:cs="宋体"/>
          <w:color w:val="auto"/>
          <w:sz w:val="24"/>
        </w:rPr>
      </w:pPr>
      <w:r>
        <w:rPr>
          <w:rFonts w:hint="eastAsia" w:ascii="宋体" w:hAnsi="宋体" w:cs="宋体"/>
          <w:color w:val="auto"/>
          <w:sz w:val="24"/>
        </w:rPr>
        <w:t xml:space="preserve">                                                    正本/或副本</w:t>
      </w:r>
    </w:p>
    <w:p w14:paraId="73019A6E">
      <w:pPr>
        <w:spacing w:line="360" w:lineRule="auto"/>
        <w:rPr>
          <w:rFonts w:ascii="宋体" w:hAnsi="宋体" w:cs="宋体"/>
          <w:color w:val="auto"/>
          <w:sz w:val="24"/>
        </w:rPr>
      </w:pPr>
    </w:p>
    <w:p w14:paraId="0B4255AC">
      <w:pPr>
        <w:spacing w:line="360" w:lineRule="auto"/>
        <w:rPr>
          <w:rFonts w:ascii="宋体" w:hAnsi="宋体" w:cs="宋体"/>
          <w:color w:val="auto"/>
          <w:sz w:val="24"/>
        </w:rPr>
      </w:pPr>
    </w:p>
    <w:p w14:paraId="5A5484CB">
      <w:pPr>
        <w:spacing w:line="360" w:lineRule="auto"/>
        <w:rPr>
          <w:rFonts w:ascii="宋体" w:hAnsi="宋体" w:cs="宋体"/>
          <w:color w:val="auto"/>
          <w:sz w:val="24"/>
        </w:rPr>
      </w:pPr>
    </w:p>
    <w:p w14:paraId="32F6CE43">
      <w:pPr>
        <w:spacing w:line="360" w:lineRule="auto"/>
        <w:rPr>
          <w:rFonts w:ascii="宋体" w:hAnsi="宋体" w:cs="宋体"/>
          <w:color w:val="auto"/>
          <w:sz w:val="24"/>
        </w:rPr>
      </w:pPr>
    </w:p>
    <w:p w14:paraId="5870BB51">
      <w:pPr>
        <w:spacing w:line="360" w:lineRule="auto"/>
        <w:rPr>
          <w:rFonts w:ascii="宋体" w:hAnsi="宋体" w:cs="宋体"/>
          <w:color w:val="auto"/>
          <w:sz w:val="24"/>
        </w:rPr>
      </w:pPr>
    </w:p>
    <w:p w14:paraId="54473FD3">
      <w:pPr>
        <w:spacing w:line="480" w:lineRule="auto"/>
        <w:rPr>
          <w:rFonts w:ascii="宋体" w:hAnsi="宋体" w:cs="宋体"/>
          <w:color w:val="auto"/>
          <w:sz w:val="24"/>
        </w:rPr>
      </w:pPr>
      <w:r>
        <w:rPr>
          <w:rFonts w:hint="eastAsia" w:ascii="宋体" w:hAnsi="宋体" w:cs="宋体"/>
          <w:color w:val="auto"/>
          <w:sz w:val="24"/>
        </w:rPr>
        <w:t>资格审查文件、商务技术文件、报价文件（相应选择一个投标文件封面外包装名称）</w:t>
      </w:r>
    </w:p>
    <w:p w14:paraId="6339DDF2">
      <w:pPr>
        <w:spacing w:line="480" w:lineRule="auto"/>
        <w:rPr>
          <w:rFonts w:hint="eastAsia" w:ascii="宋体" w:hAnsi="宋体" w:eastAsia="宋体" w:cs="宋体"/>
          <w:color w:val="auto"/>
          <w:sz w:val="24"/>
          <w:lang w:eastAsia="zh-CN"/>
        </w:rPr>
      </w:pPr>
      <w:r>
        <w:rPr>
          <w:rFonts w:hint="eastAsia" w:ascii="宋体" w:hAnsi="宋体" w:cs="宋体"/>
          <w:color w:val="auto"/>
          <w:sz w:val="24"/>
        </w:rPr>
        <w:t>项目名称：</w:t>
      </w:r>
      <w:r>
        <w:rPr>
          <w:rFonts w:hint="eastAsia" w:ascii="宋体" w:hAnsi="宋体" w:cs="宋体"/>
          <w:color w:val="auto"/>
          <w:sz w:val="24"/>
          <w:lang w:eastAsia="zh-CN"/>
        </w:rPr>
        <w:t>东阳市白云街道2024-2025年度枯死松树清理项目</w:t>
      </w:r>
    </w:p>
    <w:p w14:paraId="72030E3C">
      <w:pPr>
        <w:spacing w:line="480" w:lineRule="auto"/>
        <w:rPr>
          <w:rFonts w:ascii="宋体" w:hAnsi="宋体" w:cs="宋体"/>
          <w:color w:val="auto"/>
          <w:sz w:val="24"/>
        </w:rPr>
      </w:pPr>
      <w:r>
        <w:rPr>
          <w:rFonts w:hint="eastAsia" w:ascii="宋体" w:hAnsi="宋体" w:cs="宋体"/>
          <w:color w:val="auto"/>
          <w:sz w:val="24"/>
        </w:rPr>
        <w:t>项目编号：</w:t>
      </w:r>
      <w:r>
        <w:rPr>
          <w:rFonts w:hint="eastAsia" w:ascii="宋体" w:hAnsi="宋体" w:cs="宋体"/>
          <w:color w:val="auto"/>
          <w:sz w:val="24"/>
          <w:lang w:eastAsia="zh-CN"/>
        </w:rPr>
        <w:t>ZJQZGX2024-024</w:t>
      </w:r>
      <w:r>
        <w:rPr>
          <w:rFonts w:hint="eastAsia" w:ascii="宋体" w:hAnsi="宋体" w:cs="宋体"/>
          <w:color w:val="auto"/>
          <w:sz w:val="24"/>
        </w:rPr>
        <w:t xml:space="preserve"> </w:t>
      </w:r>
    </w:p>
    <w:p w14:paraId="55724C1C">
      <w:pPr>
        <w:spacing w:line="480" w:lineRule="auto"/>
        <w:rPr>
          <w:rFonts w:ascii="宋体" w:hAnsi="宋体" w:cs="宋体"/>
          <w:color w:val="auto"/>
          <w:sz w:val="24"/>
        </w:rPr>
      </w:pPr>
      <w:r>
        <w:rPr>
          <w:rFonts w:hint="eastAsia" w:ascii="宋体" w:hAnsi="宋体" w:cs="宋体"/>
          <w:color w:val="auto"/>
          <w:sz w:val="24"/>
        </w:rPr>
        <w:t>投标人名称：</w:t>
      </w:r>
    </w:p>
    <w:p w14:paraId="1009F497">
      <w:pPr>
        <w:spacing w:line="480" w:lineRule="auto"/>
        <w:rPr>
          <w:rFonts w:ascii="宋体" w:hAnsi="宋体" w:cs="宋体"/>
          <w:color w:val="auto"/>
          <w:sz w:val="24"/>
        </w:rPr>
      </w:pPr>
      <w:r>
        <w:rPr>
          <w:rFonts w:hint="eastAsia" w:ascii="宋体" w:hAnsi="宋体" w:cs="宋体"/>
          <w:color w:val="auto"/>
          <w:sz w:val="24"/>
        </w:rPr>
        <w:t>投标人地址：</w:t>
      </w:r>
    </w:p>
    <w:p w14:paraId="30B8B965">
      <w:pPr>
        <w:spacing w:line="480" w:lineRule="auto"/>
        <w:rPr>
          <w:rFonts w:ascii="宋体" w:hAnsi="宋体" w:cs="宋体"/>
          <w:color w:val="auto"/>
          <w:sz w:val="24"/>
        </w:rPr>
      </w:pPr>
      <w:r>
        <w:rPr>
          <w:rFonts w:hint="eastAsia" w:ascii="宋体" w:hAnsi="宋体" w:cs="宋体"/>
          <w:color w:val="auto"/>
          <w:sz w:val="24"/>
        </w:rPr>
        <w:t xml:space="preserve">       </w:t>
      </w:r>
    </w:p>
    <w:p w14:paraId="0C6D00CC">
      <w:pPr>
        <w:spacing w:line="480" w:lineRule="auto"/>
        <w:rPr>
          <w:rFonts w:ascii="宋体" w:hAnsi="宋体" w:cs="宋体"/>
          <w:color w:val="auto"/>
          <w:sz w:val="24"/>
        </w:rPr>
      </w:pPr>
      <w:r>
        <w:rPr>
          <w:rFonts w:hint="eastAsia" w:ascii="宋体" w:hAnsi="宋体" w:cs="宋体"/>
          <w:color w:val="auto"/>
          <w:sz w:val="24"/>
        </w:rPr>
        <w:t xml:space="preserve">                                                   年   月   日</w:t>
      </w:r>
    </w:p>
    <w:p w14:paraId="7B704F40">
      <w:pPr>
        <w:spacing w:line="360" w:lineRule="auto"/>
        <w:rPr>
          <w:rFonts w:ascii="宋体" w:hAnsi="宋体" w:cs="宋体"/>
          <w:color w:val="auto"/>
          <w:sz w:val="24"/>
        </w:rPr>
      </w:pPr>
    </w:p>
    <w:p w14:paraId="6BE8FAC0">
      <w:pPr>
        <w:rPr>
          <w:rFonts w:ascii="宋体" w:hAnsi="宋体" w:cs="宋体"/>
          <w:color w:val="auto"/>
          <w:sz w:val="24"/>
        </w:rPr>
      </w:pPr>
    </w:p>
    <w:p w14:paraId="797954C0">
      <w:pPr>
        <w:rPr>
          <w:rFonts w:ascii="宋体" w:hAnsi="宋体" w:cs="宋体"/>
          <w:color w:val="auto"/>
          <w:sz w:val="24"/>
        </w:rPr>
      </w:pPr>
    </w:p>
    <w:p w14:paraId="1A427E38">
      <w:pPr>
        <w:spacing w:line="360" w:lineRule="auto"/>
        <w:rPr>
          <w:rFonts w:ascii="宋体" w:hAnsi="宋体" w:cs="宋体"/>
          <w:b/>
          <w:color w:val="auto"/>
          <w:sz w:val="24"/>
        </w:rPr>
      </w:pPr>
    </w:p>
    <w:p w14:paraId="5E2E0FA5">
      <w:pPr>
        <w:pStyle w:val="2"/>
        <w:rPr>
          <w:rFonts w:ascii="宋体" w:hAnsi="宋体" w:cs="宋体"/>
          <w:b/>
          <w:color w:val="auto"/>
          <w:sz w:val="24"/>
        </w:rPr>
      </w:pPr>
    </w:p>
    <w:p w14:paraId="6E941694">
      <w:pPr>
        <w:pStyle w:val="9"/>
        <w:rPr>
          <w:color w:val="auto"/>
        </w:rPr>
      </w:pPr>
    </w:p>
    <w:p w14:paraId="64874AD2">
      <w:pPr>
        <w:pStyle w:val="21"/>
        <w:ind w:firstLine="600"/>
        <w:rPr>
          <w:color w:val="auto"/>
        </w:rPr>
      </w:pPr>
    </w:p>
    <w:p w14:paraId="51D4B06C">
      <w:pPr>
        <w:pStyle w:val="8"/>
        <w:rPr>
          <w:color w:val="auto"/>
        </w:rPr>
      </w:pPr>
    </w:p>
    <w:p w14:paraId="2B9C5801">
      <w:pPr>
        <w:spacing w:line="380" w:lineRule="exact"/>
        <w:rPr>
          <w:rFonts w:ascii="宋体" w:hAnsi="宋体" w:cs="宋体"/>
          <w:b/>
          <w:color w:val="auto"/>
          <w:sz w:val="24"/>
        </w:rPr>
      </w:pPr>
      <w:r>
        <w:rPr>
          <w:rFonts w:hint="eastAsia" w:ascii="宋体" w:hAnsi="宋体" w:cs="宋体"/>
          <w:b/>
          <w:color w:val="auto"/>
          <w:sz w:val="24"/>
        </w:rPr>
        <w:t>2.资格审查文件：</w:t>
      </w:r>
    </w:p>
    <w:p w14:paraId="2697E69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olor w:val="auto"/>
          <w:sz w:val="24"/>
          <w:highlight w:val="none"/>
        </w:rPr>
        <w:t>营业执照复印件；</w:t>
      </w:r>
    </w:p>
    <w:p w14:paraId="11EAACF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）法定代表人身份证复印件或法定代表人授权委托书(格式见附件)；</w:t>
      </w:r>
    </w:p>
    <w:p w14:paraId="6492C15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eastAsia="zh-CN"/>
        </w:rPr>
        <w:t>符合参加政府采购活动应当具备的一般条件的承诺函（格式见附件）；</w:t>
      </w:r>
    </w:p>
    <w:p w14:paraId="59AF4731">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DCCF8BE">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）浙江政府采购网注册正式供应商的网络截图或承诺中标后30天内注册为浙江政府采购网正式供应商（须提供承诺书）；</w:t>
      </w:r>
    </w:p>
    <w:p w14:paraId="05997C87">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）东阳市政府采购代理机构社会评价表（格式见附件）；</w:t>
      </w:r>
    </w:p>
    <w:p w14:paraId="2567F860">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）投标声明书 (格式见附件) ；</w:t>
      </w:r>
    </w:p>
    <w:p w14:paraId="6F5EC605">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）政府采购活动现场确认声明书 (格式见附件) ；</w:t>
      </w:r>
    </w:p>
    <w:p w14:paraId="16352622">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）联合体协议书/分包意向协议；（联合体投标/分包时提供，格式见附件）；</w:t>
      </w:r>
    </w:p>
    <w:p w14:paraId="3D358F01">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）中小企业声明函（格式见附件）；</w:t>
      </w:r>
    </w:p>
    <w:p w14:paraId="1D5DB0A1">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）投标人情况介绍；</w:t>
      </w:r>
    </w:p>
    <w:p w14:paraId="1D788229">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）投标人认为有必要提供的其它文件。</w:t>
      </w:r>
    </w:p>
    <w:p w14:paraId="4B29B8A5">
      <w:pPr>
        <w:spacing w:line="420" w:lineRule="exact"/>
        <w:rPr>
          <w:rFonts w:ascii="宋体" w:hAnsi="宋体"/>
          <w:b/>
          <w:bCs/>
          <w:color w:val="auto"/>
          <w:sz w:val="24"/>
        </w:rPr>
      </w:pPr>
      <w:r>
        <w:rPr>
          <w:rFonts w:hint="eastAsia" w:ascii="宋体" w:hAnsi="宋体"/>
          <w:b/>
          <w:bCs/>
          <w:color w:val="auto"/>
          <w:sz w:val="24"/>
        </w:rPr>
        <w:t>2.商务技术文件</w:t>
      </w:r>
    </w:p>
    <w:p w14:paraId="49ECF67E">
      <w:pPr>
        <w:spacing w:line="360" w:lineRule="auto"/>
        <w:rPr>
          <w:rFonts w:hint="eastAsia" w:ascii="宋体" w:hAnsi="宋体"/>
          <w:color w:val="auto"/>
          <w:sz w:val="24"/>
          <w:highlight w:val="none"/>
        </w:rPr>
      </w:pPr>
      <w:r>
        <w:rPr>
          <w:rFonts w:hint="eastAsia" w:ascii="宋体" w:hAnsi="宋体"/>
          <w:color w:val="auto"/>
          <w:sz w:val="24"/>
          <w:highlight w:val="none"/>
        </w:rPr>
        <w:t>（1）投标人资信商务、技术自评得分表（格式见附件）；</w:t>
      </w:r>
    </w:p>
    <w:p w14:paraId="615A12B0">
      <w:pPr>
        <w:spacing w:line="360" w:lineRule="auto"/>
        <w:rPr>
          <w:rFonts w:hint="eastAsia" w:ascii="宋体" w:hAnsi="宋体"/>
          <w:color w:val="auto"/>
          <w:sz w:val="24"/>
          <w:highlight w:val="none"/>
        </w:rPr>
      </w:pPr>
      <w:r>
        <w:rPr>
          <w:rFonts w:hint="eastAsia" w:ascii="宋体" w:hAnsi="宋体"/>
          <w:color w:val="auto"/>
          <w:sz w:val="24"/>
          <w:highlight w:val="none"/>
        </w:rPr>
        <w:t>（2）商务响应表（格式见附件）；</w:t>
      </w:r>
    </w:p>
    <w:p w14:paraId="544312B7">
      <w:pPr>
        <w:spacing w:line="360" w:lineRule="auto"/>
        <w:rPr>
          <w:rFonts w:hint="eastAsia" w:ascii="宋体" w:hAnsi="宋体"/>
          <w:color w:val="auto"/>
          <w:sz w:val="24"/>
          <w:highlight w:val="none"/>
        </w:rPr>
      </w:pPr>
      <w:r>
        <w:rPr>
          <w:rFonts w:hint="eastAsia" w:ascii="宋体" w:hAnsi="宋体"/>
          <w:color w:val="auto"/>
          <w:sz w:val="24"/>
          <w:highlight w:val="none"/>
        </w:rPr>
        <w:t>（3）技术响应表（格式见附件）；</w:t>
      </w:r>
    </w:p>
    <w:p w14:paraId="32E0754E">
      <w:pPr>
        <w:spacing w:line="360" w:lineRule="auto"/>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同类项目业绩</w:t>
      </w:r>
      <w:r>
        <w:rPr>
          <w:rFonts w:hint="eastAsia" w:ascii="宋体" w:hAnsi="宋体"/>
          <w:color w:val="auto"/>
          <w:sz w:val="24"/>
          <w:highlight w:val="none"/>
        </w:rPr>
        <w:t>；</w:t>
      </w:r>
    </w:p>
    <w:p w14:paraId="0FD64F47">
      <w:pPr>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hint="eastAsia" w:eastAsia="宋体"/>
          <w:color w:val="auto"/>
          <w:sz w:val="21"/>
        </w:rPr>
        <w:t>企业保障</w:t>
      </w:r>
      <w:r>
        <w:rPr>
          <w:rFonts w:hint="eastAsia" w:ascii="宋体" w:hAnsi="宋体"/>
          <w:color w:val="auto"/>
          <w:sz w:val="24"/>
          <w:highlight w:val="none"/>
        </w:rPr>
        <w:t>；</w:t>
      </w:r>
    </w:p>
    <w:p w14:paraId="1FB90AEF">
      <w:pPr>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）企业证书；</w:t>
      </w:r>
    </w:p>
    <w:p w14:paraId="07341B54">
      <w:pPr>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7</w:t>
      </w:r>
      <w:r>
        <w:rPr>
          <w:rFonts w:hint="eastAsia" w:ascii="宋体" w:hAnsi="宋体"/>
          <w:color w:val="auto"/>
          <w:sz w:val="24"/>
          <w:highlight w:val="none"/>
        </w:rPr>
        <w:t>）售后服务方案；</w:t>
      </w:r>
    </w:p>
    <w:p w14:paraId="2CC843B8">
      <w:pPr>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）调研情况；</w:t>
      </w:r>
    </w:p>
    <w:p w14:paraId="1FE63496">
      <w:pPr>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9</w:t>
      </w:r>
      <w:r>
        <w:rPr>
          <w:rFonts w:hint="eastAsia" w:ascii="宋体" w:hAnsi="宋体"/>
          <w:color w:val="auto"/>
          <w:sz w:val="24"/>
          <w:highlight w:val="none"/>
        </w:rPr>
        <w:t>）履约保障；</w:t>
      </w:r>
    </w:p>
    <w:p w14:paraId="53A03AFE">
      <w:pPr>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10</w:t>
      </w:r>
      <w:r>
        <w:rPr>
          <w:rFonts w:hint="eastAsia" w:ascii="宋体" w:hAnsi="宋体"/>
          <w:color w:val="auto"/>
          <w:sz w:val="24"/>
          <w:highlight w:val="none"/>
        </w:rPr>
        <w:t>）项目人员配置情况；</w:t>
      </w:r>
    </w:p>
    <w:p w14:paraId="1344D924">
      <w:pPr>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11</w:t>
      </w:r>
      <w:r>
        <w:rPr>
          <w:rFonts w:hint="eastAsia" w:ascii="宋体" w:hAnsi="宋体"/>
          <w:color w:val="auto"/>
          <w:sz w:val="24"/>
          <w:highlight w:val="none"/>
        </w:rPr>
        <w:t>）施工技术方案；</w:t>
      </w:r>
    </w:p>
    <w:p w14:paraId="79108E25">
      <w:pPr>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12</w:t>
      </w:r>
      <w:r>
        <w:rPr>
          <w:rFonts w:hint="eastAsia" w:ascii="宋体" w:hAnsi="宋体"/>
          <w:color w:val="auto"/>
          <w:sz w:val="24"/>
          <w:highlight w:val="none"/>
        </w:rPr>
        <w:t>）进度计划方案；</w:t>
      </w:r>
    </w:p>
    <w:p w14:paraId="05B8E939">
      <w:pPr>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13</w:t>
      </w:r>
      <w:r>
        <w:rPr>
          <w:rFonts w:hint="eastAsia" w:ascii="宋体" w:hAnsi="宋体"/>
          <w:color w:val="auto"/>
          <w:sz w:val="24"/>
          <w:highlight w:val="none"/>
        </w:rPr>
        <w:t>）安全、质量保障措施；</w:t>
      </w:r>
    </w:p>
    <w:p w14:paraId="2894F327">
      <w:pPr>
        <w:spacing w:line="360" w:lineRule="auto"/>
        <w:rPr>
          <w:rFonts w:hint="eastAsia" w:ascii="宋体" w:hAnsi="宋体" w:eastAsia="宋体"/>
          <w:color w:val="auto"/>
          <w:sz w:val="24"/>
          <w:highlight w:val="none"/>
          <w:lang w:val="en-US"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14</w:t>
      </w:r>
      <w:r>
        <w:rPr>
          <w:rFonts w:hint="eastAsia" w:ascii="宋体" w:hAnsi="宋体"/>
          <w:color w:val="auto"/>
          <w:sz w:val="24"/>
          <w:highlight w:val="none"/>
        </w:rPr>
        <w:t>）突发事件应急方案；</w:t>
      </w:r>
    </w:p>
    <w:p w14:paraId="7D4C169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rPr>
        <w:t>）服务费承诺书（格式见附件）；</w:t>
      </w:r>
    </w:p>
    <w:p w14:paraId="30D9A1C6">
      <w:pPr>
        <w:spacing w:line="360" w:lineRule="auto"/>
        <w:rPr>
          <w:rFonts w:ascii="宋体" w:hAnsi="宋体"/>
          <w:bCs/>
          <w:color w:val="auto"/>
          <w:sz w:val="24"/>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16</w:t>
      </w:r>
      <w:r>
        <w:rPr>
          <w:rFonts w:hint="eastAsia" w:ascii="宋体" w:hAnsi="宋体" w:eastAsia="宋体" w:cs="宋体"/>
          <w:color w:val="auto"/>
          <w:sz w:val="24"/>
          <w:highlight w:val="none"/>
        </w:rPr>
        <w:t>）投标人需要说明的其他文件和说明。</w:t>
      </w:r>
    </w:p>
    <w:p w14:paraId="4E2A3685">
      <w:pPr>
        <w:spacing w:line="420" w:lineRule="exact"/>
        <w:rPr>
          <w:rFonts w:ascii="宋体" w:hAnsi="宋体"/>
          <w:b/>
          <w:color w:val="auto"/>
          <w:sz w:val="24"/>
        </w:rPr>
      </w:pPr>
      <w:r>
        <w:rPr>
          <w:rFonts w:hint="eastAsia" w:ascii="宋体" w:hAnsi="宋体"/>
          <w:b/>
          <w:color w:val="auto"/>
          <w:sz w:val="24"/>
        </w:rPr>
        <w:t>3.报价文件</w:t>
      </w:r>
    </w:p>
    <w:p w14:paraId="1FAFF74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（1）投标函（格式见附件）；</w:t>
      </w:r>
    </w:p>
    <w:p w14:paraId="517DC13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 xml:space="preserve">）开标一览表（格式见附件）； </w:t>
      </w:r>
    </w:p>
    <w:p w14:paraId="0E49553A">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）投标人针对报价需要说明的其他文件和说明（格式自拟）。</w:t>
      </w:r>
    </w:p>
    <w:p w14:paraId="1876043D">
      <w:pPr>
        <w:rPr>
          <w:rFonts w:hint="eastAsia" w:eastAsia="宋体"/>
          <w:color w:val="auto"/>
          <w:lang w:val="en-US" w:eastAsia="zh-CN"/>
        </w:rPr>
      </w:pPr>
      <w:r>
        <w:rPr>
          <w:rFonts w:hint="eastAsia" w:hAnsi="宋体"/>
          <w:color w:val="auto"/>
          <w:lang w:val="en-US" w:eastAsia="zh-CN"/>
        </w:rPr>
        <w:t xml:space="preserve"> </w:t>
      </w:r>
    </w:p>
    <w:p w14:paraId="63DBB87D">
      <w:pPr>
        <w:pStyle w:val="4"/>
        <w:keepNext w:val="0"/>
        <w:keepLines w:val="0"/>
        <w:pageBreakBefore/>
        <w:spacing w:line="276" w:lineRule="auto"/>
        <w:rPr>
          <w:rFonts w:ascii="宋体" w:hAnsi="宋体" w:eastAsia="宋体" w:cs="宋体"/>
          <w:bCs w:val="0"/>
          <w:color w:val="auto"/>
          <w:sz w:val="24"/>
          <w:szCs w:val="24"/>
        </w:rPr>
      </w:pPr>
      <w:bookmarkStart w:id="74" w:name="_Toc7585"/>
      <w:bookmarkStart w:id="75" w:name="_Toc5922"/>
      <w:bookmarkStart w:id="76" w:name="_Toc24848"/>
      <w:r>
        <w:rPr>
          <w:rFonts w:hint="eastAsia" w:ascii="宋体" w:hAnsi="宋体" w:eastAsia="宋体" w:cs="宋体"/>
          <w:bCs w:val="0"/>
          <w:color w:val="auto"/>
          <w:sz w:val="24"/>
          <w:szCs w:val="24"/>
        </w:rPr>
        <w:t>附件</w:t>
      </w:r>
      <w:r>
        <w:rPr>
          <w:rFonts w:hint="eastAsia" w:ascii="宋体" w:hAnsi="宋体" w:eastAsia="宋体" w:cs="宋体"/>
          <w:bCs w:val="0"/>
          <w:color w:val="auto"/>
          <w:sz w:val="24"/>
          <w:szCs w:val="24"/>
          <w:lang w:eastAsia="zh-CN"/>
        </w:rPr>
        <w:t>一</w:t>
      </w:r>
      <w:r>
        <w:rPr>
          <w:rFonts w:hint="eastAsia" w:ascii="宋体" w:hAnsi="宋体" w:eastAsia="宋体" w:cs="宋体"/>
          <w:bCs w:val="0"/>
          <w:color w:val="auto"/>
          <w:sz w:val="24"/>
          <w:szCs w:val="24"/>
        </w:rPr>
        <w:t>：法定代表人授权委托书</w:t>
      </w:r>
      <w:bookmarkEnd w:id="74"/>
      <w:r>
        <w:rPr>
          <w:rFonts w:hint="eastAsia" w:ascii="宋体" w:hAnsi="宋体" w:eastAsia="宋体" w:cs="宋体"/>
          <w:bCs w:val="0"/>
          <w:color w:val="auto"/>
          <w:sz w:val="24"/>
          <w:szCs w:val="24"/>
        </w:rPr>
        <w:t>:</w:t>
      </w:r>
    </w:p>
    <w:p w14:paraId="770A36F0">
      <w:pPr>
        <w:snapToGrid w:val="0"/>
        <w:spacing w:before="120" w:beforeLines="50" w:after="50" w:line="276" w:lineRule="auto"/>
        <w:jc w:val="center"/>
        <w:rPr>
          <w:rFonts w:ascii="宋体" w:hAnsi="宋体" w:cs="宋体"/>
          <w:b/>
          <w:color w:val="auto"/>
          <w:sz w:val="28"/>
          <w:szCs w:val="28"/>
        </w:rPr>
      </w:pPr>
      <w:r>
        <w:rPr>
          <w:rFonts w:hint="eastAsia" w:ascii="宋体" w:hAnsi="宋体" w:cs="宋体"/>
          <w:b/>
          <w:color w:val="auto"/>
          <w:sz w:val="28"/>
          <w:szCs w:val="28"/>
        </w:rPr>
        <w:t>法定代表人授权委托书</w:t>
      </w:r>
    </w:p>
    <w:p w14:paraId="2B02D78C">
      <w:pPr>
        <w:snapToGrid w:val="0"/>
        <w:spacing w:before="120" w:beforeLines="50" w:after="50" w:line="276" w:lineRule="auto"/>
        <w:rPr>
          <w:rFonts w:ascii="宋体" w:hAnsi="宋体" w:cs="宋体"/>
          <w:b/>
          <w:bCs/>
          <w:color w:val="auto"/>
          <w:sz w:val="24"/>
        </w:rPr>
      </w:pPr>
      <w:r>
        <w:rPr>
          <w:rFonts w:hint="eastAsia" w:ascii="宋体" w:hAnsi="宋体" w:cs="宋体"/>
          <w:bCs/>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（招标采购单位名称）：</w:t>
      </w:r>
    </w:p>
    <w:p w14:paraId="5E9A9335">
      <w:pPr>
        <w:snapToGrid w:val="0"/>
        <w:spacing w:before="120" w:beforeLines="50" w:after="50" w:line="276" w:lineRule="auto"/>
        <w:ind w:firstLine="720" w:firstLineChars="300"/>
        <w:rPr>
          <w:rFonts w:ascii="宋体" w:hAnsi="宋体" w:cs="宋体"/>
          <w:color w:val="auto"/>
          <w:sz w:val="24"/>
        </w:rPr>
      </w:pPr>
      <w:r>
        <w:rPr>
          <w:rFonts w:hint="eastAsia" w:ascii="宋体" w:hAnsi="宋体" w:cs="宋体"/>
          <w:color w:val="auto"/>
          <w:sz w:val="24"/>
        </w:rPr>
        <w:t>我</w:t>
      </w:r>
      <w:r>
        <w:rPr>
          <w:rFonts w:hint="eastAsia" w:ascii="宋体" w:hAnsi="宋体" w:cs="宋体"/>
          <w:color w:val="auto"/>
          <w:sz w:val="24"/>
          <w:u w:val="single"/>
        </w:rPr>
        <w:t xml:space="preserve">         </w:t>
      </w:r>
      <w:r>
        <w:rPr>
          <w:rFonts w:hint="eastAsia" w:ascii="宋体" w:hAnsi="宋体" w:cs="宋体"/>
          <w:color w:val="auto"/>
          <w:sz w:val="24"/>
        </w:rPr>
        <w:t>（姓名）系</w:t>
      </w:r>
      <w:r>
        <w:rPr>
          <w:rFonts w:hint="eastAsia" w:ascii="宋体" w:hAnsi="宋体" w:cs="宋体"/>
          <w:color w:val="auto"/>
          <w:sz w:val="24"/>
          <w:u w:val="single"/>
        </w:rPr>
        <w:t xml:space="preserve">          </w:t>
      </w:r>
      <w:r>
        <w:rPr>
          <w:rFonts w:hint="eastAsia" w:ascii="宋体" w:hAnsi="宋体" w:cs="宋体"/>
          <w:color w:val="auto"/>
          <w:sz w:val="24"/>
        </w:rPr>
        <w:t xml:space="preserve">（投标人名称）的法定代表人，现授权委托本单位在职职工 </w:t>
      </w:r>
      <w:r>
        <w:rPr>
          <w:rFonts w:hint="eastAsia" w:ascii="宋体" w:hAnsi="宋体" w:cs="宋体"/>
          <w:color w:val="auto"/>
          <w:sz w:val="24"/>
          <w:u w:val="single"/>
        </w:rPr>
        <w:t xml:space="preserve">              </w:t>
      </w:r>
      <w:r>
        <w:rPr>
          <w:rFonts w:hint="eastAsia" w:ascii="宋体" w:hAnsi="宋体" w:cs="宋体"/>
          <w:color w:val="auto"/>
          <w:sz w:val="24"/>
        </w:rPr>
        <w:t>（姓名）以我方的名义参加</w:t>
      </w:r>
      <w:r>
        <w:rPr>
          <w:rFonts w:hint="eastAsia" w:ascii="宋体" w:hAnsi="宋体" w:cs="宋体"/>
          <w:color w:val="auto"/>
          <w:sz w:val="24"/>
          <w:szCs w:val="32"/>
          <w:u w:val="single"/>
          <w:lang w:eastAsia="zh-CN"/>
        </w:rPr>
        <w:t>东阳市白云街道2024-2025年度枯死松树清理项目</w:t>
      </w:r>
      <w:r>
        <w:rPr>
          <w:rFonts w:hint="eastAsia" w:ascii="宋体" w:hAnsi="宋体" w:cs="宋体"/>
          <w:color w:val="auto"/>
          <w:sz w:val="24"/>
        </w:rPr>
        <w:t>的投标活动，并代表我方全权办理针对上述项目的投标、开标、评标、签约等具体事务和签署相关文件。</w:t>
      </w:r>
    </w:p>
    <w:p w14:paraId="14E902AE">
      <w:pPr>
        <w:snapToGrid w:val="0"/>
        <w:spacing w:before="120" w:beforeLines="50" w:after="50" w:line="276" w:lineRule="auto"/>
        <w:rPr>
          <w:rFonts w:ascii="宋体" w:hAnsi="宋体" w:cs="宋体"/>
          <w:color w:val="auto"/>
          <w:sz w:val="24"/>
        </w:rPr>
      </w:pPr>
      <w:r>
        <w:rPr>
          <w:rFonts w:hint="eastAsia" w:ascii="宋体" w:hAnsi="宋体" w:cs="宋体"/>
          <w:color w:val="auto"/>
          <w:sz w:val="24"/>
        </w:rPr>
        <w:t xml:space="preserve">    我方对委托代理人的签名事项负全部责任。</w:t>
      </w:r>
    </w:p>
    <w:p w14:paraId="269728AE">
      <w:pPr>
        <w:snapToGrid w:val="0"/>
        <w:spacing w:before="120" w:beforeLines="50" w:after="50" w:line="276" w:lineRule="auto"/>
        <w:ind w:firstLine="480"/>
        <w:rPr>
          <w:rFonts w:ascii="宋体" w:hAnsi="宋体" w:cs="宋体"/>
          <w:color w:val="auto"/>
          <w:sz w:val="24"/>
        </w:rPr>
      </w:pPr>
      <w:r>
        <w:rPr>
          <w:rFonts w:hint="eastAsia" w:ascii="宋体" w:hAnsi="宋体" w:cs="宋体"/>
          <w:color w:val="auto"/>
          <w:sz w:val="24"/>
          <w:u w:val="single"/>
        </w:rPr>
        <w:t>在撤销授权的书面通知以前，本授权书一直有效。</w:t>
      </w:r>
      <w:r>
        <w:rPr>
          <w:rFonts w:hint="eastAsia" w:ascii="宋体" w:hAnsi="宋体" w:cs="宋体"/>
          <w:color w:val="auto"/>
          <w:sz w:val="24"/>
        </w:rPr>
        <w:t>委托代理人在授权书有效期内签署的所有文件不因授权的撤销而失效。</w:t>
      </w:r>
    </w:p>
    <w:p w14:paraId="19540E7A">
      <w:pPr>
        <w:snapToGrid w:val="0"/>
        <w:spacing w:before="120" w:beforeLines="50" w:after="50" w:line="276" w:lineRule="auto"/>
        <w:ind w:firstLine="480"/>
        <w:rPr>
          <w:rFonts w:ascii="宋体" w:hAnsi="宋体" w:cs="宋体"/>
          <w:color w:val="auto"/>
          <w:sz w:val="24"/>
        </w:rPr>
      </w:pPr>
      <w:r>
        <w:rPr>
          <w:rFonts w:hint="eastAsia" w:ascii="宋体" w:hAnsi="宋体" w:cs="宋体"/>
          <w:color w:val="auto"/>
          <w:sz w:val="24"/>
        </w:rPr>
        <w:t>委托代理人无转委托权，特此委托。</w:t>
      </w:r>
    </w:p>
    <w:p w14:paraId="16C1A02B">
      <w:pPr>
        <w:snapToGrid w:val="0"/>
        <w:spacing w:before="120" w:beforeLines="50" w:after="50" w:line="276" w:lineRule="auto"/>
        <w:rPr>
          <w:rFonts w:ascii="宋体" w:hAnsi="宋体" w:cs="宋体"/>
          <w:color w:val="auto"/>
          <w:sz w:val="24"/>
          <w:u w:val="single"/>
        </w:rPr>
      </w:pPr>
      <w:r>
        <w:rPr>
          <w:rFonts w:hint="eastAsia" w:ascii="宋体" w:hAnsi="宋体" w:cs="宋体"/>
          <w:color w:val="auto"/>
          <w:sz w:val="24"/>
        </w:rPr>
        <w:t>委托代理人签名：</w:t>
      </w:r>
      <w:r>
        <w:rPr>
          <w:rFonts w:hint="eastAsia" w:ascii="宋体" w:hAnsi="宋体" w:cs="宋体"/>
          <w:color w:val="auto"/>
          <w:sz w:val="24"/>
          <w:u w:val="single"/>
        </w:rPr>
        <w:t xml:space="preserve">          </w:t>
      </w:r>
      <w:r>
        <w:rPr>
          <w:rFonts w:hint="eastAsia" w:ascii="宋体" w:hAnsi="宋体" w:cs="宋体"/>
          <w:color w:val="auto"/>
          <w:sz w:val="24"/>
        </w:rPr>
        <w:t xml:space="preserve">                 法定代表人签名：</w:t>
      </w:r>
      <w:r>
        <w:rPr>
          <w:rFonts w:hint="eastAsia" w:ascii="宋体" w:hAnsi="宋体" w:cs="宋体"/>
          <w:color w:val="auto"/>
          <w:sz w:val="24"/>
          <w:u w:val="single"/>
        </w:rPr>
        <w:t xml:space="preserve">          </w:t>
      </w:r>
    </w:p>
    <w:p w14:paraId="7FA8FA09">
      <w:pPr>
        <w:snapToGrid w:val="0"/>
        <w:spacing w:before="120" w:beforeLines="50" w:after="50" w:line="276" w:lineRule="auto"/>
        <w:ind w:firstLine="960" w:firstLineChars="400"/>
        <w:rPr>
          <w:rFonts w:ascii="宋体" w:hAnsi="宋体" w:cs="宋体"/>
          <w:color w:val="auto"/>
          <w:sz w:val="24"/>
        </w:rPr>
      </w:pPr>
      <w:r>
        <w:rPr>
          <w:rFonts w:hint="eastAsia" w:ascii="宋体" w:hAnsi="宋体" w:cs="宋体"/>
          <w:color w:val="auto"/>
          <w:sz w:val="24"/>
        </w:rPr>
        <w:t>职务：</w:t>
      </w:r>
      <w:r>
        <w:rPr>
          <w:rFonts w:hint="eastAsia" w:ascii="宋体" w:hAnsi="宋体" w:cs="宋体"/>
          <w:color w:val="auto"/>
          <w:sz w:val="24"/>
          <w:u w:val="single"/>
        </w:rPr>
        <w:t xml:space="preserve">          </w:t>
      </w:r>
      <w:r>
        <w:rPr>
          <w:rFonts w:hint="eastAsia" w:ascii="宋体" w:hAnsi="宋体" w:cs="宋体"/>
          <w:color w:val="auto"/>
          <w:sz w:val="24"/>
        </w:rPr>
        <w:t xml:space="preserve">                          职务：</w:t>
      </w:r>
      <w:r>
        <w:rPr>
          <w:rFonts w:hint="eastAsia" w:ascii="宋体" w:hAnsi="宋体" w:cs="宋体"/>
          <w:color w:val="auto"/>
          <w:sz w:val="24"/>
          <w:u w:val="single"/>
        </w:rPr>
        <w:t xml:space="preserve">          </w:t>
      </w:r>
    </w:p>
    <w:p w14:paraId="1233C5C6">
      <w:pPr>
        <w:snapToGrid w:val="0"/>
        <w:spacing w:before="120" w:beforeLines="50" w:after="50" w:line="276" w:lineRule="auto"/>
        <w:rPr>
          <w:rFonts w:ascii="宋体" w:hAnsi="宋体" w:cs="宋体"/>
          <w:color w:val="auto"/>
          <w:sz w:val="24"/>
        </w:rPr>
      </w:pPr>
      <w:r>
        <w:rPr>
          <w:rFonts w:hint="eastAsia" w:ascii="宋体" w:hAnsi="宋体" w:cs="宋体"/>
          <w:color w:val="auto"/>
          <w:sz w:val="24"/>
        </w:rPr>
        <w:t>委托代理人身份证复印件（正反双面）：</w:t>
      </w:r>
    </w:p>
    <w:tbl>
      <w:tblPr>
        <w:tblStyle w:val="24"/>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328"/>
      </w:tblGrid>
      <w:tr w14:paraId="42311BD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232" w:hRule="atLeast"/>
        </w:trPr>
        <w:tc>
          <w:tcPr>
            <w:tcW w:w="5328" w:type="dxa"/>
          </w:tcPr>
          <w:p w14:paraId="0D1C1267">
            <w:pPr>
              <w:snapToGrid w:val="0"/>
              <w:spacing w:before="120" w:beforeLines="50" w:after="50" w:line="276" w:lineRule="auto"/>
              <w:rPr>
                <w:rFonts w:ascii="宋体" w:hAnsi="宋体" w:cs="宋体"/>
                <w:color w:val="auto"/>
                <w:sz w:val="24"/>
              </w:rPr>
            </w:pPr>
          </w:p>
          <w:p w14:paraId="617C06C0">
            <w:pPr>
              <w:snapToGrid w:val="0"/>
              <w:spacing w:before="120" w:beforeLines="50" w:after="50" w:line="276" w:lineRule="auto"/>
              <w:rPr>
                <w:rFonts w:ascii="宋体" w:hAnsi="宋体" w:cs="宋体"/>
                <w:color w:val="auto"/>
                <w:sz w:val="24"/>
              </w:rPr>
            </w:pPr>
          </w:p>
          <w:p w14:paraId="5A8FB94F">
            <w:pPr>
              <w:snapToGrid w:val="0"/>
              <w:spacing w:before="120" w:beforeLines="50" w:after="50" w:line="276" w:lineRule="auto"/>
              <w:rPr>
                <w:rFonts w:ascii="宋体" w:hAnsi="宋体" w:cs="宋体"/>
                <w:color w:val="auto"/>
                <w:sz w:val="24"/>
              </w:rPr>
            </w:pPr>
          </w:p>
          <w:p w14:paraId="1115FF30">
            <w:pPr>
              <w:snapToGrid w:val="0"/>
              <w:spacing w:before="120" w:beforeLines="50" w:after="50" w:line="276" w:lineRule="auto"/>
              <w:jc w:val="center"/>
              <w:rPr>
                <w:rFonts w:ascii="宋体" w:hAnsi="宋体" w:cs="宋体"/>
                <w:color w:val="auto"/>
                <w:sz w:val="24"/>
              </w:rPr>
            </w:pPr>
            <w:r>
              <w:rPr>
                <w:rFonts w:hint="eastAsia" w:ascii="宋体" w:hAnsi="宋体" w:cs="宋体"/>
                <w:color w:val="auto"/>
                <w:sz w:val="24"/>
              </w:rPr>
              <w:t>粘</w:t>
            </w:r>
          </w:p>
          <w:p w14:paraId="34F2C765">
            <w:pPr>
              <w:snapToGrid w:val="0"/>
              <w:spacing w:before="120" w:beforeLines="50" w:after="50" w:line="276" w:lineRule="auto"/>
              <w:jc w:val="center"/>
              <w:rPr>
                <w:rFonts w:ascii="宋体" w:hAnsi="宋体" w:cs="宋体"/>
                <w:color w:val="auto"/>
                <w:sz w:val="24"/>
              </w:rPr>
            </w:pPr>
          </w:p>
          <w:p w14:paraId="166423B7">
            <w:pPr>
              <w:snapToGrid w:val="0"/>
              <w:spacing w:before="120" w:beforeLines="50" w:after="50" w:line="276" w:lineRule="auto"/>
              <w:jc w:val="center"/>
              <w:rPr>
                <w:rFonts w:ascii="宋体" w:hAnsi="宋体" w:cs="宋体"/>
                <w:color w:val="auto"/>
                <w:sz w:val="24"/>
              </w:rPr>
            </w:pPr>
            <w:r>
              <w:rPr>
                <w:rFonts w:hint="eastAsia" w:ascii="宋体" w:hAnsi="宋体" w:cs="宋体"/>
                <w:color w:val="auto"/>
                <w:sz w:val="24"/>
              </w:rPr>
              <w:t>贴</w:t>
            </w:r>
          </w:p>
          <w:p w14:paraId="229E2D0C">
            <w:pPr>
              <w:snapToGrid w:val="0"/>
              <w:spacing w:before="120" w:beforeLines="50" w:after="50" w:line="276" w:lineRule="auto"/>
              <w:jc w:val="center"/>
              <w:rPr>
                <w:rFonts w:ascii="宋体" w:hAnsi="宋体" w:cs="宋体"/>
                <w:color w:val="auto"/>
                <w:sz w:val="24"/>
              </w:rPr>
            </w:pPr>
          </w:p>
          <w:p w14:paraId="43CA39E7">
            <w:pPr>
              <w:snapToGrid w:val="0"/>
              <w:spacing w:before="120" w:beforeLines="50" w:after="50" w:line="276" w:lineRule="auto"/>
              <w:jc w:val="center"/>
              <w:rPr>
                <w:rFonts w:ascii="宋体" w:hAnsi="宋体" w:cs="宋体"/>
                <w:color w:val="auto"/>
                <w:sz w:val="24"/>
              </w:rPr>
            </w:pPr>
            <w:r>
              <w:rPr>
                <w:rFonts w:hint="eastAsia" w:ascii="宋体" w:hAnsi="宋体" w:cs="宋体"/>
                <w:color w:val="auto"/>
                <w:sz w:val="24"/>
              </w:rPr>
              <w:t>处</w:t>
            </w:r>
          </w:p>
        </w:tc>
      </w:tr>
    </w:tbl>
    <w:p w14:paraId="2462B862">
      <w:pPr>
        <w:snapToGrid w:val="0"/>
        <w:spacing w:before="120" w:beforeLines="50" w:after="50" w:line="276" w:lineRule="auto"/>
        <w:rPr>
          <w:rFonts w:ascii="宋体" w:hAnsi="宋体" w:cs="宋体"/>
          <w:color w:val="auto"/>
          <w:sz w:val="24"/>
        </w:rPr>
      </w:pPr>
    </w:p>
    <w:p w14:paraId="684E3E7F">
      <w:pPr>
        <w:snapToGrid w:val="0"/>
        <w:spacing w:before="120" w:beforeLines="50" w:after="50" w:line="276" w:lineRule="auto"/>
        <w:rPr>
          <w:rFonts w:ascii="宋体" w:hAnsi="宋体" w:cs="宋体"/>
          <w:color w:val="auto"/>
          <w:sz w:val="24"/>
        </w:rPr>
      </w:pPr>
    </w:p>
    <w:p w14:paraId="72EF573B">
      <w:pPr>
        <w:snapToGrid w:val="0"/>
        <w:spacing w:before="120" w:beforeLines="50" w:after="50" w:line="276" w:lineRule="auto"/>
        <w:rPr>
          <w:rFonts w:ascii="宋体" w:hAnsi="宋体" w:cs="宋体"/>
          <w:color w:val="auto"/>
          <w:sz w:val="24"/>
        </w:rPr>
      </w:pPr>
    </w:p>
    <w:p w14:paraId="4220F746">
      <w:pPr>
        <w:snapToGrid w:val="0"/>
        <w:spacing w:before="120" w:beforeLines="50" w:after="50" w:line="276" w:lineRule="auto"/>
        <w:rPr>
          <w:rFonts w:ascii="宋体" w:hAnsi="宋体" w:cs="宋体"/>
          <w:color w:val="auto"/>
          <w:sz w:val="24"/>
        </w:rPr>
      </w:pPr>
    </w:p>
    <w:p w14:paraId="3177334C">
      <w:pPr>
        <w:snapToGrid w:val="0"/>
        <w:spacing w:before="120" w:beforeLines="50" w:after="50" w:line="276" w:lineRule="auto"/>
        <w:rPr>
          <w:rFonts w:ascii="宋体" w:hAnsi="宋体" w:cs="宋体"/>
          <w:color w:val="auto"/>
          <w:sz w:val="24"/>
        </w:rPr>
      </w:pPr>
    </w:p>
    <w:p w14:paraId="2EEB45E5">
      <w:pPr>
        <w:snapToGrid w:val="0"/>
        <w:spacing w:before="120" w:beforeLines="50" w:after="50" w:line="276" w:lineRule="auto"/>
        <w:rPr>
          <w:rFonts w:ascii="宋体" w:hAnsi="宋体" w:cs="宋体"/>
          <w:color w:val="auto"/>
          <w:sz w:val="24"/>
        </w:rPr>
      </w:pPr>
    </w:p>
    <w:p w14:paraId="36BAB321">
      <w:pPr>
        <w:snapToGrid w:val="0"/>
        <w:spacing w:before="120" w:beforeLines="50" w:after="50" w:line="276" w:lineRule="auto"/>
        <w:rPr>
          <w:rFonts w:ascii="宋体" w:hAnsi="宋体" w:cs="宋体"/>
          <w:color w:val="auto"/>
          <w:sz w:val="24"/>
        </w:rPr>
      </w:pPr>
    </w:p>
    <w:p w14:paraId="12C3012B">
      <w:pPr>
        <w:snapToGrid w:val="0"/>
        <w:spacing w:before="120" w:beforeLines="50" w:after="50" w:line="276" w:lineRule="auto"/>
        <w:rPr>
          <w:rFonts w:ascii="宋体" w:hAnsi="宋体" w:cs="宋体"/>
          <w:color w:val="auto"/>
          <w:sz w:val="24"/>
        </w:rPr>
      </w:pPr>
    </w:p>
    <w:p w14:paraId="38B096BB">
      <w:pPr>
        <w:snapToGrid w:val="0"/>
        <w:spacing w:before="120" w:beforeLines="50" w:after="50" w:line="276" w:lineRule="auto"/>
        <w:rPr>
          <w:rFonts w:ascii="宋体" w:hAnsi="宋体" w:cs="宋体"/>
          <w:color w:val="auto"/>
          <w:sz w:val="24"/>
        </w:rPr>
      </w:pPr>
      <w:r>
        <w:rPr>
          <w:rFonts w:hint="eastAsia" w:ascii="宋体" w:hAnsi="宋体" w:cs="宋体"/>
          <w:color w:val="auto"/>
          <w:sz w:val="24"/>
        </w:rPr>
        <w:t xml:space="preserve"> </w:t>
      </w:r>
    </w:p>
    <w:p w14:paraId="1E937F22">
      <w:pPr>
        <w:snapToGrid w:val="0"/>
        <w:spacing w:before="120" w:beforeLines="50" w:after="50" w:line="276" w:lineRule="auto"/>
        <w:rPr>
          <w:rFonts w:ascii="宋体" w:hAnsi="宋体" w:cs="宋体"/>
          <w:color w:val="auto"/>
          <w:sz w:val="24"/>
        </w:rPr>
      </w:pPr>
    </w:p>
    <w:p w14:paraId="2DFFA3CC">
      <w:pPr>
        <w:snapToGrid w:val="0"/>
        <w:spacing w:before="120" w:beforeLines="50" w:after="50" w:line="276" w:lineRule="auto"/>
        <w:rPr>
          <w:rFonts w:ascii="宋体" w:hAnsi="宋体" w:cs="宋体"/>
          <w:color w:val="auto"/>
          <w:sz w:val="24"/>
        </w:rPr>
      </w:pPr>
      <w:r>
        <w:rPr>
          <w:rFonts w:hint="eastAsia" w:ascii="宋体" w:hAnsi="宋体" w:cs="宋体"/>
          <w:color w:val="auto"/>
          <w:sz w:val="24"/>
        </w:rPr>
        <w:t xml:space="preserve">                                             投标人公章：</w:t>
      </w:r>
    </w:p>
    <w:p w14:paraId="1ABDE8D0">
      <w:pPr>
        <w:snapToGrid w:val="0"/>
        <w:spacing w:before="120" w:beforeLines="50" w:after="50" w:line="276" w:lineRule="auto"/>
        <w:jc w:val="center"/>
        <w:rPr>
          <w:rFonts w:ascii="宋体" w:hAnsi="宋体" w:cs="宋体"/>
          <w:color w:val="auto"/>
          <w:sz w:val="24"/>
        </w:rPr>
      </w:pPr>
      <w:r>
        <w:rPr>
          <w:rFonts w:hint="eastAsia" w:ascii="宋体" w:hAnsi="宋体" w:cs="宋体"/>
          <w:color w:val="auto"/>
          <w:sz w:val="24"/>
        </w:rPr>
        <w:t xml:space="preserve">                                                年    月    日</w:t>
      </w:r>
    </w:p>
    <w:p w14:paraId="532DE68E">
      <w:pPr>
        <w:snapToGrid w:val="0"/>
        <w:spacing w:before="120" w:beforeLines="50" w:after="50" w:line="276" w:lineRule="auto"/>
        <w:jc w:val="left"/>
        <w:rPr>
          <w:rFonts w:ascii="宋体" w:hAnsi="宋体" w:cs="宋体"/>
          <w:color w:val="auto"/>
          <w:sz w:val="24"/>
        </w:rPr>
      </w:pPr>
      <w:r>
        <w:rPr>
          <w:rFonts w:hint="eastAsia" w:ascii="宋体" w:hAnsi="宋体" w:cs="宋体"/>
          <w:b/>
          <w:color w:val="auto"/>
          <w:sz w:val="24"/>
        </w:rPr>
        <w:t>*</w:t>
      </w:r>
      <w:r>
        <w:rPr>
          <w:rFonts w:hint="eastAsia" w:ascii="宋体" w:hAnsi="宋体" w:cs="宋体"/>
          <w:color w:val="auto"/>
          <w:sz w:val="24"/>
        </w:rPr>
        <w:t>注；此表格格式不得修改。</w:t>
      </w:r>
    </w:p>
    <w:p w14:paraId="426A75DD">
      <w:pPr>
        <w:pStyle w:val="4"/>
        <w:keepNext w:val="0"/>
        <w:keepLines w:val="0"/>
        <w:pageBreakBefore/>
        <w:spacing w:line="360" w:lineRule="auto"/>
        <w:rPr>
          <w:rFonts w:hint="eastAsia" w:ascii="宋体" w:hAnsi="宋体" w:eastAsia="宋体" w:cs="宋体"/>
          <w:b w:val="0"/>
          <w:bCs w:val="0"/>
          <w:color w:val="auto"/>
          <w:sz w:val="24"/>
          <w:szCs w:val="24"/>
          <w:highlight w:val="none"/>
          <w:lang w:eastAsia="zh-CN"/>
        </w:rPr>
      </w:pPr>
      <w:bookmarkStart w:id="77" w:name="_Toc24340"/>
      <w:bookmarkStart w:id="78" w:name="_Toc30843"/>
      <w:bookmarkStart w:id="79" w:name="_Toc23315"/>
      <w:r>
        <w:rPr>
          <w:rFonts w:hint="eastAsia" w:ascii="宋体" w:hAnsi="宋体" w:eastAsia="宋体" w:cs="宋体"/>
          <w:b w:val="0"/>
          <w:bCs w:val="0"/>
          <w:color w:val="auto"/>
          <w:sz w:val="24"/>
          <w:szCs w:val="24"/>
          <w:highlight w:val="none"/>
        </w:rPr>
        <w:t>附件</w:t>
      </w:r>
      <w:r>
        <w:rPr>
          <w:rFonts w:hint="eastAsia" w:ascii="宋体" w:hAnsi="宋体" w:eastAsia="宋体" w:cs="宋体"/>
          <w:b w:val="0"/>
          <w:bCs w:val="0"/>
          <w:color w:val="auto"/>
          <w:sz w:val="24"/>
          <w:szCs w:val="24"/>
          <w:highlight w:val="none"/>
          <w:lang w:val="en-US" w:eastAsia="zh-CN"/>
        </w:rPr>
        <w:t>二</w:t>
      </w:r>
      <w:r>
        <w:rPr>
          <w:rFonts w:hint="eastAsia" w:ascii="宋体" w:hAnsi="宋体" w:eastAsia="宋体" w:cs="宋体"/>
          <w:b w:val="0"/>
          <w:bCs w:val="0"/>
          <w:color w:val="auto"/>
          <w:sz w:val="24"/>
          <w:szCs w:val="24"/>
          <w:highlight w:val="none"/>
        </w:rPr>
        <w:t>：</w:t>
      </w:r>
      <w:bookmarkEnd w:id="77"/>
      <w:bookmarkEnd w:id="78"/>
      <w:r>
        <w:rPr>
          <w:rFonts w:hint="eastAsia" w:ascii="宋体" w:hAnsi="宋体" w:eastAsia="宋体" w:cs="宋体"/>
          <w:b w:val="0"/>
          <w:bCs w:val="0"/>
          <w:color w:val="auto"/>
          <w:sz w:val="24"/>
          <w:szCs w:val="24"/>
          <w:highlight w:val="none"/>
          <w:lang w:val="en-US" w:eastAsia="zh-CN"/>
        </w:rPr>
        <w:t>符合参加政府采购活动应当具备的一般条件的承诺函</w:t>
      </w:r>
      <w:bookmarkEnd w:id="79"/>
    </w:p>
    <w:p w14:paraId="002A0B03">
      <w:pPr>
        <w:pStyle w:val="20"/>
        <w:keepNext w:val="0"/>
        <w:keepLines w:val="0"/>
        <w:widowControl/>
        <w:suppressLineNumbers w:val="0"/>
        <w:spacing w:before="100" w:beforeAutospacing="0" w:after="100" w:afterAutospacing="0" w:line="360" w:lineRule="auto"/>
        <w:ind w:left="0" w:right="0"/>
        <w:jc w:val="center"/>
        <w:rPr>
          <w:rFonts w:hint="eastAsia" w:ascii="宋体" w:hAnsi="宋体" w:eastAsia="宋体" w:cs="宋体"/>
          <w:color w:val="auto"/>
          <w:highlight w:val="none"/>
        </w:rPr>
      </w:pPr>
      <w:r>
        <w:rPr>
          <w:rFonts w:hint="eastAsia" w:ascii="宋体" w:hAnsi="宋体" w:eastAsia="宋体" w:cs="宋体"/>
          <w:b/>
          <w:bCs/>
          <w:i w:val="0"/>
          <w:iCs w:val="0"/>
          <w:color w:val="auto"/>
          <w:spacing w:val="0"/>
          <w:w w:val="100"/>
          <w:sz w:val="27"/>
          <w:szCs w:val="27"/>
          <w:highlight w:val="none"/>
          <w:vertAlign w:val="baseline"/>
        </w:rPr>
        <w:t>符合参加政府采购活动应当具备的一般条件的承诺函</w:t>
      </w:r>
    </w:p>
    <w:p w14:paraId="0DE9BE0B">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（招标采购单位名称）：</w:t>
      </w:r>
    </w:p>
    <w:p w14:paraId="66B6C6B1">
      <w:pPr>
        <w:pStyle w:val="20"/>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我方参与</w:t>
      </w:r>
      <w:r>
        <w:rPr>
          <w:rFonts w:hint="eastAsia" w:ascii="宋体" w:hAnsi="宋体" w:eastAsia="宋体" w:cs="宋体"/>
          <w:color w:val="auto"/>
          <w:sz w:val="24"/>
          <w:highlight w:val="none"/>
          <w:u w:val="single"/>
        </w:rPr>
        <w:t xml:space="preserve">            </w:t>
      </w:r>
      <w:r>
        <w:rPr>
          <w:rFonts w:hint="eastAsia" w:cs="宋体"/>
          <w:color w:val="auto"/>
          <w:sz w:val="24"/>
          <w:highlight w:val="none"/>
          <w:u w:val="single"/>
          <w:lang w:val="en-US" w:eastAsia="zh-CN"/>
        </w:rPr>
        <w:t xml:space="preserve">  </w:t>
      </w:r>
      <w:r>
        <w:rPr>
          <w:rFonts w:hint="eastAsia" w:ascii="宋体" w:hAnsi="宋体" w:eastAsia="宋体" w:cs="宋体"/>
          <w:b w:val="0"/>
          <w:bCs w:val="0"/>
          <w:color w:val="auto"/>
          <w:kern w:val="2"/>
          <w:sz w:val="24"/>
          <w:szCs w:val="24"/>
          <w:highlight w:val="none"/>
          <w:lang w:val="en-US" w:eastAsia="zh-CN" w:bidi="ar-SA"/>
        </w:rPr>
        <w:t>项目【项目编号：</w:t>
      </w:r>
      <w:r>
        <w:rPr>
          <w:rFonts w:hint="eastAsia" w:ascii="宋体" w:hAnsi="宋体" w:eastAsia="宋体" w:cs="宋体"/>
          <w:color w:val="auto"/>
          <w:sz w:val="24"/>
          <w:highlight w:val="none"/>
          <w:u w:val="single"/>
        </w:rPr>
        <w:t xml:space="preserve">            </w:t>
      </w:r>
      <w:r>
        <w:rPr>
          <w:rFonts w:hint="eastAsia" w:cs="宋体"/>
          <w:color w:val="auto"/>
          <w:sz w:val="24"/>
          <w:highlight w:val="none"/>
          <w:u w:val="single"/>
          <w:lang w:val="en-US" w:eastAsia="zh-CN"/>
        </w:rPr>
        <w:t xml:space="preserve"> </w:t>
      </w:r>
      <w:r>
        <w:rPr>
          <w:rFonts w:hint="eastAsia" w:ascii="宋体" w:hAnsi="宋体" w:eastAsia="宋体" w:cs="宋体"/>
          <w:b w:val="0"/>
          <w:bCs w:val="0"/>
          <w:color w:val="auto"/>
          <w:kern w:val="2"/>
          <w:sz w:val="24"/>
          <w:szCs w:val="24"/>
          <w:highlight w:val="none"/>
          <w:lang w:val="en-US" w:eastAsia="zh-CN" w:bidi="ar-SA"/>
        </w:rPr>
        <w:t>】政府采购活动，郑重承诺：</w:t>
      </w:r>
    </w:p>
    <w:p w14:paraId="6EEB4764">
      <w:pPr>
        <w:pStyle w:val="20"/>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（一）具备《中华人民共和国政府采购法》第二十二条第一款规定的条件：</w:t>
      </w:r>
    </w:p>
    <w:p w14:paraId="47E1C350">
      <w:pPr>
        <w:pStyle w:val="20"/>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1、具有独立承担民事责任的能力；</w:t>
      </w:r>
    </w:p>
    <w:p w14:paraId="33190CA1">
      <w:pPr>
        <w:pStyle w:val="20"/>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2、具有良好的商业信誉和健全的财务会计制度； </w:t>
      </w:r>
    </w:p>
    <w:p w14:paraId="3B8C3AD8">
      <w:pPr>
        <w:pStyle w:val="20"/>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3、具有履行合同所必需的设备和专业技术能力；</w:t>
      </w:r>
    </w:p>
    <w:p w14:paraId="4CE06296">
      <w:pPr>
        <w:pStyle w:val="20"/>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4、有依法缴纳税收和社会保障资金的良好记录；</w:t>
      </w:r>
    </w:p>
    <w:p w14:paraId="2FBC812E">
      <w:pPr>
        <w:pStyle w:val="20"/>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5、参加政府采购活动前三年内，在经营活动中没有重大违法记录；</w:t>
      </w:r>
    </w:p>
    <w:p w14:paraId="6936D4EE">
      <w:pPr>
        <w:pStyle w:val="20"/>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6、具有法律、行政法规规定的其他条件。</w:t>
      </w:r>
    </w:p>
    <w:p w14:paraId="03EF803A">
      <w:pPr>
        <w:pStyle w:val="20"/>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（二）未被信用中国（www.creditchina.gov.cn)、中国政府采购网（www.ccgp.gov.cn）列入失信被执行人、重大税收违法案件当事人名单、政府采购严重违法失信行为记录名单。</w:t>
      </w:r>
    </w:p>
    <w:p w14:paraId="01F79D9F">
      <w:pPr>
        <w:pStyle w:val="20"/>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（三）不存在以下情况：</w:t>
      </w:r>
    </w:p>
    <w:p w14:paraId="1227F39C">
      <w:pPr>
        <w:pStyle w:val="20"/>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1、单位负责人为同一人或者存在直接控股、管理关系的不同供应商参加同一合同项下的政府采购活动的；</w:t>
      </w:r>
    </w:p>
    <w:p w14:paraId="595BDDB6">
      <w:pPr>
        <w:pStyle w:val="20"/>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2、为采购项目提供整体设计、规范编制或者项目管理、监理、检测等服务后再参加该采购项目的其他采购活动的。</w:t>
      </w:r>
    </w:p>
    <w:p w14:paraId="30EEA948">
      <w:pPr>
        <w:pStyle w:val="20"/>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p>
    <w:p w14:paraId="1D1D88E6">
      <w:pPr>
        <w:pStyle w:val="20"/>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p>
    <w:p w14:paraId="7447384B">
      <w:pPr>
        <w:pStyle w:val="20"/>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p>
    <w:p w14:paraId="3675641E">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6F26FD70">
      <w:pPr>
        <w:snapToGrid w:val="0"/>
        <w:spacing w:before="120" w:beforeLines="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136615F7">
      <w:pPr>
        <w:rPr>
          <w:rFonts w:ascii="宋体" w:hAnsi="宋体" w:cs="宋体"/>
          <w:color w:val="auto"/>
          <w:sz w:val="24"/>
          <w:highlight w:val="none"/>
        </w:rPr>
      </w:pPr>
    </w:p>
    <w:p w14:paraId="7362CDBC">
      <w:pPr>
        <w:snapToGrid w:val="0"/>
        <w:spacing w:before="120" w:beforeLines="50" w:after="50" w:line="276" w:lineRule="auto"/>
        <w:ind w:firstLine="482" w:firstLineChars="200"/>
        <w:rPr>
          <w:rFonts w:ascii="宋体" w:hAnsi="宋体" w:cs="宋体"/>
          <w:b/>
          <w:bCs/>
          <w:color w:val="auto"/>
          <w:sz w:val="24"/>
        </w:rPr>
      </w:pPr>
    </w:p>
    <w:p w14:paraId="6BA5A86F">
      <w:pPr>
        <w:snapToGrid w:val="0"/>
        <w:spacing w:before="120" w:beforeLines="50" w:after="50" w:line="276" w:lineRule="auto"/>
        <w:ind w:firstLine="482" w:firstLineChars="200"/>
        <w:rPr>
          <w:rFonts w:ascii="宋体" w:hAnsi="宋体" w:cs="宋体"/>
          <w:b/>
          <w:bCs/>
          <w:color w:val="auto"/>
          <w:sz w:val="24"/>
        </w:rPr>
      </w:pPr>
    </w:p>
    <w:p w14:paraId="3761FDAB">
      <w:pPr>
        <w:snapToGrid w:val="0"/>
        <w:spacing w:before="120" w:beforeLines="50" w:after="50" w:line="276" w:lineRule="auto"/>
        <w:ind w:firstLine="482" w:firstLineChars="200"/>
        <w:rPr>
          <w:rFonts w:ascii="宋体" w:hAnsi="宋体" w:cs="宋体"/>
          <w:b/>
          <w:bCs/>
          <w:color w:val="auto"/>
          <w:sz w:val="24"/>
        </w:rPr>
      </w:pPr>
    </w:p>
    <w:p w14:paraId="13F8AC72">
      <w:pPr>
        <w:snapToGrid w:val="0"/>
        <w:spacing w:before="120" w:beforeLines="50" w:after="50" w:line="276" w:lineRule="auto"/>
        <w:ind w:firstLine="482" w:firstLineChars="200"/>
        <w:rPr>
          <w:rFonts w:ascii="宋体" w:hAnsi="宋体" w:cs="宋体"/>
          <w:b/>
          <w:bCs/>
          <w:color w:val="auto"/>
          <w:sz w:val="24"/>
        </w:rPr>
      </w:pPr>
    </w:p>
    <w:p w14:paraId="3663B6B3">
      <w:pPr>
        <w:snapToGrid w:val="0"/>
        <w:ind w:firstLine="0" w:firstLineChars="0"/>
        <w:rPr>
          <w:rFonts w:ascii="宋体" w:hAnsi="宋体" w:eastAsia="宋体" w:cs="宋体"/>
          <w:bCs w:val="0"/>
          <w:color w:val="auto"/>
          <w:sz w:val="24"/>
          <w:szCs w:val="24"/>
        </w:rPr>
      </w:pPr>
      <w:r>
        <w:rPr>
          <w:rFonts w:hint="eastAsia" w:ascii="宋体" w:hAnsi="宋体" w:eastAsia="宋体" w:cs="宋体"/>
          <w:bCs w:val="0"/>
          <w:color w:val="auto"/>
          <w:sz w:val="24"/>
          <w:szCs w:val="24"/>
        </w:rPr>
        <w:t>附件</w:t>
      </w:r>
      <w:r>
        <w:rPr>
          <w:rFonts w:hint="eastAsia" w:ascii="宋体" w:hAnsi="宋体" w:cs="宋体"/>
          <w:bCs w:val="0"/>
          <w:color w:val="auto"/>
          <w:sz w:val="24"/>
          <w:szCs w:val="24"/>
          <w:lang w:val="en-US" w:eastAsia="zh-CN"/>
        </w:rPr>
        <w:t>三</w:t>
      </w:r>
      <w:r>
        <w:rPr>
          <w:rFonts w:hint="eastAsia" w:ascii="宋体" w:hAnsi="宋体" w:eastAsia="宋体" w:cs="宋体"/>
          <w:bCs w:val="0"/>
          <w:color w:val="auto"/>
          <w:sz w:val="24"/>
          <w:szCs w:val="24"/>
        </w:rPr>
        <w:t>：投标声明书</w:t>
      </w:r>
    </w:p>
    <w:p w14:paraId="36EB3CE0">
      <w:pPr>
        <w:snapToGrid w:val="0"/>
        <w:spacing w:before="120" w:beforeLines="50" w:after="50" w:line="276" w:lineRule="auto"/>
        <w:jc w:val="center"/>
        <w:rPr>
          <w:rFonts w:ascii="宋体" w:hAnsi="宋体" w:cs="宋体"/>
          <w:b/>
          <w:color w:val="auto"/>
          <w:sz w:val="28"/>
          <w:szCs w:val="28"/>
        </w:rPr>
      </w:pPr>
      <w:r>
        <w:rPr>
          <w:rFonts w:hint="eastAsia" w:ascii="宋体" w:hAnsi="宋体" w:cs="宋体"/>
          <w:b/>
          <w:color w:val="auto"/>
          <w:sz w:val="28"/>
          <w:szCs w:val="28"/>
        </w:rPr>
        <w:t>投标声明书</w:t>
      </w:r>
    </w:p>
    <w:p w14:paraId="52A3EB57">
      <w:pPr>
        <w:snapToGrid w:val="0"/>
        <w:spacing w:before="120" w:beforeLines="50" w:after="50" w:line="276" w:lineRule="auto"/>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（招标采购单位名称）：</w:t>
      </w:r>
    </w:p>
    <w:p w14:paraId="07815B55">
      <w:pPr>
        <w:snapToGrid w:val="0"/>
        <w:spacing w:before="120" w:beforeLines="50" w:after="50" w:line="276" w:lineRule="auto"/>
        <w:ind w:firstLine="720" w:firstLineChars="3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（投标人名称）系中华人民共和国合法企业，经营地址</w:t>
      </w:r>
      <w:r>
        <w:rPr>
          <w:rFonts w:hint="eastAsia" w:ascii="宋体" w:hAnsi="宋体" w:cs="宋体"/>
          <w:color w:val="auto"/>
          <w:sz w:val="24"/>
          <w:u w:val="single"/>
        </w:rPr>
        <w:t xml:space="preserve">                               </w:t>
      </w:r>
      <w:r>
        <w:rPr>
          <w:rFonts w:hint="eastAsia" w:ascii="宋体" w:hAnsi="宋体" w:cs="宋体"/>
          <w:color w:val="auto"/>
          <w:sz w:val="24"/>
        </w:rPr>
        <w:t>。</w:t>
      </w:r>
    </w:p>
    <w:p w14:paraId="40BDD3F1">
      <w:pPr>
        <w:snapToGrid w:val="0"/>
        <w:spacing w:before="120" w:beforeLines="50" w:after="50" w:line="276" w:lineRule="auto"/>
        <w:ind w:firstLine="645"/>
        <w:rPr>
          <w:rFonts w:ascii="宋体" w:hAnsi="宋体" w:cs="宋体"/>
          <w:color w:val="auto"/>
          <w:sz w:val="24"/>
        </w:rPr>
      </w:pPr>
      <w:r>
        <w:rPr>
          <w:rFonts w:hint="eastAsia" w:ascii="宋体" w:hAnsi="宋体" w:cs="宋体"/>
          <w:color w:val="auto"/>
          <w:sz w:val="24"/>
        </w:rPr>
        <w:t>我</w:t>
      </w:r>
      <w:r>
        <w:rPr>
          <w:rFonts w:hint="eastAsia" w:ascii="宋体" w:hAnsi="宋体" w:cs="宋体"/>
          <w:color w:val="auto"/>
          <w:sz w:val="24"/>
          <w:u w:val="single"/>
        </w:rPr>
        <w:t xml:space="preserve">           </w:t>
      </w:r>
      <w:r>
        <w:rPr>
          <w:rFonts w:hint="eastAsia" w:ascii="宋体" w:hAnsi="宋体" w:cs="宋体"/>
          <w:color w:val="auto"/>
          <w:sz w:val="24"/>
        </w:rPr>
        <w:t>（姓名）系</w:t>
      </w:r>
      <w:r>
        <w:rPr>
          <w:rFonts w:hint="eastAsia" w:ascii="宋体" w:hAnsi="宋体" w:cs="宋体"/>
          <w:color w:val="auto"/>
          <w:sz w:val="24"/>
          <w:u w:val="single"/>
        </w:rPr>
        <w:t xml:space="preserve">             </w:t>
      </w:r>
      <w:r>
        <w:rPr>
          <w:rFonts w:hint="eastAsia" w:ascii="宋体" w:hAnsi="宋体" w:cs="宋体"/>
          <w:color w:val="auto"/>
          <w:sz w:val="24"/>
        </w:rPr>
        <w:t xml:space="preserve">（投标人名称）的法定代表人，我方愿意参加贵方组织的 </w:t>
      </w:r>
      <w:r>
        <w:rPr>
          <w:rFonts w:hint="eastAsia" w:ascii="宋体" w:hAnsi="宋体" w:cs="宋体"/>
          <w:color w:val="auto"/>
          <w:sz w:val="24"/>
          <w:u w:val="single"/>
        </w:rPr>
        <w:t xml:space="preserve">                    </w:t>
      </w:r>
      <w:r>
        <w:rPr>
          <w:rFonts w:hint="eastAsia" w:ascii="宋体" w:hAnsi="宋体" w:cs="宋体"/>
          <w:color w:val="auto"/>
          <w:sz w:val="24"/>
        </w:rPr>
        <w:t xml:space="preserve"> 项目的投标，为便于贵方公正、择优地确定中标人及其投标服务，我方就本次投标有关事项郑重声明如下：</w:t>
      </w:r>
    </w:p>
    <w:p w14:paraId="21CAA7C0">
      <w:pPr>
        <w:spacing w:line="360" w:lineRule="auto"/>
        <w:ind w:firstLine="480" w:firstLineChars="200"/>
        <w:rPr>
          <w:rFonts w:ascii="宋体" w:hAnsi="宋体" w:cs="宋体"/>
          <w:color w:val="auto"/>
          <w:sz w:val="24"/>
        </w:rPr>
      </w:pPr>
      <w:r>
        <w:rPr>
          <w:rFonts w:hint="eastAsia" w:ascii="宋体" w:hAnsi="宋体" w:cs="宋体"/>
          <w:color w:val="auto"/>
          <w:sz w:val="24"/>
        </w:rPr>
        <w:t>1.我方向贵方提交的所有投标文件、资料都是准确的和真实的。若有违背，我公司愿为由此而产生的一切后果负责。</w:t>
      </w:r>
    </w:p>
    <w:p w14:paraId="02F969F1">
      <w:pPr>
        <w:snapToGrid w:val="0"/>
        <w:spacing w:before="120" w:beforeLines="50" w:line="276" w:lineRule="auto"/>
        <w:ind w:firstLine="480" w:firstLineChars="200"/>
        <w:rPr>
          <w:rFonts w:ascii="宋体" w:hAnsi="宋体" w:cs="宋体"/>
          <w:color w:val="auto"/>
          <w:sz w:val="24"/>
          <w:u w:val="single"/>
        </w:rPr>
      </w:pPr>
      <w:r>
        <w:rPr>
          <w:rFonts w:hint="eastAsia" w:ascii="宋体" w:hAnsi="宋体" w:cs="宋体"/>
          <w:color w:val="auto"/>
          <w:sz w:val="24"/>
        </w:rPr>
        <w:t>2.我方不是采购人的附属机构；在获知本项目采购信息后，与采购人聘请的为此项目提供咨询服务的公司及其附属机构没有任何联系。</w:t>
      </w:r>
    </w:p>
    <w:p w14:paraId="500C48C1">
      <w:pPr>
        <w:snapToGrid w:val="0"/>
        <w:spacing w:before="120" w:beforeLines="50" w:line="276"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rPr>
        <w:t xml:space="preserve"> </w:t>
      </w:r>
      <w:r>
        <w:rPr>
          <w:rFonts w:hint="eastAsia" w:ascii="宋体" w:hAnsi="宋体" w:cs="宋体"/>
          <w:color w:val="auto"/>
          <w:sz w:val="24"/>
        </w:rPr>
        <w:t>我方诚意提请贵方关注：近期有</w:t>
      </w:r>
      <w:r>
        <w:rPr>
          <w:rFonts w:hint="eastAsia" w:ascii="宋体" w:hAnsi="宋体" w:cs="宋体"/>
          <w:color w:val="auto"/>
          <w:sz w:val="24"/>
          <w:u w:val="single"/>
        </w:rPr>
        <w:t xml:space="preserve">                   （采购内容）</w:t>
      </w:r>
      <w:r>
        <w:rPr>
          <w:rFonts w:hint="eastAsia" w:ascii="宋体" w:hAnsi="宋体" w:cs="宋体"/>
          <w:color w:val="auto"/>
          <w:sz w:val="24"/>
        </w:rPr>
        <w:t>等方面的重大决策和事项有：</w:t>
      </w:r>
    </w:p>
    <w:p w14:paraId="78F5E2A3">
      <w:pPr>
        <w:snapToGrid w:val="0"/>
        <w:spacing w:before="120" w:beforeLines="50" w:line="276" w:lineRule="auto"/>
        <w:ind w:firstLine="480" w:firstLineChars="200"/>
        <w:rPr>
          <w:rFonts w:ascii="宋体" w:hAnsi="宋体" w:cs="宋体"/>
          <w:color w:val="auto"/>
          <w:sz w:val="24"/>
          <w:u w:val="single"/>
        </w:rPr>
      </w:pPr>
      <w:r>
        <w:rPr>
          <w:rFonts w:hint="eastAsia" w:ascii="宋体" w:hAnsi="宋体" w:cs="宋体"/>
          <w:color w:val="auto"/>
          <w:sz w:val="24"/>
          <w:u w:val="single"/>
        </w:rPr>
        <w:t>　　　　　　　　　　　　　　　　　　　　　　　　　　　</w:t>
      </w:r>
    </w:p>
    <w:p w14:paraId="53DFBAC4">
      <w:pPr>
        <w:snapToGrid w:val="0"/>
        <w:spacing w:before="120" w:beforeLines="50" w:line="276" w:lineRule="auto"/>
        <w:ind w:firstLine="480" w:firstLineChars="200"/>
        <w:rPr>
          <w:rFonts w:ascii="宋体" w:hAnsi="宋体" w:cs="宋体"/>
          <w:color w:val="auto"/>
          <w:sz w:val="24"/>
        </w:rPr>
      </w:pPr>
      <w:r>
        <w:rPr>
          <w:rFonts w:hint="eastAsia" w:ascii="宋体" w:hAnsi="宋体" w:cs="宋体"/>
          <w:color w:val="auto"/>
          <w:sz w:val="24"/>
          <w:u w:val="single"/>
        </w:rPr>
        <w:t>　　　　　　　　　　　　　　　　　　　　　　　　　　　</w:t>
      </w:r>
    </w:p>
    <w:p w14:paraId="2905998C">
      <w:pPr>
        <w:pStyle w:val="9"/>
        <w:snapToGrid w:val="0"/>
        <w:spacing w:line="276" w:lineRule="auto"/>
        <w:rPr>
          <w:rFonts w:ascii="宋体" w:hAnsi="宋体" w:cs="宋体"/>
          <w:color w:val="auto"/>
          <w:sz w:val="24"/>
        </w:rPr>
      </w:pPr>
      <w:r>
        <w:rPr>
          <w:rFonts w:hint="eastAsia" w:ascii="宋体" w:hAnsi="宋体" w:cs="宋体"/>
          <w:color w:val="auto"/>
          <w:sz w:val="24"/>
        </w:rPr>
        <w:t>4.我方及由本人担任法定代表人的其他机构最近三年内被通报或者被处罚的违法行为有：</w:t>
      </w:r>
    </w:p>
    <w:p w14:paraId="09444C24">
      <w:pPr>
        <w:snapToGrid w:val="0"/>
        <w:spacing w:before="120" w:beforeLines="50" w:line="276" w:lineRule="auto"/>
        <w:ind w:firstLine="480" w:firstLineChars="200"/>
        <w:rPr>
          <w:rFonts w:ascii="宋体" w:hAnsi="宋体" w:cs="宋体"/>
          <w:color w:val="auto"/>
          <w:sz w:val="24"/>
          <w:u w:val="single"/>
        </w:rPr>
      </w:pPr>
      <w:r>
        <w:rPr>
          <w:rFonts w:hint="eastAsia" w:ascii="宋体" w:hAnsi="宋体" w:cs="宋体"/>
          <w:color w:val="auto"/>
          <w:sz w:val="24"/>
          <w:u w:val="single"/>
        </w:rPr>
        <w:t>　　　　　　　　　　　　　　　　　　　　　　　　　　　</w:t>
      </w:r>
    </w:p>
    <w:p w14:paraId="76B331F1">
      <w:pPr>
        <w:snapToGrid w:val="0"/>
        <w:spacing w:before="120" w:beforeLines="50" w:line="276" w:lineRule="auto"/>
        <w:ind w:firstLine="480" w:firstLineChars="200"/>
        <w:rPr>
          <w:rFonts w:ascii="宋体" w:hAnsi="宋体" w:cs="宋体"/>
          <w:color w:val="auto"/>
          <w:sz w:val="24"/>
          <w:u w:val="single"/>
        </w:rPr>
      </w:pPr>
      <w:r>
        <w:rPr>
          <w:rFonts w:hint="eastAsia" w:ascii="宋体" w:hAnsi="宋体" w:cs="宋体"/>
          <w:color w:val="auto"/>
          <w:sz w:val="24"/>
          <w:u w:val="single"/>
        </w:rPr>
        <w:t>　　　　　　　　　　　　　　　　　　　　　　　　　　　</w:t>
      </w:r>
    </w:p>
    <w:p w14:paraId="0F5DC840">
      <w:pPr>
        <w:snapToGrid w:val="0"/>
        <w:spacing w:line="276" w:lineRule="auto"/>
        <w:ind w:firstLine="480" w:firstLineChars="200"/>
        <w:rPr>
          <w:rFonts w:ascii="宋体" w:hAnsi="宋体" w:cs="宋体"/>
          <w:color w:val="auto"/>
          <w:sz w:val="24"/>
        </w:rPr>
      </w:pPr>
      <w:r>
        <w:rPr>
          <w:rFonts w:hint="eastAsia" w:ascii="宋体" w:hAnsi="宋体" w:cs="宋体"/>
          <w:color w:val="auto"/>
          <w:sz w:val="24"/>
        </w:rPr>
        <w:t>5.以上事项如有虚假或隐瞒，我方愿意承担一切后果，并不再寻求任何旨在减轻或免除法律责任的辩解。</w:t>
      </w:r>
    </w:p>
    <w:p w14:paraId="1AC25B8E">
      <w:pPr>
        <w:pStyle w:val="10"/>
        <w:tabs>
          <w:tab w:val="left" w:pos="939"/>
        </w:tabs>
        <w:snapToGrid w:val="0"/>
        <w:spacing w:line="276" w:lineRule="auto"/>
        <w:ind w:left="773" w:leftChars="150" w:hanging="458" w:hangingChars="191"/>
        <w:rPr>
          <w:rFonts w:ascii="宋体" w:hAnsi="宋体" w:cs="宋体"/>
          <w:color w:val="auto"/>
          <w:sz w:val="24"/>
        </w:rPr>
      </w:pPr>
    </w:p>
    <w:p w14:paraId="37AD2E5D">
      <w:pPr>
        <w:pStyle w:val="37"/>
        <w:snapToGrid w:val="0"/>
        <w:spacing w:before="120" w:beforeLines="50" w:line="276" w:lineRule="auto"/>
        <w:ind w:firstLine="200"/>
        <w:rPr>
          <w:rFonts w:ascii="宋体" w:hAnsi="宋体" w:cs="宋体"/>
          <w:color w:val="auto"/>
          <w:szCs w:val="24"/>
        </w:rPr>
      </w:pPr>
    </w:p>
    <w:p w14:paraId="4C29489D">
      <w:pPr>
        <w:snapToGrid w:val="0"/>
        <w:spacing w:before="120" w:beforeLines="50" w:line="276" w:lineRule="auto"/>
        <w:ind w:firstLine="319" w:firstLineChars="133"/>
        <w:rPr>
          <w:rFonts w:ascii="宋体" w:hAnsi="宋体" w:cs="宋体"/>
          <w:color w:val="auto"/>
          <w:sz w:val="24"/>
          <w:u w:val="single"/>
        </w:rPr>
      </w:pPr>
      <w:r>
        <w:rPr>
          <w:rFonts w:hint="eastAsia" w:ascii="宋体" w:hAnsi="宋体" w:cs="宋体"/>
          <w:color w:val="auto"/>
          <w:sz w:val="24"/>
        </w:rPr>
        <w:t>法定代表人或委托代理人签字：</w:t>
      </w:r>
      <w:r>
        <w:rPr>
          <w:rFonts w:hint="eastAsia" w:ascii="宋体" w:hAnsi="宋体" w:cs="宋体"/>
          <w:color w:val="auto"/>
          <w:sz w:val="24"/>
          <w:u w:val="single"/>
        </w:rPr>
        <w:t xml:space="preserve">             </w:t>
      </w:r>
    </w:p>
    <w:p w14:paraId="3FCA6144">
      <w:pPr>
        <w:snapToGrid w:val="0"/>
        <w:spacing w:before="120" w:beforeLines="50" w:after="50" w:line="276" w:lineRule="auto"/>
        <w:ind w:firstLine="360" w:firstLineChars="150"/>
        <w:rPr>
          <w:rFonts w:ascii="宋体" w:hAnsi="宋体" w:cs="宋体"/>
          <w:color w:val="auto"/>
          <w:sz w:val="24"/>
        </w:rPr>
      </w:pPr>
      <w:r>
        <w:rPr>
          <w:rFonts w:hint="eastAsia" w:ascii="宋体" w:hAnsi="宋体" w:cs="宋体"/>
          <w:color w:val="auto"/>
          <w:sz w:val="24"/>
        </w:rPr>
        <w:t>投标人公章：</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06B5EEBE">
      <w:pPr>
        <w:snapToGrid w:val="0"/>
        <w:spacing w:before="120" w:beforeLines="50" w:after="50" w:line="276" w:lineRule="auto"/>
        <w:ind w:firstLine="6240" w:firstLineChars="2600"/>
        <w:rPr>
          <w:rFonts w:ascii="宋体" w:hAnsi="宋体" w:cs="宋体"/>
          <w:color w:val="auto"/>
          <w:sz w:val="24"/>
        </w:rPr>
      </w:pPr>
      <w:r>
        <w:rPr>
          <w:rFonts w:hint="eastAsia" w:ascii="宋体" w:hAnsi="宋体" w:cs="宋体"/>
          <w:color w:val="auto"/>
          <w:sz w:val="24"/>
        </w:rPr>
        <w:t>年    月    日</w:t>
      </w:r>
    </w:p>
    <w:p w14:paraId="51A9F01C">
      <w:pPr>
        <w:snapToGrid w:val="0"/>
        <w:spacing w:before="120" w:beforeLines="50" w:after="50" w:line="276" w:lineRule="auto"/>
        <w:rPr>
          <w:rFonts w:ascii="宋体" w:hAnsi="宋体" w:cs="宋体"/>
          <w:b/>
          <w:color w:val="auto"/>
          <w:sz w:val="24"/>
        </w:rPr>
      </w:pPr>
    </w:p>
    <w:p w14:paraId="1582312E">
      <w:pPr>
        <w:pStyle w:val="4"/>
        <w:keepNext w:val="0"/>
        <w:keepLines w:val="0"/>
        <w:pageBreakBefore/>
        <w:spacing w:line="360" w:lineRule="auto"/>
        <w:rPr>
          <w:rFonts w:ascii="宋体" w:hAnsi="宋体" w:eastAsia="宋体" w:cs="宋体"/>
          <w:color w:val="auto"/>
          <w:sz w:val="24"/>
          <w:szCs w:val="24"/>
        </w:rPr>
      </w:pPr>
      <w:bookmarkStart w:id="80" w:name="_Toc10320"/>
      <w:bookmarkStart w:id="81" w:name="_Toc12817"/>
      <w:r>
        <w:rPr>
          <w:rFonts w:hint="eastAsia" w:ascii="宋体" w:hAnsi="宋体" w:eastAsia="宋体" w:cs="宋体"/>
          <w:color w:val="auto"/>
          <w:sz w:val="24"/>
          <w:szCs w:val="24"/>
        </w:rPr>
        <w:t>附件</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：政府采购活动现场确认声明书</w:t>
      </w:r>
      <w:bookmarkEnd w:id="80"/>
      <w:bookmarkEnd w:id="81"/>
    </w:p>
    <w:p w14:paraId="5491D9E9">
      <w:pPr>
        <w:snapToGrid w:val="0"/>
        <w:spacing w:before="120" w:beforeLines="50" w:after="50" w:line="480" w:lineRule="auto"/>
        <w:jc w:val="center"/>
        <w:rPr>
          <w:rFonts w:ascii="宋体" w:hAnsi="宋体" w:cs="宋体"/>
          <w:b/>
          <w:color w:val="auto"/>
          <w:sz w:val="28"/>
          <w:szCs w:val="28"/>
        </w:rPr>
      </w:pPr>
      <w:r>
        <w:rPr>
          <w:rFonts w:hint="eastAsia" w:ascii="宋体" w:hAnsi="宋体" w:cs="宋体"/>
          <w:b/>
          <w:color w:val="auto"/>
          <w:sz w:val="28"/>
          <w:szCs w:val="28"/>
        </w:rPr>
        <w:t>政府采购活动现场确认声明书</w:t>
      </w:r>
    </w:p>
    <w:p w14:paraId="50BF54A8">
      <w:pPr>
        <w:snapToGrid w:val="0"/>
        <w:spacing w:before="120" w:beforeLines="50" w:after="50" w:line="276" w:lineRule="auto"/>
        <w:rPr>
          <w:rFonts w:ascii="宋体" w:hAnsi="宋体" w:cs="宋体"/>
          <w:color w:val="auto"/>
          <w:sz w:val="24"/>
        </w:rPr>
      </w:pPr>
      <w:r>
        <w:rPr>
          <w:rFonts w:hint="eastAsia" w:ascii="宋体" w:hAnsi="宋体" w:cs="宋体"/>
          <w:color w:val="auto"/>
          <w:sz w:val="24"/>
          <w:lang w:eastAsia="zh-CN"/>
        </w:rPr>
        <w:t>浙江衢州公信工程管理有限公司</w:t>
      </w:r>
      <w:r>
        <w:rPr>
          <w:rFonts w:hint="eastAsia" w:ascii="宋体" w:hAnsi="宋体" w:cs="宋体"/>
          <w:color w:val="auto"/>
          <w:sz w:val="24"/>
        </w:rPr>
        <w:t xml:space="preserve"> :</w:t>
      </w:r>
    </w:p>
    <w:p w14:paraId="64B96B6F">
      <w:pPr>
        <w:snapToGrid w:val="0"/>
        <w:spacing w:before="120" w:beforeLines="50" w:after="50" w:line="276" w:lineRule="auto"/>
        <w:ind w:firstLine="720" w:firstLineChars="300"/>
        <w:rPr>
          <w:rFonts w:ascii="宋体" w:hAnsi="宋体" w:cs="宋体"/>
          <w:color w:val="auto"/>
          <w:sz w:val="24"/>
        </w:rPr>
      </w:pPr>
      <w:r>
        <w:rPr>
          <w:rFonts w:hint="eastAsia" w:ascii="宋体" w:hAnsi="宋体" w:cs="宋体"/>
          <w:color w:val="auto"/>
          <w:sz w:val="24"/>
        </w:rPr>
        <w:t>本人</w:t>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rPr>
        <w:t>（授权代表姓名），经由</w:t>
      </w:r>
      <w:r>
        <w:rPr>
          <w:rFonts w:hint="eastAsia" w:ascii="宋体" w:hAnsi="宋体" w:cs="宋体"/>
          <w:color w:val="auto"/>
          <w:sz w:val="24"/>
          <w:u w:val="single"/>
        </w:rPr>
        <w:t xml:space="preserve">                              </w:t>
      </w:r>
      <w:r>
        <w:rPr>
          <w:rFonts w:hint="eastAsia" w:ascii="宋体" w:hAnsi="宋体" w:cs="宋体"/>
          <w:color w:val="auto"/>
          <w:sz w:val="24"/>
        </w:rPr>
        <w:t>（单位）</w:t>
      </w:r>
    </w:p>
    <w:p w14:paraId="5625FD9F">
      <w:pPr>
        <w:snapToGrid w:val="0"/>
        <w:spacing w:before="120" w:beforeLines="50" w:after="50" w:line="276" w:lineRule="auto"/>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rPr>
        <w:t>（法定代表人姓名）合法授权参加</w:t>
      </w:r>
      <w:r>
        <w:rPr>
          <w:rFonts w:hint="eastAsia" w:ascii="宋体" w:hAnsi="宋体" w:cs="宋体"/>
          <w:color w:val="auto"/>
          <w:sz w:val="24"/>
          <w:u w:val="single"/>
        </w:rPr>
        <w:t xml:space="preserve">               </w:t>
      </w:r>
      <w:r>
        <w:rPr>
          <w:rFonts w:hint="eastAsia" w:ascii="宋体" w:hAnsi="宋体" w:cs="宋体"/>
          <w:color w:val="auto"/>
          <w:sz w:val="24"/>
        </w:rPr>
        <w:t>项目（编号：</w:t>
      </w:r>
      <w:r>
        <w:rPr>
          <w:rFonts w:hint="eastAsia" w:ascii="宋体" w:hAnsi="宋体" w:cs="宋体"/>
          <w:color w:val="auto"/>
          <w:sz w:val="24"/>
          <w:u w:val="single"/>
        </w:rPr>
        <w:t xml:space="preserve">               </w:t>
      </w:r>
      <w:r>
        <w:rPr>
          <w:rFonts w:hint="eastAsia" w:ascii="宋体" w:hAnsi="宋体" w:cs="宋体"/>
          <w:color w:val="auto"/>
          <w:sz w:val="24"/>
        </w:rPr>
        <w:t>）政府采购活动．经与本单位法人代表（负责人）联系确认，现就有关公平竞争事项郑重声明如下:</w:t>
      </w:r>
    </w:p>
    <w:p w14:paraId="250E0C48">
      <w:pPr>
        <w:snapToGrid w:val="0"/>
        <w:spacing w:before="120" w:beforeLines="50" w:after="50" w:line="276" w:lineRule="auto"/>
        <w:rPr>
          <w:rFonts w:ascii="宋体" w:hAnsi="宋体" w:cs="宋体"/>
          <w:color w:val="auto"/>
          <w:sz w:val="24"/>
        </w:rPr>
      </w:pPr>
      <w:r>
        <w:rPr>
          <w:rFonts w:hint="eastAsia" w:ascii="宋体" w:hAnsi="宋体" w:cs="宋体"/>
          <w:color w:val="auto"/>
          <w:sz w:val="24"/>
        </w:rPr>
        <w:t>一、本单位与采购人之间口不存在利害关系口存在下列利害关系:</w:t>
      </w:r>
    </w:p>
    <w:p w14:paraId="766562C9">
      <w:pPr>
        <w:snapToGrid w:val="0"/>
        <w:spacing w:before="120" w:beforeLines="50" w:after="50" w:line="276" w:lineRule="auto"/>
        <w:rPr>
          <w:rFonts w:ascii="宋体" w:hAnsi="宋体" w:cs="宋体"/>
          <w:color w:val="auto"/>
          <w:sz w:val="24"/>
        </w:rPr>
      </w:pPr>
      <w:r>
        <w:rPr>
          <w:rFonts w:hint="eastAsia" w:ascii="宋体" w:hAnsi="宋体" w:cs="宋体"/>
          <w:color w:val="auto"/>
          <w:sz w:val="24"/>
        </w:rPr>
        <w:t>A．投资关系</w:t>
      </w:r>
      <w:r>
        <w:rPr>
          <w:rFonts w:hint="eastAsia" w:ascii="宋体" w:hAnsi="宋体" w:cs="宋体"/>
          <w:color w:val="auto"/>
          <w:sz w:val="24"/>
        </w:rPr>
        <w:tab/>
      </w:r>
      <w:r>
        <w:rPr>
          <w:rFonts w:hint="eastAsia" w:ascii="宋体" w:hAnsi="宋体" w:cs="宋体"/>
          <w:color w:val="auto"/>
          <w:sz w:val="24"/>
        </w:rPr>
        <w:t>B．行政隶属关系</w:t>
      </w:r>
      <w:r>
        <w:rPr>
          <w:rFonts w:hint="eastAsia" w:ascii="宋体" w:hAnsi="宋体" w:cs="宋体"/>
          <w:color w:val="auto"/>
          <w:sz w:val="24"/>
        </w:rPr>
        <w:tab/>
      </w:r>
      <w:r>
        <w:rPr>
          <w:rFonts w:hint="eastAsia" w:ascii="宋体" w:hAnsi="宋体" w:cs="宋体"/>
          <w:color w:val="auto"/>
          <w:sz w:val="24"/>
        </w:rPr>
        <w:t>C．业务指导关系  D．其他可能影响采购公正的利害关系（如有，请如实说明）。</w:t>
      </w:r>
    </w:p>
    <w:p w14:paraId="56B2E663">
      <w:pPr>
        <w:snapToGrid w:val="0"/>
        <w:spacing w:before="120" w:beforeLines="50" w:after="50" w:line="276" w:lineRule="auto"/>
        <w:rPr>
          <w:rFonts w:ascii="宋体" w:hAnsi="宋体" w:cs="宋体"/>
          <w:color w:val="auto"/>
          <w:sz w:val="24"/>
        </w:rPr>
      </w:pPr>
      <w:r>
        <w:rPr>
          <w:rFonts w:hint="eastAsia" w:ascii="宋体" w:hAnsi="宋体" w:cs="宋体"/>
          <w:color w:val="auto"/>
          <w:sz w:val="24"/>
        </w:rPr>
        <w:t xml:space="preserve">二、现己清楚知道参加本项目采购活动的其他所有供应商名称，本单位 口与其他所有供应商之间均不存在利害关系 口与 </w:t>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rPr>
        <w:t>（供应商名称）之间存在下列利害关系:</w:t>
      </w:r>
    </w:p>
    <w:p w14:paraId="74BC9036">
      <w:pPr>
        <w:snapToGrid w:val="0"/>
        <w:spacing w:before="120" w:beforeLines="50" w:after="50" w:line="276" w:lineRule="auto"/>
        <w:rPr>
          <w:rFonts w:ascii="宋体" w:hAnsi="宋体" w:cs="宋体"/>
          <w:color w:val="auto"/>
          <w:sz w:val="24"/>
        </w:rPr>
      </w:pPr>
      <w:r>
        <w:rPr>
          <w:rFonts w:hint="eastAsia" w:ascii="宋体" w:hAnsi="宋体" w:cs="宋体"/>
          <w:color w:val="auto"/>
          <w:sz w:val="24"/>
        </w:rPr>
        <w:t>A．法定代表人或负责人或实际控制人是同一人B．法定代表人或负责人或实际控制人是夫妻关系</w:t>
      </w:r>
    </w:p>
    <w:p w14:paraId="00941929">
      <w:pPr>
        <w:snapToGrid w:val="0"/>
        <w:spacing w:before="120" w:beforeLines="50" w:after="50" w:line="276" w:lineRule="auto"/>
        <w:rPr>
          <w:rFonts w:ascii="宋体" w:hAnsi="宋体" w:cs="宋体"/>
          <w:color w:val="auto"/>
          <w:sz w:val="24"/>
        </w:rPr>
      </w:pPr>
      <w:r>
        <w:rPr>
          <w:rFonts w:hint="eastAsia" w:ascii="宋体" w:hAnsi="宋体" w:cs="宋体"/>
          <w:color w:val="auto"/>
          <w:sz w:val="24"/>
        </w:rPr>
        <w:t>C.法定代表人或负责人或实际控制人是直系血亲关系</w:t>
      </w:r>
    </w:p>
    <w:p w14:paraId="0BEA4DD3">
      <w:pPr>
        <w:snapToGrid w:val="0"/>
        <w:spacing w:before="120" w:beforeLines="50" w:after="50" w:line="276" w:lineRule="auto"/>
        <w:rPr>
          <w:rFonts w:ascii="宋体" w:hAnsi="宋体" w:cs="宋体"/>
          <w:color w:val="auto"/>
          <w:sz w:val="24"/>
        </w:rPr>
      </w:pPr>
      <w:r>
        <w:rPr>
          <w:rFonts w:hint="eastAsia" w:ascii="宋体" w:hAnsi="宋体" w:cs="宋体"/>
          <w:color w:val="auto"/>
          <w:sz w:val="24"/>
        </w:rPr>
        <w:t>D.法定代表人或负责人或实际控制人存在三代以内旁系血亲关系</w:t>
      </w:r>
    </w:p>
    <w:p w14:paraId="3CE72102">
      <w:pPr>
        <w:snapToGrid w:val="0"/>
        <w:spacing w:before="120" w:beforeLines="50" w:after="50" w:line="276" w:lineRule="auto"/>
        <w:rPr>
          <w:rFonts w:ascii="宋体" w:hAnsi="宋体" w:cs="宋体"/>
          <w:color w:val="auto"/>
          <w:sz w:val="24"/>
        </w:rPr>
      </w:pPr>
      <w:r>
        <w:rPr>
          <w:rFonts w:hint="eastAsia" w:ascii="宋体" w:hAnsi="宋体" w:cs="宋体"/>
          <w:color w:val="auto"/>
          <w:sz w:val="24"/>
        </w:rPr>
        <w:t>E．法定代表人或负责人或实际控制人存在近姻亲关系</w:t>
      </w:r>
    </w:p>
    <w:p w14:paraId="5346F588">
      <w:pPr>
        <w:snapToGrid w:val="0"/>
        <w:spacing w:before="120" w:beforeLines="50" w:after="50" w:line="276" w:lineRule="auto"/>
        <w:rPr>
          <w:rFonts w:ascii="宋体" w:hAnsi="宋体" w:cs="宋体"/>
          <w:color w:val="auto"/>
          <w:sz w:val="24"/>
        </w:rPr>
      </w:pPr>
      <w:r>
        <w:rPr>
          <w:rFonts w:hint="eastAsia" w:ascii="宋体" w:hAnsi="宋体" w:cs="宋体"/>
          <w:color w:val="auto"/>
          <w:sz w:val="24"/>
        </w:rPr>
        <w:t>F．法定代表人或负责人或实际控制人存在股份控制或实际控制关系</w:t>
      </w:r>
    </w:p>
    <w:p w14:paraId="4997AE41">
      <w:pPr>
        <w:snapToGrid w:val="0"/>
        <w:spacing w:before="120" w:beforeLines="50" w:after="50" w:line="276" w:lineRule="auto"/>
        <w:rPr>
          <w:rFonts w:ascii="宋体" w:hAnsi="宋体" w:cs="宋体"/>
          <w:color w:val="auto"/>
          <w:sz w:val="24"/>
        </w:rPr>
      </w:pPr>
      <w:r>
        <w:rPr>
          <w:rFonts w:hint="eastAsia" w:ascii="宋体" w:hAnsi="宋体" w:cs="宋体"/>
          <w:color w:val="auto"/>
          <w:sz w:val="24"/>
        </w:rPr>
        <w:t>G．存在共同直接或间接投资设立子公司、联营企业和合营企业情况</w:t>
      </w:r>
    </w:p>
    <w:p w14:paraId="0AF3FA50">
      <w:pPr>
        <w:snapToGrid w:val="0"/>
        <w:spacing w:before="120" w:beforeLines="50" w:after="50" w:line="276" w:lineRule="auto"/>
        <w:rPr>
          <w:rFonts w:ascii="宋体" w:hAnsi="宋体" w:cs="宋体"/>
          <w:color w:val="auto"/>
          <w:sz w:val="24"/>
        </w:rPr>
      </w:pPr>
      <w:r>
        <w:rPr>
          <w:rFonts w:hint="eastAsia" w:ascii="宋体" w:hAnsi="宋体" w:cs="宋体"/>
          <w:color w:val="auto"/>
          <w:sz w:val="24"/>
        </w:rPr>
        <w:t>H.存在分级代理或代销关系、同一生产制造商关系、管理关系、重要业务（占主昔业务收入 50 ％以上）或重要财务往来关系（如融资）等其他实质性控制关系</w:t>
      </w:r>
    </w:p>
    <w:p w14:paraId="5BE99412">
      <w:pPr>
        <w:snapToGrid w:val="0"/>
        <w:spacing w:before="120" w:beforeLines="50" w:after="50" w:line="276" w:lineRule="auto"/>
        <w:rPr>
          <w:rFonts w:ascii="宋体" w:hAnsi="宋体" w:cs="宋体"/>
          <w:color w:val="auto"/>
          <w:sz w:val="24"/>
        </w:rPr>
      </w:pPr>
      <w:r>
        <w:rPr>
          <w:rFonts w:hint="eastAsia" w:ascii="宋体" w:hAnsi="宋体" w:cs="宋体"/>
          <w:color w:val="auto"/>
          <w:sz w:val="24"/>
        </w:rPr>
        <w:t>I.其他利害关系情况</w:t>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rPr>
        <w:t>。</w:t>
      </w:r>
    </w:p>
    <w:p w14:paraId="0350BA88">
      <w:pPr>
        <w:snapToGrid w:val="0"/>
        <w:spacing w:before="120" w:beforeLines="50" w:after="50" w:line="276" w:lineRule="auto"/>
        <w:rPr>
          <w:rFonts w:ascii="宋体" w:hAnsi="宋体" w:cs="宋体"/>
          <w:color w:val="auto"/>
          <w:sz w:val="24"/>
        </w:rPr>
      </w:pPr>
      <w:r>
        <w:rPr>
          <w:rFonts w:hint="eastAsia" w:ascii="宋体" w:hAnsi="宋体" w:cs="宋体"/>
          <w:color w:val="auto"/>
          <w:sz w:val="24"/>
        </w:rPr>
        <w:t>三、现己清楚知道并严格遵守政府采购法律法规和现场纪律。</w:t>
      </w:r>
    </w:p>
    <w:p w14:paraId="4EAAE935">
      <w:pPr>
        <w:snapToGrid w:val="0"/>
        <w:spacing w:before="120" w:beforeLines="50" w:after="50" w:line="276" w:lineRule="auto"/>
        <w:rPr>
          <w:rFonts w:ascii="宋体" w:hAnsi="宋体" w:cs="宋体"/>
          <w:color w:val="auto"/>
          <w:sz w:val="24"/>
        </w:rPr>
      </w:pPr>
      <w:r>
        <w:rPr>
          <w:rFonts w:hint="eastAsia" w:ascii="宋体" w:hAnsi="宋体" w:cs="宋体"/>
          <w:color w:val="auto"/>
          <w:sz w:val="24"/>
        </w:rPr>
        <w:t>四、我发现</w:t>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rPr>
        <w:t>供应商之间存在或可能存在上述第二条第</w:t>
      </w:r>
      <w:r>
        <w:rPr>
          <w:rFonts w:hint="eastAsia" w:ascii="宋体" w:hAnsi="宋体" w:cs="宋体"/>
          <w:color w:val="auto"/>
          <w:sz w:val="24"/>
          <w:u w:val="single"/>
        </w:rPr>
        <w:t xml:space="preserve">       </w:t>
      </w:r>
      <w:r>
        <w:rPr>
          <w:rFonts w:hint="eastAsia" w:ascii="宋体" w:hAnsi="宋体" w:cs="宋体"/>
          <w:color w:val="auto"/>
          <w:sz w:val="24"/>
        </w:rPr>
        <w:t>项利害关系。</w:t>
      </w:r>
    </w:p>
    <w:p w14:paraId="43AA1BE8">
      <w:pPr>
        <w:snapToGrid w:val="0"/>
        <w:spacing w:before="120" w:beforeLines="50" w:after="50" w:line="276" w:lineRule="auto"/>
        <w:rPr>
          <w:rFonts w:ascii="宋体" w:hAnsi="宋体" w:cs="宋体"/>
          <w:color w:val="auto"/>
          <w:sz w:val="24"/>
        </w:rPr>
      </w:pPr>
    </w:p>
    <w:p w14:paraId="3D55ABD7">
      <w:pPr>
        <w:snapToGrid w:val="0"/>
        <w:spacing w:before="120" w:beforeLines="50" w:after="50" w:line="276" w:lineRule="auto"/>
        <w:jc w:val="center"/>
        <w:rPr>
          <w:rFonts w:ascii="宋体" w:hAnsi="宋体" w:cs="宋体"/>
          <w:color w:val="auto"/>
          <w:sz w:val="24"/>
        </w:rPr>
      </w:pPr>
      <w:r>
        <w:rPr>
          <w:rFonts w:hint="eastAsia" w:ascii="宋体" w:hAnsi="宋体" w:cs="宋体"/>
          <w:color w:val="auto"/>
          <w:sz w:val="24"/>
        </w:rPr>
        <w:t xml:space="preserve">（供应商代表签名）: </w:t>
      </w:r>
    </w:p>
    <w:p w14:paraId="2E26D5DF">
      <w:pPr>
        <w:snapToGrid w:val="0"/>
        <w:spacing w:before="120" w:beforeLines="50" w:after="50" w:line="276" w:lineRule="auto"/>
        <w:jc w:val="center"/>
        <w:rPr>
          <w:rFonts w:ascii="宋体" w:hAnsi="宋体" w:cs="宋体"/>
          <w:b/>
          <w:color w:val="auto"/>
          <w:sz w:val="24"/>
        </w:rPr>
      </w:pPr>
      <w:r>
        <w:rPr>
          <w:rFonts w:hint="eastAsia" w:ascii="宋体" w:hAnsi="宋体" w:cs="宋体"/>
          <w:color w:val="auto"/>
          <w:sz w:val="24"/>
        </w:rPr>
        <w:t xml:space="preserve">                                                     年   月   日</w:t>
      </w:r>
    </w:p>
    <w:p w14:paraId="385CE180">
      <w:pPr>
        <w:tabs>
          <w:tab w:val="left" w:pos="2472"/>
        </w:tabs>
        <w:snapToGrid w:val="0"/>
        <w:rPr>
          <w:color w:val="auto"/>
        </w:rPr>
      </w:pPr>
    </w:p>
    <w:p w14:paraId="4BA1364C">
      <w:pPr>
        <w:pStyle w:val="2"/>
        <w:rPr>
          <w:color w:val="auto"/>
        </w:rPr>
      </w:pPr>
    </w:p>
    <w:p w14:paraId="06D46147">
      <w:pPr>
        <w:pStyle w:val="9"/>
        <w:rPr>
          <w:color w:val="auto"/>
        </w:rPr>
      </w:pPr>
    </w:p>
    <w:bookmarkEnd w:id="75"/>
    <w:p w14:paraId="47B7B112">
      <w:pPr>
        <w:pStyle w:val="4"/>
        <w:keepNext w:val="0"/>
        <w:keepLines w:val="0"/>
        <w:pageBreakBefore/>
        <w:spacing w:line="276" w:lineRule="auto"/>
        <w:rPr>
          <w:rFonts w:ascii="宋体" w:hAnsi="宋体" w:eastAsia="宋体" w:cs="宋体"/>
          <w:b w:val="0"/>
          <w:color w:val="auto"/>
          <w:sz w:val="24"/>
          <w:szCs w:val="24"/>
          <w:highlight w:val="none"/>
        </w:rPr>
      </w:pPr>
      <w:bookmarkStart w:id="82" w:name="_Toc26975"/>
      <w:bookmarkStart w:id="83" w:name="_Toc25167"/>
      <w:bookmarkStart w:id="84" w:name="_Toc30075"/>
      <w:bookmarkStart w:id="85" w:name="_Toc496598991"/>
      <w:bookmarkStart w:id="86" w:name="_Toc11839"/>
      <w:r>
        <w:rPr>
          <w:rFonts w:hint="eastAsia" w:ascii="宋体" w:hAnsi="宋体" w:eastAsia="宋体" w:cs="宋体"/>
          <w:b w:val="0"/>
          <w:color w:val="auto"/>
          <w:sz w:val="24"/>
          <w:szCs w:val="24"/>
          <w:highlight w:val="none"/>
        </w:rPr>
        <w:t>附件五：联合体协议</w:t>
      </w:r>
      <w:bookmarkEnd w:id="82"/>
      <w:bookmarkEnd w:id="83"/>
    </w:p>
    <w:p w14:paraId="1EB962D6">
      <w:pPr>
        <w:jc w:val="center"/>
        <w:rPr>
          <w:b/>
          <w:bCs/>
          <w:color w:val="auto"/>
          <w:sz w:val="32"/>
          <w:szCs w:val="32"/>
          <w:highlight w:val="none"/>
        </w:rPr>
      </w:pPr>
      <w:r>
        <w:rPr>
          <w:rFonts w:hint="eastAsia" w:ascii="宋体" w:hAnsi="宋体" w:cs="宋体"/>
          <w:b/>
          <w:bCs/>
          <w:color w:val="auto"/>
          <w:sz w:val="32"/>
          <w:szCs w:val="32"/>
          <w:highlight w:val="none"/>
        </w:rPr>
        <w:t>联合体协议</w:t>
      </w:r>
    </w:p>
    <w:p w14:paraId="5DA014C9">
      <w:pPr>
        <w:snapToGrid w:val="0"/>
        <w:spacing w:line="360" w:lineRule="auto"/>
        <w:ind w:firstLine="576"/>
        <w:rPr>
          <w:rFonts w:ascii="仿宋_GB2312" w:hAnsi="仿宋" w:eastAsia="仿宋_GB2312" w:cs="仿宋_GB2312"/>
          <w:b/>
          <w:bCs/>
          <w:color w:val="auto"/>
          <w:kern w:val="0"/>
          <w:sz w:val="24"/>
          <w:highlight w:val="none"/>
          <w:u w:val="single"/>
        </w:rPr>
      </w:pPr>
      <w:r>
        <w:rPr>
          <w:rFonts w:hint="eastAsia" w:ascii="仿宋_GB2312" w:hAnsi="仿宋" w:eastAsia="仿宋_GB2312" w:cs="仿宋_GB2312"/>
          <w:b/>
          <w:bCs/>
          <w:color w:val="auto"/>
          <w:kern w:val="0"/>
          <w:sz w:val="24"/>
          <w:highlight w:val="none"/>
          <w:u w:val="single"/>
        </w:rPr>
        <w:t>（以联合体形式投标的，提供联合协议；本项目不接受联合体投标或者投标人不以联合体形式投标的，则不需要提供）</w:t>
      </w:r>
    </w:p>
    <w:p w14:paraId="44D1819C">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（联合体所有成员名称）</w:t>
      </w:r>
      <w:r>
        <w:rPr>
          <w:rFonts w:hint="eastAsia" w:asciiTheme="minorEastAsia" w:hAnsiTheme="minorEastAsia" w:eastAsiaTheme="minorEastAsia" w:cstheme="minorEastAsia"/>
          <w:color w:val="auto"/>
          <w:kern w:val="0"/>
          <w:sz w:val="24"/>
          <w:highlight w:val="none"/>
        </w:rPr>
        <w:t>自愿</w:t>
      </w:r>
      <w:r>
        <w:rPr>
          <w:rFonts w:hint="eastAsia" w:asciiTheme="minorEastAsia" w:hAnsiTheme="minorEastAsia" w:eastAsiaTheme="minorEastAsia" w:cstheme="minorEastAsia"/>
          <w:color w:val="auto"/>
          <w:kern w:val="0"/>
          <w:sz w:val="24"/>
          <w:highlight w:val="none"/>
          <w:lang w:val="zh-CN"/>
        </w:rPr>
        <w:t>组成一个联合体，以一个投标人的身份</w:t>
      </w:r>
      <w:r>
        <w:rPr>
          <w:rFonts w:hint="eastAsia" w:asciiTheme="minorEastAsia" w:hAnsiTheme="minorEastAsia" w:eastAsiaTheme="minorEastAsia" w:cstheme="minorEastAsia"/>
          <w:color w:val="auto"/>
          <w:kern w:val="0"/>
          <w:sz w:val="24"/>
          <w:highlight w:val="none"/>
        </w:rPr>
        <w:t>参加</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 xml:space="preserve">投标。 </w:t>
      </w:r>
    </w:p>
    <w:p w14:paraId="4FD07CF3">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一、各方一致决定，</w:t>
      </w:r>
      <w:r>
        <w:rPr>
          <w:rFonts w:hint="eastAsia" w:asciiTheme="minorEastAsia" w:hAnsiTheme="minorEastAsia" w:eastAsiaTheme="minorEastAsia" w:cstheme="minorEastAsia"/>
          <w:color w:val="auto"/>
          <w:kern w:val="0"/>
          <w:sz w:val="24"/>
          <w:highlight w:val="none"/>
          <w:u w:val="single"/>
        </w:rPr>
        <w:t>（某联合体成员名称）</w:t>
      </w:r>
      <w:r>
        <w:rPr>
          <w:rFonts w:hint="eastAsia" w:asciiTheme="minorEastAsia" w:hAnsiTheme="minorEastAsia" w:eastAsiaTheme="minorEastAsia" w:cstheme="minorEastAsia"/>
          <w:color w:val="auto"/>
          <w:kern w:val="0"/>
          <w:sz w:val="24"/>
          <w:highlight w:val="none"/>
        </w:rPr>
        <w:t>为联合体</w:t>
      </w:r>
      <w:r>
        <w:rPr>
          <w:rFonts w:hint="eastAsia" w:asciiTheme="minorEastAsia" w:hAnsiTheme="minorEastAsia" w:eastAsiaTheme="minorEastAsia" w:cstheme="minorEastAsia"/>
          <w:color w:val="auto"/>
          <w:kern w:val="0"/>
          <w:sz w:val="24"/>
          <w:highlight w:val="none"/>
          <w:lang w:val="zh-CN"/>
        </w:rPr>
        <w:t>牵头人</w:t>
      </w:r>
      <w:r>
        <w:rPr>
          <w:rFonts w:hint="eastAsia" w:asciiTheme="minorEastAsia" w:hAnsiTheme="minorEastAsia" w:eastAsiaTheme="minorEastAsia" w:cstheme="minorEastAsia"/>
          <w:color w:val="auto"/>
          <w:sz w:val="24"/>
          <w:highlight w:val="none"/>
        </w:rPr>
        <w:t>，代表所有联合体成员负责投标和合同实施阶段的主办、协调工作</w:t>
      </w:r>
      <w:r>
        <w:rPr>
          <w:rFonts w:hint="eastAsia" w:asciiTheme="minorEastAsia" w:hAnsiTheme="minorEastAsia" w:eastAsiaTheme="minorEastAsia" w:cstheme="minorEastAsia"/>
          <w:color w:val="auto"/>
          <w:kern w:val="0"/>
          <w:sz w:val="24"/>
          <w:highlight w:val="none"/>
          <w:lang w:val="zh-CN"/>
        </w:rPr>
        <w:t>。</w:t>
      </w:r>
    </w:p>
    <w:p w14:paraId="2B183C2E">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w:t>
      </w:r>
      <w:r>
        <w:rPr>
          <w:rFonts w:hint="eastAsia" w:asciiTheme="minorEastAsia" w:hAnsiTheme="minorEastAsia" w:eastAsiaTheme="minorEastAsia" w:cstheme="minorEastAsia"/>
          <w:color w:val="auto"/>
          <w:sz w:val="24"/>
          <w:highlight w:val="none"/>
        </w:rPr>
        <w:t>所有联合体成员各方签署授权书，授权书载明的</w:t>
      </w:r>
      <w:r>
        <w:rPr>
          <w:rFonts w:hint="eastAsia" w:asciiTheme="minorEastAsia" w:hAnsiTheme="minorEastAsia" w:eastAsiaTheme="minorEastAsia" w:cstheme="minorEastAsia"/>
          <w:color w:val="auto"/>
          <w:kern w:val="0"/>
          <w:sz w:val="24"/>
          <w:highlight w:val="none"/>
          <w:lang w:val="zh-CN"/>
        </w:rPr>
        <w:t>授权代表根据招标文件规定及投标内容而对采购人、采购机构所作的任何合法承诺，包括书面澄清及相应等均对联合投标各方产生约束力。</w:t>
      </w:r>
    </w:p>
    <w:p w14:paraId="729D9C0A">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三、本次联合投标中，分工如下：</w:t>
      </w:r>
      <w:r>
        <w:rPr>
          <w:rFonts w:hint="eastAsia" w:asciiTheme="minorEastAsia" w:hAnsiTheme="minorEastAsia" w:eastAsiaTheme="minorEastAsia" w:cstheme="minorEastAsia"/>
          <w:color w:val="auto"/>
          <w:kern w:val="0"/>
          <w:sz w:val="24"/>
          <w:highlight w:val="none"/>
          <w:u w:val="single"/>
        </w:rPr>
        <w:t>（联合体其中一方成员名称）</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14:paraId="087486B1">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w:t>
      </w:r>
      <w:r>
        <w:rPr>
          <w:rFonts w:hint="eastAsia" w:asciiTheme="minorEastAsia" w:hAnsiTheme="minorEastAsia" w:eastAsiaTheme="minorEastAsia" w:cstheme="minorEastAsia"/>
          <w:color w:val="auto"/>
          <w:kern w:val="0"/>
          <w:sz w:val="24"/>
          <w:highlight w:val="none"/>
          <w:u w:val="single"/>
        </w:rPr>
        <w:t>（联合体其中一方成员名称）</w:t>
      </w:r>
      <w:r>
        <w:rPr>
          <w:rFonts w:hint="eastAsia" w:asciiTheme="minorEastAsia" w:hAnsiTheme="minorEastAsia" w:eastAsiaTheme="minorEastAsia" w:cstheme="minorEastAsia"/>
          <w:color w:val="auto"/>
          <w:kern w:val="0"/>
          <w:sz w:val="24"/>
          <w:highlight w:val="none"/>
        </w:rPr>
        <w:t>提供的全部货物/服务由小微企业制造/服务，其合同份额占到合同总金额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kern w:val="0"/>
          <w:sz w:val="24"/>
          <w:highlight w:val="none"/>
          <w:lang w:val="zh-CN"/>
        </w:rPr>
        <w:t>……。</w:t>
      </w:r>
    </w:p>
    <w:p w14:paraId="532B2948">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五、如果中标，</w:t>
      </w:r>
      <w:r>
        <w:rPr>
          <w:rFonts w:hint="eastAsia" w:asciiTheme="minorEastAsia" w:hAnsiTheme="minorEastAsia" w:eastAsiaTheme="minorEastAsia" w:cstheme="minorEastAsia"/>
          <w:color w:val="auto"/>
          <w:sz w:val="24"/>
          <w:highlight w:val="none"/>
        </w:rPr>
        <w:t>联合体各成员方共同与采购人签订合同，并就采购合同约定的事项对采购人承担连带责任。</w:t>
      </w:r>
    </w:p>
    <w:p w14:paraId="7B38B9BB">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六、有关本次联合投标的其他事宜：</w:t>
      </w:r>
    </w:p>
    <w:p w14:paraId="1E5ACA95">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1、联合体各方不再单独参加或者与其他供应商另外组成联合体参加同一合同项下的政府采购活动。</w:t>
      </w:r>
    </w:p>
    <w:p w14:paraId="47D5F4E0">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2、联合体中有同类资质的各方按照联合体分工承担相同工作的，按照资质等级较低的供应商确定资质等级。</w:t>
      </w:r>
    </w:p>
    <w:p w14:paraId="27663FC5">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3、本协议提交采购人、采购机构后，联合体各方不得以任何形式对上述内容进行修改或撤销。</w:t>
      </w:r>
    </w:p>
    <w:p w14:paraId="650B7BFD">
      <w:pPr>
        <w:snapToGrid w:val="0"/>
        <w:spacing w:line="360" w:lineRule="auto"/>
        <w:ind w:firstLine="5040" w:firstLineChars="21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联合体成员名称(公章)：</w:t>
      </w:r>
    </w:p>
    <w:p w14:paraId="760DD0EE">
      <w:pPr>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52A5875E">
      <w:pPr>
        <w:snapToGrid w:val="0"/>
        <w:spacing w:line="360" w:lineRule="auto"/>
        <w:ind w:right="480"/>
        <w:rPr>
          <w:rFonts w:asciiTheme="minorEastAsia" w:hAnsiTheme="minorEastAsia" w:eastAsiaTheme="minorEastAsia" w:cstheme="minorEastAsia"/>
          <w:b/>
          <w:color w:val="auto"/>
          <w:kern w:val="0"/>
          <w:sz w:val="32"/>
          <w:szCs w:val="32"/>
          <w:highlight w:val="none"/>
          <w:lang w:val="zh-CN"/>
        </w:rPr>
        <w:sectPr>
          <w:headerReference r:id="rId7" w:type="first"/>
          <w:footerReference r:id="rId9" w:type="first"/>
          <w:headerReference r:id="rId6" w:type="default"/>
          <w:footerReference r:id="rId8" w:type="default"/>
          <w:pgSz w:w="11906" w:h="16838"/>
          <w:pgMar w:top="1276" w:right="1304" w:bottom="1247" w:left="1474" w:header="851" w:footer="992" w:gutter="0"/>
          <w:cols w:space="720" w:num="1"/>
          <w:docGrid w:linePitch="312" w:charSpace="0"/>
        </w:sectPr>
      </w:pPr>
    </w:p>
    <w:p w14:paraId="2BC08B7D">
      <w:pPr>
        <w:pStyle w:val="4"/>
        <w:keepNext w:val="0"/>
        <w:keepLines w:val="0"/>
        <w:pageBreakBefore/>
        <w:spacing w:line="276" w:lineRule="auto"/>
        <w:rPr>
          <w:rFonts w:ascii="宋体" w:hAnsi="宋体" w:eastAsia="宋体" w:cs="宋体"/>
          <w:b w:val="0"/>
          <w:color w:val="auto"/>
          <w:sz w:val="24"/>
          <w:szCs w:val="24"/>
          <w:highlight w:val="none"/>
        </w:rPr>
      </w:pPr>
      <w:bookmarkStart w:id="87" w:name="_Toc17839"/>
      <w:bookmarkStart w:id="88" w:name="_Toc2319"/>
      <w:r>
        <w:rPr>
          <w:rFonts w:hint="eastAsia" w:ascii="宋体" w:hAnsi="宋体" w:eastAsia="宋体" w:cs="宋体"/>
          <w:b w:val="0"/>
          <w:color w:val="auto"/>
          <w:sz w:val="24"/>
          <w:szCs w:val="24"/>
          <w:highlight w:val="none"/>
        </w:rPr>
        <w:t>附件六：分包意向协议</w:t>
      </w:r>
      <w:bookmarkEnd w:id="87"/>
      <w:bookmarkEnd w:id="88"/>
    </w:p>
    <w:p w14:paraId="40A24920">
      <w:pPr>
        <w:snapToGrid w:val="0"/>
        <w:spacing w:line="360" w:lineRule="auto"/>
        <w:ind w:firstLine="3534" w:firstLineChars="110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分包意向协议</w:t>
      </w:r>
    </w:p>
    <w:p w14:paraId="59DAECF7">
      <w:pPr>
        <w:widowControl/>
        <w:spacing w:line="360" w:lineRule="auto"/>
        <w:ind w:firstLine="120" w:firstLineChars="5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中标后以分包方式履行合同的，提供分包意向协议；采购人不同意分包或者投标人中标后不以分包方式履行合同的，则不需要提供。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p w14:paraId="6BA23032">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若成为</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的中标供应商，将依法采取分包方式履行合同。</w:t>
      </w: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rPr>
        <w:t>与</w:t>
      </w:r>
      <w:r>
        <w:rPr>
          <w:rFonts w:hint="eastAsia" w:asciiTheme="minorEastAsia" w:hAnsiTheme="minorEastAsia" w:eastAsiaTheme="minorEastAsia" w:cstheme="minorEastAsia"/>
          <w:color w:val="auto"/>
          <w:kern w:val="0"/>
          <w:sz w:val="24"/>
          <w:highlight w:val="none"/>
          <w:u w:val="single"/>
        </w:rPr>
        <w:t>（所有分包供应商名称）</w:t>
      </w:r>
      <w:r>
        <w:rPr>
          <w:rFonts w:hint="eastAsia" w:asciiTheme="minorEastAsia" w:hAnsiTheme="minorEastAsia" w:eastAsiaTheme="minorEastAsia" w:cstheme="minorEastAsia"/>
          <w:color w:val="auto"/>
          <w:kern w:val="0"/>
          <w:sz w:val="24"/>
          <w:highlight w:val="none"/>
        </w:rPr>
        <w:t>达成分包意向协议</w:t>
      </w:r>
      <w:r>
        <w:rPr>
          <w:rFonts w:hint="eastAsia" w:asciiTheme="minorEastAsia" w:hAnsiTheme="minorEastAsia" w:eastAsiaTheme="minorEastAsia" w:cstheme="minorEastAsia"/>
          <w:color w:val="auto"/>
          <w:kern w:val="0"/>
          <w:sz w:val="24"/>
          <w:highlight w:val="none"/>
          <w:lang w:val="zh-CN"/>
        </w:rPr>
        <w:t xml:space="preserve">。 </w:t>
      </w:r>
    </w:p>
    <w:p w14:paraId="43701578">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一、分包标的及数量</w:t>
      </w:r>
    </w:p>
    <w:p w14:paraId="35165EDD">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将</w:t>
      </w:r>
      <w:r>
        <w:rPr>
          <w:rFonts w:hint="eastAsia" w:asciiTheme="minorEastAsia" w:hAnsiTheme="minorEastAsia" w:eastAsiaTheme="minorEastAsia" w:cstheme="minorEastAsia"/>
          <w:color w:val="auto"/>
          <w:sz w:val="24"/>
          <w:highlight w:val="none"/>
          <w:u w:val="single"/>
        </w:rPr>
        <w:t xml:space="preserve">   XX工作内容   </w:t>
      </w:r>
      <w:r>
        <w:rPr>
          <w:rFonts w:hint="eastAsia" w:asciiTheme="minorEastAsia" w:hAnsiTheme="minorEastAsia" w:eastAsiaTheme="minorEastAsia" w:cstheme="minorEastAsia"/>
          <w:color w:val="auto"/>
          <w:sz w:val="24"/>
          <w:highlight w:val="none"/>
        </w:rPr>
        <w:t>分包给</w:t>
      </w:r>
      <w:r>
        <w:rPr>
          <w:rFonts w:hint="eastAsia" w:asciiTheme="minorEastAsia" w:hAnsiTheme="minorEastAsia" w:eastAsiaTheme="minorEastAsia" w:cstheme="minorEastAsia"/>
          <w:color w:val="auto"/>
          <w:kern w:val="0"/>
          <w:sz w:val="24"/>
          <w:highlight w:val="none"/>
          <w:u w:val="single"/>
        </w:rPr>
        <w:t>（某分包供应商名称）</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kern w:val="0"/>
          <w:sz w:val="24"/>
          <w:highlight w:val="none"/>
          <w:u w:val="single"/>
        </w:rPr>
        <w:t>（某分包供应商名称），</w:t>
      </w:r>
      <w:r>
        <w:rPr>
          <w:rFonts w:hint="eastAsia" w:asciiTheme="minorEastAsia" w:hAnsiTheme="minorEastAsia" w:eastAsiaTheme="minorEastAsia" w:cstheme="minorEastAsia"/>
          <w:color w:val="auto"/>
          <w:kern w:val="0"/>
          <w:sz w:val="24"/>
          <w:highlight w:val="none"/>
          <w:lang w:val="zh-CN"/>
        </w:rPr>
        <w:t>具备承</w:t>
      </w:r>
      <w:r>
        <w:rPr>
          <w:rFonts w:hint="eastAsia" w:asciiTheme="minorEastAsia" w:hAnsiTheme="minorEastAsia" w:eastAsiaTheme="minorEastAsia" w:cstheme="minorEastAsia"/>
          <w:color w:val="auto"/>
          <w:kern w:val="0"/>
          <w:sz w:val="24"/>
          <w:highlight w:val="none"/>
        </w:rPr>
        <w:t>担</w:t>
      </w:r>
      <w:r>
        <w:rPr>
          <w:rFonts w:hint="eastAsia" w:asciiTheme="minorEastAsia" w:hAnsiTheme="minorEastAsia" w:eastAsiaTheme="minorEastAsia" w:cstheme="minorEastAsia"/>
          <w:color w:val="auto"/>
          <w:kern w:val="0"/>
          <w:sz w:val="24"/>
          <w:highlight w:val="none"/>
          <w:u w:val="single"/>
          <w:lang w:val="zh-CN"/>
        </w:rPr>
        <w:t>XX工作内容</w:t>
      </w:r>
      <w:r>
        <w:rPr>
          <w:rFonts w:hint="eastAsia" w:asciiTheme="minorEastAsia" w:hAnsiTheme="minorEastAsia" w:eastAsiaTheme="minorEastAsia" w:cstheme="minorEastAsia"/>
          <w:color w:val="auto"/>
          <w:kern w:val="0"/>
          <w:sz w:val="24"/>
          <w:highlight w:val="none"/>
          <w:lang w:val="zh-CN"/>
        </w:rPr>
        <w:t>相应资质条件且不得再次分包；</w:t>
      </w:r>
    </w:p>
    <w:p w14:paraId="32F82DBB">
      <w:pPr>
        <w:snapToGrid w:val="0"/>
        <w:spacing w:line="360" w:lineRule="auto"/>
        <w:ind w:firstLine="576"/>
        <w:rPr>
          <w:rFonts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u w:val="single"/>
        </w:rPr>
        <w:t>……</w:t>
      </w:r>
    </w:p>
    <w:p w14:paraId="52031AF7">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二、分包工作履行期限、地点、方式</w:t>
      </w:r>
    </w:p>
    <w:p w14:paraId="24D32A82">
      <w:pPr>
        <w:snapToGrid w:val="0"/>
        <w:spacing w:line="360" w:lineRule="auto"/>
        <w:ind w:firstLine="576"/>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 xml:space="preserve">                                                                                  </w:t>
      </w:r>
    </w:p>
    <w:p w14:paraId="095BCE2F">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三、质量</w:t>
      </w:r>
    </w:p>
    <w:p w14:paraId="14A22B07">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4098E391">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四、价款或者报酬</w:t>
      </w:r>
    </w:p>
    <w:p w14:paraId="623808B8">
      <w:pPr>
        <w:snapToGrid w:val="0"/>
        <w:spacing w:line="360" w:lineRule="auto"/>
        <w:ind w:left="573" w:leftChars="273"/>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207E1921">
      <w:pPr>
        <w:snapToGrid w:val="0"/>
        <w:spacing w:line="360" w:lineRule="auto"/>
        <w:ind w:left="573" w:leftChars="273"/>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五、违约责任</w:t>
      </w:r>
    </w:p>
    <w:p w14:paraId="18802C32">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56D09DFA">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六、争议解决的办法</w:t>
      </w:r>
    </w:p>
    <w:p w14:paraId="180FE940">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0E7B1AA7">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七、其他</w:t>
      </w:r>
    </w:p>
    <w:p w14:paraId="25ECA608">
      <w:pPr>
        <w:snapToGrid w:val="0"/>
        <w:spacing w:line="360" w:lineRule="auto"/>
        <w:ind w:firstLine="576"/>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（分包供应商名称）提供的货物/服务全部由小微企业制造/服务，</w:t>
      </w:r>
      <w:r>
        <w:rPr>
          <w:rFonts w:hint="eastAsia" w:asciiTheme="minorEastAsia" w:hAnsiTheme="minorEastAsia" w:eastAsiaTheme="minorEastAsia" w:cstheme="minorEastAsia"/>
          <w:color w:val="auto"/>
          <w:kern w:val="0"/>
          <w:sz w:val="24"/>
          <w:highlight w:val="none"/>
        </w:rPr>
        <w:t>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sz w:val="24"/>
          <w:highlight w:val="none"/>
        </w:rPr>
        <w:t>。</w:t>
      </w:r>
    </w:p>
    <w:p w14:paraId="2A054F4E">
      <w:pPr>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投标人名称(盖章)：</w:t>
      </w:r>
    </w:p>
    <w:p w14:paraId="0FA56ACD">
      <w:pPr>
        <w:snapToGrid w:val="0"/>
        <w:spacing w:line="360" w:lineRule="auto"/>
        <w:ind w:firstLine="5640" w:firstLineChars="235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分包供应商名称：</w:t>
      </w:r>
    </w:p>
    <w:p w14:paraId="51B633FE">
      <w:pPr>
        <w:snapToGrid w:val="0"/>
        <w:spacing w:line="360" w:lineRule="auto"/>
        <w:ind w:firstLine="5760" w:firstLineChars="2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w:t>
      </w:r>
    </w:p>
    <w:p w14:paraId="50C03BB3">
      <w:pPr>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111C8B93">
      <w:pPr>
        <w:snapToGrid w:val="0"/>
        <w:spacing w:before="120" w:beforeLines="50" w:after="50" w:line="276" w:lineRule="auto"/>
        <w:jc w:val="left"/>
        <w:rPr>
          <w:rFonts w:ascii="宋体" w:hAnsi="宋体" w:cs="宋体"/>
          <w:color w:val="auto"/>
          <w:sz w:val="24"/>
          <w:highlight w:val="none"/>
        </w:rPr>
      </w:pPr>
      <w:r>
        <w:rPr>
          <w:rFonts w:hint="eastAsia" w:ascii="宋体" w:hAnsi="宋体" w:cs="宋体"/>
          <w:color w:val="auto"/>
          <w:sz w:val="24"/>
          <w:highlight w:val="none"/>
        </w:rPr>
        <w:br w:type="page"/>
      </w:r>
    </w:p>
    <w:p w14:paraId="3E664C55">
      <w:pPr>
        <w:pStyle w:val="4"/>
        <w:pageBreakBefore/>
        <w:rPr>
          <w:rFonts w:ascii="宋体" w:hAnsi="宋体" w:eastAsia="宋体" w:cs="宋体"/>
          <w:b w:val="0"/>
          <w:color w:val="auto"/>
          <w:sz w:val="24"/>
          <w:szCs w:val="24"/>
          <w:highlight w:val="none"/>
        </w:rPr>
      </w:pPr>
      <w:bookmarkStart w:id="89" w:name="_Toc1350"/>
      <w:r>
        <w:rPr>
          <w:rFonts w:hint="eastAsia" w:ascii="宋体" w:hAnsi="宋体" w:eastAsia="宋体" w:cs="宋体"/>
          <w:b w:val="0"/>
          <w:color w:val="auto"/>
          <w:sz w:val="24"/>
          <w:szCs w:val="24"/>
          <w:highlight w:val="none"/>
        </w:rPr>
        <w:t>附件七：投标人资信商务、技术自评得分表</w:t>
      </w:r>
      <w:bookmarkEnd w:id="89"/>
    </w:p>
    <w:p w14:paraId="3EA9ECB1">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投标人资信商务、技术自评得分表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550"/>
        <w:gridCol w:w="3200"/>
        <w:gridCol w:w="916"/>
        <w:gridCol w:w="1219"/>
      </w:tblGrid>
      <w:tr w14:paraId="0C9CC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834" w:type="dxa"/>
            <w:vAlign w:val="center"/>
          </w:tcPr>
          <w:p w14:paraId="548B0B98">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3550" w:type="dxa"/>
            <w:vAlign w:val="center"/>
          </w:tcPr>
          <w:p w14:paraId="44FBAFF3">
            <w:pPr>
              <w:jc w:val="center"/>
              <w:rPr>
                <w:rFonts w:ascii="宋体" w:hAnsi="宋体" w:cs="宋体"/>
                <w:color w:val="auto"/>
                <w:sz w:val="24"/>
                <w:highlight w:val="none"/>
              </w:rPr>
            </w:pPr>
            <w:r>
              <w:rPr>
                <w:rFonts w:hint="eastAsia" w:ascii="宋体" w:hAnsi="宋体" w:cs="宋体"/>
                <w:color w:val="auto"/>
                <w:sz w:val="24"/>
                <w:highlight w:val="none"/>
              </w:rPr>
              <w:t>评分标准</w:t>
            </w:r>
          </w:p>
        </w:tc>
        <w:tc>
          <w:tcPr>
            <w:tcW w:w="3200" w:type="dxa"/>
            <w:vAlign w:val="center"/>
          </w:tcPr>
          <w:p w14:paraId="43663D58">
            <w:pPr>
              <w:jc w:val="center"/>
              <w:rPr>
                <w:rFonts w:ascii="宋体" w:hAnsi="宋体" w:cs="宋体"/>
                <w:color w:val="auto"/>
                <w:sz w:val="24"/>
                <w:highlight w:val="none"/>
              </w:rPr>
            </w:pPr>
            <w:r>
              <w:rPr>
                <w:rFonts w:hint="eastAsia" w:ascii="宋体" w:hAnsi="宋体" w:cs="宋体"/>
                <w:color w:val="auto"/>
                <w:sz w:val="24"/>
                <w:highlight w:val="none"/>
              </w:rPr>
              <w:t>得分内容</w:t>
            </w:r>
          </w:p>
        </w:tc>
        <w:tc>
          <w:tcPr>
            <w:tcW w:w="916" w:type="dxa"/>
            <w:vAlign w:val="center"/>
          </w:tcPr>
          <w:p w14:paraId="1E427CDD">
            <w:pPr>
              <w:jc w:val="center"/>
              <w:rPr>
                <w:rFonts w:ascii="宋体" w:hAnsi="宋体" w:cs="宋体"/>
                <w:color w:val="auto"/>
                <w:sz w:val="24"/>
                <w:highlight w:val="none"/>
              </w:rPr>
            </w:pPr>
            <w:r>
              <w:rPr>
                <w:rFonts w:hint="eastAsia" w:ascii="宋体" w:hAnsi="宋体" w:cs="宋体"/>
                <w:color w:val="auto"/>
                <w:sz w:val="24"/>
                <w:highlight w:val="none"/>
              </w:rPr>
              <w:t>自评</w:t>
            </w:r>
          </w:p>
          <w:p w14:paraId="49FA5C07">
            <w:pPr>
              <w:jc w:val="center"/>
              <w:rPr>
                <w:rFonts w:ascii="宋体" w:hAnsi="宋体" w:cs="宋体"/>
                <w:color w:val="auto"/>
                <w:sz w:val="24"/>
                <w:highlight w:val="none"/>
              </w:rPr>
            </w:pPr>
            <w:r>
              <w:rPr>
                <w:rFonts w:hint="eastAsia" w:ascii="宋体" w:hAnsi="宋体" w:cs="宋体"/>
                <w:color w:val="auto"/>
                <w:sz w:val="24"/>
                <w:highlight w:val="none"/>
              </w:rPr>
              <w:t>得分</w:t>
            </w:r>
          </w:p>
        </w:tc>
        <w:tc>
          <w:tcPr>
            <w:tcW w:w="1219" w:type="dxa"/>
            <w:vAlign w:val="center"/>
          </w:tcPr>
          <w:p w14:paraId="72E0367F">
            <w:pPr>
              <w:jc w:val="center"/>
              <w:rPr>
                <w:rFonts w:ascii="宋体" w:hAnsi="宋体" w:cs="宋体"/>
                <w:color w:val="auto"/>
                <w:sz w:val="24"/>
                <w:highlight w:val="none"/>
              </w:rPr>
            </w:pPr>
            <w:r>
              <w:rPr>
                <w:rFonts w:hint="eastAsia" w:ascii="宋体" w:hAnsi="宋体" w:cs="宋体"/>
                <w:color w:val="auto"/>
                <w:sz w:val="24"/>
                <w:highlight w:val="none"/>
              </w:rPr>
              <w:t>页码</w:t>
            </w:r>
          </w:p>
        </w:tc>
      </w:tr>
      <w:tr w14:paraId="1B2DC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41F4491B">
            <w:pPr>
              <w:jc w:val="center"/>
              <w:rPr>
                <w:rFonts w:ascii="宋体" w:hAnsi="宋体" w:cs="宋体"/>
                <w:color w:val="auto"/>
                <w:sz w:val="24"/>
                <w:highlight w:val="none"/>
              </w:rPr>
            </w:pPr>
            <w:r>
              <w:rPr>
                <w:rFonts w:hint="eastAsia" w:ascii="宋体" w:hAnsi="宋体" w:cs="宋体"/>
                <w:color w:val="auto"/>
                <w:sz w:val="24"/>
                <w:highlight w:val="none"/>
              </w:rPr>
              <w:t>1</w:t>
            </w:r>
          </w:p>
        </w:tc>
        <w:tc>
          <w:tcPr>
            <w:tcW w:w="3550" w:type="dxa"/>
            <w:vAlign w:val="center"/>
          </w:tcPr>
          <w:p w14:paraId="20B2C603">
            <w:pPr>
              <w:jc w:val="center"/>
              <w:rPr>
                <w:rFonts w:ascii="宋体" w:hAnsi="宋体" w:cs="宋体"/>
                <w:color w:val="auto"/>
                <w:sz w:val="24"/>
                <w:highlight w:val="none"/>
              </w:rPr>
            </w:pPr>
          </w:p>
        </w:tc>
        <w:tc>
          <w:tcPr>
            <w:tcW w:w="3200" w:type="dxa"/>
            <w:vAlign w:val="center"/>
          </w:tcPr>
          <w:p w14:paraId="7B791C54">
            <w:pPr>
              <w:jc w:val="center"/>
              <w:rPr>
                <w:rFonts w:ascii="宋体" w:hAnsi="宋体" w:cs="宋体"/>
                <w:color w:val="auto"/>
                <w:sz w:val="24"/>
                <w:highlight w:val="none"/>
              </w:rPr>
            </w:pPr>
          </w:p>
        </w:tc>
        <w:tc>
          <w:tcPr>
            <w:tcW w:w="916" w:type="dxa"/>
            <w:vAlign w:val="center"/>
          </w:tcPr>
          <w:p w14:paraId="3D2A46A5">
            <w:pPr>
              <w:jc w:val="center"/>
              <w:rPr>
                <w:rFonts w:ascii="宋体" w:hAnsi="宋体" w:cs="宋体"/>
                <w:color w:val="auto"/>
                <w:sz w:val="24"/>
                <w:highlight w:val="none"/>
              </w:rPr>
            </w:pPr>
          </w:p>
        </w:tc>
        <w:tc>
          <w:tcPr>
            <w:tcW w:w="1219" w:type="dxa"/>
            <w:vAlign w:val="center"/>
          </w:tcPr>
          <w:p w14:paraId="46A86F10">
            <w:pPr>
              <w:jc w:val="center"/>
              <w:rPr>
                <w:rFonts w:ascii="宋体" w:hAnsi="宋体" w:cs="宋体"/>
                <w:color w:val="auto"/>
                <w:sz w:val="24"/>
                <w:highlight w:val="none"/>
              </w:rPr>
            </w:pPr>
          </w:p>
        </w:tc>
      </w:tr>
      <w:tr w14:paraId="5BE24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12FA70D4">
            <w:pPr>
              <w:jc w:val="center"/>
              <w:rPr>
                <w:rFonts w:ascii="宋体" w:hAnsi="宋体" w:cs="宋体"/>
                <w:color w:val="auto"/>
                <w:sz w:val="24"/>
                <w:highlight w:val="none"/>
              </w:rPr>
            </w:pPr>
            <w:r>
              <w:rPr>
                <w:rFonts w:hint="eastAsia" w:ascii="宋体" w:hAnsi="宋体" w:cs="宋体"/>
                <w:color w:val="auto"/>
                <w:sz w:val="24"/>
                <w:highlight w:val="none"/>
              </w:rPr>
              <w:t>2</w:t>
            </w:r>
          </w:p>
        </w:tc>
        <w:tc>
          <w:tcPr>
            <w:tcW w:w="3550" w:type="dxa"/>
            <w:vAlign w:val="center"/>
          </w:tcPr>
          <w:p w14:paraId="74DAFB85">
            <w:pPr>
              <w:jc w:val="center"/>
              <w:rPr>
                <w:rFonts w:ascii="宋体" w:hAnsi="宋体" w:cs="宋体"/>
                <w:color w:val="auto"/>
                <w:sz w:val="24"/>
                <w:highlight w:val="none"/>
              </w:rPr>
            </w:pPr>
          </w:p>
        </w:tc>
        <w:tc>
          <w:tcPr>
            <w:tcW w:w="3200" w:type="dxa"/>
            <w:vAlign w:val="center"/>
          </w:tcPr>
          <w:p w14:paraId="37A39A92">
            <w:pPr>
              <w:jc w:val="center"/>
              <w:rPr>
                <w:rFonts w:ascii="宋体" w:hAnsi="宋体" w:cs="宋体"/>
                <w:color w:val="auto"/>
                <w:sz w:val="24"/>
                <w:highlight w:val="none"/>
              </w:rPr>
            </w:pPr>
          </w:p>
        </w:tc>
        <w:tc>
          <w:tcPr>
            <w:tcW w:w="916" w:type="dxa"/>
            <w:vAlign w:val="center"/>
          </w:tcPr>
          <w:p w14:paraId="035127F1">
            <w:pPr>
              <w:jc w:val="center"/>
              <w:rPr>
                <w:rFonts w:ascii="宋体" w:hAnsi="宋体" w:cs="宋体"/>
                <w:color w:val="auto"/>
                <w:sz w:val="24"/>
                <w:highlight w:val="none"/>
              </w:rPr>
            </w:pPr>
          </w:p>
        </w:tc>
        <w:tc>
          <w:tcPr>
            <w:tcW w:w="1219" w:type="dxa"/>
            <w:vAlign w:val="center"/>
          </w:tcPr>
          <w:p w14:paraId="78B208BA">
            <w:pPr>
              <w:jc w:val="center"/>
              <w:rPr>
                <w:rFonts w:ascii="宋体" w:hAnsi="宋体" w:cs="宋体"/>
                <w:color w:val="auto"/>
                <w:sz w:val="24"/>
                <w:highlight w:val="none"/>
              </w:rPr>
            </w:pPr>
          </w:p>
        </w:tc>
      </w:tr>
      <w:tr w14:paraId="7430E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744CDCEF">
            <w:pPr>
              <w:jc w:val="center"/>
              <w:rPr>
                <w:rFonts w:ascii="宋体" w:hAnsi="宋体" w:cs="宋体"/>
                <w:color w:val="auto"/>
                <w:sz w:val="24"/>
                <w:highlight w:val="none"/>
              </w:rPr>
            </w:pPr>
            <w:r>
              <w:rPr>
                <w:rFonts w:hint="eastAsia" w:ascii="宋体" w:hAnsi="宋体" w:cs="宋体"/>
                <w:color w:val="auto"/>
                <w:sz w:val="24"/>
                <w:highlight w:val="none"/>
              </w:rPr>
              <w:t>3</w:t>
            </w:r>
          </w:p>
        </w:tc>
        <w:tc>
          <w:tcPr>
            <w:tcW w:w="3550" w:type="dxa"/>
            <w:vAlign w:val="center"/>
          </w:tcPr>
          <w:p w14:paraId="15F128FB">
            <w:pPr>
              <w:jc w:val="center"/>
              <w:rPr>
                <w:rFonts w:ascii="宋体" w:hAnsi="宋体" w:cs="宋体"/>
                <w:color w:val="auto"/>
                <w:sz w:val="24"/>
                <w:highlight w:val="none"/>
              </w:rPr>
            </w:pPr>
          </w:p>
        </w:tc>
        <w:tc>
          <w:tcPr>
            <w:tcW w:w="3200" w:type="dxa"/>
            <w:vAlign w:val="center"/>
          </w:tcPr>
          <w:p w14:paraId="775C786A">
            <w:pPr>
              <w:jc w:val="center"/>
              <w:rPr>
                <w:rFonts w:ascii="宋体" w:hAnsi="宋体" w:cs="宋体"/>
                <w:color w:val="auto"/>
                <w:sz w:val="24"/>
                <w:highlight w:val="none"/>
              </w:rPr>
            </w:pPr>
          </w:p>
        </w:tc>
        <w:tc>
          <w:tcPr>
            <w:tcW w:w="916" w:type="dxa"/>
            <w:vAlign w:val="center"/>
          </w:tcPr>
          <w:p w14:paraId="493ADE00">
            <w:pPr>
              <w:jc w:val="center"/>
              <w:rPr>
                <w:rFonts w:ascii="宋体" w:hAnsi="宋体" w:cs="宋体"/>
                <w:color w:val="auto"/>
                <w:sz w:val="24"/>
                <w:highlight w:val="none"/>
              </w:rPr>
            </w:pPr>
          </w:p>
        </w:tc>
        <w:tc>
          <w:tcPr>
            <w:tcW w:w="1219" w:type="dxa"/>
            <w:vAlign w:val="center"/>
          </w:tcPr>
          <w:p w14:paraId="61AD0FCA">
            <w:pPr>
              <w:jc w:val="center"/>
              <w:rPr>
                <w:rFonts w:ascii="宋体" w:hAnsi="宋体" w:cs="宋体"/>
                <w:color w:val="auto"/>
                <w:sz w:val="24"/>
                <w:highlight w:val="none"/>
              </w:rPr>
            </w:pPr>
          </w:p>
        </w:tc>
      </w:tr>
      <w:tr w14:paraId="3E675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015C6503">
            <w:pPr>
              <w:jc w:val="center"/>
              <w:rPr>
                <w:rFonts w:ascii="宋体" w:hAnsi="宋体" w:cs="宋体"/>
                <w:color w:val="auto"/>
                <w:sz w:val="24"/>
                <w:highlight w:val="none"/>
              </w:rPr>
            </w:pPr>
            <w:r>
              <w:rPr>
                <w:rFonts w:hint="eastAsia" w:ascii="宋体" w:hAnsi="宋体" w:cs="宋体"/>
                <w:color w:val="auto"/>
                <w:sz w:val="24"/>
                <w:highlight w:val="none"/>
              </w:rPr>
              <w:t>4</w:t>
            </w:r>
          </w:p>
        </w:tc>
        <w:tc>
          <w:tcPr>
            <w:tcW w:w="3550" w:type="dxa"/>
            <w:vAlign w:val="center"/>
          </w:tcPr>
          <w:p w14:paraId="63E028A7">
            <w:pPr>
              <w:jc w:val="center"/>
              <w:rPr>
                <w:rFonts w:ascii="宋体" w:hAnsi="宋体" w:cs="宋体"/>
                <w:color w:val="auto"/>
                <w:sz w:val="24"/>
                <w:highlight w:val="none"/>
              </w:rPr>
            </w:pPr>
          </w:p>
        </w:tc>
        <w:tc>
          <w:tcPr>
            <w:tcW w:w="3200" w:type="dxa"/>
            <w:vAlign w:val="center"/>
          </w:tcPr>
          <w:p w14:paraId="2A84E916">
            <w:pPr>
              <w:jc w:val="center"/>
              <w:rPr>
                <w:rFonts w:ascii="宋体" w:hAnsi="宋体" w:cs="宋体"/>
                <w:color w:val="auto"/>
                <w:sz w:val="24"/>
                <w:highlight w:val="none"/>
              </w:rPr>
            </w:pPr>
          </w:p>
        </w:tc>
        <w:tc>
          <w:tcPr>
            <w:tcW w:w="916" w:type="dxa"/>
            <w:vAlign w:val="center"/>
          </w:tcPr>
          <w:p w14:paraId="2D5BF1C8">
            <w:pPr>
              <w:jc w:val="center"/>
              <w:rPr>
                <w:rFonts w:ascii="宋体" w:hAnsi="宋体" w:cs="宋体"/>
                <w:color w:val="auto"/>
                <w:sz w:val="24"/>
                <w:highlight w:val="none"/>
              </w:rPr>
            </w:pPr>
          </w:p>
        </w:tc>
        <w:tc>
          <w:tcPr>
            <w:tcW w:w="1219" w:type="dxa"/>
            <w:vAlign w:val="center"/>
          </w:tcPr>
          <w:p w14:paraId="07EEAF2D">
            <w:pPr>
              <w:jc w:val="center"/>
              <w:rPr>
                <w:rFonts w:ascii="宋体" w:hAnsi="宋体" w:cs="宋体"/>
                <w:color w:val="auto"/>
                <w:sz w:val="24"/>
                <w:highlight w:val="none"/>
              </w:rPr>
            </w:pPr>
          </w:p>
        </w:tc>
      </w:tr>
      <w:tr w14:paraId="58D11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0A3AF59F">
            <w:pPr>
              <w:jc w:val="center"/>
              <w:rPr>
                <w:rFonts w:ascii="宋体" w:hAnsi="宋体" w:cs="宋体"/>
                <w:color w:val="auto"/>
                <w:sz w:val="24"/>
                <w:highlight w:val="none"/>
              </w:rPr>
            </w:pPr>
            <w:r>
              <w:rPr>
                <w:rFonts w:hint="eastAsia" w:ascii="宋体" w:hAnsi="宋体" w:cs="宋体"/>
                <w:color w:val="auto"/>
                <w:sz w:val="24"/>
                <w:highlight w:val="none"/>
              </w:rPr>
              <w:t>5</w:t>
            </w:r>
          </w:p>
        </w:tc>
        <w:tc>
          <w:tcPr>
            <w:tcW w:w="3550" w:type="dxa"/>
            <w:vAlign w:val="center"/>
          </w:tcPr>
          <w:p w14:paraId="718055A5">
            <w:pPr>
              <w:jc w:val="center"/>
              <w:rPr>
                <w:rFonts w:ascii="宋体" w:hAnsi="宋体" w:cs="宋体"/>
                <w:color w:val="auto"/>
                <w:sz w:val="24"/>
                <w:highlight w:val="none"/>
              </w:rPr>
            </w:pPr>
          </w:p>
        </w:tc>
        <w:tc>
          <w:tcPr>
            <w:tcW w:w="3200" w:type="dxa"/>
            <w:vAlign w:val="center"/>
          </w:tcPr>
          <w:p w14:paraId="33AE3E1A">
            <w:pPr>
              <w:jc w:val="center"/>
              <w:rPr>
                <w:rFonts w:ascii="宋体" w:hAnsi="宋体" w:cs="宋体"/>
                <w:color w:val="auto"/>
                <w:sz w:val="24"/>
                <w:highlight w:val="none"/>
              </w:rPr>
            </w:pPr>
          </w:p>
        </w:tc>
        <w:tc>
          <w:tcPr>
            <w:tcW w:w="916" w:type="dxa"/>
            <w:vAlign w:val="center"/>
          </w:tcPr>
          <w:p w14:paraId="43F26C87">
            <w:pPr>
              <w:jc w:val="center"/>
              <w:rPr>
                <w:rFonts w:ascii="宋体" w:hAnsi="宋体" w:cs="宋体"/>
                <w:color w:val="auto"/>
                <w:sz w:val="24"/>
                <w:highlight w:val="none"/>
              </w:rPr>
            </w:pPr>
          </w:p>
        </w:tc>
        <w:tc>
          <w:tcPr>
            <w:tcW w:w="1219" w:type="dxa"/>
            <w:vAlign w:val="center"/>
          </w:tcPr>
          <w:p w14:paraId="3CE79F83">
            <w:pPr>
              <w:jc w:val="center"/>
              <w:rPr>
                <w:rFonts w:ascii="宋体" w:hAnsi="宋体" w:cs="宋体"/>
                <w:color w:val="auto"/>
                <w:sz w:val="24"/>
                <w:highlight w:val="none"/>
              </w:rPr>
            </w:pPr>
          </w:p>
        </w:tc>
      </w:tr>
      <w:tr w14:paraId="3C2F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33FA73C1">
            <w:pPr>
              <w:jc w:val="center"/>
              <w:rPr>
                <w:rFonts w:ascii="宋体" w:hAnsi="宋体" w:cs="宋体"/>
                <w:color w:val="auto"/>
                <w:sz w:val="24"/>
                <w:highlight w:val="none"/>
              </w:rPr>
            </w:pPr>
            <w:r>
              <w:rPr>
                <w:rFonts w:hint="eastAsia" w:ascii="宋体" w:hAnsi="宋体" w:cs="宋体"/>
                <w:color w:val="auto"/>
                <w:sz w:val="24"/>
                <w:highlight w:val="none"/>
              </w:rPr>
              <w:t>6</w:t>
            </w:r>
          </w:p>
        </w:tc>
        <w:tc>
          <w:tcPr>
            <w:tcW w:w="3550" w:type="dxa"/>
            <w:vAlign w:val="center"/>
          </w:tcPr>
          <w:p w14:paraId="07DEFF17">
            <w:pPr>
              <w:jc w:val="center"/>
              <w:rPr>
                <w:rFonts w:ascii="宋体" w:hAnsi="宋体" w:cs="宋体"/>
                <w:color w:val="auto"/>
                <w:sz w:val="24"/>
                <w:highlight w:val="none"/>
              </w:rPr>
            </w:pPr>
          </w:p>
        </w:tc>
        <w:tc>
          <w:tcPr>
            <w:tcW w:w="3200" w:type="dxa"/>
            <w:vAlign w:val="center"/>
          </w:tcPr>
          <w:p w14:paraId="743DDA0A">
            <w:pPr>
              <w:jc w:val="center"/>
              <w:rPr>
                <w:rFonts w:ascii="宋体" w:hAnsi="宋体" w:cs="宋体"/>
                <w:color w:val="auto"/>
                <w:sz w:val="24"/>
                <w:highlight w:val="none"/>
              </w:rPr>
            </w:pPr>
          </w:p>
        </w:tc>
        <w:tc>
          <w:tcPr>
            <w:tcW w:w="916" w:type="dxa"/>
            <w:vAlign w:val="center"/>
          </w:tcPr>
          <w:p w14:paraId="78853B62">
            <w:pPr>
              <w:jc w:val="center"/>
              <w:rPr>
                <w:rFonts w:ascii="宋体" w:hAnsi="宋体" w:cs="宋体"/>
                <w:color w:val="auto"/>
                <w:sz w:val="24"/>
                <w:highlight w:val="none"/>
              </w:rPr>
            </w:pPr>
          </w:p>
        </w:tc>
        <w:tc>
          <w:tcPr>
            <w:tcW w:w="1219" w:type="dxa"/>
            <w:vAlign w:val="center"/>
          </w:tcPr>
          <w:p w14:paraId="2FBE6540">
            <w:pPr>
              <w:jc w:val="center"/>
              <w:rPr>
                <w:rFonts w:ascii="宋体" w:hAnsi="宋体" w:cs="宋体"/>
                <w:color w:val="auto"/>
                <w:sz w:val="24"/>
                <w:highlight w:val="none"/>
              </w:rPr>
            </w:pPr>
          </w:p>
        </w:tc>
      </w:tr>
      <w:tr w14:paraId="1784C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5508AAF7">
            <w:pPr>
              <w:jc w:val="center"/>
              <w:rPr>
                <w:rFonts w:ascii="宋体" w:hAnsi="宋体" w:cs="宋体"/>
                <w:color w:val="auto"/>
                <w:sz w:val="24"/>
                <w:highlight w:val="none"/>
              </w:rPr>
            </w:pPr>
            <w:r>
              <w:rPr>
                <w:rFonts w:hint="eastAsia" w:ascii="宋体" w:hAnsi="宋体" w:cs="宋体"/>
                <w:color w:val="auto"/>
                <w:sz w:val="24"/>
                <w:highlight w:val="none"/>
              </w:rPr>
              <w:t>7</w:t>
            </w:r>
          </w:p>
        </w:tc>
        <w:tc>
          <w:tcPr>
            <w:tcW w:w="3550" w:type="dxa"/>
            <w:vAlign w:val="center"/>
          </w:tcPr>
          <w:p w14:paraId="593BBBB7">
            <w:pPr>
              <w:jc w:val="center"/>
              <w:rPr>
                <w:rFonts w:ascii="宋体" w:hAnsi="宋体" w:cs="宋体"/>
                <w:color w:val="auto"/>
                <w:sz w:val="24"/>
                <w:highlight w:val="none"/>
              </w:rPr>
            </w:pPr>
          </w:p>
        </w:tc>
        <w:tc>
          <w:tcPr>
            <w:tcW w:w="3200" w:type="dxa"/>
            <w:vAlign w:val="center"/>
          </w:tcPr>
          <w:p w14:paraId="521FE972">
            <w:pPr>
              <w:jc w:val="center"/>
              <w:rPr>
                <w:rFonts w:ascii="宋体" w:hAnsi="宋体" w:cs="宋体"/>
                <w:color w:val="auto"/>
                <w:sz w:val="24"/>
                <w:highlight w:val="none"/>
              </w:rPr>
            </w:pPr>
          </w:p>
        </w:tc>
        <w:tc>
          <w:tcPr>
            <w:tcW w:w="916" w:type="dxa"/>
            <w:vAlign w:val="center"/>
          </w:tcPr>
          <w:p w14:paraId="0D28AF0D">
            <w:pPr>
              <w:jc w:val="center"/>
              <w:rPr>
                <w:rFonts w:ascii="宋体" w:hAnsi="宋体" w:cs="宋体"/>
                <w:color w:val="auto"/>
                <w:sz w:val="24"/>
                <w:highlight w:val="none"/>
              </w:rPr>
            </w:pPr>
          </w:p>
        </w:tc>
        <w:tc>
          <w:tcPr>
            <w:tcW w:w="1219" w:type="dxa"/>
            <w:vAlign w:val="center"/>
          </w:tcPr>
          <w:p w14:paraId="2F3F1FD4">
            <w:pPr>
              <w:jc w:val="center"/>
              <w:rPr>
                <w:rFonts w:ascii="宋体" w:hAnsi="宋体" w:cs="宋体"/>
                <w:color w:val="auto"/>
                <w:sz w:val="24"/>
                <w:highlight w:val="none"/>
              </w:rPr>
            </w:pPr>
          </w:p>
        </w:tc>
      </w:tr>
      <w:tr w14:paraId="54DA9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7B3B7250">
            <w:pPr>
              <w:jc w:val="center"/>
              <w:rPr>
                <w:rFonts w:ascii="宋体" w:hAnsi="宋体" w:cs="宋体"/>
                <w:color w:val="auto"/>
                <w:sz w:val="24"/>
                <w:highlight w:val="none"/>
              </w:rPr>
            </w:pPr>
            <w:r>
              <w:rPr>
                <w:rFonts w:hint="eastAsia" w:ascii="宋体" w:hAnsi="宋体" w:cs="宋体"/>
                <w:color w:val="auto"/>
                <w:sz w:val="24"/>
                <w:highlight w:val="none"/>
              </w:rPr>
              <w:t>8</w:t>
            </w:r>
          </w:p>
        </w:tc>
        <w:tc>
          <w:tcPr>
            <w:tcW w:w="3550" w:type="dxa"/>
            <w:vAlign w:val="center"/>
          </w:tcPr>
          <w:p w14:paraId="51738995">
            <w:pPr>
              <w:jc w:val="center"/>
              <w:rPr>
                <w:rFonts w:ascii="宋体" w:hAnsi="宋体" w:cs="宋体"/>
                <w:color w:val="auto"/>
                <w:sz w:val="24"/>
                <w:highlight w:val="none"/>
              </w:rPr>
            </w:pPr>
          </w:p>
        </w:tc>
        <w:tc>
          <w:tcPr>
            <w:tcW w:w="3200" w:type="dxa"/>
            <w:vAlign w:val="center"/>
          </w:tcPr>
          <w:p w14:paraId="21279697">
            <w:pPr>
              <w:jc w:val="center"/>
              <w:rPr>
                <w:rFonts w:ascii="宋体" w:hAnsi="宋体" w:cs="宋体"/>
                <w:color w:val="auto"/>
                <w:sz w:val="24"/>
                <w:highlight w:val="none"/>
              </w:rPr>
            </w:pPr>
          </w:p>
        </w:tc>
        <w:tc>
          <w:tcPr>
            <w:tcW w:w="916" w:type="dxa"/>
            <w:vAlign w:val="center"/>
          </w:tcPr>
          <w:p w14:paraId="4D1E8890">
            <w:pPr>
              <w:jc w:val="center"/>
              <w:rPr>
                <w:rFonts w:ascii="宋体" w:hAnsi="宋体" w:cs="宋体"/>
                <w:color w:val="auto"/>
                <w:sz w:val="24"/>
                <w:highlight w:val="none"/>
              </w:rPr>
            </w:pPr>
          </w:p>
        </w:tc>
        <w:tc>
          <w:tcPr>
            <w:tcW w:w="1219" w:type="dxa"/>
            <w:vAlign w:val="center"/>
          </w:tcPr>
          <w:p w14:paraId="1DCCBB7B">
            <w:pPr>
              <w:jc w:val="center"/>
              <w:rPr>
                <w:rFonts w:ascii="宋体" w:hAnsi="宋体" w:cs="宋体"/>
                <w:color w:val="auto"/>
                <w:sz w:val="24"/>
                <w:highlight w:val="none"/>
              </w:rPr>
            </w:pPr>
          </w:p>
        </w:tc>
      </w:tr>
      <w:tr w14:paraId="0E899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7CB3E729">
            <w:pPr>
              <w:jc w:val="center"/>
              <w:rPr>
                <w:rFonts w:ascii="宋体" w:hAnsi="宋体" w:cs="宋体"/>
                <w:color w:val="auto"/>
                <w:sz w:val="24"/>
                <w:highlight w:val="none"/>
              </w:rPr>
            </w:pPr>
            <w:r>
              <w:rPr>
                <w:rFonts w:hint="eastAsia" w:ascii="宋体" w:hAnsi="宋体" w:cs="宋体"/>
                <w:color w:val="auto"/>
                <w:sz w:val="24"/>
                <w:highlight w:val="none"/>
              </w:rPr>
              <w:t>9</w:t>
            </w:r>
          </w:p>
        </w:tc>
        <w:tc>
          <w:tcPr>
            <w:tcW w:w="3550" w:type="dxa"/>
            <w:vAlign w:val="center"/>
          </w:tcPr>
          <w:p w14:paraId="3E9C9A9A">
            <w:pPr>
              <w:jc w:val="center"/>
              <w:rPr>
                <w:rFonts w:ascii="宋体" w:hAnsi="宋体" w:cs="宋体"/>
                <w:color w:val="auto"/>
                <w:sz w:val="24"/>
                <w:highlight w:val="none"/>
              </w:rPr>
            </w:pPr>
          </w:p>
        </w:tc>
        <w:tc>
          <w:tcPr>
            <w:tcW w:w="3200" w:type="dxa"/>
            <w:vAlign w:val="center"/>
          </w:tcPr>
          <w:p w14:paraId="62E326AB">
            <w:pPr>
              <w:jc w:val="center"/>
              <w:rPr>
                <w:rFonts w:ascii="宋体" w:hAnsi="宋体" w:cs="宋体"/>
                <w:color w:val="auto"/>
                <w:sz w:val="24"/>
                <w:highlight w:val="none"/>
              </w:rPr>
            </w:pPr>
          </w:p>
        </w:tc>
        <w:tc>
          <w:tcPr>
            <w:tcW w:w="916" w:type="dxa"/>
            <w:vAlign w:val="center"/>
          </w:tcPr>
          <w:p w14:paraId="27521377">
            <w:pPr>
              <w:jc w:val="center"/>
              <w:rPr>
                <w:rFonts w:ascii="宋体" w:hAnsi="宋体" w:cs="宋体"/>
                <w:color w:val="auto"/>
                <w:sz w:val="24"/>
                <w:highlight w:val="none"/>
              </w:rPr>
            </w:pPr>
          </w:p>
        </w:tc>
        <w:tc>
          <w:tcPr>
            <w:tcW w:w="1219" w:type="dxa"/>
            <w:vAlign w:val="center"/>
          </w:tcPr>
          <w:p w14:paraId="692267D1">
            <w:pPr>
              <w:jc w:val="center"/>
              <w:rPr>
                <w:rFonts w:ascii="宋体" w:hAnsi="宋体" w:cs="宋体"/>
                <w:color w:val="auto"/>
                <w:sz w:val="24"/>
                <w:highlight w:val="none"/>
              </w:rPr>
            </w:pPr>
          </w:p>
        </w:tc>
      </w:tr>
      <w:tr w14:paraId="7CAB3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34" w:type="dxa"/>
            <w:vAlign w:val="center"/>
          </w:tcPr>
          <w:p w14:paraId="4CDD4DDE">
            <w:pPr>
              <w:jc w:val="center"/>
              <w:rPr>
                <w:rFonts w:ascii="宋体" w:hAnsi="宋体" w:cs="宋体"/>
                <w:color w:val="auto"/>
                <w:sz w:val="24"/>
                <w:highlight w:val="none"/>
              </w:rPr>
            </w:pPr>
            <w:r>
              <w:rPr>
                <w:rFonts w:hint="eastAsia" w:ascii="宋体" w:hAnsi="宋体" w:cs="宋体"/>
                <w:color w:val="auto"/>
                <w:sz w:val="24"/>
                <w:highlight w:val="none"/>
              </w:rPr>
              <w:t>10</w:t>
            </w:r>
          </w:p>
        </w:tc>
        <w:tc>
          <w:tcPr>
            <w:tcW w:w="3550" w:type="dxa"/>
            <w:vAlign w:val="center"/>
          </w:tcPr>
          <w:p w14:paraId="03E229F9">
            <w:pPr>
              <w:jc w:val="center"/>
              <w:rPr>
                <w:rFonts w:ascii="宋体" w:hAnsi="宋体" w:cs="宋体"/>
                <w:color w:val="auto"/>
                <w:sz w:val="24"/>
                <w:highlight w:val="none"/>
              </w:rPr>
            </w:pPr>
          </w:p>
        </w:tc>
        <w:tc>
          <w:tcPr>
            <w:tcW w:w="3200" w:type="dxa"/>
            <w:vAlign w:val="center"/>
          </w:tcPr>
          <w:p w14:paraId="465C0B39">
            <w:pPr>
              <w:jc w:val="center"/>
              <w:rPr>
                <w:rFonts w:ascii="宋体" w:hAnsi="宋体" w:cs="宋体"/>
                <w:color w:val="auto"/>
                <w:sz w:val="24"/>
                <w:highlight w:val="none"/>
              </w:rPr>
            </w:pPr>
          </w:p>
        </w:tc>
        <w:tc>
          <w:tcPr>
            <w:tcW w:w="916" w:type="dxa"/>
            <w:vAlign w:val="center"/>
          </w:tcPr>
          <w:p w14:paraId="094A18E4">
            <w:pPr>
              <w:jc w:val="center"/>
              <w:rPr>
                <w:rFonts w:ascii="宋体" w:hAnsi="宋体" w:cs="宋体"/>
                <w:color w:val="auto"/>
                <w:sz w:val="24"/>
                <w:highlight w:val="none"/>
              </w:rPr>
            </w:pPr>
          </w:p>
        </w:tc>
        <w:tc>
          <w:tcPr>
            <w:tcW w:w="1219" w:type="dxa"/>
            <w:vAlign w:val="center"/>
          </w:tcPr>
          <w:p w14:paraId="75B65071">
            <w:pPr>
              <w:jc w:val="center"/>
              <w:rPr>
                <w:rFonts w:ascii="宋体" w:hAnsi="宋体" w:cs="宋体"/>
                <w:color w:val="auto"/>
                <w:sz w:val="24"/>
                <w:highlight w:val="none"/>
              </w:rPr>
            </w:pPr>
          </w:p>
        </w:tc>
      </w:tr>
      <w:tr w14:paraId="0BA23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680AC9F4">
            <w:pPr>
              <w:jc w:val="center"/>
              <w:rPr>
                <w:rFonts w:ascii="宋体" w:hAnsi="宋体" w:cs="宋体"/>
                <w:color w:val="auto"/>
                <w:sz w:val="24"/>
                <w:highlight w:val="none"/>
              </w:rPr>
            </w:pPr>
            <w:r>
              <w:rPr>
                <w:rFonts w:hint="eastAsia" w:ascii="宋体" w:hAnsi="宋体" w:cs="宋体"/>
                <w:color w:val="auto"/>
                <w:sz w:val="24"/>
                <w:highlight w:val="none"/>
              </w:rPr>
              <w:t>11</w:t>
            </w:r>
          </w:p>
        </w:tc>
        <w:tc>
          <w:tcPr>
            <w:tcW w:w="3550" w:type="dxa"/>
            <w:vAlign w:val="center"/>
          </w:tcPr>
          <w:p w14:paraId="58550AF8">
            <w:pPr>
              <w:jc w:val="center"/>
              <w:rPr>
                <w:rFonts w:ascii="宋体" w:hAnsi="宋体" w:cs="宋体"/>
                <w:color w:val="auto"/>
                <w:sz w:val="24"/>
                <w:highlight w:val="none"/>
              </w:rPr>
            </w:pPr>
          </w:p>
        </w:tc>
        <w:tc>
          <w:tcPr>
            <w:tcW w:w="3200" w:type="dxa"/>
            <w:vAlign w:val="center"/>
          </w:tcPr>
          <w:p w14:paraId="35EDC245">
            <w:pPr>
              <w:jc w:val="center"/>
              <w:rPr>
                <w:rFonts w:ascii="宋体" w:hAnsi="宋体" w:cs="宋体"/>
                <w:color w:val="auto"/>
                <w:sz w:val="24"/>
                <w:highlight w:val="none"/>
              </w:rPr>
            </w:pPr>
          </w:p>
        </w:tc>
        <w:tc>
          <w:tcPr>
            <w:tcW w:w="916" w:type="dxa"/>
            <w:vAlign w:val="center"/>
          </w:tcPr>
          <w:p w14:paraId="7BF317E4">
            <w:pPr>
              <w:jc w:val="center"/>
              <w:rPr>
                <w:rFonts w:ascii="宋体" w:hAnsi="宋体" w:cs="宋体"/>
                <w:color w:val="auto"/>
                <w:sz w:val="24"/>
                <w:highlight w:val="none"/>
              </w:rPr>
            </w:pPr>
          </w:p>
        </w:tc>
        <w:tc>
          <w:tcPr>
            <w:tcW w:w="1219" w:type="dxa"/>
            <w:vAlign w:val="center"/>
          </w:tcPr>
          <w:p w14:paraId="1813B329">
            <w:pPr>
              <w:jc w:val="center"/>
              <w:rPr>
                <w:rFonts w:ascii="宋体" w:hAnsi="宋体" w:cs="宋体"/>
                <w:color w:val="auto"/>
                <w:sz w:val="24"/>
                <w:highlight w:val="none"/>
              </w:rPr>
            </w:pPr>
          </w:p>
        </w:tc>
      </w:tr>
      <w:tr w14:paraId="4D337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2E7B5E4C">
            <w:pPr>
              <w:jc w:val="center"/>
              <w:rPr>
                <w:rFonts w:ascii="宋体" w:hAnsi="宋体" w:cs="宋体"/>
                <w:color w:val="auto"/>
                <w:sz w:val="24"/>
                <w:highlight w:val="none"/>
              </w:rPr>
            </w:pPr>
            <w:r>
              <w:rPr>
                <w:rFonts w:hint="eastAsia" w:ascii="宋体" w:hAnsi="宋体" w:cs="宋体"/>
                <w:color w:val="auto"/>
                <w:sz w:val="24"/>
                <w:highlight w:val="none"/>
              </w:rPr>
              <w:t>12</w:t>
            </w:r>
          </w:p>
        </w:tc>
        <w:tc>
          <w:tcPr>
            <w:tcW w:w="3550" w:type="dxa"/>
            <w:vAlign w:val="center"/>
          </w:tcPr>
          <w:p w14:paraId="13E4620A">
            <w:pPr>
              <w:jc w:val="center"/>
              <w:rPr>
                <w:rFonts w:ascii="宋体" w:hAnsi="宋体" w:cs="宋体"/>
                <w:color w:val="auto"/>
                <w:sz w:val="24"/>
                <w:highlight w:val="none"/>
              </w:rPr>
            </w:pPr>
          </w:p>
        </w:tc>
        <w:tc>
          <w:tcPr>
            <w:tcW w:w="3200" w:type="dxa"/>
            <w:vAlign w:val="center"/>
          </w:tcPr>
          <w:p w14:paraId="29F60319">
            <w:pPr>
              <w:jc w:val="center"/>
              <w:rPr>
                <w:rFonts w:ascii="宋体" w:hAnsi="宋体" w:cs="宋体"/>
                <w:color w:val="auto"/>
                <w:sz w:val="24"/>
                <w:highlight w:val="none"/>
              </w:rPr>
            </w:pPr>
          </w:p>
        </w:tc>
        <w:tc>
          <w:tcPr>
            <w:tcW w:w="916" w:type="dxa"/>
            <w:vAlign w:val="center"/>
          </w:tcPr>
          <w:p w14:paraId="19B9B542">
            <w:pPr>
              <w:jc w:val="center"/>
              <w:rPr>
                <w:rFonts w:ascii="宋体" w:hAnsi="宋体" w:cs="宋体"/>
                <w:color w:val="auto"/>
                <w:sz w:val="24"/>
                <w:highlight w:val="none"/>
              </w:rPr>
            </w:pPr>
          </w:p>
        </w:tc>
        <w:tc>
          <w:tcPr>
            <w:tcW w:w="1219" w:type="dxa"/>
            <w:vAlign w:val="center"/>
          </w:tcPr>
          <w:p w14:paraId="4F07C8DF">
            <w:pPr>
              <w:jc w:val="center"/>
              <w:rPr>
                <w:rFonts w:ascii="宋体" w:hAnsi="宋体" w:cs="宋体"/>
                <w:color w:val="auto"/>
                <w:sz w:val="24"/>
                <w:highlight w:val="none"/>
              </w:rPr>
            </w:pPr>
          </w:p>
        </w:tc>
      </w:tr>
      <w:tr w14:paraId="1C84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77AADCD6">
            <w:pPr>
              <w:jc w:val="center"/>
              <w:rPr>
                <w:rFonts w:ascii="宋体" w:hAnsi="宋体" w:cs="宋体"/>
                <w:color w:val="auto"/>
                <w:sz w:val="24"/>
                <w:highlight w:val="none"/>
              </w:rPr>
            </w:pPr>
            <w:r>
              <w:rPr>
                <w:rFonts w:hint="eastAsia" w:ascii="宋体" w:hAnsi="宋体" w:cs="宋体"/>
                <w:color w:val="auto"/>
                <w:sz w:val="24"/>
                <w:highlight w:val="none"/>
              </w:rPr>
              <w:t>13</w:t>
            </w:r>
          </w:p>
        </w:tc>
        <w:tc>
          <w:tcPr>
            <w:tcW w:w="3550" w:type="dxa"/>
            <w:vAlign w:val="center"/>
          </w:tcPr>
          <w:p w14:paraId="453370AE">
            <w:pPr>
              <w:jc w:val="center"/>
              <w:rPr>
                <w:rFonts w:ascii="宋体" w:hAnsi="宋体" w:cs="宋体"/>
                <w:color w:val="auto"/>
                <w:sz w:val="24"/>
                <w:highlight w:val="none"/>
              </w:rPr>
            </w:pPr>
          </w:p>
        </w:tc>
        <w:tc>
          <w:tcPr>
            <w:tcW w:w="3200" w:type="dxa"/>
            <w:vAlign w:val="center"/>
          </w:tcPr>
          <w:p w14:paraId="45197910">
            <w:pPr>
              <w:jc w:val="center"/>
              <w:rPr>
                <w:rFonts w:ascii="宋体" w:hAnsi="宋体" w:cs="宋体"/>
                <w:color w:val="auto"/>
                <w:sz w:val="24"/>
                <w:highlight w:val="none"/>
              </w:rPr>
            </w:pPr>
          </w:p>
        </w:tc>
        <w:tc>
          <w:tcPr>
            <w:tcW w:w="916" w:type="dxa"/>
            <w:vAlign w:val="center"/>
          </w:tcPr>
          <w:p w14:paraId="185A7D37">
            <w:pPr>
              <w:jc w:val="center"/>
              <w:rPr>
                <w:rFonts w:ascii="宋体" w:hAnsi="宋体" w:cs="宋体"/>
                <w:color w:val="auto"/>
                <w:sz w:val="24"/>
                <w:highlight w:val="none"/>
              </w:rPr>
            </w:pPr>
          </w:p>
        </w:tc>
        <w:tc>
          <w:tcPr>
            <w:tcW w:w="1219" w:type="dxa"/>
            <w:vAlign w:val="center"/>
          </w:tcPr>
          <w:p w14:paraId="3BD1660E">
            <w:pPr>
              <w:jc w:val="center"/>
              <w:rPr>
                <w:rFonts w:ascii="宋体" w:hAnsi="宋体" w:cs="宋体"/>
                <w:color w:val="auto"/>
                <w:sz w:val="24"/>
                <w:highlight w:val="none"/>
              </w:rPr>
            </w:pPr>
          </w:p>
        </w:tc>
      </w:tr>
      <w:tr w14:paraId="0EBD7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34" w:type="dxa"/>
            <w:vAlign w:val="center"/>
          </w:tcPr>
          <w:p w14:paraId="431224E4">
            <w:pPr>
              <w:jc w:val="center"/>
              <w:rPr>
                <w:rFonts w:ascii="宋体" w:hAnsi="宋体" w:cs="宋体"/>
                <w:color w:val="auto"/>
                <w:sz w:val="24"/>
                <w:highlight w:val="none"/>
              </w:rPr>
            </w:pPr>
            <w:r>
              <w:rPr>
                <w:rFonts w:hint="eastAsia" w:ascii="宋体" w:hAnsi="宋体" w:cs="宋体"/>
                <w:color w:val="auto"/>
                <w:sz w:val="24"/>
                <w:highlight w:val="none"/>
              </w:rPr>
              <w:t>……</w:t>
            </w:r>
          </w:p>
        </w:tc>
        <w:tc>
          <w:tcPr>
            <w:tcW w:w="3550" w:type="dxa"/>
            <w:vAlign w:val="center"/>
          </w:tcPr>
          <w:p w14:paraId="439D7232">
            <w:pPr>
              <w:jc w:val="center"/>
              <w:rPr>
                <w:rFonts w:ascii="宋体" w:hAnsi="宋体" w:cs="宋体"/>
                <w:color w:val="auto"/>
                <w:sz w:val="24"/>
                <w:highlight w:val="none"/>
              </w:rPr>
            </w:pPr>
          </w:p>
        </w:tc>
        <w:tc>
          <w:tcPr>
            <w:tcW w:w="3200" w:type="dxa"/>
            <w:vAlign w:val="center"/>
          </w:tcPr>
          <w:p w14:paraId="4E2BDB0A">
            <w:pPr>
              <w:jc w:val="center"/>
              <w:rPr>
                <w:rFonts w:ascii="宋体" w:hAnsi="宋体" w:cs="宋体"/>
                <w:color w:val="auto"/>
                <w:sz w:val="24"/>
                <w:highlight w:val="none"/>
              </w:rPr>
            </w:pPr>
          </w:p>
        </w:tc>
        <w:tc>
          <w:tcPr>
            <w:tcW w:w="916" w:type="dxa"/>
            <w:vAlign w:val="center"/>
          </w:tcPr>
          <w:p w14:paraId="233E85F9">
            <w:pPr>
              <w:jc w:val="center"/>
              <w:rPr>
                <w:rFonts w:ascii="宋体" w:hAnsi="宋体" w:cs="宋体"/>
                <w:color w:val="auto"/>
                <w:sz w:val="24"/>
                <w:highlight w:val="none"/>
              </w:rPr>
            </w:pPr>
          </w:p>
        </w:tc>
        <w:tc>
          <w:tcPr>
            <w:tcW w:w="1219" w:type="dxa"/>
            <w:vAlign w:val="center"/>
          </w:tcPr>
          <w:p w14:paraId="6DC60DCD">
            <w:pPr>
              <w:jc w:val="center"/>
              <w:rPr>
                <w:rFonts w:ascii="宋体" w:hAnsi="宋体" w:cs="宋体"/>
                <w:color w:val="auto"/>
                <w:sz w:val="24"/>
                <w:highlight w:val="none"/>
              </w:rPr>
            </w:pPr>
          </w:p>
        </w:tc>
      </w:tr>
    </w:tbl>
    <w:p w14:paraId="57F0FFDD">
      <w:pPr>
        <w:rPr>
          <w:rFonts w:ascii="宋体" w:hAnsi="宋体" w:cs="宋体"/>
          <w:color w:val="auto"/>
          <w:sz w:val="24"/>
          <w:highlight w:val="none"/>
        </w:rPr>
      </w:pPr>
    </w:p>
    <w:p w14:paraId="224A9825">
      <w:pPr>
        <w:rPr>
          <w:rFonts w:ascii="宋体" w:hAnsi="宋体" w:cs="宋体"/>
          <w:color w:val="auto"/>
          <w:sz w:val="24"/>
          <w:highlight w:val="none"/>
        </w:rPr>
      </w:pPr>
    </w:p>
    <w:p w14:paraId="45632692">
      <w:pPr>
        <w:rPr>
          <w:rFonts w:ascii="宋体" w:hAnsi="宋体" w:cs="宋体"/>
          <w:color w:val="auto"/>
          <w:sz w:val="24"/>
          <w:highlight w:val="none"/>
        </w:rPr>
      </w:pPr>
    </w:p>
    <w:p w14:paraId="47849659">
      <w:pPr>
        <w:rPr>
          <w:rFonts w:ascii="宋体" w:hAnsi="宋体" w:cs="宋体"/>
          <w:color w:val="auto"/>
          <w:sz w:val="24"/>
          <w:highlight w:val="none"/>
        </w:rPr>
      </w:pPr>
      <w:r>
        <w:rPr>
          <w:rFonts w:hint="eastAsia" w:ascii="宋体" w:hAnsi="宋体" w:cs="宋体"/>
          <w:color w:val="auto"/>
          <w:sz w:val="24"/>
          <w:highlight w:val="none"/>
        </w:rPr>
        <w:t>投标人名称（盖章）：                         年   月    日</w:t>
      </w:r>
    </w:p>
    <w:p w14:paraId="090BAADA">
      <w:pPr>
        <w:pStyle w:val="4"/>
        <w:keepNext w:val="0"/>
        <w:keepLines w:val="0"/>
        <w:pageBreakBefore/>
        <w:rPr>
          <w:rFonts w:ascii="宋体" w:hAnsi="宋体" w:eastAsia="宋体" w:cs="宋体"/>
          <w:b w:val="0"/>
          <w:color w:val="auto"/>
          <w:sz w:val="24"/>
          <w:szCs w:val="24"/>
          <w:highlight w:val="none"/>
        </w:rPr>
      </w:pPr>
      <w:bookmarkStart w:id="90" w:name="_Toc91"/>
      <w:r>
        <w:rPr>
          <w:rFonts w:hint="eastAsia" w:ascii="宋体" w:hAnsi="宋体" w:eastAsia="宋体" w:cs="宋体"/>
          <w:b w:val="0"/>
          <w:color w:val="auto"/>
          <w:sz w:val="24"/>
          <w:szCs w:val="24"/>
          <w:highlight w:val="none"/>
        </w:rPr>
        <w:t>附件八：商务响应表</w:t>
      </w:r>
      <w:bookmarkEnd w:id="90"/>
    </w:p>
    <w:p w14:paraId="1ED53BEB">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商务响应表</w:t>
      </w:r>
    </w:p>
    <w:p w14:paraId="0D11DF07">
      <w:pPr>
        <w:snapToGrid w:val="0"/>
        <w:spacing w:before="50" w:after="120" w:afterLines="50"/>
        <w:jc w:val="left"/>
        <w:rPr>
          <w:rFonts w:ascii="宋体" w:hAnsi="宋体" w:cs="宋体"/>
          <w:color w:val="auto"/>
          <w:sz w:val="24"/>
          <w:highlight w:val="none"/>
          <w:u w:val="single"/>
        </w:rPr>
      </w:pPr>
    </w:p>
    <w:tbl>
      <w:tblPr>
        <w:tblStyle w:val="2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3"/>
        <w:gridCol w:w="2969"/>
        <w:gridCol w:w="1386"/>
        <w:gridCol w:w="3321"/>
      </w:tblGrid>
      <w:tr w14:paraId="182D3A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6FB4E0C6">
            <w:pPr>
              <w:jc w:val="center"/>
              <w:rPr>
                <w:rFonts w:ascii="宋体" w:hAnsi="宋体" w:cs="宋体"/>
                <w:color w:val="auto"/>
                <w:sz w:val="24"/>
                <w:highlight w:val="none"/>
              </w:rPr>
            </w:pPr>
            <w:r>
              <w:rPr>
                <w:rFonts w:hint="eastAsia" w:ascii="宋体" w:hAnsi="宋体" w:cs="宋体"/>
                <w:color w:val="auto"/>
                <w:sz w:val="24"/>
                <w:highlight w:val="none"/>
              </w:rPr>
              <w:t>项目</w:t>
            </w:r>
          </w:p>
        </w:tc>
        <w:tc>
          <w:tcPr>
            <w:tcW w:w="2969" w:type="dxa"/>
            <w:tcBorders>
              <w:top w:val="single" w:color="auto" w:sz="4" w:space="0"/>
              <w:left w:val="single" w:color="auto" w:sz="4" w:space="0"/>
              <w:bottom w:val="single" w:color="auto" w:sz="4" w:space="0"/>
              <w:right w:val="single" w:color="auto" w:sz="4" w:space="0"/>
            </w:tcBorders>
            <w:vAlign w:val="center"/>
          </w:tcPr>
          <w:p w14:paraId="0EDFEBE2">
            <w:pPr>
              <w:jc w:val="center"/>
              <w:rPr>
                <w:rFonts w:ascii="宋体" w:hAnsi="宋体" w:cs="宋体"/>
                <w:color w:val="auto"/>
                <w:sz w:val="24"/>
                <w:highlight w:val="none"/>
              </w:rPr>
            </w:pPr>
            <w:r>
              <w:rPr>
                <w:rFonts w:hint="eastAsia" w:ascii="宋体" w:hAnsi="宋体" w:cs="宋体"/>
                <w:color w:val="auto"/>
                <w:sz w:val="24"/>
                <w:highlight w:val="none"/>
              </w:rPr>
              <w:t>招标文件要求</w:t>
            </w:r>
          </w:p>
        </w:tc>
        <w:tc>
          <w:tcPr>
            <w:tcW w:w="1386" w:type="dxa"/>
            <w:tcBorders>
              <w:top w:val="single" w:color="auto" w:sz="4" w:space="0"/>
              <w:left w:val="single" w:color="auto" w:sz="4" w:space="0"/>
              <w:bottom w:val="single" w:color="auto" w:sz="4" w:space="0"/>
              <w:right w:val="single" w:color="auto" w:sz="4" w:space="0"/>
            </w:tcBorders>
            <w:vAlign w:val="center"/>
          </w:tcPr>
          <w:p w14:paraId="1A6B88B8">
            <w:pPr>
              <w:jc w:val="center"/>
              <w:rPr>
                <w:rFonts w:ascii="宋体" w:hAnsi="宋体" w:cs="宋体"/>
                <w:color w:val="auto"/>
                <w:sz w:val="24"/>
                <w:highlight w:val="none"/>
              </w:rPr>
            </w:pPr>
            <w:r>
              <w:rPr>
                <w:rFonts w:hint="eastAsia" w:ascii="宋体" w:hAnsi="宋体" w:cs="宋体"/>
                <w:color w:val="auto"/>
                <w:sz w:val="24"/>
                <w:highlight w:val="none"/>
              </w:rPr>
              <w:t>响应及偏离情况</w:t>
            </w:r>
          </w:p>
        </w:tc>
        <w:tc>
          <w:tcPr>
            <w:tcW w:w="3321" w:type="dxa"/>
            <w:tcBorders>
              <w:top w:val="single" w:color="auto" w:sz="4" w:space="0"/>
              <w:left w:val="single" w:color="auto" w:sz="4" w:space="0"/>
              <w:bottom w:val="single" w:color="auto" w:sz="4" w:space="0"/>
              <w:right w:val="single" w:color="auto" w:sz="4" w:space="0"/>
            </w:tcBorders>
            <w:vAlign w:val="center"/>
          </w:tcPr>
          <w:p w14:paraId="6F4AF974">
            <w:pPr>
              <w:jc w:val="center"/>
              <w:rPr>
                <w:rFonts w:ascii="宋体" w:hAnsi="宋体" w:cs="宋体"/>
                <w:color w:val="auto"/>
                <w:sz w:val="24"/>
                <w:highlight w:val="none"/>
              </w:rPr>
            </w:pPr>
            <w:r>
              <w:rPr>
                <w:rFonts w:hint="eastAsia" w:ascii="宋体" w:hAnsi="宋体" w:cs="宋体"/>
                <w:color w:val="auto"/>
                <w:sz w:val="24"/>
                <w:highlight w:val="none"/>
              </w:rPr>
              <w:t>投标人的承诺或说明</w:t>
            </w:r>
          </w:p>
        </w:tc>
      </w:tr>
      <w:tr w14:paraId="3BE6B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31A2B85A">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776E4E96">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423D0228">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2A95D48B">
            <w:pPr>
              <w:rPr>
                <w:rFonts w:ascii="宋体" w:hAnsi="宋体" w:cs="宋体"/>
                <w:color w:val="auto"/>
                <w:sz w:val="24"/>
                <w:highlight w:val="none"/>
              </w:rPr>
            </w:pPr>
          </w:p>
        </w:tc>
      </w:tr>
      <w:tr w14:paraId="06CA3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721D3A9F">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5703B881">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6D14787E">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25C3327F">
            <w:pPr>
              <w:rPr>
                <w:rFonts w:ascii="宋体" w:hAnsi="宋体" w:cs="宋体"/>
                <w:color w:val="auto"/>
                <w:sz w:val="24"/>
                <w:highlight w:val="none"/>
              </w:rPr>
            </w:pPr>
          </w:p>
        </w:tc>
      </w:tr>
      <w:tr w14:paraId="21974C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2813D415">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5948329D">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500391D5">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36436979">
            <w:pPr>
              <w:rPr>
                <w:rFonts w:ascii="宋体" w:hAnsi="宋体" w:cs="宋体"/>
                <w:color w:val="auto"/>
                <w:sz w:val="24"/>
                <w:highlight w:val="none"/>
              </w:rPr>
            </w:pPr>
          </w:p>
        </w:tc>
      </w:tr>
      <w:tr w14:paraId="4F6E3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0D1042FE">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552A410D">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421A0385">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53A430FA">
            <w:pPr>
              <w:rPr>
                <w:rFonts w:ascii="宋体" w:hAnsi="宋体" w:cs="宋体"/>
                <w:color w:val="auto"/>
                <w:sz w:val="24"/>
                <w:highlight w:val="none"/>
              </w:rPr>
            </w:pPr>
          </w:p>
        </w:tc>
      </w:tr>
      <w:tr w14:paraId="06C998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703" w:type="dxa"/>
            <w:tcBorders>
              <w:top w:val="single" w:color="auto" w:sz="4" w:space="0"/>
              <w:left w:val="single" w:color="auto" w:sz="4" w:space="0"/>
              <w:bottom w:val="single" w:color="auto" w:sz="4" w:space="0"/>
              <w:right w:val="single" w:color="auto" w:sz="4" w:space="0"/>
            </w:tcBorders>
            <w:vAlign w:val="center"/>
          </w:tcPr>
          <w:p w14:paraId="297546F0">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54B6D5CF">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700DB1D1">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25FEC370">
            <w:pPr>
              <w:rPr>
                <w:rFonts w:ascii="宋体" w:hAnsi="宋体" w:cs="宋体"/>
                <w:color w:val="auto"/>
                <w:sz w:val="24"/>
                <w:highlight w:val="none"/>
              </w:rPr>
            </w:pPr>
          </w:p>
        </w:tc>
      </w:tr>
      <w:tr w14:paraId="306593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1FE5992A">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54B3A944">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1CA5290C">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30511301">
            <w:pPr>
              <w:rPr>
                <w:rFonts w:ascii="宋体" w:hAnsi="宋体" w:cs="宋体"/>
                <w:color w:val="auto"/>
                <w:sz w:val="24"/>
                <w:highlight w:val="none"/>
              </w:rPr>
            </w:pPr>
          </w:p>
        </w:tc>
      </w:tr>
      <w:tr w14:paraId="2FDE5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25D32F59">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3B93387B">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78AF2128">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6EF9748A">
            <w:pPr>
              <w:rPr>
                <w:rFonts w:ascii="宋体" w:hAnsi="宋体" w:cs="宋体"/>
                <w:color w:val="auto"/>
                <w:sz w:val="24"/>
                <w:highlight w:val="none"/>
              </w:rPr>
            </w:pPr>
          </w:p>
        </w:tc>
      </w:tr>
      <w:tr w14:paraId="2F9A3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24F19D57">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0776F436">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7117EED7">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7046C087">
            <w:pPr>
              <w:rPr>
                <w:rFonts w:ascii="宋体" w:hAnsi="宋体" w:cs="宋体"/>
                <w:color w:val="auto"/>
                <w:sz w:val="24"/>
                <w:highlight w:val="none"/>
              </w:rPr>
            </w:pPr>
          </w:p>
        </w:tc>
      </w:tr>
      <w:tr w14:paraId="77F01E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02F99BDB">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7C37613C">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5EF0AB04">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0221C214">
            <w:pPr>
              <w:rPr>
                <w:rFonts w:ascii="宋体" w:hAnsi="宋体" w:cs="宋体"/>
                <w:color w:val="auto"/>
                <w:sz w:val="24"/>
                <w:highlight w:val="none"/>
              </w:rPr>
            </w:pPr>
          </w:p>
        </w:tc>
      </w:tr>
      <w:tr w14:paraId="64FB2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09D3C124">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4244DD80">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110E3684">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4DE331E4">
            <w:pPr>
              <w:rPr>
                <w:rFonts w:ascii="宋体" w:hAnsi="宋体" w:cs="宋体"/>
                <w:color w:val="auto"/>
                <w:sz w:val="24"/>
                <w:highlight w:val="none"/>
              </w:rPr>
            </w:pPr>
          </w:p>
        </w:tc>
      </w:tr>
    </w:tbl>
    <w:p w14:paraId="629BC347">
      <w:pPr>
        <w:snapToGrid w:val="0"/>
        <w:spacing w:before="120" w:beforeLines="50"/>
        <w:rPr>
          <w:rFonts w:ascii="宋体" w:hAnsi="宋体" w:cs="宋体"/>
          <w:color w:val="auto"/>
          <w:sz w:val="24"/>
          <w:highlight w:val="none"/>
        </w:rPr>
      </w:pPr>
    </w:p>
    <w:p w14:paraId="5DE4C5E0">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1FD77957">
      <w:pPr>
        <w:snapToGrid w:val="0"/>
        <w:spacing w:before="120" w:beforeLines="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6E0AC6EE">
      <w:pPr>
        <w:rPr>
          <w:rFonts w:ascii="宋体" w:hAnsi="宋体" w:cs="宋体"/>
          <w:color w:val="auto"/>
          <w:sz w:val="24"/>
          <w:highlight w:val="none"/>
        </w:rPr>
      </w:pPr>
    </w:p>
    <w:p w14:paraId="4BD830B3">
      <w:pPr>
        <w:pStyle w:val="4"/>
        <w:keepNext w:val="0"/>
        <w:keepLines w:val="0"/>
        <w:pageBreakBefore/>
        <w:spacing w:line="415" w:lineRule="auto"/>
        <w:rPr>
          <w:rFonts w:ascii="宋体" w:hAnsi="宋体" w:eastAsia="宋体" w:cs="宋体"/>
          <w:b w:val="0"/>
          <w:bCs w:val="0"/>
          <w:color w:val="auto"/>
          <w:sz w:val="24"/>
          <w:szCs w:val="24"/>
          <w:highlight w:val="none"/>
        </w:rPr>
      </w:pPr>
      <w:bookmarkStart w:id="91" w:name="_Toc31550"/>
      <w:r>
        <w:rPr>
          <w:rFonts w:hint="eastAsia" w:ascii="宋体" w:hAnsi="宋体" w:eastAsia="宋体" w:cs="宋体"/>
          <w:b w:val="0"/>
          <w:bCs w:val="0"/>
          <w:color w:val="auto"/>
          <w:sz w:val="24"/>
          <w:szCs w:val="24"/>
          <w:highlight w:val="none"/>
        </w:rPr>
        <w:t>附件九：技术响应表</w:t>
      </w:r>
      <w:bookmarkEnd w:id="91"/>
    </w:p>
    <w:p w14:paraId="0D963D83">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技术响应表</w:t>
      </w:r>
    </w:p>
    <w:p w14:paraId="08A447E3">
      <w:pPr>
        <w:snapToGrid w:val="0"/>
        <w:spacing w:before="50" w:after="120" w:afterLines="50"/>
        <w:jc w:val="left"/>
        <w:rPr>
          <w:rFonts w:ascii="宋体" w:hAnsi="宋体" w:cs="宋体"/>
          <w:color w:val="auto"/>
          <w:sz w:val="24"/>
          <w:highlight w:val="none"/>
        </w:rPr>
      </w:pPr>
      <w:r>
        <w:rPr>
          <w:rFonts w:hint="eastAsia" w:ascii="宋体" w:hAnsi="宋体" w:cs="宋体"/>
          <w:color w:val="auto"/>
          <w:sz w:val="24"/>
          <w:highlight w:val="none"/>
        </w:rPr>
        <w:t>招标编号：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004"/>
        <w:gridCol w:w="2113"/>
        <w:gridCol w:w="1750"/>
        <w:gridCol w:w="2514"/>
      </w:tblGrid>
      <w:tr w14:paraId="2F9C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5D18358">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2004" w:type="dxa"/>
            <w:tcBorders>
              <w:top w:val="single" w:color="auto" w:sz="4" w:space="0"/>
              <w:left w:val="single" w:color="auto" w:sz="4" w:space="0"/>
              <w:bottom w:val="single" w:color="auto" w:sz="4" w:space="0"/>
              <w:right w:val="single" w:color="auto" w:sz="4" w:space="0"/>
            </w:tcBorders>
            <w:vAlign w:val="center"/>
          </w:tcPr>
          <w:p w14:paraId="46196242">
            <w:pPr>
              <w:jc w:val="center"/>
              <w:rPr>
                <w:rFonts w:ascii="宋体" w:hAnsi="宋体" w:cs="宋体"/>
                <w:color w:val="auto"/>
                <w:sz w:val="24"/>
                <w:highlight w:val="none"/>
              </w:rPr>
            </w:pPr>
            <w:r>
              <w:rPr>
                <w:rFonts w:hint="eastAsia" w:ascii="宋体" w:hAnsi="宋体" w:cs="宋体"/>
                <w:color w:val="auto"/>
                <w:sz w:val="24"/>
                <w:highlight w:val="none"/>
              </w:rPr>
              <w:t>内  容</w:t>
            </w:r>
          </w:p>
        </w:tc>
        <w:tc>
          <w:tcPr>
            <w:tcW w:w="2113" w:type="dxa"/>
            <w:tcBorders>
              <w:top w:val="single" w:color="auto" w:sz="4" w:space="0"/>
              <w:left w:val="single" w:color="auto" w:sz="4" w:space="0"/>
              <w:bottom w:val="single" w:color="auto" w:sz="4" w:space="0"/>
              <w:right w:val="single" w:color="auto" w:sz="4" w:space="0"/>
            </w:tcBorders>
            <w:vAlign w:val="center"/>
          </w:tcPr>
          <w:p w14:paraId="5E8E8A39">
            <w:pPr>
              <w:jc w:val="center"/>
              <w:rPr>
                <w:rFonts w:ascii="宋体" w:hAnsi="宋体" w:cs="宋体"/>
                <w:color w:val="auto"/>
                <w:sz w:val="24"/>
                <w:highlight w:val="none"/>
              </w:rPr>
            </w:pPr>
            <w:r>
              <w:rPr>
                <w:rFonts w:hint="eastAsia" w:ascii="宋体" w:hAnsi="宋体" w:cs="宋体"/>
                <w:color w:val="auto"/>
                <w:sz w:val="24"/>
                <w:highlight w:val="none"/>
              </w:rPr>
              <w:t>招标文件</w:t>
            </w:r>
          </w:p>
          <w:p w14:paraId="5C5D914A">
            <w:pPr>
              <w:jc w:val="center"/>
              <w:rPr>
                <w:rFonts w:ascii="宋体" w:hAnsi="宋体" w:cs="宋体"/>
                <w:color w:val="auto"/>
                <w:sz w:val="24"/>
                <w:highlight w:val="none"/>
              </w:rPr>
            </w:pPr>
            <w:r>
              <w:rPr>
                <w:rFonts w:hint="eastAsia" w:ascii="宋体" w:hAnsi="宋体" w:cs="宋体"/>
                <w:color w:val="auto"/>
                <w:sz w:val="24"/>
                <w:highlight w:val="none"/>
              </w:rPr>
              <w:t>规范要求</w:t>
            </w:r>
          </w:p>
        </w:tc>
        <w:tc>
          <w:tcPr>
            <w:tcW w:w="1750" w:type="dxa"/>
            <w:tcBorders>
              <w:top w:val="single" w:color="auto" w:sz="4" w:space="0"/>
              <w:left w:val="single" w:color="auto" w:sz="4" w:space="0"/>
              <w:bottom w:val="single" w:color="auto" w:sz="4" w:space="0"/>
              <w:right w:val="single" w:color="auto" w:sz="4" w:space="0"/>
            </w:tcBorders>
            <w:vAlign w:val="center"/>
          </w:tcPr>
          <w:p w14:paraId="13F357EC">
            <w:pPr>
              <w:jc w:val="center"/>
              <w:rPr>
                <w:rFonts w:ascii="宋体" w:hAnsi="宋体" w:cs="宋体"/>
                <w:color w:val="auto"/>
                <w:sz w:val="24"/>
                <w:highlight w:val="none"/>
              </w:rPr>
            </w:pPr>
            <w:r>
              <w:rPr>
                <w:rFonts w:hint="eastAsia" w:ascii="宋体" w:hAnsi="宋体" w:cs="宋体"/>
                <w:color w:val="auto"/>
                <w:sz w:val="24"/>
                <w:highlight w:val="none"/>
              </w:rPr>
              <w:t>投标文件</w:t>
            </w:r>
          </w:p>
          <w:p w14:paraId="35CAC0D5">
            <w:pPr>
              <w:jc w:val="center"/>
              <w:rPr>
                <w:rFonts w:ascii="宋体" w:hAnsi="宋体" w:cs="宋体"/>
                <w:color w:val="auto"/>
                <w:sz w:val="24"/>
                <w:highlight w:val="none"/>
              </w:rPr>
            </w:pPr>
            <w:r>
              <w:rPr>
                <w:rFonts w:hint="eastAsia" w:ascii="宋体" w:hAnsi="宋体" w:cs="宋体"/>
                <w:color w:val="auto"/>
                <w:sz w:val="24"/>
                <w:highlight w:val="none"/>
              </w:rPr>
              <w:t>对应规范</w:t>
            </w:r>
          </w:p>
        </w:tc>
        <w:tc>
          <w:tcPr>
            <w:tcW w:w="2514" w:type="dxa"/>
            <w:tcBorders>
              <w:top w:val="single" w:color="auto" w:sz="4" w:space="0"/>
              <w:left w:val="single" w:color="auto" w:sz="4" w:space="0"/>
              <w:bottom w:val="single" w:color="auto" w:sz="4" w:space="0"/>
              <w:right w:val="single" w:color="auto" w:sz="4" w:space="0"/>
            </w:tcBorders>
            <w:vAlign w:val="center"/>
          </w:tcPr>
          <w:p w14:paraId="33601DE8">
            <w:pPr>
              <w:jc w:val="center"/>
              <w:rPr>
                <w:rFonts w:ascii="宋体" w:hAnsi="宋体" w:cs="宋体"/>
                <w:color w:val="auto"/>
                <w:sz w:val="24"/>
                <w:highlight w:val="none"/>
              </w:rPr>
            </w:pPr>
            <w:r>
              <w:rPr>
                <w:rFonts w:hint="eastAsia" w:ascii="宋体" w:hAnsi="宋体" w:cs="宋体"/>
                <w:color w:val="auto"/>
                <w:sz w:val="24"/>
                <w:highlight w:val="none"/>
              </w:rPr>
              <w:t>偏离情况</w:t>
            </w:r>
          </w:p>
          <w:p w14:paraId="044E8CC7">
            <w:pPr>
              <w:jc w:val="center"/>
              <w:rPr>
                <w:rFonts w:ascii="宋体" w:hAnsi="宋体" w:cs="宋体"/>
                <w:color w:val="auto"/>
                <w:sz w:val="24"/>
                <w:highlight w:val="none"/>
              </w:rPr>
            </w:pPr>
            <w:r>
              <w:rPr>
                <w:rFonts w:hint="eastAsia" w:ascii="宋体" w:hAnsi="宋体" w:cs="宋体"/>
                <w:color w:val="auto"/>
                <w:sz w:val="24"/>
                <w:highlight w:val="none"/>
              </w:rPr>
              <w:t>（注明正偏离、负偏离或无偏离）</w:t>
            </w:r>
          </w:p>
        </w:tc>
      </w:tr>
      <w:tr w14:paraId="52666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4A575428">
            <w:pPr>
              <w:jc w:val="cente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45076A9F">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30B2C75D">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2C2E6431">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46864BA9">
            <w:pPr>
              <w:rPr>
                <w:rFonts w:ascii="宋体" w:hAnsi="宋体" w:cs="宋体"/>
                <w:color w:val="auto"/>
                <w:sz w:val="24"/>
                <w:highlight w:val="none"/>
              </w:rPr>
            </w:pPr>
          </w:p>
        </w:tc>
      </w:tr>
      <w:tr w14:paraId="01DCB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500074EC">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39E502D7">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5AC69F60">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07BBA973">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2063E56B">
            <w:pPr>
              <w:rPr>
                <w:rFonts w:ascii="宋体" w:hAnsi="宋体" w:cs="宋体"/>
                <w:color w:val="auto"/>
                <w:sz w:val="24"/>
                <w:highlight w:val="none"/>
              </w:rPr>
            </w:pPr>
          </w:p>
        </w:tc>
      </w:tr>
      <w:tr w14:paraId="19162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0501D70B">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27181743">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79E5F6F6">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2628CF58">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28AFB010">
            <w:pPr>
              <w:rPr>
                <w:rFonts w:ascii="宋体" w:hAnsi="宋体" w:cs="宋体"/>
                <w:color w:val="auto"/>
                <w:sz w:val="24"/>
                <w:highlight w:val="none"/>
              </w:rPr>
            </w:pPr>
          </w:p>
        </w:tc>
      </w:tr>
      <w:tr w14:paraId="31392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9" w:type="dxa"/>
            <w:tcBorders>
              <w:top w:val="single" w:color="auto" w:sz="4" w:space="0"/>
              <w:left w:val="single" w:color="auto" w:sz="4" w:space="0"/>
              <w:bottom w:val="single" w:color="auto" w:sz="4" w:space="0"/>
              <w:right w:val="single" w:color="auto" w:sz="4" w:space="0"/>
            </w:tcBorders>
          </w:tcPr>
          <w:p w14:paraId="465BC08C">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12BDA3BB">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38A98399">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00C6CCF7">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7C51540A">
            <w:pPr>
              <w:rPr>
                <w:rFonts w:ascii="宋体" w:hAnsi="宋体" w:cs="宋体"/>
                <w:color w:val="auto"/>
                <w:sz w:val="24"/>
                <w:highlight w:val="none"/>
              </w:rPr>
            </w:pPr>
          </w:p>
        </w:tc>
      </w:tr>
      <w:tr w14:paraId="003AD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16FE583">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1302F606">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24275F48">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7BC333F6">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31CA263F">
            <w:pPr>
              <w:rPr>
                <w:rFonts w:ascii="宋体" w:hAnsi="宋体" w:cs="宋体"/>
                <w:color w:val="auto"/>
                <w:sz w:val="24"/>
                <w:highlight w:val="none"/>
              </w:rPr>
            </w:pPr>
          </w:p>
        </w:tc>
      </w:tr>
      <w:tr w14:paraId="78E63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2B8E9451">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24820806">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3E22B666">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46C3843F">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39A2FA04">
            <w:pPr>
              <w:rPr>
                <w:rFonts w:ascii="宋体" w:hAnsi="宋体" w:cs="宋体"/>
                <w:color w:val="auto"/>
                <w:sz w:val="24"/>
                <w:highlight w:val="none"/>
              </w:rPr>
            </w:pPr>
          </w:p>
        </w:tc>
      </w:tr>
      <w:tr w14:paraId="4D45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7B0E8F3">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6B97CA7C">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2ABD6581">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7C74FE59">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2CA1D0BA">
            <w:pPr>
              <w:rPr>
                <w:rFonts w:ascii="宋体" w:hAnsi="宋体" w:cs="宋体"/>
                <w:color w:val="auto"/>
                <w:sz w:val="24"/>
                <w:highlight w:val="none"/>
              </w:rPr>
            </w:pPr>
          </w:p>
        </w:tc>
      </w:tr>
      <w:tr w14:paraId="6C1F7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054E5FFF">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605D2D70">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73EA8237">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6C77847C">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444C473E">
            <w:pPr>
              <w:rPr>
                <w:rFonts w:ascii="宋体" w:hAnsi="宋体" w:cs="宋体"/>
                <w:color w:val="auto"/>
                <w:sz w:val="24"/>
                <w:highlight w:val="none"/>
              </w:rPr>
            </w:pPr>
          </w:p>
        </w:tc>
      </w:tr>
      <w:tr w14:paraId="5CBA4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69416EB8">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65AFD7D2">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37DFA237">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03AA4FF1">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0EB8944C">
            <w:pPr>
              <w:rPr>
                <w:rFonts w:ascii="宋体" w:hAnsi="宋体" w:cs="宋体"/>
                <w:color w:val="auto"/>
                <w:sz w:val="24"/>
                <w:highlight w:val="none"/>
              </w:rPr>
            </w:pPr>
          </w:p>
        </w:tc>
      </w:tr>
      <w:tr w14:paraId="6453D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42DA2021">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62FE23AB">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2395FCCC">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5C23AD0B">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7C4C6631">
            <w:pPr>
              <w:rPr>
                <w:rFonts w:ascii="宋体" w:hAnsi="宋体" w:cs="宋体"/>
                <w:color w:val="auto"/>
                <w:sz w:val="24"/>
                <w:highlight w:val="none"/>
              </w:rPr>
            </w:pPr>
          </w:p>
        </w:tc>
      </w:tr>
      <w:tr w14:paraId="1A145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A3473D9">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44BBE64F">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5720EE5A">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37CCC5AB">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1C57CBDB">
            <w:pPr>
              <w:rPr>
                <w:rFonts w:ascii="宋体" w:hAnsi="宋体" w:cs="宋体"/>
                <w:color w:val="auto"/>
                <w:sz w:val="24"/>
                <w:highlight w:val="none"/>
              </w:rPr>
            </w:pPr>
          </w:p>
        </w:tc>
      </w:tr>
      <w:tr w14:paraId="32E85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569FC960">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503ABF3B">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690BCAF9">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1332F070">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6F32C6D1">
            <w:pPr>
              <w:rPr>
                <w:rFonts w:ascii="宋体" w:hAnsi="宋体" w:cs="宋体"/>
                <w:color w:val="auto"/>
                <w:sz w:val="24"/>
                <w:highlight w:val="none"/>
              </w:rPr>
            </w:pPr>
          </w:p>
        </w:tc>
      </w:tr>
    </w:tbl>
    <w:p w14:paraId="52951A8D">
      <w:pPr>
        <w:snapToGrid w:val="0"/>
        <w:spacing w:before="50" w:after="50"/>
        <w:rPr>
          <w:rFonts w:ascii="宋体" w:hAnsi="宋体" w:cs="宋体"/>
          <w:b/>
          <w:bCs/>
          <w:color w:val="auto"/>
          <w:sz w:val="24"/>
          <w:highlight w:val="none"/>
        </w:rPr>
      </w:pPr>
    </w:p>
    <w:p w14:paraId="70F3AD69">
      <w:pPr>
        <w:snapToGrid w:val="0"/>
        <w:spacing w:before="50" w:after="50"/>
        <w:rPr>
          <w:rFonts w:ascii="宋体" w:hAnsi="宋体" w:cs="宋体"/>
          <w:b/>
          <w:bCs/>
          <w:color w:val="auto"/>
          <w:spacing w:val="20"/>
          <w:sz w:val="24"/>
          <w:highlight w:val="none"/>
        </w:rPr>
      </w:pPr>
      <w:r>
        <w:rPr>
          <w:rFonts w:hint="eastAsia" w:ascii="宋体" w:hAnsi="宋体" w:cs="宋体"/>
          <w:b/>
          <w:bCs/>
          <w:color w:val="auto"/>
          <w:sz w:val="24"/>
          <w:highlight w:val="none"/>
        </w:rPr>
        <w:t>注：投标人应根据投标货物的性能指标、对照招标文件要求在“偏离情况”栏注明“正偏离”、“负偏离”或“无偏离”。</w:t>
      </w:r>
    </w:p>
    <w:p w14:paraId="4B5CF0B1">
      <w:pPr>
        <w:snapToGrid w:val="0"/>
        <w:spacing w:before="50" w:after="50"/>
        <w:rPr>
          <w:rFonts w:ascii="宋体" w:hAnsi="宋体" w:cs="宋体"/>
          <w:color w:val="auto"/>
          <w:spacing w:val="20"/>
          <w:sz w:val="24"/>
          <w:highlight w:val="none"/>
        </w:rPr>
      </w:pPr>
    </w:p>
    <w:p w14:paraId="5FFEC84B">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108368A0">
      <w:pPr>
        <w:snapToGrid w:val="0"/>
        <w:spacing w:before="50" w:after="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bookmarkEnd w:id="84"/>
    <w:bookmarkEnd w:id="85"/>
    <w:p w14:paraId="74F7EAEC">
      <w:pPr>
        <w:snapToGrid w:val="0"/>
        <w:spacing w:before="120" w:beforeLines="50" w:after="50" w:line="276" w:lineRule="auto"/>
        <w:rPr>
          <w:rFonts w:ascii="宋体" w:hAnsi="宋体" w:cs="宋体"/>
          <w:b/>
          <w:color w:val="auto"/>
          <w:sz w:val="24"/>
        </w:rPr>
      </w:pPr>
    </w:p>
    <w:p w14:paraId="730BE569">
      <w:pPr>
        <w:snapToGrid w:val="0"/>
        <w:spacing w:before="120" w:beforeLines="50" w:after="50" w:line="276" w:lineRule="auto"/>
        <w:rPr>
          <w:rFonts w:ascii="宋体" w:hAnsi="宋体" w:cs="宋体"/>
          <w:b/>
          <w:color w:val="auto"/>
          <w:sz w:val="24"/>
        </w:rPr>
      </w:pPr>
    </w:p>
    <w:p w14:paraId="0E9527A9">
      <w:pPr>
        <w:snapToGrid w:val="0"/>
        <w:spacing w:before="120" w:beforeLines="50" w:after="50" w:line="276" w:lineRule="auto"/>
        <w:rPr>
          <w:rFonts w:hint="eastAsia" w:ascii="宋体" w:hAnsi="宋体" w:cs="宋体"/>
          <w:b/>
          <w:color w:val="auto"/>
          <w:sz w:val="24"/>
        </w:rPr>
      </w:pPr>
    </w:p>
    <w:p w14:paraId="22610AED">
      <w:pPr>
        <w:pStyle w:val="22"/>
        <w:rPr>
          <w:rFonts w:hint="eastAsia"/>
          <w:color w:val="auto"/>
        </w:rPr>
      </w:pPr>
    </w:p>
    <w:p w14:paraId="0A79E204">
      <w:pPr>
        <w:snapToGrid w:val="0"/>
        <w:spacing w:before="120" w:beforeLines="50" w:after="50" w:line="276" w:lineRule="auto"/>
        <w:rPr>
          <w:rFonts w:hint="eastAsia" w:ascii="宋体" w:hAnsi="宋体" w:cs="宋体"/>
          <w:b/>
          <w:color w:val="auto"/>
          <w:sz w:val="24"/>
        </w:rPr>
      </w:pPr>
    </w:p>
    <w:p w14:paraId="4503DE6F">
      <w:pPr>
        <w:snapToGrid w:val="0"/>
        <w:spacing w:before="120" w:beforeLines="50" w:after="50" w:line="276" w:lineRule="auto"/>
        <w:rPr>
          <w:rFonts w:hint="eastAsia" w:ascii="宋体" w:hAnsi="宋体" w:cs="宋体"/>
          <w:b/>
          <w:color w:val="auto"/>
          <w:sz w:val="24"/>
        </w:rPr>
      </w:pPr>
    </w:p>
    <w:p w14:paraId="6864E1A1">
      <w:pPr>
        <w:snapToGrid w:val="0"/>
        <w:spacing w:before="120" w:beforeLines="50" w:after="50" w:line="276" w:lineRule="auto"/>
        <w:rPr>
          <w:rFonts w:hint="eastAsia" w:ascii="宋体" w:hAnsi="宋体" w:cs="宋体"/>
          <w:b/>
          <w:color w:val="auto"/>
          <w:sz w:val="24"/>
        </w:rPr>
      </w:pPr>
    </w:p>
    <w:p w14:paraId="2EEE0817">
      <w:pPr>
        <w:pStyle w:val="22"/>
        <w:ind w:left="0" w:leftChars="0" w:firstLine="0" w:firstLineChars="0"/>
        <w:rPr>
          <w:rFonts w:ascii="宋体" w:hAnsi="宋体"/>
          <w:b/>
          <w:color w:val="auto"/>
          <w:sz w:val="24"/>
        </w:rPr>
      </w:pPr>
      <w:r>
        <w:rPr>
          <w:rFonts w:hint="eastAsia" w:ascii="新宋体" w:hAnsi="新宋体" w:eastAsia="新宋体"/>
          <w:b/>
          <w:bCs/>
          <w:color w:val="auto"/>
          <w:sz w:val="24"/>
        </w:rPr>
        <w:t>附件</w:t>
      </w:r>
      <w:r>
        <w:rPr>
          <w:rFonts w:hint="eastAsia" w:ascii="新宋体" w:hAnsi="新宋体" w:eastAsia="新宋体"/>
          <w:b/>
          <w:bCs/>
          <w:color w:val="auto"/>
          <w:sz w:val="24"/>
          <w:lang w:val="en-US" w:eastAsia="zh-CN"/>
        </w:rPr>
        <w:t>十</w:t>
      </w:r>
      <w:r>
        <w:rPr>
          <w:rFonts w:hint="eastAsia" w:ascii="新宋体" w:hAnsi="新宋体" w:eastAsia="新宋体"/>
          <w:b/>
          <w:bCs/>
          <w:color w:val="auto"/>
          <w:sz w:val="24"/>
        </w:rPr>
        <w:t>：相关业绩一览表</w:t>
      </w:r>
    </w:p>
    <w:p w14:paraId="75A4A15F">
      <w:pPr>
        <w:snapToGrid w:val="0"/>
        <w:spacing w:before="120" w:beforeLines="50"/>
        <w:ind w:firstLine="3012" w:firstLineChars="1000"/>
        <w:outlineLvl w:val="1"/>
        <w:rPr>
          <w:rFonts w:ascii="宋体" w:hAnsi="宋体"/>
          <w:b/>
          <w:color w:val="auto"/>
          <w:sz w:val="24"/>
          <w:lang w:val="zh-CN"/>
        </w:rPr>
      </w:pPr>
      <w:r>
        <w:rPr>
          <w:rFonts w:hint="eastAsia" w:ascii="新宋体" w:hAnsi="新宋体" w:eastAsia="新宋体"/>
          <w:b/>
          <w:bCs/>
          <w:color w:val="auto"/>
          <w:sz w:val="30"/>
          <w:szCs w:val="30"/>
        </w:rPr>
        <w:t>投标人相关业绩一览表</w:t>
      </w:r>
    </w:p>
    <w:tbl>
      <w:tblPr>
        <w:tblStyle w:val="24"/>
        <w:tblW w:w="9837" w:type="dxa"/>
        <w:tblInd w:w="-2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7"/>
        <w:gridCol w:w="2663"/>
        <w:gridCol w:w="2012"/>
        <w:gridCol w:w="2000"/>
        <w:gridCol w:w="2525"/>
      </w:tblGrid>
      <w:tr w14:paraId="2CF7F2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0E68DE5F">
            <w:pPr>
              <w:jc w:val="center"/>
              <w:rPr>
                <w:snapToGrid w:val="0"/>
                <w:color w:val="auto"/>
              </w:rPr>
            </w:pPr>
            <w:r>
              <w:rPr>
                <w:rFonts w:hint="eastAsia"/>
                <w:snapToGrid w:val="0"/>
                <w:color w:val="auto"/>
              </w:rPr>
              <w:t>序号</w:t>
            </w:r>
          </w:p>
        </w:tc>
        <w:tc>
          <w:tcPr>
            <w:tcW w:w="2663" w:type="dxa"/>
            <w:vAlign w:val="center"/>
          </w:tcPr>
          <w:p w14:paraId="4DD70153">
            <w:pPr>
              <w:jc w:val="center"/>
              <w:rPr>
                <w:snapToGrid w:val="0"/>
                <w:color w:val="auto"/>
              </w:rPr>
            </w:pPr>
            <w:r>
              <w:rPr>
                <w:rFonts w:hint="eastAsia"/>
                <w:snapToGrid w:val="0"/>
                <w:color w:val="auto"/>
              </w:rPr>
              <w:t>项目名称</w:t>
            </w:r>
          </w:p>
        </w:tc>
        <w:tc>
          <w:tcPr>
            <w:tcW w:w="2012" w:type="dxa"/>
            <w:vAlign w:val="center"/>
          </w:tcPr>
          <w:p w14:paraId="0CC2129B">
            <w:pPr>
              <w:jc w:val="center"/>
              <w:rPr>
                <w:snapToGrid w:val="0"/>
                <w:color w:val="auto"/>
              </w:rPr>
            </w:pPr>
            <w:r>
              <w:rPr>
                <w:rFonts w:hint="eastAsia"/>
                <w:snapToGrid w:val="0"/>
                <w:color w:val="auto"/>
              </w:rPr>
              <w:t>项目委托单位</w:t>
            </w:r>
          </w:p>
        </w:tc>
        <w:tc>
          <w:tcPr>
            <w:tcW w:w="2000" w:type="dxa"/>
            <w:vAlign w:val="center"/>
          </w:tcPr>
          <w:p w14:paraId="32D41CE0">
            <w:pPr>
              <w:jc w:val="center"/>
              <w:rPr>
                <w:snapToGrid w:val="0"/>
                <w:color w:val="auto"/>
              </w:rPr>
            </w:pPr>
            <w:r>
              <w:rPr>
                <w:rFonts w:hint="eastAsia"/>
                <w:snapToGrid w:val="0"/>
                <w:color w:val="auto"/>
              </w:rPr>
              <w:t>合同签订时间</w:t>
            </w:r>
          </w:p>
        </w:tc>
        <w:tc>
          <w:tcPr>
            <w:tcW w:w="2525" w:type="dxa"/>
            <w:vAlign w:val="center"/>
          </w:tcPr>
          <w:p w14:paraId="28063A24">
            <w:pPr>
              <w:jc w:val="center"/>
              <w:rPr>
                <w:snapToGrid w:val="0"/>
                <w:color w:val="auto"/>
              </w:rPr>
            </w:pPr>
            <w:r>
              <w:rPr>
                <w:rFonts w:hint="eastAsia"/>
                <w:snapToGrid w:val="0"/>
                <w:color w:val="auto"/>
              </w:rPr>
              <w:t>证明材料类型</w:t>
            </w:r>
          </w:p>
          <w:p w14:paraId="7242B1AB">
            <w:pPr>
              <w:jc w:val="center"/>
              <w:rPr>
                <w:snapToGrid w:val="0"/>
                <w:color w:val="auto"/>
              </w:rPr>
            </w:pPr>
            <w:r>
              <w:rPr>
                <w:rFonts w:hint="eastAsia"/>
                <w:snapToGrid w:val="0"/>
                <w:color w:val="auto"/>
              </w:rPr>
              <w:t>（合同或验收证明等）</w:t>
            </w:r>
          </w:p>
        </w:tc>
      </w:tr>
      <w:tr w14:paraId="47A49F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30E0E86C">
            <w:pPr>
              <w:jc w:val="center"/>
              <w:rPr>
                <w:snapToGrid w:val="0"/>
                <w:color w:val="auto"/>
              </w:rPr>
            </w:pPr>
          </w:p>
        </w:tc>
        <w:tc>
          <w:tcPr>
            <w:tcW w:w="2663" w:type="dxa"/>
            <w:vAlign w:val="center"/>
          </w:tcPr>
          <w:p w14:paraId="5B2DB9FC">
            <w:pPr>
              <w:jc w:val="center"/>
              <w:rPr>
                <w:snapToGrid w:val="0"/>
                <w:color w:val="auto"/>
              </w:rPr>
            </w:pPr>
          </w:p>
        </w:tc>
        <w:tc>
          <w:tcPr>
            <w:tcW w:w="2012" w:type="dxa"/>
            <w:vAlign w:val="center"/>
          </w:tcPr>
          <w:p w14:paraId="08C845F9">
            <w:pPr>
              <w:jc w:val="center"/>
              <w:rPr>
                <w:snapToGrid w:val="0"/>
                <w:color w:val="auto"/>
              </w:rPr>
            </w:pPr>
          </w:p>
        </w:tc>
        <w:tc>
          <w:tcPr>
            <w:tcW w:w="2000" w:type="dxa"/>
            <w:vAlign w:val="center"/>
          </w:tcPr>
          <w:p w14:paraId="491521A5">
            <w:pPr>
              <w:jc w:val="center"/>
              <w:rPr>
                <w:snapToGrid w:val="0"/>
                <w:color w:val="auto"/>
              </w:rPr>
            </w:pPr>
          </w:p>
        </w:tc>
        <w:tc>
          <w:tcPr>
            <w:tcW w:w="2525" w:type="dxa"/>
            <w:vAlign w:val="center"/>
          </w:tcPr>
          <w:p w14:paraId="32E07068">
            <w:pPr>
              <w:jc w:val="center"/>
              <w:rPr>
                <w:snapToGrid w:val="0"/>
                <w:color w:val="auto"/>
              </w:rPr>
            </w:pPr>
          </w:p>
        </w:tc>
      </w:tr>
      <w:tr w14:paraId="51670D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6F42CEFF">
            <w:pPr>
              <w:jc w:val="center"/>
              <w:rPr>
                <w:snapToGrid w:val="0"/>
                <w:color w:val="auto"/>
              </w:rPr>
            </w:pPr>
          </w:p>
        </w:tc>
        <w:tc>
          <w:tcPr>
            <w:tcW w:w="2663" w:type="dxa"/>
            <w:vAlign w:val="center"/>
          </w:tcPr>
          <w:p w14:paraId="2DE0910B">
            <w:pPr>
              <w:jc w:val="center"/>
              <w:rPr>
                <w:snapToGrid w:val="0"/>
                <w:color w:val="auto"/>
              </w:rPr>
            </w:pPr>
          </w:p>
        </w:tc>
        <w:tc>
          <w:tcPr>
            <w:tcW w:w="2012" w:type="dxa"/>
            <w:vAlign w:val="center"/>
          </w:tcPr>
          <w:p w14:paraId="641E0D73">
            <w:pPr>
              <w:jc w:val="center"/>
              <w:rPr>
                <w:snapToGrid w:val="0"/>
                <w:color w:val="auto"/>
              </w:rPr>
            </w:pPr>
          </w:p>
        </w:tc>
        <w:tc>
          <w:tcPr>
            <w:tcW w:w="2000" w:type="dxa"/>
            <w:vAlign w:val="center"/>
          </w:tcPr>
          <w:p w14:paraId="61FE6B69">
            <w:pPr>
              <w:jc w:val="center"/>
              <w:rPr>
                <w:snapToGrid w:val="0"/>
                <w:color w:val="auto"/>
              </w:rPr>
            </w:pPr>
          </w:p>
        </w:tc>
        <w:tc>
          <w:tcPr>
            <w:tcW w:w="2525" w:type="dxa"/>
            <w:vAlign w:val="center"/>
          </w:tcPr>
          <w:p w14:paraId="43866A52">
            <w:pPr>
              <w:jc w:val="center"/>
              <w:rPr>
                <w:snapToGrid w:val="0"/>
                <w:color w:val="auto"/>
              </w:rPr>
            </w:pPr>
          </w:p>
        </w:tc>
      </w:tr>
      <w:tr w14:paraId="6C3F39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2264EDD4">
            <w:pPr>
              <w:jc w:val="center"/>
              <w:rPr>
                <w:snapToGrid w:val="0"/>
                <w:color w:val="auto"/>
              </w:rPr>
            </w:pPr>
          </w:p>
        </w:tc>
        <w:tc>
          <w:tcPr>
            <w:tcW w:w="2663" w:type="dxa"/>
            <w:vAlign w:val="center"/>
          </w:tcPr>
          <w:p w14:paraId="52BA5736">
            <w:pPr>
              <w:jc w:val="center"/>
              <w:rPr>
                <w:snapToGrid w:val="0"/>
                <w:color w:val="auto"/>
              </w:rPr>
            </w:pPr>
          </w:p>
        </w:tc>
        <w:tc>
          <w:tcPr>
            <w:tcW w:w="2012" w:type="dxa"/>
            <w:vAlign w:val="center"/>
          </w:tcPr>
          <w:p w14:paraId="056911F9">
            <w:pPr>
              <w:jc w:val="center"/>
              <w:rPr>
                <w:snapToGrid w:val="0"/>
                <w:color w:val="auto"/>
              </w:rPr>
            </w:pPr>
          </w:p>
        </w:tc>
        <w:tc>
          <w:tcPr>
            <w:tcW w:w="2000" w:type="dxa"/>
            <w:vAlign w:val="center"/>
          </w:tcPr>
          <w:p w14:paraId="2166DA3D">
            <w:pPr>
              <w:jc w:val="center"/>
              <w:rPr>
                <w:snapToGrid w:val="0"/>
                <w:color w:val="auto"/>
              </w:rPr>
            </w:pPr>
          </w:p>
        </w:tc>
        <w:tc>
          <w:tcPr>
            <w:tcW w:w="2525" w:type="dxa"/>
            <w:vAlign w:val="center"/>
          </w:tcPr>
          <w:p w14:paraId="6D4CC615">
            <w:pPr>
              <w:jc w:val="center"/>
              <w:rPr>
                <w:snapToGrid w:val="0"/>
                <w:color w:val="auto"/>
              </w:rPr>
            </w:pPr>
          </w:p>
        </w:tc>
      </w:tr>
      <w:tr w14:paraId="63E50D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64D87933">
            <w:pPr>
              <w:jc w:val="center"/>
              <w:rPr>
                <w:snapToGrid w:val="0"/>
                <w:color w:val="auto"/>
              </w:rPr>
            </w:pPr>
          </w:p>
        </w:tc>
        <w:tc>
          <w:tcPr>
            <w:tcW w:w="2663" w:type="dxa"/>
            <w:vAlign w:val="center"/>
          </w:tcPr>
          <w:p w14:paraId="472618EE">
            <w:pPr>
              <w:jc w:val="center"/>
              <w:rPr>
                <w:snapToGrid w:val="0"/>
                <w:color w:val="auto"/>
              </w:rPr>
            </w:pPr>
          </w:p>
        </w:tc>
        <w:tc>
          <w:tcPr>
            <w:tcW w:w="2012" w:type="dxa"/>
            <w:vAlign w:val="center"/>
          </w:tcPr>
          <w:p w14:paraId="6A842FA3">
            <w:pPr>
              <w:jc w:val="center"/>
              <w:rPr>
                <w:snapToGrid w:val="0"/>
                <w:color w:val="auto"/>
              </w:rPr>
            </w:pPr>
          </w:p>
        </w:tc>
        <w:tc>
          <w:tcPr>
            <w:tcW w:w="2000" w:type="dxa"/>
            <w:vAlign w:val="center"/>
          </w:tcPr>
          <w:p w14:paraId="40E0E4BA">
            <w:pPr>
              <w:jc w:val="center"/>
              <w:rPr>
                <w:snapToGrid w:val="0"/>
                <w:color w:val="auto"/>
              </w:rPr>
            </w:pPr>
          </w:p>
        </w:tc>
        <w:tc>
          <w:tcPr>
            <w:tcW w:w="2525" w:type="dxa"/>
            <w:vAlign w:val="center"/>
          </w:tcPr>
          <w:p w14:paraId="37E49918">
            <w:pPr>
              <w:jc w:val="center"/>
              <w:rPr>
                <w:snapToGrid w:val="0"/>
                <w:color w:val="auto"/>
              </w:rPr>
            </w:pPr>
          </w:p>
        </w:tc>
      </w:tr>
      <w:tr w14:paraId="39282F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6A6281D4">
            <w:pPr>
              <w:jc w:val="center"/>
              <w:rPr>
                <w:snapToGrid w:val="0"/>
                <w:color w:val="auto"/>
              </w:rPr>
            </w:pPr>
          </w:p>
        </w:tc>
        <w:tc>
          <w:tcPr>
            <w:tcW w:w="2663" w:type="dxa"/>
            <w:vAlign w:val="center"/>
          </w:tcPr>
          <w:p w14:paraId="1D4DAEC8">
            <w:pPr>
              <w:jc w:val="center"/>
              <w:rPr>
                <w:snapToGrid w:val="0"/>
                <w:color w:val="auto"/>
              </w:rPr>
            </w:pPr>
          </w:p>
        </w:tc>
        <w:tc>
          <w:tcPr>
            <w:tcW w:w="2012" w:type="dxa"/>
            <w:vAlign w:val="center"/>
          </w:tcPr>
          <w:p w14:paraId="34EC76E0">
            <w:pPr>
              <w:jc w:val="center"/>
              <w:rPr>
                <w:snapToGrid w:val="0"/>
                <w:color w:val="auto"/>
              </w:rPr>
            </w:pPr>
          </w:p>
        </w:tc>
        <w:tc>
          <w:tcPr>
            <w:tcW w:w="2000" w:type="dxa"/>
            <w:vAlign w:val="center"/>
          </w:tcPr>
          <w:p w14:paraId="31317E91">
            <w:pPr>
              <w:jc w:val="center"/>
              <w:rPr>
                <w:snapToGrid w:val="0"/>
                <w:color w:val="auto"/>
              </w:rPr>
            </w:pPr>
          </w:p>
        </w:tc>
        <w:tc>
          <w:tcPr>
            <w:tcW w:w="2525" w:type="dxa"/>
            <w:vAlign w:val="center"/>
          </w:tcPr>
          <w:p w14:paraId="7CB8D4ED">
            <w:pPr>
              <w:jc w:val="center"/>
              <w:rPr>
                <w:snapToGrid w:val="0"/>
                <w:color w:val="auto"/>
              </w:rPr>
            </w:pPr>
          </w:p>
        </w:tc>
      </w:tr>
      <w:tr w14:paraId="6EECB8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135563F1">
            <w:pPr>
              <w:jc w:val="center"/>
              <w:rPr>
                <w:snapToGrid w:val="0"/>
                <w:color w:val="auto"/>
              </w:rPr>
            </w:pPr>
          </w:p>
        </w:tc>
        <w:tc>
          <w:tcPr>
            <w:tcW w:w="2663" w:type="dxa"/>
            <w:vAlign w:val="center"/>
          </w:tcPr>
          <w:p w14:paraId="3DE08A40">
            <w:pPr>
              <w:jc w:val="center"/>
              <w:rPr>
                <w:snapToGrid w:val="0"/>
                <w:color w:val="auto"/>
              </w:rPr>
            </w:pPr>
          </w:p>
        </w:tc>
        <w:tc>
          <w:tcPr>
            <w:tcW w:w="2012" w:type="dxa"/>
            <w:vAlign w:val="center"/>
          </w:tcPr>
          <w:p w14:paraId="5517E21D">
            <w:pPr>
              <w:jc w:val="center"/>
              <w:rPr>
                <w:snapToGrid w:val="0"/>
                <w:color w:val="auto"/>
              </w:rPr>
            </w:pPr>
          </w:p>
        </w:tc>
        <w:tc>
          <w:tcPr>
            <w:tcW w:w="2000" w:type="dxa"/>
            <w:vAlign w:val="center"/>
          </w:tcPr>
          <w:p w14:paraId="17752DB7">
            <w:pPr>
              <w:jc w:val="center"/>
              <w:rPr>
                <w:snapToGrid w:val="0"/>
                <w:color w:val="auto"/>
              </w:rPr>
            </w:pPr>
          </w:p>
        </w:tc>
        <w:tc>
          <w:tcPr>
            <w:tcW w:w="2525" w:type="dxa"/>
            <w:vAlign w:val="center"/>
          </w:tcPr>
          <w:p w14:paraId="63936DEC">
            <w:pPr>
              <w:jc w:val="center"/>
              <w:rPr>
                <w:snapToGrid w:val="0"/>
                <w:color w:val="auto"/>
              </w:rPr>
            </w:pPr>
          </w:p>
        </w:tc>
      </w:tr>
      <w:tr w14:paraId="578B4C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29A26816">
            <w:pPr>
              <w:jc w:val="center"/>
              <w:rPr>
                <w:snapToGrid w:val="0"/>
                <w:color w:val="auto"/>
              </w:rPr>
            </w:pPr>
          </w:p>
        </w:tc>
        <w:tc>
          <w:tcPr>
            <w:tcW w:w="2663" w:type="dxa"/>
            <w:vAlign w:val="center"/>
          </w:tcPr>
          <w:p w14:paraId="17AC9B6E">
            <w:pPr>
              <w:jc w:val="center"/>
              <w:rPr>
                <w:snapToGrid w:val="0"/>
                <w:color w:val="auto"/>
              </w:rPr>
            </w:pPr>
          </w:p>
        </w:tc>
        <w:tc>
          <w:tcPr>
            <w:tcW w:w="2012" w:type="dxa"/>
            <w:vAlign w:val="center"/>
          </w:tcPr>
          <w:p w14:paraId="482C0CCA">
            <w:pPr>
              <w:jc w:val="center"/>
              <w:rPr>
                <w:snapToGrid w:val="0"/>
                <w:color w:val="auto"/>
              </w:rPr>
            </w:pPr>
          </w:p>
        </w:tc>
        <w:tc>
          <w:tcPr>
            <w:tcW w:w="2000" w:type="dxa"/>
            <w:vAlign w:val="center"/>
          </w:tcPr>
          <w:p w14:paraId="4DFC08CE">
            <w:pPr>
              <w:jc w:val="center"/>
              <w:rPr>
                <w:snapToGrid w:val="0"/>
                <w:color w:val="auto"/>
              </w:rPr>
            </w:pPr>
          </w:p>
        </w:tc>
        <w:tc>
          <w:tcPr>
            <w:tcW w:w="2525" w:type="dxa"/>
            <w:vAlign w:val="center"/>
          </w:tcPr>
          <w:p w14:paraId="6AB95C71">
            <w:pPr>
              <w:jc w:val="center"/>
              <w:rPr>
                <w:snapToGrid w:val="0"/>
                <w:color w:val="auto"/>
              </w:rPr>
            </w:pPr>
          </w:p>
        </w:tc>
      </w:tr>
      <w:tr w14:paraId="6CF926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57421E44">
            <w:pPr>
              <w:jc w:val="center"/>
              <w:rPr>
                <w:snapToGrid w:val="0"/>
                <w:color w:val="auto"/>
              </w:rPr>
            </w:pPr>
          </w:p>
        </w:tc>
        <w:tc>
          <w:tcPr>
            <w:tcW w:w="2663" w:type="dxa"/>
            <w:vAlign w:val="center"/>
          </w:tcPr>
          <w:p w14:paraId="5E207B4B">
            <w:pPr>
              <w:jc w:val="center"/>
              <w:rPr>
                <w:snapToGrid w:val="0"/>
                <w:color w:val="auto"/>
              </w:rPr>
            </w:pPr>
          </w:p>
        </w:tc>
        <w:tc>
          <w:tcPr>
            <w:tcW w:w="2012" w:type="dxa"/>
            <w:vAlign w:val="center"/>
          </w:tcPr>
          <w:p w14:paraId="06298BB2">
            <w:pPr>
              <w:jc w:val="center"/>
              <w:rPr>
                <w:snapToGrid w:val="0"/>
                <w:color w:val="auto"/>
              </w:rPr>
            </w:pPr>
          </w:p>
        </w:tc>
        <w:tc>
          <w:tcPr>
            <w:tcW w:w="2000" w:type="dxa"/>
            <w:vAlign w:val="center"/>
          </w:tcPr>
          <w:p w14:paraId="6D7C60E6">
            <w:pPr>
              <w:jc w:val="center"/>
              <w:rPr>
                <w:snapToGrid w:val="0"/>
                <w:color w:val="auto"/>
              </w:rPr>
            </w:pPr>
          </w:p>
        </w:tc>
        <w:tc>
          <w:tcPr>
            <w:tcW w:w="2525" w:type="dxa"/>
            <w:vAlign w:val="center"/>
          </w:tcPr>
          <w:p w14:paraId="65C6DAB6">
            <w:pPr>
              <w:jc w:val="center"/>
              <w:rPr>
                <w:snapToGrid w:val="0"/>
                <w:color w:val="auto"/>
              </w:rPr>
            </w:pPr>
          </w:p>
        </w:tc>
      </w:tr>
      <w:tr w14:paraId="43790F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4BEB3F7F">
            <w:pPr>
              <w:jc w:val="center"/>
              <w:rPr>
                <w:snapToGrid w:val="0"/>
                <w:color w:val="auto"/>
              </w:rPr>
            </w:pPr>
          </w:p>
        </w:tc>
        <w:tc>
          <w:tcPr>
            <w:tcW w:w="2663" w:type="dxa"/>
            <w:vAlign w:val="center"/>
          </w:tcPr>
          <w:p w14:paraId="1267CFBD">
            <w:pPr>
              <w:jc w:val="center"/>
              <w:rPr>
                <w:snapToGrid w:val="0"/>
                <w:color w:val="auto"/>
              </w:rPr>
            </w:pPr>
          </w:p>
        </w:tc>
        <w:tc>
          <w:tcPr>
            <w:tcW w:w="2012" w:type="dxa"/>
            <w:vAlign w:val="center"/>
          </w:tcPr>
          <w:p w14:paraId="1DF58321">
            <w:pPr>
              <w:jc w:val="center"/>
              <w:rPr>
                <w:snapToGrid w:val="0"/>
                <w:color w:val="auto"/>
              </w:rPr>
            </w:pPr>
          </w:p>
        </w:tc>
        <w:tc>
          <w:tcPr>
            <w:tcW w:w="2000" w:type="dxa"/>
            <w:vAlign w:val="center"/>
          </w:tcPr>
          <w:p w14:paraId="53FAE15A">
            <w:pPr>
              <w:jc w:val="center"/>
              <w:rPr>
                <w:snapToGrid w:val="0"/>
                <w:color w:val="auto"/>
              </w:rPr>
            </w:pPr>
          </w:p>
        </w:tc>
        <w:tc>
          <w:tcPr>
            <w:tcW w:w="2525" w:type="dxa"/>
            <w:vAlign w:val="center"/>
          </w:tcPr>
          <w:p w14:paraId="34388BD8">
            <w:pPr>
              <w:jc w:val="center"/>
              <w:rPr>
                <w:snapToGrid w:val="0"/>
                <w:color w:val="auto"/>
              </w:rPr>
            </w:pPr>
          </w:p>
        </w:tc>
      </w:tr>
      <w:tr w14:paraId="53382C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645A03EC">
            <w:pPr>
              <w:jc w:val="center"/>
              <w:rPr>
                <w:snapToGrid w:val="0"/>
                <w:color w:val="auto"/>
              </w:rPr>
            </w:pPr>
          </w:p>
        </w:tc>
        <w:tc>
          <w:tcPr>
            <w:tcW w:w="2663" w:type="dxa"/>
            <w:vAlign w:val="center"/>
          </w:tcPr>
          <w:p w14:paraId="630E8FDC">
            <w:pPr>
              <w:jc w:val="center"/>
              <w:rPr>
                <w:snapToGrid w:val="0"/>
                <w:color w:val="auto"/>
              </w:rPr>
            </w:pPr>
          </w:p>
        </w:tc>
        <w:tc>
          <w:tcPr>
            <w:tcW w:w="2012" w:type="dxa"/>
            <w:vAlign w:val="center"/>
          </w:tcPr>
          <w:p w14:paraId="0E6398F2">
            <w:pPr>
              <w:jc w:val="center"/>
              <w:rPr>
                <w:snapToGrid w:val="0"/>
                <w:color w:val="auto"/>
              </w:rPr>
            </w:pPr>
          </w:p>
        </w:tc>
        <w:tc>
          <w:tcPr>
            <w:tcW w:w="2000" w:type="dxa"/>
            <w:vAlign w:val="center"/>
          </w:tcPr>
          <w:p w14:paraId="537D5796">
            <w:pPr>
              <w:jc w:val="center"/>
              <w:rPr>
                <w:snapToGrid w:val="0"/>
                <w:color w:val="auto"/>
              </w:rPr>
            </w:pPr>
          </w:p>
        </w:tc>
        <w:tc>
          <w:tcPr>
            <w:tcW w:w="2525" w:type="dxa"/>
            <w:vAlign w:val="center"/>
          </w:tcPr>
          <w:p w14:paraId="64E79331">
            <w:pPr>
              <w:jc w:val="center"/>
              <w:rPr>
                <w:snapToGrid w:val="0"/>
                <w:color w:val="auto"/>
              </w:rPr>
            </w:pPr>
          </w:p>
        </w:tc>
      </w:tr>
      <w:tr w14:paraId="5DD9F6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789C10AA">
            <w:pPr>
              <w:jc w:val="center"/>
              <w:rPr>
                <w:snapToGrid w:val="0"/>
                <w:color w:val="auto"/>
              </w:rPr>
            </w:pPr>
          </w:p>
        </w:tc>
        <w:tc>
          <w:tcPr>
            <w:tcW w:w="2663" w:type="dxa"/>
            <w:vAlign w:val="center"/>
          </w:tcPr>
          <w:p w14:paraId="6FC724AA">
            <w:pPr>
              <w:jc w:val="center"/>
              <w:rPr>
                <w:snapToGrid w:val="0"/>
                <w:color w:val="auto"/>
              </w:rPr>
            </w:pPr>
          </w:p>
        </w:tc>
        <w:tc>
          <w:tcPr>
            <w:tcW w:w="2012" w:type="dxa"/>
            <w:vAlign w:val="center"/>
          </w:tcPr>
          <w:p w14:paraId="6BE22BB4">
            <w:pPr>
              <w:jc w:val="center"/>
              <w:rPr>
                <w:snapToGrid w:val="0"/>
                <w:color w:val="auto"/>
              </w:rPr>
            </w:pPr>
          </w:p>
        </w:tc>
        <w:tc>
          <w:tcPr>
            <w:tcW w:w="2000" w:type="dxa"/>
            <w:vAlign w:val="center"/>
          </w:tcPr>
          <w:p w14:paraId="6CD9B97C">
            <w:pPr>
              <w:jc w:val="center"/>
              <w:rPr>
                <w:snapToGrid w:val="0"/>
                <w:color w:val="auto"/>
              </w:rPr>
            </w:pPr>
          </w:p>
        </w:tc>
        <w:tc>
          <w:tcPr>
            <w:tcW w:w="2525" w:type="dxa"/>
            <w:vAlign w:val="center"/>
          </w:tcPr>
          <w:p w14:paraId="33FD2AA4">
            <w:pPr>
              <w:jc w:val="center"/>
              <w:rPr>
                <w:snapToGrid w:val="0"/>
                <w:color w:val="auto"/>
              </w:rPr>
            </w:pPr>
          </w:p>
        </w:tc>
      </w:tr>
      <w:tr w14:paraId="1DC015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331A2502">
            <w:pPr>
              <w:jc w:val="center"/>
              <w:rPr>
                <w:snapToGrid w:val="0"/>
                <w:color w:val="auto"/>
              </w:rPr>
            </w:pPr>
          </w:p>
        </w:tc>
        <w:tc>
          <w:tcPr>
            <w:tcW w:w="2663" w:type="dxa"/>
            <w:vAlign w:val="center"/>
          </w:tcPr>
          <w:p w14:paraId="5A4E269B">
            <w:pPr>
              <w:jc w:val="center"/>
              <w:rPr>
                <w:snapToGrid w:val="0"/>
                <w:color w:val="auto"/>
              </w:rPr>
            </w:pPr>
          </w:p>
        </w:tc>
        <w:tc>
          <w:tcPr>
            <w:tcW w:w="2012" w:type="dxa"/>
            <w:vAlign w:val="center"/>
          </w:tcPr>
          <w:p w14:paraId="51BFFB81">
            <w:pPr>
              <w:jc w:val="center"/>
              <w:rPr>
                <w:snapToGrid w:val="0"/>
                <w:color w:val="auto"/>
              </w:rPr>
            </w:pPr>
          </w:p>
        </w:tc>
        <w:tc>
          <w:tcPr>
            <w:tcW w:w="2000" w:type="dxa"/>
            <w:vAlign w:val="center"/>
          </w:tcPr>
          <w:p w14:paraId="2508EAE3">
            <w:pPr>
              <w:jc w:val="center"/>
              <w:rPr>
                <w:snapToGrid w:val="0"/>
                <w:color w:val="auto"/>
              </w:rPr>
            </w:pPr>
          </w:p>
        </w:tc>
        <w:tc>
          <w:tcPr>
            <w:tcW w:w="2525" w:type="dxa"/>
            <w:vAlign w:val="center"/>
          </w:tcPr>
          <w:p w14:paraId="1C0BB151">
            <w:pPr>
              <w:jc w:val="center"/>
              <w:rPr>
                <w:snapToGrid w:val="0"/>
                <w:color w:val="auto"/>
              </w:rPr>
            </w:pPr>
          </w:p>
        </w:tc>
      </w:tr>
      <w:tr w14:paraId="688FD8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6DC99B30">
            <w:pPr>
              <w:jc w:val="center"/>
              <w:rPr>
                <w:snapToGrid w:val="0"/>
                <w:color w:val="auto"/>
              </w:rPr>
            </w:pPr>
          </w:p>
        </w:tc>
        <w:tc>
          <w:tcPr>
            <w:tcW w:w="2663" w:type="dxa"/>
            <w:vAlign w:val="center"/>
          </w:tcPr>
          <w:p w14:paraId="74FA29EA">
            <w:pPr>
              <w:jc w:val="center"/>
              <w:rPr>
                <w:snapToGrid w:val="0"/>
                <w:color w:val="auto"/>
              </w:rPr>
            </w:pPr>
          </w:p>
        </w:tc>
        <w:tc>
          <w:tcPr>
            <w:tcW w:w="2012" w:type="dxa"/>
            <w:vAlign w:val="center"/>
          </w:tcPr>
          <w:p w14:paraId="6A4C989E">
            <w:pPr>
              <w:jc w:val="center"/>
              <w:rPr>
                <w:snapToGrid w:val="0"/>
                <w:color w:val="auto"/>
              </w:rPr>
            </w:pPr>
          </w:p>
        </w:tc>
        <w:tc>
          <w:tcPr>
            <w:tcW w:w="2000" w:type="dxa"/>
            <w:vAlign w:val="center"/>
          </w:tcPr>
          <w:p w14:paraId="1B184D64">
            <w:pPr>
              <w:jc w:val="center"/>
              <w:rPr>
                <w:snapToGrid w:val="0"/>
                <w:color w:val="auto"/>
              </w:rPr>
            </w:pPr>
          </w:p>
        </w:tc>
        <w:tc>
          <w:tcPr>
            <w:tcW w:w="2525" w:type="dxa"/>
            <w:vAlign w:val="center"/>
          </w:tcPr>
          <w:p w14:paraId="0F95230D">
            <w:pPr>
              <w:jc w:val="center"/>
              <w:rPr>
                <w:snapToGrid w:val="0"/>
                <w:color w:val="auto"/>
              </w:rPr>
            </w:pPr>
          </w:p>
        </w:tc>
      </w:tr>
      <w:tr w14:paraId="2474E2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3F1A0FC2">
            <w:pPr>
              <w:jc w:val="center"/>
              <w:rPr>
                <w:snapToGrid w:val="0"/>
                <w:color w:val="auto"/>
              </w:rPr>
            </w:pPr>
          </w:p>
        </w:tc>
        <w:tc>
          <w:tcPr>
            <w:tcW w:w="2663" w:type="dxa"/>
            <w:vAlign w:val="center"/>
          </w:tcPr>
          <w:p w14:paraId="7084E3E2">
            <w:pPr>
              <w:jc w:val="center"/>
              <w:rPr>
                <w:snapToGrid w:val="0"/>
                <w:color w:val="auto"/>
              </w:rPr>
            </w:pPr>
          </w:p>
        </w:tc>
        <w:tc>
          <w:tcPr>
            <w:tcW w:w="2012" w:type="dxa"/>
            <w:vAlign w:val="center"/>
          </w:tcPr>
          <w:p w14:paraId="6692E66A">
            <w:pPr>
              <w:jc w:val="center"/>
              <w:rPr>
                <w:snapToGrid w:val="0"/>
                <w:color w:val="auto"/>
              </w:rPr>
            </w:pPr>
          </w:p>
        </w:tc>
        <w:tc>
          <w:tcPr>
            <w:tcW w:w="2000" w:type="dxa"/>
            <w:vAlign w:val="center"/>
          </w:tcPr>
          <w:p w14:paraId="7D98E48A">
            <w:pPr>
              <w:jc w:val="center"/>
              <w:rPr>
                <w:snapToGrid w:val="0"/>
                <w:color w:val="auto"/>
              </w:rPr>
            </w:pPr>
          </w:p>
        </w:tc>
        <w:tc>
          <w:tcPr>
            <w:tcW w:w="2525" w:type="dxa"/>
            <w:vAlign w:val="center"/>
          </w:tcPr>
          <w:p w14:paraId="13666CDC">
            <w:pPr>
              <w:jc w:val="center"/>
              <w:rPr>
                <w:snapToGrid w:val="0"/>
                <w:color w:val="auto"/>
              </w:rPr>
            </w:pPr>
          </w:p>
        </w:tc>
      </w:tr>
      <w:tr w14:paraId="005377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0443B27C">
            <w:pPr>
              <w:jc w:val="center"/>
              <w:rPr>
                <w:snapToGrid w:val="0"/>
                <w:color w:val="auto"/>
              </w:rPr>
            </w:pPr>
          </w:p>
        </w:tc>
        <w:tc>
          <w:tcPr>
            <w:tcW w:w="2663" w:type="dxa"/>
            <w:vAlign w:val="center"/>
          </w:tcPr>
          <w:p w14:paraId="6CA3C3D6">
            <w:pPr>
              <w:jc w:val="center"/>
              <w:rPr>
                <w:snapToGrid w:val="0"/>
                <w:color w:val="auto"/>
              </w:rPr>
            </w:pPr>
          </w:p>
        </w:tc>
        <w:tc>
          <w:tcPr>
            <w:tcW w:w="2012" w:type="dxa"/>
            <w:vAlign w:val="center"/>
          </w:tcPr>
          <w:p w14:paraId="0AB37885">
            <w:pPr>
              <w:jc w:val="center"/>
              <w:rPr>
                <w:snapToGrid w:val="0"/>
                <w:color w:val="auto"/>
              </w:rPr>
            </w:pPr>
          </w:p>
        </w:tc>
        <w:tc>
          <w:tcPr>
            <w:tcW w:w="2000" w:type="dxa"/>
            <w:vAlign w:val="center"/>
          </w:tcPr>
          <w:p w14:paraId="7C6E86F4">
            <w:pPr>
              <w:jc w:val="center"/>
              <w:rPr>
                <w:snapToGrid w:val="0"/>
                <w:color w:val="auto"/>
              </w:rPr>
            </w:pPr>
          </w:p>
        </w:tc>
        <w:tc>
          <w:tcPr>
            <w:tcW w:w="2525" w:type="dxa"/>
            <w:vAlign w:val="center"/>
          </w:tcPr>
          <w:p w14:paraId="789937E3">
            <w:pPr>
              <w:jc w:val="center"/>
              <w:rPr>
                <w:snapToGrid w:val="0"/>
                <w:color w:val="auto"/>
              </w:rPr>
            </w:pPr>
          </w:p>
        </w:tc>
      </w:tr>
      <w:tr w14:paraId="069C1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41636DE6">
            <w:pPr>
              <w:jc w:val="center"/>
              <w:rPr>
                <w:snapToGrid w:val="0"/>
                <w:color w:val="auto"/>
              </w:rPr>
            </w:pPr>
          </w:p>
        </w:tc>
        <w:tc>
          <w:tcPr>
            <w:tcW w:w="2663" w:type="dxa"/>
            <w:vAlign w:val="center"/>
          </w:tcPr>
          <w:p w14:paraId="33D91143">
            <w:pPr>
              <w:jc w:val="center"/>
              <w:rPr>
                <w:snapToGrid w:val="0"/>
                <w:color w:val="auto"/>
              </w:rPr>
            </w:pPr>
          </w:p>
        </w:tc>
        <w:tc>
          <w:tcPr>
            <w:tcW w:w="2012" w:type="dxa"/>
            <w:vAlign w:val="center"/>
          </w:tcPr>
          <w:p w14:paraId="03A2FF1D">
            <w:pPr>
              <w:jc w:val="center"/>
              <w:rPr>
                <w:snapToGrid w:val="0"/>
                <w:color w:val="auto"/>
              </w:rPr>
            </w:pPr>
          </w:p>
        </w:tc>
        <w:tc>
          <w:tcPr>
            <w:tcW w:w="2000" w:type="dxa"/>
            <w:vAlign w:val="center"/>
          </w:tcPr>
          <w:p w14:paraId="35A37C1B">
            <w:pPr>
              <w:jc w:val="center"/>
              <w:rPr>
                <w:snapToGrid w:val="0"/>
                <w:color w:val="auto"/>
              </w:rPr>
            </w:pPr>
          </w:p>
        </w:tc>
        <w:tc>
          <w:tcPr>
            <w:tcW w:w="2525" w:type="dxa"/>
            <w:vAlign w:val="center"/>
          </w:tcPr>
          <w:p w14:paraId="5034757C">
            <w:pPr>
              <w:jc w:val="center"/>
              <w:rPr>
                <w:snapToGrid w:val="0"/>
                <w:color w:val="auto"/>
              </w:rPr>
            </w:pPr>
          </w:p>
        </w:tc>
      </w:tr>
      <w:tr w14:paraId="1D1BE0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5066CCB5">
            <w:pPr>
              <w:jc w:val="center"/>
              <w:rPr>
                <w:snapToGrid w:val="0"/>
                <w:color w:val="auto"/>
              </w:rPr>
            </w:pPr>
          </w:p>
        </w:tc>
        <w:tc>
          <w:tcPr>
            <w:tcW w:w="2663" w:type="dxa"/>
            <w:vAlign w:val="center"/>
          </w:tcPr>
          <w:p w14:paraId="2A93033E">
            <w:pPr>
              <w:jc w:val="center"/>
              <w:rPr>
                <w:snapToGrid w:val="0"/>
                <w:color w:val="auto"/>
              </w:rPr>
            </w:pPr>
          </w:p>
        </w:tc>
        <w:tc>
          <w:tcPr>
            <w:tcW w:w="2012" w:type="dxa"/>
            <w:vAlign w:val="center"/>
          </w:tcPr>
          <w:p w14:paraId="6AAA2A60">
            <w:pPr>
              <w:jc w:val="center"/>
              <w:rPr>
                <w:snapToGrid w:val="0"/>
                <w:color w:val="auto"/>
              </w:rPr>
            </w:pPr>
          </w:p>
        </w:tc>
        <w:tc>
          <w:tcPr>
            <w:tcW w:w="2000" w:type="dxa"/>
            <w:vAlign w:val="center"/>
          </w:tcPr>
          <w:p w14:paraId="523DD86E">
            <w:pPr>
              <w:jc w:val="center"/>
              <w:rPr>
                <w:snapToGrid w:val="0"/>
                <w:color w:val="auto"/>
              </w:rPr>
            </w:pPr>
          </w:p>
        </w:tc>
        <w:tc>
          <w:tcPr>
            <w:tcW w:w="2525" w:type="dxa"/>
            <w:vAlign w:val="center"/>
          </w:tcPr>
          <w:p w14:paraId="1BF183A8">
            <w:pPr>
              <w:jc w:val="center"/>
              <w:rPr>
                <w:snapToGrid w:val="0"/>
                <w:color w:val="auto"/>
              </w:rPr>
            </w:pPr>
          </w:p>
        </w:tc>
      </w:tr>
      <w:tr w14:paraId="1D4B14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2BD56D96">
            <w:pPr>
              <w:jc w:val="center"/>
              <w:rPr>
                <w:snapToGrid w:val="0"/>
                <w:color w:val="auto"/>
              </w:rPr>
            </w:pPr>
          </w:p>
        </w:tc>
        <w:tc>
          <w:tcPr>
            <w:tcW w:w="2663" w:type="dxa"/>
            <w:vAlign w:val="center"/>
          </w:tcPr>
          <w:p w14:paraId="3FAC9803">
            <w:pPr>
              <w:jc w:val="center"/>
              <w:rPr>
                <w:snapToGrid w:val="0"/>
                <w:color w:val="auto"/>
              </w:rPr>
            </w:pPr>
          </w:p>
        </w:tc>
        <w:tc>
          <w:tcPr>
            <w:tcW w:w="2012" w:type="dxa"/>
            <w:vAlign w:val="center"/>
          </w:tcPr>
          <w:p w14:paraId="48BC7E9A">
            <w:pPr>
              <w:jc w:val="center"/>
              <w:rPr>
                <w:snapToGrid w:val="0"/>
                <w:color w:val="auto"/>
              </w:rPr>
            </w:pPr>
          </w:p>
        </w:tc>
        <w:tc>
          <w:tcPr>
            <w:tcW w:w="2000" w:type="dxa"/>
            <w:vAlign w:val="center"/>
          </w:tcPr>
          <w:p w14:paraId="4310246B">
            <w:pPr>
              <w:jc w:val="center"/>
              <w:rPr>
                <w:snapToGrid w:val="0"/>
                <w:color w:val="auto"/>
              </w:rPr>
            </w:pPr>
          </w:p>
        </w:tc>
        <w:tc>
          <w:tcPr>
            <w:tcW w:w="2525" w:type="dxa"/>
            <w:vAlign w:val="center"/>
          </w:tcPr>
          <w:p w14:paraId="60A3A2E5">
            <w:pPr>
              <w:jc w:val="center"/>
              <w:rPr>
                <w:snapToGrid w:val="0"/>
                <w:color w:val="auto"/>
              </w:rPr>
            </w:pPr>
          </w:p>
        </w:tc>
      </w:tr>
    </w:tbl>
    <w:p w14:paraId="0D0AB5AD">
      <w:pPr>
        <w:pStyle w:val="22"/>
        <w:ind w:firstLine="482"/>
        <w:rPr>
          <w:rFonts w:ascii="宋体" w:hAnsi="宋体"/>
          <w:b/>
          <w:color w:val="auto"/>
          <w:sz w:val="24"/>
        </w:rPr>
      </w:pPr>
    </w:p>
    <w:p w14:paraId="6F04D900">
      <w:pPr>
        <w:adjustRightInd w:val="0"/>
        <w:snapToGrid w:val="0"/>
        <w:spacing w:line="360" w:lineRule="auto"/>
        <w:ind w:firstLine="480" w:firstLineChars="200"/>
        <w:rPr>
          <w:rFonts w:ascii="宋体" w:hAnsi="宋体"/>
          <w:snapToGrid w:val="0"/>
          <w:color w:val="auto"/>
          <w:sz w:val="24"/>
        </w:rPr>
      </w:pPr>
      <w:r>
        <w:rPr>
          <w:rFonts w:hint="eastAsia" w:ascii="宋体" w:hAnsi="宋体"/>
          <w:snapToGrid w:val="0"/>
          <w:color w:val="auto"/>
          <w:sz w:val="24"/>
        </w:rPr>
        <w:t>上述证明材料中的单位名称与投标单位的名称必须一致，业主单位与委托方的名称也必须一致，单位发生合法变更的，需提供合法变更的材料。否则，业绩不予认可。</w:t>
      </w:r>
    </w:p>
    <w:p w14:paraId="4CE444D5">
      <w:pPr>
        <w:rPr>
          <w:color w:val="auto"/>
        </w:rPr>
      </w:pPr>
    </w:p>
    <w:p w14:paraId="0E1B222B">
      <w:pPr>
        <w:pStyle w:val="2"/>
        <w:rPr>
          <w:snapToGrid w:val="0"/>
          <w:color w:val="auto"/>
          <w:sz w:val="24"/>
          <w:szCs w:val="24"/>
        </w:rPr>
      </w:pPr>
      <w:r>
        <w:rPr>
          <w:rFonts w:hint="eastAsia"/>
          <w:snapToGrid w:val="0"/>
          <w:color w:val="auto"/>
          <w:sz w:val="24"/>
          <w:szCs w:val="24"/>
        </w:rPr>
        <w:t xml:space="preserve"> 投标人：（盖章）              法定代表人（或委托代理人）：</w:t>
      </w:r>
    </w:p>
    <w:p w14:paraId="259BAC32">
      <w:pPr>
        <w:pStyle w:val="2"/>
        <w:rPr>
          <w:snapToGrid w:val="0"/>
          <w:color w:val="auto"/>
          <w:sz w:val="24"/>
          <w:szCs w:val="24"/>
        </w:rPr>
      </w:pPr>
    </w:p>
    <w:p w14:paraId="7C49BDFF">
      <w:pPr>
        <w:pStyle w:val="2"/>
        <w:ind w:left="-6" w:leftChars="-3" w:firstLine="600" w:firstLineChars="250"/>
        <w:rPr>
          <w:snapToGrid w:val="0"/>
          <w:color w:val="auto"/>
          <w:sz w:val="24"/>
          <w:szCs w:val="24"/>
        </w:rPr>
      </w:pPr>
      <w:r>
        <w:rPr>
          <w:rFonts w:hint="eastAsia"/>
          <w:snapToGrid w:val="0"/>
          <w:color w:val="auto"/>
          <w:sz w:val="24"/>
          <w:szCs w:val="24"/>
        </w:rPr>
        <w:t xml:space="preserve">年 </w:t>
      </w:r>
      <w:r>
        <w:rPr>
          <w:rFonts w:hint="eastAsia"/>
          <w:snapToGrid w:val="0"/>
          <w:color w:val="auto"/>
          <w:sz w:val="24"/>
          <w:szCs w:val="24"/>
          <w:u w:val="single"/>
        </w:rPr>
        <w:tab/>
      </w:r>
      <w:r>
        <w:rPr>
          <w:rFonts w:hint="eastAsia"/>
          <w:snapToGrid w:val="0"/>
          <w:color w:val="auto"/>
          <w:sz w:val="24"/>
          <w:szCs w:val="24"/>
        </w:rPr>
        <w:t>月</w:t>
      </w:r>
      <w:r>
        <w:rPr>
          <w:rFonts w:hint="eastAsia"/>
          <w:snapToGrid w:val="0"/>
          <w:color w:val="auto"/>
          <w:sz w:val="24"/>
          <w:szCs w:val="24"/>
          <w:u w:val="single"/>
        </w:rPr>
        <w:tab/>
      </w:r>
      <w:r>
        <w:rPr>
          <w:rFonts w:hint="eastAsia"/>
          <w:snapToGrid w:val="0"/>
          <w:color w:val="auto"/>
          <w:sz w:val="24"/>
          <w:szCs w:val="24"/>
        </w:rPr>
        <w:t>日</w:t>
      </w:r>
    </w:p>
    <w:p w14:paraId="52AA1788">
      <w:pPr>
        <w:snapToGrid w:val="0"/>
        <w:spacing w:before="120" w:beforeLines="50" w:after="50"/>
        <w:rPr>
          <w:rFonts w:ascii="宋体" w:hAnsi="宋体" w:cs="宋体"/>
          <w:b/>
          <w:bCs/>
          <w:color w:val="auto"/>
          <w:sz w:val="24"/>
        </w:rPr>
      </w:pPr>
    </w:p>
    <w:p w14:paraId="50D6DC1A">
      <w:pPr>
        <w:snapToGrid w:val="0"/>
        <w:spacing w:before="120" w:beforeLines="50" w:after="50"/>
        <w:rPr>
          <w:rFonts w:ascii="宋体" w:hAnsi="宋体" w:cs="宋体"/>
          <w:b/>
          <w:bCs/>
          <w:color w:val="auto"/>
          <w:sz w:val="24"/>
        </w:rPr>
      </w:pPr>
    </w:p>
    <w:p w14:paraId="6F6FAA46">
      <w:pPr>
        <w:snapToGrid w:val="0"/>
        <w:spacing w:before="120" w:beforeLines="50" w:after="50"/>
        <w:rPr>
          <w:rFonts w:ascii="宋体" w:hAnsi="宋体" w:cs="宋体"/>
          <w:b/>
          <w:bCs/>
          <w:color w:val="auto"/>
          <w:sz w:val="24"/>
        </w:rPr>
      </w:pPr>
    </w:p>
    <w:p w14:paraId="66756DCD">
      <w:pPr>
        <w:snapToGrid w:val="0"/>
        <w:spacing w:before="120" w:beforeLines="50" w:after="50"/>
        <w:rPr>
          <w:rFonts w:ascii="宋体" w:hAnsi="宋体" w:cs="宋体"/>
          <w:b/>
          <w:bCs/>
          <w:color w:val="auto"/>
          <w:sz w:val="24"/>
        </w:rPr>
      </w:pPr>
    </w:p>
    <w:p w14:paraId="39092501">
      <w:pPr>
        <w:snapToGrid w:val="0"/>
        <w:spacing w:before="120" w:beforeLines="50" w:after="50"/>
        <w:rPr>
          <w:rFonts w:ascii="宋体" w:hAnsi="宋体" w:cs="宋体"/>
          <w:b/>
          <w:bCs/>
          <w:color w:val="auto"/>
          <w:sz w:val="24"/>
        </w:rPr>
      </w:pPr>
    </w:p>
    <w:p w14:paraId="4326EE0C">
      <w:pPr>
        <w:pStyle w:val="4"/>
        <w:keepNext w:val="0"/>
        <w:keepLines w:val="0"/>
        <w:pageBreakBefore/>
        <w:spacing w:line="415" w:lineRule="auto"/>
        <w:rPr>
          <w:rFonts w:ascii="宋体" w:hAnsi="宋体" w:eastAsia="宋体" w:cs="宋体"/>
          <w:b w:val="0"/>
          <w:bCs w:val="0"/>
          <w:color w:val="auto"/>
          <w:sz w:val="24"/>
          <w:szCs w:val="24"/>
          <w:highlight w:val="none"/>
        </w:rPr>
      </w:pPr>
      <w:r>
        <w:rPr>
          <w:rFonts w:hint="eastAsia" w:ascii="宋体" w:hAnsi="宋体" w:cs="宋体"/>
          <w:b/>
          <w:bCs/>
          <w:color w:val="auto"/>
          <w:sz w:val="24"/>
        </w:rPr>
        <w:t>附件</w:t>
      </w:r>
      <w:r>
        <w:rPr>
          <w:rFonts w:hint="eastAsia" w:ascii="宋体" w:hAnsi="宋体" w:cs="宋体"/>
          <w:b/>
          <w:bCs/>
          <w:color w:val="auto"/>
          <w:sz w:val="24"/>
          <w:lang w:val="en-US" w:eastAsia="zh-CN"/>
        </w:rPr>
        <w:t>十一</w:t>
      </w:r>
      <w:r>
        <w:rPr>
          <w:rFonts w:hint="eastAsia" w:ascii="宋体" w:hAnsi="宋体" w:cs="宋体"/>
          <w:b/>
          <w:bCs/>
          <w:color w:val="auto"/>
          <w:sz w:val="24"/>
        </w:rPr>
        <w:t>：</w:t>
      </w:r>
      <w:r>
        <w:rPr>
          <w:rFonts w:hint="eastAsia" w:ascii="宋体" w:hAnsi="宋体" w:eastAsia="宋体" w:cs="宋体"/>
          <w:b/>
          <w:bCs/>
          <w:color w:val="auto"/>
          <w:sz w:val="24"/>
          <w:szCs w:val="24"/>
          <w:highlight w:val="none"/>
        </w:rPr>
        <w:t>服务项目组成员及简介</w:t>
      </w:r>
    </w:p>
    <w:p w14:paraId="6E46D1C8">
      <w:pPr>
        <w:jc w:val="center"/>
        <w:rPr>
          <w:rFonts w:ascii="宋体" w:hAnsi="宋体"/>
          <w:b/>
          <w:color w:val="auto"/>
          <w:sz w:val="28"/>
          <w:highlight w:val="none"/>
        </w:rPr>
      </w:pPr>
      <w:r>
        <w:rPr>
          <w:rFonts w:hint="eastAsia" w:ascii="宋体" w:hAnsi="宋体"/>
          <w:b/>
          <w:color w:val="auto"/>
          <w:sz w:val="28"/>
          <w:highlight w:val="none"/>
        </w:rPr>
        <w:t>服务项目组成员及简介</w:t>
      </w:r>
    </w:p>
    <w:p w14:paraId="1AFD90B7">
      <w:pPr>
        <w:rPr>
          <w:rFonts w:ascii="宋体" w:hAnsi="宋体"/>
          <w:b/>
          <w:color w:val="auto"/>
          <w:sz w:val="24"/>
          <w:highlight w:val="none"/>
        </w:rPr>
      </w:pPr>
      <w:r>
        <w:rPr>
          <w:rFonts w:hint="eastAsia" w:ascii="宋体" w:hAnsi="宋体"/>
          <w:b/>
          <w:color w:val="auto"/>
          <w:sz w:val="24"/>
          <w:highlight w:val="none"/>
        </w:rPr>
        <w:t>项目名称：</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735"/>
        <w:gridCol w:w="608"/>
        <w:gridCol w:w="577"/>
        <w:gridCol w:w="965"/>
        <w:gridCol w:w="772"/>
        <w:gridCol w:w="1158"/>
        <w:gridCol w:w="1158"/>
        <w:gridCol w:w="1410"/>
      </w:tblGrid>
      <w:tr w14:paraId="434C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top w:val="single" w:color="auto" w:sz="12" w:space="0"/>
              <w:left w:val="single" w:color="auto" w:sz="12" w:space="0"/>
              <w:bottom w:val="single" w:color="auto" w:sz="12" w:space="0"/>
            </w:tcBorders>
            <w:vAlign w:val="center"/>
          </w:tcPr>
          <w:p w14:paraId="6D66BBDE">
            <w:pPr>
              <w:rPr>
                <w:rFonts w:ascii="宋体" w:hAnsi="宋体"/>
                <w:color w:val="auto"/>
                <w:sz w:val="24"/>
                <w:highlight w:val="none"/>
              </w:rPr>
            </w:pPr>
            <w:r>
              <w:rPr>
                <w:rFonts w:hint="eastAsia" w:ascii="宋体" w:hAnsi="宋体"/>
                <w:color w:val="auto"/>
                <w:sz w:val="24"/>
                <w:highlight w:val="none"/>
              </w:rPr>
              <w:t>姓  名</w:t>
            </w:r>
          </w:p>
        </w:tc>
        <w:tc>
          <w:tcPr>
            <w:tcW w:w="1735" w:type="dxa"/>
            <w:tcBorders>
              <w:top w:val="single" w:color="auto" w:sz="12" w:space="0"/>
              <w:bottom w:val="single" w:color="auto" w:sz="12" w:space="0"/>
            </w:tcBorders>
            <w:vAlign w:val="center"/>
          </w:tcPr>
          <w:p w14:paraId="6FF571E5">
            <w:pPr>
              <w:rPr>
                <w:rFonts w:ascii="宋体" w:hAnsi="宋体"/>
                <w:color w:val="auto"/>
                <w:sz w:val="24"/>
                <w:highlight w:val="none"/>
              </w:rPr>
            </w:pPr>
            <w:r>
              <w:rPr>
                <w:rFonts w:hint="eastAsia" w:ascii="宋体" w:hAnsi="宋体"/>
                <w:color w:val="auto"/>
                <w:sz w:val="24"/>
                <w:highlight w:val="none"/>
              </w:rPr>
              <w:t>本项目拟</w:t>
            </w:r>
          </w:p>
          <w:p w14:paraId="31081F2D">
            <w:pPr>
              <w:rPr>
                <w:rFonts w:ascii="宋体" w:hAnsi="宋体"/>
                <w:color w:val="auto"/>
                <w:sz w:val="24"/>
                <w:highlight w:val="none"/>
              </w:rPr>
            </w:pPr>
            <w:r>
              <w:rPr>
                <w:rFonts w:hint="eastAsia" w:ascii="宋体" w:hAnsi="宋体"/>
                <w:color w:val="auto"/>
                <w:sz w:val="24"/>
                <w:highlight w:val="none"/>
              </w:rPr>
              <w:t>任岗位</w:t>
            </w:r>
          </w:p>
        </w:tc>
        <w:tc>
          <w:tcPr>
            <w:tcW w:w="608" w:type="dxa"/>
            <w:tcBorders>
              <w:top w:val="single" w:color="auto" w:sz="12" w:space="0"/>
              <w:bottom w:val="single" w:color="auto" w:sz="12" w:space="0"/>
            </w:tcBorders>
            <w:vAlign w:val="center"/>
          </w:tcPr>
          <w:p w14:paraId="2DAFDEF8">
            <w:pPr>
              <w:rPr>
                <w:rFonts w:ascii="宋体" w:hAnsi="宋体"/>
                <w:color w:val="auto"/>
                <w:sz w:val="24"/>
                <w:highlight w:val="none"/>
              </w:rPr>
            </w:pPr>
            <w:r>
              <w:rPr>
                <w:rFonts w:hint="eastAsia" w:ascii="宋体" w:hAnsi="宋体"/>
                <w:color w:val="auto"/>
                <w:sz w:val="24"/>
                <w:highlight w:val="none"/>
              </w:rPr>
              <w:t>年龄</w:t>
            </w:r>
          </w:p>
        </w:tc>
        <w:tc>
          <w:tcPr>
            <w:tcW w:w="577" w:type="dxa"/>
            <w:tcBorders>
              <w:top w:val="single" w:color="auto" w:sz="12" w:space="0"/>
              <w:bottom w:val="single" w:color="auto" w:sz="12" w:space="0"/>
            </w:tcBorders>
            <w:vAlign w:val="center"/>
          </w:tcPr>
          <w:p w14:paraId="5ADCD3B6">
            <w:pPr>
              <w:rPr>
                <w:rFonts w:ascii="宋体" w:hAnsi="宋体"/>
                <w:color w:val="auto"/>
                <w:sz w:val="24"/>
                <w:highlight w:val="none"/>
              </w:rPr>
            </w:pPr>
            <w:r>
              <w:rPr>
                <w:rFonts w:hint="eastAsia" w:ascii="宋体" w:hAnsi="宋体"/>
                <w:color w:val="auto"/>
                <w:sz w:val="24"/>
                <w:highlight w:val="none"/>
              </w:rPr>
              <w:t>性别</w:t>
            </w:r>
          </w:p>
        </w:tc>
        <w:tc>
          <w:tcPr>
            <w:tcW w:w="965" w:type="dxa"/>
            <w:tcBorders>
              <w:top w:val="single" w:color="auto" w:sz="12" w:space="0"/>
              <w:bottom w:val="single" w:color="auto" w:sz="12" w:space="0"/>
            </w:tcBorders>
            <w:vAlign w:val="center"/>
          </w:tcPr>
          <w:p w14:paraId="24CA1519">
            <w:pPr>
              <w:rPr>
                <w:rFonts w:ascii="宋体" w:hAnsi="宋体"/>
                <w:color w:val="auto"/>
                <w:sz w:val="24"/>
                <w:highlight w:val="none"/>
              </w:rPr>
            </w:pPr>
            <w:r>
              <w:rPr>
                <w:rFonts w:hint="eastAsia" w:ascii="宋体" w:hAnsi="宋体"/>
                <w:color w:val="auto"/>
                <w:sz w:val="24"/>
                <w:highlight w:val="none"/>
              </w:rPr>
              <w:t>专 业</w:t>
            </w:r>
          </w:p>
        </w:tc>
        <w:tc>
          <w:tcPr>
            <w:tcW w:w="772" w:type="dxa"/>
            <w:tcBorders>
              <w:top w:val="single" w:color="auto" w:sz="12" w:space="0"/>
              <w:bottom w:val="single" w:color="auto" w:sz="12" w:space="0"/>
            </w:tcBorders>
            <w:vAlign w:val="center"/>
          </w:tcPr>
          <w:p w14:paraId="2D8393C4">
            <w:pPr>
              <w:rPr>
                <w:rFonts w:ascii="宋体" w:hAnsi="宋体"/>
                <w:color w:val="auto"/>
                <w:sz w:val="24"/>
                <w:highlight w:val="none"/>
              </w:rPr>
            </w:pPr>
            <w:r>
              <w:rPr>
                <w:rFonts w:hint="eastAsia" w:ascii="宋体" w:hAnsi="宋体"/>
                <w:color w:val="auto"/>
                <w:sz w:val="24"/>
                <w:highlight w:val="none"/>
              </w:rPr>
              <w:t>专业年限</w:t>
            </w:r>
          </w:p>
        </w:tc>
        <w:tc>
          <w:tcPr>
            <w:tcW w:w="1158" w:type="dxa"/>
            <w:tcBorders>
              <w:top w:val="single" w:color="auto" w:sz="12" w:space="0"/>
              <w:bottom w:val="single" w:color="auto" w:sz="12" w:space="0"/>
            </w:tcBorders>
            <w:vAlign w:val="center"/>
          </w:tcPr>
          <w:p w14:paraId="6AABB686">
            <w:pPr>
              <w:rPr>
                <w:rFonts w:ascii="宋体" w:hAnsi="宋体"/>
                <w:color w:val="auto"/>
                <w:sz w:val="24"/>
                <w:highlight w:val="none"/>
              </w:rPr>
            </w:pPr>
            <w:r>
              <w:rPr>
                <w:rFonts w:hint="eastAsia" w:ascii="宋体" w:hAnsi="宋体"/>
                <w:color w:val="auto"/>
                <w:sz w:val="24"/>
                <w:highlight w:val="none"/>
              </w:rPr>
              <w:t>职称</w:t>
            </w:r>
          </w:p>
        </w:tc>
        <w:tc>
          <w:tcPr>
            <w:tcW w:w="1158" w:type="dxa"/>
            <w:tcBorders>
              <w:top w:val="single" w:color="auto" w:sz="12" w:space="0"/>
              <w:bottom w:val="single" w:color="auto" w:sz="12" w:space="0"/>
              <w:right w:val="single" w:color="auto" w:sz="4" w:space="0"/>
            </w:tcBorders>
            <w:vAlign w:val="center"/>
          </w:tcPr>
          <w:p w14:paraId="2AD72597">
            <w:pPr>
              <w:rPr>
                <w:rFonts w:ascii="宋体" w:hAnsi="宋体"/>
                <w:color w:val="auto"/>
                <w:sz w:val="24"/>
                <w:highlight w:val="none"/>
              </w:rPr>
            </w:pPr>
            <w:r>
              <w:rPr>
                <w:rFonts w:hint="eastAsia" w:ascii="宋体" w:hAnsi="宋体"/>
                <w:color w:val="auto"/>
                <w:sz w:val="24"/>
                <w:highlight w:val="none"/>
              </w:rPr>
              <w:t>安排上岗起止时间</w:t>
            </w:r>
          </w:p>
        </w:tc>
        <w:tc>
          <w:tcPr>
            <w:tcW w:w="1410" w:type="dxa"/>
            <w:tcBorders>
              <w:top w:val="single" w:color="auto" w:sz="12" w:space="0"/>
              <w:left w:val="single" w:color="auto" w:sz="4" w:space="0"/>
              <w:bottom w:val="single" w:color="auto" w:sz="12" w:space="0"/>
              <w:right w:val="single" w:color="auto" w:sz="12" w:space="0"/>
            </w:tcBorders>
            <w:vAlign w:val="center"/>
          </w:tcPr>
          <w:p w14:paraId="216E7EF7">
            <w:pPr>
              <w:rPr>
                <w:rFonts w:ascii="宋体" w:hAnsi="宋体"/>
                <w:color w:val="auto"/>
                <w:sz w:val="24"/>
                <w:highlight w:val="none"/>
              </w:rPr>
            </w:pPr>
            <w:r>
              <w:rPr>
                <w:rFonts w:hint="eastAsia" w:ascii="宋体" w:hAnsi="宋体"/>
                <w:color w:val="auto"/>
                <w:sz w:val="24"/>
                <w:highlight w:val="none"/>
              </w:rPr>
              <w:t>承诺到位率</w:t>
            </w:r>
          </w:p>
        </w:tc>
      </w:tr>
      <w:tr w14:paraId="2BC5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top w:val="single" w:color="auto" w:sz="12" w:space="0"/>
              <w:left w:val="single" w:color="auto" w:sz="12" w:space="0"/>
            </w:tcBorders>
            <w:vAlign w:val="center"/>
          </w:tcPr>
          <w:p w14:paraId="04B52406">
            <w:pPr>
              <w:rPr>
                <w:rFonts w:ascii="宋体" w:hAnsi="宋体"/>
                <w:color w:val="auto"/>
                <w:sz w:val="24"/>
                <w:highlight w:val="none"/>
              </w:rPr>
            </w:pPr>
          </w:p>
        </w:tc>
        <w:tc>
          <w:tcPr>
            <w:tcW w:w="1735" w:type="dxa"/>
            <w:tcBorders>
              <w:top w:val="single" w:color="auto" w:sz="12" w:space="0"/>
            </w:tcBorders>
            <w:vAlign w:val="center"/>
          </w:tcPr>
          <w:p w14:paraId="6B334C05">
            <w:pPr>
              <w:rPr>
                <w:rFonts w:ascii="宋体" w:hAnsi="宋体"/>
                <w:color w:val="auto"/>
                <w:sz w:val="24"/>
                <w:highlight w:val="none"/>
              </w:rPr>
            </w:pPr>
          </w:p>
        </w:tc>
        <w:tc>
          <w:tcPr>
            <w:tcW w:w="608" w:type="dxa"/>
            <w:tcBorders>
              <w:top w:val="single" w:color="auto" w:sz="12" w:space="0"/>
            </w:tcBorders>
            <w:vAlign w:val="center"/>
          </w:tcPr>
          <w:p w14:paraId="3EEA15BA">
            <w:pPr>
              <w:rPr>
                <w:rFonts w:ascii="宋体" w:hAnsi="宋体"/>
                <w:color w:val="auto"/>
                <w:sz w:val="24"/>
                <w:highlight w:val="none"/>
              </w:rPr>
            </w:pPr>
          </w:p>
        </w:tc>
        <w:tc>
          <w:tcPr>
            <w:tcW w:w="577" w:type="dxa"/>
            <w:tcBorders>
              <w:top w:val="single" w:color="auto" w:sz="12" w:space="0"/>
            </w:tcBorders>
            <w:vAlign w:val="center"/>
          </w:tcPr>
          <w:p w14:paraId="4C84D3C0">
            <w:pPr>
              <w:rPr>
                <w:rFonts w:ascii="宋体" w:hAnsi="宋体"/>
                <w:color w:val="auto"/>
                <w:sz w:val="24"/>
                <w:highlight w:val="none"/>
              </w:rPr>
            </w:pPr>
          </w:p>
        </w:tc>
        <w:tc>
          <w:tcPr>
            <w:tcW w:w="965" w:type="dxa"/>
            <w:tcBorders>
              <w:top w:val="single" w:color="auto" w:sz="12" w:space="0"/>
            </w:tcBorders>
            <w:vAlign w:val="center"/>
          </w:tcPr>
          <w:p w14:paraId="74E44906">
            <w:pPr>
              <w:rPr>
                <w:rFonts w:ascii="宋体" w:hAnsi="宋体"/>
                <w:color w:val="auto"/>
                <w:sz w:val="24"/>
                <w:highlight w:val="none"/>
              </w:rPr>
            </w:pPr>
          </w:p>
        </w:tc>
        <w:tc>
          <w:tcPr>
            <w:tcW w:w="772" w:type="dxa"/>
            <w:tcBorders>
              <w:top w:val="single" w:color="auto" w:sz="12" w:space="0"/>
            </w:tcBorders>
            <w:vAlign w:val="center"/>
          </w:tcPr>
          <w:p w14:paraId="70F5F5F2">
            <w:pPr>
              <w:rPr>
                <w:rFonts w:ascii="宋体" w:hAnsi="宋体"/>
                <w:color w:val="auto"/>
                <w:sz w:val="24"/>
                <w:highlight w:val="none"/>
              </w:rPr>
            </w:pPr>
          </w:p>
        </w:tc>
        <w:tc>
          <w:tcPr>
            <w:tcW w:w="1158" w:type="dxa"/>
            <w:tcBorders>
              <w:top w:val="single" w:color="auto" w:sz="12" w:space="0"/>
            </w:tcBorders>
            <w:vAlign w:val="center"/>
          </w:tcPr>
          <w:p w14:paraId="2E15BF69">
            <w:pPr>
              <w:rPr>
                <w:rFonts w:ascii="宋体" w:hAnsi="宋体"/>
                <w:color w:val="auto"/>
                <w:sz w:val="24"/>
                <w:highlight w:val="none"/>
              </w:rPr>
            </w:pPr>
          </w:p>
        </w:tc>
        <w:tc>
          <w:tcPr>
            <w:tcW w:w="1158" w:type="dxa"/>
            <w:tcBorders>
              <w:top w:val="single" w:color="auto" w:sz="12" w:space="0"/>
              <w:right w:val="single" w:color="auto" w:sz="4" w:space="0"/>
            </w:tcBorders>
            <w:vAlign w:val="center"/>
          </w:tcPr>
          <w:p w14:paraId="3EC6CA4D">
            <w:pPr>
              <w:rPr>
                <w:rFonts w:ascii="宋体" w:hAnsi="宋体"/>
                <w:color w:val="auto"/>
                <w:sz w:val="24"/>
                <w:highlight w:val="none"/>
              </w:rPr>
            </w:pPr>
          </w:p>
        </w:tc>
        <w:tc>
          <w:tcPr>
            <w:tcW w:w="1410" w:type="dxa"/>
            <w:tcBorders>
              <w:top w:val="single" w:color="auto" w:sz="12" w:space="0"/>
              <w:left w:val="single" w:color="auto" w:sz="4" w:space="0"/>
              <w:right w:val="single" w:color="auto" w:sz="12" w:space="0"/>
            </w:tcBorders>
            <w:vAlign w:val="center"/>
          </w:tcPr>
          <w:p w14:paraId="6430FCC6">
            <w:pPr>
              <w:rPr>
                <w:rFonts w:ascii="宋体" w:hAnsi="宋体"/>
                <w:color w:val="auto"/>
                <w:sz w:val="24"/>
                <w:highlight w:val="none"/>
              </w:rPr>
            </w:pPr>
          </w:p>
        </w:tc>
      </w:tr>
      <w:tr w14:paraId="3B8BB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vAlign w:val="center"/>
          </w:tcPr>
          <w:p w14:paraId="7E547FA8">
            <w:pPr>
              <w:rPr>
                <w:rFonts w:ascii="宋体" w:hAnsi="宋体"/>
                <w:color w:val="auto"/>
                <w:sz w:val="24"/>
                <w:highlight w:val="none"/>
              </w:rPr>
            </w:pPr>
          </w:p>
        </w:tc>
        <w:tc>
          <w:tcPr>
            <w:tcW w:w="1735" w:type="dxa"/>
            <w:vAlign w:val="center"/>
          </w:tcPr>
          <w:p w14:paraId="1525AA2F">
            <w:pPr>
              <w:rPr>
                <w:rFonts w:ascii="宋体" w:hAnsi="宋体"/>
                <w:color w:val="auto"/>
                <w:sz w:val="24"/>
                <w:highlight w:val="none"/>
              </w:rPr>
            </w:pPr>
          </w:p>
        </w:tc>
        <w:tc>
          <w:tcPr>
            <w:tcW w:w="608" w:type="dxa"/>
            <w:vAlign w:val="center"/>
          </w:tcPr>
          <w:p w14:paraId="564DE971">
            <w:pPr>
              <w:rPr>
                <w:rFonts w:ascii="宋体" w:hAnsi="宋体"/>
                <w:color w:val="auto"/>
                <w:sz w:val="24"/>
                <w:highlight w:val="none"/>
              </w:rPr>
            </w:pPr>
          </w:p>
        </w:tc>
        <w:tc>
          <w:tcPr>
            <w:tcW w:w="577" w:type="dxa"/>
            <w:vAlign w:val="center"/>
          </w:tcPr>
          <w:p w14:paraId="5EEAC2C4">
            <w:pPr>
              <w:rPr>
                <w:rFonts w:ascii="宋体" w:hAnsi="宋体"/>
                <w:color w:val="auto"/>
                <w:sz w:val="24"/>
                <w:highlight w:val="none"/>
              </w:rPr>
            </w:pPr>
          </w:p>
        </w:tc>
        <w:tc>
          <w:tcPr>
            <w:tcW w:w="965" w:type="dxa"/>
            <w:vAlign w:val="center"/>
          </w:tcPr>
          <w:p w14:paraId="4F0A64DD">
            <w:pPr>
              <w:rPr>
                <w:rFonts w:ascii="宋体" w:hAnsi="宋体"/>
                <w:color w:val="auto"/>
                <w:sz w:val="24"/>
                <w:highlight w:val="none"/>
              </w:rPr>
            </w:pPr>
          </w:p>
        </w:tc>
        <w:tc>
          <w:tcPr>
            <w:tcW w:w="772" w:type="dxa"/>
            <w:vAlign w:val="center"/>
          </w:tcPr>
          <w:p w14:paraId="26EE7E6A">
            <w:pPr>
              <w:rPr>
                <w:rFonts w:ascii="宋体" w:hAnsi="宋体"/>
                <w:color w:val="auto"/>
                <w:sz w:val="24"/>
                <w:highlight w:val="none"/>
              </w:rPr>
            </w:pPr>
          </w:p>
        </w:tc>
        <w:tc>
          <w:tcPr>
            <w:tcW w:w="1158" w:type="dxa"/>
            <w:vAlign w:val="center"/>
          </w:tcPr>
          <w:p w14:paraId="0E69FC18">
            <w:pPr>
              <w:rPr>
                <w:rFonts w:ascii="宋体" w:hAnsi="宋体"/>
                <w:color w:val="auto"/>
                <w:sz w:val="24"/>
                <w:highlight w:val="none"/>
              </w:rPr>
            </w:pPr>
          </w:p>
        </w:tc>
        <w:tc>
          <w:tcPr>
            <w:tcW w:w="1158" w:type="dxa"/>
            <w:tcBorders>
              <w:right w:val="single" w:color="auto" w:sz="4" w:space="0"/>
            </w:tcBorders>
            <w:vAlign w:val="center"/>
          </w:tcPr>
          <w:p w14:paraId="0DE97E6B">
            <w:pPr>
              <w:rPr>
                <w:rFonts w:ascii="宋体" w:hAnsi="宋体"/>
                <w:color w:val="auto"/>
                <w:sz w:val="24"/>
                <w:highlight w:val="none"/>
              </w:rPr>
            </w:pPr>
          </w:p>
        </w:tc>
        <w:tc>
          <w:tcPr>
            <w:tcW w:w="1410" w:type="dxa"/>
            <w:tcBorders>
              <w:left w:val="single" w:color="auto" w:sz="4" w:space="0"/>
              <w:right w:val="single" w:color="auto" w:sz="12" w:space="0"/>
            </w:tcBorders>
            <w:vAlign w:val="center"/>
          </w:tcPr>
          <w:p w14:paraId="0AC818D8">
            <w:pPr>
              <w:rPr>
                <w:rFonts w:ascii="宋体" w:hAnsi="宋体"/>
                <w:color w:val="auto"/>
                <w:sz w:val="24"/>
                <w:highlight w:val="none"/>
              </w:rPr>
            </w:pPr>
          </w:p>
        </w:tc>
      </w:tr>
      <w:tr w14:paraId="0E91C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vAlign w:val="center"/>
          </w:tcPr>
          <w:p w14:paraId="15E478C6">
            <w:pPr>
              <w:rPr>
                <w:rFonts w:ascii="宋体" w:hAnsi="宋体"/>
                <w:color w:val="auto"/>
                <w:sz w:val="24"/>
                <w:highlight w:val="none"/>
              </w:rPr>
            </w:pPr>
          </w:p>
        </w:tc>
        <w:tc>
          <w:tcPr>
            <w:tcW w:w="1735" w:type="dxa"/>
            <w:vAlign w:val="center"/>
          </w:tcPr>
          <w:p w14:paraId="34C43D4A">
            <w:pPr>
              <w:rPr>
                <w:rFonts w:ascii="宋体" w:hAnsi="宋体"/>
                <w:color w:val="auto"/>
                <w:sz w:val="24"/>
                <w:highlight w:val="none"/>
              </w:rPr>
            </w:pPr>
          </w:p>
        </w:tc>
        <w:tc>
          <w:tcPr>
            <w:tcW w:w="608" w:type="dxa"/>
            <w:vAlign w:val="center"/>
          </w:tcPr>
          <w:p w14:paraId="716F9319">
            <w:pPr>
              <w:rPr>
                <w:rFonts w:ascii="宋体" w:hAnsi="宋体"/>
                <w:color w:val="auto"/>
                <w:sz w:val="24"/>
                <w:highlight w:val="none"/>
              </w:rPr>
            </w:pPr>
          </w:p>
        </w:tc>
        <w:tc>
          <w:tcPr>
            <w:tcW w:w="577" w:type="dxa"/>
            <w:vAlign w:val="center"/>
          </w:tcPr>
          <w:p w14:paraId="6AFC9B93">
            <w:pPr>
              <w:rPr>
                <w:rFonts w:ascii="宋体" w:hAnsi="宋体"/>
                <w:color w:val="auto"/>
                <w:sz w:val="24"/>
                <w:highlight w:val="none"/>
              </w:rPr>
            </w:pPr>
          </w:p>
        </w:tc>
        <w:tc>
          <w:tcPr>
            <w:tcW w:w="965" w:type="dxa"/>
            <w:vAlign w:val="center"/>
          </w:tcPr>
          <w:p w14:paraId="27B9DD79">
            <w:pPr>
              <w:rPr>
                <w:rFonts w:ascii="宋体" w:hAnsi="宋体"/>
                <w:color w:val="auto"/>
                <w:sz w:val="24"/>
                <w:highlight w:val="none"/>
              </w:rPr>
            </w:pPr>
          </w:p>
        </w:tc>
        <w:tc>
          <w:tcPr>
            <w:tcW w:w="772" w:type="dxa"/>
            <w:vAlign w:val="center"/>
          </w:tcPr>
          <w:p w14:paraId="6BDF256B">
            <w:pPr>
              <w:rPr>
                <w:rFonts w:ascii="宋体" w:hAnsi="宋体"/>
                <w:color w:val="auto"/>
                <w:sz w:val="24"/>
                <w:highlight w:val="none"/>
              </w:rPr>
            </w:pPr>
          </w:p>
        </w:tc>
        <w:tc>
          <w:tcPr>
            <w:tcW w:w="1158" w:type="dxa"/>
            <w:vAlign w:val="center"/>
          </w:tcPr>
          <w:p w14:paraId="36459F57">
            <w:pPr>
              <w:rPr>
                <w:rFonts w:ascii="宋体" w:hAnsi="宋体"/>
                <w:color w:val="auto"/>
                <w:sz w:val="24"/>
                <w:highlight w:val="none"/>
              </w:rPr>
            </w:pPr>
          </w:p>
        </w:tc>
        <w:tc>
          <w:tcPr>
            <w:tcW w:w="1158" w:type="dxa"/>
            <w:tcBorders>
              <w:right w:val="single" w:color="auto" w:sz="4" w:space="0"/>
            </w:tcBorders>
            <w:vAlign w:val="center"/>
          </w:tcPr>
          <w:p w14:paraId="4524CC23">
            <w:pPr>
              <w:rPr>
                <w:rFonts w:ascii="宋体" w:hAnsi="宋体"/>
                <w:color w:val="auto"/>
                <w:sz w:val="24"/>
                <w:highlight w:val="none"/>
              </w:rPr>
            </w:pPr>
          </w:p>
        </w:tc>
        <w:tc>
          <w:tcPr>
            <w:tcW w:w="1410" w:type="dxa"/>
            <w:tcBorders>
              <w:left w:val="single" w:color="auto" w:sz="4" w:space="0"/>
              <w:right w:val="single" w:color="auto" w:sz="12" w:space="0"/>
            </w:tcBorders>
            <w:vAlign w:val="center"/>
          </w:tcPr>
          <w:p w14:paraId="1B38F080">
            <w:pPr>
              <w:rPr>
                <w:rFonts w:ascii="宋体" w:hAnsi="宋体"/>
                <w:color w:val="auto"/>
                <w:sz w:val="24"/>
                <w:highlight w:val="none"/>
              </w:rPr>
            </w:pPr>
          </w:p>
        </w:tc>
      </w:tr>
      <w:tr w14:paraId="10252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vAlign w:val="center"/>
          </w:tcPr>
          <w:p w14:paraId="78D2D053">
            <w:pPr>
              <w:rPr>
                <w:rFonts w:ascii="宋体" w:hAnsi="宋体"/>
                <w:color w:val="auto"/>
                <w:sz w:val="24"/>
                <w:highlight w:val="none"/>
              </w:rPr>
            </w:pPr>
          </w:p>
        </w:tc>
        <w:tc>
          <w:tcPr>
            <w:tcW w:w="1735" w:type="dxa"/>
            <w:vAlign w:val="center"/>
          </w:tcPr>
          <w:p w14:paraId="6EA0390E">
            <w:pPr>
              <w:rPr>
                <w:rFonts w:ascii="宋体" w:hAnsi="宋体"/>
                <w:color w:val="auto"/>
                <w:sz w:val="24"/>
                <w:highlight w:val="none"/>
              </w:rPr>
            </w:pPr>
          </w:p>
        </w:tc>
        <w:tc>
          <w:tcPr>
            <w:tcW w:w="608" w:type="dxa"/>
            <w:vAlign w:val="center"/>
          </w:tcPr>
          <w:p w14:paraId="0B7B70E6">
            <w:pPr>
              <w:rPr>
                <w:rFonts w:ascii="宋体" w:hAnsi="宋体"/>
                <w:color w:val="auto"/>
                <w:sz w:val="24"/>
                <w:highlight w:val="none"/>
              </w:rPr>
            </w:pPr>
          </w:p>
        </w:tc>
        <w:tc>
          <w:tcPr>
            <w:tcW w:w="577" w:type="dxa"/>
            <w:vAlign w:val="center"/>
          </w:tcPr>
          <w:p w14:paraId="7CFBBD07">
            <w:pPr>
              <w:rPr>
                <w:rFonts w:ascii="宋体" w:hAnsi="宋体"/>
                <w:color w:val="auto"/>
                <w:sz w:val="24"/>
                <w:highlight w:val="none"/>
              </w:rPr>
            </w:pPr>
          </w:p>
        </w:tc>
        <w:tc>
          <w:tcPr>
            <w:tcW w:w="965" w:type="dxa"/>
            <w:vAlign w:val="center"/>
          </w:tcPr>
          <w:p w14:paraId="2480C793">
            <w:pPr>
              <w:rPr>
                <w:rFonts w:ascii="宋体" w:hAnsi="宋体"/>
                <w:color w:val="auto"/>
                <w:sz w:val="24"/>
                <w:highlight w:val="none"/>
              </w:rPr>
            </w:pPr>
          </w:p>
        </w:tc>
        <w:tc>
          <w:tcPr>
            <w:tcW w:w="772" w:type="dxa"/>
            <w:vAlign w:val="center"/>
          </w:tcPr>
          <w:p w14:paraId="1C5AD5AF">
            <w:pPr>
              <w:rPr>
                <w:rFonts w:ascii="宋体" w:hAnsi="宋体"/>
                <w:color w:val="auto"/>
                <w:sz w:val="24"/>
                <w:highlight w:val="none"/>
              </w:rPr>
            </w:pPr>
          </w:p>
        </w:tc>
        <w:tc>
          <w:tcPr>
            <w:tcW w:w="1158" w:type="dxa"/>
            <w:vAlign w:val="center"/>
          </w:tcPr>
          <w:p w14:paraId="33FE7D3A">
            <w:pPr>
              <w:rPr>
                <w:rFonts w:ascii="宋体" w:hAnsi="宋体"/>
                <w:color w:val="auto"/>
                <w:sz w:val="24"/>
                <w:highlight w:val="none"/>
              </w:rPr>
            </w:pPr>
          </w:p>
        </w:tc>
        <w:tc>
          <w:tcPr>
            <w:tcW w:w="1158" w:type="dxa"/>
            <w:tcBorders>
              <w:right w:val="single" w:color="auto" w:sz="4" w:space="0"/>
            </w:tcBorders>
            <w:vAlign w:val="center"/>
          </w:tcPr>
          <w:p w14:paraId="111A0A5C">
            <w:pPr>
              <w:rPr>
                <w:rFonts w:ascii="宋体" w:hAnsi="宋体"/>
                <w:color w:val="auto"/>
                <w:sz w:val="24"/>
                <w:highlight w:val="none"/>
              </w:rPr>
            </w:pPr>
          </w:p>
        </w:tc>
        <w:tc>
          <w:tcPr>
            <w:tcW w:w="1410" w:type="dxa"/>
            <w:tcBorders>
              <w:left w:val="single" w:color="auto" w:sz="4" w:space="0"/>
              <w:right w:val="single" w:color="auto" w:sz="12" w:space="0"/>
            </w:tcBorders>
            <w:vAlign w:val="center"/>
          </w:tcPr>
          <w:p w14:paraId="3529713A">
            <w:pPr>
              <w:rPr>
                <w:rFonts w:ascii="宋体" w:hAnsi="宋体"/>
                <w:color w:val="auto"/>
                <w:sz w:val="24"/>
                <w:highlight w:val="none"/>
              </w:rPr>
            </w:pPr>
          </w:p>
        </w:tc>
      </w:tr>
      <w:tr w14:paraId="131E5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vAlign w:val="center"/>
          </w:tcPr>
          <w:p w14:paraId="5814F35C">
            <w:pPr>
              <w:rPr>
                <w:rFonts w:ascii="宋体" w:hAnsi="宋体"/>
                <w:color w:val="auto"/>
                <w:sz w:val="24"/>
                <w:highlight w:val="none"/>
              </w:rPr>
            </w:pPr>
          </w:p>
        </w:tc>
        <w:tc>
          <w:tcPr>
            <w:tcW w:w="1735" w:type="dxa"/>
            <w:vAlign w:val="center"/>
          </w:tcPr>
          <w:p w14:paraId="5305818D">
            <w:pPr>
              <w:rPr>
                <w:rFonts w:ascii="宋体" w:hAnsi="宋体"/>
                <w:color w:val="auto"/>
                <w:sz w:val="24"/>
                <w:highlight w:val="none"/>
              </w:rPr>
            </w:pPr>
          </w:p>
        </w:tc>
        <w:tc>
          <w:tcPr>
            <w:tcW w:w="608" w:type="dxa"/>
            <w:vAlign w:val="center"/>
          </w:tcPr>
          <w:p w14:paraId="2E07AF89">
            <w:pPr>
              <w:rPr>
                <w:rFonts w:ascii="宋体" w:hAnsi="宋体"/>
                <w:color w:val="auto"/>
                <w:sz w:val="24"/>
                <w:highlight w:val="none"/>
              </w:rPr>
            </w:pPr>
          </w:p>
        </w:tc>
        <w:tc>
          <w:tcPr>
            <w:tcW w:w="577" w:type="dxa"/>
            <w:vAlign w:val="center"/>
          </w:tcPr>
          <w:p w14:paraId="0DD5C63A">
            <w:pPr>
              <w:rPr>
                <w:rFonts w:ascii="宋体" w:hAnsi="宋体"/>
                <w:color w:val="auto"/>
                <w:sz w:val="24"/>
                <w:highlight w:val="none"/>
              </w:rPr>
            </w:pPr>
          </w:p>
        </w:tc>
        <w:tc>
          <w:tcPr>
            <w:tcW w:w="965" w:type="dxa"/>
            <w:vAlign w:val="center"/>
          </w:tcPr>
          <w:p w14:paraId="6B12CCEC">
            <w:pPr>
              <w:rPr>
                <w:rFonts w:ascii="宋体" w:hAnsi="宋体"/>
                <w:color w:val="auto"/>
                <w:sz w:val="24"/>
                <w:highlight w:val="none"/>
              </w:rPr>
            </w:pPr>
          </w:p>
        </w:tc>
        <w:tc>
          <w:tcPr>
            <w:tcW w:w="772" w:type="dxa"/>
            <w:vAlign w:val="center"/>
          </w:tcPr>
          <w:p w14:paraId="0FBC128B">
            <w:pPr>
              <w:rPr>
                <w:rFonts w:ascii="宋体" w:hAnsi="宋体"/>
                <w:color w:val="auto"/>
                <w:sz w:val="24"/>
                <w:highlight w:val="none"/>
              </w:rPr>
            </w:pPr>
          </w:p>
        </w:tc>
        <w:tc>
          <w:tcPr>
            <w:tcW w:w="1158" w:type="dxa"/>
            <w:vAlign w:val="center"/>
          </w:tcPr>
          <w:p w14:paraId="05EFBD0C">
            <w:pPr>
              <w:rPr>
                <w:rFonts w:ascii="宋体" w:hAnsi="宋体"/>
                <w:color w:val="auto"/>
                <w:sz w:val="24"/>
                <w:highlight w:val="none"/>
              </w:rPr>
            </w:pPr>
          </w:p>
        </w:tc>
        <w:tc>
          <w:tcPr>
            <w:tcW w:w="1158" w:type="dxa"/>
            <w:tcBorders>
              <w:right w:val="single" w:color="auto" w:sz="4" w:space="0"/>
            </w:tcBorders>
            <w:vAlign w:val="center"/>
          </w:tcPr>
          <w:p w14:paraId="3B4FA269">
            <w:pPr>
              <w:rPr>
                <w:rFonts w:ascii="宋体" w:hAnsi="宋体"/>
                <w:color w:val="auto"/>
                <w:sz w:val="24"/>
                <w:highlight w:val="none"/>
              </w:rPr>
            </w:pPr>
          </w:p>
        </w:tc>
        <w:tc>
          <w:tcPr>
            <w:tcW w:w="1410" w:type="dxa"/>
            <w:tcBorders>
              <w:left w:val="single" w:color="auto" w:sz="4" w:space="0"/>
              <w:right w:val="single" w:color="auto" w:sz="12" w:space="0"/>
            </w:tcBorders>
            <w:vAlign w:val="center"/>
          </w:tcPr>
          <w:p w14:paraId="17FE0003">
            <w:pPr>
              <w:rPr>
                <w:rFonts w:ascii="宋体" w:hAnsi="宋体"/>
                <w:color w:val="auto"/>
                <w:sz w:val="24"/>
                <w:highlight w:val="none"/>
              </w:rPr>
            </w:pPr>
          </w:p>
        </w:tc>
      </w:tr>
      <w:tr w14:paraId="3C57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vAlign w:val="center"/>
          </w:tcPr>
          <w:p w14:paraId="40C0544D">
            <w:pPr>
              <w:rPr>
                <w:rFonts w:ascii="宋体" w:hAnsi="宋体"/>
                <w:color w:val="auto"/>
                <w:sz w:val="24"/>
                <w:highlight w:val="none"/>
              </w:rPr>
            </w:pPr>
          </w:p>
        </w:tc>
        <w:tc>
          <w:tcPr>
            <w:tcW w:w="1735" w:type="dxa"/>
            <w:vAlign w:val="center"/>
          </w:tcPr>
          <w:p w14:paraId="1B114E04">
            <w:pPr>
              <w:rPr>
                <w:rFonts w:ascii="宋体" w:hAnsi="宋体"/>
                <w:color w:val="auto"/>
                <w:sz w:val="24"/>
                <w:highlight w:val="none"/>
              </w:rPr>
            </w:pPr>
          </w:p>
        </w:tc>
        <w:tc>
          <w:tcPr>
            <w:tcW w:w="608" w:type="dxa"/>
            <w:vAlign w:val="center"/>
          </w:tcPr>
          <w:p w14:paraId="40A31262">
            <w:pPr>
              <w:rPr>
                <w:rFonts w:ascii="宋体" w:hAnsi="宋体"/>
                <w:color w:val="auto"/>
                <w:sz w:val="24"/>
                <w:highlight w:val="none"/>
              </w:rPr>
            </w:pPr>
          </w:p>
        </w:tc>
        <w:tc>
          <w:tcPr>
            <w:tcW w:w="577" w:type="dxa"/>
            <w:vAlign w:val="center"/>
          </w:tcPr>
          <w:p w14:paraId="782C931F">
            <w:pPr>
              <w:rPr>
                <w:rFonts w:ascii="宋体" w:hAnsi="宋体"/>
                <w:color w:val="auto"/>
                <w:sz w:val="24"/>
                <w:highlight w:val="none"/>
              </w:rPr>
            </w:pPr>
          </w:p>
        </w:tc>
        <w:tc>
          <w:tcPr>
            <w:tcW w:w="965" w:type="dxa"/>
            <w:vAlign w:val="center"/>
          </w:tcPr>
          <w:p w14:paraId="1F42B8C7">
            <w:pPr>
              <w:rPr>
                <w:rFonts w:ascii="宋体" w:hAnsi="宋体"/>
                <w:color w:val="auto"/>
                <w:sz w:val="24"/>
                <w:highlight w:val="none"/>
              </w:rPr>
            </w:pPr>
          </w:p>
        </w:tc>
        <w:tc>
          <w:tcPr>
            <w:tcW w:w="772" w:type="dxa"/>
            <w:vAlign w:val="center"/>
          </w:tcPr>
          <w:p w14:paraId="197187F6">
            <w:pPr>
              <w:rPr>
                <w:rFonts w:ascii="宋体" w:hAnsi="宋体"/>
                <w:color w:val="auto"/>
                <w:sz w:val="24"/>
                <w:highlight w:val="none"/>
              </w:rPr>
            </w:pPr>
          </w:p>
        </w:tc>
        <w:tc>
          <w:tcPr>
            <w:tcW w:w="1158" w:type="dxa"/>
            <w:vAlign w:val="center"/>
          </w:tcPr>
          <w:p w14:paraId="07C3714C">
            <w:pPr>
              <w:rPr>
                <w:rFonts w:ascii="宋体" w:hAnsi="宋体"/>
                <w:color w:val="auto"/>
                <w:sz w:val="24"/>
                <w:highlight w:val="none"/>
              </w:rPr>
            </w:pPr>
          </w:p>
        </w:tc>
        <w:tc>
          <w:tcPr>
            <w:tcW w:w="1158" w:type="dxa"/>
            <w:tcBorders>
              <w:right w:val="single" w:color="auto" w:sz="4" w:space="0"/>
            </w:tcBorders>
            <w:vAlign w:val="center"/>
          </w:tcPr>
          <w:p w14:paraId="08685CE8">
            <w:pPr>
              <w:rPr>
                <w:rFonts w:ascii="宋体" w:hAnsi="宋体"/>
                <w:color w:val="auto"/>
                <w:sz w:val="24"/>
                <w:highlight w:val="none"/>
              </w:rPr>
            </w:pPr>
          </w:p>
        </w:tc>
        <w:tc>
          <w:tcPr>
            <w:tcW w:w="1410" w:type="dxa"/>
            <w:tcBorders>
              <w:left w:val="single" w:color="auto" w:sz="4" w:space="0"/>
              <w:right w:val="single" w:color="auto" w:sz="12" w:space="0"/>
            </w:tcBorders>
            <w:vAlign w:val="center"/>
          </w:tcPr>
          <w:p w14:paraId="0D22753C">
            <w:pPr>
              <w:rPr>
                <w:rFonts w:ascii="宋体" w:hAnsi="宋体"/>
                <w:color w:val="auto"/>
                <w:sz w:val="24"/>
                <w:highlight w:val="none"/>
              </w:rPr>
            </w:pPr>
          </w:p>
        </w:tc>
      </w:tr>
      <w:tr w14:paraId="62280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vAlign w:val="center"/>
          </w:tcPr>
          <w:p w14:paraId="7DA9B752">
            <w:pPr>
              <w:rPr>
                <w:rFonts w:ascii="宋体" w:hAnsi="宋体"/>
                <w:color w:val="auto"/>
                <w:sz w:val="24"/>
                <w:highlight w:val="none"/>
              </w:rPr>
            </w:pPr>
          </w:p>
        </w:tc>
        <w:tc>
          <w:tcPr>
            <w:tcW w:w="1735" w:type="dxa"/>
            <w:vAlign w:val="center"/>
          </w:tcPr>
          <w:p w14:paraId="5466E3EB">
            <w:pPr>
              <w:rPr>
                <w:rFonts w:ascii="宋体" w:hAnsi="宋体"/>
                <w:color w:val="auto"/>
                <w:sz w:val="24"/>
                <w:highlight w:val="none"/>
              </w:rPr>
            </w:pPr>
          </w:p>
        </w:tc>
        <w:tc>
          <w:tcPr>
            <w:tcW w:w="608" w:type="dxa"/>
            <w:vAlign w:val="center"/>
          </w:tcPr>
          <w:p w14:paraId="602B264F">
            <w:pPr>
              <w:rPr>
                <w:rFonts w:ascii="宋体" w:hAnsi="宋体"/>
                <w:color w:val="auto"/>
                <w:sz w:val="24"/>
                <w:highlight w:val="none"/>
              </w:rPr>
            </w:pPr>
          </w:p>
        </w:tc>
        <w:tc>
          <w:tcPr>
            <w:tcW w:w="577" w:type="dxa"/>
            <w:vAlign w:val="center"/>
          </w:tcPr>
          <w:p w14:paraId="2A44D883">
            <w:pPr>
              <w:rPr>
                <w:rFonts w:ascii="宋体" w:hAnsi="宋体"/>
                <w:color w:val="auto"/>
                <w:sz w:val="24"/>
                <w:highlight w:val="none"/>
              </w:rPr>
            </w:pPr>
          </w:p>
        </w:tc>
        <w:tc>
          <w:tcPr>
            <w:tcW w:w="965" w:type="dxa"/>
            <w:vAlign w:val="center"/>
          </w:tcPr>
          <w:p w14:paraId="041DEEC3">
            <w:pPr>
              <w:rPr>
                <w:rFonts w:ascii="宋体" w:hAnsi="宋体"/>
                <w:color w:val="auto"/>
                <w:sz w:val="24"/>
                <w:highlight w:val="none"/>
              </w:rPr>
            </w:pPr>
          </w:p>
        </w:tc>
        <w:tc>
          <w:tcPr>
            <w:tcW w:w="772" w:type="dxa"/>
            <w:vAlign w:val="center"/>
          </w:tcPr>
          <w:p w14:paraId="21F5933E">
            <w:pPr>
              <w:rPr>
                <w:rFonts w:ascii="宋体" w:hAnsi="宋体"/>
                <w:color w:val="auto"/>
                <w:sz w:val="24"/>
                <w:highlight w:val="none"/>
              </w:rPr>
            </w:pPr>
          </w:p>
        </w:tc>
        <w:tc>
          <w:tcPr>
            <w:tcW w:w="1158" w:type="dxa"/>
            <w:vAlign w:val="center"/>
          </w:tcPr>
          <w:p w14:paraId="0D7B44FD">
            <w:pPr>
              <w:rPr>
                <w:rFonts w:ascii="宋体" w:hAnsi="宋体"/>
                <w:color w:val="auto"/>
                <w:sz w:val="24"/>
                <w:highlight w:val="none"/>
              </w:rPr>
            </w:pPr>
          </w:p>
        </w:tc>
        <w:tc>
          <w:tcPr>
            <w:tcW w:w="1158" w:type="dxa"/>
            <w:tcBorders>
              <w:right w:val="single" w:color="auto" w:sz="4" w:space="0"/>
            </w:tcBorders>
            <w:vAlign w:val="center"/>
          </w:tcPr>
          <w:p w14:paraId="0B4F161B">
            <w:pPr>
              <w:rPr>
                <w:rFonts w:ascii="宋体" w:hAnsi="宋体"/>
                <w:color w:val="auto"/>
                <w:sz w:val="24"/>
                <w:highlight w:val="none"/>
              </w:rPr>
            </w:pPr>
          </w:p>
        </w:tc>
        <w:tc>
          <w:tcPr>
            <w:tcW w:w="1410" w:type="dxa"/>
            <w:tcBorders>
              <w:left w:val="single" w:color="auto" w:sz="4" w:space="0"/>
              <w:right w:val="single" w:color="auto" w:sz="12" w:space="0"/>
            </w:tcBorders>
            <w:vAlign w:val="center"/>
          </w:tcPr>
          <w:p w14:paraId="2D23442A">
            <w:pPr>
              <w:rPr>
                <w:rFonts w:ascii="宋体" w:hAnsi="宋体"/>
                <w:color w:val="auto"/>
                <w:sz w:val="24"/>
                <w:highlight w:val="none"/>
              </w:rPr>
            </w:pPr>
          </w:p>
        </w:tc>
      </w:tr>
      <w:tr w14:paraId="315E0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vAlign w:val="center"/>
          </w:tcPr>
          <w:p w14:paraId="4B854B70">
            <w:pPr>
              <w:rPr>
                <w:rFonts w:ascii="宋体" w:hAnsi="宋体"/>
                <w:color w:val="auto"/>
                <w:sz w:val="24"/>
                <w:highlight w:val="none"/>
              </w:rPr>
            </w:pPr>
          </w:p>
        </w:tc>
        <w:tc>
          <w:tcPr>
            <w:tcW w:w="1735" w:type="dxa"/>
            <w:vAlign w:val="center"/>
          </w:tcPr>
          <w:p w14:paraId="5248C740">
            <w:pPr>
              <w:rPr>
                <w:rFonts w:ascii="宋体" w:hAnsi="宋体"/>
                <w:color w:val="auto"/>
                <w:sz w:val="24"/>
                <w:highlight w:val="none"/>
              </w:rPr>
            </w:pPr>
          </w:p>
        </w:tc>
        <w:tc>
          <w:tcPr>
            <w:tcW w:w="608" w:type="dxa"/>
            <w:vAlign w:val="center"/>
          </w:tcPr>
          <w:p w14:paraId="78A977FD">
            <w:pPr>
              <w:rPr>
                <w:rFonts w:ascii="宋体" w:hAnsi="宋体"/>
                <w:color w:val="auto"/>
                <w:sz w:val="24"/>
                <w:highlight w:val="none"/>
              </w:rPr>
            </w:pPr>
          </w:p>
        </w:tc>
        <w:tc>
          <w:tcPr>
            <w:tcW w:w="577" w:type="dxa"/>
            <w:vAlign w:val="center"/>
          </w:tcPr>
          <w:p w14:paraId="4C8BAE96">
            <w:pPr>
              <w:rPr>
                <w:rFonts w:ascii="宋体" w:hAnsi="宋体"/>
                <w:color w:val="auto"/>
                <w:sz w:val="24"/>
                <w:highlight w:val="none"/>
              </w:rPr>
            </w:pPr>
          </w:p>
        </w:tc>
        <w:tc>
          <w:tcPr>
            <w:tcW w:w="965" w:type="dxa"/>
            <w:vAlign w:val="center"/>
          </w:tcPr>
          <w:p w14:paraId="03B32DA8">
            <w:pPr>
              <w:rPr>
                <w:rFonts w:ascii="宋体" w:hAnsi="宋体"/>
                <w:color w:val="auto"/>
                <w:sz w:val="24"/>
                <w:highlight w:val="none"/>
              </w:rPr>
            </w:pPr>
          </w:p>
        </w:tc>
        <w:tc>
          <w:tcPr>
            <w:tcW w:w="772" w:type="dxa"/>
            <w:vAlign w:val="center"/>
          </w:tcPr>
          <w:p w14:paraId="66DF95D7">
            <w:pPr>
              <w:rPr>
                <w:rFonts w:ascii="宋体" w:hAnsi="宋体"/>
                <w:color w:val="auto"/>
                <w:sz w:val="24"/>
                <w:highlight w:val="none"/>
              </w:rPr>
            </w:pPr>
          </w:p>
        </w:tc>
        <w:tc>
          <w:tcPr>
            <w:tcW w:w="1158" w:type="dxa"/>
            <w:vAlign w:val="center"/>
          </w:tcPr>
          <w:p w14:paraId="26BC500D">
            <w:pPr>
              <w:rPr>
                <w:rFonts w:ascii="宋体" w:hAnsi="宋体"/>
                <w:color w:val="auto"/>
                <w:sz w:val="24"/>
                <w:highlight w:val="none"/>
              </w:rPr>
            </w:pPr>
          </w:p>
        </w:tc>
        <w:tc>
          <w:tcPr>
            <w:tcW w:w="1158" w:type="dxa"/>
            <w:tcBorders>
              <w:right w:val="single" w:color="auto" w:sz="4" w:space="0"/>
            </w:tcBorders>
            <w:vAlign w:val="center"/>
          </w:tcPr>
          <w:p w14:paraId="528CFF5B">
            <w:pPr>
              <w:rPr>
                <w:rFonts w:ascii="宋体" w:hAnsi="宋体"/>
                <w:color w:val="auto"/>
                <w:sz w:val="24"/>
                <w:highlight w:val="none"/>
              </w:rPr>
            </w:pPr>
          </w:p>
        </w:tc>
        <w:tc>
          <w:tcPr>
            <w:tcW w:w="1410" w:type="dxa"/>
            <w:tcBorders>
              <w:left w:val="single" w:color="auto" w:sz="4" w:space="0"/>
              <w:right w:val="single" w:color="auto" w:sz="12" w:space="0"/>
            </w:tcBorders>
            <w:vAlign w:val="center"/>
          </w:tcPr>
          <w:p w14:paraId="5BF5CDE9">
            <w:pPr>
              <w:rPr>
                <w:rFonts w:ascii="宋体" w:hAnsi="宋体"/>
                <w:color w:val="auto"/>
                <w:sz w:val="24"/>
                <w:highlight w:val="none"/>
              </w:rPr>
            </w:pPr>
          </w:p>
        </w:tc>
      </w:tr>
      <w:tr w14:paraId="549D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vAlign w:val="center"/>
          </w:tcPr>
          <w:p w14:paraId="70713301">
            <w:pPr>
              <w:rPr>
                <w:rFonts w:ascii="宋体" w:hAnsi="宋体"/>
                <w:color w:val="auto"/>
                <w:sz w:val="24"/>
                <w:highlight w:val="none"/>
              </w:rPr>
            </w:pPr>
          </w:p>
        </w:tc>
        <w:tc>
          <w:tcPr>
            <w:tcW w:w="1735" w:type="dxa"/>
            <w:vAlign w:val="center"/>
          </w:tcPr>
          <w:p w14:paraId="51DCD2BF">
            <w:pPr>
              <w:rPr>
                <w:rFonts w:ascii="宋体" w:hAnsi="宋体"/>
                <w:color w:val="auto"/>
                <w:sz w:val="24"/>
                <w:highlight w:val="none"/>
              </w:rPr>
            </w:pPr>
          </w:p>
        </w:tc>
        <w:tc>
          <w:tcPr>
            <w:tcW w:w="608" w:type="dxa"/>
            <w:vAlign w:val="center"/>
          </w:tcPr>
          <w:p w14:paraId="1C4ABF30">
            <w:pPr>
              <w:rPr>
                <w:rFonts w:ascii="宋体" w:hAnsi="宋体"/>
                <w:color w:val="auto"/>
                <w:sz w:val="24"/>
                <w:highlight w:val="none"/>
              </w:rPr>
            </w:pPr>
          </w:p>
        </w:tc>
        <w:tc>
          <w:tcPr>
            <w:tcW w:w="577" w:type="dxa"/>
            <w:vAlign w:val="center"/>
          </w:tcPr>
          <w:p w14:paraId="41167ACA">
            <w:pPr>
              <w:rPr>
                <w:rFonts w:ascii="宋体" w:hAnsi="宋体"/>
                <w:color w:val="auto"/>
                <w:sz w:val="24"/>
                <w:highlight w:val="none"/>
              </w:rPr>
            </w:pPr>
          </w:p>
        </w:tc>
        <w:tc>
          <w:tcPr>
            <w:tcW w:w="965" w:type="dxa"/>
            <w:vAlign w:val="center"/>
          </w:tcPr>
          <w:p w14:paraId="76F6DD8C">
            <w:pPr>
              <w:rPr>
                <w:rFonts w:ascii="宋体" w:hAnsi="宋体"/>
                <w:color w:val="auto"/>
                <w:sz w:val="24"/>
                <w:highlight w:val="none"/>
              </w:rPr>
            </w:pPr>
          </w:p>
        </w:tc>
        <w:tc>
          <w:tcPr>
            <w:tcW w:w="772" w:type="dxa"/>
            <w:vAlign w:val="center"/>
          </w:tcPr>
          <w:p w14:paraId="296F3ECA">
            <w:pPr>
              <w:rPr>
                <w:rFonts w:ascii="宋体" w:hAnsi="宋体"/>
                <w:color w:val="auto"/>
                <w:sz w:val="24"/>
                <w:highlight w:val="none"/>
              </w:rPr>
            </w:pPr>
          </w:p>
        </w:tc>
        <w:tc>
          <w:tcPr>
            <w:tcW w:w="1158" w:type="dxa"/>
            <w:vAlign w:val="center"/>
          </w:tcPr>
          <w:p w14:paraId="2C8499AD">
            <w:pPr>
              <w:rPr>
                <w:rFonts w:ascii="宋体" w:hAnsi="宋体"/>
                <w:color w:val="auto"/>
                <w:sz w:val="24"/>
                <w:highlight w:val="none"/>
              </w:rPr>
            </w:pPr>
          </w:p>
        </w:tc>
        <w:tc>
          <w:tcPr>
            <w:tcW w:w="1158" w:type="dxa"/>
            <w:tcBorders>
              <w:right w:val="single" w:color="auto" w:sz="4" w:space="0"/>
            </w:tcBorders>
            <w:vAlign w:val="center"/>
          </w:tcPr>
          <w:p w14:paraId="27C090AC">
            <w:pPr>
              <w:rPr>
                <w:rFonts w:ascii="宋体" w:hAnsi="宋体"/>
                <w:color w:val="auto"/>
                <w:sz w:val="24"/>
                <w:highlight w:val="none"/>
              </w:rPr>
            </w:pPr>
          </w:p>
        </w:tc>
        <w:tc>
          <w:tcPr>
            <w:tcW w:w="1410" w:type="dxa"/>
            <w:tcBorders>
              <w:left w:val="single" w:color="auto" w:sz="4" w:space="0"/>
              <w:right w:val="single" w:color="auto" w:sz="12" w:space="0"/>
            </w:tcBorders>
            <w:vAlign w:val="center"/>
          </w:tcPr>
          <w:p w14:paraId="78D0B377">
            <w:pPr>
              <w:rPr>
                <w:rFonts w:ascii="宋体" w:hAnsi="宋体"/>
                <w:color w:val="auto"/>
                <w:sz w:val="24"/>
                <w:highlight w:val="none"/>
              </w:rPr>
            </w:pPr>
          </w:p>
        </w:tc>
      </w:tr>
      <w:tr w14:paraId="35B4C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vAlign w:val="center"/>
          </w:tcPr>
          <w:p w14:paraId="315151D0">
            <w:pPr>
              <w:rPr>
                <w:rFonts w:ascii="宋体" w:hAnsi="宋体"/>
                <w:color w:val="auto"/>
                <w:sz w:val="24"/>
                <w:highlight w:val="none"/>
              </w:rPr>
            </w:pPr>
          </w:p>
        </w:tc>
        <w:tc>
          <w:tcPr>
            <w:tcW w:w="1735" w:type="dxa"/>
            <w:vAlign w:val="center"/>
          </w:tcPr>
          <w:p w14:paraId="6CED17AD">
            <w:pPr>
              <w:rPr>
                <w:rFonts w:ascii="宋体" w:hAnsi="宋体"/>
                <w:color w:val="auto"/>
                <w:sz w:val="24"/>
                <w:highlight w:val="none"/>
              </w:rPr>
            </w:pPr>
          </w:p>
        </w:tc>
        <w:tc>
          <w:tcPr>
            <w:tcW w:w="608" w:type="dxa"/>
            <w:vAlign w:val="center"/>
          </w:tcPr>
          <w:p w14:paraId="1C7C8C41">
            <w:pPr>
              <w:rPr>
                <w:rFonts w:ascii="宋体" w:hAnsi="宋体"/>
                <w:color w:val="auto"/>
                <w:sz w:val="24"/>
                <w:highlight w:val="none"/>
              </w:rPr>
            </w:pPr>
          </w:p>
        </w:tc>
        <w:tc>
          <w:tcPr>
            <w:tcW w:w="577" w:type="dxa"/>
            <w:vAlign w:val="center"/>
          </w:tcPr>
          <w:p w14:paraId="75EE8654">
            <w:pPr>
              <w:rPr>
                <w:rFonts w:ascii="宋体" w:hAnsi="宋体"/>
                <w:color w:val="auto"/>
                <w:sz w:val="24"/>
                <w:highlight w:val="none"/>
              </w:rPr>
            </w:pPr>
          </w:p>
        </w:tc>
        <w:tc>
          <w:tcPr>
            <w:tcW w:w="965" w:type="dxa"/>
            <w:vAlign w:val="center"/>
          </w:tcPr>
          <w:p w14:paraId="169F8F59">
            <w:pPr>
              <w:rPr>
                <w:rFonts w:ascii="宋体" w:hAnsi="宋体"/>
                <w:color w:val="auto"/>
                <w:sz w:val="24"/>
                <w:highlight w:val="none"/>
              </w:rPr>
            </w:pPr>
          </w:p>
        </w:tc>
        <w:tc>
          <w:tcPr>
            <w:tcW w:w="772" w:type="dxa"/>
            <w:vAlign w:val="center"/>
          </w:tcPr>
          <w:p w14:paraId="7127D2C0">
            <w:pPr>
              <w:rPr>
                <w:rFonts w:ascii="宋体" w:hAnsi="宋体"/>
                <w:color w:val="auto"/>
                <w:sz w:val="24"/>
                <w:highlight w:val="none"/>
              </w:rPr>
            </w:pPr>
          </w:p>
        </w:tc>
        <w:tc>
          <w:tcPr>
            <w:tcW w:w="1158" w:type="dxa"/>
            <w:vAlign w:val="center"/>
          </w:tcPr>
          <w:p w14:paraId="229FD4E3">
            <w:pPr>
              <w:rPr>
                <w:rFonts w:ascii="宋体" w:hAnsi="宋体"/>
                <w:color w:val="auto"/>
                <w:sz w:val="24"/>
                <w:highlight w:val="none"/>
              </w:rPr>
            </w:pPr>
          </w:p>
        </w:tc>
        <w:tc>
          <w:tcPr>
            <w:tcW w:w="1158" w:type="dxa"/>
            <w:tcBorders>
              <w:right w:val="single" w:color="auto" w:sz="4" w:space="0"/>
            </w:tcBorders>
            <w:vAlign w:val="center"/>
          </w:tcPr>
          <w:p w14:paraId="14DF9EDB">
            <w:pPr>
              <w:rPr>
                <w:rFonts w:ascii="宋体" w:hAnsi="宋体"/>
                <w:color w:val="auto"/>
                <w:sz w:val="24"/>
                <w:highlight w:val="none"/>
              </w:rPr>
            </w:pPr>
          </w:p>
        </w:tc>
        <w:tc>
          <w:tcPr>
            <w:tcW w:w="1410" w:type="dxa"/>
            <w:tcBorders>
              <w:left w:val="single" w:color="auto" w:sz="4" w:space="0"/>
              <w:right w:val="single" w:color="auto" w:sz="12" w:space="0"/>
            </w:tcBorders>
            <w:vAlign w:val="center"/>
          </w:tcPr>
          <w:p w14:paraId="6C2F7CD5">
            <w:pPr>
              <w:rPr>
                <w:rFonts w:ascii="宋体" w:hAnsi="宋体"/>
                <w:color w:val="auto"/>
                <w:sz w:val="24"/>
                <w:highlight w:val="none"/>
              </w:rPr>
            </w:pPr>
          </w:p>
        </w:tc>
      </w:tr>
      <w:tr w14:paraId="19B22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vAlign w:val="center"/>
          </w:tcPr>
          <w:p w14:paraId="482D0D42">
            <w:pPr>
              <w:rPr>
                <w:rFonts w:ascii="宋体" w:hAnsi="宋体"/>
                <w:color w:val="auto"/>
                <w:sz w:val="24"/>
                <w:highlight w:val="none"/>
              </w:rPr>
            </w:pPr>
          </w:p>
        </w:tc>
        <w:tc>
          <w:tcPr>
            <w:tcW w:w="1735" w:type="dxa"/>
            <w:vAlign w:val="center"/>
          </w:tcPr>
          <w:p w14:paraId="12D6CA7C">
            <w:pPr>
              <w:rPr>
                <w:rFonts w:ascii="宋体" w:hAnsi="宋体"/>
                <w:color w:val="auto"/>
                <w:sz w:val="24"/>
                <w:highlight w:val="none"/>
              </w:rPr>
            </w:pPr>
          </w:p>
        </w:tc>
        <w:tc>
          <w:tcPr>
            <w:tcW w:w="608" w:type="dxa"/>
            <w:vAlign w:val="center"/>
          </w:tcPr>
          <w:p w14:paraId="28D64234">
            <w:pPr>
              <w:rPr>
                <w:rFonts w:ascii="宋体" w:hAnsi="宋体"/>
                <w:color w:val="auto"/>
                <w:sz w:val="24"/>
                <w:highlight w:val="none"/>
              </w:rPr>
            </w:pPr>
          </w:p>
        </w:tc>
        <w:tc>
          <w:tcPr>
            <w:tcW w:w="577" w:type="dxa"/>
            <w:vAlign w:val="center"/>
          </w:tcPr>
          <w:p w14:paraId="02CD3EE4">
            <w:pPr>
              <w:rPr>
                <w:rFonts w:ascii="宋体" w:hAnsi="宋体"/>
                <w:color w:val="auto"/>
                <w:sz w:val="24"/>
                <w:highlight w:val="none"/>
              </w:rPr>
            </w:pPr>
          </w:p>
        </w:tc>
        <w:tc>
          <w:tcPr>
            <w:tcW w:w="965" w:type="dxa"/>
            <w:vAlign w:val="center"/>
          </w:tcPr>
          <w:p w14:paraId="2E433065">
            <w:pPr>
              <w:rPr>
                <w:rFonts w:ascii="宋体" w:hAnsi="宋体"/>
                <w:color w:val="auto"/>
                <w:sz w:val="24"/>
                <w:highlight w:val="none"/>
              </w:rPr>
            </w:pPr>
          </w:p>
        </w:tc>
        <w:tc>
          <w:tcPr>
            <w:tcW w:w="772" w:type="dxa"/>
            <w:vAlign w:val="center"/>
          </w:tcPr>
          <w:p w14:paraId="53B10AAD">
            <w:pPr>
              <w:rPr>
                <w:rFonts w:ascii="宋体" w:hAnsi="宋体"/>
                <w:color w:val="auto"/>
                <w:sz w:val="24"/>
                <w:highlight w:val="none"/>
              </w:rPr>
            </w:pPr>
          </w:p>
        </w:tc>
        <w:tc>
          <w:tcPr>
            <w:tcW w:w="1158" w:type="dxa"/>
            <w:vAlign w:val="center"/>
          </w:tcPr>
          <w:p w14:paraId="0E3C532D">
            <w:pPr>
              <w:rPr>
                <w:rFonts w:ascii="宋体" w:hAnsi="宋体"/>
                <w:color w:val="auto"/>
                <w:sz w:val="24"/>
                <w:highlight w:val="none"/>
              </w:rPr>
            </w:pPr>
          </w:p>
        </w:tc>
        <w:tc>
          <w:tcPr>
            <w:tcW w:w="1158" w:type="dxa"/>
            <w:tcBorders>
              <w:right w:val="single" w:color="auto" w:sz="4" w:space="0"/>
            </w:tcBorders>
            <w:vAlign w:val="center"/>
          </w:tcPr>
          <w:p w14:paraId="78FBCDB6">
            <w:pPr>
              <w:rPr>
                <w:rFonts w:ascii="宋体" w:hAnsi="宋体"/>
                <w:color w:val="auto"/>
                <w:sz w:val="24"/>
                <w:highlight w:val="none"/>
              </w:rPr>
            </w:pPr>
          </w:p>
        </w:tc>
        <w:tc>
          <w:tcPr>
            <w:tcW w:w="1410" w:type="dxa"/>
            <w:tcBorders>
              <w:left w:val="single" w:color="auto" w:sz="4" w:space="0"/>
              <w:right w:val="single" w:color="auto" w:sz="12" w:space="0"/>
            </w:tcBorders>
            <w:vAlign w:val="center"/>
          </w:tcPr>
          <w:p w14:paraId="4339DAD9">
            <w:pPr>
              <w:rPr>
                <w:rFonts w:ascii="宋体" w:hAnsi="宋体"/>
                <w:color w:val="auto"/>
                <w:sz w:val="24"/>
                <w:highlight w:val="none"/>
              </w:rPr>
            </w:pPr>
          </w:p>
        </w:tc>
      </w:tr>
    </w:tbl>
    <w:p w14:paraId="102321EB">
      <w:pPr>
        <w:spacing w:line="360" w:lineRule="auto"/>
        <w:rPr>
          <w:rFonts w:ascii="宋体" w:hAnsi="宋体"/>
          <w:color w:val="auto"/>
          <w:sz w:val="24"/>
          <w:highlight w:val="none"/>
        </w:rPr>
      </w:pPr>
      <w:r>
        <w:rPr>
          <w:rFonts w:hint="eastAsia" w:ascii="宋体" w:hAnsi="宋体"/>
          <w:color w:val="auto"/>
          <w:sz w:val="24"/>
          <w:highlight w:val="none"/>
        </w:rPr>
        <w:t>注：1、列入本表人员如要更换，需经招标人同意。擅自更换或不到位属违约行为。</w:t>
      </w:r>
    </w:p>
    <w:p w14:paraId="42C54129">
      <w:pPr>
        <w:spacing w:line="360" w:lineRule="auto"/>
        <w:rPr>
          <w:rFonts w:ascii="宋体" w:hAnsi="宋体"/>
          <w:color w:val="auto"/>
          <w:sz w:val="24"/>
          <w:highlight w:val="none"/>
        </w:rPr>
      </w:pPr>
      <w:r>
        <w:rPr>
          <w:rFonts w:hint="eastAsia" w:ascii="宋体" w:hAnsi="宋体"/>
          <w:color w:val="auto"/>
          <w:sz w:val="24"/>
          <w:highlight w:val="none"/>
        </w:rPr>
        <w:t>2、本表后附各人员社保证明及相关证书复印件。</w:t>
      </w:r>
    </w:p>
    <w:p w14:paraId="4B6B70F4">
      <w:pPr>
        <w:spacing w:line="360" w:lineRule="auto"/>
        <w:rPr>
          <w:rFonts w:ascii="宋体" w:hAnsi="宋体"/>
          <w:color w:val="auto"/>
          <w:sz w:val="24"/>
          <w:highlight w:val="none"/>
        </w:rPr>
      </w:pPr>
    </w:p>
    <w:p w14:paraId="20E4FA27">
      <w:pPr>
        <w:spacing w:line="360" w:lineRule="auto"/>
        <w:rPr>
          <w:rFonts w:ascii="宋体" w:hAnsi="宋体"/>
          <w:color w:val="auto"/>
          <w:sz w:val="24"/>
          <w:highlight w:val="none"/>
        </w:rPr>
      </w:pPr>
    </w:p>
    <w:p w14:paraId="2EF3F9E1">
      <w:pPr>
        <w:spacing w:line="360" w:lineRule="auto"/>
        <w:rPr>
          <w:rFonts w:ascii="宋体" w:hAnsi="宋体" w:cs="宋体"/>
          <w:color w:val="auto"/>
          <w:kern w:val="0"/>
          <w:sz w:val="24"/>
          <w:highlight w:val="none"/>
        </w:rPr>
      </w:pPr>
      <w:r>
        <w:rPr>
          <w:rFonts w:hint="eastAsia" w:ascii="宋体" w:hAnsi="宋体"/>
          <w:color w:val="auto"/>
          <w:sz w:val="24"/>
          <w:highlight w:val="none"/>
        </w:rPr>
        <w:t xml:space="preserve">投标单位：（盖章）          </w:t>
      </w:r>
      <w:r>
        <w:rPr>
          <w:rFonts w:hint="eastAsia" w:ascii="宋体" w:hAnsi="宋体"/>
          <w:bCs/>
          <w:color w:val="auto"/>
          <w:sz w:val="24"/>
          <w:highlight w:val="none"/>
        </w:rPr>
        <w:t>法定代表人或委托代理人</w:t>
      </w:r>
      <w:r>
        <w:rPr>
          <w:rFonts w:hint="eastAsia" w:ascii="宋体" w:hAnsi="宋体"/>
          <w:color w:val="auto"/>
          <w:sz w:val="24"/>
          <w:highlight w:val="none"/>
        </w:rPr>
        <w:t>：（</w:t>
      </w:r>
      <w:r>
        <w:rPr>
          <w:rFonts w:hint="eastAsia" w:ascii="宋体" w:hAnsi="宋体"/>
          <w:b/>
          <w:color w:val="auto"/>
          <w:sz w:val="24"/>
          <w:highlight w:val="none"/>
          <w:u w:val="single"/>
          <w:em w:val="dot"/>
        </w:rPr>
        <w:t>签字或盖章</w:t>
      </w:r>
      <w:r>
        <w:rPr>
          <w:rFonts w:hint="eastAsia" w:ascii="宋体" w:hAnsi="宋体"/>
          <w:color w:val="auto"/>
          <w:sz w:val="24"/>
          <w:highlight w:val="none"/>
        </w:rPr>
        <w:t>）</w:t>
      </w:r>
    </w:p>
    <w:p w14:paraId="6156B32F">
      <w:pPr>
        <w:pStyle w:val="2"/>
        <w:ind w:left="246" w:leftChars="117" w:firstLine="5988" w:firstLineChars="2495"/>
        <w:rPr>
          <w:snapToGrid w:val="0"/>
          <w:color w:val="auto"/>
          <w:sz w:val="24"/>
          <w:szCs w:val="24"/>
        </w:rPr>
      </w:pPr>
    </w:p>
    <w:p w14:paraId="12E3022C">
      <w:pPr>
        <w:spacing w:line="360" w:lineRule="auto"/>
        <w:rPr>
          <w:rFonts w:ascii="宋体" w:hAnsi="宋体" w:cs="宋体"/>
          <w:b/>
          <w:bCs/>
          <w:color w:val="auto"/>
          <w:sz w:val="24"/>
        </w:rPr>
      </w:pPr>
    </w:p>
    <w:p w14:paraId="3DC7C4EB">
      <w:pPr>
        <w:pStyle w:val="22"/>
        <w:rPr>
          <w:color w:val="auto"/>
        </w:rPr>
      </w:pPr>
    </w:p>
    <w:p w14:paraId="38FC0F2A">
      <w:pPr>
        <w:rPr>
          <w:rFonts w:ascii="宋体" w:hAnsi="宋体" w:cs="宋体"/>
          <w:b/>
          <w:bCs/>
          <w:color w:val="auto"/>
          <w:sz w:val="24"/>
        </w:rPr>
      </w:pPr>
    </w:p>
    <w:p w14:paraId="23F4E76B">
      <w:pPr>
        <w:pStyle w:val="22"/>
        <w:rPr>
          <w:rFonts w:ascii="宋体" w:hAnsi="宋体" w:cs="宋体"/>
          <w:b/>
          <w:bCs/>
          <w:color w:val="auto"/>
          <w:sz w:val="24"/>
        </w:rPr>
      </w:pPr>
    </w:p>
    <w:p w14:paraId="363174E0">
      <w:pPr>
        <w:rPr>
          <w:color w:val="auto"/>
        </w:rPr>
      </w:pPr>
    </w:p>
    <w:p w14:paraId="0DFFC09C">
      <w:pPr>
        <w:rPr>
          <w:rFonts w:ascii="宋体" w:hAnsi="宋体" w:cs="宋体"/>
          <w:b/>
          <w:bCs/>
          <w:snapToGrid w:val="0"/>
          <w:color w:val="auto"/>
          <w:sz w:val="24"/>
        </w:rPr>
      </w:pPr>
    </w:p>
    <w:p w14:paraId="6FC01AC6">
      <w:pPr>
        <w:rPr>
          <w:rFonts w:hint="eastAsia" w:ascii="宋体" w:hAnsi="宋体" w:cs="宋体"/>
          <w:b/>
          <w:bCs/>
          <w:snapToGrid w:val="0"/>
          <w:color w:val="auto"/>
          <w:sz w:val="24"/>
        </w:rPr>
      </w:pPr>
    </w:p>
    <w:p w14:paraId="2CDBDB3F">
      <w:pPr>
        <w:rPr>
          <w:rFonts w:hint="eastAsia" w:ascii="宋体" w:hAnsi="宋体" w:cs="宋体"/>
          <w:b/>
          <w:bCs/>
          <w:snapToGrid w:val="0"/>
          <w:color w:val="auto"/>
          <w:sz w:val="24"/>
        </w:rPr>
      </w:pPr>
    </w:p>
    <w:p w14:paraId="090D163A">
      <w:pPr>
        <w:rPr>
          <w:rFonts w:hint="eastAsia" w:ascii="宋体" w:hAnsi="宋体" w:cs="宋体"/>
          <w:b/>
          <w:bCs/>
          <w:snapToGrid w:val="0"/>
          <w:color w:val="auto"/>
          <w:sz w:val="24"/>
        </w:rPr>
      </w:pPr>
    </w:p>
    <w:p w14:paraId="6D0CB06C">
      <w:pPr>
        <w:pageBreakBefore/>
        <w:spacing w:before="260" w:after="260" w:line="415" w:lineRule="auto"/>
        <w:outlineLvl w:val="1"/>
        <w:rPr>
          <w:rFonts w:ascii="宋体" w:hAnsi="宋体" w:cs="宋体"/>
          <w:b/>
          <w:color w:val="auto"/>
          <w:sz w:val="24"/>
          <w:szCs w:val="32"/>
        </w:rPr>
      </w:pPr>
      <w:r>
        <w:rPr>
          <w:rFonts w:hint="eastAsia" w:ascii="宋体" w:hAnsi="宋体" w:cs="宋体"/>
          <w:b/>
          <w:color w:val="auto"/>
          <w:sz w:val="24"/>
          <w:szCs w:val="32"/>
        </w:rPr>
        <w:t>附件</w:t>
      </w:r>
      <w:r>
        <w:rPr>
          <w:rFonts w:hint="eastAsia" w:ascii="宋体" w:hAnsi="宋体" w:cs="宋体"/>
          <w:b/>
          <w:color w:val="auto"/>
          <w:sz w:val="24"/>
          <w:szCs w:val="32"/>
          <w:lang w:eastAsia="zh-CN"/>
        </w:rPr>
        <w:t>十二</w:t>
      </w:r>
      <w:r>
        <w:rPr>
          <w:rFonts w:hint="eastAsia" w:ascii="宋体" w:hAnsi="宋体" w:cs="宋体"/>
          <w:b/>
          <w:color w:val="auto"/>
          <w:sz w:val="24"/>
          <w:szCs w:val="32"/>
        </w:rPr>
        <w:t>：服务费承诺书</w:t>
      </w:r>
    </w:p>
    <w:p w14:paraId="5B76C099">
      <w:pPr>
        <w:snapToGrid w:val="0"/>
        <w:spacing w:before="50" w:after="120" w:afterLines="50"/>
        <w:jc w:val="center"/>
        <w:rPr>
          <w:rFonts w:ascii="宋体" w:hAnsi="宋体" w:cs="宋体"/>
          <w:b/>
          <w:color w:val="auto"/>
          <w:sz w:val="44"/>
          <w:szCs w:val="44"/>
        </w:rPr>
      </w:pPr>
      <w:r>
        <w:rPr>
          <w:rFonts w:hint="eastAsia" w:ascii="宋体" w:hAnsi="宋体" w:cs="宋体"/>
          <w:b/>
          <w:color w:val="auto"/>
          <w:sz w:val="44"/>
          <w:szCs w:val="44"/>
        </w:rPr>
        <w:t>服 务 费 承 诺 书</w:t>
      </w:r>
    </w:p>
    <w:p w14:paraId="0BC6E163">
      <w:pPr>
        <w:snapToGrid w:val="0"/>
        <w:spacing w:before="50" w:after="120" w:afterLines="50"/>
        <w:jc w:val="left"/>
        <w:rPr>
          <w:rFonts w:ascii="宋体" w:hAnsi="宋体" w:cs="宋体"/>
          <w:b/>
          <w:color w:val="auto"/>
          <w:sz w:val="24"/>
        </w:rPr>
      </w:pPr>
    </w:p>
    <w:p w14:paraId="25531B2E">
      <w:pPr>
        <w:snapToGrid w:val="0"/>
        <w:spacing w:before="50" w:after="120" w:afterLines="50" w:line="360" w:lineRule="auto"/>
        <w:jc w:val="left"/>
        <w:rPr>
          <w:rFonts w:ascii="宋体" w:hAnsi="宋体" w:cs="宋体"/>
          <w:b/>
          <w:bCs/>
          <w:color w:val="auto"/>
          <w:sz w:val="24"/>
        </w:rPr>
      </w:pPr>
      <w:r>
        <w:rPr>
          <w:rFonts w:hint="eastAsia" w:ascii="宋体" w:hAnsi="宋体" w:cs="宋体"/>
          <w:b/>
          <w:color w:val="auto"/>
          <w:sz w:val="24"/>
          <w:lang w:eastAsia="zh-CN"/>
        </w:rPr>
        <w:t>浙江衢州公信工程管理有限公司</w:t>
      </w:r>
      <w:r>
        <w:rPr>
          <w:rFonts w:hint="eastAsia" w:ascii="宋体" w:hAnsi="宋体" w:cs="宋体"/>
          <w:b/>
          <w:bCs/>
          <w:color w:val="auto"/>
          <w:sz w:val="24"/>
        </w:rPr>
        <w:t>：</w:t>
      </w:r>
    </w:p>
    <w:p w14:paraId="0488962B">
      <w:pPr>
        <w:snapToGrid w:val="0"/>
        <w:spacing w:before="50" w:after="120" w:afterLines="50" w:line="360" w:lineRule="auto"/>
        <w:ind w:firstLine="472" w:firstLineChars="196"/>
        <w:jc w:val="left"/>
        <w:rPr>
          <w:rFonts w:ascii="宋体" w:hAnsi="宋体" w:cs="宋体"/>
          <w:b/>
          <w:color w:val="auto"/>
          <w:sz w:val="24"/>
        </w:rPr>
      </w:pPr>
      <w:r>
        <w:rPr>
          <w:rFonts w:hint="eastAsia" w:ascii="宋体" w:hAnsi="宋体" w:cs="宋体"/>
          <w:b/>
          <w:color w:val="auto"/>
          <w:sz w:val="24"/>
        </w:rPr>
        <w:t>若我公司中标时，在中标结果公示结束之日起3天内，愿按总则第（五）条规定向</w:t>
      </w:r>
      <w:r>
        <w:rPr>
          <w:rFonts w:hint="eastAsia" w:ascii="宋体" w:hAnsi="宋体" w:cs="宋体"/>
          <w:b/>
          <w:color w:val="auto"/>
          <w:sz w:val="24"/>
          <w:lang w:eastAsia="zh-CN"/>
        </w:rPr>
        <w:t>浙江衢州公信工程管理有限公司</w:t>
      </w:r>
      <w:r>
        <w:rPr>
          <w:rFonts w:hint="eastAsia" w:ascii="宋体" w:hAnsi="宋体" w:cs="宋体"/>
          <w:b/>
          <w:color w:val="auto"/>
          <w:sz w:val="24"/>
        </w:rPr>
        <w:t xml:space="preserve">支付中标服务费。    </w:t>
      </w:r>
    </w:p>
    <w:p w14:paraId="68347AD9">
      <w:pPr>
        <w:snapToGrid w:val="0"/>
        <w:spacing w:before="50" w:after="120" w:afterLines="50" w:line="360" w:lineRule="auto"/>
        <w:ind w:firstLine="472" w:firstLineChars="196"/>
        <w:jc w:val="left"/>
        <w:rPr>
          <w:rFonts w:ascii="宋体" w:hAnsi="宋体" w:cs="宋体"/>
          <w:b/>
          <w:bCs/>
          <w:color w:val="auto"/>
          <w:sz w:val="24"/>
        </w:rPr>
      </w:pPr>
      <w:r>
        <w:rPr>
          <w:rFonts w:hint="eastAsia" w:ascii="宋体" w:hAnsi="宋体" w:cs="宋体"/>
          <w:b/>
          <w:color w:val="auto"/>
          <w:sz w:val="24"/>
        </w:rPr>
        <w:t>我方如未在规定时间内交纳时，承诺凭贵方开出的违约通知，按上述承诺金额标准的200%交纳，由采购人在本次招标项目的货款中直接扣缴，并同意贵方以失信单位上报东阳市财政局采监科。</w:t>
      </w:r>
    </w:p>
    <w:p w14:paraId="3CCC6360">
      <w:pPr>
        <w:snapToGrid w:val="0"/>
        <w:spacing w:before="50" w:after="120" w:afterLines="50" w:line="360" w:lineRule="auto"/>
        <w:jc w:val="left"/>
        <w:rPr>
          <w:rFonts w:ascii="宋体" w:hAnsi="宋体" w:cs="宋体"/>
          <w:b/>
          <w:color w:val="auto"/>
          <w:sz w:val="24"/>
        </w:rPr>
      </w:pPr>
      <w:r>
        <w:rPr>
          <w:rFonts w:hint="eastAsia" w:ascii="宋体" w:hAnsi="宋体" w:cs="宋体"/>
          <w:b/>
          <w:color w:val="auto"/>
          <w:sz w:val="24"/>
        </w:rPr>
        <w:t>特此承诺！</w:t>
      </w:r>
    </w:p>
    <w:p w14:paraId="3210EA96">
      <w:pPr>
        <w:snapToGrid w:val="0"/>
        <w:spacing w:before="50" w:after="120" w:afterLines="50" w:line="360" w:lineRule="auto"/>
        <w:jc w:val="left"/>
        <w:rPr>
          <w:rFonts w:ascii="宋体" w:hAnsi="宋体" w:cs="宋体"/>
          <w:b/>
          <w:color w:val="auto"/>
          <w:sz w:val="24"/>
        </w:rPr>
      </w:pPr>
    </w:p>
    <w:p w14:paraId="3EAF9C63">
      <w:pPr>
        <w:snapToGrid w:val="0"/>
        <w:spacing w:before="50" w:after="120" w:afterLines="50"/>
        <w:jc w:val="left"/>
        <w:rPr>
          <w:rFonts w:ascii="宋体" w:hAnsi="宋体" w:cs="宋体"/>
          <w:b/>
          <w:color w:val="auto"/>
          <w:sz w:val="24"/>
        </w:rPr>
      </w:pPr>
    </w:p>
    <w:p w14:paraId="62F68B06">
      <w:pPr>
        <w:snapToGrid w:val="0"/>
        <w:spacing w:before="50" w:after="120" w:afterLines="50"/>
        <w:jc w:val="left"/>
        <w:rPr>
          <w:rFonts w:ascii="宋体" w:hAnsi="宋体" w:cs="宋体"/>
          <w:b/>
          <w:color w:val="auto"/>
          <w:sz w:val="24"/>
        </w:rPr>
      </w:pPr>
    </w:p>
    <w:p w14:paraId="20FC6B52">
      <w:pPr>
        <w:snapToGrid w:val="0"/>
        <w:spacing w:before="50" w:after="120" w:afterLines="50"/>
        <w:jc w:val="left"/>
        <w:rPr>
          <w:rFonts w:ascii="宋体" w:hAnsi="宋体" w:cs="宋体"/>
          <w:b/>
          <w:color w:val="auto"/>
          <w:sz w:val="24"/>
        </w:rPr>
      </w:pPr>
    </w:p>
    <w:p w14:paraId="53602679">
      <w:pPr>
        <w:snapToGrid w:val="0"/>
        <w:spacing w:before="50" w:after="120" w:afterLines="50"/>
        <w:jc w:val="left"/>
        <w:rPr>
          <w:rFonts w:ascii="宋体" w:hAnsi="宋体" w:cs="宋体"/>
          <w:b/>
          <w:color w:val="auto"/>
          <w:sz w:val="24"/>
        </w:rPr>
      </w:pPr>
    </w:p>
    <w:p w14:paraId="121A9E31">
      <w:pPr>
        <w:snapToGrid w:val="0"/>
        <w:spacing w:before="50" w:after="120" w:afterLines="50"/>
        <w:jc w:val="left"/>
        <w:rPr>
          <w:rFonts w:ascii="宋体" w:hAnsi="宋体" w:cs="宋体"/>
          <w:b/>
          <w:color w:val="auto"/>
          <w:sz w:val="24"/>
        </w:rPr>
      </w:pPr>
    </w:p>
    <w:p w14:paraId="318476CA">
      <w:pPr>
        <w:snapToGrid w:val="0"/>
        <w:spacing w:before="50" w:after="120" w:afterLines="50"/>
        <w:ind w:firstLine="236" w:firstLineChars="98"/>
        <w:jc w:val="left"/>
        <w:rPr>
          <w:rFonts w:ascii="宋体" w:hAnsi="宋体" w:cs="宋体"/>
          <w:b/>
          <w:color w:val="auto"/>
          <w:sz w:val="24"/>
        </w:rPr>
      </w:pPr>
      <w:r>
        <w:rPr>
          <w:rFonts w:hint="eastAsia" w:ascii="宋体" w:hAnsi="宋体" w:cs="宋体"/>
          <w:b/>
          <w:color w:val="auto"/>
          <w:sz w:val="24"/>
        </w:rPr>
        <w:t>承诺单位(盖章)：</w:t>
      </w:r>
    </w:p>
    <w:p w14:paraId="7FE75B90">
      <w:pPr>
        <w:snapToGrid w:val="0"/>
        <w:spacing w:before="50" w:after="120" w:afterLines="50"/>
        <w:jc w:val="left"/>
        <w:rPr>
          <w:rFonts w:ascii="宋体" w:hAnsi="宋体" w:cs="宋体"/>
          <w:b/>
          <w:color w:val="auto"/>
          <w:sz w:val="24"/>
        </w:rPr>
      </w:pPr>
    </w:p>
    <w:p w14:paraId="5F2BD4BF">
      <w:pPr>
        <w:snapToGrid w:val="0"/>
        <w:spacing w:before="50" w:after="120" w:afterLines="50"/>
        <w:jc w:val="left"/>
        <w:rPr>
          <w:rFonts w:ascii="宋体" w:hAnsi="宋体" w:cs="宋体"/>
          <w:b/>
          <w:color w:val="auto"/>
          <w:sz w:val="24"/>
        </w:rPr>
      </w:pPr>
    </w:p>
    <w:p w14:paraId="00636F49">
      <w:pPr>
        <w:snapToGrid w:val="0"/>
        <w:spacing w:before="50" w:after="120" w:afterLines="50"/>
        <w:ind w:firstLine="236" w:firstLineChars="98"/>
        <w:jc w:val="left"/>
        <w:rPr>
          <w:rFonts w:ascii="宋体" w:hAnsi="宋体" w:cs="宋体"/>
          <w:b/>
          <w:color w:val="auto"/>
          <w:sz w:val="24"/>
        </w:rPr>
      </w:pPr>
      <w:r>
        <w:rPr>
          <w:rFonts w:hint="eastAsia" w:ascii="宋体" w:hAnsi="宋体" w:cs="宋体"/>
          <w:b/>
          <w:color w:val="auto"/>
          <w:sz w:val="24"/>
        </w:rPr>
        <w:t>法定代表人或委托代理人(签字)：</w:t>
      </w:r>
    </w:p>
    <w:p w14:paraId="523C17DE">
      <w:pPr>
        <w:snapToGrid w:val="0"/>
        <w:spacing w:before="50" w:after="120" w:afterLines="50"/>
        <w:jc w:val="left"/>
        <w:rPr>
          <w:rFonts w:ascii="宋体" w:hAnsi="宋体" w:cs="宋体"/>
          <w:b/>
          <w:bCs/>
          <w:color w:val="auto"/>
          <w:sz w:val="24"/>
        </w:rPr>
      </w:pPr>
    </w:p>
    <w:p w14:paraId="005F21B5">
      <w:pPr>
        <w:snapToGrid w:val="0"/>
        <w:spacing w:before="50" w:after="120" w:afterLines="50"/>
        <w:jc w:val="left"/>
        <w:rPr>
          <w:rFonts w:ascii="宋体" w:hAnsi="宋体" w:cs="宋体"/>
          <w:b/>
          <w:bCs/>
          <w:color w:val="auto"/>
          <w:sz w:val="24"/>
        </w:rPr>
      </w:pPr>
    </w:p>
    <w:p w14:paraId="207B28B5">
      <w:pPr>
        <w:snapToGrid w:val="0"/>
        <w:spacing w:before="50" w:after="120" w:afterLines="50"/>
        <w:ind w:firstLine="5980" w:firstLineChars="2482"/>
        <w:jc w:val="left"/>
        <w:rPr>
          <w:rFonts w:ascii="宋体" w:hAnsi="宋体" w:cs="宋体"/>
          <w:b/>
          <w:bCs/>
          <w:color w:val="auto"/>
          <w:sz w:val="24"/>
        </w:rPr>
      </w:pPr>
      <w:r>
        <w:rPr>
          <w:rFonts w:hint="eastAsia" w:ascii="宋体" w:hAnsi="宋体" w:cs="宋体"/>
          <w:b/>
          <w:bCs/>
          <w:color w:val="auto"/>
          <w:sz w:val="24"/>
        </w:rPr>
        <w:t>年     月    日</w:t>
      </w:r>
    </w:p>
    <w:p w14:paraId="7BCCC40E">
      <w:pPr>
        <w:pageBreakBefore/>
        <w:spacing w:before="260" w:after="260" w:line="415" w:lineRule="auto"/>
        <w:outlineLvl w:val="1"/>
        <w:rPr>
          <w:rFonts w:ascii="宋体" w:hAnsi="宋体" w:cs="宋体"/>
          <w:b/>
          <w:color w:val="auto"/>
          <w:sz w:val="24"/>
          <w:szCs w:val="32"/>
        </w:rPr>
      </w:pPr>
      <w:bookmarkStart w:id="92" w:name="_Toc496598995"/>
      <w:bookmarkStart w:id="93" w:name="_Toc6509"/>
      <w:r>
        <w:rPr>
          <w:rFonts w:hint="eastAsia" w:ascii="宋体" w:hAnsi="宋体" w:cs="宋体"/>
          <w:b/>
          <w:color w:val="auto"/>
          <w:sz w:val="24"/>
          <w:szCs w:val="32"/>
        </w:rPr>
        <w:t>附件</w:t>
      </w:r>
      <w:r>
        <w:rPr>
          <w:rFonts w:hint="eastAsia" w:ascii="宋体" w:hAnsi="宋体" w:cs="宋体"/>
          <w:b/>
          <w:color w:val="auto"/>
          <w:sz w:val="24"/>
          <w:szCs w:val="32"/>
          <w:lang w:eastAsia="zh-CN"/>
        </w:rPr>
        <w:t>十三</w:t>
      </w:r>
      <w:r>
        <w:rPr>
          <w:rFonts w:hint="eastAsia" w:ascii="宋体" w:hAnsi="宋体" w:cs="宋体"/>
          <w:b/>
          <w:color w:val="auto"/>
          <w:sz w:val="24"/>
          <w:szCs w:val="32"/>
        </w:rPr>
        <w:t>:</w:t>
      </w:r>
      <w:bookmarkEnd w:id="92"/>
      <w:r>
        <w:rPr>
          <w:rFonts w:hint="eastAsia" w:ascii="宋体" w:hAnsi="宋体" w:cs="宋体"/>
          <w:b/>
          <w:color w:val="auto"/>
          <w:sz w:val="24"/>
          <w:szCs w:val="32"/>
        </w:rPr>
        <w:t>投标函</w:t>
      </w:r>
      <w:bookmarkEnd w:id="93"/>
    </w:p>
    <w:p w14:paraId="6462DC49">
      <w:pPr>
        <w:snapToGrid w:val="0"/>
        <w:spacing w:before="120" w:beforeLines="50" w:after="50"/>
        <w:jc w:val="center"/>
        <w:rPr>
          <w:rFonts w:ascii="宋体" w:hAnsi="宋体" w:cs="宋体"/>
          <w:b/>
          <w:color w:val="auto"/>
          <w:sz w:val="32"/>
          <w:szCs w:val="21"/>
        </w:rPr>
      </w:pPr>
      <w:r>
        <w:rPr>
          <w:rFonts w:hint="eastAsia" w:ascii="宋体" w:hAnsi="宋体" w:cs="宋体"/>
          <w:b/>
          <w:color w:val="auto"/>
          <w:sz w:val="32"/>
          <w:szCs w:val="28"/>
        </w:rPr>
        <w:t>投 标 函</w:t>
      </w:r>
    </w:p>
    <w:p w14:paraId="18D6E2C7">
      <w:pPr>
        <w:snapToGrid w:val="0"/>
        <w:spacing w:line="360" w:lineRule="auto"/>
        <w:rPr>
          <w:rFonts w:ascii="宋体" w:hAnsi="宋体" w:cs="宋体"/>
          <w:color w:val="auto"/>
          <w:sz w:val="24"/>
          <w:szCs w:val="20"/>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（招标采购单位名称）：</w:t>
      </w:r>
    </w:p>
    <w:p w14:paraId="23246B12">
      <w:pPr>
        <w:snapToGrid w:val="0"/>
        <w:spacing w:line="360" w:lineRule="auto"/>
        <w:ind w:firstLine="480"/>
        <w:rPr>
          <w:rFonts w:ascii="宋体" w:hAnsi="宋体" w:cs="宋体"/>
          <w:color w:val="auto"/>
          <w:sz w:val="24"/>
          <w:szCs w:val="20"/>
        </w:rPr>
      </w:pPr>
      <w:r>
        <w:rPr>
          <w:rFonts w:hint="eastAsia" w:ascii="宋体" w:hAnsi="宋体" w:cs="宋体"/>
          <w:color w:val="auto"/>
          <w:sz w:val="24"/>
        </w:rPr>
        <w:t>根据贵方为</w:t>
      </w:r>
      <w:r>
        <w:rPr>
          <w:rFonts w:hint="eastAsia" w:ascii="宋体" w:hAnsi="宋体" w:cs="宋体"/>
          <w:color w:val="auto"/>
          <w:sz w:val="24"/>
          <w:u w:val="single"/>
        </w:rPr>
        <w:t xml:space="preserve">                             </w:t>
      </w:r>
      <w:r>
        <w:rPr>
          <w:rFonts w:hint="eastAsia" w:ascii="宋体" w:hAnsi="宋体" w:cs="宋体"/>
          <w:color w:val="auto"/>
          <w:sz w:val="24"/>
        </w:rPr>
        <w:t>项目的招标公告/投标邀请书</w:t>
      </w:r>
    </w:p>
    <w:p w14:paraId="7837FFB4">
      <w:pPr>
        <w:snapToGrid w:val="0"/>
        <w:spacing w:line="360" w:lineRule="auto"/>
        <w:rPr>
          <w:rFonts w:ascii="宋体" w:hAnsi="宋体" w:cs="宋体"/>
          <w:color w:val="auto"/>
          <w:sz w:val="24"/>
          <w:szCs w:val="20"/>
        </w:rPr>
      </w:pPr>
      <w:r>
        <w:rPr>
          <w:rFonts w:hint="eastAsia" w:ascii="宋体" w:hAnsi="宋体" w:cs="宋体"/>
          <w:color w:val="auto"/>
          <w:sz w:val="24"/>
        </w:rPr>
        <w:t>（项目编号：</w:t>
      </w:r>
      <w:r>
        <w:rPr>
          <w:rFonts w:hint="eastAsia" w:ascii="宋体" w:hAnsi="宋体" w:cs="宋体"/>
          <w:color w:val="auto"/>
          <w:sz w:val="24"/>
          <w:u w:val="single"/>
        </w:rPr>
        <w:t xml:space="preserve">          </w:t>
      </w:r>
      <w:r>
        <w:rPr>
          <w:rFonts w:hint="eastAsia" w:ascii="宋体" w:hAnsi="宋体" w:cs="宋体"/>
          <w:color w:val="auto"/>
          <w:sz w:val="24"/>
        </w:rPr>
        <w:t>），签字代表</w:t>
      </w:r>
      <w:r>
        <w:rPr>
          <w:rFonts w:hint="eastAsia" w:ascii="宋体" w:hAnsi="宋体" w:cs="宋体"/>
          <w:color w:val="auto"/>
          <w:sz w:val="24"/>
          <w:u w:val="single"/>
        </w:rPr>
        <w:t xml:space="preserve">         </w:t>
      </w:r>
      <w:r>
        <w:rPr>
          <w:rFonts w:hint="eastAsia" w:ascii="宋体" w:hAnsi="宋体" w:cs="宋体"/>
          <w:color w:val="auto"/>
          <w:sz w:val="24"/>
        </w:rPr>
        <w:t>（全名）经正式授权并代表投标人</w:t>
      </w:r>
      <w:r>
        <w:rPr>
          <w:rFonts w:hint="eastAsia" w:ascii="宋体" w:hAnsi="宋体" w:cs="宋体"/>
          <w:color w:val="auto"/>
          <w:sz w:val="24"/>
          <w:u w:val="single"/>
        </w:rPr>
        <w:t xml:space="preserve">       </w:t>
      </w:r>
      <w:r>
        <w:rPr>
          <w:rFonts w:hint="eastAsia" w:ascii="宋体" w:hAnsi="宋体" w:cs="宋体"/>
          <w:color w:val="auto"/>
          <w:sz w:val="24"/>
        </w:rPr>
        <w:t>（投标人名称）提交电子投标文件。</w:t>
      </w:r>
    </w:p>
    <w:p w14:paraId="04FC3802">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rPr>
        <w:t>据此函，签字代表宣布同意如下：</w:t>
      </w:r>
    </w:p>
    <w:p w14:paraId="5C4FFCA2">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rPr>
        <w:t>1.投标人已详细审查全部“招标文件”，包括修改文件（如有的话）以及全部参考资料和有关附件，已经了解我方对于招标文件、采购过程、采购结果有依法进行询问、质疑、投诉的权利及相关渠道和要求。</w:t>
      </w:r>
    </w:p>
    <w:p w14:paraId="6F852CFD">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rPr>
        <w:t>2.投标人在投标之前已经与贵方进行了充分的沟通，完全理解并接受招标文件的各项规定和要求，对招标文件的合理性、合法性不再有异议。</w:t>
      </w:r>
    </w:p>
    <w:p w14:paraId="571BF0AE">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rPr>
        <w:t>3.本投标有效期自开标日起 ______天。</w:t>
      </w:r>
    </w:p>
    <w:p w14:paraId="13BD69AC">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rPr>
        <w:t>4.如中标，本投标文件至本项目合同履行完毕止均保持有效，本投标人将按“招标文件”及政府采购法律、法规的规定履行合同责任和义务。</w:t>
      </w:r>
    </w:p>
    <w:p w14:paraId="4AB249C5">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rPr>
        <w:t>5.投标人同意按照贵方要求提供与投标有关的一切数据或资料。</w:t>
      </w:r>
    </w:p>
    <w:p w14:paraId="477A28EA">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rPr>
        <w:t>6.与本投标有关的一切正式往来信函请寄：</w:t>
      </w:r>
    </w:p>
    <w:p w14:paraId="263CF937">
      <w:pPr>
        <w:snapToGrid w:val="0"/>
        <w:spacing w:line="360" w:lineRule="auto"/>
        <w:rPr>
          <w:rFonts w:ascii="宋体" w:hAnsi="宋体" w:cs="宋体"/>
          <w:color w:val="auto"/>
          <w:sz w:val="24"/>
          <w:szCs w:val="20"/>
        </w:rPr>
      </w:pPr>
      <w:r>
        <w:rPr>
          <w:rFonts w:hint="eastAsia" w:ascii="宋体" w:hAnsi="宋体" w:cs="宋体"/>
          <w:color w:val="auto"/>
          <w:sz w:val="24"/>
        </w:rPr>
        <w:t>地址：__________</w:t>
      </w:r>
      <w:r>
        <w:rPr>
          <w:rFonts w:hint="eastAsia" w:ascii="宋体" w:hAnsi="宋体" w:cs="宋体"/>
          <w:color w:val="auto"/>
          <w:sz w:val="24"/>
          <w:u w:val="single"/>
        </w:rPr>
        <w:t xml:space="preserve">        _</w:t>
      </w:r>
      <w:r>
        <w:rPr>
          <w:rFonts w:hint="eastAsia" w:ascii="宋体" w:hAnsi="宋体" w:cs="宋体"/>
          <w:color w:val="auto"/>
          <w:sz w:val="24"/>
        </w:rPr>
        <w:t>____邮编：__________   电话：______________</w:t>
      </w:r>
    </w:p>
    <w:p w14:paraId="6BE35BBA">
      <w:pPr>
        <w:snapToGrid w:val="0"/>
        <w:spacing w:line="360" w:lineRule="auto"/>
        <w:rPr>
          <w:rFonts w:ascii="宋体" w:hAnsi="宋体" w:cs="宋体"/>
          <w:color w:val="auto"/>
          <w:sz w:val="24"/>
          <w:szCs w:val="20"/>
        </w:rPr>
      </w:pPr>
      <w:r>
        <w:rPr>
          <w:rFonts w:hint="eastAsia" w:ascii="宋体" w:hAnsi="宋体" w:cs="宋体"/>
          <w:color w:val="auto"/>
          <w:sz w:val="24"/>
        </w:rPr>
        <w:t>传真：______________投标人代表姓名 ___________  职务：______</w:t>
      </w:r>
      <w:r>
        <w:rPr>
          <w:rFonts w:hint="eastAsia" w:ascii="宋体" w:hAnsi="宋体" w:cs="宋体"/>
          <w:color w:val="auto"/>
          <w:sz w:val="24"/>
          <w:u w:val="single"/>
        </w:rPr>
        <w:t xml:space="preserve"> </w:t>
      </w:r>
      <w:r>
        <w:rPr>
          <w:rFonts w:hint="eastAsia" w:ascii="宋体" w:hAnsi="宋体" w:cs="宋体"/>
          <w:color w:val="auto"/>
          <w:sz w:val="24"/>
        </w:rPr>
        <w:t>_______</w:t>
      </w:r>
    </w:p>
    <w:p w14:paraId="1979BBC0">
      <w:pPr>
        <w:snapToGrid w:val="0"/>
        <w:spacing w:line="360" w:lineRule="auto"/>
        <w:rPr>
          <w:rFonts w:ascii="宋体" w:hAnsi="宋体" w:cs="宋体"/>
          <w:color w:val="auto"/>
          <w:sz w:val="24"/>
        </w:rPr>
      </w:pPr>
    </w:p>
    <w:p w14:paraId="516EF521">
      <w:pPr>
        <w:snapToGrid w:val="0"/>
        <w:spacing w:line="360" w:lineRule="auto"/>
        <w:rPr>
          <w:rFonts w:ascii="宋体" w:hAnsi="宋体" w:cs="宋体"/>
          <w:color w:val="auto"/>
          <w:sz w:val="24"/>
        </w:rPr>
      </w:pPr>
    </w:p>
    <w:p w14:paraId="1D6BB518">
      <w:pPr>
        <w:snapToGrid w:val="0"/>
        <w:spacing w:line="360" w:lineRule="auto"/>
        <w:rPr>
          <w:rFonts w:ascii="宋体" w:hAnsi="宋体" w:cs="宋体"/>
          <w:color w:val="auto"/>
          <w:sz w:val="24"/>
          <w:szCs w:val="20"/>
        </w:rPr>
      </w:pPr>
      <w:r>
        <w:rPr>
          <w:rFonts w:hint="eastAsia" w:ascii="宋体" w:hAnsi="宋体" w:cs="宋体"/>
          <w:color w:val="auto"/>
          <w:sz w:val="24"/>
        </w:rPr>
        <w:t>投标人名称(公章):___________________</w:t>
      </w:r>
    </w:p>
    <w:p w14:paraId="2035C93C">
      <w:pPr>
        <w:snapToGrid w:val="0"/>
        <w:spacing w:line="360" w:lineRule="auto"/>
        <w:rPr>
          <w:rFonts w:ascii="宋体" w:hAnsi="宋体" w:cs="宋体"/>
          <w:color w:val="auto"/>
          <w:sz w:val="24"/>
        </w:rPr>
      </w:pPr>
      <w:r>
        <w:rPr>
          <w:rFonts w:hint="eastAsia" w:ascii="宋体" w:hAnsi="宋体" w:cs="宋体"/>
          <w:color w:val="auto"/>
          <w:sz w:val="24"/>
        </w:rPr>
        <w:t xml:space="preserve">委托代理人签字:___________ </w:t>
      </w:r>
    </w:p>
    <w:p w14:paraId="08B686EA">
      <w:pPr>
        <w:snapToGrid w:val="0"/>
        <w:spacing w:line="360" w:lineRule="auto"/>
        <w:rPr>
          <w:rFonts w:ascii="宋体" w:hAnsi="宋体" w:cs="宋体"/>
          <w:color w:val="auto"/>
          <w:sz w:val="30"/>
          <w:szCs w:val="20"/>
        </w:rPr>
      </w:pPr>
      <w:r>
        <w:rPr>
          <w:rFonts w:hint="eastAsia" w:ascii="宋体" w:hAnsi="宋体" w:cs="宋体"/>
          <w:color w:val="auto"/>
          <w:sz w:val="24"/>
        </w:rPr>
        <w:t>日期:_____年___月___日</w:t>
      </w:r>
    </w:p>
    <w:p w14:paraId="2CC01BBB">
      <w:pPr>
        <w:pStyle w:val="12"/>
        <w:spacing w:before="120" w:after="120"/>
        <w:jc w:val="center"/>
        <w:rPr>
          <w:b/>
          <w:bCs/>
          <w:color w:val="auto"/>
          <w:sz w:val="30"/>
          <w:szCs w:val="30"/>
        </w:rPr>
      </w:pPr>
    </w:p>
    <w:p w14:paraId="52694B7A">
      <w:pPr>
        <w:pStyle w:val="12"/>
        <w:spacing w:before="120" w:after="120"/>
        <w:jc w:val="center"/>
        <w:rPr>
          <w:b/>
          <w:bCs/>
          <w:color w:val="auto"/>
          <w:sz w:val="30"/>
          <w:szCs w:val="30"/>
        </w:rPr>
      </w:pPr>
    </w:p>
    <w:p w14:paraId="4E4C87A0">
      <w:pPr>
        <w:pStyle w:val="12"/>
        <w:spacing w:before="120" w:after="120"/>
        <w:jc w:val="center"/>
        <w:rPr>
          <w:b/>
          <w:bCs/>
          <w:color w:val="auto"/>
          <w:sz w:val="30"/>
          <w:szCs w:val="30"/>
        </w:rPr>
      </w:pPr>
    </w:p>
    <w:p w14:paraId="2E84C731">
      <w:pPr>
        <w:pStyle w:val="12"/>
        <w:spacing w:before="120" w:after="120"/>
        <w:jc w:val="center"/>
        <w:rPr>
          <w:b/>
          <w:bCs/>
          <w:color w:val="auto"/>
          <w:sz w:val="30"/>
          <w:szCs w:val="30"/>
        </w:rPr>
      </w:pPr>
    </w:p>
    <w:p w14:paraId="2CA4D86D">
      <w:pPr>
        <w:pStyle w:val="12"/>
        <w:spacing w:before="120" w:after="120"/>
        <w:jc w:val="center"/>
        <w:rPr>
          <w:b/>
          <w:bCs/>
          <w:color w:val="auto"/>
          <w:sz w:val="30"/>
          <w:szCs w:val="30"/>
        </w:rPr>
      </w:pPr>
    </w:p>
    <w:p w14:paraId="6A9734A4">
      <w:pPr>
        <w:pageBreakBefore/>
        <w:spacing w:before="260" w:after="260" w:line="415" w:lineRule="auto"/>
        <w:outlineLvl w:val="1"/>
        <w:rPr>
          <w:rFonts w:ascii="宋体" w:hAnsi="宋体" w:cs="宋体"/>
          <w:b/>
          <w:color w:val="auto"/>
          <w:sz w:val="24"/>
          <w:szCs w:val="32"/>
        </w:rPr>
      </w:pPr>
      <w:r>
        <w:rPr>
          <w:rFonts w:hint="eastAsia" w:ascii="宋体" w:hAnsi="宋体" w:cs="宋体"/>
          <w:b/>
          <w:color w:val="auto"/>
          <w:sz w:val="24"/>
          <w:szCs w:val="32"/>
        </w:rPr>
        <w:t>附件</w:t>
      </w:r>
      <w:r>
        <w:rPr>
          <w:rFonts w:hint="eastAsia" w:ascii="宋体" w:hAnsi="宋体" w:cs="宋体"/>
          <w:b/>
          <w:color w:val="auto"/>
          <w:sz w:val="24"/>
          <w:szCs w:val="32"/>
          <w:lang w:eastAsia="zh-CN"/>
        </w:rPr>
        <w:t>十四</w:t>
      </w:r>
      <w:r>
        <w:rPr>
          <w:rFonts w:hint="eastAsia" w:ascii="宋体" w:hAnsi="宋体" w:cs="宋体"/>
          <w:b/>
          <w:color w:val="auto"/>
          <w:sz w:val="24"/>
          <w:szCs w:val="32"/>
        </w:rPr>
        <w:t>:开标一览表：</w:t>
      </w:r>
    </w:p>
    <w:p w14:paraId="4450ADE5">
      <w:pPr>
        <w:snapToGrid w:val="0"/>
        <w:spacing w:line="276" w:lineRule="auto"/>
        <w:jc w:val="center"/>
        <w:rPr>
          <w:b/>
          <w:color w:val="auto"/>
          <w:szCs w:val="21"/>
        </w:rPr>
      </w:pPr>
      <w:r>
        <w:rPr>
          <w:rFonts w:hint="eastAsia"/>
          <w:b/>
          <w:color w:val="auto"/>
        </w:rPr>
        <w:t>14</w:t>
      </w:r>
      <w:r>
        <w:rPr>
          <w:rFonts w:hAnsi="宋体"/>
          <w:b/>
          <w:color w:val="auto"/>
        </w:rPr>
        <w:t>、</w:t>
      </w:r>
      <w:r>
        <w:rPr>
          <w:rFonts w:hAnsi="宋体"/>
          <w:b/>
          <w:color w:val="auto"/>
          <w:szCs w:val="21"/>
        </w:rPr>
        <w:t>开标一览表</w:t>
      </w:r>
    </w:p>
    <w:p w14:paraId="5D75F72D">
      <w:pPr>
        <w:pStyle w:val="62"/>
        <w:spacing w:line="360" w:lineRule="auto"/>
        <w:ind w:firstLine="240"/>
        <w:rPr>
          <w:rFonts w:ascii="Times New Roman" w:hAnsi="Times New Roman" w:eastAsia="宋体"/>
          <w:color w:val="auto"/>
          <w:sz w:val="21"/>
          <w:szCs w:val="21"/>
        </w:rPr>
      </w:pPr>
    </w:p>
    <w:p w14:paraId="7FB36E5C">
      <w:pPr>
        <w:pStyle w:val="62"/>
        <w:spacing w:line="360" w:lineRule="auto"/>
        <w:ind w:firstLine="240"/>
        <w:rPr>
          <w:rFonts w:ascii="Times New Roman" w:hAnsi="宋体" w:eastAsia="宋体"/>
          <w:color w:val="auto"/>
          <w:sz w:val="21"/>
          <w:szCs w:val="21"/>
        </w:rPr>
      </w:pPr>
      <w:r>
        <w:rPr>
          <w:rFonts w:ascii="Times New Roman" w:hAnsi="宋体" w:eastAsia="宋体"/>
          <w:color w:val="auto"/>
          <w:sz w:val="21"/>
          <w:szCs w:val="21"/>
        </w:rPr>
        <w:t>采购编号：</w:t>
      </w:r>
    </w:p>
    <w:p w14:paraId="3EBBCF7C">
      <w:pPr>
        <w:pStyle w:val="62"/>
        <w:spacing w:line="360" w:lineRule="auto"/>
        <w:ind w:firstLine="240"/>
        <w:rPr>
          <w:rFonts w:ascii="Times New Roman" w:hAnsi="宋体" w:eastAsia="宋体"/>
          <w:color w:val="auto"/>
          <w:sz w:val="21"/>
          <w:szCs w:val="21"/>
        </w:rPr>
      </w:pPr>
      <w:r>
        <w:rPr>
          <w:rFonts w:ascii="Times New Roman" w:hAnsi="宋体" w:eastAsia="宋体"/>
          <w:color w:val="auto"/>
          <w:sz w:val="21"/>
          <w:szCs w:val="21"/>
        </w:rPr>
        <w:t xml:space="preserve">项目名称：        </w:t>
      </w:r>
    </w:p>
    <w:p w14:paraId="06835291">
      <w:pPr>
        <w:pStyle w:val="62"/>
        <w:spacing w:line="360" w:lineRule="auto"/>
        <w:ind w:firstLine="240"/>
        <w:rPr>
          <w:rFonts w:hint="default" w:ascii="Times New Roman" w:hAnsi="宋体" w:eastAsia="宋体"/>
          <w:color w:val="auto"/>
          <w:sz w:val="21"/>
          <w:szCs w:val="21"/>
          <w:lang w:val="en-US" w:eastAsia="zh-CN"/>
        </w:rPr>
      </w:pPr>
      <w:r>
        <w:rPr>
          <w:rFonts w:ascii="Times New Roman" w:hAnsi="宋体" w:eastAsia="宋体"/>
          <w:color w:val="auto"/>
          <w:sz w:val="21"/>
          <w:szCs w:val="21"/>
        </w:rPr>
        <w:t xml:space="preserve">供应商名称：   </w:t>
      </w:r>
      <w:r>
        <w:rPr>
          <w:rFonts w:hint="eastAsia" w:ascii="Times New Roman" w:hAnsi="宋体" w:eastAsia="宋体"/>
          <w:color w:val="auto"/>
          <w:sz w:val="21"/>
          <w:szCs w:val="21"/>
          <w:lang w:val="en-US" w:eastAsia="zh-CN"/>
        </w:rPr>
        <w:t xml:space="preserve">                                                             </w:t>
      </w:r>
    </w:p>
    <w:tbl>
      <w:tblPr>
        <w:tblStyle w:val="24"/>
        <w:tblW w:w="9854" w:type="dxa"/>
        <w:jc w:val="center"/>
        <w:tblLayout w:type="fixed"/>
        <w:tblCellMar>
          <w:top w:w="0" w:type="dxa"/>
          <w:left w:w="108" w:type="dxa"/>
          <w:bottom w:w="0" w:type="dxa"/>
          <w:right w:w="108" w:type="dxa"/>
        </w:tblCellMar>
      </w:tblPr>
      <w:tblGrid>
        <w:gridCol w:w="1502"/>
        <w:gridCol w:w="3138"/>
        <w:gridCol w:w="2607"/>
        <w:gridCol w:w="2607"/>
      </w:tblGrid>
      <w:tr w14:paraId="14E8FE76">
        <w:tblPrEx>
          <w:tblCellMar>
            <w:top w:w="0" w:type="dxa"/>
            <w:left w:w="108" w:type="dxa"/>
            <w:bottom w:w="0" w:type="dxa"/>
            <w:right w:w="108" w:type="dxa"/>
          </w:tblCellMar>
        </w:tblPrEx>
        <w:trPr>
          <w:trHeight w:val="564" w:hRule="atLeast"/>
          <w:jc w:val="center"/>
        </w:trPr>
        <w:tc>
          <w:tcPr>
            <w:tcW w:w="1502" w:type="dxa"/>
            <w:tcBorders>
              <w:top w:val="single" w:color="auto" w:sz="4" w:space="0"/>
              <w:left w:val="single" w:color="auto" w:sz="4" w:space="0"/>
              <w:bottom w:val="single" w:color="auto" w:sz="4" w:space="0"/>
              <w:right w:val="single" w:color="auto" w:sz="4" w:space="0"/>
            </w:tcBorders>
            <w:noWrap w:val="0"/>
            <w:vAlign w:val="center"/>
          </w:tcPr>
          <w:p w14:paraId="7597A5E4">
            <w:pPr>
              <w:pStyle w:val="62"/>
              <w:spacing w:line="360" w:lineRule="auto"/>
              <w:jc w:val="center"/>
              <w:rPr>
                <w:rFonts w:ascii="Times New Roman" w:hAnsi="Times New Roman" w:eastAsia="宋体"/>
                <w:color w:val="auto"/>
                <w:sz w:val="21"/>
                <w:szCs w:val="21"/>
                <w:u w:val="single"/>
              </w:rPr>
            </w:pPr>
            <w:r>
              <w:rPr>
                <w:rFonts w:ascii="Times New Roman" w:hAnsi="宋体" w:eastAsia="宋体"/>
                <w:color w:val="auto"/>
                <w:sz w:val="21"/>
                <w:szCs w:val="21"/>
                <w:u w:val="single"/>
              </w:rPr>
              <w:t>序号</w:t>
            </w:r>
          </w:p>
        </w:tc>
        <w:tc>
          <w:tcPr>
            <w:tcW w:w="3138" w:type="dxa"/>
            <w:tcBorders>
              <w:top w:val="single" w:color="auto" w:sz="4" w:space="0"/>
              <w:left w:val="single" w:color="auto" w:sz="4" w:space="0"/>
              <w:bottom w:val="single" w:color="auto" w:sz="4" w:space="0"/>
              <w:right w:val="single" w:color="auto" w:sz="4" w:space="0"/>
            </w:tcBorders>
            <w:noWrap w:val="0"/>
            <w:vAlign w:val="center"/>
          </w:tcPr>
          <w:p w14:paraId="0399B44E">
            <w:pPr>
              <w:pStyle w:val="62"/>
              <w:spacing w:line="360" w:lineRule="auto"/>
              <w:jc w:val="center"/>
              <w:rPr>
                <w:rFonts w:hint="eastAsia" w:ascii="Times New Roman" w:hAnsi="Times New Roman" w:eastAsia="宋体"/>
                <w:color w:val="auto"/>
                <w:sz w:val="21"/>
                <w:szCs w:val="21"/>
                <w:lang w:eastAsia="zh-CN"/>
              </w:rPr>
            </w:pPr>
            <w:r>
              <w:rPr>
                <w:rFonts w:hint="eastAsia" w:ascii="Times New Roman" w:hAnsi="宋体" w:eastAsia="宋体"/>
                <w:color w:val="auto"/>
                <w:sz w:val="21"/>
                <w:szCs w:val="21"/>
                <w:lang w:eastAsia="zh-CN"/>
              </w:rPr>
              <w:t>采购内容</w:t>
            </w:r>
          </w:p>
        </w:tc>
        <w:tc>
          <w:tcPr>
            <w:tcW w:w="2607" w:type="dxa"/>
            <w:tcBorders>
              <w:top w:val="single" w:color="auto" w:sz="4" w:space="0"/>
              <w:left w:val="single" w:color="auto" w:sz="4" w:space="0"/>
              <w:bottom w:val="single" w:color="auto" w:sz="4" w:space="0"/>
              <w:right w:val="single" w:color="auto" w:sz="4" w:space="0"/>
            </w:tcBorders>
            <w:noWrap w:val="0"/>
            <w:vAlign w:val="center"/>
          </w:tcPr>
          <w:p w14:paraId="11A078AF">
            <w:pPr>
              <w:pStyle w:val="62"/>
              <w:spacing w:line="360" w:lineRule="auto"/>
              <w:jc w:val="center"/>
              <w:rPr>
                <w:rFonts w:ascii="Times New Roman" w:hAnsi="Times New Roman" w:eastAsia="宋体"/>
                <w:color w:val="auto"/>
                <w:sz w:val="21"/>
                <w:szCs w:val="21"/>
              </w:rPr>
            </w:pPr>
            <w:r>
              <w:rPr>
                <w:rFonts w:hint="eastAsia" w:ascii="Times New Roman" w:hAnsi="宋体" w:eastAsia="宋体"/>
                <w:color w:val="auto"/>
                <w:sz w:val="21"/>
                <w:szCs w:val="21"/>
                <w:highlight w:val="none"/>
                <w:lang w:val="en-US" w:eastAsia="zh-CN"/>
              </w:rPr>
              <w:t>最高单价限价</w:t>
            </w:r>
            <w:r>
              <w:rPr>
                <w:rFonts w:ascii="Times New Roman" w:hAnsi="宋体" w:eastAsia="宋体"/>
                <w:color w:val="auto"/>
                <w:sz w:val="21"/>
                <w:szCs w:val="21"/>
                <w:highlight w:val="none"/>
              </w:rPr>
              <w:t>（元</w:t>
            </w:r>
            <w:r>
              <w:rPr>
                <w:rFonts w:ascii="Times New Roman" w:hAnsi="宋体" w:eastAsia="宋体"/>
                <w:color w:val="auto"/>
                <w:sz w:val="21"/>
                <w:szCs w:val="21"/>
              </w:rPr>
              <w:t>/吨）</w:t>
            </w:r>
          </w:p>
        </w:tc>
        <w:tc>
          <w:tcPr>
            <w:tcW w:w="2607" w:type="dxa"/>
            <w:tcBorders>
              <w:top w:val="single" w:color="auto" w:sz="4" w:space="0"/>
              <w:left w:val="single" w:color="auto" w:sz="4" w:space="0"/>
              <w:bottom w:val="single" w:color="auto" w:sz="4" w:space="0"/>
              <w:right w:val="single" w:color="auto" w:sz="4" w:space="0"/>
            </w:tcBorders>
            <w:noWrap w:val="0"/>
            <w:vAlign w:val="center"/>
          </w:tcPr>
          <w:p w14:paraId="2F85A606">
            <w:pPr>
              <w:pStyle w:val="62"/>
              <w:spacing w:line="360" w:lineRule="auto"/>
              <w:jc w:val="center"/>
              <w:rPr>
                <w:rFonts w:hint="default" w:ascii="Times New Roman" w:hAnsi="Times New Roman" w:eastAsia="宋体"/>
                <w:color w:val="auto"/>
                <w:sz w:val="21"/>
                <w:szCs w:val="21"/>
                <w:u w:val="single"/>
                <w:lang w:val="en-US" w:eastAsia="zh-CN"/>
              </w:rPr>
            </w:pPr>
            <w:r>
              <w:rPr>
                <w:rFonts w:hint="default" w:ascii="Times New Roman" w:hAnsi="Times New Roman" w:eastAsia="宋体"/>
                <w:color w:val="auto"/>
                <w:sz w:val="21"/>
                <w:szCs w:val="21"/>
                <w:u w:val="none"/>
                <w:lang w:val="en-US" w:eastAsia="zh-CN"/>
              </w:rPr>
              <w:t>投标单价报价（元/吨）</w:t>
            </w:r>
          </w:p>
        </w:tc>
      </w:tr>
      <w:tr w14:paraId="0B186DD9">
        <w:tblPrEx>
          <w:tblCellMar>
            <w:top w:w="0" w:type="dxa"/>
            <w:left w:w="108" w:type="dxa"/>
            <w:bottom w:w="0" w:type="dxa"/>
            <w:right w:w="108" w:type="dxa"/>
          </w:tblCellMar>
        </w:tblPrEx>
        <w:trPr>
          <w:trHeight w:val="1419" w:hRule="atLeast"/>
          <w:jc w:val="center"/>
        </w:trPr>
        <w:tc>
          <w:tcPr>
            <w:tcW w:w="1502" w:type="dxa"/>
            <w:tcBorders>
              <w:top w:val="single" w:color="auto" w:sz="4" w:space="0"/>
              <w:left w:val="single" w:color="auto" w:sz="4" w:space="0"/>
              <w:bottom w:val="single" w:color="auto" w:sz="4" w:space="0"/>
              <w:right w:val="single" w:color="auto" w:sz="4" w:space="0"/>
            </w:tcBorders>
            <w:noWrap w:val="0"/>
            <w:vAlign w:val="center"/>
          </w:tcPr>
          <w:p w14:paraId="67F1DA7B">
            <w:pPr>
              <w:jc w:val="center"/>
              <w:rPr>
                <w:rFonts w:hint="eastAsia" w:hAnsi="宋体"/>
                <w:color w:val="auto"/>
                <w:szCs w:val="21"/>
              </w:rPr>
            </w:pPr>
            <w:r>
              <w:rPr>
                <w:rFonts w:hint="eastAsia" w:hAnsi="宋体"/>
                <w:color w:val="auto"/>
                <w:szCs w:val="21"/>
              </w:rPr>
              <w:t>一</w:t>
            </w:r>
          </w:p>
        </w:tc>
        <w:tc>
          <w:tcPr>
            <w:tcW w:w="3138" w:type="dxa"/>
            <w:tcBorders>
              <w:top w:val="single" w:color="auto" w:sz="4" w:space="0"/>
              <w:left w:val="single" w:color="auto" w:sz="4" w:space="0"/>
              <w:bottom w:val="single" w:color="auto" w:sz="4" w:space="0"/>
              <w:right w:val="single" w:color="auto" w:sz="4" w:space="0"/>
            </w:tcBorders>
            <w:noWrap w:val="0"/>
            <w:vAlign w:val="center"/>
          </w:tcPr>
          <w:p w14:paraId="360D91A0">
            <w:pPr>
              <w:jc w:val="center"/>
              <w:rPr>
                <w:rFonts w:hint="eastAsia" w:hAnsi="宋体" w:eastAsia="宋体"/>
                <w:color w:val="auto"/>
                <w:szCs w:val="21"/>
                <w:lang w:eastAsia="zh-CN"/>
              </w:rPr>
            </w:pPr>
            <w:r>
              <w:rPr>
                <w:rFonts w:hint="eastAsia" w:hAnsi="宋体"/>
                <w:color w:val="auto"/>
                <w:szCs w:val="21"/>
                <w:lang w:eastAsia="zh-CN"/>
              </w:rPr>
              <w:t>东阳市白云街道2024-2025年度枯死松树清理项目</w:t>
            </w:r>
          </w:p>
        </w:tc>
        <w:tc>
          <w:tcPr>
            <w:tcW w:w="2607" w:type="dxa"/>
            <w:tcBorders>
              <w:top w:val="single" w:color="auto" w:sz="4" w:space="0"/>
              <w:left w:val="single" w:color="auto" w:sz="4" w:space="0"/>
              <w:bottom w:val="single" w:color="auto" w:sz="4" w:space="0"/>
              <w:right w:val="single" w:color="auto" w:sz="4" w:space="0"/>
            </w:tcBorders>
            <w:noWrap w:val="0"/>
            <w:vAlign w:val="center"/>
          </w:tcPr>
          <w:p w14:paraId="7D6F2834">
            <w:pPr>
              <w:jc w:val="center"/>
              <w:rPr>
                <w:rFonts w:hint="eastAsia" w:hAnsi="宋体"/>
                <w:color w:val="auto"/>
                <w:szCs w:val="21"/>
              </w:rPr>
            </w:pPr>
            <w:r>
              <w:rPr>
                <w:rFonts w:hint="eastAsia" w:hAnsi="宋体"/>
                <w:color w:val="auto"/>
                <w:szCs w:val="21"/>
                <w:u w:val="none"/>
                <w:lang w:val="en-US" w:eastAsia="zh-CN"/>
              </w:rPr>
              <w:t xml:space="preserve">    950  </w:t>
            </w:r>
          </w:p>
        </w:tc>
        <w:tc>
          <w:tcPr>
            <w:tcW w:w="2607" w:type="dxa"/>
            <w:tcBorders>
              <w:top w:val="single" w:color="auto" w:sz="4" w:space="0"/>
              <w:left w:val="single" w:color="auto" w:sz="4" w:space="0"/>
              <w:bottom w:val="single" w:color="auto" w:sz="4" w:space="0"/>
              <w:right w:val="single" w:color="auto" w:sz="4" w:space="0"/>
            </w:tcBorders>
            <w:noWrap w:val="0"/>
            <w:vAlign w:val="center"/>
          </w:tcPr>
          <w:p w14:paraId="2ABD446E">
            <w:pPr>
              <w:jc w:val="center"/>
              <w:rPr>
                <w:rFonts w:hint="eastAsia" w:hAnsi="宋体" w:eastAsia="宋体"/>
                <w:color w:val="auto"/>
                <w:szCs w:val="21"/>
                <w:lang w:eastAsia="zh-CN"/>
              </w:rPr>
            </w:pPr>
            <w:r>
              <w:rPr>
                <w:rFonts w:hint="eastAsia" w:hAnsi="宋体"/>
                <w:color w:val="auto"/>
                <w:szCs w:val="21"/>
                <w:lang w:val="en-US" w:eastAsia="zh-CN"/>
              </w:rPr>
              <w:t xml:space="preserve"> </w:t>
            </w:r>
          </w:p>
        </w:tc>
      </w:tr>
      <w:tr w14:paraId="15C32783">
        <w:tblPrEx>
          <w:tblCellMar>
            <w:top w:w="0" w:type="dxa"/>
            <w:left w:w="108" w:type="dxa"/>
            <w:bottom w:w="0" w:type="dxa"/>
            <w:right w:w="108" w:type="dxa"/>
          </w:tblCellMar>
        </w:tblPrEx>
        <w:trPr>
          <w:trHeight w:val="959" w:hRule="atLeast"/>
          <w:jc w:val="center"/>
        </w:trPr>
        <w:tc>
          <w:tcPr>
            <w:tcW w:w="9854" w:type="dxa"/>
            <w:gridSpan w:val="4"/>
            <w:tcBorders>
              <w:top w:val="single" w:color="auto" w:sz="4" w:space="0"/>
              <w:left w:val="single" w:color="auto" w:sz="4" w:space="0"/>
              <w:bottom w:val="single" w:color="auto" w:sz="4" w:space="0"/>
              <w:right w:val="single" w:color="auto" w:sz="4" w:space="0"/>
            </w:tcBorders>
            <w:noWrap w:val="0"/>
            <w:vAlign w:val="center"/>
          </w:tcPr>
          <w:p w14:paraId="715E112F">
            <w:pPr>
              <w:pStyle w:val="62"/>
              <w:jc w:val="both"/>
              <w:rPr>
                <w:rFonts w:ascii="Times New Roman" w:hAnsi="宋体" w:eastAsia="宋体"/>
                <w:color w:val="auto"/>
                <w:sz w:val="21"/>
                <w:szCs w:val="21"/>
                <w:u w:val="single"/>
              </w:rPr>
            </w:pPr>
            <w:r>
              <w:rPr>
                <w:rFonts w:hint="eastAsia" w:ascii="Times New Roman" w:hAnsi="宋体" w:eastAsia="宋体"/>
                <w:color w:val="auto"/>
                <w:sz w:val="21"/>
                <w:szCs w:val="21"/>
                <w:u w:val="single"/>
              </w:rPr>
              <w:t xml:space="preserve">投标单价报价大写（人民币）：                            小写：                   </w:t>
            </w:r>
          </w:p>
        </w:tc>
      </w:tr>
    </w:tbl>
    <w:p w14:paraId="05E5B054">
      <w:pPr>
        <w:pStyle w:val="62"/>
        <w:spacing w:line="360" w:lineRule="auto"/>
        <w:ind w:firstLine="240"/>
        <w:rPr>
          <w:rFonts w:ascii="Times New Roman" w:hAnsi="宋体" w:eastAsia="宋体"/>
          <w:b/>
          <w:color w:val="auto"/>
          <w:sz w:val="21"/>
          <w:szCs w:val="21"/>
        </w:rPr>
      </w:pPr>
    </w:p>
    <w:p w14:paraId="790E5C6B">
      <w:pPr>
        <w:pStyle w:val="62"/>
        <w:spacing w:line="360" w:lineRule="auto"/>
        <w:ind w:firstLine="240"/>
        <w:rPr>
          <w:rFonts w:ascii="Times New Roman" w:hAnsi="宋体" w:eastAsia="宋体"/>
          <w:b/>
          <w:color w:val="auto"/>
          <w:sz w:val="21"/>
          <w:szCs w:val="21"/>
        </w:rPr>
      </w:pPr>
      <w:r>
        <w:rPr>
          <w:rFonts w:ascii="Times New Roman" w:hAnsi="宋体" w:eastAsia="宋体"/>
          <w:b/>
          <w:color w:val="auto"/>
          <w:sz w:val="21"/>
          <w:szCs w:val="21"/>
        </w:rPr>
        <w:t>注：</w:t>
      </w:r>
    </w:p>
    <w:p w14:paraId="25C929F9">
      <w:pPr>
        <w:pStyle w:val="62"/>
        <w:spacing w:line="360" w:lineRule="auto"/>
        <w:ind w:firstLine="240"/>
        <w:rPr>
          <w:rFonts w:ascii="Times New Roman" w:hAnsi="宋体" w:eastAsia="宋体"/>
          <w:color w:val="auto"/>
          <w:sz w:val="21"/>
          <w:szCs w:val="21"/>
        </w:rPr>
      </w:pPr>
      <w:r>
        <w:rPr>
          <w:rFonts w:ascii="Times New Roman" w:hAnsi="宋体" w:eastAsia="宋体"/>
          <w:color w:val="auto"/>
          <w:sz w:val="21"/>
          <w:szCs w:val="21"/>
        </w:rPr>
        <w:t>1、报价一经涂改，应在涂改处加盖单位公章或者由法定代表人或授权委托人签字或盖章，否则其投标作无效标处理。</w:t>
      </w:r>
      <w:r>
        <w:rPr>
          <w:rFonts w:hint="eastAsia" w:ascii="Times New Roman" w:hAnsi="宋体" w:eastAsia="宋体"/>
          <w:color w:val="auto"/>
          <w:sz w:val="21"/>
          <w:szCs w:val="21"/>
        </w:rPr>
        <w:t>本表格式不允许修改，否则作无效标处理。</w:t>
      </w:r>
    </w:p>
    <w:p w14:paraId="3BCA1751">
      <w:pPr>
        <w:pStyle w:val="62"/>
        <w:spacing w:line="360" w:lineRule="auto"/>
        <w:ind w:firstLine="240"/>
        <w:rPr>
          <w:rFonts w:ascii="Times New Roman" w:hAnsi="宋体" w:eastAsia="宋体"/>
          <w:color w:val="auto"/>
          <w:sz w:val="21"/>
          <w:szCs w:val="21"/>
        </w:rPr>
      </w:pPr>
      <w:r>
        <w:rPr>
          <w:rFonts w:ascii="Times New Roman" w:hAnsi="宋体" w:eastAsia="宋体"/>
          <w:color w:val="auto"/>
          <w:sz w:val="21"/>
          <w:szCs w:val="21"/>
        </w:rPr>
        <w:t>2、</w:t>
      </w:r>
      <w:r>
        <w:rPr>
          <w:rFonts w:hint="eastAsia" w:ascii="Times New Roman" w:hAnsi="宋体" w:eastAsia="宋体"/>
          <w:color w:val="auto"/>
          <w:sz w:val="21"/>
          <w:szCs w:val="21"/>
        </w:rPr>
        <w:t>投标报价是履行合同的最终价格，本项目报价采用综合单价（除人工费用外，还应包括本次项目实施所需的设备及物资、运费、装卸费、税费、利润、采伐监管费、保险费、政策性文件规定及合同包含的所有风险、责任等全部费用。政策性文件规定及合同包含的所有风险、责任等各项应有费用均应考虑在内。结算时由成交单位开具正式发票。投标人在报价时应充分考虑各种风险，除合同条款规定的内容外，价格将不予调整。</w:t>
      </w:r>
    </w:p>
    <w:p w14:paraId="2303A9C3">
      <w:pPr>
        <w:pStyle w:val="62"/>
        <w:spacing w:line="360" w:lineRule="auto"/>
        <w:ind w:firstLine="240"/>
        <w:rPr>
          <w:rFonts w:ascii="Times New Roman" w:hAnsi="宋体" w:eastAsia="宋体"/>
          <w:color w:val="auto"/>
          <w:sz w:val="21"/>
          <w:szCs w:val="21"/>
        </w:rPr>
      </w:pPr>
      <w:r>
        <w:rPr>
          <w:rFonts w:ascii="Times New Roman" w:hAnsi="宋体" w:eastAsia="宋体"/>
          <w:color w:val="auto"/>
          <w:sz w:val="21"/>
          <w:szCs w:val="21"/>
        </w:rPr>
        <w:t>3、最终结算资金=三个清理时段有效误差内两次过磅重量数值的低值（换算成吨）×三个清理时段对应单价（元/吨) ×合格率（按面积计算合格率）</w:t>
      </w:r>
    </w:p>
    <w:p w14:paraId="3CDBBC40">
      <w:pPr>
        <w:pStyle w:val="62"/>
        <w:spacing w:line="360" w:lineRule="auto"/>
        <w:ind w:firstLine="240"/>
        <w:rPr>
          <w:rFonts w:hint="eastAsia" w:ascii="Times New Roman" w:hAnsi="宋体" w:eastAsia="宋体"/>
          <w:color w:val="auto"/>
          <w:sz w:val="21"/>
          <w:szCs w:val="21"/>
          <w:lang w:val="en-US" w:eastAsia="zh-CN"/>
        </w:rPr>
      </w:pPr>
      <w:r>
        <w:rPr>
          <w:rFonts w:hint="eastAsia" w:ascii="Times New Roman" w:hAnsi="宋体" w:eastAsia="宋体"/>
          <w:color w:val="auto"/>
          <w:sz w:val="21"/>
          <w:szCs w:val="21"/>
          <w:lang w:val="en-US" w:eastAsia="zh-CN"/>
        </w:rPr>
        <w:t>4、</w:t>
      </w:r>
      <w:r>
        <w:rPr>
          <w:rFonts w:hint="eastAsia" w:ascii="Times New Roman" w:hAnsi="宋体" w:eastAsia="宋体"/>
          <w:b/>
          <w:bCs/>
          <w:color w:val="auto"/>
          <w:sz w:val="21"/>
          <w:szCs w:val="21"/>
          <w:lang w:val="en-US" w:eastAsia="zh-CN"/>
        </w:rPr>
        <w:t>投标单价报价不得高于或等于最高限价，否则作无效标处理。</w:t>
      </w:r>
    </w:p>
    <w:p w14:paraId="78F49DEB">
      <w:pPr>
        <w:pStyle w:val="62"/>
        <w:spacing w:line="360" w:lineRule="auto"/>
        <w:ind w:left="3825"/>
        <w:rPr>
          <w:rFonts w:ascii="Times New Roman" w:hAnsi="Times New Roman" w:eastAsia="宋体"/>
          <w:color w:val="auto"/>
          <w:sz w:val="21"/>
          <w:szCs w:val="21"/>
        </w:rPr>
      </w:pPr>
    </w:p>
    <w:p w14:paraId="1286409B">
      <w:pPr>
        <w:pStyle w:val="62"/>
        <w:spacing w:line="360" w:lineRule="auto"/>
        <w:ind w:left="3825"/>
        <w:rPr>
          <w:rFonts w:ascii="Times New Roman" w:hAnsi="Times New Roman" w:eastAsia="宋体"/>
          <w:color w:val="auto"/>
          <w:sz w:val="21"/>
          <w:szCs w:val="21"/>
        </w:rPr>
      </w:pPr>
    </w:p>
    <w:p w14:paraId="75903EBA">
      <w:pPr>
        <w:pStyle w:val="62"/>
        <w:spacing w:line="360" w:lineRule="auto"/>
        <w:ind w:left="3825"/>
        <w:rPr>
          <w:rFonts w:ascii="Times New Roman" w:hAnsi="Times New Roman" w:eastAsia="宋体"/>
          <w:color w:val="auto"/>
          <w:sz w:val="21"/>
          <w:szCs w:val="21"/>
        </w:rPr>
      </w:pPr>
    </w:p>
    <w:p w14:paraId="1D6DD4FB">
      <w:pPr>
        <w:pStyle w:val="62"/>
        <w:spacing w:line="360" w:lineRule="auto"/>
        <w:ind w:left="3825"/>
        <w:rPr>
          <w:rFonts w:ascii="Times New Roman" w:hAnsi="Times New Roman" w:eastAsia="宋体"/>
          <w:color w:val="auto"/>
          <w:sz w:val="21"/>
          <w:szCs w:val="21"/>
        </w:rPr>
      </w:pPr>
    </w:p>
    <w:p w14:paraId="5EA1A971">
      <w:pPr>
        <w:pStyle w:val="62"/>
        <w:spacing w:line="276" w:lineRule="auto"/>
        <w:rPr>
          <w:rFonts w:ascii="Times New Roman" w:hAnsi="Times New Roman" w:eastAsia="宋体"/>
          <w:color w:val="auto"/>
          <w:sz w:val="21"/>
          <w:szCs w:val="21"/>
        </w:rPr>
      </w:pPr>
      <w:r>
        <w:rPr>
          <w:rFonts w:ascii="Times New Roman" w:hAnsi="宋体" w:eastAsia="宋体"/>
          <w:color w:val="auto"/>
          <w:sz w:val="21"/>
          <w:szCs w:val="21"/>
        </w:rPr>
        <w:t>投标方：（单位盖章）</w:t>
      </w:r>
    </w:p>
    <w:p w14:paraId="23ADF406">
      <w:pPr>
        <w:pStyle w:val="62"/>
        <w:spacing w:line="276" w:lineRule="auto"/>
        <w:rPr>
          <w:rFonts w:ascii="Times New Roman" w:hAnsi="Times New Roman" w:eastAsia="宋体"/>
          <w:color w:val="auto"/>
          <w:sz w:val="21"/>
          <w:szCs w:val="21"/>
        </w:rPr>
      </w:pPr>
      <w:r>
        <w:rPr>
          <w:rFonts w:ascii="Times New Roman" w:hAnsi="宋体" w:eastAsia="宋体"/>
          <w:color w:val="auto"/>
          <w:sz w:val="21"/>
          <w:szCs w:val="21"/>
        </w:rPr>
        <w:t>法定代表人或代理人：（签字或盖章）</w:t>
      </w:r>
    </w:p>
    <w:p w14:paraId="31E7BFC3">
      <w:pPr>
        <w:pStyle w:val="62"/>
        <w:spacing w:line="276" w:lineRule="auto"/>
        <w:rPr>
          <w:rFonts w:ascii="Times New Roman" w:hAnsi="Times New Roman" w:eastAsia="宋体"/>
          <w:color w:val="auto"/>
          <w:sz w:val="21"/>
          <w:szCs w:val="21"/>
        </w:rPr>
      </w:pPr>
      <w:r>
        <w:rPr>
          <w:rFonts w:ascii="Times New Roman" w:hAnsi="宋体" w:eastAsia="宋体"/>
          <w:color w:val="auto"/>
          <w:sz w:val="21"/>
          <w:szCs w:val="21"/>
        </w:rPr>
        <w:t>日期：</w:t>
      </w:r>
      <w:r>
        <w:rPr>
          <w:rFonts w:ascii="Times New Roman" w:hAnsi="Times New Roman" w:eastAsia="宋体"/>
          <w:color w:val="auto"/>
          <w:sz w:val="21"/>
          <w:szCs w:val="21"/>
        </w:rPr>
        <w:t xml:space="preserve">         </w:t>
      </w:r>
      <w:r>
        <w:rPr>
          <w:rFonts w:ascii="Times New Roman" w:hAnsi="宋体" w:eastAsia="宋体"/>
          <w:color w:val="auto"/>
          <w:sz w:val="21"/>
          <w:szCs w:val="21"/>
        </w:rPr>
        <w:t>年</w:t>
      </w:r>
      <w:r>
        <w:rPr>
          <w:rFonts w:ascii="Times New Roman" w:hAnsi="Times New Roman" w:eastAsia="宋体"/>
          <w:color w:val="auto"/>
          <w:sz w:val="21"/>
          <w:szCs w:val="21"/>
        </w:rPr>
        <w:t xml:space="preserve">     </w:t>
      </w:r>
      <w:r>
        <w:rPr>
          <w:rFonts w:ascii="Times New Roman" w:hAnsi="宋体" w:eastAsia="宋体"/>
          <w:color w:val="auto"/>
          <w:sz w:val="21"/>
          <w:szCs w:val="21"/>
        </w:rPr>
        <w:t>月</w:t>
      </w:r>
      <w:r>
        <w:rPr>
          <w:rFonts w:ascii="Times New Roman" w:hAnsi="Times New Roman" w:eastAsia="宋体"/>
          <w:color w:val="auto"/>
          <w:sz w:val="21"/>
          <w:szCs w:val="21"/>
        </w:rPr>
        <w:t xml:space="preserve">     </w:t>
      </w:r>
      <w:r>
        <w:rPr>
          <w:rFonts w:ascii="Times New Roman" w:hAnsi="宋体" w:eastAsia="宋体"/>
          <w:color w:val="auto"/>
          <w:sz w:val="21"/>
          <w:szCs w:val="21"/>
        </w:rPr>
        <w:t>日</w:t>
      </w:r>
    </w:p>
    <w:p w14:paraId="6CB455B6">
      <w:pPr>
        <w:spacing w:line="360" w:lineRule="auto"/>
        <w:jc w:val="center"/>
        <w:rPr>
          <w:b/>
          <w:bCs/>
          <w:color w:val="auto"/>
          <w:szCs w:val="28"/>
          <w:u w:val="single"/>
        </w:rPr>
      </w:pPr>
    </w:p>
    <w:p w14:paraId="50CF02E5">
      <w:pPr>
        <w:rPr>
          <w:rFonts w:ascii="宋体" w:hAnsi="宋体" w:cs="宋体"/>
          <w:b/>
          <w:bCs/>
          <w:color w:val="auto"/>
          <w:sz w:val="24"/>
        </w:rPr>
      </w:pPr>
    </w:p>
    <w:p w14:paraId="0BCDB169">
      <w:pPr>
        <w:rPr>
          <w:rFonts w:ascii="宋体" w:hAnsi="宋体" w:cs="宋体"/>
          <w:b/>
          <w:bCs/>
          <w:color w:val="auto"/>
          <w:sz w:val="24"/>
        </w:rPr>
      </w:pPr>
    </w:p>
    <w:p w14:paraId="7E3B9987">
      <w:pPr>
        <w:pStyle w:val="2"/>
        <w:rPr>
          <w:rFonts w:ascii="宋体" w:hAnsi="宋体" w:cs="宋体"/>
          <w:b/>
          <w:bCs/>
          <w:color w:val="auto"/>
          <w:sz w:val="24"/>
        </w:rPr>
      </w:pPr>
    </w:p>
    <w:p w14:paraId="5AF26638">
      <w:pPr>
        <w:pStyle w:val="2"/>
        <w:ind w:left="0" w:leftChars="0" w:firstLine="0" w:firstLineChars="0"/>
        <w:rPr>
          <w:rFonts w:ascii="宋体" w:hAnsi="宋体" w:cs="宋体"/>
          <w:b/>
          <w:bCs/>
          <w:color w:val="auto"/>
          <w:sz w:val="24"/>
        </w:rPr>
      </w:pPr>
    </w:p>
    <w:p w14:paraId="379A00A6">
      <w:pPr>
        <w:rPr>
          <w:rFonts w:ascii="宋体" w:hAnsi="宋体" w:cs="宋体"/>
          <w:color w:val="auto"/>
          <w:sz w:val="44"/>
          <w:szCs w:val="44"/>
        </w:rPr>
      </w:pPr>
      <w:r>
        <w:rPr>
          <w:rFonts w:hint="eastAsia" w:ascii="宋体" w:hAnsi="宋体" w:cs="宋体"/>
          <w:b/>
          <w:bCs/>
          <w:color w:val="auto"/>
          <w:sz w:val="24"/>
        </w:rPr>
        <w:t>附件</w:t>
      </w:r>
      <w:r>
        <w:rPr>
          <w:rFonts w:hint="eastAsia" w:ascii="宋体" w:hAnsi="宋体" w:cs="宋体"/>
          <w:b/>
          <w:bCs/>
          <w:color w:val="auto"/>
          <w:sz w:val="24"/>
          <w:lang w:eastAsia="zh-CN"/>
        </w:rPr>
        <w:t>十五</w:t>
      </w:r>
      <w:r>
        <w:rPr>
          <w:rFonts w:hint="eastAsia" w:ascii="宋体" w:hAnsi="宋体" w:cs="宋体"/>
          <w:b/>
          <w:bCs/>
          <w:color w:val="auto"/>
          <w:sz w:val="24"/>
        </w:rPr>
        <w:t>：中小企业声明函</w:t>
      </w:r>
    </w:p>
    <w:p w14:paraId="5905559C">
      <w:pPr>
        <w:jc w:val="center"/>
        <w:rPr>
          <w:rFonts w:ascii="宋体" w:hAnsi="宋体" w:cs="宋体"/>
          <w:color w:val="auto"/>
          <w:sz w:val="44"/>
          <w:szCs w:val="44"/>
        </w:rPr>
      </w:pPr>
    </w:p>
    <w:p w14:paraId="745E0601">
      <w:pPr>
        <w:jc w:val="center"/>
        <w:rPr>
          <w:rFonts w:ascii="宋体" w:hAnsi="宋体" w:cs="宋体"/>
          <w:color w:val="auto"/>
          <w:sz w:val="30"/>
          <w:szCs w:val="30"/>
        </w:rPr>
      </w:pPr>
      <w:r>
        <w:rPr>
          <w:rFonts w:hint="eastAsia" w:ascii="宋体" w:hAnsi="宋体" w:cs="宋体"/>
          <w:color w:val="auto"/>
          <w:sz w:val="44"/>
          <w:szCs w:val="44"/>
        </w:rPr>
        <w:t>中小企业声明函（服务）</w:t>
      </w:r>
    </w:p>
    <w:p w14:paraId="6C7A0179">
      <w:pPr>
        <w:spacing w:line="588" w:lineRule="exact"/>
        <w:ind w:firstLine="720" w:firstLineChars="300"/>
        <w:rPr>
          <w:rFonts w:ascii="宋体" w:hAnsi="宋体"/>
          <w:color w:val="auto"/>
          <w:sz w:val="24"/>
        </w:rPr>
      </w:pPr>
      <w:r>
        <w:rPr>
          <w:rFonts w:hint="eastAsia" w:ascii="宋体" w:hAnsi="宋体"/>
          <w:color w:val="auto"/>
          <w:sz w:val="24"/>
        </w:rPr>
        <w:t>本公司（联合体）郑重声明，根据《政府采购促进中小企业发展管理办法》（财库﹝2020﹞46 号）的规定，本公司（联合体）参加</w:t>
      </w:r>
      <w:r>
        <w:rPr>
          <w:rFonts w:hint="eastAsia" w:ascii="宋体" w:hAnsi="宋体"/>
          <w:color w:val="auto"/>
          <w:sz w:val="24"/>
          <w:u w:val="single"/>
        </w:rPr>
        <w:t>（单位名称）</w:t>
      </w:r>
      <w:r>
        <w:rPr>
          <w:rFonts w:hint="eastAsia" w:ascii="宋体" w:hAnsi="宋体"/>
          <w:color w:val="auto"/>
          <w:sz w:val="24"/>
        </w:rPr>
        <w:t>的</w:t>
      </w:r>
      <w:r>
        <w:rPr>
          <w:rFonts w:hint="eastAsia" w:ascii="宋体" w:hAnsi="宋体"/>
          <w:color w:val="auto"/>
          <w:sz w:val="24"/>
          <w:u w:val="single"/>
        </w:rPr>
        <w:t>（项目名称）</w:t>
      </w:r>
      <w:r>
        <w:rPr>
          <w:rFonts w:hint="eastAsia" w:ascii="宋体" w:hAnsi="宋体"/>
          <w:color w:val="auto"/>
          <w:sz w:val="24"/>
        </w:rPr>
        <w:t>采购活动，服务全部由符合政策要求的中小企业制造。相关企业（含联合体中的中小企业、签订分包意向协议的中小企业） 的具体情况如下：</w:t>
      </w:r>
    </w:p>
    <w:p w14:paraId="2BE12FF3">
      <w:pPr>
        <w:spacing w:line="588" w:lineRule="exact"/>
        <w:ind w:firstLine="480" w:firstLineChars="200"/>
        <w:rPr>
          <w:rFonts w:ascii="宋体" w:hAnsi="宋体"/>
          <w:color w:val="auto"/>
          <w:sz w:val="24"/>
        </w:rPr>
      </w:pPr>
      <w:r>
        <w:rPr>
          <w:rFonts w:hint="eastAsia" w:ascii="宋体" w:hAnsi="宋体"/>
          <w:color w:val="auto"/>
          <w:sz w:val="24"/>
        </w:rPr>
        <w:t>1.</w:t>
      </w:r>
      <w:r>
        <w:rPr>
          <w:rFonts w:hint="eastAsia" w:ascii="宋体" w:hAnsi="宋体"/>
          <w:color w:val="auto"/>
          <w:sz w:val="24"/>
          <w:u w:val="single"/>
        </w:rPr>
        <w:t xml:space="preserve"> （标的名称） </w:t>
      </w:r>
      <w:r>
        <w:rPr>
          <w:rFonts w:hint="eastAsia" w:ascii="宋体" w:hAnsi="宋体"/>
          <w:color w:val="auto"/>
          <w:sz w:val="24"/>
        </w:rPr>
        <w:t xml:space="preserve">， 属 于 </w:t>
      </w:r>
      <w:r>
        <w:rPr>
          <w:rFonts w:hint="eastAsia" w:ascii="宋体" w:hAnsi="宋体"/>
          <w:color w:val="auto"/>
          <w:sz w:val="24"/>
          <w:u w:val="single"/>
        </w:rPr>
        <w:t xml:space="preserve">（采购文件中明确的所属行业） </w:t>
      </w:r>
      <w:r>
        <w:rPr>
          <w:rFonts w:hint="eastAsia" w:ascii="宋体" w:hAnsi="宋体"/>
          <w:color w:val="auto"/>
          <w:sz w:val="24"/>
        </w:rPr>
        <w:t>行业；承接企业为</w:t>
      </w:r>
      <w:r>
        <w:rPr>
          <w:rFonts w:hint="eastAsia" w:ascii="宋体" w:hAnsi="宋体"/>
          <w:color w:val="auto"/>
          <w:sz w:val="24"/>
          <w:u w:val="single"/>
        </w:rPr>
        <w:t>（企业名称）</w:t>
      </w:r>
      <w:r>
        <w:rPr>
          <w:rFonts w:hint="eastAsia" w:ascii="宋体" w:hAnsi="宋体"/>
          <w:color w:val="auto"/>
          <w:sz w:val="24"/>
        </w:rPr>
        <w:t xml:space="preserve">，从业人员 </w:t>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rPr>
        <w:t>人，营业收入为</w:t>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rPr>
        <w:t>万元，资产总额为</w:t>
      </w:r>
      <w:r>
        <w:rPr>
          <w:rFonts w:hint="eastAsia" w:ascii="宋体" w:hAnsi="宋体"/>
          <w:color w:val="auto"/>
          <w:sz w:val="24"/>
          <w:u w:val="single"/>
        </w:rPr>
        <w:t xml:space="preserve">   </w:t>
      </w:r>
      <w:r>
        <w:rPr>
          <w:rFonts w:hint="eastAsia" w:ascii="宋体" w:hAnsi="宋体"/>
          <w:color w:val="auto"/>
          <w:sz w:val="24"/>
        </w:rPr>
        <w:t>万元，属于</w:t>
      </w:r>
      <w:r>
        <w:rPr>
          <w:rFonts w:hint="eastAsia" w:ascii="宋体" w:hAnsi="宋体"/>
          <w:color w:val="auto"/>
          <w:sz w:val="24"/>
          <w:u w:val="single"/>
        </w:rPr>
        <w:t>（中型企业、小型企业、微型企业）</w:t>
      </w:r>
      <w:r>
        <w:rPr>
          <w:rFonts w:hint="eastAsia" w:ascii="宋体" w:hAnsi="宋体"/>
          <w:color w:val="auto"/>
          <w:sz w:val="24"/>
        </w:rPr>
        <w:t>；</w:t>
      </w:r>
    </w:p>
    <w:p w14:paraId="7712C6F9">
      <w:pPr>
        <w:spacing w:line="588" w:lineRule="exact"/>
        <w:ind w:firstLine="480" w:firstLineChars="200"/>
        <w:rPr>
          <w:rFonts w:ascii="宋体" w:hAnsi="宋体"/>
          <w:color w:val="auto"/>
          <w:sz w:val="24"/>
        </w:rPr>
      </w:pPr>
      <w:r>
        <w:rPr>
          <w:rFonts w:hint="eastAsia" w:ascii="宋体" w:hAnsi="宋体"/>
          <w:color w:val="auto"/>
          <w:sz w:val="24"/>
        </w:rPr>
        <w:t>2.</w:t>
      </w:r>
      <w:r>
        <w:rPr>
          <w:rFonts w:hint="eastAsia" w:ascii="宋体" w:hAnsi="宋体"/>
          <w:color w:val="auto"/>
          <w:sz w:val="24"/>
          <w:u w:val="single"/>
        </w:rPr>
        <w:t xml:space="preserve"> （标的名称） </w:t>
      </w:r>
      <w:r>
        <w:rPr>
          <w:rFonts w:hint="eastAsia" w:ascii="宋体" w:hAnsi="宋体"/>
          <w:color w:val="auto"/>
          <w:sz w:val="24"/>
        </w:rPr>
        <w:t>， 属 于</w:t>
      </w:r>
      <w:r>
        <w:rPr>
          <w:rFonts w:hint="eastAsia" w:ascii="宋体" w:hAnsi="宋体"/>
          <w:color w:val="auto"/>
          <w:sz w:val="24"/>
          <w:u w:val="single"/>
        </w:rPr>
        <w:t xml:space="preserve"> （采购文件中明确的所属行业） </w:t>
      </w:r>
      <w:r>
        <w:rPr>
          <w:rFonts w:hint="eastAsia" w:ascii="宋体" w:hAnsi="宋体"/>
          <w:color w:val="auto"/>
          <w:sz w:val="24"/>
        </w:rPr>
        <w:t>行业；承接企业为（企业名称），从业人员</w:t>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rPr>
        <w:t>人，营业收入为</w:t>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rPr>
        <w:t>万元，资产总额为</w:t>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rPr>
        <w:t>万元，属于</w:t>
      </w:r>
      <w:r>
        <w:rPr>
          <w:rFonts w:hint="eastAsia" w:ascii="宋体" w:hAnsi="宋体"/>
          <w:color w:val="auto"/>
          <w:sz w:val="24"/>
          <w:u w:val="single"/>
        </w:rPr>
        <w:t>（中型企业、小型企业、微型企业）</w:t>
      </w:r>
      <w:r>
        <w:rPr>
          <w:rFonts w:hint="eastAsia" w:ascii="宋体" w:hAnsi="宋体"/>
          <w:color w:val="auto"/>
          <w:sz w:val="24"/>
        </w:rPr>
        <w:t>；</w:t>
      </w:r>
    </w:p>
    <w:p w14:paraId="1C1E9CA4">
      <w:pPr>
        <w:spacing w:line="588" w:lineRule="exact"/>
        <w:ind w:firstLine="480" w:firstLineChars="200"/>
        <w:rPr>
          <w:rFonts w:ascii="宋体" w:hAnsi="宋体"/>
          <w:color w:val="auto"/>
          <w:sz w:val="24"/>
        </w:rPr>
      </w:pPr>
      <w:r>
        <w:rPr>
          <w:rFonts w:hint="eastAsia" w:ascii="宋体" w:hAnsi="宋体"/>
          <w:color w:val="auto"/>
          <w:sz w:val="24"/>
        </w:rPr>
        <w:t>……</w:t>
      </w:r>
    </w:p>
    <w:p w14:paraId="667C465F">
      <w:pPr>
        <w:spacing w:line="588" w:lineRule="exact"/>
        <w:ind w:firstLine="480" w:firstLineChars="200"/>
        <w:rPr>
          <w:rFonts w:ascii="宋体" w:hAnsi="宋体"/>
          <w:color w:val="auto"/>
          <w:sz w:val="24"/>
        </w:rPr>
      </w:pPr>
      <w:r>
        <w:rPr>
          <w:rFonts w:hint="eastAsia" w:ascii="宋体" w:hAnsi="宋体"/>
          <w:color w:val="auto"/>
          <w:sz w:val="24"/>
        </w:rPr>
        <w:t>以上企业，不属于大企业的分支机构，不存在控股股东为大企业的情形，也不存在与大企业的负责人为同一人的情形。</w:t>
      </w:r>
    </w:p>
    <w:p w14:paraId="0CFBE06C">
      <w:pPr>
        <w:spacing w:line="588" w:lineRule="exact"/>
        <w:ind w:firstLine="480" w:firstLineChars="200"/>
        <w:rPr>
          <w:rFonts w:ascii="宋体" w:hAnsi="宋体"/>
          <w:color w:val="auto"/>
          <w:sz w:val="24"/>
        </w:rPr>
      </w:pPr>
      <w:r>
        <w:rPr>
          <w:rFonts w:hint="eastAsia" w:ascii="宋体" w:hAnsi="宋体"/>
          <w:color w:val="auto"/>
          <w:sz w:val="24"/>
        </w:rPr>
        <w:t>本企业对上述声明内容的真实性负责。如有虚假，将依法承担相应责任。</w:t>
      </w:r>
    </w:p>
    <w:p w14:paraId="146B82F1">
      <w:pPr>
        <w:pStyle w:val="8"/>
        <w:spacing w:before="35" w:line="316" w:lineRule="auto"/>
        <w:ind w:left="4060" w:right="2166"/>
        <w:rPr>
          <w:rFonts w:ascii="宋体" w:hAnsi="宋体" w:cs="宋体"/>
          <w:color w:val="auto"/>
          <w:spacing w:val="-8"/>
          <w:w w:val="99"/>
          <w:sz w:val="24"/>
        </w:rPr>
      </w:pPr>
      <w:r>
        <w:rPr>
          <w:rFonts w:hint="eastAsia" w:ascii="宋体" w:hAnsi="宋体" w:cs="宋体"/>
          <w:color w:val="auto"/>
          <w:w w:val="99"/>
          <w:sz w:val="24"/>
        </w:rPr>
        <w:t>企业名称：</w:t>
      </w:r>
      <w:r>
        <w:rPr>
          <w:rFonts w:hint="eastAsia" w:ascii="宋体" w:hAnsi="宋体" w:cs="宋体"/>
          <w:color w:val="auto"/>
          <w:spacing w:val="2"/>
          <w:w w:val="99"/>
          <w:sz w:val="24"/>
        </w:rPr>
        <w:t>（</w:t>
      </w:r>
      <w:r>
        <w:rPr>
          <w:rFonts w:hint="eastAsia" w:ascii="宋体" w:hAnsi="宋体" w:cs="宋体"/>
          <w:color w:val="auto"/>
          <w:w w:val="99"/>
          <w:sz w:val="24"/>
        </w:rPr>
        <w:t>盖章</w:t>
      </w:r>
      <w:r>
        <w:rPr>
          <w:rFonts w:hint="eastAsia" w:ascii="宋体" w:hAnsi="宋体" w:cs="宋体"/>
          <w:color w:val="auto"/>
          <w:spacing w:val="-167"/>
          <w:w w:val="99"/>
          <w:sz w:val="24"/>
        </w:rPr>
        <w:t>）</w:t>
      </w:r>
    </w:p>
    <w:p w14:paraId="50321D5A">
      <w:pPr>
        <w:pStyle w:val="8"/>
        <w:spacing w:before="35" w:line="316" w:lineRule="auto"/>
        <w:ind w:left="4060" w:right="2166"/>
        <w:rPr>
          <w:rFonts w:ascii="宋体" w:hAnsi="宋体" w:cs="宋体"/>
          <w:color w:val="auto"/>
          <w:sz w:val="24"/>
        </w:rPr>
      </w:pPr>
      <w:r>
        <w:rPr>
          <w:rFonts w:hint="eastAsia" w:ascii="宋体" w:hAnsi="宋体" w:cs="宋体"/>
          <w:color w:val="auto"/>
          <w:spacing w:val="24"/>
          <w:sz w:val="24"/>
        </w:rPr>
        <w:t>日期：</w:t>
      </w:r>
    </w:p>
    <w:p w14:paraId="692C83BE">
      <w:pPr>
        <w:jc w:val="center"/>
        <w:rPr>
          <w:rFonts w:ascii="宋体" w:hAnsi="宋体"/>
          <w:b/>
          <w:color w:val="auto"/>
          <w:sz w:val="44"/>
        </w:rPr>
      </w:pPr>
    </w:p>
    <w:p w14:paraId="51E9AE7F">
      <w:pPr>
        <w:pStyle w:val="8"/>
        <w:rPr>
          <w:rFonts w:ascii="宋体" w:hAnsi="宋体" w:cs="宋体"/>
          <w:color w:val="auto"/>
          <w:szCs w:val="21"/>
        </w:rPr>
      </w:pPr>
      <w:r>
        <w:rPr>
          <w:rFonts w:hint="eastAsia" w:ascii="宋体" w:hAnsi="宋体" w:cs="宋体"/>
          <w:color w:val="auto"/>
          <w:szCs w:val="21"/>
        </w:rPr>
        <w:t>注：1、如投标人是小微企业的，则需提供中小企业声明函。</w:t>
      </w:r>
    </w:p>
    <w:p w14:paraId="1D290840">
      <w:pPr>
        <w:spacing w:line="360" w:lineRule="auto"/>
        <w:rPr>
          <w:rFonts w:ascii="宋体" w:hAnsi="宋体" w:cs="宋体"/>
          <w:color w:val="auto"/>
          <w:szCs w:val="21"/>
        </w:rPr>
      </w:pPr>
      <w:r>
        <w:rPr>
          <w:rFonts w:hint="eastAsia" w:ascii="宋体" w:hAnsi="宋体" w:cs="宋体"/>
          <w:color w:val="auto"/>
          <w:szCs w:val="21"/>
        </w:rPr>
        <w:t>2、从业人员、营业收入、资产总额填报上一年度数据，无上一年度数据的新成立企业可不填报。</w:t>
      </w:r>
    </w:p>
    <w:p w14:paraId="77E91323">
      <w:pPr>
        <w:tabs>
          <w:tab w:val="left" w:pos="2472"/>
        </w:tabs>
        <w:snapToGrid w:val="0"/>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、供应商提供声明函内容不实的，属于提供虚假材料谋取中标、成交，依照《中华人民共和国政府采购法》等国家有关规定追究相应责任。</w:t>
      </w:r>
    </w:p>
    <w:p w14:paraId="3CD484E2">
      <w:pPr>
        <w:pStyle w:val="4"/>
        <w:keepNext w:val="0"/>
        <w:keepLines w:val="0"/>
        <w:pageBreakBefore/>
        <w:spacing w:line="415" w:lineRule="auto"/>
        <w:rPr>
          <w:rFonts w:ascii="宋体" w:hAnsi="宋体" w:eastAsia="宋体" w:cs="宋体"/>
          <w:bCs w:val="0"/>
          <w:color w:val="auto"/>
          <w:sz w:val="24"/>
          <w:szCs w:val="24"/>
        </w:rPr>
      </w:pPr>
      <w:bookmarkStart w:id="94" w:name="_Toc22786"/>
      <w:bookmarkStart w:id="95" w:name="_Toc14984"/>
      <w:r>
        <w:rPr>
          <w:rFonts w:hint="eastAsia" w:ascii="宋体" w:hAnsi="宋体" w:eastAsia="宋体" w:cs="宋体"/>
          <w:bCs w:val="0"/>
          <w:color w:val="auto"/>
          <w:sz w:val="24"/>
          <w:szCs w:val="24"/>
        </w:rPr>
        <w:t>附件</w:t>
      </w:r>
      <w:r>
        <w:rPr>
          <w:rFonts w:hint="eastAsia" w:ascii="宋体" w:hAnsi="宋体" w:eastAsia="宋体" w:cs="宋体"/>
          <w:bCs w:val="0"/>
          <w:color w:val="auto"/>
          <w:sz w:val="24"/>
          <w:szCs w:val="24"/>
          <w:lang w:eastAsia="zh-CN"/>
        </w:rPr>
        <w:t>十六</w:t>
      </w:r>
      <w:r>
        <w:rPr>
          <w:rFonts w:hint="eastAsia" w:ascii="宋体" w:hAnsi="宋体" w:eastAsia="宋体" w:cs="宋体"/>
          <w:bCs w:val="0"/>
          <w:color w:val="auto"/>
          <w:sz w:val="24"/>
          <w:szCs w:val="24"/>
        </w:rPr>
        <w:t>：残疾人福利性单位声明函</w:t>
      </w:r>
      <w:bookmarkEnd w:id="94"/>
      <w:bookmarkEnd w:id="95"/>
    </w:p>
    <w:p w14:paraId="1FB1B80C">
      <w:pPr>
        <w:pStyle w:val="5"/>
        <w:jc w:val="center"/>
        <w:rPr>
          <w:color w:val="auto"/>
        </w:rPr>
      </w:pPr>
      <w:r>
        <w:rPr>
          <w:rFonts w:hint="eastAsia"/>
          <w:color w:val="auto"/>
        </w:rPr>
        <w:t>残疾人福利性单位声明函</w:t>
      </w:r>
    </w:p>
    <w:p w14:paraId="4A1DA2CE">
      <w:pPr>
        <w:spacing w:after="120" w:line="360" w:lineRule="auto"/>
        <w:ind w:right="960" w:firstLine="470" w:firstLineChars="196"/>
        <w:jc w:val="left"/>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u w:val="single"/>
        </w:rPr>
        <w:t xml:space="preserve">               </w:t>
      </w:r>
      <w:r>
        <w:rPr>
          <w:rFonts w:hint="eastAsia" w:ascii="宋体" w:hAnsi="宋体" w:cs="宋体"/>
          <w:color w:val="auto"/>
          <w:sz w:val="24"/>
        </w:rPr>
        <w:t>单位的</w:t>
      </w:r>
      <w:r>
        <w:rPr>
          <w:rFonts w:hint="eastAsia" w:ascii="宋体" w:hAnsi="宋体" w:cs="宋体"/>
          <w:color w:val="auto"/>
          <w:sz w:val="24"/>
          <w:u w:val="single"/>
        </w:rPr>
        <w:t xml:space="preserve">        </w:t>
      </w:r>
      <w:r>
        <w:rPr>
          <w:rFonts w:hint="eastAsia" w:ascii="宋体" w:hAnsi="宋体" w:cs="宋体"/>
          <w:color w:val="auto"/>
          <w:sz w:val="24"/>
        </w:rPr>
        <w:t>项目采购活动提供本单位制造的货物（由本单位承担工程/服务），或者提供其他残疾人福利性单位制造的货物（不包括使用非残疾人福利性单位注册商标的货物）。</w:t>
      </w:r>
    </w:p>
    <w:p w14:paraId="1D410E70">
      <w:pPr>
        <w:spacing w:after="120" w:line="360" w:lineRule="auto"/>
        <w:ind w:right="960" w:firstLine="470" w:firstLineChars="196"/>
        <w:jc w:val="left"/>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666AD06F">
      <w:pPr>
        <w:spacing w:after="120" w:line="360" w:lineRule="auto"/>
        <w:ind w:right="960" w:firstLine="3600" w:firstLineChars="1500"/>
        <w:jc w:val="left"/>
        <w:rPr>
          <w:rFonts w:ascii="宋体" w:hAnsi="宋体" w:cs="宋体"/>
          <w:color w:val="auto"/>
          <w:sz w:val="24"/>
        </w:rPr>
      </w:pPr>
    </w:p>
    <w:p w14:paraId="11F46A9B">
      <w:pPr>
        <w:pStyle w:val="22"/>
        <w:ind w:firstLine="480"/>
        <w:rPr>
          <w:color w:val="auto"/>
          <w:sz w:val="24"/>
        </w:rPr>
      </w:pPr>
    </w:p>
    <w:p w14:paraId="5980AB9D">
      <w:pPr>
        <w:spacing w:after="120" w:line="360" w:lineRule="auto"/>
        <w:ind w:right="960" w:firstLine="3600" w:firstLineChars="1500"/>
        <w:jc w:val="left"/>
        <w:rPr>
          <w:rFonts w:ascii="宋体" w:hAnsi="宋体" w:cs="宋体"/>
          <w:color w:val="auto"/>
          <w:sz w:val="24"/>
        </w:rPr>
      </w:pPr>
      <w:r>
        <w:rPr>
          <w:rFonts w:hint="eastAsia" w:ascii="宋体" w:hAnsi="宋体" w:cs="宋体"/>
          <w:color w:val="auto"/>
          <w:sz w:val="24"/>
        </w:rPr>
        <w:t>单位名称（盖章）:</w:t>
      </w:r>
    </w:p>
    <w:p w14:paraId="7B127E5C">
      <w:pPr>
        <w:spacing w:after="120" w:line="360" w:lineRule="auto"/>
        <w:ind w:right="960" w:firstLine="3600" w:firstLineChars="1500"/>
        <w:jc w:val="left"/>
        <w:rPr>
          <w:rFonts w:ascii="宋体" w:hAnsi="宋体" w:cs="宋体"/>
          <w:color w:val="auto"/>
          <w:sz w:val="24"/>
        </w:rPr>
      </w:pPr>
      <w:r>
        <w:rPr>
          <w:rFonts w:hint="eastAsia" w:ascii="宋体" w:hAnsi="宋体" w:cs="宋体"/>
          <w:color w:val="auto"/>
          <w:sz w:val="24"/>
        </w:rPr>
        <w:t xml:space="preserve">日期：        </w:t>
      </w:r>
    </w:p>
    <w:p w14:paraId="00660311">
      <w:pPr>
        <w:spacing w:after="120"/>
        <w:jc w:val="center"/>
        <w:rPr>
          <w:rFonts w:ascii="宋体" w:hAnsi="宋体" w:cs="宋体"/>
          <w:b/>
          <w:color w:val="auto"/>
          <w:sz w:val="24"/>
        </w:rPr>
      </w:pPr>
    </w:p>
    <w:p w14:paraId="1B5520B0">
      <w:pPr>
        <w:numPr>
          <w:ilvl w:val="0"/>
          <w:numId w:val="5"/>
        </w:numPr>
        <w:tabs>
          <w:tab w:val="left" w:pos="420"/>
          <w:tab w:val="clear" w:pos="1244"/>
        </w:tabs>
        <w:spacing w:before="100" w:beforeAutospacing="1" w:after="100" w:afterAutospacing="1" w:line="432" w:lineRule="auto"/>
        <w:ind w:hanging="1244"/>
        <w:rPr>
          <w:rFonts w:ascii="宋体" w:hAnsi="宋体" w:cs="宋体"/>
          <w:color w:val="auto"/>
          <w:sz w:val="24"/>
        </w:rPr>
      </w:pPr>
      <w:r>
        <w:rPr>
          <w:rFonts w:hint="eastAsia" w:ascii="宋体" w:hAnsi="宋体"/>
          <w:b/>
          <w:color w:val="auto"/>
          <w:szCs w:val="21"/>
        </w:rPr>
        <w:t>残疾人福利性单位视同小型、微型企业 。</w:t>
      </w:r>
    </w:p>
    <w:p w14:paraId="70A68AE9">
      <w:pPr>
        <w:numPr>
          <w:ilvl w:val="0"/>
          <w:numId w:val="5"/>
        </w:numPr>
        <w:tabs>
          <w:tab w:val="left" w:pos="420"/>
          <w:tab w:val="clear" w:pos="1244"/>
        </w:tabs>
        <w:spacing w:before="100" w:beforeAutospacing="1" w:after="100" w:afterAutospacing="1" w:line="432" w:lineRule="auto"/>
        <w:ind w:hanging="1244"/>
        <w:rPr>
          <w:rFonts w:ascii="宋体" w:hAnsi="宋体" w:cs="宋体"/>
          <w:color w:val="auto"/>
          <w:sz w:val="24"/>
        </w:rPr>
      </w:pPr>
      <w:r>
        <w:rPr>
          <w:rFonts w:hint="eastAsia" w:ascii="宋体" w:hAnsi="宋体"/>
          <w:b/>
          <w:color w:val="auto"/>
          <w:szCs w:val="21"/>
        </w:rPr>
        <w:t>如中标人为残疾人福利性单位的，本声明函将随中标结果同时公告，接受社会监督。</w:t>
      </w:r>
    </w:p>
    <w:bookmarkEnd w:id="86"/>
    <w:p w14:paraId="60A7078B">
      <w:pPr>
        <w:snapToGrid w:val="0"/>
        <w:spacing w:before="50"/>
        <w:ind w:firstLine="5280" w:firstLineChars="2200"/>
        <w:jc w:val="left"/>
        <w:rPr>
          <w:rFonts w:ascii="宋体" w:hAnsi="宋体"/>
          <w:color w:val="auto"/>
          <w:sz w:val="24"/>
        </w:rPr>
      </w:pPr>
      <w:r>
        <w:rPr>
          <w:rFonts w:hint="eastAsia" w:ascii="宋体" w:hAnsi="宋体"/>
          <w:color w:val="auto"/>
          <w:sz w:val="24"/>
        </w:rPr>
        <w:t xml:space="preserve"> </w:t>
      </w:r>
      <w:bookmarkStart w:id="96" w:name="_Toc496599002"/>
      <w:bookmarkStart w:id="97" w:name="_Toc13278"/>
      <w:bookmarkStart w:id="98" w:name="_Toc17790"/>
    </w:p>
    <w:p w14:paraId="2F48595F">
      <w:pPr>
        <w:snapToGrid w:val="0"/>
        <w:spacing w:before="50"/>
        <w:ind w:firstLine="5280" w:firstLineChars="2200"/>
        <w:jc w:val="left"/>
        <w:rPr>
          <w:rFonts w:ascii="宋体" w:hAnsi="宋体"/>
          <w:color w:val="auto"/>
          <w:sz w:val="24"/>
        </w:rPr>
      </w:pPr>
    </w:p>
    <w:p w14:paraId="4730C3F2">
      <w:pPr>
        <w:snapToGrid w:val="0"/>
        <w:spacing w:before="50"/>
        <w:ind w:firstLine="5280" w:firstLineChars="2200"/>
        <w:jc w:val="left"/>
        <w:rPr>
          <w:rFonts w:ascii="宋体" w:hAnsi="宋体"/>
          <w:color w:val="auto"/>
          <w:sz w:val="24"/>
        </w:rPr>
      </w:pPr>
    </w:p>
    <w:p w14:paraId="43C90C5F">
      <w:pPr>
        <w:snapToGrid w:val="0"/>
        <w:spacing w:before="50"/>
        <w:ind w:firstLine="5280" w:firstLineChars="2200"/>
        <w:jc w:val="left"/>
        <w:rPr>
          <w:rFonts w:ascii="宋体" w:hAnsi="宋体"/>
          <w:color w:val="auto"/>
          <w:sz w:val="24"/>
        </w:rPr>
      </w:pPr>
    </w:p>
    <w:p w14:paraId="416F0D82">
      <w:pPr>
        <w:snapToGrid w:val="0"/>
        <w:spacing w:before="50"/>
        <w:ind w:firstLine="5280" w:firstLineChars="2200"/>
        <w:jc w:val="left"/>
        <w:rPr>
          <w:rFonts w:ascii="宋体" w:hAnsi="宋体"/>
          <w:color w:val="auto"/>
          <w:sz w:val="24"/>
        </w:rPr>
      </w:pPr>
    </w:p>
    <w:p w14:paraId="373BE742">
      <w:pPr>
        <w:snapToGrid w:val="0"/>
        <w:spacing w:before="50"/>
        <w:ind w:firstLine="5280" w:firstLineChars="2200"/>
        <w:jc w:val="left"/>
        <w:rPr>
          <w:rFonts w:ascii="宋体" w:hAnsi="宋体"/>
          <w:color w:val="auto"/>
          <w:sz w:val="24"/>
        </w:rPr>
      </w:pPr>
    </w:p>
    <w:p w14:paraId="3832D48F">
      <w:pPr>
        <w:snapToGrid w:val="0"/>
        <w:spacing w:before="50"/>
        <w:ind w:firstLine="5280" w:firstLineChars="2200"/>
        <w:jc w:val="left"/>
        <w:rPr>
          <w:rFonts w:ascii="宋体" w:hAnsi="宋体"/>
          <w:color w:val="auto"/>
          <w:sz w:val="24"/>
        </w:rPr>
      </w:pPr>
    </w:p>
    <w:p w14:paraId="31D9E3D7">
      <w:pPr>
        <w:snapToGrid w:val="0"/>
        <w:spacing w:before="50"/>
        <w:ind w:firstLine="5280" w:firstLineChars="2200"/>
        <w:jc w:val="left"/>
        <w:rPr>
          <w:rFonts w:ascii="宋体" w:hAnsi="宋体"/>
          <w:color w:val="auto"/>
          <w:sz w:val="24"/>
        </w:rPr>
      </w:pPr>
    </w:p>
    <w:p w14:paraId="48AD5DA0">
      <w:pPr>
        <w:snapToGrid w:val="0"/>
        <w:spacing w:before="50"/>
        <w:ind w:firstLine="5280" w:firstLineChars="2200"/>
        <w:jc w:val="left"/>
        <w:rPr>
          <w:rFonts w:ascii="宋体" w:hAnsi="宋体"/>
          <w:color w:val="auto"/>
          <w:sz w:val="24"/>
        </w:rPr>
      </w:pPr>
    </w:p>
    <w:p w14:paraId="6BAE186A">
      <w:pPr>
        <w:snapToGrid w:val="0"/>
        <w:spacing w:before="50"/>
        <w:ind w:firstLine="5280" w:firstLineChars="2200"/>
        <w:jc w:val="left"/>
        <w:rPr>
          <w:rFonts w:ascii="宋体" w:hAnsi="宋体"/>
          <w:color w:val="auto"/>
          <w:sz w:val="24"/>
        </w:rPr>
      </w:pPr>
    </w:p>
    <w:p w14:paraId="55F4803F">
      <w:pPr>
        <w:snapToGrid w:val="0"/>
        <w:spacing w:before="50"/>
        <w:ind w:firstLine="5280" w:firstLineChars="2200"/>
        <w:jc w:val="left"/>
        <w:rPr>
          <w:rFonts w:ascii="宋体" w:hAnsi="宋体"/>
          <w:color w:val="auto"/>
          <w:sz w:val="24"/>
        </w:rPr>
      </w:pPr>
    </w:p>
    <w:p w14:paraId="1A0528AC">
      <w:pPr>
        <w:snapToGrid w:val="0"/>
        <w:spacing w:before="50"/>
        <w:ind w:firstLine="5280" w:firstLineChars="2200"/>
        <w:jc w:val="left"/>
        <w:rPr>
          <w:rFonts w:ascii="宋体" w:hAnsi="宋体"/>
          <w:color w:val="auto"/>
          <w:sz w:val="24"/>
        </w:rPr>
      </w:pPr>
    </w:p>
    <w:p w14:paraId="41949F3E">
      <w:pPr>
        <w:snapToGrid w:val="0"/>
        <w:spacing w:before="50"/>
        <w:ind w:firstLine="5280" w:firstLineChars="2200"/>
        <w:jc w:val="left"/>
        <w:rPr>
          <w:rFonts w:ascii="宋体" w:hAnsi="宋体"/>
          <w:color w:val="auto"/>
          <w:sz w:val="24"/>
        </w:rPr>
      </w:pPr>
    </w:p>
    <w:p w14:paraId="3DDE4429">
      <w:pPr>
        <w:snapToGrid w:val="0"/>
        <w:spacing w:before="50"/>
        <w:ind w:firstLine="5280" w:firstLineChars="2200"/>
        <w:jc w:val="left"/>
        <w:rPr>
          <w:rFonts w:ascii="宋体" w:hAnsi="宋体"/>
          <w:color w:val="auto"/>
          <w:sz w:val="24"/>
        </w:rPr>
      </w:pPr>
    </w:p>
    <w:p w14:paraId="2544F3A8">
      <w:pPr>
        <w:snapToGrid w:val="0"/>
        <w:spacing w:before="50"/>
        <w:ind w:firstLine="5280" w:firstLineChars="2200"/>
        <w:jc w:val="left"/>
        <w:rPr>
          <w:rFonts w:ascii="宋体" w:hAnsi="宋体"/>
          <w:color w:val="auto"/>
          <w:sz w:val="24"/>
        </w:rPr>
      </w:pPr>
    </w:p>
    <w:p w14:paraId="2671A60B">
      <w:pPr>
        <w:snapToGrid w:val="0"/>
        <w:spacing w:before="50"/>
        <w:jc w:val="left"/>
        <w:rPr>
          <w:rFonts w:ascii="宋体" w:hAnsi="宋体" w:cs="宋体"/>
          <w:b/>
          <w:color w:val="auto"/>
          <w:sz w:val="24"/>
        </w:rPr>
      </w:pPr>
      <w:r>
        <w:rPr>
          <w:rFonts w:hint="eastAsia" w:ascii="宋体" w:hAnsi="宋体" w:cs="宋体"/>
          <w:b/>
          <w:color w:val="auto"/>
          <w:sz w:val="24"/>
        </w:rPr>
        <w:t>附件</w:t>
      </w:r>
      <w:r>
        <w:rPr>
          <w:rFonts w:hint="eastAsia" w:ascii="宋体" w:hAnsi="宋体" w:cs="宋体"/>
          <w:b/>
          <w:color w:val="auto"/>
          <w:sz w:val="24"/>
          <w:lang w:eastAsia="zh-CN"/>
        </w:rPr>
        <w:t>十七</w:t>
      </w:r>
      <w:r>
        <w:rPr>
          <w:rFonts w:hint="eastAsia" w:ascii="宋体" w:hAnsi="宋体" w:cs="宋体"/>
          <w:b/>
          <w:color w:val="auto"/>
          <w:sz w:val="24"/>
        </w:rPr>
        <w:t>：</w:t>
      </w:r>
      <w:bookmarkEnd w:id="96"/>
      <w:r>
        <w:rPr>
          <w:rFonts w:hint="eastAsia" w:ascii="宋体" w:hAnsi="宋体" w:cs="宋体"/>
          <w:b/>
          <w:color w:val="auto"/>
          <w:sz w:val="24"/>
        </w:rPr>
        <w:t>东阳市政府采购代理机构社会评价表</w:t>
      </w:r>
      <w:bookmarkEnd w:id="97"/>
      <w:bookmarkEnd w:id="98"/>
    </w:p>
    <w:p w14:paraId="7BE32881">
      <w:pPr>
        <w:jc w:val="center"/>
        <w:rPr>
          <w:rFonts w:ascii="宋体" w:hAnsi="宋体"/>
          <w:color w:val="auto"/>
          <w:sz w:val="44"/>
          <w:szCs w:val="44"/>
        </w:rPr>
      </w:pPr>
      <w:r>
        <w:rPr>
          <w:rFonts w:hint="eastAsia" w:ascii="宋体" w:hAnsi="宋体"/>
          <w:color w:val="auto"/>
          <w:sz w:val="44"/>
          <w:szCs w:val="44"/>
        </w:rPr>
        <w:t>东阳市政府采购代理机构社会评价表</w:t>
      </w:r>
    </w:p>
    <w:p w14:paraId="7E7CFFB3">
      <w:pPr>
        <w:rPr>
          <w:rFonts w:ascii="宋体" w:hAnsi="宋体"/>
          <w:color w:val="auto"/>
          <w:sz w:val="28"/>
          <w:szCs w:val="28"/>
        </w:rPr>
      </w:pPr>
      <w:r>
        <w:rPr>
          <w:rFonts w:hint="eastAsia" w:ascii="宋体" w:hAnsi="宋体"/>
          <w:color w:val="auto"/>
          <w:sz w:val="28"/>
          <w:szCs w:val="28"/>
        </w:rPr>
        <w:t xml:space="preserve">代理机构名称： </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69"/>
        <w:gridCol w:w="696"/>
        <w:gridCol w:w="1067"/>
        <w:gridCol w:w="1031"/>
        <w:gridCol w:w="792"/>
        <w:gridCol w:w="2883"/>
      </w:tblGrid>
      <w:tr w14:paraId="31275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14:paraId="30C9CA40">
            <w:pPr>
              <w:jc w:val="center"/>
              <w:rPr>
                <w:color w:val="auto"/>
                <w:sz w:val="24"/>
              </w:rPr>
            </w:pPr>
            <w:r>
              <w:rPr>
                <w:rFonts w:hint="eastAsia" w:ascii="宋体" w:hAnsi="宋体"/>
                <w:color w:val="auto"/>
                <w:sz w:val="24"/>
              </w:rPr>
              <w:t>填表人类别</w:t>
            </w:r>
          </w:p>
        </w:tc>
        <w:tc>
          <w:tcPr>
            <w:tcW w:w="7938" w:type="dxa"/>
            <w:gridSpan w:val="6"/>
            <w:tcBorders>
              <w:top w:val="single" w:color="auto" w:sz="4" w:space="0"/>
              <w:left w:val="nil"/>
              <w:bottom w:val="single" w:color="auto" w:sz="4" w:space="0"/>
              <w:right w:val="single" w:color="auto" w:sz="4" w:space="0"/>
            </w:tcBorders>
            <w:vAlign w:val="center"/>
          </w:tcPr>
          <w:p w14:paraId="3FB4BBBD">
            <w:pPr>
              <w:ind w:firstLine="480" w:firstLineChars="200"/>
              <w:jc w:val="center"/>
              <w:rPr>
                <w:color w:val="auto"/>
                <w:sz w:val="24"/>
              </w:rPr>
            </w:pPr>
            <w:r>
              <w:rPr>
                <w:rFonts w:hint="eastAsia" w:ascii="宋体" w:hAnsi="宋体"/>
                <w:color w:val="auto"/>
                <w:sz w:val="24"/>
              </w:rPr>
              <w:t>□采购单位</w:t>
            </w:r>
            <w:r>
              <w:rPr>
                <w:color w:val="auto"/>
                <w:sz w:val="24"/>
              </w:rPr>
              <w:t xml:space="preserve">      </w:t>
            </w:r>
            <w:r>
              <w:rPr>
                <w:rFonts w:hint="eastAsia" w:ascii="宋体" w:hAnsi="宋体"/>
                <w:color w:val="auto"/>
                <w:sz w:val="24"/>
              </w:rPr>
              <w:t>□供应商</w:t>
            </w:r>
            <w:r>
              <w:rPr>
                <w:color w:val="auto"/>
                <w:sz w:val="24"/>
              </w:rPr>
              <w:t xml:space="preserve">      </w:t>
            </w:r>
            <w:r>
              <w:rPr>
                <w:rFonts w:hint="eastAsia" w:ascii="宋体" w:hAnsi="宋体"/>
                <w:color w:val="auto"/>
                <w:sz w:val="24"/>
              </w:rPr>
              <w:t>□专家</w:t>
            </w:r>
            <w:r>
              <w:rPr>
                <w:color w:val="auto"/>
                <w:sz w:val="24"/>
              </w:rPr>
              <w:t xml:space="preserve">     </w:t>
            </w:r>
          </w:p>
        </w:tc>
      </w:tr>
      <w:tr w14:paraId="4EAC1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242" w:type="dxa"/>
            <w:tcBorders>
              <w:top w:val="single" w:color="auto" w:sz="4" w:space="0"/>
              <w:left w:val="single" w:color="auto" w:sz="4" w:space="0"/>
              <w:bottom w:val="single" w:color="auto" w:sz="4" w:space="0"/>
              <w:right w:val="single" w:color="auto" w:sz="4" w:space="0"/>
            </w:tcBorders>
            <w:vAlign w:val="center"/>
          </w:tcPr>
          <w:p w14:paraId="32F6B384">
            <w:pPr>
              <w:jc w:val="center"/>
              <w:rPr>
                <w:color w:val="auto"/>
                <w:sz w:val="24"/>
              </w:rPr>
            </w:pPr>
            <w:r>
              <w:rPr>
                <w:rFonts w:hint="eastAsia" w:ascii="宋体" w:hAnsi="宋体"/>
                <w:color w:val="auto"/>
                <w:sz w:val="24"/>
              </w:rPr>
              <w:t>填表人名称或姓名</w:t>
            </w:r>
          </w:p>
        </w:tc>
        <w:tc>
          <w:tcPr>
            <w:tcW w:w="4266" w:type="dxa"/>
            <w:gridSpan w:val="4"/>
            <w:tcBorders>
              <w:top w:val="single" w:color="auto" w:sz="4" w:space="0"/>
              <w:left w:val="nil"/>
              <w:bottom w:val="single" w:color="auto" w:sz="4" w:space="0"/>
              <w:right w:val="single" w:color="auto" w:sz="4" w:space="0"/>
            </w:tcBorders>
            <w:vAlign w:val="center"/>
          </w:tcPr>
          <w:p w14:paraId="6857E273">
            <w:pPr>
              <w:jc w:val="center"/>
              <w:rPr>
                <w:color w:val="auto"/>
                <w:sz w:val="24"/>
              </w:rPr>
            </w:pPr>
          </w:p>
        </w:tc>
        <w:tc>
          <w:tcPr>
            <w:tcW w:w="792" w:type="dxa"/>
            <w:tcBorders>
              <w:top w:val="single" w:color="auto" w:sz="4" w:space="0"/>
              <w:left w:val="nil"/>
              <w:bottom w:val="single" w:color="auto" w:sz="4" w:space="0"/>
              <w:right w:val="single" w:color="auto" w:sz="4" w:space="0"/>
            </w:tcBorders>
            <w:vAlign w:val="center"/>
          </w:tcPr>
          <w:p w14:paraId="21501673">
            <w:pPr>
              <w:jc w:val="center"/>
              <w:rPr>
                <w:color w:val="auto"/>
                <w:sz w:val="24"/>
              </w:rPr>
            </w:pPr>
            <w:r>
              <w:rPr>
                <w:rFonts w:hint="eastAsia" w:ascii="宋体" w:hAnsi="宋体"/>
                <w:color w:val="auto"/>
                <w:sz w:val="24"/>
              </w:rPr>
              <w:t>地址</w:t>
            </w:r>
          </w:p>
        </w:tc>
        <w:tc>
          <w:tcPr>
            <w:tcW w:w="2880" w:type="dxa"/>
            <w:tcBorders>
              <w:top w:val="single" w:color="auto" w:sz="4" w:space="0"/>
              <w:left w:val="single" w:color="auto" w:sz="4" w:space="0"/>
              <w:bottom w:val="single" w:color="auto" w:sz="4" w:space="0"/>
              <w:right w:val="single" w:color="auto" w:sz="4" w:space="0"/>
            </w:tcBorders>
            <w:vAlign w:val="center"/>
          </w:tcPr>
          <w:p w14:paraId="3C272ACD">
            <w:pPr>
              <w:jc w:val="center"/>
              <w:rPr>
                <w:rFonts w:ascii="宋体" w:hAnsi="宋体"/>
                <w:color w:val="auto"/>
                <w:sz w:val="24"/>
              </w:rPr>
            </w:pPr>
          </w:p>
        </w:tc>
      </w:tr>
      <w:tr w14:paraId="0A387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14:paraId="4FE3F126">
            <w:pPr>
              <w:jc w:val="center"/>
              <w:rPr>
                <w:color w:val="auto"/>
                <w:sz w:val="24"/>
              </w:rPr>
            </w:pPr>
            <w:r>
              <w:rPr>
                <w:rFonts w:hint="eastAsia" w:ascii="宋体" w:hAnsi="宋体"/>
                <w:color w:val="auto"/>
                <w:sz w:val="24"/>
              </w:rPr>
              <w:t>联系人</w:t>
            </w:r>
          </w:p>
        </w:tc>
        <w:tc>
          <w:tcPr>
            <w:tcW w:w="1470" w:type="dxa"/>
            <w:tcBorders>
              <w:top w:val="single" w:color="auto" w:sz="4" w:space="0"/>
              <w:left w:val="nil"/>
              <w:bottom w:val="single" w:color="auto" w:sz="4" w:space="0"/>
              <w:right w:val="single" w:color="auto" w:sz="4" w:space="0"/>
            </w:tcBorders>
            <w:vAlign w:val="center"/>
          </w:tcPr>
          <w:p w14:paraId="06A2ACA2">
            <w:pPr>
              <w:jc w:val="center"/>
              <w:rPr>
                <w:color w:val="auto"/>
                <w:sz w:val="24"/>
              </w:rPr>
            </w:pPr>
          </w:p>
        </w:tc>
        <w:tc>
          <w:tcPr>
            <w:tcW w:w="696" w:type="dxa"/>
            <w:tcBorders>
              <w:top w:val="single" w:color="auto" w:sz="4" w:space="0"/>
              <w:left w:val="nil"/>
              <w:bottom w:val="single" w:color="auto" w:sz="4" w:space="0"/>
              <w:right w:val="single" w:color="auto" w:sz="4" w:space="0"/>
            </w:tcBorders>
            <w:vAlign w:val="center"/>
          </w:tcPr>
          <w:p w14:paraId="23D1B964">
            <w:pPr>
              <w:jc w:val="center"/>
              <w:rPr>
                <w:color w:val="auto"/>
                <w:sz w:val="24"/>
              </w:rPr>
            </w:pPr>
            <w:r>
              <w:rPr>
                <w:rFonts w:hint="eastAsia" w:ascii="宋体" w:hAnsi="宋体"/>
                <w:color w:val="auto"/>
                <w:sz w:val="24"/>
              </w:rPr>
              <w:t>电话</w:t>
            </w:r>
          </w:p>
        </w:tc>
        <w:tc>
          <w:tcPr>
            <w:tcW w:w="2100" w:type="dxa"/>
            <w:gridSpan w:val="2"/>
            <w:tcBorders>
              <w:top w:val="single" w:color="auto" w:sz="4" w:space="0"/>
              <w:left w:val="nil"/>
              <w:bottom w:val="single" w:color="auto" w:sz="4" w:space="0"/>
              <w:right w:val="single" w:color="auto" w:sz="4" w:space="0"/>
            </w:tcBorders>
            <w:vAlign w:val="center"/>
          </w:tcPr>
          <w:p w14:paraId="2F1CD451">
            <w:pPr>
              <w:jc w:val="center"/>
              <w:rPr>
                <w:color w:val="auto"/>
                <w:sz w:val="24"/>
              </w:rPr>
            </w:pPr>
          </w:p>
        </w:tc>
        <w:tc>
          <w:tcPr>
            <w:tcW w:w="787" w:type="dxa"/>
            <w:tcBorders>
              <w:top w:val="single" w:color="auto" w:sz="4" w:space="0"/>
              <w:left w:val="nil"/>
              <w:bottom w:val="single" w:color="auto" w:sz="4" w:space="0"/>
              <w:right w:val="single" w:color="auto" w:sz="4" w:space="0"/>
            </w:tcBorders>
            <w:vAlign w:val="center"/>
          </w:tcPr>
          <w:p w14:paraId="63A7431E">
            <w:pPr>
              <w:jc w:val="center"/>
              <w:rPr>
                <w:color w:val="auto"/>
                <w:sz w:val="24"/>
              </w:rPr>
            </w:pPr>
            <w:r>
              <w:rPr>
                <w:rFonts w:hint="eastAsia" w:ascii="宋体" w:hAnsi="宋体"/>
                <w:color w:val="auto"/>
                <w:sz w:val="24"/>
              </w:rPr>
              <w:t>传真</w:t>
            </w:r>
          </w:p>
        </w:tc>
        <w:tc>
          <w:tcPr>
            <w:tcW w:w="2885" w:type="dxa"/>
            <w:tcBorders>
              <w:top w:val="single" w:color="auto" w:sz="4" w:space="0"/>
              <w:left w:val="single" w:color="auto" w:sz="4" w:space="0"/>
              <w:bottom w:val="single" w:color="auto" w:sz="4" w:space="0"/>
              <w:right w:val="single" w:color="auto" w:sz="4" w:space="0"/>
            </w:tcBorders>
            <w:vAlign w:val="center"/>
          </w:tcPr>
          <w:p w14:paraId="568D9FEF">
            <w:pPr>
              <w:jc w:val="center"/>
              <w:rPr>
                <w:color w:val="auto"/>
                <w:sz w:val="24"/>
              </w:rPr>
            </w:pPr>
          </w:p>
        </w:tc>
      </w:tr>
      <w:tr w14:paraId="31DA0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14:paraId="62307770">
            <w:pPr>
              <w:jc w:val="center"/>
              <w:rPr>
                <w:color w:val="auto"/>
                <w:sz w:val="24"/>
              </w:rPr>
            </w:pPr>
            <w:r>
              <w:rPr>
                <w:rFonts w:hint="eastAsia" w:ascii="宋体" w:hAnsi="宋体"/>
                <w:color w:val="auto"/>
                <w:sz w:val="24"/>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14:paraId="3B48BA1D">
            <w:pPr>
              <w:spacing w:line="500" w:lineRule="exact"/>
              <w:jc w:val="center"/>
              <w:rPr>
                <w:color w:val="auto"/>
                <w:sz w:val="24"/>
              </w:rPr>
            </w:pPr>
            <w:r>
              <w:rPr>
                <w:rFonts w:hint="eastAsia" w:ascii="宋体" w:hAnsi="宋体"/>
                <w:color w:val="auto"/>
                <w:sz w:val="24"/>
              </w:rPr>
              <w:t>项目</w:t>
            </w:r>
          </w:p>
        </w:tc>
        <w:tc>
          <w:tcPr>
            <w:tcW w:w="4704" w:type="dxa"/>
            <w:gridSpan w:val="3"/>
            <w:tcBorders>
              <w:top w:val="single" w:color="auto" w:sz="4" w:space="0"/>
              <w:left w:val="nil"/>
              <w:bottom w:val="single" w:color="auto" w:sz="4" w:space="0"/>
              <w:right w:val="single" w:color="auto" w:sz="4" w:space="0"/>
            </w:tcBorders>
            <w:vAlign w:val="center"/>
          </w:tcPr>
          <w:p w14:paraId="0C741A33">
            <w:pPr>
              <w:spacing w:line="500" w:lineRule="exact"/>
              <w:jc w:val="center"/>
              <w:rPr>
                <w:color w:val="auto"/>
                <w:sz w:val="24"/>
              </w:rPr>
            </w:pPr>
            <w:r>
              <w:rPr>
                <w:rFonts w:hint="eastAsia" w:ascii="宋体" w:hAnsi="宋体"/>
                <w:color w:val="auto"/>
                <w:sz w:val="24"/>
              </w:rPr>
              <w:t>评价（请在分值范围内进行打分）</w:t>
            </w:r>
          </w:p>
        </w:tc>
      </w:tr>
      <w:tr w14:paraId="070A1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660EB646">
            <w:pPr>
              <w:widowControl/>
              <w:jc w:val="left"/>
              <w:rPr>
                <w:color w:val="auto"/>
                <w:sz w:val="24"/>
              </w:rPr>
            </w:pPr>
          </w:p>
        </w:tc>
        <w:tc>
          <w:tcPr>
            <w:tcW w:w="3234" w:type="dxa"/>
            <w:gridSpan w:val="3"/>
            <w:tcBorders>
              <w:top w:val="single" w:color="auto" w:sz="4" w:space="0"/>
              <w:left w:val="nil"/>
              <w:bottom w:val="single" w:color="auto" w:sz="4" w:space="0"/>
              <w:right w:val="single" w:color="auto" w:sz="4" w:space="0"/>
            </w:tcBorders>
            <w:vAlign w:val="center"/>
          </w:tcPr>
          <w:p w14:paraId="6618BC59">
            <w:pPr>
              <w:rPr>
                <w:rFonts w:ascii="宋体" w:hAnsi="宋体"/>
                <w:color w:val="auto"/>
                <w:kern w:val="0"/>
                <w:sz w:val="24"/>
              </w:rPr>
            </w:pPr>
            <w:r>
              <w:rPr>
                <w:rFonts w:hint="eastAsia" w:ascii="宋体" w:hAnsi="宋体"/>
                <w:color w:val="auto"/>
                <w:sz w:val="24"/>
              </w:rPr>
              <w:t>是否严格执行政府采购纪律、法规和规章制度等（2分）。</w:t>
            </w:r>
          </w:p>
        </w:tc>
        <w:tc>
          <w:tcPr>
            <w:tcW w:w="4704" w:type="dxa"/>
            <w:gridSpan w:val="3"/>
            <w:tcBorders>
              <w:top w:val="single" w:color="auto" w:sz="4" w:space="0"/>
              <w:left w:val="nil"/>
              <w:bottom w:val="single" w:color="auto" w:sz="4" w:space="0"/>
              <w:right w:val="single" w:color="auto" w:sz="4" w:space="0"/>
            </w:tcBorders>
            <w:vAlign w:val="center"/>
          </w:tcPr>
          <w:p w14:paraId="301F96A0">
            <w:pPr>
              <w:spacing w:line="500" w:lineRule="exact"/>
              <w:jc w:val="center"/>
              <w:rPr>
                <w:color w:val="auto"/>
                <w:sz w:val="24"/>
              </w:rPr>
            </w:pPr>
          </w:p>
        </w:tc>
      </w:tr>
      <w:tr w14:paraId="553DF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6309E301">
            <w:pPr>
              <w:widowControl/>
              <w:jc w:val="left"/>
              <w:rPr>
                <w:color w:val="auto"/>
                <w:sz w:val="24"/>
              </w:rPr>
            </w:pPr>
          </w:p>
        </w:tc>
        <w:tc>
          <w:tcPr>
            <w:tcW w:w="3234" w:type="dxa"/>
            <w:gridSpan w:val="3"/>
            <w:tcBorders>
              <w:top w:val="single" w:color="auto" w:sz="4" w:space="0"/>
              <w:left w:val="nil"/>
              <w:bottom w:val="single" w:color="auto" w:sz="4" w:space="0"/>
              <w:right w:val="single" w:color="auto" w:sz="4" w:space="0"/>
            </w:tcBorders>
            <w:vAlign w:val="center"/>
          </w:tcPr>
          <w:p w14:paraId="3A2287EB">
            <w:pPr>
              <w:rPr>
                <w:rFonts w:ascii="宋体" w:hAnsi="宋体"/>
                <w:color w:val="auto"/>
                <w:kern w:val="0"/>
                <w:sz w:val="24"/>
              </w:rPr>
            </w:pPr>
            <w:r>
              <w:rPr>
                <w:rFonts w:hint="eastAsia" w:ascii="宋体" w:hAnsi="宋体"/>
                <w:color w:val="auto"/>
                <w:sz w:val="24"/>
              </w:rPr>
              <w:t>操作程序是否规范，采购行为、过程、结果是否公开、公平、公正，采购组织管理是否规范严谨（2分）</w:t>
            </w:r>
            <w:r>
              <w:rPr>
                <w:rFonts w:hint="eastAsia" w:ascii="宋体" w:hAnsi="宋体"/>
                <w:color w:val="auto"/>
                <w:kern w:val="0"/>
                <w:sz w:val="24"/>
              </w:rPr>
              <w:t>。</w:t>
            </w:r>
          </w:p>
        </w:tc>
        <w:tc>
          <w:tcPr>
            <w:tcW w:w="4704" w:type="dxa"/>
            <w:gridSpan w:val="3"/>
            <w:tcBorders>
              <w:top w:val="single" w:color="auto" w:sz="4" w:space="0"/>
              <w:left w:val="nil"/>
              <w:bottom w:val="single" w:color="auto" w:sz="4" w:space="0"/>
              <w:right w:val="single" w:color="auto" w:sz="4" w:space="0"/>
            </w:tcBorders>
            <w:vAlign w:val="center"/>
          </w:tcPr>
          <w:p w14:paraId="3F8129CE">
            <w:pPr>
              <w:spacing w:line="500" w:lineRule="exact"/>
              <w:jc w:val="center"/>
              <w:rPr>
                <w:color w:val="auto"/>
                <w:sz w:val="24"/>
              </w:rPr>
            </w:pPr>
          </w:p>
        </w:tc>
      </w:tr>
      <w:tr w14:paraId="4D772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2D06B411">
            <w:pPr>
              <w:widowControl/>
              <w:jc w:val="left"/>
              <w:rPr>
                <w:color w:val="auto"/>
                <w:sz w:val="24"/>
              </w:rPr>
            </w:pPr>
          </w:p>
        </w:tc>
        <w:tc>
          <w:tcPr>
            <w:tcW w:w="3234" w:type="dxa"/>
            <w:gridSpan w:val="3"/>
            <w:tcBorders>
              <w:top w:val="single" w:color="auto" w:sz="4" w:space="0"/>
              <w:left w:val="nil"/>
              <w:bottom w:val="single" w:color="auto" w:sz="4" w:space="0"/>
              <w:right w:val="single" w:color="auto" w:sz="4" w:space="0"/>
            </w:tcBorders>
            <w:vAlign w:val="center"/>
          </w:tcPr>
          <w:p w14:paraId="329FF7BC">
            <w:pPr>
              <w:rPr>
                <w:rFonts w:ascii="宋体" w:hAnsi="宋体"/>
                <w:color w:val="auto"/>
                <w:kern w:val="0"/>
                <w:sz w:val="24"/>
              </w:rPr>
            </w:pPr>
            <w:r>
              <w:rPr>
                <w:rFonts w:hint="eastAsia" w:ascii="宋体" w:hAnsi="宋体"/>
                <w:color w:val="auto"/>
                <w:sz w:val="24"/>
              </w:rPr>
              <w:t>是否及时组织采购，是否有承诺办事时间并能限时办结（2分）</w:t>
            </w:r>
            <w:r>
              <w:rPr>
                <w:rFonts w:hint="eastAsia" w:ascii="宋体" w:hAnsi="宋体"/>
                <w:color w:val="auto"/>
                <w:kern w:val="0"/>
                <w:sz w:val="24"/>
              </w:rPr>
              <w:t>。</w:t>
            </w:r>
          </w:p>
        </w:tc>
        <w:tc>
          <w:tcPr>
            <w:tcW w:w="4704" w:type="dxa"/>
            <w:gridSpan w:val="3"/>
            <w:tcBorders>
              <w:top w:val="single" w:color="auto" w:sz="4" w:space="0"/>
              <w:left w:val="nil"/>
              <w:bottom w:val="single" w:color="auto" w:sz="4" w:space="0"/>
              <w:right w:val="single" w:color="auto" w:sz="4" w:space="0"/>
            </w:tcBorders>
            <w:vAlign w:val="center"/>
          </w:tcPr>
          <w:p w14:paraId="46860C6C">
            <w:pPr>
              <w:spacing w:line="500" w:lineRule="exact"/>
              <w:jc w:val="center"/>
              <w:rPr>
                <w:color w:val="auto"/>
                <w:sz w:val="24"/>
              </w:rPr>
            </w:pPr>
          </w:p>
        </w:tc>
      </w:tr>
      <w:tr w14:paraId="4A7AA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612DE51C">
            <w:pPr>
              <w:widowControl/>
              <w:jc w:val="left"/>
              <w:rPr>
                <w:color w:val="auto"/>
                <w:sz w:val="24"/>
              </w:rPr>
            </w:pPr>
          </w:p>
        </w:tc>
        <w:tc>
          <w:tcPr>
            <w:tcW w:w="3234" w:type="dxa"/>
            <w:gridSpan w:val="3"/>
            <w:tcBorders>
              <w:top w:val="single" w:color="auto" w:sz="4" w:space="0"/>
              <w:left w:val="nil"/>
              <w:bottom w:val="single" w:color="auto" w:sz="4" w:space="0"/>
              <w:right w:val="single" w:color="auto" w:sz="4" w:space="0"/>
            </w:tcBorders>
            <w:vAlign w:val="center"/>
          </w:tcPr>
          <w:p w14:paraId="3C6B8D36">
            <w:pPr>
              <w:rPr>
                <w:rFonts w:ascii="宋体" w:hAnsi="宋体"/>
                <w:color w:val="auto"/>
                <w:sz w:val="24"/>
              </w:rPr>
            </w:pPr>
            <w:r>
              <w:rPr>
                <w:rFonts w:hint="eastAsia" w:ascii="宋体" w:hAnsi="宋体"/>
                <w:color w:val="auto"/>
                <w:sz w:val="24"/>
              </w:rPr>
              <w:t>是否能积极</w:t>
            </w:r>
            <w:r>
              <w:rPr>
                <w:rFonts w:hint="eastAsia" w:ascii="宋体" w:hAnsi="宋体"/>
                <w:color w:val="auto"/>
                <w:kern w:val="0"/>
                <w:sz w:val="24"/>
              </w:rPr>
              <w:t>主动</w:t>
            </w:r>
            <w:r>
              <w:rPr>
                <w:rFonts w:hint="eastAsia" w:ascii="宋体" w:hAnsi="宋体"/>
                <w:color w:val="auto"/>
                <w:sz w:val="24"/>
              </w:rPr>
              <w:t>与当事人沟通</w:t>
            </w:r>
            <w:r>
              <w:rPr>
                <w:rFonts w:hint="eastAsia" w:ascii="宋体" w:hAnsi="宋体"/>
                <w:color w:val="auto"/>
                <w:kern w:val="0"/>
                <w:sz w:val="24"/>
              </w:rPr>
              <w:t>对接；对采购政策进行详细解读；</w:t>
            </w:r>
            <w:r>
              <w:rPr>
                <w:rFonts w:hint="eastAsia" w:ascii="宋体" w:hAnsi="宋体"/>
                <w:color w:val="auto"/>
                <w:sz w:val="24"/>
              </w:rPr>
              <w:t>咨询答复是否热情周到、耐心细致（2分）</w:t>
            </w:r>
            <w:r>
              <w:rPr>
                <w:rFonts w:hint="eastAsia" w:ascii="宋体" w:hAnsi="宋体"/>
                <w:color w:val="auto"/>
                <w:kern w:val="0"/>
                <w:sz w:val="24"/>
              </w:rPr>
              <w:t>。</w:t>
            </w:r>
          </w:p>
        </w:tc>
        <w:tc>
          <w:tcPr>
            <w:tcW w:w="4704" w:type="dxa"/>
            <w:gridSpan w:val="3"/>
            <w:tcBorders>
              <w:top w:val="single" w:color="auto" w:sz="4" w:space="0"/>
              <w:left w:val="nil"/>
              <w:bottom w:val="single" w:color="auto" w:sz="4" w:space="0"/>
              <w:right w:val="single" w:color="auto" w:sz="4" w:space="0"/>
            </w:tcBorders>
            <w:vAlign w:val="center"/>
          </w:tcPr>
          <w:p w14:paraId="4FD62776">
            <w:pPr>
              <w:spacing w:line="500" w:lineRule="exact"/>
              <w:jc w:val="center"/>
              <w:rPr>
                <w:color w:val="auto"/>
                <w:sz w:val="24"/>
              </w:rPr>
            </w:pPr>
          </w:p>
        </w:tc>
      </w:tr>
      <w:tr w14:paraId="162EA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1D94CED7">
            <w:pPr>
              <w:widowControl/>
              <w:jc w:val="left"/>
              <w:rPr>
                <w:color w:val="auto"/>
                <w:sz w:val="24"/>
              </w:rPr>
            </w:pPr>
          </w:p>
        </w:tc>
        <w:tc>
          <w:tcPr>
            <w:tcW w:w="3234" w:type="dxa"/>
            <w:gridSpan w:val="3"/>
            <w:tcBorders>
              <w:top w:val="single" w:color="auto" w:sz="4" w:space="0"/>
              <w:left w:val="nil"/>
              <w:bottom w:val="single" w:color="auto" w:sz="4" w:space="0"/>
              <w:right w:val="single" w:color="auto" w:sz="4" w:space="0"/>
            </w:tcBorders>
            <w:vAlign w:val="center"/>
          </w:tcPr>
          <w:p w14:paraId="4867B248">
            <w:pPr>
              <w:rPr>
                <w:rFonts w:ascii="宋体" w:hAnsi="宋体"/>
                <w:color w:val="auto"/>
                <w:sz w:val="24"/>
              </w:rPr>
            </w:pPr>
            <w:r>
              <w:rPr>
                <w:rFonts w:hint="eastAsia" w:ascii="宋体" w:hAnsi="宋体"/>
                <w:color w:val="auto"/>
                <w:sz w:val="24"/>
              </w:rPr>
              <w:t>采购的质量、服务是否满意（2分）。</w:t>
            </w:r>
          </w:p>
        </w:tc>
        <w:tc>
          <w:tcPr>
            <w:tcW w:w="4704" w:type="dxa"/>
            <w:gridSpan w:val="3"/>
            <w:tcBorders>
              <w:top w:val="single" w:color="auto" w:sz="4" w:space="0"/>
              <w:left w:val="nil"/>
              <w:bottom w:val="single" w:color="auto" w:sz="4" w:space="0"/>
              <w:right w:val="single" w:color="auto" w:sz="4" w:space="0"/>
            </w:tcBorders>
            <w:vAlign w:val="center"/>
          </w:tcPr>
          <w:p w14:paraId="57C4D3C5">
            <w:pPr>
              <w:spacing w:line="500" w:lineRule="exact"/>
              <w:jc w:val="center"/>
              <w:rPr>
                <w:color w:val="auto"/>
                <w:sz w:val="24"/>
              </w:rPr>
            </w:pPr>
          </w:p>
        </w:tc>
      </w:tr>
      <w:tr w14:paraId="18CD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36F07F2C">
            <w:pPr>
              <w:widowControl/>
              <w:jc w:val="left"/>
              <w:rPr>
                <w:color w:val="auto"/>
                <w:sz w:val="24"/>
              </w:rPr>
            </w:pPr>
          </w:p>
        </w:tc>
        <w:tc>
          <w:tcPr>
            <w:tcW w:w="3234" w:type="dxa"/>
            <w:gridSpan w:val="3"/>
            <w:tcBorders>
              <w:top w:val="single" w:color="auto" w:sz="4" w:space="0"/>
              <w:left w:val="nil"/>
              <w:bottom w:val="single" w:color="auto" w:sz="4" w:space="0"/>
              <w:right w:val="single" w:color="auto" w:sz="4" w:space="0"/>
            </w:tcBorders>
            <w:vAlign w:val="center"/>
          </w:tcPr>
          <w:p w14:paraId="2A19B206">
            <w:pPr>
              <w:spacing w:line="500" w:lineRule="exact"/>
              <w:jc w:val="center"/>
              <w:rPr>
                <w:color w:val="auto"/>
                <w:sz w:val="24"/>
              </w:rPr>
            </w:pPr>
            <w:r>
              <w:rPr>
                <w:rFonts w:hint="eastAsia" w:ascii="宋体" w:hAnsi="宋体"/>
                <w:color w:val="auto"/>
                <w:sz w:val="24"/>
              </w:rPr>
              <w:t>合计</w:t>
            </w:r>
          </w:p>
        </w:tc>
        <w:tc>
          <w:tcPr>
            <w:tcW w:w="4704" w:type="dxa"/>
            <w:gridSpan w:val="3"/>
            <w:tcBorders>
              <w:top w:val="single" w:color="auto" w:sz="4" w:space="0"/>
              <w:left w:val="nil"/>
              <w:bottom w:val="single" w:color="auto" w:sz="4" w:space="0"/>
              <w:right w:val="single" w:color="auto" w:sz="4" w:space="0"/>
            </w:tcBorders>
            <w:vAlign w:val="center"/>
          </w:tcPr>
          <w:p w14:paraId="314D817A">
            <w:pPr>
              <w:spacing w:line="500" w:lineRule="exact"/>
              <w:jc w:val="center"/>
              <w:rPr>
                <w:color w:val="auto"/>
                <w:sz w:val="24"/>
              </w:rPr>
            </w:pPr>
          </w:p>
        </w:tc>
      </w:tr>
      <w:tr w14:paraId="1D7AB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14:paraId="1BCC1EF1">
            <w:pPr>
              <w:jc w:val="center"/>
              <w:rPr>
                <w:color w:val="auto"/>
                <w:sz w:val="24"/>
              </w:rPr>
            </w:pPr>
            <w:r>
              <w:rPr>
                <w:rFonts w:hint="eastAsia" w:ascii="宋体" w:hAnsi="宋体"/>
                <w:color w:val="auto"/>
                <w:sz w:val="24"/>
              </w:rPr>
              <w:t>对代理机构的意见和建议</w:t>
            </w:r>
          </w:p>
        </w:tc>
        <w:tc>
          <w:tcPr>
            <w:tcW w:w="7938" w:type="dxa"/>
            <w:gridSpan w:val="6"/>
            <w:tcBorders>
              <w:top w:val="single" w:color="auto" w:sz="4" w:space="0"/>
              <w:left w:val="nil"/>
              <w:bottom w:val="single" w:color="auto" w:sz="4" w:space="0"/>
              <w:right w:val="single" w:color="auto" w:sz="4" w:space="0"/>
            </w:tcBorders>
            <w:vAlign w:val="center"/>
          </w:tcPr>
          <w:p w14:paraId="45391039">
            <w:pPr>
              <w:jc w:val="center"/>
              <w:rPr>
                <w:color w:val="auto"/>
                <w:sz w:val="24"/>
              </w:rPr>
            </w:pPr>
          </w:p>
        </w:tc>
      </w:tr>
      <w:tr w14:paraId="19AB2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14:paraId="5C7BC5D5">
            <w:pPr>
              <w:jc w:val="center"/>
              <w:rPr>
                <w:color w:val="auto"/>
                <w:sz w:val="24"/>
              </w:rPr>
            </w:pPr>
            <w:r>
              <w:rPr>
                <w:rFonts w:hint="eastAsia" w:ascii="宋体" w:hAnsi="宋体"/>
                <w:color w:val="auto"/>
                <w:sz w:val="24"/>
              </w:rPr>
              <w:t>备注</w:t>
            </w:r>
          </w:p>
        </w:tc>
        <w:tc>
          <w:tcPr>
            <w:tcW w:w="7938" w:type="dxa"/>
            <w:gridSpan w:val="6"/>
            <w:tcBorders>
              <w:top w:val="single" w:color="auto" w:sz="4" w:space="0"/>
              <w:left w:val="nil"/>
              <w:bottom w:val="single" w:color="auto" w:sz="4" w:space="0"/>
              <w:right w:val="single" w:color="auto" w:sz="4" w:space="0"/>
            </w:tcBorders>
            <w:vAlign w:val="center"/>
          </w:tcPr>
          <w:p w14:paraId="108BCDD9">
            <w:pPr>
              <w:jc w:val="center"/>
              <w:rPr>
                <w:rFonts w:hint="eastAsia" w:eastAsia="宋体"/>
                <w:color w:val="auto"/>
                <w:sz w:val="24"/>
                <w:lang w:val="en-US" w:eastAsia="zh-CN"/>
              </w:rPr>
            </w:pPr>
            <w:r>
              <w:rPr>
                <w:rFonts w:hint="eastAsia"/>
                <w:color w:val="auto"/>
                <w:sz w:val="24"/>
                <w:lang w:eastAsia="zh-CN"/>
              </w:rPr>
              <w:t>东阳市白云街道2024-2025年度枯死松树清理项目</w:t>
            </w:r>
          </w:p>
        </w:tc>
      </w:tr>
    </w:tbl>
    <w:p w14:paraId="4DA697CA">
      <w:pPr>
        <w:spacing w:after="120"/>
        <w:ind w:right="1240"/>
        <w:rPr>
          <w:rFonts w:ascii="宋体" w:hAnsi="宋体" w:cs="宋体"/>
          <w:color w:val="auto"/>
          <w:sz w:val="24"/>
        </w:rPr>
      </w:pPr>
      <w:r>
        <w:rPr>
          <w:rFonts w:hint="eastAsia" w:ascii="宋体" w:hAnsi="宋体"/>
          <w:color w:val="auto"/>
          <w:sz w:val="24"/>
        </w:rPr>
        <w:t>填表人签字盖章：</w:t>
      </w:r>
      <w:r>
        <w:rPr>
          <w:color w:val="auto"/>
          <w:sz w:val="24"/>
        </w:rPr>
        <w:t xml:space="preserve">                    </w:t>
      </w:r>
      <w:r>
        <w:rPr>
          <w:rFonts w:hint="eastAsia" w:ascii="宋体" w:hAnsi="宋体"/>
          <w:color w:val="auto"/>
          <w:sz w:val="24"/>
        </w:rPr>
        <w:t>日期</w:t>
      </w:r>
    </w:p>
    <w:p w14:paraId="41D2EE15">
      <w:pPr>
        <w:spacing w:after="120"/>
        <w:ind w:right="-154"/>
        <w:rPr>
          <w:rFonts w:ascii="宋体" w:hAnsi="宋体" w:cs="宋体"/>
          <w:color w:val="auto"/>
          <w:szCs w:val="21"/>
        </w:rPr>
      </w:pPr>
      <w:r>
        <w:rPr>
          <w:rFonts w:hint="eastAsia" w:ascii="宋体" w:hAnsi="宋体" w:cs="宋体"/>
          <w:color w:val="auto"/>
          <w:szCs w:val="21"/>
        </w:rPr>
        <w:t>注</w:t>
      </w:r>
      <w:r>
        <w:rPr>
          <w:rFonts w:hint="eastAsia" w:ascii="宋体" w:hAnsi="宋体" w:cs="宋体"/>
          <w:color w:val="auto"/>
          <w:sz w:val="24"/>
        </w:rPr>
        <w:t>：此表须盖投标单位公章</w:t>
      </w:r>
    </w:p>
    <w:bookmarkEnd w:id="76"/>
    <w:p w14:paraId="6287243E">
      <w:pPr>
        <w:spacing w:after="120"/>
        <w:ind w:right="960"/>
        <w:jc w:val="left"/>
        <w:rPr>
          <w:rFonts w:ascii="宋体" w:hAnsi="宋体" w:cs="宋体"/>
          <w:color w:val="auto"/>
          <w:sz w:val="24"/>
        </w:rPr>
      </w:pPr>
      <w:bookmarkStart w:id="99" w:name="_Toc496599001"/>
      <w:bookmarkStart w:id="100" w:name="_Toc496598999"/>
    </w:p>
    <w:p w14:paraId="6EFF1E8E">
      <w:pPr>
        <w:pStyle w:val="22"/>
        <w:rPr>
          <w:color w:val="auto"/>
        </w:rPr>
      </w:pPr>
    </w:p>
    <w:bookmarkEnd w:id="99"/>
    <w:bookmarkEnd w:id="100"/>
    <w:p w14:paraId="2048EADE">
      <w:pPr>
        <w:rPr>
          <w:b/>
          <w:bCs/>
          <w:color w:val="auto"/>
          <w:sz w:val="24"/>
        </w:rPr>
      </w:pPr>
      <w:bookmarkStart w:id="101" w:name="_Toc1361"/>
      <w:bookmarkStart w:id="102" w:name="_Toc4132"/>
      <w:bookmarkStart w:id="103" w:name="_Toc2489"/>
      <w:bookmarkStart w:id="104" w:name="_Toc24160"/>
      <w:bookmarkStart w:id="105" w:name="_Toc1112"/>
      <w:r>
        <w:rPr>
          <w:rFonts w:hint="eastAsia"/>
          <w:b/>
          <w:bCs/>
          <w:color w:val="auto"/>
          <w:sz w:val="24"/>
        </w:rPr>
        <w:t>附件</w:t>
      </w:r>
      <w:r>
        <w:rPr>
          <w:rFonts w:hint="eastAsia"/>
          <w:b/>
          <w:bCs/>
          <w:color w:val="auto"/>
          <w:sz w:val="24"/>
          <w:lang w:eastAsia="zh-CN"/>
        </w:rPr>
        <w:t>十八</w:t>
      </w:r>
      <w:r>
        <w:rPr>
          <w:rFonts w:hint="eastAsia"/>
          <w:b/>
          <w:bCs/>
          <w:color w:val="auto"/>
          <w:sz w:val="24"/>
        </w:rPr>
        <w:t>：</w:t>
      </w:r>
    </w:p>
    <w:p w14:paraId="596148D7">
      <w:pPr>
        <w:spacing w:line="400" w:lineRule="exact"/>
        <w:ind w:firstLine="1928" w:firstLineChars="800"/>
        <w:rPr>
          <w:rFonts w:ascii="宋体" w:hAnsi="宋体" w:cs="宋体"/>
          <w:b/>
          <w:color w:val="auto"/>
          <w:sz w:val="24"/>
        </w:rPr>
      </w:pPr>
      <w:r>
        <w:rPr>
          <w:rFonts w:hint="eastAsia" w:ascii="宋体" w:hAnsi="宋体" w:cs="宋体"/>
          <w:b/>
          <w:color w:val="auto"/>
          <w:sz w:val="24"/>
        </w:rPr>
        <w:t>政府采购支持中小企业信用融资相关事项通知</w:t>
      </w:r>
    </w:p>
    <w:p w14:paraId="69ED53D7">
      <w:pPr>
        <w:spacing w:line="400" w:lineRule="exact"/>
        <w:ind w:firstLine="480" w:firstLineChars="200"/>
        <w:rPr>
          <w:rFonts w:ascii="宋体" w:hAnsi="宋体" w:cs="宋体"/>
          <w:color w:val="auto"/>
          <w:sz w:val="24"/>
        </w:rPr>
      </w:pPr>
      <w:r>
        <w:rPr>
          <w:rFonts w:hint="eastAsia" w:ascii="宋体" w:hAnsi="宋体" w:cs="宋体"/>
          <w:color w:val="auto"/>
          <w:sz w:val="24"/>
        </w:rPr>
        <w:t>为支持和促进中小企业发展，进一步发挥政府采购政策功能，现将相关事项通知如下：</w:t>
      </w:r>
    </w:p>
    <w:p w14:paraId="183C8E05">
      <w:pPr>
        <w:spacing w:line="400" w:lineRule="exact"/>
        <w:ind w:firstLine="482" w:firstLineChars="200"/>
        <w:rPr>
          <w:rFonts w:ascii="宋体" w:hAnsi="宋体" w:cs="宋体"/>
          <w:b/>
          <w:color w:val="auto"/>
          <w:sz w:val="24"/>
        </w:rPr>
      </w:pPr>
      <w:r>
        <w:rPr>
          <w:rFonts w:hint="eastAsia" w:ascii="宋体" w:hAnsi="宋体" w:cs="宋体"/>
          <w:b/>
          <w:color w:val="auto"/>
          <w:sz w:val="24"/>
        </w:rPr>
        <w:t>一、适用对象</w:t>
      </w:r>
    </w:p>
    <w:p w14:paraId="0EBCFA7F">
      <w:pPr>
        <w:spacing w:line="400" w:lineRule="exact"/>
        <w:ind w:firstLine="480" w:firstLineChars="200"/>
        <w:rPr>
          <w:rFonts w:ascii="宋体" w:hAnsi="宋体" w:cs="宋体"/>
          <w:color w:val="auto"/>
          <w:sz w:val="24"/>
        </w:rPr>
      </w:pPr>
      <w:r>
        <w:rPr>
          <w:rFonts w:hint="eastAsia" w:ascii="宋体" w:hAnsi="宋体" w:cs="宋体"/>
          <w:color w:val="auto"/>
          <w:sz w:val="24"/>
        </w:rPr>
        <w:t>在浙江政府采购网注册入库，并取得东阳市政府采购合同的中小企业供应商。</w:t>
      </w:r>
    </w:p>
    <w:p w14:paraId="3289904D">
      <w:pPr>
        <w:spacing w:line="400" w:lineRule="exact"/>
        <w:ind w:firstLine="482" w:firstLineChars="200"/>
        <w:rPr>
          <w:rFonts w:ascii="宋体" w:hAnsi="宋体" w:cs="宋体"/>
          <w:b/>
          <w:color w:val="auto"/>
          <w:sz w:val="24"/>
        </w:rPr>
      </w:pPr>
      <w:r>
        <w:rPr>
          <w:rFonts w:hint="eastAsia" w:ascii="宋体" w:hAnsi="宋体" w:cs="宋体"/>
          <w:b/>
          <w:color w:val="auto"/>
          <w:sz w:val="24"/>
        </w:rPr>
        <w:t>二、相关信息获取方式</w:t>
      </w:r>
    </w:p>
    <w:p w14:paraId="603A6B34">
      <w:pPr>
        <w:spacing w:line="400" w:lineRule="exact"/>
        <w:ind w:firstLine="480" w:firstLineChars="200"/>
        <w:rPr>
          <w:rFonts w:ascii="宋体" w:hAnsi="宋体" w:cs="宋体"/>
          <w:color w:val="auto"/>
          <w:sz w:val="24"/>
        </w:rPr>
      </w:pPr>
      <w:r>
        <w:rPr>
          <w:rFonts w:hint="eastAsia" w:ascii="宋体" w:hAnsi="宋体" w:cs="宋体"/>
          <w:color w:val="auto"/>
          <w:sz w:val="24"/>
        </w:rPr>
        <w:t>请登陆浙江省政府采购网“融资贷款”模块，查看信用融资政策文件及各相关银行服务方案。</w:t>
      </w:r>
    </w:p>
    <w:p w14:paraId="179FCD76">
      <w:pPr>
        <w:spacing w:line="400" w:lineRule="exact"/>
        <w:ind w:firstLine="482" w:firstLineChars="200"/>
        <w:rPr>
          <w:rFonts w:ascii="宋体" w:hAnsi="宋体" w:cs="宋体"/>
          <w:b/>
          <w:color w:val="auto"/>
          <w:sz w:val="24"/>
        </w:rPr>
      </w:pPr>
      <w:r>
        <w:rPr>
          <w:rFonts w:hint="eastAsia" w:ascii="宋体" w:hAnsi="宋体" w:cs="宋体"/>
          <w:b/>
          <w:color w:val="auto"/>
          <w:sz w:val="24"/>
        </w:rPr>
        <w:t>三、申请方式和步骤</w:t>
      </w:r>
    </w:p>
    <w:p w14:paraId="1FE6BD5D">
      <w:pPr>
        <w:spacing w:line="400" w:lineRule="exact"/>
        <w:ind w:firstLine="480" w:firstLineChars="200"/>
        <w:rPr>
          <w:rFonts w:ascii="宋体" w:hAnsi="宋体" w:cs="宋体"/>
          <w:color w:val="auto"/>
          <w:sz w:val="24"/>
        </w:rPr>
      </w:pPr>
      <w:r>
        <w:rPr>
          <w:rFonts w:hint="eastAsia" w:ascii="宋体" w:hAnsi="宋体" w:cs="宋体"/>
          <w:color w:val="auto"/>
          <w:sz w:val="24"/>
        </w:rPr>
        <w:t>（一）采购合同贷</w:t>
      </w:r>
    </w:p>
    <w:p w14:paraId="780F9BEA">
      <w:pPr>
        <w:spacing w:line="400" w:lineRule="exact"/>
        <w:ind w:firstLine="480" w:firstLineChars="200"/>
        <w:jc w:val="left"/>
        <w:rPr>
          <w:rFonts w:ascii="宋体" w:hAnsi="宋体" w:cs="宋体"/>
          <w:color w:val="auto"/>
          <w:sz w:val="24"/>
        </w:rPr>
      </w:pPr>
      <w:r>
        <w:rPr>
          <w:rFonts w:hint="eastAsia" w:ascii="宋体" w:hAnsi="宋体" w:cs="宋体"/>
          <w:color w:val="auto"/>
          <w:sz w:val="24"/>
        </w:rPr>
        <w:t>1、采购单位在政采云完成中标通知书及公告发布后，政采云根据该供应商资信向供应商发送推介合适的融资产品方案(展示多家银行---满足贷款银行条件的银行产品,对供应商进行展示)；</w:t>
      </w:r>
    </w:p>
    <w:p w14:paraId="4EEE5457">
      <w:pPr>
        <w:spacing w:line="400" w:lineRule="exact"/>
        <w:ind w:firstLine="480" w:firstLineChars="200"/>
        <w:jc w:val="left"/>
        <w:rPr>
          <w:rFonts w:ascii="宋体" w:hAnsi="宋体" w:cs="宋体"/>
          <w:color w:val="auto"/>
          <w:sz w:val="24"/>
        </w:rPr>
      </w:pPr>
      <w:r>
        <w:rPr>
          <w:rFonts w:hint="eastAsia" w:ascii="宋体" w:hAnsi="宋体" w:cs="宋体"/>
          <w:color w:val="auto"/>
          <w:sz w:val="24"/>
        </w:rPr>
        <w:t>2、供应商在收到中标通知的同时会收到可申请融资服务邀请，有意向的供应商选择满足条件的银行产品,并补充填写相关资料,向满足条件的融资产品发起申请；</w:t>
      </w:r>
    </w:p>
    <w:p w14:paraId="65A9177D">
      <w:pPr>
        <w:spacing w:line="400" w:lineRule="exact"/>
        <w:ind w:firstLine="480" w:firstLineChars="200"/>
        <w:jc w:val="left"/>
        <w:rPr>
          <w:rFonts w:ascii="宋体" w:hAnsi="宋体" w:cs="宋体"/>
          <w:color w:val="auto"/>
          <w:sz w:val="24"/>
        </w:rPr>
      </w:pPr>
      <w:r>
        <w:rPr>
          <w:rFonts w:hint="eastAsia" w:ascii="宋体" w:hAnsi="宋体" w:cs="宋体"/>
          <w:color w:val="auto"/>
          <w:sz w:val="24"/>
        </w:rPr>
        <w:t>3、政采云将供应商的申请传递给银行,并将供应商相关信息给银行:供应商信息、订单(合同)信息、融资申请等数据用于贷款审批；</w:t>
      </w:r>
    </w:p>
    <w:p w14:paraId="4086A65E">
      <w:pPr>
        <w:spacing w:line="400" w:lineRule="exact"/>
        <w:ind w:firstLine="480" w:firstLineChars="200"/>
        <w:jc w:val="left"/>
        <w:rPr>
          <w:rFonts w:ascii="宋体" w:hAnsi="宋体" w:cs="宋体"/>
          <w:color w:val="auto"/>
          <w:sz w:val="24"/>
        </w:rPr>
      </w:pPr>
      <w:r>
        <w:rPr>
          <w:rFonts w:hint="eastAsia" w:ascii="宋体" w:hAnsi="宋体" w:cs="宋体"/>
          <w:color w:val="auto"/>
          <w:sz w:val="24"/>
        </w:rPr>
        <w:t>4、银行进行融资审批并返回审批结果至政采云（审批通过的等待政采云放款通知，订单合同签署生效后通知）,政采云将银行反馈信息同步展示给对应供应商；</w:t>
      </w:r>
    </w:p>
    <w:p w14:paraId="0A012787">
      <w:pPr>
        <w:spacing w:line="400" w:lineRule="exact"/>
        <w:ind w:firstLine="480" w:firstLineChars="200"/>
        <w:jc w:val="left"/>
        <w:rPr>
          <w:rFonts w:ascii="宋体" w:hAnsi="宋体" w:cs="宋体"/>
          <w:color w:val="auto"/>
          <w:sz w:val="24"/>
        </w:rPr>
      </w:pPr>
      <w:r>
        <w:rPr>
          <w:rFonts w:hint="eastAsia" w:ascii="宋体" w:hAnsi="宋体" w:cs="宋体"/>
          <w:color w:val="auto"/>
          <w:sz w:val="24"/>
        </w:rPr>
        <w:t>5、采购单位与供应商在线下签订完成合同签署后（将贷款银行的帐号协调采购合同中去,贷款帐号作为采购合同的收款账户），政采云向银行发送确认指令；</w:t>
      </w:r>
    </w:p>
    <w:p w14:paraId="3D2B5AF2">
      <w:pPr>
        <w:spacing w:line="400" w:lineRule="exact"/>
        <w:ind w:firstLine="480" w:firstLineChars="200"/>
        <w:jc w:val="left"/>
        <w:rPr>
          <w:rFonts w:ascii="宋体" w:hAnsi="宋体" w:cs="宋体"/>
          <w:color w:val="auto"/>
          <w:sz w:val="24"/>
        </w:rPr>
      </w:pPr>
      <w:r>
        <w:rPr>
          <w:rFonts w:hint="eastAsia" w:ascii="宋体" w:hAnsi="宋体" w:cs="宋体"/>
          <w:color w:val="auto"/>
          <w:sz w:val="24"/>
        </w:rPr>
        <w:t>6、项目履约完成，采购单位完成验收后发起结算，国库完成支付；</w:t>
      </w:r>
    </w:p>
    <w:p w14:paraId="1D72873E">
      <w:pPr>
        <w:spacing w:line="400" w:lineRule="exact"/>
        <w:ind w:firstLine="480" w:firstLineChars="200"/>
        <w:jc w:val="left"/>
        <w:rPr>
          <w:rFonts w:ascii="宋体" w:hAnsi="宋体" w:cs="宋体"/>
          <w:color w:val="auto"/>
          <w:sz w:val="24"/>
        </w:rPr>
      </w:pPr>
      <w:r>
        <w:rPr>
          <w:rFonts w:hint="eastAsia" w:ascii="宋体" w:hAnsi="宋体" w:cs="宋体"/>
          <w:color w:val="auto"/>
          <w:sz w:val="24"/>
        </w:rPr>
        <w:t>7、银行对其本行借款账户进行资金监控，有入账即可进行本金提前还款操作，银行返回还款信息“提前还款本金、更新还款计划”。</w:t>
      </w:r>
    </w:p>
    <w:p w14:paraId="4CCC577F">
      <w:pPr>
        <w:spacing w:line="400" w:lineRule="exact"/>
        <w:ind w:firstLine="480" w:firstLineChars="200"/>
        <w:rPr>
          <w:rFonts w:ascii="宋体" w:hAnsi="宋体" w:cs="宋体"/>
          <w:color w:val="auto"/>
          <w:sz w:val="24"/>
        </w:rPr>
      </w:pPr>
      <w:r>
        <w:rPr>
          <w:rFonts w:hint="eastAsia" w:ascii="宋体" w:hAnsi="宋体" w:cs="宋体"/>
          <w:color w:val="auto"/>
          <w:sz w:val="24"/>
        </w:rPr>
        <w:t>（二）流水贷流程</w:t>
      </w:r>
    </w:p>
    <w:p w14:paraId="0DA91C93">
      <w:pPr>
        <w:spacing w:line="400" w:lineRule="exact"/>
        <w:ind w:firstLine="480" w:firstLineChars="200"/>
        <w:rPr>
          <w:rFonts w:ascii="宋体" w:hAnsi="宋体" w:cs="宋体"/>
          <w:color w:val="auto"/>
          <w:sz w:val="24"/>
        </w:rPr>
      </w:pPr>
      <w:r>
        <w:rPr>
          <w:rFonts w:hint="eastAsia" w:ascii="宋体" w:hAnsi="宋体" w:cs="宋体"/>
          <w:color w:val="auto"/>
          <w:sz w:val="24"/>
        </w:rPr>
        <w:t>1、政采云通过规则向符合该产品的供应商发出邀约；</w:t>
      </w:r>
    </w:p>
    <w:p w14:paraId="29ABC611">
      <w:pPr>
        <w:spacing w:line="400" w:lineRule="exact"/>
        <w:ind w:firstLine="480" w:firstLineChars="200"/>
        <w:rPr>
          <w:rFonts w:ascii="宋体" w:hAnsi="宋体" w:cs="宋体"/>
          <w:color w:val="auto"/>
          <w:sz w:val="24"/>
        </w:rPr>
      </w:pPr>
      <w:r>
        <w:rPr>
          <w:rFonts w:hint="eastAsia" w:ascii="宋体" w:hAnsi="宋体" w:cs="宋体"/>
          <w:color w:val="auto"/>
          <w:sz w:val="24"/>
        </w:rPr>
        <w:t>2、供应商授权后向银行发送历史流水数据进行授信；</w:t>
      </w:r>
    </w:p>
    <w:p w14:paraId="273AE3C0">
      <w:pPr>
        <w:spacing w:line="400" w:lineRule="exact"/>
        <w:ind w:firstLine="480" w:firstLineChars="200"/>
        <w:rPr>
          <w:rFonts w:ascii="宋体" w:hAnsi="宋体" w:cs="宋体"/>
          <w:color w:val="auto"/>
          <w:sz w:val="24"/>
        </w:rPr>
      </w:pPr>
      <w:r>
        <w:rPr>
          <w:rFonts w:hint="eastAsia" w:ascii="宋体" w:hAnsi="宋体" w:cs="宋体"/>
          <w:color w:val="auto"/>
          <w:sz w:val="24"/>
        </w:rPr>
        <w:t>3、银行根据风控模型出具最终授信结果并通知政采云；</w:t>
      </w:r>
    </w:p>
    <w:p w14:paraId="5FE58151">
      <w:pPr>
        <w:spacing w:line="400" w:lineRule="exact"/>
        <w:ind w:firstLine="480" w:firstLineChars="200"/>
        <w:rPr>
          <w:rFonts w:ascii="宋体" w:hAnsi="宋体" w:cs="宋体"/>
          <w:color w:val="auto"/>
          <w:sz w:val="24"/>
        </w:rPr>
      </w:pPr>
      <w:r>
        <w:rPr>
          <w:rFonts w:hint="eastAsia" w:ascii="宋体" w:hAnsi="宋体" w:cs="宋体"/>
          <w:color w:val="auto"/>
          <w:sz w:val="24"/>
        </w:rPr>
        <w:t>4、供应商用款时进行在线提款签约；</w:t>
      </w:r>
    </w:p>
    <w:p w14:paraId="2906E555">
      <w:pPr>
        <w:spacing w:line="400" w:lineRule="exact"/>
        <w:ind w:firstLine="480" w:firstLineChars="200"/>
        <w:rPr>
          <w:rFonts w:ascii="宋体" w:hAnsi="宋体" w:cs="宋体"/>
          <w:color w:val="auto"/>
          <w:sz w:val="24"/>
        </w:rPr>
      </w:pPr>
      <w:r>
        <w:rPr>
          <w:rFonts w:hint="eastAsia" w:ascii="宋体" w:hAnsi="宋体" w:cs="宋体"/>
          <w:color w:val="auto"/>
          <w:sz w:val="24"/>
        </w:rPr>
        <w:t>5、银行放款并返回放款结果，流程完成。</w:t>
      </w:r>
    </w:p>
    <w:p w14:paraId="6AA47AE3">
      <w:pPr>
        <w:spacing w:line="400" w:lineRule="exact"/>
        <w:ind w:firstLine="482" w:firstLineChars="200"/>
        <w:rPr>
          <w:rFonts w:ascii="宋体" w:hAnsi="宋体" w:cs="宋体"/>
          <w:b/>
          <w:color w:val="auto"/>
          <w:sz w:val="24"/>
        </w:rPr>
      </w:pPr>
      <w:r>
        <w:rPr>
          <w:rFonts w:hint="eastAsia" w:ascii="宋体" w:hAnsi="宋体" w:cs="宋体"/>
          <w:b/>
          <w:color w:val="auto"/>
          <w:sz w:val="24"/>
        </w:rPr>
        <w:t>四、注意事项</w:t>
      </w:r>
    </w:p>
    <w:p w14:paraId="7A2DAEA8">
      <w:pPr>
        <w:spacing w:line="400" w:lineRule="exact"/>
        <w:ind w:firstLine="480" w:firstLineChars="200"/>
        <w:rPr>
          <w:rFonts w:ascii="宋体" w:hAnsi="宋体" w:cs="宋体"/>
          <w:color w:val="auto"/>
          <w:sz w:val="24"/>
        </w:rPr>
      </w:pPr>
      <w:r>
        <w:rPr>
          <w:rFonts w:hint="eastAsia" w:ascii="宋体" w:hAnsi="宋体" w:cs="宋体"/>
          <w:color w:val="auto"/>
          <w:sz w:val="24"/>
        </w:rPr>
        <w:t>1、供应商需确保政府采购合同的收款银行与融资银行一致。</w:t>
      </w:r>
    </w:p>
    <w:p w14:paraId="76E69FEC">
      <w:pPr>
        <w:spacing w:line="400" w:lineRule="exact"/>
        <w:ind w:firstLine="480" w:firstLineChars="200"/>
        <w:rPr>
          <w:rFonts w:ascii="宋体" w:hAnsi="宋体" w:cs="宋体"/>
          <w:color w:val="auto"/>
          <w:sz w:val="24"/>
        </w:rPr>
      </w:pPr>
      <w:r>
        <w:rPr>
          <w:rFonts w:hint="eastAsia" w:ascii="宋体" w:hAnsi="宋体" w:cs="宋体"/>
          <w:color w:val="auto"/>
          <w:sz w:val="24"/>
        </w:rPr>
        <w:t>2、请各采购单位积极支持和配合政府采购信用融资工作，在合同备案环节仔细核对收款银行、账号信息等内容，一旦录入将无法修改。</w:t>
      </w:r>
    </w:p>
    <w:bookmarkEnd w:id="101"/>
    <w:bookmarkEnd w:id="102"/>
    <w:p w14:paraId="6527DC68">
      <w:pPr>
        <w:pStyle w:val="4"/>
        <w:keepNext w:val="0"/>
        <w:keepLines w:val="0"/>
        <w:pageBreakBefore/>
        <w:rPr>
          <w:rFonts w:ascii="宋体" w:hAnsi="宋体" w:eastAsia="宋体" w:cs="宋体"/>
          <w:bCs w:val="0"/>
          <w:color w:val="auto"/>
          <w:sz w:val="24"/>
        </w:rPr>
      </w:pPr>
      <w:bookmarkStart w:id="106" w:name="_Toc16177"/>
      <w:r>
        <w:rPr>
          <w:rFonts w:hint="eastAsia" w:ascii="宋体" w:hAnsi="宋体" w:eastAsia="宋体" w:cs="宋体"/>
          <w:bCs w:val="0"/>
          <w:color w:val="auto"/>
          <w:sz w:val="24"/>
        </w:rPr>
        <w:t>附件</w:t>
      </w:r>
      <w:r>
        <w:rPr>
          <w:rFonts w:hint="eastAsia" w:ascii="宋体" w:hAnsi="宋体" w:eastAsia="宋体" w:cs="宋体"/>
          <w:bCs w:val="0"/>
          <w:color w:val="auto"/>
          <w:sz w:val="24"/>
          <w:lang w:val="en-US" w:eastAsia="zh-CN"/>
        </w:rPr>
        <w:t>十九</w:t>
      </w:r>
      <w:r>
        <w:rPr>
          <w:rFonts w:hint="eastAsia" w:ascii="宋体" w:hAnsi="宋体" w:eastAsia="宋体" w:cs="宋体"/>
          <w:bCs w:val="0"/>
          <w:color w:val="auto"/>
          <w:sz w:val="24"/>
        </w:rPr>
        <w:t>：质疑函范本</w:t>
      </w:r>
      <w:bookmarkEnd w:id="103"/>
      <w:bookmarkEnd w:id="104"/>
      <w:bookmarkEnd w:id="105"/>
      <w:bookmarkEnd w:id="106"/>
    </w:p>
    <w:p w14:paraId="0981D7B9">
      <w:pPr>
        <w:jc w:val="center"/>
        <w:rPr>
          <w:rFonts w:ascii="仿宋" w:hAnsi="仿宋" w:eastAsia="仿宋" w:cs="仿宋"/>
          <w:b/>
          <w:bCs/>
          <w:color w:val="auto"/>
          <w:sz w:val="44"/>
          <w:szCs w:val="44"/>
        </w:rPr>
      </w:pPr>
      <w:r>
        <w:rPr>
          <w:rFonts w:hint="eastAsia" w:ascii="仿宋" w:hAnsi="仿宋" w:eastAsia="仿宋" w:cs="仿宋"/>
          <w:b/>
          <w:bCs/>
          <w:color w:val="auto"/>
          <w:sz w:val="44"/>
          <w:szCs w:val="44"/>
        </w:rPr>
        <w:t>质疑函范本</w:t>
      </w:r>
    </w:p>
    <w:p w14:paraId="25022E4D">
      <w:pPr>
        <w:adjustRightInd w:val="0"/>
        <w:snapToGrid w:val="0"/>
        <w:spacing w:before="240" w:beforeLines="100" w:line="360" w:lineRule="auto"/>
        <w:rPr>
          <w:rFonts w:ascii="宋体" w:hAnsi="宋体" w:cs="宋体"/>
          <w:bCs/>
          <w:color w:val="auto"/>
          <w:sz w:val="28"/>
          <w:szCs w:val="28"/>
        </w:rPr>
      </w:pPr>
      <w:r>
        <w:rPr>
          <w:rFonts w:hint="eastAsia" w:ascii="黑体" w:hAnsi="黑体" w:eastAsia="黑体" w:cs="仿宋"/>
          <w:bCs/>
          <w:color w:val="auto"/>
          <w:sz w:val="32"/>
          <w:szCs w:val="32"/>
        </w:rPr>
        <w:t>一</w:t>
      </w:r>
      <w:r>
        <w:rPr>
          <w:rFonts w:hint="eastAsia" w:ascii="宋体" w:hAnsi="宋体" w:cs="宋体"/>
          <w:bCs/>
          <w:color w:val="auto"/>
          <w:sz w:val="28"/>
          <w:szCs w:val="28"/>
        </w:rPr>
        <w:t>、质疑供应商基本信息</w:t>
      </w:r>
    </w:p>
    <w:p w14:paraId="724CC81F">
      <w:pPr>
        <w:adjustRightInd w:val="0"/>
        <w:snapToGrid w:val="0"/>
        <w:spacing w:line="360" w:lineRule="auto"/>
        <w:rPr>
          <w:rFonts w:ascii="宋体" w:hAnsi="宋体" w:cs="宋体"/>
          <w:color w:val="auto"/>
          <w:sz w:val="28"/>
          <w:szCs w:val="28"/>
          <w:u w:val="dotted"/>
        </w:rPr>
      </w:pPr>
      <w:r>
        <w:rPr>
          <w:rFonts w:hint="eastAsia" w:ascii="宋体" w:hAnsi="宋体" w:cs="宋体"/>
          <w:color w:val="auto"/>
          <w:sz w:val="28"/>
          <w:szCs w:val="28"/>
        </w:rPr>
        <w:t>质疑供应商：</w:t>
      </w:r>
      <w:r>
        <w:rPr>
          <w:rFonts w:hint="eastAsia" w:ascii="宋体" w:hAnsi="宋体" w:cs="宋体"/>
          <w:color w:val="auto"/>
          <w:sz w:val="28"/>
          <w:szCs w:val="28"/>
          <w:u w:val="dotted"/>
        </w:rPr>
        <w:t xml:space="preserve">                                        </w:t>
      </w:r>
    </w:p>
    <w:p w14:paraId="762BEA41">
      <w:pPr>
        <w:adjustRightInd w:val="0"/>
        <w:snapToGrid w:val="0"/>
        <w:spacing w:line="360" w:lineRule="auto"/>
        <w:rPr>
          <w:rFonts w:ascii="宋体" w:hAnsi="宋体" w:cs="宋体"/>
          <w:color w:val="auto"/>
          <w:sz w:val="28"/>
          <w:szCs w:val="28"/>
        </w:rPr>
      </w:pPr>
      <w:r>
        <w:rPr>
          <w:rFonts w:hint="eastAsia" w:ascii="宋体" w:hAnsi="宋体" w:cs="宋体"/>
          <w:color w:val="auto"/>
          <w:sz w:val="28"/>
          <w:szCs w:val="28"/>
        </w:rPr>
        <w:t>地址：</w:t>
      </w:r>
      <w:r>
        <w:rPr>
          <w:rFonts w:hint="eastAsia" w:ascii="宋体" w:hAnsi="宋体" w:cs="宋体"/>
          <w:color w:val="auto"/>
          <w:sz w:val="28"/>
          <w:szCs w:val="28"/>
          <w:u w:val="dotted"/>
        </w:rPr>
        <w:t xml:space="preserve">                          </w:t>
      </w:r>
      <w:r>
        <w:rPr>
          <w:rFonts w:hint="eastAsia" w:ascii="宋体" w:hAnsi="宋体" w:cs="宋体"/>
          <w:color w:val="auto"/>
          <w:sz w:val="28"/>
          <w:szCs w:val="28"/>
        </w:rPr>
        <w:t>邮编：</w:t>
      </w:r>
      <w:r>
        <w:rPr>
          <w:rFonts w:hint="eastAsia" w:ascii="宋体" w:hAnsi="宋体" w:cs="宋体"/>
          <w:color w:val="auto"/>
          <w:sz w:val="28"/>
          <w:szCs w:val="28"/>
          <w:u w:val="dotted"/>
        </w:rPr>
        <w:t xml:space="preserve">                                                   </w:t>
      </w:r>
    </w:p>
    <w:p w14:paraId="49F50D47">
      <w:pPr>
        <w:adjustRightInd w:val="0"/>
        <w:snapToGrid w:val="0"/>
        <w:spacing w:line="360" w:lineRule="auto"/>
        <w:rPr>
          <w:rFonts w:ascii="宋体" w:hAnsi="宋体" w:cs="宋体"/>
          <w:color w:val="auto"/>
          <w:sz w:val="28"/>
          <w:szCs w:val="28"/>
        </w:rPr>
      </w:pPr>
      <w:r>
        <w:rPr>
          <w:rFonts w:hint="eastAsia" w:ascii="宋体" w:hAnsi="宋体" w:cs="宋体"/>
          <w:color w:val="auto"/>
          <w:sz w:val="28"/>
          <w:szCs w:val="28"/>
        </w:rPr>
        <w:t>联系人：</w:t>
      </w:r>
      <w:r>
        <w:rPr>
          <w:rFonts w:hint="eastAsia" w:ascii="宋体" w:hAnsi="宋体" w:cs="宋体"/>
          <w:color w:val="auto"/>
          <w:sz w:val="28"/>
          <w:szCs w:val="28"/>
          <w:u w:val="dotted"/>
        </w:rPr>
        <w:t xml:space="preserve">                      </w:t>
      </w:r>
      <w:r>
        <w:rPr>
          <w:rFonts w:hint="eastAsia" w:ascii="宋体" w:hAnsi="宋体" w:cs="宋体"/>
          <w:color w:val="auto"/>
          <w:sz w:val="28"/>
          <w:szCs w:val="28"/>
        </w:rPr>
        <w:t>联系电话：</w:t>
      </w:r>
      <w:r>
        <w:rPr>
          <w:rFonts w:hint="eastAsia" w:ascii="宋体" w:hAnsi="宋体" w:cs="宋体"/>
          <w:color w:val="auto"/>
          <w:sz w:val="28"/>
          <w:szCs w:val="28"/>
          <w:u w:val="dotted"/>
        </w:rPr>
        <w:t xml:space="preserve">                              </w:t>
      </w:r>
    </w:p>
    <w:p w14:paraId="5F4AC25F">
      <w:pPr>
        <w:adjustRightInd w:val="0"/>
        <w:snapToGrid w:val="0"/>
        <w:spacing w:line="360" w:lineRule="auto"/>
        <w:rPr>
          <w:rFonts w:ascii="宋体" w:hAnsi="宋体" w:cs="宋体"/>
          <w:color w:val="auto"/>
          <w:sz w:val="28"/>
          <w:szCs w:val="28"/>
          <w:u w:val="dotted"/>
        </w:rPr>
      </w:pPr>
      <w:r>
        <w:rPr>
          <w:rFonts w:hint="eastAsia" w:ascii="宋体" w:hAnsi="宋体" w:cs="宋体"/>
          <w:color w:val="auto"/>
          <w:sz w:val="28"/>
          <w:szCs w:val="28"/>
        </w:rPr>
        <w:t>授权代表：</w:t>
      </w:r>
      <w:r>
        <w:rPr>
          <w:rFonts w:hint="eastAsia" w:ascii="宋体" w:hAnsi="宋体" w:cs="宋体"/>
          <w:color w:val="auto"/>
          <w:sz w:val="28"/>
          <w:szCs w:val="28"/>
          <w:u w:val="dotted"/>
        </w:rPr>
        <w:t xml:space="preserve">                                          </w:t>
      </w:r>
    </w:p>
    <w:p w14:paraId="599F720B">
      <w:pPr>
        <w:adjustRightInd w:val="0"/>
        <w:snapToGrid w:val="0"/>
        <w:spacing w:line="360" w:lineRule="auto"/>
        <w:rPr>
          <w:rFonts w:ascii="宋体" w:hAnsi="宋体" w:cs="宋体"/>
          <w:color w:val="auto"/>
          <w:sz w:val="28"/>
          <w:szCs w:val="28"/>
        </w:rPr>
      </w:pPr>
      <w:r>
        <w:rPr>
          <w:rFonts w:hint="eastAsia" w:ascii="宋体" w:hAnsi="宋体" w:cs="宋体"/>
          <w:color w:val="auto"/>
          <w:sz w:val="28"/>
          <w:szCs w:val="28"/>
        </w:rPr>
        <w:t>联系电话：</w:t>
      </w:r>
      <w:r>
        <w:rPr>
          <w:rFonts w:hint="eastAsia" w:ascii="宋体" w:hAnsi="宋体" w:cs="宋体"/>
          <w:color w:val="auto"/>
          <w:sz w:val="28"/>
          <w:szCs w:val="28"/>
          <w:u w:val="dotted"/>
        </w:rPr>
        <w:t xml:space="preserve">                                           </w:t>
      </w:r>
      <w:r>
        <w:rPr>
          <w:rFonts w:hint="eastAsia" w:ascii="宋体" w:hAnsi="宋体" w:cs="宋体"/>
          <w:color w:val="auto"/>
          <w:sz w:val="28"/>
          <w:szCs w:val="28"/>
        </w:rPr>
        <w:t xml:space="preserve"> </w:t>
      </w:r>
    </w:p>
    <w:p w14:paraId="45D0DB11">
      <w:pPr>
        <w:adjustRightInd w:val="0"/>
        <w:snapToGrid w:val="0"/>
        <w:spacing w:line="360" w:lineRule="auto"/>
        <w:rPr>
          <w:rFonts w:ascii="宋体" w:hAnsi="宋体" w:cs="宋体"/>
          <w:color w:val="auto"/>
          <w:sz w:val="28"/>
          <w:szCs w:val="28"/>
        </w:rPr>
      </w:pPr>
      <w:r>
        <w:rPr>
          <w:rFonts w:hint="eastAsia" w:ascii="宋体" w:hAnsi="宋体" w:cs="宋体"/>
          <w:color w:val="auto"/>
          <w:sz w:val="28"/>
          <w:szCs w:val="28"/>
        </w:rPr>
        <w:t xml:space="preserve">地址： </w:t>
      </w:r>
      <w:r>
        <w:rPr>
          <w:rFonts w:hint="eastAsia" w:ascii="宋体" w:hAnsi="宋体" w:cs="宋体"/>
          <w:color w:val="auto"/>
          <w:sz w:val="28"/>
          <w:szCs w:val="28"/>
          <w:u w:val="dotted"/>
        </w:rPr>
        <w:t xml:space="preserve">                        </w:t>
      </w:r>
      <w:r>
        <w:rPr>
          <w:rFonts w:hint="eastAsia" w:ascii="宋体" w:hAnsi="宋体" w:cs="宋体"/>
          <w:color w:val="auto"/>
          <w:sz w:val="28"/>
          <w:szCs w:val="28"/>
        </w:rPr>
        <w:t>邮编：</w:t>
      </w:r>
      <w:r>
        <w:rPr>
          <w:rFonts w:hint="eastAsia" w:ascii="宋体" w:hAnsi="宋体" w:cs="宋体"/>
          <w:color w:val="auto"/>
          <w:sz w:val="28"/>
          <w:szCs w:val="28"/>
          <w:u w:val="dotted"/>
        </w:rPr>
        <w:t xml:space="preserve">                                                </w:t>
      </w:r>
    </w:p>
    <w:p w14:paraId="5B873006">
      <w:pPr>
        <w:adjustRightInd w:val="0"/>
        <w:snapToGrid w:val="0"/>
        <w:spacing w:line="360" w:lineRule="auto"/>
        <w:rPr>
          <w:rFonts w:ascii="宋体" w:hAnsi="宋体" w:cs="宋体"/>
          <w:bCs/>
          <w:color w:val="auto"/>
          <w:sz w:val="28"/>
          <w:szCs w:val="28"/>
        </w:rPr>
      </w:pPr>
      <w:r>
        <w:rPr>
          <w:rFonts w:hint="eastAsia" w:ascii="宋体" w:hAnsi="宋体" w:cs="宋体"/>
          <w:bCs/>
          <w:color w:val="auto"/>
          <w:sz w:val="28"/>
          <w:szCs w:val="28"/>
        </w:rPr>
        <w:t>二、质疑项目基本情况</w:t>
      </w:r>
    </w:p>
    <w:p w14:paraId="016CFAF0">
      <w:pPr>
        <w:adjustRightInd w:val="0"/>
        <w:snapToGrid w:val="0"/>
        <w:spacing w:line="360" w:lineRule="auto"/>
        <w:rPr>
          <w:rFonts w:ascii="宋体" w:hAnsi="宋体" w:cs="宋体"/>
          <w:color w:val="auto"/>
          <w:sz w:val="28"/>
          <w:szCs w:val="28"/>
        </w:rPr>
      </w:pPr>
      <w:r>
        <w:rPr>
          <w:rFonts w:hint="eastAsia" w:ascii="宋体" w:hAnsi="宋体" w:cs="宋体"/>
          <w:color w:val="auto"/>
          <w:sz w:val="28"/>
          <w:szCs w:val="28"/>
        </w:rPr>
        <w:t>质疑项目的名称：</w:t>
      </w:r>
      <w:r>
        <w:rPr>
          <w:rFonts w:hint="eastAsia" w:ascii="宋体" w:hAnsi="宋体" w:cs="宋体"/>
          <w:color w:val="auto"/>
          <w:sz w:val="28"/>
          <w:szCs w:val="28"/>
          <w:u w:val="dotted"/>
        </w:rPr>
        <w:t xml:space="preserve">                                      </w:t>
      </w:r>
    </w:p>
    <w:p w14:paraId="0C573B1B">
      <w:pPr>
        <w:adjustRightInd w:val="0"/>
        <w:snapToGrid w:val="0"/>
        <w:spacing w:line="360" w:lineRule="auto"/>
        <w:rPr>
          <w:rFonts w:ascii="宋体" w:hAnsi="宋体" w:cs="宋体"/>
          <w:color w:val="auto"/>
          <w:sz w:val="28"/>
          <w:szCs w:val="28"/>
        </w:rPr>
      </w:pPr>
      <w:r>
        <w:rPr>
          <w:rFonts w:hint="eastAsia" w:ascii="宋体" w:hAnsi="宋体" w:cs="宋体"/>
          <w:color w:val="auto"/>
          <w:sz w:val="28"/>
          <w:szCs w:val="28"/>
        </w:rPr>
        <w:t>质疑项目的编号：</w:t>
      </w:r>
      <w:r>
        <w:rPr>
          <w:rFonts w:hint="eastAsia" w:ascii="宋体" w:hAnsi="宋体" w:cs="宋体"/>
          <w:color w:val="auto"/>
          <w:sz w:val="28"/>
          <w:szCs w:val="28"/>
          <w:u w:val="dotted"/>
        </w:rPr>
        <w:t xml:space="preserve">               </w:t>
      </w:r>
      <w:r>
        <w:rPr>
          <w:rFonts w:hint="eastAsia" w:ascii="宋体" w:hAnsi="宋体" w:cs="宋体"/>
          <w:color w:val="auto"/>
          <w:sz w:val="28"/>
          <w:szCs w:val="28"/>
        </w:rPr>
        <w:t>包号：</w:t>
      </w:r>
      <w:r>
        <w:rPr>
          <w:rFonts w:hint="eastAsia" w:ascii="宋体" w:hAnsi="宋体" w:cs="宋体"/>
          <w:color w:val="auto"/>
          <w:sz w:val="28"/>
          <w:szCs w:val="28"/>
          <w:u w:val="dotted"/>
        </w:rPr>
        <w:t xml:space="preserve">                 </w:t>
      </w:r>
    </w:p>
    <w:p w14:paraId="0793D256">
      <w:pPr>
        <w:adjustRightInd w:val="0"/>
        <w:snapToGrid w:val="0"/>
        <w:spacing w:line="360" w:lineRule="auto"/>
        <w:rPr>
          <w:rFonts w:ascii="宋体" w:hAnsi="宋体" w:cs="宋体"/>
          <w:color w:val="auto"/>
          <w:sz w:val="28"/>
          <w:szCs w:val="28"/>
          <w:u w:val="dotted"/>
        </w:rPr>
      </w:pPr>
      <w:r>
        <w:rPr>
          <w:rFonts w:hint="eastAsia" w:ascii="宋体" w:hAnsi="宋体" w:cs="宋体"/>
          <w:color w:val="auto"/>
          <w:sz w:val="28"/>
          <w:szCs w:val="28"/>
        </w:rPr>
        <w:t>采购人名称：</w:t>
      </w:r>
      <w:r>
        <w:rPr>
          <w:rFonts w:hint="eastAsia" w:ascii="宋体" w:hAnsi="宋体" w:cs="宋体"/>
          <w:color w:val="auto"/>
          <w:sz w:val="28"/>
          <w:szCs w:val="28"/>
          <w:u w:val="dotted"/>
        </w:rPr>
        <w:t xml:space="preserve">                                         </w:t>
      </w:r>
    </w:p>
    <w:p w14:paraId="1A550789">
      <w:pPr>
        <w:adjustRightInd w:val="0"/>
        <w:snapToGrid w:val="0"/>
        <w:spacing w:line="360" w:lineRule="auto"/>
        <w:rPr>
          <w:rFonts w:ascii="宋体" w:hAnsi="宋体" w:cs="宋体"/>
          <w:color w:val="auto"/>
          <w:sz w:val="28"/>
          <w:szCs w:val="28"/>
        </w:rPr>
      </w:pPr>
      <w:r>
        <w:rPr>
          <w:rFonts w:hint="eastAsia" w:ascii="宋体" w:hAnsi="宋体" w:cs="宋体"/>
          <w:color w:val="auto"/>
          <w:sz w:val="28"/>
          <w:szCs w:val="28"/>
        </w:rPr>
        <w:t>采购文件获取日期：</w:t>
      </w:r>
      <w:r>
        <w:rPr>
          <w:rFonts w:hint="eastAsia" w:ascii="宋体" w:hAnsi="宋体" w:cs="宋体"/>
          <w:color w:val="auto"/>
          <w:sz w:val="28"/>
          <w:szCs w:val="28"/>
          <w:u w:val="dotted"/>
        </w:rPr>
        <w:t xml:space="preserve">                                           </w:t>
      </w:r>
    </w:p>
    <w:p w14:paraId="284C050B">
      <w:pPr>
        <w:adjustRightInd w:val="0"/>
        <w:snapToGrid w:val="0"/>
        <w:spacing w:line="360" w:lineRule="auto"/>
        <w:rPr>
          <w:rFonts w:ascii="宋体" w:hAnsi="宋体" w:cs="宋体"/>
          <w:bCs/>
          <w:color w:val="auto"/>
          <w:sz w:val="28"/>
          <w:szCs w:val="28"/>
        </w:rPr>
      </w:pPr>
      <w:r>
        <w:rPr>
          <w:rFonts w:hint="eastAsia" w:ascii="宋体" w:hAnsi="宋体" w:cs="宋体"/>
          <w:bCs/>
          <w:color w:val="auto"/>
          <w:sz w:val="28"/>
          <w:szCs w:val="28"/>
        </w:rPr>
        <w:t>三、质疑事项具体内容</w:t>
      </w:r>
    </w:p>
    <w:p w14:paraId="759B5C5B">
      <w:pPr>
        <w:adjustRightInd w:val="0"/>
        <w:snapToGrid w:val="0"/>
        <w:spacing w:line="360" w:lineRule="auto"/>
        <w:rPr>
          <w:rFonts w:ascii="宋体" w:hAnsi="宋体" w:cs="宋体"/>
          <w:color w:val="auto"/>
          <w:sz w:val="28"/>
          <w:szCs w:val="28"/>
          <w:u w:val="dotted"/>
        </w:rPr>
      </w:pPr>
      <w:r>
        <w:rPr>
          <w:rFonts w:hint="eastAsia" w:ascii="宋体" w:hAnsi="宋体" w:cs="宋体"/>
          <w:color w:val="auto"/>
          <w:sz w:val="28"/>
          <w:szCs w:val="28"/>
        </w:rPr>
        <w:t>质疑事项1：</w:t>
      </w:r>
      <w:r>
        <w:rPr>
          <w:rFonts w:hint="eastAsia" w:ascii="宋体" w:hAnsi="宋体" w:cs="宋体"/>
          <w:color w:val="auto"/>
          <w:sz w:val="28"/>
          <w:szCs w:val="28"/>
          <w:u w:val="dotted"/>
        </w:rPr>
        <w:t xml:space="preserve">                                         </w:t>
      </w:r>
    </w:p>
    <w:p w14:paraId="6420792B">
      <w:pPr>
        <w:adjustRightInd w:val="0"/>
        <w:snapToGrid w:val="0"/>
        <w:spacing w:line="360" w:lineRule="auto"/>
        <w:rPr>
          <w:rFonts w:ascii="宋体" w:hAnsi="宋体" w:cs="宋体"/>
          <w:color w:val="auto"/>
          <w:sz w:val="28"/>
          <w:szCs w:val="28"/>
          <w:u w:val="dotted"/>
        </w:rPr>
      </w:pPr>
      <w:r>
        <w:rPr>
          <w:rFonts w:hint="eastAsia" w:ascii="宋体" w:hAnsi="宋体" w:cs="宋体"/>
          <w:color w:val="auto"/>
          <w:sz w:val="28"/>
          <w:szCs w:val="28"/>
        </w:rPr>
        <w:t>事实依据：</w:t>
      </w:r>
      <w:r>
        <w:rPr>
          <w:rFonts w:hint="eastAsia" w:ascii="宋体" w:hAnsi="宋体" w:cs="宋体"/>
          <w:color w:val="auto"/>
          <w:sz w:val="28"/>
          <w:szCs w:val="28"/>
          <w:u w:val="dotted"/>
        </w:rPr>
        <w:t xml:space="preserve">                                          </w:t>
      </w:r>
    </w:p>
    <w:p w14:paraId="6B7CDD55">
      <w:pPr>
        <w:adjustRightInd w:val="0"/>
        <w:snapToGrid w:val="0"/>
        <w:spacing w:line="360" w:lineRule="auto"/>
        <w:rPr>
          <w:rFonts w:ascii="宋体" w:hAnsi="宋体" w:cs="宋体"/>
          <w:color w:val="auto"/>
          <w:sz w:val="28"/>
          <w:szCs w:val="28"/>
        </w:rPr>
      </w:pPr>
      <w:r>
        <w:rPr>
          <w:rFonts w:hint="eastAsia" w:ascii="宋体" w:hAnsi="宋体" w:cs="宋体"/>
          <w:color w:val="auto"/>
          <w:sz w:val="28"/>
          <w:szCs w:val="28"/>
          <w:u w:val="dotted"/>
        </w:rPr>
        <w:t xml:space="preserve">                                                       </w:t>
      </w:r>
    </w:p>
    <w:p w14:paraId="6C979D0F">
      <w:pPr>
        <w:adjustRightInd w:val="0"/>
        <w:snapToGrid w:val="0"/>
        <w:spacing w:line="360" w:lineRule="auto"/>
        <w:rPr>
          <w:rFonts w:ascii="宋体" w:hAnsi="宋体" w:cs="宋体"/>
          <w:color w:val="auto"/>
          <w:sz w:val="28"/>
          <w:szCs w:val="28"/>
          <w:u w:val="dotted"/>
        </w:rPr>
      </w:pPr>
      <w:r>
        <w:rPr>
          <w:rFonts w:hint="eastAsia" w:ascii="宋体" w:hAnsi="宋体" w:cs="宋体"/>
          <w:color w:val="auto"/>
          <w:sz w:val="28"/>
          <w:szCs w:val="28"/>
        </w:rPr>
        <w:t>法律依据：</w:t>
      </w:r>
      <w:r>
        <w:rPr>
          <w:rFonts w:hint="eastAsia" w:ascii="宋体" w:hAnsi="宋体" w:cs="宋体"/>
          <w:color w:val="auto"/>
          <w:sz w:val="28"/>
          <w:szCs w:val="28"/>
          <w:u w:val="dotted"/>
        </w:rPr>
        <w:t xml:space="preserve">                                          </w:t>
      </w:r>
    </w:p>
    <w:p w14:paraId="79C25B95">
      <w:pPr>
        <w:adjustRightInd w:val="0"/>
        <w:snapToGrid w:val="0"/>
        <w:spacing w:line="360" w:lineRule="auto"/>
        <w:rPr>
          <w:rFonts w:ascii="宋体" w:hAnsi="宋体" w:cs="宋体"/>
          <w:color w:val="auto"/>
          <w:sz w:val="28"/>
          <w:szCs w:val="28"/>
          <w:u w:val="dotted"/>
        </w:rPr>
      </w:pPr>
      <w:r>
        <w:rPr>
          <w:rFonts w:hint="eastAsia" w:ascii="宋体" w:hAnsi="宋体" w:cs="宋体"/>
          <w:color w:val="auto"/>
          <w:sz w:val="28"/>
          <w:szCs w:val="28"/>
          <w:u w:val="dotted"/>
        </w:rPr>
        <w:t xml:space="preserve">                                                     </w:t>
      </w:r>
    </w:p>
    <w:p w14:paraId="1A248DBE">
      <w:pPr>
        <w:adjustRightInd w:val="0"/>
        <w:snapToGrid w:val="0"/>
        <w:spacing w:line="360" w:lineRule="auto"/>
        <w:rPr>
          <w:rFonts w:ascii="宋体" w:hAnsi="宋体" w:cs="宋体"/>
          <w:color w:val="auto"/>
          <w:sz w:val="28"/>
          <w:szCs w:val="28"/>
          <w:u w:val="dotted"/>
        </w:rPr>
      </w:pPr>
      <w:r>
        <w:rPr>
          <w:rFonts w:hint="eastAsia" w:ascii="宋体" w:hAnsi="宋体" w:cs="宋体"/>
          <w:color w:val="auto"/>
          <w:sz w:val="28"/>
          <w:szCs w:val="28"/>
        </w:rPr>
        <w:t>质疑事项2</w:t>
      </w:r>
    </w:p>
    <w:p w14:paraId="6E3B6023">
      <w:pPr>
        <w:adjustRightInd w:val="0"/>
        <w:snapToGrid w:val="0"/>
        <w:spacing w:line="360" w:lineRule="auto"/>
        <w:rPr>
          <w:rFonts w:ascii="宋体" w:hAnsi="宋体" w:cs="宋体"/>
          <w:color w:val="auto"/>
          <w:sz w:val="28"/>
          <w:szCs w:val="28"/>
        </w:rPr>
      </w:pPr>
      <w:r>
        <w:rPr>
          <w:rFonts w:hint="eastAsia" w:ascii="宋体" w:hAnsi="宋体" w:cs="宋体"/>
          <w:color w:val="auto"/>
          <w:sz w:val="28"/>
          <w:szCs w:val="28"/>
        </w:rPr>
        <w:t>……</w:t>
      </w:r>
    </w:p>
    <w:p w14:paraId="10129481">
      <w:pPr>
        <w:adjustRightInd w:val="0"/>
        <w:snapToGrid w:val="0"/>
        <w:spacing w:line="360" w:lineRule="auto"/>
        <w:rPr>
          <w:rFonts w:ascii="宋体" w:hAnsi="宋体" w:cs="宋体"/>
          <w:bCs/>
          <w:color w:val="auto"/>
          <w:sz w:val="28"/>
          <w:szCs w:val="28"/>
        </w:rPr>
      </w:pPr>
      <w:r>
        <w:rPr>
          <w:rFonts w:hint="eastAsia" w:ascii="宋体" w:hAnsi="宋体" w:cs="宋体"/>
          <w:bCs/>
          <w:color w:val="auto"/>
          <w:sz w:val="28"/>
          <w:szCs w:val="28"/>
        </w:rPr>
        <w:t>四、与质疑事项相关的质疑请求</w:t>
      </w:r>
    </w:p>
    <w:p w14:paraId="1CF79F97">
      <w:pPr>
        <w:adjustRightInd w:val="0"/>
        <w:snapToGrid w:val="0"/>
        <w:spacing w:line="360" w:lineRule="auto"/>
        <w:rPr>
          <w:rFonts w:ascii="宋体" w:hAnsi="宋体" w:cs="宋体"/>
          <w:color w:val="auto"/>
          <w:sz w:val="28"/>
          <w:szCs w:val="28"/>
          <w:u w:val="dotted"/>
        </w:rPr>
      </w:pPr>
      <w:r>
        <w:rPr>
          <w:rFonts w:hint="eastAsia" w:ascii="宋体" w:hAnsi="宋体" w:cs="宋体"/>
          <w:color w:val="auto"/>
          <w:sz w:val="28"/>
          <w:szCs w:val="28"/>
        </w:rPr>
        <w:t>请求：</w:t>
      </w:r>
      <w:r>
        <w:rPr>
          <w:rFonts w:hint="eastAsia" w:ascii="宋体" w:hAnsi="宋体" w:cs="宋体"/>
          <w:color w:val="auto"/>
          <w:sz w:val="28"/>
          <w:szCs w:val="28"/>
          <w:u w:val="dotted"/>
        </w:rPr>
        <w:t xml:space="preserve">                                               </w:t>
      </w:r>
    </w:p>
    <w:p w14:paraId="52D483DD">
      <w:pPr>
        <w:rPr>
          <w:rFonts w:ascii="宋体" w:hAnsi="宋体" w:cs="宋体"/>
          <w:color w:val="auto"/>
          <w:sz w:val="28"/>
          <w:szCs w:val="28"/>
        </w:rPr>
      </w:pPr>
      <w:r>
        <w:rPr>
          <w:rFonts w:hint="eastAsia" w:ascii="宋体" w:hAnsi="宋体" w:cs="宋体"/>
          <w:color w:val="auto"/>
          <w:sz w:val="28"/>
          <w:szCs w:val="28"/>
        </w:rPr>
        <w:t xml:space="preserve">签字(签章)：                   公章：                      </w:t>
      </w:r>
    </w:p>
    <w:p w14:paraId="7BCEDDAC">
      <w:pPr>
        <w:rPr>
          <w:rFonts w:ascii="宋体" w:hAnsi="宋体" w:cs="宋体"/>
          <w:color w:val="auto"/>
          <w:sz w:val="28"/>
          <w:szCs w:val="28"/>
        </w:rPr>
      </w:pPr>
      <w:r>
        <w:rPr>
          <w:rFonts w:hint="eastAsia" w:ascii="宋体" w:hAnsi="宋体" w:cs="宋体"/>
          <w:color w:val="auto"/>
          <w:sz w:val="28"/>
          <w:szCs w:val="28"/>
        </w:rPr>
        <w:t xml:space="preserve">日期：    </w:t>
      </w:r>
    </w:p>
    <w:p w14:paraId="0315743D">
      <w:pPr>
        <w:rPr>
          <w:rFonts w:ascii="宋体" w:hAnsi="宋体" w:cs="宋体"/>
          <w:b/>
          <w:color w:val="auto"/>
          <w:sz w:val="28"/>
          <w:szCs w:val="28"/>
        </w:rPr>
      </w:pPr>
    </w:p>
    <w:p w14:paraId="762479CF">
      <w:pPr>
        <w:rPr>
          <w:rFonts w:ascii="宋体" w:hAnsi="宋体" w:cs="宋体"/>
          <w:b/>
          <w:color w:val="auto"/>
          <w:sz w:val="24"/>
        </w:rPr>
      </w:pPr>
      <w:r>
        <w:rPr>
          <w:rFonts w:hint="eastAsia" w:ascii="宋体" w:hAnsi="宋体" w:cs="宋体"/>
          <w:b/>
          <w:color w:val="auto"/>
          <w:sz w:val="24"/>
        </w:rPr>
        <w:t>质疑函制作说明：</w:t>
      </w:r>
    </w:p>
    <w:p w14:paraId="415A0E8A">
      <w:pPr>
        <w:widowControl/>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4A6429C1">
      <w:pPr>
        <w:widowControl/>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67041592">
      <w:pPr>
        <w:widowControl/>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5CB6A825">
      <w:pPr>
        <w:widowControl/>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1673D405">
      <w:pPr>
        <w:widowControl/>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40AE14CE">
      <w:pPr>
        <w:widowControl/>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318F6484">
      <w:pPr>
        <w:widowControl/>
        <w:ind w:firstLine="480" w:firstLineChars="200"/>
        <w:jc w:val="left"/>
        <w:rPr>
          <w:rFonts w:ascii="宋体" w:hAnsi="宋体" w:cs="宋体"/>
          <w:color w:val="auto"/>
          <w:sz w:val="24"/>
        </w:rPr>
      </w:pPr>
    </w:p>
    <w:p w14:paraId="531D2C13">
      <w:pPr>
        <w:rPr>
          <w:rFonts w:ascii="宋体" w:hAnsi="宋体" w:cs="宋体"/>
          <w:color w:val="auto"/>
          <w:sz w:val="20"/>
          <w:szCs w:val="22"/>
        </w:rPr>
      </w:pPr>
    </w:p>
    <w:p w14:paraId="79F4A8A3">
      <w:pPr>
        <w:pStyle w:val="4"/>
        <w:rPr>
          <w:rFonts w:ascii="宋体" w:hAnsi="宋体" w:eastAsia="宋体" w:cs="宋体"/>
          <w:color w:val="auto"/>
          <w:sz w:val="28"/>
          <w:szCs w:val="28"/>
        </w:rPr>
      </w:pPr>
    </w:p>
    <w:p w14:paraId="53DE72D9">
      <w:pPr>
        <w:rPr>
          <w:rFonts w:ascii="宋体" w:hAnsi="宋体" w:cs="宋体"/>
          <w:color w:val="auto"/>
          <w:sz w:val="20"/>
          <w:szCs w:val="22"/>
        </w:rPr>
      </w:pPr>
    </w:p>
    <w:p w14:paraId="0FCE7CC3">
      <w:pPr>
        <w:pStyle w:val="4"/>
        <w:rPr>
          <w:rFonts w:ascii="宋体" w:hAnsi="宋体" w:eastAsia="宋体" w:cs="宋体"/>
          <w:color w:val="auto"/>
          <w:sz w:val="28"/>
          <w:szCs w:val="28"/>
        </w:rPr>
      </w:pPr>
    </w:p>
    <w:p w14:paraId="5D97C321">
      <w:pPr>
        <w:rPr>
          <w:rFonts w:ascii="宋体" w:hAnsi="宋体" w:cs="宋体"/>
          <w:color w:val="auto"/>
          <w:sz w:val="20"/>
          <w:szCs w:val="22"/>
        </w:rPr>
      </w:pPr>
    </w:p>
    <w:p w14:paraId="2B4752BB">
      <w:pPr>
        <w:pStyle w:val="21"/>
        <w:ind w:firstLine="560"/>
        <w:rPr>
          <w:rFonts w:ascii="宋体" w:hAnsi="宋体" w:eastAsia="宋体" w:cs="宋体"/>
          <w:color w:val="auto"/>
          <w:sz w:val="28"/>
          <w:szCs w:val="22"/>
        </w:rPr>
      </w:pPr>
    </w:p>
    <w:p w14:paraId="6FADCC88">
      <w:pPr>
        <w:pStyle w:val="17"/>
        <w:rPr>
          <w:rFonts w:ascii="宋体" w:hAnsi="宋体" w:cs="宋体"/>
          <w:color w:val="auto"/>
          <w:sz w:val="20"/>
          <w:szCs w:val="22"/>
        </w:rPr>
      </w:pPr>
    </w:p>
    <w:p w14:paraId="3C8FF83E">
      <w:pPr>
        <w:rPr>
          <w:rFonts w:ascii="宋体" w:hAnsi="宋体" w:cs="宋体"/>
          <w:color w:val="auto"/>
          <w:sz w:val="20"/>
          <w:szCs w:val="22"/>
        </w:rPr>
      </w:pPr>
    </w:p>
    <w:p w14:paraId="5433F154">
      <w:pPr>
        <w:pStyle w:val="4"/>
        <w:keepNext w:val="0"/>
        <w:keepLines w:val="0"/>
        <w:pageBreakBefore/>
        <w:rPr>
          <w:rFonts w:ascii="宋体" w:hAnsi="宋体" w:eastAsia="宋体" w:cs="宋体"/>
          <w:bCs w:val="0"/>
          <w:color w:val="auto"/>
          <w:sz w:val="24"/>
        </w:rPr>
      </w:pPr>
      <w:bookmarkStart w:id="107" w:name="_Toc27003"/>
      <w:bookmarkStart w:id="108" w:name="_Toc28792"/>
      <w:bookmarkStart w:id="109" w:name="_Toc32533"/>
      <w:bookmarkStart w:id="110" w:name="_Toc25986"/>
      <w:r>
        <w:rPr>
          <w:rFonts w:hint="eastAsia" w:ascii="宋体" w:hAnsi="宋体" w:eastAsia="宋体" w:cs="宋体"/>
          <w:bCs w:val="0"/>
          <w:color w:val="auto"/>
          <w:sz w:val="24"/>
        </w:rPr>
        <w:t>附件</w:t>
      </w:r>
      <w:r>
        <w:rPr>
          <w:rFonts w:hint="eastAsia" w:ascii="宋体" w:hAnsi="宋体" w:eastAsia="宋体" w:cs="宋体"/>
          <w:bCs w:val="0"/>
          <w:color w:val="auto"/>
          <w:sz w:val="24"/>
          <w:lang w:eastAsia="zh-CN"/>
        </w:rPr>
        <w:t>二十</w:t>
      </w:r>
      <w:r>
        <w:rPr>
          <w:rFonts w:hint="eastAsia" w:ascii="宋体" w:hAnsi="宋体" w:eastAsia="宋体" w:cs="宋体"/>
          <w:bCs w:val="0"/>
          <w:color w:val="auto"/>
          <w:sz w:val="24"/>
        </w:rPr>
        <w:t>：投诉书范本</w:t>
      </w:r>
      <w:bookmarkEnd w:id="107"/>
      <w:bookmarkEnd w:id="108"/>
      <w:bookmarkEnd w:id="109"/>
      <w:bookmarkEnd w:id="110"/>
    </w:p>
    <w:p w14:paraId="657A2FDC">
      <w:pPr>
        <w:jc w:val="center"/>
        <w:rPr>
          <w:rFonts w:ascii="宋体" w:hAnsi="宋体" w:cs="宋体"/>
          <w:b/>
          <w:color w:val="auto"/>
          <w:sz w:val="40"/>
          <w:szCs w:val="40"/>
        </w:rPr>
      </w:pPr>
      <w:r>
        <w:rPr>
          <w:rFonts w:hint="eastAsia" w:ascii="宋体" w:hAnsi="宋体" w:cs="宋体"/>
          <w:b/>
          <w:color w:val="auto"/>
          <w:sz w:val="40"/>
          <w:szCs w:val="40"/>
        </w:rPr>
        <w:t>投诉书范本</w:t>
      </w:r>
    </w:p>
    <w:p w14:paraId="52A1913D">
      <w:pPr>
        <w:rPr>
          <w:rFonts w:ascii="宋体" w:hAnsi="宋体" w:cs="宋体"/>
          <w:color w:val="auto"/>
          <w:sz w:val="28"/>
          <w:szCs w:val="28"/>
        </w:rPr>
      </w:pPr>
      <w:r>
        <w:rPr>
          <w:rFonts w:hint="eastAsia" w:ascii="宋体" w:hAnsi="宋体" w:cs="宋体"/>
          <w:color w:val="auto"/>
          <w:sz w:val="28"/>
          <w:szCs w:val="28"/>
        </w:rPr>
        <w:t>一、投诉相关主体基本情况</w:t>
      </w:r>
    </w:p>
    <w:p w14:paraId="50FF7C8B">
      <w:pPr>
        <w:rPr>
          <w:rFonts w:ascii="宋体" w:hAnsi="宋体" w:cs="宋体"/>
          <w:color w:val="auto"/>
          <w:sz w:val="28"/>
          <w:szCs w:val="28"/>
          <w:u w:val="dotted"/>
        </w:rPr>
      </w:pPr>
      <w:r>
        <w:rPr>
          <w:rFonts w:hint="eastAsia" w:ascii="宋体" w:hAnsi="宋体" w:cs="宋体"/>
          <w:color w:val="auto"/>
          <w:sz w:val="28"/>
          <w:szCs w:val="28"/>
        </w:rPr>
        <w:t>投诉人：</w:t>
      </w:r>
      <w:r>
        <w:rPr>
          <w:rFonts w:hint="eastAsia" w:ascii="宋体" w:hAnsi="宋体" w:cs="宋体"/>
          <w:color w:val="auto"/>
          <w:sz w:val="28"/>
          <w:szCs w:val="28"/>
          <w:u w:val="dotted"/>
        </w:rPr>
        <w:t xml:space="preserve">                                               </w:t>
      </w:r>
    </w:p>
    <w:p w14:paraId="378F4EFE">
      <w:pPr>
        <w:rPr>
          <w:rFonts w:ascii="宋体" w:hAnsi="宋体" w:cs="宋体"/>
          <w:color w:val="auto"/>
          <w:sz w:val="28"/>
          <w:szCs w:val="28"/>
          <w:u w:val="single"/>
        </w:rPr>
      </w:pPr>
      <w:r>
        <w:rPr>
          <w:rFonts w:hint="eastAsia" w:ascii="宋体" w:hAnsi="宋体" w:cs="宋体"/>
          <w:color w:val="auto"/>
          <w:sz w:val="28"/>
          <w:szCs w:val="28"/>
        </w:rPr>
        <w:t>地     址：</w:t>
      </w:r>
      <w:r>
        <w:rPr>
          <w:rFonts w:hint="eastAsia" w:ascii="宋体" w:hAnsi="宋体" w:cs="宋体"/>
          <w:color w:val="auto"/>
          <w:sz w:val="28"/>
          <w:szCs w:val="28"/>
          <w:u w:val="dotted"/>
        </w:rPr>
        <w:t xml:space="preserve">                             </w:t>
      </w:r>
      <w:r>
        <w:rPr>
          <w:rFonts w:hint="eastAsia" w:ascii="宋体" w:hAnsi="宋体" w:cs="宋体"/>
          <w:color w:val="auto"/>
          <w:sz w:val="28"/>
          <w:szCs w:val="28"/>
        </w:rPr>
        <w:t>邮编：</w:t>
      </w:r>
      <w:r>
        <w:rPr>
          <w:rFonts w:hint="eastAsia" w:ascii="宋体" w:hAnsi="宋体" w:cs="宋体"/>
          <w:color w:val="auto"/>
          <w:sz w:val="28"/>
          <w:szCs w:val="28"/>
          <w:u w:val="dotted"/>
        </w:rPr>
        <w:t xml:space="preserve">         </w:t>
      </w:r>
      <w:r>
        <w:rPr>
          <w:rFonts w:hint="eastAsia" w:ascii="宋体" w:hAnsi="宋体" w:cs="宋体"/>
          <w:color w:val="auto"/>
          <w:sz w:val="28"/>
          <w:szCs w:val="28"/>
          <w:u w:val="single"/>
        </w:rPr>
        <w:t xml:space="preserve">   </w:t>
      </w:r>
    </w:p>
    <w:p w14:paraId="3A1B9550">
      <w:pPr>
        <w:tabs>
          <w:tab w:val="left" w:pos="6510"/>
        </w:tabs>
        <w:jc w:val="left"/>
        <w:rPr>
          <w:rFonts w:ascii="宋体" w:hAnsi="宋体" w:cs="宋体"/>
          <w:color w:val="auto"/>
          <w:sz w:val="28"/>
          <w:szCs w:val="28"/>
        </w:rPr>
      </w:pPr>
      <w:r>
        <w:rPr>
          <w:rFonts w:hint="eastAsia" w:ascii="宋体" w:hAnsi="宋体" w:cs="宋体"/>
          <w:color w:val="auto"/>
          <w:sz w:val="28"/>
          <w:szCs w:val="28"/>
        </w:rPr>
        <w:t>法定代表人/主要负责人：</w:t>
      </w:r>
      <w:r>
        <w:rPr>
          <w:rFonts w:hint="eastAsia" w:ascii="宋体" w:hAnsi="宋体" w:cs="宋体"/>
          <w:color w:val="auto"/>
          <w:sz w:val="28"/>
          <w:szCs w:val="28"/>
          <w:u w:val="dotted"/>
        </w:rPr>
        <w:t xml:space="preserve">                                   </w:t>
      </w:r>
      <w:r>
        <w:rPr>
          <w:rFonts w:hint="eastAsia" w:ascii="宋体" w:hAnsi="宋体" w:cs="宋体"/>
          <w:color w:val="auto"/>
          <w:sz w:val="28"/>
          <w:szCs w:val="28"/>
        </w:rPr>
        <w:t xml:space="preserve">  </w:t>
      </w:r>
    </w:p>
    <w:p w14:paraId="65652372">
      <w:pPr>
        <w:tabs>
          <w:tab w:val="left" w:pos="6510"/>
        </w:tabs>
        <w:rPr>
          <w:rFonts w:ascii="宋体" w:hAnsi="宋体" w:cs="宋体"/>
          <w:color w:val="auto"/>
          <w:sz w:val="28"/>
          <w:szCs w:val="28"/>
          <w:u w:val="dotted"/>
        </w:rPr>
      </w:pPr>
      <w:r>
        <w:rPr>
          <w:rFonts w:hint="eastAsia" w:ascii="宋体" w:hAnsi="宋体" w:cs="宋体"/>
          <w:color w:val="auto"/>
          <w:sz w:val="28"/>
          <w:szCs w:val="28"/>
        </w:rPr>
        <w:t>联系电话：</w:t>
      </w:r>
      <w:r>
        <w:rPr>
          <w:rFonts w:hint="eastAsia" w:ascii="宋体" w:hAnsi="宋体" w:cs="宋体"/>
          <w:color w:val="auto"/>
          <w:sz w:val="28"/>
          <w:szCs w:val="28"/>
          <w:u w:val="dotted"/>
        </w:rPr>
        <w:t xml:space="preserve">                                             </w:t>
      </w:r>
    </w:p>
    <w:p w14:paraId="241093D6">
      <w:pPr>
        <w:rPr>
          <w:rFonts w:ascii="宋体" w:hAnsi="宋体" w:cs="宋体"/>
          <w:color w:val="auto"/>
          <w:sz w:val="28"/>
          <w:szCs w:val="28"/>
          <w:u w:val="dotted"/>
        </w:rPr>
      </w:pPr>
      <w:r>
        <w:rPr>
          <w:rFonts w:hint="eastAsia" w:ascii="宋体" w:hAnsi="宋体" w:cs="宋体"/>
          <w:color w:val="auto"/>
          <w:sz w:val="28"/>
          <w:szCs w:val="28"/>
        </w:rPr>
        <w:t>授权代表：</w:t>
      </w:r>
      <w:r>
        <w:rPr>
          <w:rFonts w:hint="eastAsia" w:ascii="宋体" w:hAnsi="宋体" w:cs="宋体"/>
          <w:color w:val="auto"/>
          <w:sz w:val="28"/>
          <w:szCs w:val="28"/>
          <w:u w:val="dotted"/>
        </w:rPr>
        <w:t xml:space="preserve">             </w:t>
      </w:r>
      <w:r>
        <w:rPr>
          <w:rFonts w:hint="eastAsia" w:ascii="宋体" w:hAnsi="宋体" w:cs="宋体"/>
          <w:color w:val="auto"/>
          <w:sz w:val="28"/>
          <w:szCs w:val="28"/>
        </w:rPr>
        <w:t>联系电话</w:t>
      </w:r>
      <w:r>
        <w:rPr>
          <w:rFonts w:hint="eastAsia" w:ascii="宋体" w:hAnsi="宋体" w:cs="宋体"/>
          <w:color w:val="auto"/>
          <w:sz w:val="28"/>
          <w:szCs w:val="28"/>
          <w:u w:val="dotted"/>
        </w:rPr>
        <w:t xml:space="preserve">：                  </w:t>
      </w:r>
    </w:p>
    <w:p w14:paraId="792408D7">
      <w:pPr>
        <w:rPr>
          <w:rFonts w:ascii="宋体" w:hAnsi="宋体" w:cs="宋体"/>
          <w:color w:val="auto"/>
          <w:sz w:val="28"/>
          <w:szCs w:val="28"/>
          <w:u w:val="dotted"/>
        </w:rPr>
      </w:pPr>
      <w:r>
        <w:rPr>
          <w:rFonts w:hint="eastAsia" w:ascii="宋体" w:hAnsi="宋体" w:cs="宋体"/>
          <w:color w:val="auto"/>
          <w:sz w:val="28"/>
          <w:szCs w:val="28"/>
        </w:rPr>
        <w:t>地     址：</w:t>
      </w:r>
      <w:r>
        <w:rPr>
          <w:rFonts w:hint="eastAsia" w:ascii="宋体" w:hAnsi="宋体" w:cs="宋体"/>
          <w:color w:val="auto"/>
          <w:sz w:val="28"/>
          <w:szCs w:val="28"/>
          <w:u w:val="dotted"/>
        </w:rPr>
        <w:t xml:space="preserve">                             </w:t>
      </w:r>
      <w:r>
        <w:rPr>
          <w:rFonts w:hint="eastAsia" w:ascii="宋体" w:hAnsi="宋体" w:cs="宋体"/>
          <w:color w:val="auto"/>
          <w:sz w:val="28"/>
          <w:szCs w:val="28"/>
        </w:rPr>
        <w:t>邮编：</w:t>
      </w:r>
      <w:r>
        <w:rPr>
          <w:rFonts w:hint="eastAsia" w:ascii="宋体" w:hAnsi="宋体" w:cs="宋体"/>
          <w:color w:val="auto"/>
          <w:sz w:val="28"/>
          <w:szCs w:val="28"/>
          <w:u w:val="dotted"/>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u w:val="dotted"/>
        </w:rPr>
        <w:t xml:space="preserve">                   </w:t>
      </w:r>
    </w:p>
    <w:p w14:paraId="4BC61791">
      <w:pPr>
        <w:rPr>
          <w:rFonts w:ascii="宋体" w:hAnsi="宋体" w:cs="宋体"/>
          <w:color w:val="auto"/>
          <w:sz w:val="28"/>
          <w:szCs w:val="28"/>
          <w:u w:val="single"/>
        </w:rPr>
      </w:pPr>
      <w:r>
        <w:rPr>
          <w:rFonts w:hint="eastAsia" w:ascii="宋体" w:hAnsi="宋体" w:cs="宋体"/>
          <w:color w:val="auto"/>
          <w:sz w:val="28"/>
          <w:szCs w:val="28"/>
        </w:rPr>
        <w:t>被投诉人1：</w:t>
      </w:r>
      <w:r>
        <w:rPr>
          <w:rFonts w:hint="eastAsia" w:ascii="宋体" w:hAnsi="宋体" w:cs="宋体"/>
          <w:color w:val="auto"/>
          <w:sz w:val="28"/>
          <w:szCs w:val="28"/>
          <w:u w:val="dotted"/>
        </w:rPr>
        <w:t xml:space="preserve">                                           </w:t>
      </w:r>
      <w:r>
        <w:rPr>
          <w:rFonts w:hint="eastAsia" w:ascii="宋体" w:hAnsi="宋体" w:cs="宋体"/>
          <w:color w:val="auto"/>
          <w:sz w:val="28"/>
          <w:szCs w:val="28"/>
          <w:u w:val="single"/>
        </w:rPr>
        <w:t xml:space="preserve">  </w:t>
      </w:r>
    </w:p>
    <w:p w14:paraId="574C47E3">
      <w:pPr>
        <w:rPr>
          <w:rFonts w:ascii="宋体" w:hAnsi="宋体" w:cs="宋体"/>
          <w:color w:val="auto"/>
          <w:sz w:val="28"/>
          <w:szCs w:val="28"/>
          <w:u w:val="single"/>
        </w:rPr>
      </w:pPr>
      <w:r>
        <w:rPr>
          <w:rFonts w:hint="eastAsia" w:ascii="宋体" w:hAnsi="宋体" w:cs="宋体"/>
          <w:color w:val="auto"/>
          <w:sz w:val="28"/>
          <w:szCs w:val="28"/>
        </w:rPr>
        <w:t>地     址：</w:t>
      </w:r>
      <w:r>
        <w:rPr>
          <w:rFonts w:hint="eastAsia" w:ascii="宋体" w:hAnsi="宋体" w:cs="宋体"/>
          <w:color w:val="auto"/>
          <w:sz w:val="28"/>
          <w:szCs w:val="28"/>
          <w:u w:val="dotted"/>
        </w:rPr>
        <w:t xml:space="preserve">                             </w:t>
      </w:r>
      <w:r>
        <w:rPr>
          <w:rFonts w:hint="eastAsia" w:ascii="宋体" w:hAnsi="宋体" w:cs="宋体"/>
          <w:color w:val="auto"/>
          <w:sz w:val="28"/>
          <w:szCs w:val="28"/>
        </w:rPr>
        <w:t>邮编：</w:t>
      </w:r>
      <w:r>
        <w:rPr>
          <w:rFonts w:hint="eastAsia" w:ascii="宋体" w:hAnsi="宋体" w:cs="宋体"/>
          <w:color w:val="auto"/>
          <w:sz w:val="28"/>
          <w:szCs w:val="28"/>
          <w:u w:val="dotted"/>
        </w:rPr>
        <w:t xml:space="preserve">          </w:t>
      </w:r>
      <w:r>
        <w:rPr>
          <w:rFonts w:hint="eastAsia" w:ascii="宋体" w:hAnsi="宋体" w:cs="宋体"/>
          <w:color w:val="auto"/>
          <w:sz w:val="28"/>
          <w:szCs w:val="28"/>
          <w:u w:val="single"/>
        </w:rPr>
        <w:t xml:space="preserve"> </w:t>
      </w:r>
    </w:p>
    <w:p w14:paraId="28E2A35E">
      <w:pPr>
        <w:rPr>
          <w:rFonts w:ascii="宋体" w:hAnsi="宋体" w:cs="宋体"/>
          <w:color w:val="auto"/>
          <w:sz w:val="28"/>
          <w:szCs w:val="28"/>
          <w:u w:val="single"/>
        </w:rPr>
      </w:pPr>
      <w:r>
        <w:rPr>
          <w:rFonts w:hint="eastAsia" w:ascii="宋体" w:hAnsi="宋体" w:cs="宋体"/>
          <w:color w:val="auto"/>
          <w:sz w:val="28"/>
          <w:szCs w:val="28"/>
        </w:rPr>
        <w:t>联系人：</w:t>
      </w:r>
      <w:r>
        <w:rPr>
          <w:rFonts w:hint="eastAsia" w:ascii="宋体" w:hAnsi="宋体" w:cs="宋体"/>
          <w:color w:val="auto"/>
          <w:sz w:val="28"/>
          <w:szCs w:val="28"/>
          <w:u w:val="dotted"/>
        </w:rPr>
        <w:t xml:space="preserve">               </w:t>
      </w:r>
      <w:r>
        <w:rPr>
          <w:rFonts w:hint="eastAsia" w:ascii="宋体" w:hAnsi="宋体" w:cs="宋体"/>
          <w:color w:val="auto"/>
          <w:sz w:val="28"/>
          <w:szCs w:val="28"/>
        </w:rPr>
        <w:t>联系电话：</w:t>
      </w:r>
      <w:r>
        <w:rPr>
          <w:rFonts w:hint="eastAsia" w:ascii="宋体" w:hAnsi="宋体" w:cs="宋体"/>
          <w:color w:val="auto"/>
          <w:sz w:val="28"/>
          <w:szCs w:val="28"/>
          <w:u w:val="dotted"/>
        </w:rPr>
        <w:t xml:space="preserve">                      </w:t>
      </w:r>
      <w:r>
        <w:rPr>
          <w:rFonts w:hint="eastAsia" w:ascii="宋体" w:hAnsi="宋体" w:cs="宋体"/>
          <w:color w:val="auto"/>
          <w:sz w:val="28"/>
          <w:szCs w:val="28"/>
          <w:u w:val="single"/>
        </w:rPr>
        <w:t xml:space="preserve"> </w:t>
      </w:r>
    </w:p>
    <w:p w14:paraId="40481977">
      <w:pPr>
        <w:rPr>
          <w:rFonts w:ascii="宋体" w:hAnsi="宋体" w:cs="宋体"/>
          <w:color w:val="auto"/>
          <w:sz w:val="28"/>
          <w:szCs w:val="28"/>
        </w:rPr>
      </w:pPr>
      <w:r>
        <w:rPr>
          <w:rFonts w:hint="eastAsia" w:ascii="宋体" w:hAnsi="宋体" w:cs="宋体"/>
          <w:color w:val="auto"/>
          <w:sz w:val="28"/>
          <w:szCs w:val="28"/>
        </w:rPr>
        <w:t>被投诉人2</w:t>
      </w:r>
    </w:p>
    <w:p w14:paraId="1D1CDF76">
      <w:pPr>
        <w:rPr>
          <w:rFonts w:ascii="宋体" w:hAnsi="宋体" w:cs="宋体"/>
          <w:color w:val="auto"/>
          <w:sz w:val="28"/>
          <w:szCs w:val="28"/>
          <w:u w:val="dotted"/>
        </w:rPr>
      </w:pPr>
      <w:r>
        <w:rPr>
          <w:rFonts w:hint="eastAsia" w:ascii="宋体" w:hAnsi="宋体" w:cs="宋体"/>
          <w:color w:val="auto"/>
          <w:sz w:val="28"/>
          <w:szCs w:val="28"/>
        </w:rPr>
        <w:t>……</w:t>
      </w:r>
    </w:p>
    <w:p w14:paraId="06BB8C81">
      <w:pPr>
        <w:rPr>
          <w:rFonts w:ascii="宋体" w:hAnsi="宋体" w:cs="宋体"/>
          <w:color w:val="auto"/>
          <w:sz w:val="28"/>
          <w:szCs w:val="28"/>
          <w:u w:val="single"/>
        </w:rPr>
      </w:pPr>
      <w:r>
        <w:rPr>
          <w:rFonts w:hint="eastAsia" w:ascii="宋体" w:hAnsi="宋体" w:cs="宋体"/>
          <w:color w:val="auto"/>
          <w:sz w:val="28"/>
          <w:szCs w:val="28"/>
        </w:rPr>
        <w:t>相关供应商：</w:t>
      </w:r>
      <w:r>
        <w:rPr>
          <w:rFonts w:hint="eastAsia" w:ascii="宋体" w:hAnsi="宋体" w:cs="宋体"/>
          <w:color w:val="auto"/>
          <w:sz w:val="28"/>
          <w:szCs w:val="28"/>
          <w:u w:val="dotted"/>
        </w:rPr>
        <w:t xml:space="preserve">                                           </w:t>
      </w:r>
      <w:r>
        <w:rPr>
          <w:rFonts w:hint="eastAsia" w:ascii="宋体" w:hAnsi="宋体" w:cs="宋体"/>
          <w:color w:val="auto"/>
          <w:sz w:val="28"/>
          <w:szCs w:val="28"/>
          <w:u w:val="single"/>
        </w:rPr>
        <w:t xml:space="preserve">    </w:t>
      </w:r>
    </w:p>
    <w:p w14:paraId="7BAF9624">
      <w:pPr>
        <w:rPr>
          <w:rFonts w:ascii="宋体" w:hAnsi="宋体" w:cs="宋体"/>
          <w:color w:val="auto"/>
          <w:sz w:val="28"/>
          <w:szCs w:val="28"/>
          <w:u w:val="single"/>
        </w:rPr>
      </w:pPr>
      <w:r>
        <w:rPr>
          <w:rFonts w:hint="eastAsia" w:ascii="宋体" w:hAnsi="宋体" w:cs="宋体"/>
          <w:color w:val="auto"/>
          <w:sz w:val="28"/>
          <w:szCs w:val="28"/>
        </w:rPr>
        <w:t>地     址：</w:t>
      </w:r>
      <w:r>
        <w:rPr>
          <w:rFonts w:hint="eastAsia" w:ascii="宋体" w:hAnsi="宋体" w:cs="宋体"/>
          <w:color w:val="auto"/>
          <w:sz w:val="28"/>
          <w:szCs w:val="28"/>
          <w:u w:val="dotted"/>
        </w:rPr>
        <w:t xml:space="preserve">                             </w:t>
      </w:r>
      <w:r>
        <w:rPr>
          <w:rFonts w:hint="eastAsia" w:ascii="宋体" w:hAnsi="宋体" w:cs="宋体"/>
          <w:color w:val="auto"/>
          <w:sz w:val="28"/>
          <w:szCs w:val="28"/>
        </w:rPr>
        <w:t>邮编：</w:t>
      </w:r>
      <w:r>
        <w:rPr>
          <w:rFonts w:hint="eastAsia" w:ascii="宋体" w:hAnsi="宋体" w:cs="宋体"/>
          <w:color w:val="auto"/>
          <w:sz w:val="28"/>
          <w:szCs w:val="28"/>
          <w:u w:val="dotted"/>
        </w:rPr>
        <w:t xml:space="preserve">          </w:t>
      </w:r>
      <w:r>
        <w:rPr>
          <w:rFonts w:hint="eastAsia" w:ascii="宋体" w:hAnsi="宋体" w:cs="宋体"/>
          <w:color w:val="auto"/>
          <w:sz w:val="28"/>
          <w:szCs w:val="28"/>
          <w:u w:val="single"/>
        </w:rPr>
        <w:t xml:space="preserve"> </w:t>
      </w:r>
    </w:p>
    <w:p w14:paraId="25D91662">
      <w:pPr>
        <w:rPr>
          <w:rFonts w:ascii="宋体" w:hAnsi="宋体" w:cs="宋体"/>
          <w:color w:val="auto"/>
          <w:sz w:val="28"/>
          <w:szCs w:val="28"/>
          <w:u w:val="single"/>
        </w:rPr>
      </w:pPr>
      <w:r>
        <w:rPr>
          <w:rFonts w:hint="eastAsia" w:ascii="宋体" w:hAnsi="宋体" w:cs="宋体"/>
          <w:color w:val="auto"/>
          <w:sz w:val="28"/>
          <w:szCs w:val="28"/>
        </w:rPr>
        <w:t>联系人：</w:t>
      </w:r>
      <w:r>
        <w:rPr>
          <w:rFonts w:hint="eastAsia" w:ascii="宋体" w:hAnsi="宋体" w:cs="宋体"/>
          <w:color w:val="auto"/>
          <w:sz w:val="28"/>
          <w:szCs w:val="28"/>
          <w:u w:val="dotted"/>
        </w:rPr>
        <w:t xml:space="preserve">               </w:t>
      </w:r>
      <w:r>
        <w:rPr>
          <w:rFonts w:hint="eastAsia" w:ascii="宋体" w:hAnsi="宋体" w:cs="宋体"/>
          <w:color w:val="auto"/>
          <w:sz w:val="28"/>
          <w:szCs w:val="28"/>
        </w:rPr>
        <w:t>联系电话：</w:t>
      </w:r>
      <w:r>
        <w:rPr>
          <w:rFonts w:hint="eastAsia" w:ascii="宋体" w:hAnsi="宋体" w:cs="宋体"/>
          <w:color w:val="auto"/>
          <w:sz w:val="28"/>
          <w:szCs w:val="28"/>
          <w:u w:val="dotted"/>
        </w:rPr>
        <w:t xml:space="preserve">                      </w:t>
      </w:r>
      <w:r>
        <w:rPr>
          <w:rFonts w:hint="eastAsia" w:ascii="宋体" w:hAnsi="宋体" w:cs="宋体"/>
          <w:color w:val="auto"/>
          <w:sz w:val="28"/>
          <w:szCs w:val="28"/>
          <w:u w:val="single"/>
        </w:rPr>
        <w:t xml:space="preserve">      </w:t>
      </w:r>
    </w:p>
    <w:p w14:paraId="6AA21BFC">
      <w:pPr>
        <w:rPr>
          <w:rFonts w:ascii="宋体" w:hAnsi="宋体" w:cs="宋体"/>
          <w:color w:val="auto"/>
          <w:sz w:val="28"/>
          <w:szCs w:val="28"/>
        </w:rPr>
      </w:pPr>
      <w:r>
        <w:rPr>
          <w:rFonts w:hint="eastAsia" w:ascii="宋体" w:hAnsi="宋体" w:cs="宋体"/>
          <w:color w:val="auto"/>
          <w:sz w:val="28"/>
          <w:szCs w:val="28"/>
        </w:rPr>
        <w:t>二、投诉项目基本情况</w:t>
      </w:r>
    </w:p>
    <w:p w14:paraId="6A01B90A">
      <w:pPr>
        <w:rPr>
          <w:rFonts w:ascii="宋体" w:hAnsi="宋体" w:cs="宋体"/>
          <w:color w:val="auto"/>
          <w:sz w:val="28"/>
          <w:szCs w:val="28"/>
          <w:u w:val="dotted"/>
        </w:rPr>
      </w:pPr>
      <w:r>
        <w:rPr>
          <w:rFonts w:hint="eastAsia" w:ascii="宋体" w:hAnsi="宋体" w:cs="宋体"/>
          <w:color w:val="auto"/>
          <w:sz w:val="28"/>
          <w:szCs w:val="28"/>
        </w:rPr>
        <w:t>采购项目名称：</w:t>
      </w:r>
      <w:r>
        <w:rPr>
          <w:rFonts w:hint="eastAsia" w:ascii="宋体" w:hAnsi="宋体" w:cs="宋体"/>
          <w:color w:val="auto"/>
          <w:sz w:val="28"/>
          <w:szCs w:val="28"/>
          <w:u w:val="dotted"/>
        </w:rPr>
        <w:t xml:space="preserve">                                        </w:t>
      </w:r>
    </w:p>
    <w:p w14:paraId="3B5E4CFC">
      <w:pPr>
        <w:rPr>
          <w:rFonts w:ascii="宋体" w:hAnsi="宋体" w:cs="宋体"/>
          <w:color w:val="auto"/>
          <w:sz w:val="28"/>
          <w:szCs w:val="28"/>
          <w:u w:val="single"/>
        </w:rPr>
      </w:pPr>
      <w:r>
        <w:rPr>
          <w:rFonts w:hint="eastAsia" w:ascii="宋体" w:hAnsi="宋体" w:cs="宋体"/>
          <w:color w:val="auto"/>
          <w:sz w:val="28"/>
          <w:szCs w:val="28"/>
        </w:rPr>
        <w:t>采购项目编号：</w:t>
      </w:r>
      <w:r>
        <w:rPr>
          <w:rFonts w:hint="eastAsia" w:ascii="宋体" w:hAnsi="宋体" w:cs="宋体"/>
          <w:color w:val="auto"/>
          <w:sz w:val="28"/>
          <w:szCs w:val="28"/>
          <w:u w:val="dotted"/>
        </w:rPr>
        <w:t xml:space="preserve">                 </w:t>
      </w:r>
      <w:r>
        <w:rPr>
          <w:rFonts w:hint="eastAsia" w:ascii="宋体" w:hAnsi="宋体" w:cs="宋体"/>
          <w:color w:val="auto"/>
          <w:sz w:val="28"/>
          <w:szCs w:val="28"/>
        </w:rPr>
        <w:t>包号：</w:t>
      </w:r>
      <w:r>
        <w:rPr>
          <w:rFonts w:hint="eastAsia" w:ascii="宋体" w:hAnsi="宋体" w:cs="宋体"/>
          <w:color w:val="auto"/>
          <w:sz w:val="28"/>
          <w:szCs w:val="28"/>
          <w:u w:val="dotted"/>
        </w:rPr>
        <w:t xml:space="preserve">              </w:t>
      </w:r>
    </w:p>
    <w:p w14:paraId="54F4533C">
      <w:pPr>
        <w:rPr>
          <w:rFonts w:ascii="宋体" w:hAnsi="宋体" w:cs="宋体"/>
          <w:color w:val="auto"/>
          <w:sz w:val="28"/>
          <w:szCs w:val="28"/>
        </w:rPr>
      </w:pPr>
      <w:r>
        <w:rPr>
          <w:rFonts w:hint="eastAsia" w:ascii="宋体" w:hAnsi="宋体" w:cs="宋体"/>
          <w:color w:val="auto"/>
          <w:sz w:val="28"/>
          <w:szCs w:val="28"/>
        </w:rPr>
        <w:t>采购人名称：</w:t>
      </w:r>
      <w:r>
        <w:rPr>
          <w:rFonts w:hint="eastAsia" w:ascii="宋体" w:hAnsi="宋体" w:cs="宋体"/>
          <w:color w:val="auto"/>
          <w:sz w:val="28"/>
          <w:szCs w:val="28"/>
          <w:u w:val="dotted"/>
        </w:rPr>
        <w:t xml:space="preserve">                                           </w:t>
      </w:r>
      <w:r>
        <w:rPr>
          <w:rFonts w:hint="eastAsia" w:ascii="宋体" w:hAnsi="宋体" w:cs="宋体"/>
          <w:color w:val="auto"/>
          <w:sz w:val="28"/>
          <w:szCs w:val="28"/>
          <w:u w:val="single"/>
        </w:rPr>
        <w:t xml:space="preserve">  </w:t>
      </w:r>
    </w:p>
    <w:p w14:paraId="016A6D69">
      <w:pPr>
        <w:rPr>
          <w:rFonts w:ascii="宋体" w:hAnsi="宋体" w:cs="宋体"/>
          <w:color w:val="auto"/>
          <w:sz w:val="28"/>
          <w:szCs w:val="28"/>
          <w:u w:val="single"/>
        </w:rPr>
      </w:pPr>
      <w:r>
        <w:rPr>
          <w:rFonts w:hint="eastAsia" w:ascii="宋体" w:hAnsi="宋体" w:cs="宋体"/>
          <w:color w:val="auto"/>
          <w:sz w:val="28"/>
          <w:szCs w:val="28"/>
        </w:rPr>
        <w:t>代理机构名称：</w:t>
      </w:r>
      <w:r>
        <w:rPr>
          <w:rFonts w:hint="eastAsia" w:ascii="宋体" w:hAnsi="宋体" w:cs="宋体"/>
          <w:color w:val="auto"/>
          <w:sz w:val="28"/>
          <w:szCs w:val="28"/>
          <w:u w:val="dotted"/>
        </w:rPr>
        <w:t xml:space="preserve">                                         </w:t>
      </w:r>
    </w:p>
    <w:p w14:paraId="1DCA3939">
      <w:pPr>
        <w:rPr>
          <w:rFonts w:ascii="宋体" w:hAnsi="宋体" w:cs="宋体"/>
          <w:color w:val="auto"/>
          <w:sz w:val="28"/>
          <w:szCs w:val="28"/>
          <w:u w:val="dotted"/>
        </w:rPr>
      </w:pPr>
      <w:r>
        <w:rPr>
          <w:rFonts w:hint="eastAsia" w:ascii="宋体" w:hAnsi="宋体" w:cs="宋体"/>
          <w:color w:val="auto"/>
          <w:sz w:val="28"/>
          <w:szCs w:val="28"/>
        </w:rPr>
        <w:t>采购文件公告:</w:t>
      </w:r>
      <w:r>
        <w:rPr>
          <w:rFonts w:hint="eastAsia" w:ascii="宋体" w:hAnsi="宋体" w:cs="宋体"/>
          <w:color w:val="auto"/>
          <w:sz w:val="28"/>
          <w:szCs w:val="28"/>
          <w:u w:val="dotted"/>
        </w:rPr>
        <w:t xml:space="preserve">是/否 </w:t>
      </w:r>
      <w:r>
        <w:rPr>
          <w:rFonts w:hint="eastAsia" w:ascii="宋体" w:hAnsi="宋体" w:cs="宋体"/>
          <w:color w:val="auto"/>
          <w:sz w:val="28"/>
          <w:szCs w:val="28"/>
        </w:rPr>
        <w:t>公告期限：</w:t>
      </w:r>
      <w:r>
        <w:rPr>
          <w:rFonts w:hint="eastAsia" w:ascii="宋体" w:hAnsi="宋体" w:cs="宋体"/>
          <w:color w:val="auto"/>
          <w:sz w:val="28"/>
          <w:szCs w:val="28"/>
          <w:u w:val="dotted"/>
        </w:rPr>
        <w:t xml:space="preserve">                                 </w:t>
      </w:r>
    </w:p>
    <w:p w14:paraId="7100D726">
      <w:pPr>
        <w:rPr>
          <w:rFonts w:ascii="宋体" w:hAnsi="宋体" w:cs="宋体"/>
          <w:color w:val="auto"/>
          <w:sz w:val="28"/>
          <w:szCs w:val="28"/>
          <w:u w:val="single"/>
        </w:rPr>
      </w:pPr>
      <w:r>
        <w:rPr>
          <w:rFonts w:hint="eastAsia" w:ascii="宋体" w:hAnsi="宋体" w:cs="宋体"/>
          <w:color w:val="auto"/>
          <w:sz w:val="28"/>
          <w:szCs w:val="28"/>
        </w:rPr>
        <w:t>采购结果公告:</w:t>
      </w:r>
      <w:r>
        <w:rPr>
          <w:rFonts w:hint="eastAsia" w:ascii="宋体" w:hAnsi="宋体" w:cs="宋体"/>
          <w:color w:val="auto"/>
          <w:sz w:val="28"/>
          <w:szCs w:val="28"/>
          <w:u w:val="dotted"/>
        </w:rPr>
        <w:t xml:space="preserve">是/否 </w:t>
      </w:r>
      <w:r>
        <w:rPr>
          <w:rFonts w:hint="eastAsia" w:ascii="宋体" w:hAnsi="宋体" w:cs="宋体"/>
          <w:color w:val="auto"/>
          <w:sz w:val="28"/>
          <w:szCs w:val="28"/>
        </w:rPr>
        <w:t>公告期限：</w:t>
      </w:r>
      <w:r>
        <w:rPr>
          <w:rFonts w:hint="eastAsia" w:ascii="宋体" w:hAnsi="宋体" w:cs="宋体"/>
          <w:color w:val="auto"/>
          <w:sz w:val="28"/>
          <w:szCs w:val="28"/>
          <w:u w:val="dotted"/>
        </w:rPr>
        <w:t xml:space="preserve">                        </w:t>
      </w:r>
    </w:p>
    <w:p w14:paraId="6B264C17">
      <w:pPr>
        <w:rPr>
          <w:rFonts w:ascii="宋体" w:hAnsi="宋体" w:cs="宋体"/>
          <w:color w:val="auto"/>
          <w:sz w:val="28"/>
          <w:szCs w:val="28"/>
        </w:rPr>
      </w:pPr>
      <w:r>
        <w:rPr>
          <w:rFonts w:hint="eastAsia" w:ascii="宋体" w:hAnsi="宋体" w:cs="宋体"/>
          <w:color w:val="auto"/>
          <w:sz w:val="28"/>
          <w:szCs w:val="28"/>
        </w:rPr>
        <w:t>三、质疑基本情况</w:t>
      </w:r>
    </w:p>
    <w:p w14:paraId="64FF1D8E">
      <w:pPr>
        <w:ind w:firstLine="560" w:firstLineChars="200"/>
        <w:rPr>
          <w:rFonts w:ascii="宋体" w:hAnsi="宋体" w:cs="宋体"/>
          <w:color w:val="auto"/>
          <w:sz w:val="28"/>
          <w:szCs w:val="28"/>
          <w:u w:val="dotted"/>
        </w:rPr>
      </w:pPr>
      <w:r>
        <w:rPr>
          <w:rFonts w:hint="eastAsia" w:ascii="宋体" w:hAnsi="宋体" w:cs="宋体"/>
          <w:color w:val="auto"/>
          <w:sz w:val="28"/>
          <w:szCs w:val="28"/>
        </w:rPr>
        <w:t>投诉人于</w:t>
      </w:r>
      <w:r>
        <w:rPr>
          <w:rFonts w:hint="eastAsia" w:ascii="宋体" w:hAnsi="宋体" w:cs="宋体"/>
          <w:color w:val="auto"/>
          <w:sz w:val="28"/>
          <w:szCs w:val="28"/>
          <w:u w:val="dotted"/>
        </w:rPr>
        <w:t xml:space="preserve">   </w:t>
      </w:r>
      <w:r>
        <w:rPr>
          <w:rFonts w:hint="eastAsia" w:ascii="宋体" w:hAnsi="宋体" w:cs="宋体"/>
          <w:color w:val="auto"/>
          <w:sz w:val="28"/>
          <w:szCs w:val="28"/>
        </w:rPr>
        <w:t>年</w:t>
      </w:r>
      <w:r>
        <w:rPr>
          <w:rFonts w:hint="eastAsia" w:ascii="宋体" w:hAnsi="宋体" w:cs="宋体"/>
          <w:color w:val="auto"/>
          <w:sz w:val="28"/>
          <w:szCs w:val="28"/>
          <w:u w:val="dotted"/>
        </w:rPr>
        <w:t xml:space="preserve">   </w:t>
      </w:r>
      <w:r>
        <w:rPr>
          <w:rFonts w:hint="eastAsia" w:ascii="宋体" w:hAnsi="宋体" w:cs="宋体"/>
          <w:color w:val="auto"/>
          <w:sz w:val="28"/>
          <w:szCs w:val="28"/>
        </w:rPr>
        <w:t>月</w:t>
      </w:r>
      <w:r>
        <w:rPr>
          <w:rFonts w:hint="eastAsia" w:ascii="宋体" w:hAnsi="宋体" w:cs="宋体"/>
          <w:color w:val="auto"/>
          <w:sz w:val="28"/>
          <w:szCs w:val="28"/>
          <w:u w:val="dotted"/>
        </w:rPr>
        <w:t xml:space="preserve">  </w:t>
      </w:r>
      <w:r>
        <w:rPr>
          <w:rFonts w:hint="eastAsia" w:ascii="宋体" w:hAnsi="宋体" w:cs="宋体"/>
          <w:color w:val="auto"/>
          <w:sz w:val="28"/>
          <w:szCs w:val="28"/>
        </w:rPr>
        <w:t>日,向</w:t>
      </w:r>
      <w:r>
        <w:rPr>
          <w:rFonts w:hint="eastAsia" w:ascii="宋体" w:hAnsi="宋体" w:cs="宋体"/>
          <w:color w:val="auto"/>
          <w:sz w:val="28"/>
          <w:szCs w:val="28"/>
          <w:u w:val="dotted"/>
        </w:rPr>
        <w:t xml:space="preserve">                   </w:t>
      </w:r>
      <w:r>
        <w:rPr>
          <w:rFonts w:hint="eastAsia" w:ascii="宋体" w:hAnsi="宋体" w:cs="宋体"/>
          <w:color w:val="auto"/>
          <w:sz w:val="28"/>
          <w:szCs w:val="28"/>
        </w:rPr>
        <w:t>提出质疑，质疑事项为：</w:t>
      </w:r>
      <w:r>
        <w:rPr>
          <w:rFonts w:hint="eastAsia" w:ascii="宋体" w:hAnsi="宋体" w:cs="宋体"/>
          <w:color w:val="auto"/>
          <w:sz w:val="28"/>
          <w:szCs w:val="28"/>
          <w:u w:val="dotted"/>
        </w:rPr>
        <w:t xml:space="preserve">                                </w:t>
      </w:r>
    </w:p>
    <w:p w14:paraId="4D3B5037">
      <w:pPr>
        <w:rPr>
          <w:rFonts w:ascii="宋体" w:hAnsi="宋体" w:cs="宋体"/>
          <w:color w:val="auto"/>
          <w:sz w:val="28"/>
          <w:szCs w:val="28"/>
          <w:u w:val="dotted"/>
        </w:rPr>
      </w:pPr>
      <w:r>
        <w:rPr>
          <w:rFonts w:hint="eastAsia" w:ascii="宋体" w:hAnsi="宋体" w:cs="宋体"/>
          <w:color w:val="auto"/>
          <w:sz w:val="28"/>
          <w:szCs w:val="28"/>
          <w:u w:val="dotted"/>
        </w:rPr>
        <w:t xml:space="preserve">                                                     </w:t>
      </w:r>
      <w:r>
        <w:rPr>
          <w:rFonts w:hint="eastAsia" w:ascii="宋体" w:hAnsi="宋体" w:cs="宋体"/>
          <w:color w:val="auto"/>
          <w:sz w:val="28"/>
          <w:szCs w:val="28"/>
        </w:rPr>
        <w:t xml:space="preserve">  </w:t>
      </w:r>
    </w:p>
    <w:p w14:paraId="7296D7C1">
      <w:pPr>
        <w:ind w:firstLine="420" w:firstLineChars="150"/>
        <w:rPr>
          <w:rFonts w:ascii="宋体" w:hAnsi="宋体" w:cs="宋体"/>
          <w:color w:val="auto"/>
          <w:sz w:val="28"/>
          <w:szCs w:val="28"/>
        </w:rPr>
      </w:pPr>
      <w:r>
        <w:rPr>
          <w:rFonts w:hint="eastAsia" w:ascii="宋体" w:hAnsi="宋体" w:cs="宋体"/>
          <w:color w:val="auto"/>
          <w:sz w:val="28"/>
          <w:szCs w:val="28"/>
          <w:u w:val="dotted"/>
        </w:rPr>
        <w:t>采购人/代理机构</w:t>
      </w:r>
      <w:r>
        <w:rPr>
          <w:rFonts w:hint="eastAsia" w:ascii="宋体" w:hAnsi="宋体" w:cs="宋体"/>
          <w:color w:val="auto"/>
          <w:sz w:val="28"/>
          <w:szCs w:val="28"/>
        </w:rPr>
        <w:t>于</w:t>
      </w:r>
      <w:r>
        <w:rPr>
          <w:rFonts w:hint="eastAsia" w:ascii="宋体" w:hAnsi="宋体" w:cs="宋体"/>
          <w:color w:val="auto"/>
          <w:sz w:val="28"/>
          <w:szCs w:val="28"/>
          <w:u w:val="dotted"/>
        </w:rPr>
        <w:t xml:space="preserve">   </w:t>
      </w:r>
      <w:r>
        <w:rPr>
          <w:rFonts w:hint="eastAsia" w:ascii="宋体" w:hAnsi="宋体" w:cs="宋体"/>
          <w:color w:val="auto"/>
          <w:sz w:val="28"/>
          <w:szCs w:val="28"/>
        </w:rPr>
        <w:t>年</w:t>
      </w:r>
      <w:r>
        <w:rPr>
          <w:rFonts w:hint="eastAsia" w:ascii="宋体" w:hAnsi="宋体" w:cs="宋体"/>
          <w:color w:val="auto"/>
          <w:sz w:val="28"/>
          <w:szCs w:val="28"/>
          <w:u w:val="dotted"/>
        </w:rPr>
        <w:t xml:space="preserve">   </w:t>
      </w:r>
      <w:r>
        <w:rPr>
          <w:rFonts w:hint="eastAsia" w:ascii="宋体" w:hAnsi="宋体" w:cs="宋体"/>
          <w:color w:val="auto"/>
          <w:sz w:val="28"/>
          <w:szCs w:val="28"/>
        </w:rPr>
        <w:t>月</w:t>
      </w:r>
      <w:r>
        <w:rPr>
          <w:rFonts w:hint="eastAsia" w:ascii="宋体" w:hAnsi="宋体" w:cs="宋体"/>
          <w:color w:val="auto"/>
          <w:sz w:val="28"/>
          <w:szCs w:val="28"/>
          <w:u w:val="dotted"/>
        </w:rPr>
        <w:t xml:space="preserve">   </w:t>
      </w:r>
      <w:r>
        <w:rPr>
          <w:rFonts w:hint="eastAsia" w:ascii="宋体" w:hAnsi="宋体" w:cs="宋体"/>
          <w:color w:val="auto"/>
          <w:sz w:val="28"/>
          <w:szCs w:val="28"/>
        </w:rPr>
        <w:t>日,就质疑事项作出了答复/没有在法定期限内作出答复。</w:t>
      </w:r>
    </w:p>
    <w:p w14:paraId="5B67A4D8">
      <w:pPr>
        <w:rPr>
          <w:rFonts w:ascii="宋体" w:hAnsi="宋体" w:cs="宋体"/>
          <w:color w:val="auto"/>
          <w:sz w:val="28"/>
          <w:szCs w:val="28"/>
        </w:rPr>
      </w:pPr>
      <w:r>
        <w:rPr>
          <w:rFonts w:hint="eastAsia" w:ascii="宋体" w:hAnsi="宋体" w:cs="宋体"/>
          <w:color w:val="auto"/>
          <w:sz w:val="28"/>
          <w:szCs w:val="28"/>
        </w:rPr>
        <w:t>四、投诉事项具体内容</w:t>
      </w:r>
    </w:p>
    <w:p w14:paraId="0D1CFB6B">
      <w:pPr>
        <w:rPr>
          <w:rFonts w:ascii="宋体" w:hAnsi="宋体" w:cs="宋体"/>
          <w:color w:val="auto"/>
          <w:sz w:val="28"/>
          <w:szCs w:val="28"/>
          <w:u w:val="single"/>
        </w:rPr>
      </w:pPr>
      <w:r>
        <w:rPr>
          <w:rFonts w:hint="eastAsia" w:ascii="宋体" w:hAnsi="宋体" w:cs="宋体"/>
          <w:color w:val="auto"/>
          <w:sz w:val="28"/>
          <w:szCs w:val="28"/>
        </w:rPr>
        <w:t>投诉事项 1：</w:t>
      </w:r>
      <w:r>
        <w:rPr>
          <w:rFonts w:hint="eastAsia" w:ascii="宋体" w:hAnsi="宋体" w:cs="宋体"/>
          <w:color w:val="auto"/>
          <w:sz w:val="28"/>
          <w:szCs w:val="28"/>
          <w:u w:val="dotted"/>
        </w:rPr>
        <w:t xml:space="preserve">                                       </w:t>
      </w:r>
    </w:p>
    <w:p w14:paraId="76660E99">
      <w:pPr>
        <w:rPr>
          <w:rFonts w:ascii="宋体" w:hAnsi="宋体" w:cs="宋体"/>
          <w:color w:val="auto"/>
          <w:sz w:val="28"/>
          <w:szCs w:val="28"/>
        </w:rPr>
      </w:pPr>
      <w:r>
        <w:rPr>
          <w:rFonts w:hint="eastAsia" w:ascii="宋体" w:hAnsi="宋体" w:cs="宋体"/>
          <w:color w:val="auto"/>
          <w:sz w:val="28"/>
          <w:szCs w:val="28"/>
        </w:rPr>
        <w:t>事实依据：</w:t>
      </w:r>
      <w:r>
        <w:rPr>
          <w:rFonts w:hint="eastAsia" w:ascii="宋体" w:hAnsi="宋体" w:cs="宋体"/>
          <w:color w:val="auto"/>
          <w:sz w:val="28"/>
          <w:szCs w:val="28"/>
          <w:u w:val="dotted"/>
        </w:rPr>
        <w:t xml:space="preserve">                                         </w:t>
      </w:r>
    </w:p>
    <w:p w14:paraId="6B7B0596">
      <w:pPr>
        <w:rPr>
          <w:rFonts w:ascii="宋体" w:hAnsi="宋体" w:cs="宋体"/>
          <w:color w:val="auto"/>
          <w:sz w:val="28"/>
          <w:szCs w:val="28"/>
          <w:u w:val="dotted"/>
        </w:rPr>
      </w:pPr>
      <w:r>
        <w:rPr>
          <w:rFonts w:hint="eastAsia" w:ascii="宋体" w:hAnsi="宋体" w:cs="宋体"/>
          <w:color w:val="auto"/>
          <w:sz w:val="28"/>
          <w:szCs w:val="28"/>
          <w:u w:val="dotted"/>
        </w:rPr>
        <w:t xml:space="preserve">                                                      </w:t>
      </w:r>
    </w:p>
    <w:p w14:paraId="29913B2C">
      <w:pPr>
        <w:rPr>
          <w:rFonts w:ascii="宋体" w:hAnsi="宋体" w:cs="宋体"/>
          <w:color w:val="auto"/>
          <w:sz w:val="28"/>
          <w:szCs w:val="28"/>
          <w:u w:val="single"/>
        </w:rPr>
      </w:pPr>
      <w:r>
        <w:rPr>
          <w:rFonts w:hint="eastAsia" w:ascii="宋体" w:hAnsi="宋体" w:cs="宋体"/>
          <w:color w:val="auto"/>
          <w:sz w:val="28"/>
          <w:szCs w:val="28"/>
        </w:rPr>
        <w:t>法律依据：</w:t>
      </w:r>
      <w:r>
        <w:rPr>
          <w:rFonts w:hint="eastAsia" w:ascii="宋体" w:hAnsi="宋体" w:cs="宋体"/>
          <w:color w:val="auto"/>
          <w:sz w:val="28"/>
          <w:szCs w:val="28"/>
          <w:u w:val="dotted"/>
        </w:rPr>
        <w:t xml:space="preserve">                                          </w:t>
      </w:r>
    </w:p>
    <w:p w14:paraId="0031EBE6">
      <w:pPr>
        <w:rPr>
          <w:rFonts w:ascii="宋体" w:hAnsi="宋体" w:cs="宋体"/>
          <w:color w:val="auto"/>
          <w:sz w:val="28"/>
          <w:szCs w:val="28"/>
          <w:u w:val="dotted"/>
        </w:rPr>
      </w:pPr>
      <w:r>
        <w:rPr>
          <w:rFonts w:hint="eastAsia" w:ascii="宋体" w:hAnsi="宋体" w:cs="宋体"/>
          <w:color w:val="auto"/>
          <w:sz w:val="28"/>
          <w:szCs w:val="28"/>
          <w:u w:val="dotted"/>
        </w:rPr>
        <w:t xml:space="preserve">                                                      </w:t>
      </w:r>
    </w:p>
    <w:p w14:paraId="7E38611E">
      <w:pPr>
        <w:rPr>
          <w:rFonts w:ascii="宋体" w:hAnsi="宋体" w:cs="宋体"/>
          <w:color w:val="auto"/>
          <w:sz w:val="28"/>
          <w:szCs w:val="28"/>
        </w:rPr>
      </w:pPr>
      <w:r>
        <w:rPr>
          <w:rFonts w:hint="eastAsia" w:ascii="宋体" w:hAnsi="宋体" w:cs="宋体"/>
          <w:color w:val="auto"/>
          <w:sz w:val="28"/>
          <w:szCs w:val="28"/>
        </w:rPr>
        <w:t>投诉事项2</w:t>
      </w:r>
    </w:p>
    <w:p w14:paraId="35C49755">
      <w:pPr>
        <w:rPr>
          <w:rFonts w:ascii="宋体" w:hAnsi="宋体" w:cs="宋体"/>
          <w:color w:val="auto"/>
          <w:sz w:val="28"/>
          <w:szCs w:val="28"/>
          <w:u w:val="dotted"/>
        </w:rPr>
      </w:pPr>
      <w:r>
        <w:rPr>
          <w:rFonts w:hint="eastAsia" w:ascii="宋体" w:hAnsi="宋体" w:cs="宋体"/>
          <w:color w:val="auto"/>
          <w:sz w:val="28"/>
          <w:szCs w:val="28"/>
        </w:rPr>
        <w:t>……</w:t>
      </w:r>
    </w:p>
    <w:p w14:paraId="4DBCC397">
      <w:pPr>
        <w:rPr>
          <w:rFonts w:ascii="宋体" w:hAnsi="宋体" w:cs="宋体"/>
          <w:color w:val="auto"/>
          <w:sz w:val="28"/>
          <w:szCs w:val="28"/>
        </w:rPr>
      </w:pPr>
      <w:r>
        <w:rPr>
          <w:rFonts w:hint="eastAsia" w:ascii="宋体" w:hAnsi="宋体" w:cs="宋体"/>
          <w:color w:val="auto"/>
          <w:sz w:val="28"/>
          <w:szCs w:val="28"/>
        </w:rPr>
        <w:t>五、与投诉事项相关的投诉请求</w:t>
      </w:r>
    </w:p>
    <w:p w14:paraId="64EEA52F">
      <w:pPr>
        <w:rPr>
          <w:rFonts w:ascii="宋体" w:hAnsi="宋体" w:cs="宋体"/>
          <w:color w:val="auto"/>
          <w:sz w:val="28"/>
          <w:szCs w:val="28"/>
        </w:rPr>
      </w:pPr>
      <w:r>
        <w:rPr>
          <w:rFonts w:hint="eastAsia" w:ascii="宋体" w:hAnsi="宋体" w:cs="宋体"/>
          <w:color w:val="auto"/>
          <w:sz w:val="28"/>
          <w:szCs w:val="28"/>
        </w:rPr>
        <w:t>请求：</w:t>
      </w:r>
      <w:r>
        <w:rPr>
          <w:rFonts w:hint="eastAsia" w:ascii="宋体" w:hAnsi="宋体" w:cs="宋体"/>
          <w:color w:val="auto"/>
          <w:sz w:val="28"/>
          <w:szCs w:val="28"/>
          <w:u w:val="dotted"/>
        </w:rPr>
        <w:t xml:space="preserve">                                              </w:t>
      </w:r>
      <w:r>
        <w:rPr>
          <w:rFonts w:hint="eastAsia" w:ascii="宋体" w:hAnsi="宋体" w:cs="宋体"/>
          <w:color w:val="auto"/>
          <w:sz w:val="28"/>
          <w:szCs w:val="28"/>
        </w:rPr>
        <w:t xml:space="preserve"> </w:t>
      </w:r>
    </w:p>
    <w:p w14:paraId="44E642AB">
      <w:pPr>
        <w:rPr>
          <w:rFonts w:ascii="宋体" w:hAnsi="宋体" w:cs="宋体"/>
          <w:color w:val="auto"/>
          <w:sz w:val="28"/>
          <w:szCs w:val="28"/>
          <w:u w:val="single"/>
        </w:rPr>
      </w:pPr>
      <w:r>
        <w:rPr>
          <w:rFonts w:hint="eastAsia" w:ascii="宋体" w:hAnsi="宋体" w:cs="宋体"/>
          <w:color w:val="auto"/>
          <w:sz w:val="28"/>
          <w:szCs w:val="28"/>
        </w:rPr>
        <w:t xml:space="preserve">                                                                                                    </w:t>
      </w:r>
    </w:p>
    <w:p w14:paraId="71D132DC">
      <w:pPr>
        <w:rPr>
          <w:rFonts w:ascii="宋体" w:hAnsi="宋体" w:cs="宋体"/>
          <w:color w:val="auto"/>
          <w:sz w:val="28"/>
          <w:szCs w:val="28"/>
        </w:rPr>
      </w:pPr>
      <w:r>
        <w:rPr>
          <w:rFonts w:hint="eastAsia" w:ascii="宋体" w:hAnsi="宋体" w:cs="宋体"/>
          <w:color w:val="auto"/>
          <w:sz w:val="28"/>
          <w:szCs w:val="28"/>
        </w:rPr>
        <w:t xml:space="preserve">签字(签章)：                   公章：                      </w:t>
      </w:r>
    </w:p>
    <w:p w14:paraId="732135AF">
      <w:pPr>
        <w:rPr>
          <w:rFonts w:ascii="宋体" w:hAnsi="宋体" w:cs="宋体"/>
          <w:color w:val="auto"/>
          <w:sz w:val="28"/>
          <w:szCs w:val="28"/>
        </w:rPr>
      </w:pPr>
      <w:r>
        <w:rPr>
          <w:rFonts w:hint="eastAsia" w:ascii="宋体" w:hAnsi="宋体" w:cs="宋体"/>
          <w:color w:val="auto"/>
          <w:sz w:val="28"/>
          <w:szCs w:val="28"/>
        </w:rPr>
        <w:t xml:space="preserve">日期：    </w:t>
      </w:r>
    </w:p>
    <w:p w14:paraId="791D155C">
      <w:pPr>
        <w:rPr>
          <w:rFonts w:ascii="宋体" w:hAnsi="宋体" w:cs="宋体"/>
          <w:b/>
          <w:color w:val="auto"/>
          <w:sz w:val="28"/>
          <w:szCs w:val="28"/>
        </w:rPr>
      </w:pPr>
    </w:p>
    <w:p w14:paraId="16880CFB">
      <w:pPr>
        <w:rPr>
          <w:rFonts w:ascii="宋体" w:hAnsi="宋体" w:cs="宋体"/>
          <w:b/>
          <w:color w:val="auto"/>
          <w:sz w:val="28"/>
          <w:szCs w:val="28"/>
        </w:rPr>
      </w:pPr>
    </w:p>
    <w:p w14:paraId="4680DA37">
      <w:pPr>
        <w:rPr>
          <w:rFonts w:ascii="宋体" w:hAnsi="宋体" w:cs="宋体"/>
          <w:b/>
          <w:color w:val="auto"/>
          <w:sz w:val="28"/>
          <w:szCs w:val="28"/>
        </w:rPr>
      </w:pPr>
    </w:p>
    <w:p w14:paraId="0ACB1CD4">
      <w:pPr>
        <w:rPr>
          <w:rFonts w:ascii="宋体" w:hAnsi="宋体" w:cs="宋体"/>
          <w:b/>
          <w:color w:val="auto"/>
          <w:sz w:val="28"/>
          <w:szCs w:val="28"/>
        </w:rPr>
      </w:pPr>
    </w:p>
    <w:p w14:paraId="1D3A15A8">
      <w:pPr>
        <w:rPr>
          <w:rFonts w:ascii="宋体" w:hAnsi="宋体" w:cs="宋体"/>
          <w:b/>
          <w:color w:val="auto"/>
          <w:sz w:val="28"/>
          <w:szCs w:val="28"/>
        </w:rPr>
      </w:pPr>
    </w:p>
    <w:p w14:paraId="73CF4791">
      <w:pPr>
        <w:rPr>
          <w:rFonts w:ascii="宋体" w:hAnsi="宋体" w:cs="宋体"/>
          <w:b/>
          <w:color w:val="auto"/>
          <w:sz w:val="24"/>
        </w:rPr>
      </w:pPr>
      <w:r>
        <w:rPr>
          <w:rFonts w:hint="eastAsia" w:ascii="宋体" w:hAnsi="宋体" w:cs="宋体"/>
          <w:b/>
          <w:color w:val="auto"/>
          <w:sz w:val="24"/>
        </w:rPr>
        <w:t>投诉书制作说明：</w:t>
      </w:r>
    </w:p>
    <w:p w14:paraId="7D0E4141">
      <w:pPr>
        <w:widowControl/>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2E31E6D9">
      <w:pPr>
        <w:widowControl/>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1E708051">
      <w:pPr>
        <w:widowControl/>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3AABD8D8">
      <w:pPr>
        <w:widowControl/>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2FDAEF45">
      <w:pPr>
        <w:widowControl/>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48D4C63D">
      <w:pPr>
        <w:widowControl/>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3ADB2EB8">
      <w:pPr>
        <w:widowControl/>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0A14977B">
      <w:pPr>
        <w:jc w:val="left"/>
        <w:rPr>
          <w:rFonts w:ascii="宋体" w:hAnsi="宋体" w:cs="宋体"/>
          <w:b/>
          <w:color w:val="auto"/>
          <w:sz w:val="28"/>
          <w:szCs w:val="28"/>
        </w:rPr>
      </w:pPr>
      <w:r>
        <w:rPr>
          <w:rFonts w:hint="eastAsia" w:ascii="宋体" w:hAnsi="宋体" w:cs="宋体"/>
          <w:color w:val="auto"/>
          <w:sz w:val="28"/>
          <w:szCs w:val="28"/>
        </w:rPr>
        <w:t xml:space="preserve">         </w:t>
      </w:r>
      <w:r>
        <w:rPr>
          <w:rFonts w:hint="eastAsia" w:ascii="宋体" w:hAnsi="宋体" w:cs="宋体"/>
          <w:b/>
          <w:color w:val="auto"/>
          <w:sz w:val="28"/>
          <w:szCs w:val="28"/>
        </w:rPr>
        <w:t xml:space="preserve"> </w:t>
      </w:r>
    </w:p>
    <w:p w14:paraId="2517C7C0">
      <w:pPr>
        <w:jc w:val="left"/>
        <w:rPr>
          <w:rFonts w:ascii="宋体" w:hAnsi="宋体" w:cs="宋体"/>
          <w:b/>
          <w:color w:val="auto"/>
          <w:sz w:val="28"/>
          <w:szCs w:val="28"/>
        </w:rPr>
      </w:pPr>
    </w:p>
    <w:p w14:paraId="478C8A62">
      <w:pPr>
        <w:rPr>
          <w:rFonts w:ascii="宋体" w:hAnsi="宋体" w:cs="宋体"/>
          <w:color w:val="auto"/>
          <w:sz w:val="20"/>
          <w:szCs w:val="22"/>
        </w:rPr>
      </w:pPr>
    </w:p>
    <w:p w14:paraId="121818D1">
      <w:pPr>
        <w:rPr>
          <w:rFonts w:ascii="宋体" w:hAnsi="宋体" w:cs="宋体"/>
          <w:color w:val="auto"/>
          <w:sz w:val="20"/>
          <w:szCs w:val="22"/>
        </w:rPr>
      </w:pPr>
    </w:p>
    <w:p w14:paraId="50327EE7">
      <w:pPr>
        <w:pStyle w:val="21"/>
        <w:ind w:firstLine="600"/>
        <w:rPr>
          <w:color w:val="auto"/>
        </w:rPr>
      </w:pPr>
    </w:p>
    <w:p w14:paraId="2C201DC1">
      <w:pPr>
        <w:pStyle w:val="17"/>
        <w:ind w:left="0" w:leftChars="0"/>
        <w:rPr>
          <w:color w:val="auto"/>
        </w:rPr>
      </w:pPr>
    </w:p>
    <w:p w14:paraId="6E84259D">
      <w:pPr>
        <w:snapToGrid w:val="0"/>
        <w:spacing w:before="50" w:after="50" w:line="360" w:lineRule="auto"/>
        <w:jc w:val="both"/>
        <w:rPr>
          <w:rFonts w:hint="eastAsia" w:ascii="宋体" w:hAnsi="宋体" w:cs="宋体"/>
          <w:b/>
          <w:bCs/>
          <w:color w:val="auto"/>
          <w:kern w:val="0"/>
          <w:sz w:val="24"/>
          <w:lang w:val="en-US" w:eastAsia="zh-CN"/>
        </w:rPr>
      </w:pPr>
    </w:p>
    <w:p w14:paraId="2BCA5C01">
      <w:pPr>
        <w:snapToGrid w:val="0"/>
        <w:spacing w:before="50" w:after="50" w:line="360" w:lineRule="auto"/>
        <w:jc w:val="both"/>
        <w:rPr>
          <w:rFonts w:hint="eastAsia" w:ascii="宋体" w:hAnsi="宋体" w:cs="宋体"/>
          <w:b/>
          <w:bCs/>
          <w:color w:val="auto"/>
          <w:kern w:val="0"/>
          <w:sz w:val="24"/>
          <w:lang w:val="en-US" w:eastAsia="zh-CN"/>
        </w:rPr>
      </w:pPr>
    </w:p>
    <w:p w14:paraId="74E9B68D">
      <w:pPr>
        <w:snapToGrid w:val="0"/>
        <w:spacing w:before="50" w:after="50" w:line="360" w:lineRule="auto"/>
        <w:jc w:val="both"/>
        <w:rPr>
          <w:rFonts w:hint="eastAsia" w:ascii="宋体" w:hAnsi="宋体" w:cs="宋体"/>
          <w:b/>
          <w:bCs/>
          <w:color w:val="auto"/>
          <w:kern w:val="0"/>
          <w:sz w:val="24"/>
          <w:lang w:val="en-US" w:eastAsia="zh-CN"/>
        </w:rPr>
      </w:pPr>
    </w:p>
    <w:p w14:paraId="698E59FA">
      <w:pPr>
        <w:snapToGrid w:val="0"/>
        <w:spacing w:before="50" w:after="50" w:line="360" w:lineRule="auto"/>
        <w:jc w:val="both"/>
        <w:rPr>
          <w:rFonts w:hint="eastAsia" w:ascii="宋体" w:hAnsi="宋体" w:cs="宋体"/>
          <w:b/>
          <w:bCs/>
          <w:color w:val="auto"/>
          <w:kern w:val="0"/>
          <w:sz w:val="24"/>
          <w:lang w:val="en-US" w:eastAsia="zh-CN"/>
        </w:rPr>
      </w:pPr>
    </w:p>
    <w:p w14:paraId="5F69E033">
      <w:pPr>
        <w:snapToGrid w:val="0"/>
        <w:spacing w:before="50" w:after="50" w:line="360" w:lineRule="auto"/>
        <w:jc w:val="both"/>
        <w:rPr>
          <w:rFonts w:hint="eastAsia" w:ascii="宋体" w:hAnsi="宋体" w:cs="宋体"/>
          <w:b/>
          <w:bCs/>
          <w:color w:val="auto"/>
          <w:kern w:val="0"/>
          <w:sz w:val="24"/>
          <w:lang w:val="en-US" w:eastAsia="zh-CN"/>
        </w:rPr>
      </w:pPr>
    </w:p>
    <w:p w14:paraId="599A9024">
      <w:pPr>
        <w:snapToGrid w:val="0"/>
        <w:spacing w:before="50" w:after="50" w:line="360" w:lineRule="auto"/>
        <w:jc w:val="both"/>
        <w:rPr>
          <w:rFonts w:hint="eastAsia" w:ascii="宋体" w:hAnsi="宋体" w:cs="宋体"/>
          <w:b/>
          <w:bCs/>
          <w:color w:val="auto"/>
          <w:kern w:val="0"/>
          <w:sz w:val="24"/>
          <w:lang w:val="en-US" w:eastAsia="zh-CN"/>
        </w:rPr>
      </w:pPr>
    </w:p>
    <w:p w14:paraId="13C8BED4">
      <w:pPr>
        <w:snapToGrid w:val="0"/>
        <w:spacing w:before="50" w:after="50" w:line="360" w:lineRule="auto"/>
        <w:jc w:val="both"/>
        <w:rPr>
          <w:rFonts w:hint="eastAsia" w:ascii="宋体" w:hAnsi="宋体" w:cs="宋体"/>
          <w:b/>
          <w:bCs/>
          <w:color w:val="auto"/>
          <w:kern w:val="0"/>
          <w:sz w:val="24"/>
          <w:lang w:val="en-US" w:eastAsia="zh-CN"/>
        </w:rPr>
      </w:pPr>
    </w:p>
    <w:p w14:paraId="55850901">
      <w:pPr>
        <w:snapToGrid w:val="0"/>
        <w:spacing w:before="50" w:after="50" w:line="360" w:lineRule="auto"/>
        <w:jc w:val="both"/>
        <w:rPr>
          <w:rFonts w:hint="eastAsia" w:ascii="宋体" w:hAnsi="宋体" w:cs="宋体"/>
          <w:b/>
          <w:bCs/>
          <w:color w:val="auto"/>
          <w:kern w:val="0"/>
          <w:sz w:val="24"/>
          <w:lang w:val="en-US" w:eastAsia="zh-CN"/>
        </w:rPr>
      </w:pPr>
    </w:p>
    <w:p w14:paraId="3540C567">
      <w:pPr>
        <w:snapToGrid w:val="0"/>
        <w:spacing w:before="50" w:after="50" w:line="360" w:lineRule="auto"/>
        <w:jc w:val="both"/>
        <w:rPr>
          <w:rFonts w:hint="eastAsia" w:ascii="宋体" w:hAnsi="宋体" w:cs="宋体"/>
          <w:b/>
          <w:bCs/>
          <w:color w:val="auto"/>
          <w:kern w:val="0"/>
          <w:sz w:val="24"/>
          <w:lang w:val="en-US" w:eastAsia="zh-CN"/>
        </w:rPr>
      </w:pPr>
    </w:p>
    <w:p w14:paraId="0E58A361">
      <w:pPr>
        <w:rPr>
          <w:color w:val="auto"/>
          <w:highlight w:val="none"/>
        </w:rPr>
      </w:pPr>
    </w:p>
    <w:sectPr>
      <w:headerReference r:id="rId11" w:type="first"/>
      <w:footerReference r:id="rId14" w:type="first"/>
      <w:headerReference r:id="rId10" w:type="default"/>
      <w:footerReference r:id="rId12" w:type="default"/>
      <w:footerReference r:id="rId13" w:type="even"/>
      <w:pgSz w:w="11906" w:h="16838"/>
      <w:pgMar w:top="1020" w:right="1247" w:bottom="1020" w:left="1247" w:header="851" w:footer="907"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504020202030204"/>
    <w:charset w:val="00"/>
    <w:family w:val="auto"/>
    <w:pitch w:val="default"/>
    <w:sig w:usb0="00000000" w:usb1="00000000" w:usb2="00000000" w:usb3="00000000" w:csb0="00000093"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4002009F" w:csb1="DFD7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F12C5">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B671E">
    <w:pPr>
      <w:pStyle w:val="1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49F8F3">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B49F8F3">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39152">
    <w:pPr>
      <w:pStyle w:val="14"/>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831FDC">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9831FDC">
                    <w:pPr>
                      <w:pStyle w:val="14"/>
                    </w:pPr>
                    <w:r>
                      <w:fldChar w:fldCharType="begin"/>
                    </w:r>
                    <w:r>
                      <w:instrText xml:space="preserve"> PAGE  \* MERGEFORMAT </w:instrText>
                    </w:r>
                    <w:r>
                      <w:fldChar w:fldCharType="separate"/>
                    </w:r>
                    <w:r>
                      <w:t>3</w:t>
                    </w:r>
                    <w:r>
                      <w:fldChar w:fldCharType="end"/>
                    </w:r>
                  </w:p>
                </w:txbxContent>
              </v:textbox>
            </v:shape>
          </w:pict>
        </mc:Fallback>
      </mc:AlternateContent>
    </w:r>
  </w:p>
  <w:p w14:paraId="47BD12F0">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1C86C">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464BCF">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8464BCF">
                    <w:pPr>
                      <w:pStyle w:val="14"/>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kern w:val="0"/>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5B54F">
    <w:pPr>
      <w:pStyle w:val="14"/>
      <w:ind w:firstLine="4320" w:firstLineChars="2400"/>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BE50D">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E6BE50D">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52</w:t>
                    </w:r>
                    <w:r>
                      <w:rPr>
                        <w:rFonts w:hint="eastAsia"/>
                        <w:lang w:eastAsia="zh-CN"/>
                      </w:rPr>
                      <w:fldChar w:fldCharType="end"/>
                    </w:r>
                  </w:p>
                </w:txbxContent>
              </v:textbox>
            </v:shape>
          </w:pict>
        </mc:Fallback>
      </mc:AlternateContent>
    </w:r>
    <w:r>
      <w:rPr>
        <w:rFonts w:hint="eastAsia"/>
      </w:rPr>
      <w:t xml:space="preserve">  </w:t>
    </w:r>
    <w:r>
      <w:t xml:space="preserve">   </w:t>
    </w:r>
    <w:r>
      <w:rPr>
        <w:rFonts w:hint="eastAsia"/>
      </w:rPr>
      <w:t xml:space="preserve">                       </w:t>
    </w:r>
    <w:r>
      <w:rPr>
        <w:rFonts w:hint="eastAsia"/>
        <w:lang w:eastAsia="zh-CN"/>
      </w:rPr>
      <w:t>浙江衢州公信工程管理有限公司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E6886">
    <w:pPr>
      <w:pStyle w:val="14"/>
      <w:framePr w:wrap="around" w:vAnchor="text" w:hAnchor="margin" w:xAlign="center" w:y="1"/>
      <w:rPr>
        <w:rStyle w:val="27"/>
      </w:rPr>
    </w:pPr>
    <w:r>
      <w:fldChar w:fldCharType="begin"/>
    </w:r>
    <w:r>
      <w:rPr>
        <w:rStyle w:val="27"/>
      </w:rPr>
      <w:instrText xml:space="preserve">PAGE  </w:instrText>
    </w:r>
    <w:r>
      <w:fldChar w:fldCharType="end"/>
    </w:r>
  </w:p>
  <w:p w14:paraId="633D8526">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9A512">
    <w:pPr>
      <w:pStyle w:val="14"/>
      <w:jc w:val="center"/>
      <w:rPr>
        <w:rFonts w:hint="eastAsia" w:ascii="宋体" w:hAnsi="宋体" w:eastAsia="宋体" w:cs="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CB1686">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ECB1686">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A1828">
    <w:pPr>
      <w:pStyle w:val="15"/>
      <w:jc w:val="both"/>
      <w:rPr>
        <w:rFonts w:hint="eastAsia" w:eastAsia="宋体"/>
        <w:sz w:val="16"/>
        <w:szCs w:val="16"/>
        <w:lang w:eastAsia="zh-CN"/>
      </w:rPr>
    </w:pPr>
    <w:r>
      <w:rPr>
        <w:rFonts w:hint="eastAsia"/>
        <w:sz w:val="16"/>
        <w:szCs w:val="16"/>
        <w:lang w:eastAsia="zh-CN"/>
      </w:rPr>
      <w:t>东阳市白云街道2024-2025年度枯死松树清理项目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234BC">
    <w:pPr>
      <w:pStyle w:val="15"/>
      <w:jc w:val="left"/>
      <w:rPr>
        <w:rFonts w:hint="eastAsia" w:eastAsia="宋体"/>
        <w:sz w:val="16"/>
        <w:szCs w:val="16"/>
        <w:lang w:eastAsia="zh-CN"/>
      </w:rPr>
    </w:pPr>
    <w:r>
      <w:rPr>
        <w:rFonts w:hint="eastAsia"/>
        <w:sz w:val="16"/>
        <w:szCs w:val="16"/>
        <w:lang w:eastAsia="zh-CN"/>
      </w:rPr>
      <w:t>东阳市白云街道2024-2025年度枯死松树清理项目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9E2F1">
    <w:pPr>
      <w:pStyle w:val="15"/>
      <w:jc w:val="both"/>
    </w:pPr>
    <w:r>
      <w:rPr>
        <w:rFonts w:hint="eastAsia"/>
      </w:rPr>
      <w:t>东阳市2022年度开发区节约集约利用评价项目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77331">
    <w:pPr>
      <w:pStyle w:val="15"/>
      <w:jc w:val="left"/>
      <w:rPr>
        <w:rFonts w:hint="eastAsia" w:eastAsia="宋体"/>
        <w:lang w:eastAsia="zh-CN"/>
      </w:rPr>
    </w:pPr>
    <w:r>
      <w:rPr>
        <w:rFonts w:hint="eastAsia" w:cs="Arial"/>
        <w:color w:val="000000"/>
        <w:lang w:eastAsia="zh-CN"/>
      </w:rPr>
      <w:t>东阳市白云街道2024-2025年度枯死松树清理项目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25F92">
    <w:pPr>
      <w:pStyle w:val="15"/>
      <w:jc w:val="both"/>
      <w:rPr>
        <w:rFonts w:hint="eastAsia" w:eastAsia="宋体" w:cs="Arial"/>
        <w:color w:val="000000"/>
        <w:lang w:eastAsia="zh-CN"/>
      </w:rPr>
    </w:pPr>
    <w:r>
      <w:rPr>
        <w:rFonts w:hint="eastAsia" w:cs="Arial"/>
        <w:color w:val="000000"/>
        <w:lang w:eastAsia="zh-CN"/>
      </w:rPr>
      <w:t>东阳市白云街道2024-2025年度枯死松树清理项目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3F6122"/>
    <w:multiLevelType w:val="singleLevel"/>
    <w:tmpl w:val="BA3F6122"/>
    <w:lvl w:ilvl="0" w:tentative="0">
      <w:start w:val="4"/>
      <w:numFmt w:val="decimal"/>
      <w:suff w:val="nothing"/>
      <w:lvlText w:val="%1、"/>
      <w:lvlJc w:val="left"/>
    </w:lvl>
  </w:abstractNum>
  <w:abstractNum w:abstractNumId="1">
    <w:nsid w:val="C6D025FC"/>
    <w:multiLevelType w:val="singleLevel"/>
    <w:tmpl w:val="C6D025FC"/>
    <w:lvl w:ilvl="0" w:tentative="0">
      <w:start w:val="1"/>
      <w:numFmt w:val="decimal"/>
      <w:lvlText w:val="%1."/>
      <w:lvlJc w:val="left"/>
      <w:pPr>
        <w:tabs>
          <w:tab w:val="left" w:pos="312"/>
        </w:tabs>
      </w:pPr>
    </w:lvl>
  </w:abstractNum>
  <w:abstractNum w:abstractNumId="2">
    <w:nsid w:val="FA5E8E8B"/>
    <w:multiLevelType w:val="singleLevel"/>
    <w:tmpl w:val="FA5E8E8B"/>
    <w:lvl w:ilvl="0" w:tentative="0">
      <w:start w:val="1"/>
      <w:numFmt w:val="chineseCounting"/>
      <w:suff w:val="nothing"/>
      <w:lvlText w:val="%1、"/>
      <w:lvlJc w:val="left"/>
      <w:rPr>
        <w:rFonts w:hint="eastAsia"/>
      </w:rPr>
    </w:lvl>
  </w:abstractNum>
  <w:abstractNum w:abstractNumId="3">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4">
    <w:nsid w:val="7E234718"/>
    <w:multiLevelType w:val="multilevel"/>
    <w:tmpl w:val="7E23471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yMTAxMDYyOGVkZDBmNGI4Y2RkMzg3NTg3ZDExMWQifQ=="/>
  </w:docVars>
  <w:rsids>
    <w:rsidRoot w:val="00172A27"/>
    <w:rsid w:val="00077CAE"/>
    <w:rsid w:val="00844285"/>
    <w:rsid w:val="00850988"/>
    <w:rsid w:val="00DE4E29"/>
    <w:rsid w:val="00E7430F"/>
    <w:rsid w:val="00EB0ACE"/>
    <w:rsid w:val="0100241C"/>
    <w:rsid w:val="01004817"/>
    <w:rsid w:val="01040522"/>
    <w:rsid w:val="010E5466"/>
    <w:rsid w:val="01277C79"/>
    <w:rsid w:val="016320EC"/>
    <w:rsid w:val="01E53BA7"/>
    <w:rsid w:val="021D05CB"/>
    <w:rsid w:val="02326B40"/>
    <w:rsid w:val="02380BEE"/>
    <w:rsid w:val="023E1424"/>
    <w:rsid w:val="028E1825"/>
    <w:rsid w:val="02D109A1"/>
    <w:rsid w:val="02DE0BF3"/>
    <w:rsid w:val="0307619A"/>
    <w:rsid w:val="030C4CA2"/>
    <w:rsid w:val="031422ED"/>
    <w:rsid w:val="03636A8F"/>
    <w:rsid w:val="037D2A0B"/>
    <w:rsid w:val="03987D91"/>
    <w:rsid w:val="03BC5F07"/>
    <w:rsid w:val="03BE7AAE"/>
    <w:rsid w:val="045F1833"/>
    <w:rsid w:val="04757341"/>
    <w:rsid w:val="049B39BF"/>
    <w:rsid w:val="04BA6D01"/>
    <w:rsid w:val="04C177AE"/>
    <w:rsid w:val="050C1836"/>
    <w:rsid w:val="055E2E40"/>
    <w:rsid w:val="056F2BC9"/>
    <w:rsid w:val="05722FB6"/>
    <w:rsid w:val="057F44D8"/>
    <w:rsid w:val="05BC0D4E"/>
    <w:rsid w:val="05DA21D0"/>
    <w:rsid w:val="05E22F6B"/>
    <w:rsid w:val="060A3685"/>
    <w:rsid w:val="062F07EF"/>
    <w:rsid w:val="06302286"/>
    <w:rsid w:val="06693A99"/>
    <w:rsid w:val="068153A2"/>
    <w:rsid w:val="06BA754B"/>
    <w:rsid w:val="06E85DE7"/>
    <w:rsid w:val="07675C99"/>
    <w:rsid w:val="077F1302"/>
    <w:rsid w:val="08257A19"/>
    <w:rsid w:val="08995C81"/>
    <w:rsid w:val="08B20D9E"/>
    <w:rsid w:val="09477125"/>
    <w:rsid w:val="09EB0BF7"/>
    <w:rsid w:val="0A2A0AED"/>
    <w:rsid w:val="0A3E6171"/>
    <w:rsid w:val="0A681BFC"/>
    <w:rsid w:val="0A6849B4"/>
    <w:rsid w:val="0A69728D"/>
    <w:rsid w:val="0AE26331"/>
    <w:rsid w:val="0B0C7351"/>
    <w:rsid w:val="0B362F5A"/>
    <w:rsid w:val="0B4C2E55"/>
    <w:rsid w:val="0B641591"/>
    <w:rsid w:val="0BA86C05"/>
    <w:rsid w:val="0BE10AC9"/>
    <w:rsid w:val="0C137E6B"/>
    <w:rsid w:val="0C616904"/>
    <w:rsid w:val="0C802278"/>
    <w:rsid w:val="0C834A9C"/>
    <w:rsid w:val="0C8C4543"/>
    <w:rsid w:val="0CB8387E"/>
    <w:rsid w:val="0D576FA9"/>
    <w:rsid w:val="0D715652"/>
    <w:rsid w:val="0D912CB9"/>
    <w:rsid w:val="0D9C2C0E"/>
    <w:rsid w:val="0DA239E2"/>
    <w:rsid w:val="0DFB2D76"/>
    <w:rsid w:val="0E3C506D"/>
    <w:rsid w:val="0E4C728D"/>
    <w:rsid w:val="0E51617F"/>
    <w:rsid w:val="0E59465B"/>
    <w:rsid w:val="0EA446B6"/>
    <w:rsid w:val="0EAC417B"/>
    <w:rsid w:val="0EE422F1"/>
    <w:rsid w:val="0F21131D"/>
    <w:rsid w:val="0F2D2794"/>
    <w:rsid w:val="0F56112B"/>
    <w:rsid w:val="0FBC2251"/>
    <w:rsid w:val="106F0E5F"/>
    <w:rsid w:val="1092045D"/>
    <w:rsid w:val="10E46A68"/>
    <w:rsid w:val="110D1071"/>
    <w:rsid w:val="11396B7C"/>
    <w:rsid w:val="113C0C2D"/>
    <w:rsid w:val="11701B4C"/>
    <w:rsid w:val="11772344"/>
    <w:rsid w:val="118129C4"/>
    <w:rsid w:val="11C823E8"/>
    <w:rsid w:val="11C83A75"/>
    <w:rsid w:val="11DE0615"/>
    <w:rsid w:val="11F363D9"/>
    <w:rsid w:val="122D2044"/>
    <w:rsid w:val="123F000C"/>
    <w:rsid w:val="12672813"/>
    <w:rsid w:val="127237A9"/>
    <w:rsid w:val="12755990"/>
    <w:rsid w:val="12940635"/>
    <w:rsid w:val="1295698D"/>
    <w:rsid w:val="12DE553C"/>
    <w:rsid w:val="12F9443C"/>
    <w:rsid w:val="133E6515"/>
    <w:rsid w:val="139A662C"/>
    <w:rsid w:val="13AA52FD"/>
    <w:rsid w:val="13C655F9"/>
    <w:rsid w:val="13D64C0D"/>
    <w:rsid w:val="13D85238"/>
    <w:rsid w:val="143F42F3"/>
    <w:rsid w:val="14877923"/>
    <w:rsid w:val="148F485D"/>
    <w:rsid w:val="152455F1"/>
    <w:rsid w:val="15C42D02"/>
    <w:rsid w:val="1625472E"/>
    <w:rsid w:val="165260E2"/>
    <w:rsid w:val="16A53E85"/>
    <w:rsid w:val="17000E9D"/>
    <w:rsid w:val="174A7092"/>
    <w:rsid w:val="177B05D7"/>
    <w:rsid w:val="179E534A"/>
    <w:rsid w:val="17AF5662"/>
    <w:rsid w:val="17C8408A"/>
    <w:rsid w:val="18111CA0"/>
    <w:rsid w:val="1867493A"/>
    <w:rsid w:val="187471D8"/>
    <w:rsid w:val="18932F7E"/>
    <w:rsid w:val="189E2E1F"/>
    <w:rsid w:val="18AD0F2F"/>
    <w:rsid w:val="18C70EAA"/>
    <w:rsid w:val="18E63059"/>
    <w:rsid w:val="1960013E"/>
    <w:rsid w:val="19AB0C1D"/>
    <w:rsid w:val="19FF69FF"/>
    <w:rsid w:val="1A38015F"/>
    <w:rsid w:val="1A4D46CF"/>
    <w:rsid w:val="1AA128A3"/>
    <w:rsid w:val="1ACA4F8E"/>
    <w:rsid w:val="1AF851FC"/>
    <w:rsid w:val="1B05542D"/>
    <w:rsid w:val="1B124A09"/>
    <w:rsid w:val="1C116575"/>
    <w:rsid w:val="1C2633D9"/>
    <w:rsid w:val="1C4759E2"/>
    <w:rsid w:val="1CB533A4"/>
    <w:rsid w:val="1CDD502D"/>
    <w:rsid w:val="1CE314FD"/>
    <w:rsid w:val="1CF040F7"/>
    <w:rsid w:val="1D860AEE"/>
    <w:rsid w:val="1DCB04E7"/>
    <w:rsid w:val="1DD90004"/>
    <w:rsid w:val="1DF04AAB"/>
    <w:rsid w:val="1E026D6F"/>
    <w:rsid w:val="1E4D0979"/>
    <w:rsid w:val="1E766B63"/>
    <w:rsid w:val="1E951CA6"/>
    <w:rsid w:val="1F5C1F0B"/>
    <w:rsid w:val="1F5F7334"/>
    <w:rsid w:val="1F88196F"/>
    <w:rsid w:val="1FC55005"/>
    <w:rsid w:val="20087C8F"/>
    <w:rsid w:val="201C628E"/>
    <w:rsid w:val="201D7B8E"/>
    <w:rsid w:val="201E1C07"/>
    <w:rsid w:val="203A5346"/>
    <w:rsid w:val="205406E2"/>
    <w:rsid w:val="20657CE5"/>
    <w:rsid w:val="208C7D22"/>
    <w:rsid w:val="20940A8D"/>
    <w:rsid w:val="20ED7529"/>
    <w:rsid w:val="20F13780"/>
    <w:rsid w:val="21673679"/>
    <w:rsid w:val="217D3987"/>
    <w:rsid w:val="217E7757"/>
    <w:rsid w:val="21C50BBD"/>
    <w:rsid w:val="22007030"/>
    <w:rsid w:val="2252695A"/>
    <w:rsid w:val="229D7F0B"/>
    <w:rsid w:val="22CE71A1"/>
    <w:rsid w:val="22F416D6"/>
    <w:rsid w:val="23070620"/>
    <w:rsid w:val="23275843"/>
    <w:rsid w:val="233D062B"/>
    <w:rsid w:val="23440F61"/>
    <w:rsid w:val="23606246"/>
    <w:rsid w:val="23623B5A"/>
    <w:rsid w:val="23967960"/>
    <w:rsid w:val="23981DD5"/>
    <w:rsid w:val="239D05B5"/>
    <w:rsid w:val="23C164F1"/>
    <w:rsid w:val="23E629DD"/>
    <w:rsid w:val="2442344A"/>
    <w:rsid w:val="24540A05"/>
    <w:rsid w:val="245E2BBB"/>
    <w:rsid w:val="246C69C8"/>
    <w:rsid w:val="24917819"/>
    <w:rsid w:val="249732D4"/>
    <w:rsid w:val="24D74E25"/>
    <w:rsid w:val="24EB2D50"/>
    <w:rsid w:val="25146AE7"/>
    <w:rsid w:val="25491F34"/>
    <w:rsid w:val="25577CC0"/>
    <w:rsid w:val="256C5797"/>
    <w:rsid w:val="259D1DA2"/>
    <w:rsid w:val="25CC204F"/>
    <w:rsid w:val="25E76599"/>
    <w:rsid w:val="260F65E4"/>
    <w:rsid w:val="26AF4CFC"/>
    <w:rsid w:val="2708252C"/>
    <w:rsid w:val="273A74E3"/>
    <w:rsid w:val="279A2F32"/>
    <w:rsid w:val="27CC175D"/>
    <w:rsid w:val="27EF2C85"/>
    <w:rsid w:val="27FB221A"/>
    <w:rsid w:val="27FC5769"/>
    <w:rsid w:val="283E520D"/>
    <w:rsid w:val="285227F2"/>
    <w:rsid w:val="28C860F6"/>
    <w:rsid w:val="28DB0EF9"/>
    <w:rsid w:val="28EB2280"/>
    <w:rsid w:val="28EC1C05"/>
    <w:rsid w:val="29225E94"/>
    <w:rsid w:val="292C28FD"/>
    <w:rsid w:val="293F6DAC"/>
    <w:rsid w:val="29755C72"/>
    <w:rsid w:val="29770FFB"/>
    <w:rsid w:val="29951A56"/>
    <w:rsid w:val="29C04E0B"/>
    <w:rsid w:val="29C7761A"/>
    <w:rsid w:val="29DF1E75"/>
    <w:rsid w:val="2A602560"/>
    <w:rsid w:val="2A7D4BFE"/>
    <w:rsid w:val="2A8E0BC1"/>
    <w:rsid w:val="2A9F3F97"/>
    <w:rsid w:val="2AC35668"/>
    <w:rsid w:val="2AD9126F"/>
    <w:rsid w:val="2AE80F69"/>
    <w:rsid w:val="2B0825F5"/>
    <w:rsid w:val="2B554F69"/>
    <w:rsid w:val="2B99711B"/>
    <w:rsid w:val="2BB308AD"/>
    <w:rsid w:val="2BEC6B55"/>
    <w:rsid w:val="2C2176A1"/>
    <w:rsid w:val="2C587BE6"/>
    <w:rsid w:val="2C974E26"/>
    <w:rsid w:val="2C9C259E"/>
    <w:rsid w:val="2CA92F00"/>
    <w:rsid w:val="2D542766"/>
    <w:rsid w:val="2D6F524F"/>
    <w:rsid w:val="2DB256DE"/>
    <w:rsid w:val="2DF40EEC"/>
    <w:rsid w:val="2E02359D"/>
    <w:rsid w:val="2E07197C"/>
    <w:rsid w:val="2E092F1D"/>
    <w:rsid w:val="2E124C55"/>
    <w:rsid w:val="2E4D1585"/>
    <w:rsid w:val="2E6D0DA9"/>
    <w:rsid w:val="2E736DC3"/>
    <w:rsid w:val="2E823302"/>
    <w:rsid w:val="2EB404F8"/>
    <w:rsid w:val="2EB57234"/>
    <w:rsid w:val="2EBB2B6B"/>
    <w:rsid w:val="2EBC05C2"/>
    <w:rsid w:val="2EC03A5C"/>
    <w:rsid w:val="2ECA5102"/>
    <w:rsid w:val="2EF8338F"/>
    <w:rsid w:val="2F283FB7"/>
    <w:rsid w:val="2F3F64DB"/>
    <w:rsid w:val="2F7F0C0C"/>
    <w:rsid w:val="2FE0154F"/>
    <w:rsid w:val="300A1092"/>
    <w:rsid w:val="307869D2"/>
    <w:rsid w:val="30E76891"/>
    <w:rsid w:val="313341CE"/>
    <w:rsid w:val="313B74D9"/>
    <w:rsid w:val="315E1E05"/>
    <w:rsid w:val="318E58E2"/>
    <w:rsid w:val="31967D85"/>
    <w:rsid w:val="319746C5"/>
    <w:rsid w:val="31E14846"/>
    <w:rsid w:val="322E7FD1"/>
    <w:rsid w:val="323403AB"/>
    <w:rsid w:val="3240095F"/>
    <w:rsid w:val="326F3B9E"/>
    <w:rsid w:val="32A25D21"/>
    <w:rsid w:val="32BC4B91"/>
    <w:rsid w:val="33654076"/>
    <w:rsid w:val="33B43E8F"/>
    <w:rsid w:val="34340270"/>
    <w:rsid w:val="34466C6A"/>
    <w:rsid w:val="34732F46"/>
    <w:rsid w:val="34B71D68"/>
    <w:rsid w:val="34BB7B89"/>
    <w:rsid w:val="350502E3"/>
    <w:rsid w:val="35780FBB"/>
    <w:rsid w:val="35857145"/>
    <w:rsid w:val="35B53A9E"/>
    <w:rsid w:val="35BF6BEA"/>
    <w:rsid w:val="36086404"/>
    <w:rsid w:val="364B4462"/>
    <w:rsid w:val="366D6FF8"/>
    <w:rsid w:val="370C2303"/>
    <w:rsid w:val="372628ED"/>
    <w:rsid w:val="37D70DAA"/>
    <w:rsid w:val="381D60D9"/>
    <w:rsid w:val="38232FF8"/>
    <w:rsid w:val="382532DF"/>
    <w:rsid w:val="382B51B3"/>
    <w:rsid w:val="385775AE"/>
    <w:rsid w:val="38653CF7"/>
    <w:rsid w:val="38671772"/>
    <w:rsid w:val="386A72BA"/>
    <w:rsid w:val="388F5AD6"/>
    <w:rsid w:val="38924B76"/>
    <w:rsid w:val="38E127EB"/>
    <w:rsid w:val="38E51657"/>
    <w:rsid w:val="393461DB"/>
    <w:rsid w:val="39511289"/>
    <w:rsid w:val="399D29D2"/>
    <w:rsid w:val="39FF7C53"/>
    <w:rsid w:val="3A151E63"/>
    <w:rsid w:val="3A184F1A"/>
    <w:rsid w:val="3A2745A8"/>
    <w:rsid w:val="3A4F5AD7"/>
    <w:rsid w:val="3ADD7B46"/>
    <w:rsid w:val="3AE570F3"/>
    <w:rsid w:val="3B1E4DC3"/>
    <w:rsid w:val="3B484AF6"/>
    <w:rsid w:val="3B4C1968"/>
    <w:rsid w:val="3B6B7401"/>
    <w:rsid w:val="3BB12191"/>
    <w:rsid w:val="3BCE5995"/>
    <w:rsid w:val="3BF20229"/>
    <w:rsid w:val="3C6F1D24"/>
    <w:rsid w:val="3C8502EA"/>
    <w:rsid w:val="3D246484"/>
    <w:rsid w:val="3D3B03CD"/>
    <w:rsid w:val="3DB04E22"/>
    <w:rsid w:val="3E2148E6"/>
    <w:rsid w:val="3EBC0476"/>
    <w:rsid w:val="3F1E5B35"/>
    <w:rsid w:val="3F34788B"/>
    <w:rsid w:val="3F4D0FE9"/>
    <w:rsid w:val="3F546F11"/>
    <w:rsid w:val="3F55616C"/>
    <w:rsid w:val="3F6C02F8"/>
    <w:rsid w:val="3FA93460"/>
    <w:rsid w:val="3FB37859"/>
    <w:rsid w:val="4006436D"/>
    <w:rsid w:val="400B5C20"/>
    <w:rsid w:val="40527233"/>
    <w:rsid w:val="40DC7B1B"/>
    <w:rsid w:val="40E20D3F"/>
    <w:rsid w:val="41265D6F"/>
    <w:rsid w:val="413F21DE"/>
    <w:rsid w:val="4174462B"/>
    <w:rsid w:val="41AA023D"/>
    <w:rsid w:val="420B240C"/>
    <w:rsid w:val="42132C21"/>
    <w:rsid w:val="422E2F7C"/>
    <w:rsid w:val="42305FC5"/>
    <w:rsid w:val="425512BA"/>
    <w:rsid w:val="427F0906"/>
    <w:rsid w:val="42840AB8"/>
    <w:rsid w:val="428B4A24"/>
    <w:rsid w:val="429B5198"/>
    <w:rsid w:val="42C91E8A"/>
    <w:rsid w:val="432B286D"/>
    <w:rsid w:val="433B05B1"/>
    <w:rsid w:val="433B3CCF"/>
    <w:rsid w:val="439930BB"/>
    <w:rsid w:val="43A31847"/>
    <w:rsid w:val="43DA6864"/>
    <w:rsid w:val="443E461C"/>
    <w:rsid w:val="45744F86"/>
    <w:rsid w:val="459C43D8"/>
    <w:rsid w:val="466451AB"/>
    <w:rsid w:val="46996314"/>
    <w:rsid w:val="46E2244C"/>
    <w:rsid w:val="46E9695C"/>
    <w:rsid w:val="470B38B4"/>
    <w:rsid w:val="47345EED"/>
    <w:rsid w:val="473E02BC"/>
    <w:rsid w:val="475D3E27"/>
    <w:rsid w:val="477558CB"/>
    <w:rsid w:val="479003E6"/>
    <w:rsid w:val="47AB4456"/>
    <w:rsid w:val="47BE7339"/>
    <w:rsid w:val="47E7165F"/>
    <w:rsid w:val="48872B1F"/>
    <w:rsid w:val="48BF1C56"/>
    <w:rsid w:val="499B55B0"/>
    <w:rsid w:val="49C01DA0"/>
    <w:rsid w:val="4A1256DA"/>
    <w:rsid w:val="4A1E7416"/>
    <w:rsid w:val="4A734D89"/>
    <w:rsid w:val="4A765773"/>
    <w:rsid w:val="4A8F4570"/>
    <w:rsid w:val="4AC776E3"/>
    <w:rsid w:val="4AEB451B"/>
    <w:rsid w:val="4B1E1B01"/>
    <w:rsid w:val="4B217CD3"/>
    <w:rsid w:val="4B5A5B0D"/>
    <w:rsid w:val="4B6411E0"/>
    <w:rsid w:val="4BAC0BD3"/>
    <w:rsid w:val="4C0A0B5C"/>
    <w:rsid w:val="4C8F73E2"/>
    <w:rsid w:val="4C9769DE"/>
    <w:rsid w:val="4D0B7FC7"/>
    <w:rsid w:val="4D1A4456"/>
    <w:rsid w:val="4D382DB6"/>
    <w:rsid w:val="4D5C1590"/>
    <w:rsid w:val="4DA713AB"/>
    <w:rsid w:val="4DAE095F"/>
    <w:rsid w:val="4E191038"/>
    <w:rsid w:val="4E802F63"/>
    <w:rsid w:val="4EFD71D2"/>
    <w:rsid w:val="4F0771E0"/>
    <w:rsid w:val="4FC7192C"/>
    <w:rsid w:val="50086F12"/>
    <w:rsid w:val="5020391B"/>
    <w:rsid w:val="507B2B7C"/>
    <w:rsid w:val="508807F5"/>
    <w:rsid w:val="50A05B3E"/>
    <w:rsid w:val="50D03583"/>
    <w:rsid w:val="51D450E4"/>
    <w:rsid w:val="51DD2BF6"/>
    <w:rsid w:val="51FF131A"/>
    <w:rsid w:val="52C82DD9"/>
    <w:rsid w:val="52E40613"/>
    <w:rsid w:val="531835AF"/>
    <w:rsid w:val="536B7291"/>
    <w:rsid w:val="53A51E5A"/>
    <w:rsid w:val="53B120ED"/>
    <w:rsid w:val="53CB18B2"/>
    <w:rsid w:val="540B76C9"/>
    <w:rsid w:val="541A4B50"/>
    <w:rsid w:val="542B51E8"/>
    <w:rsid w:val="543F2D91"/>
    <w:rsid w:val="546F4FAF"/>
    <w:rsid w:val="54EA4880"/>
    <w:rsid w:val="54EF1567"/>
    <w:rsid w:val="54F77EBC"/>
    <w:rsid w:val="55113820"/>
    <w:rsid w:val="55AB7AD5"/>
    <w:rsid w:val="55BB3D85"/>
    <w:rsid w:val="55DE451A"/>
    <w:rsid w:val="55FA17C1"/>
    <w:rsid w:val="561340ED"/>
    <w:rsid w:val="56424FA2"/>
    <w:rsid w:val="565C0A5B"/>
    <w:rsid w:val="569A4AFE"/>
    <w:rsid w:val="56A05514"/>
    <w:rsid w:val="56AB4129"/>
    <w:rsid w:val="56AE7383"/>
    <w:rsid w:val="577A7A7F"/>
    <w:rsid w:val="57A53A3A"/>
    <w:rsid w:val="57A804A1"/>
    <w:rsid w:val="57AA07E9"/>
    <w:rsid w:val="57BE7047"/>
    <w:rsid w:val="57E461A9"/>
    <w:rsid w:val="586B359E"/>
    <w:rsid w:val="58852470"/>
    <w:rsid w:val="598D4816"/>
    <w:rsid w:val="5AA56D65"/>
    <w:rsid w:val="5AB1171C"/>
    <w:rsid w:val="5ABF0594"/>
    <w:rsid w:val="5ACC473F"/>
    <w:rsid w:val="5AD92808"/>
    <w:rsid w:val="5B815756"/>
    <w:rsid w:val="5B923420"/>
    <w:rsid w:val="5BC87CF7"/>
    <w:rsid w:val="5BD92F0D"/>
    <w:rsid w:val="5BF049B0"/>
    <w:rsid w:val="5BFC4D5E"/>
    <w:rsid w:val="5C7F514A"/>
    <w:rsid w:val="5C8C62A8"/>
    <w:rsid w:val="5CCC0D9D"/>
    <w:rsid w:val="5D35142F"/>
    <w:rsid w:val="5D84176A"/>
    <w:rsid w:val="5DEF7499"/>
    <w:rsid w:val="5E0019CA"/>
    <w:rsid w:val="5E835C43"/>
    <w:rsid w:val="5E941919"/>
    <w:rsid w:val="5EAE4C7D"/>
    <w:rsid w:val="5EF52F5B"/>
    <w:rsid w:val="5F165EC3"/>
    <w:rsid w:val="5F2351DC"/>
    <w:rsid w:val="5F3A19DD"/>
    <w:rsid w:val="5F3F3DA7"/>
    <w:rsid w:val="603C73AC"/>
    <w:rsid w:val="6045351B"/>
    <w:rsid w:val="60606BF9"/>
    <w:rsid w:val="61045B55"/>
    <w:rsid w:val="610E7CB5"/>
    <w:rsid w:val="613D1187"/>
    <w:rsid w:val="613F0E54"/>
    <w:rsid w:val="61766CA7"/>
    <w:rsid w:val="61CB3C19"/>
    <w:rsid w:val="61E0345C"/>
    <w:rsid w:val="620079F6"/>
    <w:rsid w:val="62034196"/>
    <w:rsid w:val="6265742A"/>
    <w:rsid w:val="62CD2171"/>
    <w:rsid w:val="62EE66A6"/>
    <w:rsid w:val="62F546EA"/>
    <w:rsid w:val="631B690C"/>
    <w:rsid w:val="631D2842"/>
    <w:rsid w:val="63456007"/>
    <w:rsid w:val="63A614B8"/>
    <w:rsid w:val="63DC1D65"/>
    <w:rsid w:val="63EF123E"/>
    <w:rsid w:val="642B1586"/>
    <w:rsid w:val="64C179D9"/>
    <w:rsid w:val="64D21465"/>
    <w:rsid w:val="64D91F61"/>
    <w:rsid w:val="651E51CD"/>
    <w:rsid w:val="6555537D"/>
    <w:rsid w:val="65913122"/>
    <w:rsid w:val="65B8771A"/>
    <w:rsid w:val="65C30C8E"/>
    <w:rsid w:val="65E65FB5"/>
    <w:rsid w:val="660246C1"/>
    <w:rsid w:val="66492B5A"/>
    <w:rsid w:val="66652149"/>
    <w:rsid w:val="66811B16"/>
    <w:rsid w:val="66843F66"/>
    <w:rsid w:val="66CC2CC9"/>
    <w:rsid w:val="66EA71AF"/>
    <w:rsid w:val="670001AD"/>
    <w:rsid w:val="6712476F"/>
    <w:rsid w:val="672C55DE"/>
    <w:rsid w:val="673A29F1"/>
    <w:rsid w:val="67796562"/>
    <w:rsid w:val="677A2109"/>
    <w:rsid w:val="678D417C"/>
    <w:rsid w:val="683B4692"/>
    <w:rsid w:val="683B7530"/>
    <w:rsid w:val="688473B3"/>
    <w:rsid w:val="68941085"/>
    <w:rsid w:val="68F84811"/>
    <w:rsid w:val="69564B94"/>
    <w:rsid w:val="69780B33"/>
    <w:rsid w:val="69A464E4"/>
    <w:rsid w:val="69C874F1"/>
    <w:rsid w:val="69DB3BE4"/>
    <w:rsid w:val="69EA68DE"/>
    <w:rsid w:val="6A953B9B"/>
    <w:rsid w:val="6A98507A"/>
    <w:rsid w:val="6B2B79C9"/>
    <w:rsid w:val="6BA545A9"/>
    <w:rsid w:val="6BBB33DE"/>
    <w:rsid w:val="6C1D2EDA"/>
    <w:rsid w:val="6C703DDC"/>
    <w:rsid w:val="6C8D48B2"/>
    <w:rsid w:val="6C8D5339"/>
    <w:rsid w:val="6C900520"/>
    <w:rsid w:val="6CAF0CC0"/>
    <w:rsid w:val="6CF2294A"/>
    <w:rsid w:val="6D09076D"/>
    <w:rsid w:val="6D69549E"/>
    <w:rsid w:val="6D7A7255"/>
    <w:rsid w:val="6D812B63"/>
    <w:rsid w:val="6DD01104"/>
    <w:rsid w:val="6DDD7F98"/>
    <w:rsid w:val="6DF616C2"/>
    <w:rsid w:val="6DF8052E"/>
    <w:rsid w:val="6E93049A"/>
    <w:rsid w:val="6EC242C1"/>
    <w:rsid w:val="6EEB7D76"/>
    <w:rsid w:val="6F4B6BD2"/>
    <w:rsid w:val="6F4F630E"/>
    <w:rsid w:val="6F587780"/>
    <w:rsid w:val="6F5B78D4"/>
    <w:rsid w:val="6F6F1683"/>
    <w:rsid w:val="6F8D1C9E"/>
    <w:rsid w:val="6F987CA7"/>
    <w:rsid w:val="6F9A2F0D"/>
    <w:rsid w:val="6FA3692F"/>
    <w:rsid w:val="6FC36713"/>
    <w:rsid w:val="706F43B7"/>
    <w:rsid w:val="7088334B"/>
    <w:rsid w:val="70AE1811"/>
    <w:rsid w:val="70BF3BDE"/>
    <w:rsid w:val="70DB521B"/>
    <w:rsid w:val="714F0BA0"/>
    <w:rsid w:val="716D039E"/>
    <w:rsid w:val="717C24DF"/>
    <w:rsid w:val="717E27D0"/>
    <w:rsid w:val="718238DF"/>
    <w:rsid w:val="71954990"/>
    <w:rsid w:val="71BC4377"/>
    <w:rsid w:val="71FA31B0"/>
    <w:rsid w:val="72017C83"/>
    <w:rsid w:val="726519CA"/>
    <w:rsid w:val="726A7902"/>
    <w:rsid w:val="72807539"/>
    <w:rsid w:val="729675CA"/>
    <w:rsid w:val="72E66F89"/>
    <w:rsid w:val="73461438"/>
    <w:rsid w:val="73A2292F"/>
    <w:rsid w:val="73A751F7"/>
    <w:rsid w:val="73AF26D7"/>
    <w:rsid w:val="73C82829"/>
    <w:rsid w:val="749F2157"/>
    <w:rsid w:val="74B562A2"/>
    <w:rsid w:val="74B96F49"/>
    <w:rsid w:val="74F57A06"/>
    <w:rsid w:val="751C24CC"/>
    <w:rsid w:val="75344494"/>
    <w:rsid w:val="7556222C"/>
    <w:rsid w:val="758666A6"/>
    <w:rsid w:val="758C1D32"/>
    <w:rsid w:val="759A6FBE"/>
    <w:rsid w:val="75C23793"/>
    <w:rsid w:val="75C40F31"/>
    <w:rsid w:val="760A11E0"/>
    <w:rsid w:val="76472434"/>
    <w:rsid w:val="771450F9"/>
    <w:rsid w:val="774C2801"/>
    <w:rsid w:val="776224DC"/>
    <w:rsid w:val="779F13B4"/>
    <w:rsid w:val="77B2085A"/>
    <w:rsid w:val="784C276C"/>
    <w:rsid w:val="786A4233"/>
    <w:rsid w:val="788E78DD"/>
    <w:rsid w:val="789316AC"/>
    <w:rsid w:val="78A9623C"/>
    <w:rsid w:val="78BF26AD"/>
    <w:rsid w:val="78D35A79"/>
    <w:rsid w:val="78E42141"/>
    <w:rsid w:val="799671DA"/>
    <w:rsid w:val="79C30024"/>
    <w:rsid w:val="7A1A184A"/>
    <w:rsid w:val="7A5924D4"/>
    <w:rsid w:val="7AE31DA6"/>
    <w:rsid w:val="7AEA25F7"/>
    <w:rsid w:val="7B2B5A53"/>
    <w:rsid w:val="7B4063B7"/>
    <w:rsid w:val="7B921A60"/>
    <w:rsid w:val="7BAA061D"/>
    <w:rsid w:val="7C3A4157"/>
    <w:rsid w:val="7CF45A13"/>
    <w:rsid w:val="7D1978AF"/>
    <w:rsid w:val="7D207CC3"/>
    <w:rsid w:val="7D4C3C39"/>
    <w:rsid w:val="7D675700"/>
    <w:rsid w:val="7D774D25"/>
    <w:rsid w:val="7DE02371"/>
    <w:rsid w:val="7E062E72"/>
    <w:rsid w:val="7E466A7D"/>
    <w:rsid w:val="7E6831BC"/>
    <w:rsid w:val="7ED05708"/>
    <w:rsid w:val="7EFB0260"/>
    <w:rsid w:val="7F540521"/>
    <w:rsid w:val="7F955C8A"/>
    <w:rsid w:val="7FE72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3" w:lineRule="auto"/>
      <w:outlineLvl w:val="2"/>
    </w:pPr>
    <w:rPr>
      <w:b/>
      <w:bCs/>
      <w:sz w:val="32"/>
      <w:szCs w:val="32"/>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6">
    <w:name w:val="Document Map"/>
    <w:basedOn w:val="1"/>
    <w:qFormat/>
    <w:uiPriority w:val="0"/>
    <w:rPr>
      <w:rFonts w:ascii="Helvetica" w:hAnsi="Helvetica"/>
      <w:sz w:val="24"/>
    </w:rPr>
  </w:style>
  <w:style w:type="paragraph" w:styleId="7">
    <w:name w:val="annotation text"/>
    <w:basedOn w:val="1"/>
    <w:qFormat/>
    <w:uiPriority w:val="0"/>
    <w:pPr>
      <w:jc w:val="left"/>
    </w:pPr>
  </w:style>
  <w:style w:type="paragraph" w:styleId="8">
    <w:name w:val="Body Text"/>
    <w:basedOn w:val="1"/>
    <w:next w:val="1"/>
    <w:qFormat/>
    <w:uiPriority w:val="0"/>
    <w:pPr>
      <w:spacing w:after="120"/>
    </w:pPr>
  </w:style>
  <w:style w:type="paragraph" w:styleId="9">
    <w:name w:val="Body Text Indent"/>
    <w:basedOn w:val="1"/>
    <w:next w:val="2"/>
    <w:qFormat/>
    <w:uiPriority w:val="0"/>
    <w:pPr>
      <w:spacing w:after="120"/>
      <w:ind w:left="420" w:leftChars="200"/>
    </w:pPr>
  </w:style>
  <w:style w:type="paragraph" w:styleId="10">
    <w:name w:val="List 2"/>
    <w:basedOn w:val="1"/>
    <w:qFormat/>
    <w:uiPriority w:val="0"/>
    <w:pPr>
      <w:ind w:left="100" w:leftChars="200" w:hanging="200" w:hangingChars="200"/>
    </w:pPr>
  </w:style>
  <w:style w:type="paragraph" w:styleId="11">
    <w:name w:val="Block Text"/>
    <w:basedOn w:val="1"/>
    <w:qFormat/>
    <w:uiPriority w:val="99"/>
    <w:pPr>
      <w:spacing w:after="120"/>
      <w:ind w:left="1440" w:leftChars="700" w:right="1440" w:rightChars="700"/>
    </w:pPr>
  </w:style>
  <w:style w:type="paragraph" w:styleId="12">
    <w:name w:val="Plain Text"/>
    <w:basedOn w:val="1"/>
    <w:next w:val="1"/>
    <w:qFormat/>
    <w:uiPriority w:val="0"/>
    <w:rPr>
      <w:sz w:val="24"/>
      <w:szCs w:val="20"/>
    </w:rPr>
  </w:style>
  <w:style w:type="paragraph" w:styleId="13">
    <w:name w:val="Date"/>
    <w:basedOn w:val="1"/>
    <w:next w:val="1"/>
    <w:qFormat/>
    <w:uiPriority w:val="0"/>
    <w:pPr>
      <w:ind w:left="2500" w:leftChars="2500"/>
    </w:pPr>
    <w:rPr>
      <w:rFonts w:eastAsia="楷体_GB2312"/>
      <w:sz w:val="32"/>
      <w:szCs w:val="20"/>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toc 6"/>
    <w:basedOn w:val="1"/>
    <w:next w:val="1"/>
    <w:unhideWhenUsed/>
    <w:qFormat/>
    <w:uiPriority w:val="39"/>
    <w:pPr>
      <w:ind w:left="2100" w:leftChars="1000"/>
    </w:pPr>
  </w:style>
  <w:style w:type="paragraph" w:styleId="18">
    <w:name w:val="Body Text Indent 3"/>
    <w:basedOn w:val="1"/>
    <w:qFormat/>
    <w:uiPriority w:val="0"/>
    <w:pPr>
      <w:ind w:firstLine="435"/>
    </w:pPr>
  </w:style>
  <w:style w:type="paragraph" w:styleId="19">
    <w:name w:val="toc 2"/>
    <w:basedOn w:val="1"/>
    <w:next w:val="1"/>
    <w:qFormat/>
    <w:uiPriority w:val="39"/>
    <w:pPr>
      <w:ind w:left="420" w:leftChars="200"/>
    </w:pPr>
  </w:style>
  <w:style w:type="paragraph" w:styleId="20">
    <w:name w:val="Normal (Web)"/>
    <w:basedOn w:val="1"/>
    <w:unhideWhenUsed/>
    <w:qFormat/>
    <w:uiPriority w:val="0"/>
    <w:pPr>
      <w:widowControl/>
      <w:spacing w:before="240" w:after="240"/>
      <w:jc w:val="left"/>
    </w:pPr>
    <w:rPr>
      <w:rFonts w:ascii="宋体" w:hAnsi="宋体" w:cs="宋体"/>
      <w:kern w:val="0"/>
      <w:sz w:val="24"/>
    </w:rPr>
  </w:style>
  <w:style w:type="paragraph" w:styleId="21">
    <w:name w:val="Body Text First Indent"/>
    <w:basedOn w:val="8"/>
    <w:next w:val="17"/>
    <w:unhideWhenUsed/>
    <w:qFormat/>
    <w:uiPriority w:val="99"/>
    <w:pPr>
      <w:spacing w:line="360" w:lineRule="auto"/>
      <w:ind w:firstLine="200" w:firstLineChars="200"/>
    </w:pPr>
    <w:rPr>
      <w:rFonts w:ascii="仿宋_GB2312" w:eastAsia="仿宋_GB2312"/>
      <w:bCs/>
      <w:sz w:val="30"/>
    </w:rPr>
  </w:style>
  <w:style w:type="paragraph" w:styleId="22">
    <w:name w:val="Body Text First Indent 2"/>
    <w:basedOn w:val="9"/>
    <w:next w:val="23"/>
    <w:qFormat/>
    <w:uiPriority w:val="0"/>
    <w:pPr>
      <w:autoSpaceDE w:val="0"/>
      <w:autoSpaceDN w:val="0"/>
      <w:adjustRightInd w:val="0"/>
      <w:ind w:firstLine="420" w:firstLineChars="200"/>
      <w:jc w:val="left"/>
    </w:pPr>
  </w:style>
  <w:style w:type="paragraph" w:customStyle="1" w:styleId="23">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Hyperlink"/>
    <w:qFormat/>
    <w:uiPriority w:val="99"/>
    <w:rPr>
      <w:color w:val="0000FF"/>
      <w:u w:val="single"/>
    </w:rPr>
  </w:style>
  <w:style w:type="paragraph" w:customStyle="1" w:styleId="29">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30">
    <w:name w:val="BodyText1I"/>
    <w:basedOn w:val="31"/>
    <w:next w:val="1"/>
    <w:qFormat/>
    <w:uiPriority w:val="0"/>
    <w:pPr>
      <w:ind w:firstLine="420" w:firstLineChars="100"/>
      <w:jc w:val="both"/>
      <w:textAlignment w:val="baseline"/>
    </w:pPr>
  </w:style>
  <w:style w:type="paragraph" w:customStyle="1" w:styleId="31">
    <w:name w:val="BodyText"/>
    <w:basedOn w:val="1"/>
    <w:next w:val="32"/>
    <w:qFormat/>
    <w:uiPriority w:val="0"/>
    <w:pPr>
      <w:jc w:val="both"/>
      <w:textAlignment w:val="baseline"/>
    </w:pPr>
    <w:rPr>
      <w:rFonts w:ascii="宋体" w:hAnsi="宋体" w:eastAsia="宋体"/>
      <w:kern w:val="2"/>
      <w:sz w:val="21"/>
      <w:szCs w:val="21"/>
      <w:lang w:val="zh-CN" w:eastAsia="zh-CN" w:bidi="zh-CN"/>
    </w:rPr>
  </w:style>
  <w:style w:type="paragraph" w:customStyle="1" w:styleId="32">
    <w:name w:val="TOC2"/>
    <w:basedOn w:val="1"/>
    <w:next w:val="1"/>
    <w:qFormat/>
    <w:uiPriority w:val="0"/>
    <w:pPr>
      <w:ind w:left="420" w:leftChars="200"/>
      <w:jc w:val="both"/>
      <w:textAlignment w:val="baseline"/>
    </w:pPr>
  </w:style>
  <w:style w:type="paragraph" w:customStyle="1" w:styleId="33">
    <w:name w:val="样式 表格正文 + 两端对齐"/>
    <w:basedOn w:val="1"/>
    <w:next w:val="34"/>
    <w:qFormat/>
    <w:uiPriority w:val="0"/>
    <w:pPr>
      <w:spacing w:line="300" w:lineRule="auto"/>
    </w:pPr>
  </w:style>
  <w:style w:type="paragraph" w:customStyle="1" w:styleId="34">
    <w:name w:val="正文1"/>
    <w:basedOn w:val="6"/>
    <w:next w:val="1"/>
    <w:qFormat/>
    <w:uiPriority w:val="99"/>
    <w:pPr>
      <w:widowControl/>
      <w:overflowPunct w:val="0"/>
      <w:autoSpaceDE w:val="0"/>
      <w:autoSpaceDN w:val="0"/>
      <w:adjustRightInd w:val="0"/>
      <w:spacing w:line="400" w:lineRule="exact"/>
      <w:textAlignment w:val="baseline"/>
    </w:pPr>
    <w:rPr>
      <w:kern w:val="0"/>
      <w:szCs w:val="20"/>
    </w:rPr>
  </w:style>
  <w:style w:type="paragraph" w:customStyle="1" w:styleId="35">
    <w:name w:val="表格文字"/>
    <w:next w:val="8"/>
    <w:qFormat/>
    <w:locked/>
    <w:uiPriority w:val="0"/>
    <w:pPr>
      <w:spacing w:beforeLines="25" w:afterLines="25"/>
      <w:jc w:val="center"/>
    </w:pPr>
    <w:rPr>
      <w:rFonts w:ascii="Times New Roman" w:hAnsi="Times New Roman" w:eastAsia="宋体" w:cs="Times New Roman"/>
      <w:kern w:val="2"/>
      <w:sz w:val="24"/>
      <w:szCs w:val="28"/>
      <w:lang w:val="en-US" w:eastAsia="zh-CN" w:bidi="ar-SA"/>
    </w:rPr>
  </w:style>
  <w:style w:type="paragraph" w:customStyle="1" w:styleId="36">
    <w:name w:val="U_正文2"/>
    <w:basedOn w:val="1"/>
    <w:qFormat/>
    <w:uiPriority w:val="0"/>
    <w:pPr>
      <w:spacing w:beforeLines="10" w:afterLines="10" w:line="300" w:lineRule="auto"/>
    </w:pPr>
    <w:rPr>
      <w:sz w:val="24"/>
      <w:szCs w:val="20"/>
    </w:rPr>
  </w:style>
  <w:style w:type="paragraph" w:customStyle="1" w:styleId="37">
    <w:name w:val="默认段落字体 Para Char Char Char Char Char Char Char Char Char1 Char Char Char Char"/>
    <w:basedOn w:val="1"/>
    <w:qFormat/>
    <w:uiPriority w:val="0"/>
    <w:rPr>
      <w:rFonts w:ascii="Tahoma" w:hAnsi="Tahoma"/>
      <w:sz w:val="24"/>
      <w:szCs w:val="20"/>
    </w:rPr>
  </w:style>
  <w:style w:type="character" w:customStyle="1" w:styleId="38">
    <w:name w:val="font61"/>
    <w:basedOn w:val="26"/>
    <w:qFormat/>
    <w:uiPriority w:val="0"/>
    <w:rPr>
      <w:rFonts w:hint="eastAsia" w:ascii="宋体" w:hAnsi="宋体" w:eastAsia="宋体" w:cs="宋体"/>
      <w:b/>
      <w:bCs/>
      <w:color w:val="000000"/>
      <w:sz w:val="22"/>
      <w:szCs w:val="22"/>
      <w:u w:val="none"/>
    </w:rPr>
  </w:style>
  <w:style w:type="character" w:customStyle="1" w:styleId="39">
    <w:name w:val="font112"/>
    <w:basedOn w:val="26"/>
    <w:qFormat/>
    <w:uiPriority w:val="0"/>
    <w:rPr>
      <w:rFonts w:hint="eastAsia" w:ascii="宋体" w:hAnsi="宋体" w:eastAsia="宋体" w:cs="宋体"/>
      <w:b/>
      <w:bCs/>
      <w:color w:val="000000"/>
      <w:sz w:val="22"/>
      <w:szCs w:val="22"/>
      <w:u w:val="none"/>
    </w:rPr>
  </w:style>
  <w:style w:type="character" w:customStyle="1" w:styleId="40">
    <w:name w:val="font91"/>
    <w:basedOn w:val="26"/>
    <w:qFormat/>
    <w:uiPriority w:val="0"/>
    <w:rPr>
      <w:rFonts w:hint="default" w:ascii="Times New Roman" w:hAnsi="Times New Roman" w:cs="Times New Roman"/>
      <w:color w:val="000000"/>
      <w:sz w:val="22"/>
      <w:szCs w:val="22"/>
      <w:u w:val="none"/>
    </w:rPr>
  </w:style>
  <w:style w:type="character" w:customStyle="1" w:styleId="41">
    <w:name w:val="font121"/>
    <w:basedOn w:val="26"/>
    <w:qFormat/>
    <w:uiPriority w:val="0"/>
    <w:rPr>
      <w:rFonts w:hint="eastAsia" w:ascii="宋体" w:hAnsi="宋体" w:eastAsia="宋体" w:cs="宋体"/>
      <w:color w:val="000000"/>
      <w:sz w:val="22"/>
      <w:szCs w:val="22"/>
      <w:u w:val="none"/>
    </w:rPr>
  </w:style>
  <w:style w:type="character" w:customStyle="1" w:styleId="42">
    <w:name w:val="font01"/>
    <w:basedOn w:val="26"/>
    <w:qFormat/>
    <w:uiPriority w:val="0"/>
    <w:rPr>
      <w:rFonts w:hint="eastAsia" w:ascii="宋体" w:hAnsi="宋体" w:eastAsia="宋体" w:cs="宋体"/>
      <w:color w:val="000000"/>
      <w:sz w:val="22"/>
      <w:szCs w:val="22"/>
      <w:u w:val="none"/>
    </w:rPr>
  </w:style>
  <w:style w:type="character" w:customStyle="1" w:styleId="43">
    <w:name w:val="font81"/>
    <w:basedOn w:val="26"/>
    <w:qFormat/>
    <w:uiPriority w:val="0"/>
    <w:rPr>
      <w:rFonts w:hint="default" w:ascii="Times New Roman" w:hAnsi="Times New Roman" w:cs="Times New Roman"/>
      <w:color w:val="000000"/>
      <w:sz w:val="22"/>
      <w:szCs w:val="22"/>
      <w:u w:val="none"/>
    </w:rPr>
  </w:style>
  <w:style w:type="character" w:customStyle="1" w:styleId="44">
    <w:name w:val="font41"/>
    <w:basedOn w:val="26"/>
    <w:qFormat/>
    <w:uiPriority w:val="0"/>
    <w:rPr>
      <w:rFonts w:hint="default" w:ascii="Times New Roman" w:hAnsi="Times New Roman" w:cs="Times New Roman"/>
      <w:b/>
      <w:bCs/>
      <w:color w:val="000000"/>
      <w:sz w:val="22"/>
      <w:szCs w:val="22"/>
      <w:u w:val="none"/>
    </w:rPr>
  </w:style>
  <w:style w:type="character" w:customStyle="1" w:styleId="45">
    <w:name w:val="font21"/>
    <w:basedOn w:val="26"/>
    <w:qFormat/>
    <w:uiPriority w:val="0"/>
    <w:rPr>
      <w:rFonts w:hint="default" w:ascii="Times New Roman" w:hAnsi="Times New Roman" w:cs="Times New Roman"/>
      <w:b/>
      <w:bCs/>
      <w:color w:val="FF0000"/>
      <w:sz w:val="22"/>
      <w:szCs w:val="22"/>
      <w:u w:val="none"/>
    </w:rPr>
  </w:style>
  <w:style w:type="character" w:customStyle="1" w:styleId="46">
    <w:name w:val="font181"/>
    <w:basedOn w:val="26"/>
    <w:qFormat/>
    <w:uiPriority w:val="0"/>
    <w:rPr>
      <w:rFonts w:hint="eastAsia" w:ascii="宋体" w:hAnsi="宋体" w:eastAsia="宋体" w:cs="宋体"/>
      <w:b/>
      <w:bCs/>
      <w:color w:val="FF0000"/>
      <w:sz w:val="22"/>
      <w:szCs w:val="22"/>
      <w:u w:val="none"/>
    </w:rPr>
  </w:style>
  <w:style w:type="character" w:customStyle="1" w:styleId="47">
    <w:name w:val="font51"/>
    <w:basedOn w:val="26"/>
    <w:qFormat/>
    <w:uiPriority w:val="0"/>
    <w:rPr>
      <w:rFonts w:hint="default" w:ascii="Times New Roman" w:hAnsi="Times New Roman" w:cs="Times New Roman"/>
      <w:b/>
      <w:bCs/>
      <w:color w:val="000000"/>
      <w:sz w:val="22"/>
      <w:szCs w:val="22"/>
      <w:u w:val="none"/>
    </w:rPr>
  </w:style>
  <w:style w:type="character" w:customStyle="1" w:styleId="48">
    <w:name w:val="font141"/>
    <w:basedOn w:val="26"/>
    <w:qFormat/>
    <w:uiPriority w:val="0"/>
    <w:rPr>
      <w:rFonts w:hint="eastAsia" w:ascii="宋体" w:hAnsi="宋体" w:eastAsia="宋体" w:cs="宋体"/>
      <w:b/>
      <w:bCs/>
      <w:color w:val="000000"/>
      <w:sz w:val="22"/>
      <w:szCs w:val="22"/>
      <w:u w:val="none"/>
    </w:rPr>
  </w:style>
  <w:style w:type="character" w:customStyle="1" w:styleId="49">
    <w:name w:val="font71"/>
    <w:basedOn w:val="26"/>
    <w:qFormat/>
    <w:uiPriority w:val="0"/>
    <w:rPr>
      <w:rFonts w:hint="default" w:ascii="Times New Roman" w:hAnsi="Times New Roman" w:cs="Times New Roman"/>
      <w:color w:val="000000"/>
      <w:sz w:val="22"/>
      <w:szCs w:val="22"/>
      <w:u w:val="none"/>
    </w:rPr>
  </w:style>
  <w:style w:type="character" w:customStyle="1" w:styleId="50">
    <w:name w:val="font101"/>
    <w:basedOn w:val="26"/>
    <w:qFormat/>
    <w:uiPriority w:val="0"/>
    <w:rPr>
      <w:rFonts w:hint="eastAsia" w:ascii="宋体" w:hAnsi="宋体" w:eastAsia="宋体" w:cs="宋体"/>
      <w:b/>
      <w:bCs/>
      <w:color w:val="000000"/>
      <w:sz w:val="22"/>
      <w:szCs w:val="22"/>
      <w:u w:val="none"/>
    </w:rPr>
  </w:style>
  <w:style w:type="character" w:customStyle="1" w:styleId="51">
    <w:name w:val="font31"/>
    <w:basedOn w:val="26"/>
    <w:qFormat/>
    <w:uiPriority w:val="0"/>
    <w:rPr>
      <w:rFonts w:hint="eastAsia" w:ascii="宋体" w:hAnsi="宋体" w:eastAsia="宋体" w:cs="宋体"/>
      <w:color w:val="FF0000"/>
      <w:sz w:val="22"/>
      <w:szCs w:val="22"/>
      <w:u w:val="none"/>
    </w:rPr>
  </w:style>
  <w:style w:type="paragraph" w:styleId="52">
    <w:name w:val="No Spacing"/>
    <w:qFormat/>
    <w:uiPriority w:val="1"/>
    <w:rPr>
      <w:rFonts w:ascii="Calibri" w:hAnsi="Calibri" w:eastAsia="MS Mincho" w:cs="Times New Roman"/>
      <w:sz w:val="24"/>
      <w:szCs w:val="24"/>
      <w:lang w:val="en-US" w:eastAsia="en-US" w:bidi="ar-SA"/>
    </w:rPr>
  </w:style>
  <w:style w:type="character" w:customStyle="1" w:styleId="53">
    <w:name w:val="不明显强调1"/>
    <w:qFormat/>
    <w:uiPriority w:val="19"/>
    <w:rPr>
      <w:i/>
      <w:iCs/>
      <w:color w:val="808080"/>
    </w:rPr>
  </w:style>
  <w:style w:type="character" w:customStyle="1" w:styleId="54">
    <w:name w:val="无"/>
    <w:qFormat/>
    <w:uiPriority w:val="99"/>
  </w:style>
  <w:style w:type="paragraph" w:customStyle="1" w:styleId="55">
    <w:name w:val="彩色列表3"/>
    <w:basedOn w:val="1"/>
    <w:unhideWhenUsed/>
    <w:qFormat/>
    <w:uiPriority w:val="99"/>
    <w:pPr>
      <w:ind w:firstLine="420" w:firstLineChars="200"/>
    </w:pPr>
  </w:style>
  <w:style w:type="paragraph" w:customStyle="1" w:styleId="56">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color="000000"/>
      <w:lang w:val="en-US" w:eastAsia="zh-CN" w:bidi="ar-SA"/>
    </w:rPr>
  </w:style>
  <w:style w:type="paragraph" w:customStyle="1" w:styleId="57">
    <w:name w:val="列表段落"/>
    <w:basedOn w:val="1"/>
    <w:qFormat/>
    <w:uiPriority w:val="34"/>
    <w:pPr>
      <w:ind w:firstLine="420" w:firstLineChars="200"/>
    </w:pPr>
  </w:style>
  <w:style w:type="paragraph" w:customStyle="1" w:styleId="58">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59">
    <w:name w:val="索引 11"/>
    <w:basedOn w:val="1"/>
    <w:next w:val="1"/>
    <w:qFormat/>
    <w:uiPriority w:val="99"/>
    <w:pPr>
      <w:adjustRightInd/>
      <w:spacing w:line="360" w:lineRule="auto"/>
    </w:pPr>
    <w:rPr>
      <w:rFonts w:ascii="仿宋_GB2312" w:eastAsia="仿宋_GB2312"/>
      <w:sz w:val="24"/>
      <w:szCs w:val="20"/>
    </w:rPr>
  </w:style>
  <w:style w:type="paragraph" w:customStyle="1" w:styleId="60">
    <w:name w:val="正文2"/>
    <w:basedOn w:val="1"/>
    <w:qFormat/>
    <w:uiPriority w:val="0"/>
    <w:pPr>
      <w:spacing w:before="156" w:line="360" w:lineRule="auto"/>
      <w:ind w:firstLine="510" w:firstLineChars="200"/>
    </w:pPr>
    <w:rPr>
      <w:sz w:val="24"/>
      <w:szCs w:val="20"/>
    </w:rPr>
  </w:style>
  <w:style w:type="paragraph" w:customStyle="1" w:styleId="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
    <w:name w:val="Plain Text"/>
    <w:basedOn w:val="1"/>
    <w:qFormat/>
    <w:uiPriority w:val="0"/>
    <w:pPr>
      <w:adjustRightInd w:val="0"/>
    </w:pPr>
    <w:rPr>
      <w:rFonts w:hint="eastAsia" w:ascii="宋体" w:hAnsi="Courier New" w:eastAsia="楷体_GB2312"/>
      <w:sz w:val="28"/>
      <w:szCs w:val="20"/>
    </w:rPr>
  </w:style>
  <w:style w:type="character" w:customStyle="1" w:styleId="63">
    <w:name w:val="标题 2 Char1"/>
    <w:qFormat/>
    <w:uiPriority w:val="99"/>
    <w:rPr>
      <w:rFonts w:ascii="Arial" w:hAnsi="Arial" w:eastAsia="宋体"/>
      <w:b/>
      <w:bCs/>
      <w:kern w:val="2"/>
      <w:sz w:val="28"/>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41130</Words>
  <Characters>43561</Characters>
  <Lines>0</Lines>
  <Paragraphs>0</Paragraphs>
  <TotalTime>3</TotalTime>
  <ScaleCrop>false</ScaleCrop>
  <LinksUpToDate>false</LinksUpToDate>
  <CharactersWithSpaces>48950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2022-05-16T02:04:00Z</dcterms:created>
  <dc:creator>Z&amp;Y</dc:creator>
  <cp:lastModifiedBy>Jeff Wang</cp:lastModifiedBy>
  <cp:lastPrinted>2022-11-20T23:40:00Z</cp:lastPrinted>
  <dcterms:modified xsi:type="dcterms:W3CDTF">2024-10-22T06:15:57Z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2557E99A842643AC8FCC503A4646B21A_13</vt:lpwstr>
  </property>
</Properties>
</file>