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3BBABED">
      <w:pPr>
        <w:spacing w:line="360" w:lineRule="auto"/>
        <w:jc w:val="center"/>
        <w:textAlignment w:val="baseline"/>
        <w:rPr>
          <w:rFonts w:hint="eastAsia" w:ascii="仿宋" w:hAnsi="仿宋" w:eastAsia="仿宋" w:cs="仿宋"/>
          <w:b/>
          <w:color w:val="auto"/>
          <w:spacing w:val="2"/>
          <w:position w:val="-3"/>
          <w:sz w:val="44"/>
          <w:szCs w:val="44"/>
          <w:highlight w:val="none"/>
          <w:lang w:val="en-US"/>
        </w:rPr>
      </w:pPr>
    </w:p>
    <w:p w14:paraId="4349A0AE">
      <w:pPr>
        <w:pStyle w:val="19"/>
        <w:jc w:val="center"/>
        <w:rPr>
          <w:rFonts w:hint="eastAsia" w:ascii="仿宋" w:hAnsi="仿宋" w:eastAsia="仿宋" w:cs="仿宋"/>
          <w:b/>
          <w:color w:val="auto"/>
          <w:spacing w:val="2"/>
          <w:position w:val="-3"/>
          <w:sz w:val="44"/>
          <w:szCs w:val="44"/>
          <w:highlight w:val="none"/>
          <w:lang w:eastAsia="zh-CN"/>
        </w:rPr>
      </w:pPr>
      <w:r>
        <w:rPr>
          <w:rFonts w:hint="eastAsia" w:ascii="仿宋" w:hAnsi="仿宋" w:eastAsia="仿宋" w:cs="仿宋"/>
          <w:b/>
          <w:color w:val="auto"/>
          <w:spacing w:val="2"/>
          <w:position w:val="-3"/>
          <w:sz w:val="44"/>
          <w:szCs w:val="44"/>
          <w:highlight w:val="none"/>
          <w:lang w:eastAsia="zh-CN"/>
        </w:rPr>
        <w:t xml:space="preserve"> 常山县城东新区狮子口片区控规调整</w:t>
      </w:r>
    </w:p>
    <w:p w14:paraId="796705B6">
      <w:pPr>
        <w:pStyle w:val="19"/>
        <w:jc w:val="center"/>
        <w:rPr>
          <w:rFonts w:hint="eastAsia" w:ascii="仿宋" w:hAnsi="仿宋" w:eastAsia="仿宋" w:cs="仿宋"/>
          <w:b/>
          <w:color w:val="auto"/>
          <w:spacing w:val="2"/>
          <w:position w:val="-3"/>
          <w:sz w:val="44"/>
          <w:szCs w:val="44"/>
          <w:highlight w:val="none"/>
          <w:lang w:eastAsia="zh-CN"/>
        </w:rPr>
      </w:pPr>
    </w:p>
    <w:p w14:paraId="20FCD8D6">
      <w:pPr>
        <w:spacing w:line="360" w:lineRule="auto"/>
        <w:jc w:val="center"/>
        <w:textAlignment w:val="baseline"/>
        <w:outlineLvl w:val="0"/>
        <w:rPr>
          <w:rFonts w:hint="eastAsia" w:ascii="仿宋" w:hAnsi="仿宋" w:eastAsia="仿宋" w:cs="仿宋"/>
          <w:b/>
          <w:color w:val="auto"/>
          <w:spacing w:val="2"/>
          <w:position w:val="-3"/>
          <w:sz w:val="44"/>
          <w:szCs w:val="44"/>
          <w:highlight w:val="none"/>
        </w:rPr>
      </w:pPr>
      <w:bookmarkStart w:id="0" w:name="_Toc7334"/>
      <w:r>
        <w:rPr>
          <w:rFonts w:hint="eastAsia" w:ascii="仿宋" w:hAnsi="仿宋" w:eastAsia="仿宋" w:cs="仿宋"/>
          <w:b/>
          <w:color w:val="auto"/>
          <w:spacing w:val="2"/>
          <w:position w:val="-3"/>
          <w:sz w:val="44"/>
          <w:szCs w:val="44"/>
          <w:highlight w:val="none"/>
        </w:rPr>
        <w:t>竞争性磋商文件</w:t>
      </w:r>
      <w:bookmarkEnd w:id="0"/>
    </w:p>
    <w:p w14:paraId="6BEBEDBB">
      <w:pPr>
        <w:spacing w:line="360" w:lineRule="auto"/>
        <w:jc w:val="center"/>
        <w:textAlignment w:val="baseline"/>
        <w:rPr>
          <w:rFonts w:hint="eastAsia" w:ascii="仿宋" w:hAnsi="仿宋" w:eastAsia="仿宋" w:cs="仿宋"/>
          <w:bCs/>
          <w:color w:val="auto"/>
          <w:sz w:val="24"/>
          <w:szCs w:val="24"/>
          <w:highlight w:val="none"/>
        </w:rPr>
      </w:pPr>
    </w:p>
    <w:p w14:paraId="65793335">
      <w:pPr>
        <w:spacing w:line="360" w:lineRule="auto"/>
        <w:jc w:val="center"/>
        <w:textAlignment w:val="baseline"/>
        <w:rPr>
          <w:rFonts w:hint="eastAsia" w:ascii="仿宋" w:hAnsi="仿宋" w:eastAsia="仿宋" w:cs="仿宋"/>
          <w:bCs/>
          <w:color w:val="auto"/>
          <w:sz w:val="24"/>
          <w:szCs w:val="24"/>
          <w:highlight w:val="none"/>
        </w:rPr>
      </w:pPr>
    </w:p>
    <w:p w14:paraId="31FBB09E">
      <w:pPr>
        <w:spacing w:line="360" w:lineRule="auto"/>
        <w:jc w:val="center"/>
        <w:textAlignment w:val="baseline"/>
        <w:rPr>
          <w:rFonts w:hint="eastAsia" w:ascii="仿宋" w:hAnsi="仿宋" w:eastAsia="仿宋" w:cs="仿宋"/>
          <w:bCs/>
          <w:color w:val="auto"/>
          <w:sz w:val="24"/>
          <w:szCs w:val="24"/>
          <w:highlight w:val="none"/>
        </w:rPr>
      </w:pPr>
      <w:r>
        <w:rPr>
          <w:rFonts w:hint="eastAsia" w:ascii="仿宋" w:hAnsi="仿宋" w:eastAsia="仿宋" w:cs="仿宋"/>
          <w:b/>
          <w:bCs/>
          <w:color w:val="auto"/>
          <w:sz w:val="84"/>
          <w:szCs w:val="84"/>
          <w:highlight w:val="none"/>
        </w:rPr>
        <w:drawing>
          <wp:inline distT="0" distB="0" distL="114300" distR="114300">
            <wp:extent cx="2212975" cy="2212975"/>
            <wp:effectExtent l="0" t="0" r="15875" b="15875"/>
            <wp:docPr id="4" name="图片 1" descr="新版公司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1" descr="新版公司LOGO"/>
                    <pic:cNvPicPr>
                      <a:picLocks noChangeAspect="1"/>
                    </pic:cNvPicPr>
                  </pic:nvPicPr>
                  <pic:blipFill>
                    <a:blip r:embed="rId11"/>
                    <a:stretch>
                      <a:fillRect/>
                    </a:stretch>
                  </pic:blipFill>
                  <pic:spPr>
                    <a:xfrm>
                      <a:off x="0" y="0"/>
                      <a:ext cx="2212975" cy="2212975"/>
                    </a:xfrm>
                    <a:prstGeom prst="rect">
                      <a:avLst/>
                    </a:prstGeom>
                    <a:noFill/>
                    <a:ln>
                      <a:noFill/>
                    </a:ln>
                  </pic:spPr>
                </pic:pic>
              </a:graphicData>
            </a:graphic>
          </wp:inline>
        </w:drawing>
      </w:r>
    </w:p>
    <w:p w14:paraId="7D0751E7">
      <w:pPr>
        <w:pStyle w:val="12"/>
        <w:textAlignment w:val="baseline"/>
        <w:rPr>
          <w:rFonts w:hint="eastAsia" w:ascii="仿宋" w:hAnsi="仿宋" w:eastAsia="仿宋" w:cs="仿宋"/>
          <w:color w:val="auto"/>
          <w:highlight w:val="none"/>
        </w:rPr>
      </w:pPr>
    </w:p>
    <w:p w14:paraId="2F1C2DF3">
      <w:pPr>
        <w:spacing w:line="360" w:lineRule="auto"/>
        <w:jc w:val="center"/>
        <w:textAlignment w:val="baseline"/>
        <w:rPr>
          <w:rFonts w:hint="eastAsia" w:ascii="仿宋" w:hAnsi="仿宋" w:eastAsia="仿宋" w:cs="仿宋"/>
          <w:bCs/>
          <w:color w:val="auto"/>
          <w:sz w:val="24"/>
          <w:szCs w:val="24"/>
          <w:highlight w:val="none"/>
        </w:rPr>
      </w:pPr>
    </w:p>
    <w:p w14:paraId="331D6903">
      <w:pPr>
        <w:pStyle w:val="12"/>
        <w:rPr>
          <w:rFonts w:hint="eastAsia" w:ascii="仿宋" w:hAnsi="仿宋" w:eastAsia="仿宋" w:cs="仿宋"/>
          <w:color w:val="auto"/>
          <w:highlight w:val="none"/>
        </w:rPr>
      </w:pPr>
    </w:p>
    <w:p w14:paraId="0DFE306F">
      <w:pPr>
        <w:pStyle w:val="13"/>
        <w:rPr>
          <w:rFonts w:hint="eastAsia"/>
          <w:color w:val="auto"/>
        </w:rPr>
      </w:pPr>
    </w:p>
    <w:p w14:paraId="22C05921">
      <w:pPr>
        <w:keepNext w:val="0"/>
        <w:keepLines w:val="0"/>
        <w:pageBreakBefore w:val="0"/>
        <w:widowControl w:val="0"/>
        <w:kinsoku/>
        <w:wordWrap/>
        <w:overflowPunct/>
        <w:topLinePunct w:val="0"/>
        <w:autoSpaceDE/>
        <w:autoSpaceDN/>
        <w:bidi w:val="0"/>
        <w:adjustRightInd/>
        <w:snapToGrid/>
        <w:spacing w:line="760" w:lineRule="exact"/>
        <w:ind w:left="0" w:leftChars="0" w:firstLine="1526" w:firstLineChars="500"/>
        <w:textAlignment w:val="baseline"/>
        <w:rPr>
          <w:rFonts w:hint="eastAsia" w:ascii="仿宋" w:hAnsi="仿宋" w:eastAsia="仿宋" w:cs="仿宋"/>
          <w:b/>
          <w:color w:val="auto"/>
          <w:spacing w:val="2"/>
          <w:position w:val="-3"/>
          <w:sz w:val="30"/>
          <w:szCs w:val="30"/>
          <w:highlight w:val="none"/>
          <w:u w:val="single"/>
          <w:lang w:eastAsia="zh-CN"/>
        </w:rPr>
      </w:pPr>
      <w:r>
        <w:rPr>
          <w:rFonts w:hint="eastAsia" w:ascii="仿宋" w:hAnsi="仿宋" w:eastAsia="仿宋" w:cs="仿宋"/>
          <w:b/>
          <w:color w:val="auto"/>
          <w:spacing w:val="2"/>
          <w:position w:val="-3"/>
          <w:sz w:val="30"/>
          <w:szCs w:val="30"/>
          <w:highlight w:val="none"/>
        </w:rPr>
        <w:t>项目编号：</w:t>
      </w:r>
      <w:r>
        <w:rPr>
          <w:rFonts w:hint="eastAsia" w:ascii="仿宋" w:hAnsi="仿宋" w:eastAsia="仿宋" w:cs="仿宋"/>
          <w:b/>
          <w:color w:val="auto"/>
          <w:spacing w:val="2"/>
          <w:position w:val="-3"/>
          <w:sz w:val="30"/>
          <w:szCs w:val="30"/>
          <w:highlight w:val="none"/>
          <w:lang w:eastAsia="zh-CN"/>
        </w:rPr>
        <w:t>GXZFCG-2025-CS003</w:t>
      </w:r>
    </w:p>
    <w:p w14:paraId="1D61CE5A">
      <w:pPr>
        <w:keepNext w:val="0"/>
        <w:keepLines w:val="0"/>
        <w:pageBreakBefore w:val="0"/>
        <w:widowControl w:val="0"/>
        <w:kinsoku/>
        <w:wordWrap/>
        <w:overflowPunct/>
        <w:topLinePunct w:val="0"/>
        <w:autoSpaceDE/>
        <w:autoSpaceDN/>
        <w:bidi w:val="0"/>
        <w:adjustRightInd/>
        <w:snapToGrid/>
        <w:spacing w:line="760" w:lineRule="exact"/>
        <w:ind w:left="0" w:leftChars="0" w:firstLine="1526" w:firstLineChars="500"/>
        <w:textAlignment w:val="baseline"/>
        <w:outlineLvl w:val="0"/>
        <w:rPr>
          <w:rFonts w:hint="eastAsia" w:ascii="仿宋" w:hAnsi="仿宋" w:eastAsia="仿宋" w:cs="仿宋"/>
          <w:b/>
          <w:color w:val="auto"/>
          <w:spacing w:val="2"/>
          <w:position w:val="-3"/>
          <w:sz w:val="30"/>
          <w:szCs w:val="30"/>
          <w:highlight w:val="none"/>
          <w:lang w:eastAsia="zh-CN"/>
        </w:rPr>
      </w:pPr>
      <w:bookmarkStart w:id="1" w:name="_Toc586"/>
      <w:r>
        <w:rPr>
          <w:rFonts w:hint="eastAsia" w:ascii="仿宋" w:hAnsi="仿宋" w:eastAsia="仿宋" w:cs="仿宋"/>
          <w:b/>
          <w:color w:val="auto"/>
          <w:spacing w:val="2"/>
          <w:position w:val="-3"/>
          <w:sz w:val="30"/>
          <w:szCs w:val="30"/>
          <w:highlight w:val="none"/>
        </w:rPr>
        <w:t>采购人：</w:t>
      </w:r>
      <w:bookmarkEnd w:id="1"/>
      <w:r>
        <w:rPr>
          <w:rFonts w:hint="eastAsia" w:ascii="仿宋" w:hAnsi="仿宋" w:eastAsia="仿宋" w:cs="仿宋"/>
          <w:b/>
          <w:color w:val="auto"/>
          <w:spacing w:val="2"/>
          <w:position w:val="-3"/>
          <w:sz w:val="30"/>
          <w:szCs w:val="30"/>
          <w:highlight w:val="none"/>
          <w:lang w:eastAsia="zh-CN"/>
        </w:rPr>
        <w:t>常山县自然资源和规划局</w:t>
      </w:r>
    </w:p>
    <w:p w14:paraId="57EEEADF">
      <w:pPr>
        <w:keepNext w:val="0"/>
        <w:keepLines w:val="0"/>
        <w:pageBreakBefore w:val="0"/>
        <w:widowControl w:val="0"/>
        <w:kinsoku/>
        <w:wordWrap/>
        <w:overflowPunct/>
        <w:topLinePunct w:val="0"/>
        <w:autoSpaceDE/>
        <w:autoSpaceDN/>
        <w:bidi w:val="0"/>
        <w:adjustRightInd/>
        <w:snapToGrid/>
        <w:spacing w:line="760" w:lineRule="exact"/>
        <w:ind w:left="0" w:leftChars="0" w:firstLine="1526" w:firstLineChars="500"/>
        <w:textAlignment w:val="baseline"/>
        <w:rPr>
          <w:rFonts w:hint="eastAsia" w:ascii="仿宋" w:hAnsi="仿宋" w:eastAsia="仿宋" w:cs="仿宋"/>
          <w:b/>
          <w:color w:val="auto"/>
          <w:spacing w:val="2"/>
          <w:position w:val="-3"/>
          <w:sz w:val="30"/>
          <w:szCs w:val="30"/>
          <w:highlight w:val="none"/>
        </w:rPr>
      </w:pPr>
      <w:r>
        <w:rPr>
          <w:rFonts w:hint="eastAsia" w:ascii="仿宋" w:hAnsi="仿宋" w:eastAsia="仿宋" w:cs="仿宋"/>
          <w:b/>
          <w:color w:val="auto"/>
          <w:spacing w:val="2"/>
          <w:position w:val="-3"/>
          <w:sz w:val="30"/>
          <w:szCs w:val="30"/>
          <w:highlight w:val="none"/>
          <w:lang w:val="en-US" w:eastAsia="zh-CN"/>
        </w:rPr>
        <w:t>采购</w:t>
      </w:r>
      <w:r>
        <w:rPr>
          <w:rFonts w:hint="eastAsia" w:ascii="仿宋" w:hAnsi="仿宋" w:eastAsia="仿宋" w:cs="仿宋"/>
          <w:b/>
          <w:color w:val="auto"/>
          <w:spacing w:val="2"/>
          <w:position w:val="-3"/>
          <w:sz w:val="30"/>
          <w:szCs w:val="30"/>
          <w:highlight w:val="none"/>
        </w:rPr>
        <w:t>代理机构：浙江衢州公信工程管理有限公司</w:t>
      </w:r>
    </w:p>
    <w:p w14:paraId="6D4DAE06">
      <w:pPr>
        <w:spacing w:line="700" w:lineRule="exact"/>
        <w:jc w:val="center"/>
        <w:textAlignment w:val="baseline"/>
        <w:rPr>
          <w:rFonts w:hint="eastAsia" w:ascii="仿宋" w:hAnsi="仿宋" w:eastAsia="仿宋" w:cs="仿宋"/>
          <w:b/>
          <w:color w:val="auto"/>
          <w:spacing w:val="2"/>
          <w:position w:val="-3"/>
          <w:sz w:val="30"/>
          <w:szCs w:val="30"/>
          <w:highlight w:val="none"/>
        </w:rPr>
        <w:sectPr>
          <w:headerReference r:id="rId3" w:type="default"/>
          <w:pgSz w:w="11906" w:h="16838"/>
          <w:pgMar w:top="1440" w:right="1134" w:bottom="1440" w:left="1134" w:header="850" w:footer="992" w:gutter="0"/>
          <w:pgBorders>
            <w:top w:val="none" w:sz="0" w:space="0"/>
            <w:left w:val="none" w:sz="0" w:space="0"/>
            <w:bottom w:val="none" w:sz="0" w:space="0"/>
            <w:right w:val="none" w:sz="0" w:space="0"/>
          </w:pgBorders>
          <w:cols w:space="0" w:num="1"/>
          <w:rtlGutter w:val="0"/>
          <w:docGrid w:type="lines" w:linePitch="317" w:charSpace="0"/>
        </w:sectPr>
      </w:pPr>
      <w:r>
        <w:rPr>
          <w:rFonts w:hint="eastAsia" w:ascii="仿宋" w:hAnsi="仿宋" w:eastAsia="仿宋" w:cs="仿宋"/>
          <w:b/>
          <w:color w:val="auto"/>
          <w:spacing w:val="2"/>
          <w:position w:val="-3"/>
          <w:sz w:val="30"/>
          <w:szCs w:val="30"/>
          <w:highlight w:val="none"/>
          <w:lang w:val="en-US" w:eastAsia="zh-CN"/>
        </w:rPr>
        <w:t>二〇二五</w:t>
      </w:r>
      <w:r>
        <w:rPr>
          <w:rFonts w:hint="eastAsia" w:ascii="仿宋" w:hAnsi="仿宋" w:eastAsia="仿宋" w:cs="仿宋"/>
          <w:b/>
          <w:color w:val="auto"/>
          <w:spacing w:val="2"/>
          <w:position w:val="-3"/>
          <w:sz w:val="30"/>
          <w:szCs w:val="30"/>
          <w:highlight w:val="none"/>
        </w:rPr>
        <w:t>年</w:t>
      </w:r>
      <w:r>
        <w:rPr>
          <w:rFonts w:hint="eastAsia" w:ascii="仿宋" w:hAnsi="仿宋" w:eastAsia="仿宋" w:cs="仿宋"/>
          <w:b/>
          <w:color w:val="auto"/>
          <w:spacing w:val="2"/>
          <w:position w:val="-3"/>
          <w:sz w:val="30"/>
          <w:szCs w:val="30"/>
          <w:highlight w:val="none"/>
          <w:lang w:val="en-US" w:eastAsia="zh-CN"/>
        </w:rPr>
        <w:t>四</w:t>
      </w:r>
      <w:r>
        <w:rPr>
          <w:rFonts w:hint="eastAsia" w:ascii="仿宋" w:hAnsi="仿宋" w:eastAsia="仿宋" w:cs="仿宋"/>
          <w:b/>
          <w:color w:val="auto"/>
          <w:spacing w:val="2"/>
          <w:position w:val="-3"/>
          <w:sz w:val="30"/>
          <w:szCs w:val="30"/>
          <w:highlight w:val="none"/>
        </w:rPr>
        <w:t>月</w:t>
      </w:r>
    </w:p>
    <w:p w14:paraId="53ADC507">
      <w:pPr>
        <w:spacing w:before="0" w:beforeLines="0" w:after="0" w:afterLines="0" w:line="240" w:lineRule="auto"/>
        <w:ind w:left="0" w:leftChars="0" w:right="0" w:rightChars="0" w:firstLine="0" w:firstLineChars="0"/>
        <w:jc w:val="center"/>
        <w:rPr>
          <w:rFonts w:hint="eastAsia" w:ascii="仿宋" w:hAnsi="仿宋" w:eastAsia="仿宋" w:cs="仿宋"/>
          <w:color w:val="auto"/>
          <w:sz w:val="21"/>
        </w:rPr>
      </w:pPr>
    </w:p>
    <w:p w14:paraId="4CC49A14">
      <w:pPr>
        <w:spacing w:before="0" w:beforeLines="0" w:after="0" w:afterLines="0" w:line="240" w:lineRule="auto"/>
        <w:ind w:left="0" w:leftChars="0" w:right="0" w:rightChars="0" w:firstLine="0" w:firstLineChars="0"/>
        <w:jc w:val="center"/>
        <w:rPr>
          <w:rFonts w:hint="eastAsia" w:ascii="仿宋" w:hAnsi="仿宋" w:eastAsia="仿宋" w:cs="仿宋"/>
          <w:color w:val="auto"/>
          <w:sz w:val="21"/>
        </w:rPr>
      </w:pPr>
    </w:p>
    <w:p w14:paraId="150229F1">
      <w:pPr>
        <w:spacing w:before="0" w:beforeLines="0" w:after="0" w:afterLines="0" w:line="240" w:lineRule="auto"/>
        <w:ind w:left="0" w:leftChars="0" w:right="0" w:rightChars="0" w:firstLine="0" w:firstLineChars="0"/>
        <w:jc w:val="center"/>
        <w:rPr>
          <w:rFonts w:hint="eastAsia" w:ascii="仿宋" w:hAnsi="仿宋" w:eastAsia="仿宋" w:cs="仿宋"/>
          <w:b/>
          <w:bCs/>
          <w:color w:val="auto"/>
          <w:sz w:val="36"/>
          <w:szCs w:val="36"/>
        </w:rPr>
      </w:pPr>
      <w:r>
        <w:rPr>
          <w:rFonts w:hint="eastAsia" w:ascii="仿宋" w:hAnsi="仿宋" w:eastAsia="仿宋" w:cs="仿宋"/>
          <w:b/>
          <w:bCs/>
          <w:color w:val="auto"/>
          <w:sz w:val="36"/>
          <w:szCs w:val="36"/>
        </w:rPr>
        <w:t>目</w:t>
      </w:r>
      <w:r>
        <w:rPr>
          <w:rFonts w:hint="eastAsia" w:ascii="仿宋" w:hAnsi="仿宋" w:eastAsia="仿宋" w:cs="仿宋"/>
          <w:b/>
          <w:bCs/>
          <w:color w:val="auto"/>
          <w:sz w:val="36"/>
          <w:szCs w:val="36"/>
          <w:lang w:val="en-US" w:eastAsia="zh-CN"/>
        </w:rPr>
        <w:t xml:space="preserve">  </w:t>
      </w:r>
      <w:r>
        <w:rPr>
          <w:rFonts w:hint="eastAsia" w:ascii="仿宋" w:hAnsi="仿宋" w:eastAsia="仿宋" w:cs="仿宋"/>
          <w:b/>
          <w:bCs/>
          <w:color w:val="auto"/>
          <w:sz w:val="36"/>
          <w:szCs w:val="36"/>
        </w:rPr>
        <w:t>录</w:t>
      </w:r>
    </w:p>
    <w:p w14:paraId="7F744E65">
      <w:pPr>
        <w:pStyle w:val="91"/>
        <w:tabs>
          <w:tab w:val="right" w:leader="dot" w:pos="10206"/>
        </w:tabs>
        <w:rPr>
          <w:rFonts w:hint="eastAsia" w:ascii="仿宋" w:hAnsi="仿宋" w:eastAsia="仿宋" w:cs="仿宋"/>
          <w:color w:val="auto"/>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TOC \o "1-1" \h \u </w:instrText>
      </w:r>
      <w:r>
        <w:rPr>
          <w:rFonts w:hint="eastAsia" w:ascii="仿宋" w:hAnsi="仿宋" w:eastAsia="仿宋" w:cs="仿宋"/>
          <w:color w:val="auto"/>
          <w:sz w:val="28"/>
          <w:szCs w:val="28"/>
          <w:highlight w:val="none"/>
        </w:rPr>
        <w:fldChar w:fldCharType="separate"/>
      </w:r>
    </w:p>
    <w:p w14:paraId="39444FDE">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_Toc18514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rPr>
        <w:t>第一章  竞争性磋商公告</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_Toc18514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3D0E460A">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_Toc6164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rPr>
        <w:t>第二章  磋商供应商须知</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_Toc6164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041C048C">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_Toc28462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kern w:val="2"/>
          <w:sz w:val="28"/>
          <w:szCs w:val="28"/>
          <w:highlight w:val="none"/>
          <w:lang w:eastAsia="zh-CN"/>
        </w:rPr>
        <w:t xml:space="preserve">第三章  </w:t>
      </w:r>
      <w:r>
        <w:rPr>
          <w:rFonts w:hint="eastAsia" w:ascii="仿宋" w:hAnsi="仿宋" w:eastAsia="仿宋" w:cs="仿宋"/>
          <w:bCs/>
          <w:color w:val="auto"/>
          <w:kern w:val="2"/>
          <w:sz w:val="28"/>
          <w:szCs w:val="28"/>
          <w:highlight w:val="none"/>
          <w:lang w:val="zh-CN" w:eastAsia="zh-CN"/>
        </w:rPr>
        <w:t>采购内容及要求</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_Toc28462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23</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207D9A91">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_Toc21230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lang w:eastAsia="zh-CN"/>
        </w:rPr>
        <w:t>第四章</w:t>
      </w:r>
      <w:r>
        <w:rPr>
          <w:rFonts w:hint="eastAsia" w:ascii="仿宋" w:hAnsi="仿宋" w:eastAsia="仿宋" w:cs="仿宋"/>
          <w:bCs/>
          <w:color w:val="auto"/>
          <w:sz w:val="28"/>
          <w:szCs w:val="28"/>
          <w:highlight w:val="none"/>
          <w:lang w:val="en-US" w:eastAsia="zh-CN"/>
        </w:rPr>
        <w:t xml:space="preserve">  </w:t>
      </w:r>
      <w:r>
        <w:rPr>
          <w:rFonts w:hint="eastAsia" w:ascii="仿宋" w:hAnsi="仿宋" w:eastAsia="仿宋" w:cs="仿宋"/>
          <w:bCs/>
          <w:color w:val="auto"/>
          <w:sz w:val="28"/>
          <w:szCs w:val="28"/>
          <w:highlight w:val="none"/>
          <w:lang w:eastAsia="zh-CN"/>
        </w:rPr>
        <w:t>合同</w:t>
      </w:r>
      <w:r>
        <w:rPr>
          <w:rFonts w:hint="eastAsia" w:ascii="仿宋" w:hAnsi="仿宋" w:eastAsia="仿宋" w:cs="仿宋"/>
          <w:bCs/>
          <w:color w:val="auto"/>
          <w:sz w:val="28"/>
          <w:szCs w:val="28"/>
          <w:highlight w:val="none"/>
          <w:lang w:val="en-US" w:eastAsia="zh-CN"/>
        </w:rPr>
        <w:t>主要条款</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_Toc21230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26</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74509F49">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_Toc30712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lang w:val="zh-CN" w:eastAsia="zh-CN"/>
        </w:rPr>
        <w:t xml:space="preserve">第五章 </w:t>
      </w:r>
      <w:r>
        <w:rPr>
          <w:rFonts w:hint="eastAsia" w:ascii="仿宋" w:hAnsi="仿宋" w:eastAsia="仿宋" w:cs="仿宋"/>
          <w:color w:val="auto"/>
          <w:sz w:val="28"/>
          <w:szCs w:val="28"/>
          <w:lang w:val="en-US" w:eastAsia="zh-CN"/>
        </w:rPr>
        <w:t xml:space="preserve"> </w:t>
      </w:r>
      <w:r>
        <w:rPr>
          <w:rFonts w:hint="eastAsia" w:ascii="仿宋" w:hAnsi="仿宋" w:eastAsia="仿宋" w:cs="仿宋"/>
          <w:color w:val="auto"/>
          <w:sz w:val="28"/>
          <w:szCs w:val="28"/>
          <w:highlight w:val="none"/>
          <w:lang w:val="zh-CN" w:eastAsia="zh-CN"/>
        </w:rPr>
        <w:t>评标办法</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_Toc30712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31</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1BFD9635">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_Toc13734 </w:instrText>
      </w:r>
      <w:r>
        <w:rPr>
          <w:rFonts w:hint="eastAsia" w:ascii="仿宋" w:hAnsi="仿宋" w:eastAsia="仿宋" w:cs="仿宋"/>
          <w:color w:val="auto"/>
          <w:sz w:val="28"/>
          <w:szCs w:val="28"/>
          <w:highlight w:val="none"/>
        </w:rPr>
        <w:fldChar w:fldCharType="separate"/>
      </w:r>
      <w:r>
        <w:rPr>
          <w:rFonts w:hint="eastAsia" w:ascii="仿宋" w:hAnsi="仿宋" w:eastAsia="仿宋" w:cs="仿宋"/>
          <w:bCs/>
          <w:color w:val="auto"/>
          <w:sz w:val="28"/>
          <w:szCs w:val="28"/>
          <w:highlight w:val="none"/>
        </w:rPr>
        <w:t>第六章  响应文件格式</w:t>
      </w:r>
      <w:r>
        <w:rPr>
          <w:rFonts w:hint="eastAsia" w:ascii="仿宋" w:hAnsi="仿宋" w:eastAsia="仿宋" w:cs="仿宋"/>
          <w:color w:val="auto"/>
          <w:sz w:val="28"/>
          <w:szCs w:val="28"/>
        </w:rPr>
        <w:tab/>
      </w:r>
      <w:r>
        <w:rPr>
          <w:rFonts w:hint="eastAsia" w:ascii="仿宋" w:hAnsi="仿宋" w:eastAsia="仿宋" w:cs="仿宋"/>
          <w:color w:val="auto"/>
          <w:sz w:val="28"/>
          <w:szCs w:val="28"/>
        </w:rPr>
        <w:fldChar w:fldCharType="begin"/>
      </w:r>
      <w:r>
        <w:rPr>
          <w:rFonts w:hint="eastAsia" w:ascii="仿宋" w:hAnsi="仿宋" w:eastAsia="仿宋" w:cs="仿宋"/>
          <w:color w:val="auto"/>
          <w:sz w:val="28"/>
          <w:szCs w:val="28"/>
        </w:rPr>
        <w:instrText xml:space="preserve"> PAGEREF _Toc13734 \h </w:instrText>
      </w:r>
      <w:r>
        <w:rPr>
          <w:rFonts w:hint="eastAsia" w:ascii="仿宋" w:hAnsi="仿宋" w:eastAsia="仿宋" w:cs="仿宋"/>
          <w:color w:val="auto"/>
          <w:sz w:val="28"/>
          <w:szCs w:val="28"/>
        </w:rPr>
        <w:fldChar w:fldCharType="separate"/>
      </w:r>
      <w:r>
        <w:rPr>
          <w:rFonts w:hint="eastAsia" w:ascii="仿宋" w:hAnsi="仿宋" w:eastAsia="仿宋" w:cs="仿宋"/>
          <w:color w:val="auto"/>
          <w:sz w:val="28"/>
          <w:szCs w:val="28"/>
        </w:rPr>
        <w:t>35</w:t>
      </w:r>
      <w:r>
        <w:rPr>
          <w:rFonts w:hint="eastAsia" w:ascii="仿宋" w:hAnsi="仿宋" w:eastAsia="仿宋" w:cs="仿宋"/>
          <w:color w:val="auto"/>
          <w:sz w:val="28"/>
          <w:szCs w:val="28"/>
        </w:rPr>
        <w:fldChar w:fldCharType="end"/>
      </w:r>
      <w:r>
        <w:rPr>
          <w:rFonts w:hint="eastAsia" w:ascii="仿宋" w:hAnsi="仿宋" w:eastAsia="仿宋" w:cs="仿宋"/>
          <w:color w:val="auto"/>
          <w:sz w:val="28"/>
          <w:szCs w:val="28"/>
          <w:highlight w:val="none"/>
        </w:rPr>
        <w:fldChar w:fldCharType="end"/>
      </w:r>
    </w:p>
    <w:p w14:paraId="1211EEC5">
      <w:pPr>
        <w:pStyle w:val="91"/>
        <w:keepNext w:val="0"/>
        <w:keepLines w:val="0"/>
        <w:pageBreakBefore w:val="0"/>
        <w:widowControl/>
        <w:tabs>
          <w:tab w:val="right" w:leader="dot" w:pos="10206"/>
        </w:tabs>
        <w:kinsoku/>
        <w:wordWrap/>
        <w:overflowPunct/>
        <w:topLinePunct w:val="0"/>
        <w:autoSpaceDE/>
        <w:autoSpaceDN/>
        <w:bidi w:val="0"/>
        <w:adjustRightInd/>
        <w:snapToGrid/>
        <w:spacing w:line="700" w:lineRule="exact"/>
        <w:ind w:firstLine="560" w:firstLineChars="200"/>
        <w:textAlignment w:val="auto"/>
        <w:rPr>
          <w:rFonts w:hint="eastAsia" w:ascii="仿宋" w:hAnsi="仿宋" w:eastAsia="仿宋" w:cs="仿宋"/>
          <w:color w:val="auto"/>
          <w:sz w:val="28"/>
          <w:szCs w:val="28"/>
        </w:rPr>
      </w:pPr>
    </w:p>
    <w:p w14:paraId="593EE6C7">
      <w:pPr>
        <w:spacing w:after="312" w:afterAutospacing="1" w:line="360" w:lineRule="auto"/>
        <w:textAlignment w:val="baseline"/>
        <w:rPr>
          <w:rFonts w:hint="eastAsia" w:ascii="仿宋" w:hAnsi="仿宋" w:eastAsia="仿宋" w:cs="仿宋"/>
          <w:color w:val="auto"/>
          <w:sz w:val="28"/>
          <w:szCs w:val="28"/>
          <w:highlight w:val="none"/>
        </w:rPr>
      </w:pPr>
      <w:r>
        <w:rPr>
          <w:rFonts w:hint="eastAsia" w:ascii="仿宋" w:hAnsi="仿宋" w:eastAsia="仿宋" w:cs="仿宋"/>
          <w:color w:val="auto"/>
          <w:szCs w:val="28"/>
          <w:highlight w:val="none"/>
        </w:rPr>
        <w:fldChar w:fldCharType="end"/>
      </w:r>
    </w:p>
    <w:p w14:paraId="7679D7E5">
      <w:pPr>
        <w:spacing w:after="312" w:afterAutospacing="1" w:line="360" w:lineRule="auto"/>
        <w:textAlignment w:val="baseline"/>
        <w:rPr>
          <w:rFonts w:hint="eastAsia" w:ascii="仿宋" w:hAnsi="仿宋" w:eastAsia="仿宋" w:cs="仿宋"/>
          <w:color w:val="auto"/>
          <w:sz w:val="28"/>
          <w:szCs w:val="28"/>
          <w:highlight w:val="none"/>
        </w:rPr>
      </w:pPr>
    </w:p>
    <w:p w14:paraId="79064EA5">
      <w:pPr>
        <w:spacing w:after="312" w:afterAutospacing="1" w:line="360" w:lineRule="auto"/>
        <w:textAlignment w:val="baseline"/>
        <w:rPr>
          <w:rFonts w:hint="eastAsia" w:ascii="仿宋" w:hAnsi="仿宋" w:eastAsia="仿宋" w:cs="仿宋"/>
          <w:color w:val="auto"/>
          <w:sz w:val="28"/>
          <w:szCs w:val="28"/>
          <w:highlight w:val="none"/>
        </w:rPr>
      </w:pPr>
    </w:p>
    <w:p w14:paraId="01CE5BCA">
      <w:pPr>
        <w:spacing w:after="312" w:afterAutospacing="1" w:line="360" w:lineRule="auto"/>
        <w:textAlignment w:val="baseline"/>
        <w:rPr>
          <w:rFonts w:hint="eastAsia" w:ascii="仿宋" w:hAnsi="仿宋" w:eastAsia="仿宋" w:cs="仿宋"/>
          <w:color w:val="auto"/>
          <w:sz w:val="28"/>
          <w:szCs w:val="28"/>
          <w:highlight w:val="none"/>
        </w:rPr>
      </w:pPr>
    </w:p>
    <w:p w14:paraId="1BA9FA20">
      <w:pPr>
        <w:spacing w:after="312" w:afterAutospacing="1" w:line="360" w:lineRule="auto"/>
        <w:textAlignment w:val="baseline"/>
        <w:rPr>
          <w:rFonts w:hint="eastAsia" w:ascii="仿宋" w:hAnsi="仿宋" w:eastAsia="仿宋" w:cs="仿宋"/>
          <w:color w:val="auto"/>
          <w:sz w:val="28"/>
          <w:szCs w:val="28"/>
          <w:highlight w:val="none"/>
        </w:rPr>
      </w:pPr>
    </w:p>
    <w:p w14:paraId="08C6B476">
      <w:pPr>
        <w:spacing w:after="312" w:afterAutospacing="1" w:line="360" w:lineRule="auto"/>
        <w:textAlignment w:val="baseline"/>
        <w:rPr>
          <w:rFonts w:hint="eastAsia" w:ascii="仿宋" w:hAnsi="仿宋" w:eastAsia="仿宋" w:cs="仿宋"/>
          <w:color w:val="auto"/>
          <w:sz w:val="28"/>
          <w:szCs w:val="28"/>
          <w:highlight w:val="none"/>
        </w:rPr>
      </w:pPr>
    </w:p>
    <w:p w14:paraId="545DD502">
      <w:pPr>
        <w:spacing w:after="312" w:afterAutospacing="1" w:line="360" w:lineRule="auto"/>
        <w:textAlignment w:val="baseline"/>
        <w:rPr>
          <w:rFonts w:hint="eastAsia" w:ascii="仿宋" w:hAnsi="仿宋" w:eastAsia="仿宋" w:cs="仿宋"/>
          <w:color w:val="auto"/>
          <w:sz w:val="28"/>
          <w:szCs w:val="28"/>
          <w:highlight w:val="none"/>
        </w:rPr>
      </w:pPr>
    </w:p>
    <w:p w14:paraId="2415EE2F">
      <w:pPr>
        <w:spacing w:after="312" w:afterAutospacing="1" w:line="360" w:lineRule="auto"/>
        <w:textAlignment w:val="baseline"/>
        <w:rPr>
          <w:rFonts w:hint="eastAsia" w:ascii="仿宋" w:hAnsi="仿宋" w:eastAsia="仿宋" w:cs="仿宋"/>
          <w:color w:val="auto"/>
          <w:sz w:val="28"/>
          <w:szCs w:val="28"/>
          <w:highlight w:val="none"/>
        </w:rPr>
      </w:pPr>
    </w:p>
    <w:p w14:paraId="0D72F50C">
      <w:pPr>
        <w:spacing w:after="312" w:afterAutospacing="1" w:line="360" w:lineRule="auto"/>
        <w:jc w:val="center"/>
        <w:textAlignment w:val="baseline"/>
        <w:outlineLvl w:val="0"/>
        <w:rPr>
          <w:rFonts w:hint="eastAsia" w:ascii="仿宋" w:hAnsi="仿宋" w:eastAsia="仿宋" w:cs="仿宋"/>
          <w:b/>
          <w:bCs/>
          <w:color w:val="auto"/>
          <w:sz w:val="30"/>
          <w:szCs w:val="30"/>
          <w:highlight w:val="none"/>
        </w:rPr>
        <w:sectPr>
          <w:headerReference r:id="rId4" w:type="default"/>
          <w:footerReference r:id="rId5" w:type="default"/>
          <w:pgSz w:w="11906" w:h="16838"/>
          <w:pgMar w:top="1440" w:right="1134" w:bottom="1440" w:left="1134" w:header="850" w:footer="992" w:gutter="0"/>
          <w:pgBorders>
            <w:top w:val="none" w:sz="0" w:space="0"/>
            <w:left w:val="none" w:sz="0" w:space="0"/>
            <w:bottom w:val="none" w:sz="0" w:space="0"/>
            <w:right w:val="none" w:sz="0" w:space="0"/>
          </w:pgBorders>
          <w:pgNumType w:fmt="decimal" w:start="1"/>
          <w:cols w:space="0" w:num="1"/>
          <w:rtlGutter w:val="0"/>
          <w:docGrid w:type="lines" w:linePitch="317" w:charSpace="0"/>
        </w:sectPr>
      </w:pPr>
      <w:bookmarkStart w:id="2" w:name="_Toc421834139"/>
      <w:bookmarkStart w:id="3" w:name="_Toc32466"/>
      <w:bookmarkStart w:id="4" w:name="_Toc5606"/>
      <w:bookmarkStart w:id="5" w:name="_Toc18514"/>
    </w:p>
    <w:p w14:paraId="09700DC9">
      <w:pPr>
        <w:spacing w:after="312" w:afterAutospacing="1" w:line="360" w:lineRule="auto"/>
        <w:jc w:val="center"/>
        <w:textAlignment w:val="baseline"/>
        <w:outlineLvl w:val="0"/>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第一章</w:t>
      </w:r>
      <w:bookmarkEnd w:id="2"/>
      <w:r>
        <w:rPr>
          <w:rFonts w:hint="eastAsia" w:ascii="仿宋" w:hAnsi="仿宋" w:eastAsia="仿宋" w:cs="仿宋"/>
          <w:b/>
          <w:bCs/>
          <w:color w:val="auto"/>
          <w:sz w:val="44"/>
          <w:szCs w:val="44"/>
          <w:highlight w:val="none"/>
        </w:rPr>
        <w:t xml:space="preserve">  竞争性磋商公告</w:t>
      </w:r>
      <w:bookmarkEnd w:id="3"/>
      <w:bookmarkEnd w:id="4"/>
      <w:bookmarkEnd w:id="5"/>
    </w:p>
    <w:tbl>
      <w:tblPr>
        <w:tblStyle w:val="33"/>
        <w:tblW w:w="996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62"/>
      </w:tblGrid>
      <w:tr w14:paraId="0BBAD2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9962" w:type="dxa"/>
          </w:tcPr>
          <w:p w14:paraId="58A9DA24">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项目概况</w:t>
            </w:r>
          </w:p>
          <w:p w14:paraId="7D438DD6">
            <w:pPr>
              <w:spacing w:line="360" w:lineRule="auto"/>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u w:val="single"/>
                <w:lang w:eastAsia="zh-CN"/>
              </w:rPr>
              <w:t>常山县城东新区狮子口片区控规调整</w:t>
            </w:r>
            <w:r>
              <w:rPr>
                <w:rFonts w:hint="eastAsia" w:ascii="仿宋" w:hAnsi="仿宋" w:eastAsia="仿宋" w:cs="仿宋"/>
                <w:color w:val="auto"/>
                <w:szCs w:val="21"/>
                <w:highlight w:val="none"/>
              </w:rPr>
              <w:t>的潜在供应商应在</w:t>
            </w:r>
            <w:r>
              <w:rPr>
                <w:rFonts w:hint="eastAsia" w:ascii="仿宋" w:hAnsi="仿宋" w:eastAsia="仿宋" w:cs="仿宋"/>
                <w:color w:val="auto"/>
                <w:szCs w:val="21"/>
                <w:u w:val="single"/>
              </w:rPr>
              <w:t>政府采购云平台（www.zcygov.cn）</w:t>
            </w:r>
            <w:r>
              <w:rPr>
                <w:rFonts w:hint="eastAsia" w:ascii="仿宋" w:hAnsi="仿宋" w:eastAsia="仿宋" w:cs="仿宋"/>
                <w:color w:val="auto"/>
                <w:szCs w:val="21"/>
                <w:u w:val="single"/>
                <w:lang w:eastAsia="zh-CN"/>
              </w:rPr>
              <w:t>、浙江政府采购网（zfcg.czt.zj.gov.cn）或常山县人民政府网（www.zjcs.gov.cn/）</w:t>
            </w:r>
            <w:r>
              <w:rPr>
                <w:rFonts w:hint="eastAsia" w:ascii="仿宋" w:hAnsi="仿宋" w:eastAsia="仿宋" w:cs="仿宋"/>
                <w:color w:val="auto"/>
                <w:szCs w:val="21"/>
                <w:highlight w:val="none"/>
              </w:rPr>
              <w:t>获取采购文件，并于</w:t>
            </w:r>
            <w:r>
              <w:rPr>
                <w:rFonts w:hint="eastAsia" w:ascii="仿宋" w:hAnsi="仿宋" w:eastAsia="仿宋" w:cs="仿宋"/>
                <w:b/>
                <w:bCs/>
                <w:color w:val="auto"/>
                <w:szCs w:val="21"/>
                <w:highlight w:val="none"/>
                <w:u w:val="single" w:color="000000"/>
                <w:lang w:eastAsia="zh-CN"/>
              </w:rPr>
              <w:t>202</w:t>
            </w:r>
            <w:r>
              <w:rPr>
                <w:rFonts w:hint="eastAsia" w:ascii="仿宋" w:hAnsi="仿宋" w:eastAsia="仿宋" w:cs="仿宋"/>
                <w:b/>
                <w:bCs/>
                <w:color w:val="auto"/>
                <w:szCs w:val="21"/>
                <w:highlight w:val="none"/>
                <w:u w:val="single" w:color="000000"/>
                <w:lang w:val="en-US" w:eastAsia="zh-CN"/>
              </w:rPr>
              <w:t>5</w:t>
            </w:r>
            <w:r>
              <w:rPr>
                <w:rFonts w:hint="eastAsia" w:ascii="仿宋" w:hAnsi="仿宋" w:eastAsia="仿宋" w:cs="仿宋"/>
                <w:b/>
                <w:bCs/>
                <w:color w:val="auto"/>
                <w:szCs w:val="21"/>
                <w:highlight w:val="none"/>
                <w:u w:val="single" w:color="000000"/>
                <w:lang w:eastAsia="zh-CN"/>
              </w:rPr>
              <w:t>年</w:t>
            </w:r>
            <w:r>
              <w:rPr>
                <w:rFonts w:hint="eastAsia" w:ascii="仿宋" w:hAnsi="仿宋" w:eastAsia="仿宋" w:cs="仿宋"/>
                <w:b/>
                <w:bCs/>
                <w:color w:val="auto"/>
                <w:szCs w:val="21"/>
                <w:highlight w:val="none"/>
                <w:u w:val="single" w:color="000000"/>
                <w:lang w:val="en-US" w:eastAsia="zh-CN"/>
              </w:rPr>
              <w:t>04</w:t>
            </w:r>
            <w:r>
              <w:rPr>
                <w:rFonts w:hint="eastAsia" w:ascii="仿宋" w:hAnsi="仿宋" w:eastAsia="仿宋" w:cs="仿宋"/>
                <w:b/>
                <w:bCs/>
                <w:color w:val="auto"/>
                <w:szCs w:val="21"/>
                <w:highlight w:val="none"/>
                <w:u w:val="single" w:color="000000"/>
              </w:rPr>
              <w:t>月</w:t>
            </w:r>
            <w:r>
              <w:rPr>
                <w:rFonts w:hint="eastAsia" w:ascii="仿宋" w:hAnsi="仿宋" w:eastAsia="仿宋" w:cs="仿宋"/>
                <w:b/>
                <w:bCs/>
                <w:color w:val="auto"/>
                <w:szCs w:val="21"/>
                <w:highlight w:val="none"/>
                <w:u w:val="single" w:color="000000"/>
                <w:lang w:val="en-US" w:eastAsia="zh-CN"/>
              </w:rPr>
              <w:t>14</w:t>
            </w:r>
            <w:r>
              <w:rPr>
                <w:rFonts w:hint="eastAsia" w:ascii="仿宋" w:hAnsi="仿宋" w:eastAsia="仿宋" w:cs="仿宋"/>
                <w:b/>
                <w:bCs/>
                <w:color w:val="auto"/>
                <w:szCs w:val="21"/>
                <w:highlight w:val="none"/>
                <w:u w:val="single" w:color="000000"/>
              </w:rPr>
              <w:t>日</w:t>
            </w:r>
            <w:r>
              <w:rPr>
                <w:rFonts w:hint="eastAsia" w:ascii="仿宋" w:hAnsi="仿宋" w:eastAsia="仿宋" w:cs="仿宋"/>
                <w:b/>
                <w:bCs/>
                <w:color w:val="auto"/>
                <w:szCs w:val="21"/>
                <w:highlight w:val="none"/>
                <w:u w:val="single" w:color="000000"/>
                <w:lang w:val="en-US" w:eastAsia="zh-CN"/>
              </w:rPr>
              <w:t xml:space="preserve">09时30 </w:t>
            </w:r>
            <w:r>
              <w:rPr>
                <w:rFonts w:hint="eastAsia" w:ascii="仿宋" w:hAnsi="仿宋" w:eastAsia="仿宋" w:cs="仿宋"/>
                <w:b/>
                <w:bCs/>
                <w:color w:val="auto"/>
                <w:szCs w:val="21"/>
                <w:highlight w:val="none"/>
                <w:u w:val="single" w:color="000000"/>
              </w:rPr>
              <w:t>分</w:t>
            </w:r>
            <w:r>
              <w:rPr>
                <w:rFonts w:hint="eastAsia" w:ascii="仿宋" w:hAnsi="仿宋" w:eastAsia="仿宋" w:cs="仿宋"/>
                <w:color w:val="auto"/>
                <w:szCs w:val="21"/>
                <w:highlight w:val="none"/>
              </w:rPr>
              <w:t>（北京时间）前提交响应文件。</w:t>
            </w:r>
          </w:p>
        </w:tc>
      </w:tr>
    </w:tbl>
    <w:p w14:paraId="307DA141">
      <w:pPr>
        <w:keepNext w:val="0"/>
        <w:keepLines w:val="0"/>
        <w:pageBreakBefore w:val="0"/>
        <w:widowControl/>
        <w:kinsoku/>
        <w:overflowPunct/>
        <w:topLinePunct w:val="0"/>
        <w:autoSpaceDE/>
        <w:autoSpaceDN/>
        <w:bidi w:val="0"/>
        <w:adjustRightInd/>
        <w:snapToGrid/>
        <w:spacing w:line="440" w:lineRule="exact"/>
        <w:ind w:firstLine="422" w:firstLineChars="200"/>
        <w:textAlignment w:val="baseline"/>
        <w:rPr>
          <w:rFonts w:hint="eastAsia" w:ascii="仿宋" w:hAnsi="仿宋" w:eastAsia="仿宋" w:cs="仿宋"/>
          <w:b/>
          <w:bCs/>
          <w:color w:val="auto"/>
          <w:sz w:val="20"/>
          <w:highlight w:val="none"/>
        </w:rPr>
      </w:pPr>
      <w:bookmarkStart w:id="6" w:name="_Toc28359090"/>
      <w:bookmarkStart w:id="7" w:name="_Toc35393630"/>
      <w:bookmarkStart w:id="8" w:name="_Toc28359013"/>
      <w:bookmarkStart w:id="9" w:name="_Toc35393799"/>
      <w:r>
        <w:rPr>
          <w:rFonts w:hint="eastAsia" w:ascii="仿宋" w:hAnsi="仿宋" w:eastAsia="仿宋" w:cs="仿宋"/>
          <w:b/>
          <w:bCs/>
          <w:color w:val="auto"/>
          <w:highlight w:val="none"/>
        </w:rPr>
        <w:t>一、项目基本情况</w:t>
      </w:r>
    </w:p>
    <w:p w14:paraId="6613726E">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lang w:eastAsia="zh-CN"/>
        </w:rPr>
      </w:pPr>
      <w:r>
        <w:rPr>
          <w:rFonts w:hint="eastAsia" w:ascii="仿宋" w:hAnsi="仿宋" w:eastAsia="仿宋" w:cs="仿宋"/>
          <w:color w:val="auto"/>
          <w:szCs w:val="21"/>
          <w:highlight w:val="none"/>
        </w:rPr>
        <w:t>项目编号：</w:t>
      </w:r>
      <w:r>
        <w:rPr>
          <w:rFonts w:hint="eastAsia" w:ascii="仿宋" w:hAnsi="仿宋" w:eastAsia="仿宋" w:cs="仿宋"/>
          <w:color w:val="auto"/>
          <w:szCs w:val="21"/>
          <w:highlight w:val="none"/>
          <w:lang w:eastAsia="zh-CN"/>
        </w:rPr>
        <w:t>GXZFCG-2025-CS003</w:t>
      </w:r>
    </w:p>
    <w:p w14:paraId="0C8B6948">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u w:val="none"/>
          <w:lang w:eastAsia="zh-CN"/>
        </w:rPr>
      </w:pPr>
      <w:r>
        <w:rPr>
          <w:rFonts w:hint="eastAsia" w:ascii="仿宋" w:hAnsi="仿宋" w:eastAsia="仿宋" w:cs="仿宋"/>
          <w:color w:val="auto"/>
          <w:szCs w:val="21"/>
          <w:highlight w:val="none"/>
        </w:rPr>
        <w:t>项目名称：</w:t>
      </w:r>
      <w:r>
        <w:rPr>
          <w:rFonts w:hint="eastAsia" w:ascii="仿宋" w:hAnsi="仿宋" w:eastAsia="仿宋" w:cs="仿宋"/>
          <w:color w:val="auto"/>
          <w:szCs w:val="21"/>
          <w:highlight w:val="none"/>
          <w:u w:val="none"/>
          <w:lang w:eastAsia="zh-CN"/>
        </w:rPr>
        <w:t xml:space="preserve"> 常山县城东新区狮子口片区控规调整</w:t>
      </w:r>
    </w:p>
    <w:p w14:paraId="78A53F37">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采购方式：竞争性磋商</w:t>
      </w:r>
    </w:p>
    <w:p w14:paraId="5CEF626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预算金额（元）：</w:t>
      </w:r>
      <w:r>
        <w:rPr>
          <w:rFonts w:hint="eastAsia" w:ascii="仿宋" w:hAnsi="仿宋" w:eastAsia="仿宋" w:cs="仿宋"/>
          <w:color w:val="auto"/>
          <w:szCs w:val="21"/>
          <w:highlight w:val="none"/>
          <w:lang w:eastAsia="zh-CN"/>
        </w:rPr>
        <w:t>850000</w:t>
      </w:r>
    </w:p>
    <w:p w14:paraId="79C37EEF">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最高限价（元）：</w:t>
      </w:r>
      <w:r>
        <w:rPr>
          <w:rFonts w:hint="eastAsia" w:ascii="仿宋" w:hAnsi="仿宋" w:eastAsia="仿宋" w:cs="仿宋"/>
          <w:color w:val="auto"/>
          <w:szCs w:val="21"/>
          <w:highlight w:val="none"/>
          <w:lang w:eastAsia="zh-CN"/>
        </w:rPr>
        <w:t>850000</w:t>
      </w:r>
    </w:p>
    <w:p w14:paraId="1FF3BD38">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采购需求：</w:t>
      </w:r>
    </w:p>
    <w:p w14:paraId="0A3737B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标项一</w:t>
      </w:r>
    </w:p>
    <w:p w14:paraId="13827A00">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数量：1 </w:t>
      </w:r>
    </w:p>
    <w:p w14:paraId="2E946235">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预算金额（元）：</w:t>
      </w:r>
      <w:r>
        <w:rPr>
          <w:rFonts w:hint="eastAsia" w:ascii="仿宋" w:hAnsi="仿宋" w:eastAsia="仿宋" w:cs="仿宋"/>
          <w:color w:val="auto"/>
          <w:szCs w:val="21"/>
          <w:highlight w:val="none"/>
          <w:lang w:eastAsia="zh-CN"/>
        </w:rPr>
        <w:t>850000</w:t>
      </w:r>
    </w:p>
    <w:p w14:paraId="023B5E7E">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单位：</w:t>
      </w:r>
      <w:r>
        <w:rPr>
          <w:rFonts w:hint="eastAsia" w:ascii="仿宋" w:hAnsi="仿宋" w:eastAsia="仿宋" w:cs="仿宋"/>
          <w:color w:val="auto"/>
          <w:szCs w:val="21"/>
          <w:highlight w:val="none"/>
          <w:lang w:val="en-US" w:eastAsia="zh-CN"/>
        </w:rPr>
        <w:t>年</w:t>
      </w:r>
    </w:p>
    <w:p w14:paraId="75C2AFA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简要规格描述：详见采购文件第三章</w:t>
      </w:r>
    </w:p>
    <w:p w14:paraId="5027C93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备注：</w:t>
      </w:r>
    </w:p>
    <w:p w14:paraId="437E35B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合同履约期限：</w:t>
      </w:r>
      <w:r>
        <w:rPr>
          <w:rFonts w:hint="eastAsia" w:ascii="仿宋" w:hAnsi="仿宋" w:eastAsia="仿宋" w:cs="仿宋"/>
          <w:color w:val="auto"/>
          <w:szCs w:val="21"/>
          <w:highlight w:val="none"/>
          <w:lang w:val="en-US" w:eastAsia="zh-CN"/>
        </w:rPr>
        <w:t>具体</w:t>
      </w:r>
      <w:r>
        <w:rPr>
          <w:rFonts w:hint="eastAsia" w:ascii="仿宋" w:hAnsi="仿宋" w:eastAsia="仿宋" w:cs="仿宋"/>
          <w:color w:val="auto"/>
          <w:szCs w:val="21"/>
          <w:highlight w:val="none"/>
        </w:rPr>
        <w:t>详见采购文件第三章。</w:t>
      </w:r>
    </w:p>
    <w:p w14:paraId="641DB0F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本项目（</w:t>
      </w:r>
      <w:r>
        <w:rPr>
          <w:rFonts w:hint="eastAsia" w:ascii="仿宋" w:hAnsi="仿宋" w:eastAsia="仿宋" w:cs="仿宋"/>
          <w:color w:val="auto"/>
          <w:szCs w:val="21"/>
          <w:highlight w:val="none"/>
          <w:lang w:val="en-US" w:eastAsia="zh-CN"/>
        </w:rPr>
        <w:t>否</w:t>
      </w:r>
      <w:r>
        <w:rPr>
          <w:rFonts w:hint="eastAsia" w:ascii="仿宋" w:hAnsi="仿宋" w:eastAsia="仿宋" w:cs="仿宋"/>
          <w:color w:val="auto"/>
          <w:szCs w:val="21"/>
          <w:highlight w:val="none"/>
        </w:rPr>
        <w:t>）接受联合体。</w:t>
      </w:r>
    </w:p>
    <w:p w14:paraId="2016069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二、申请人的资格要求：</w:t>
      </w:r>
      <w:bookmarkEnd w:id="6"/>
      <w:bookmarkEnd w:id="7"/>
      <w:bookmarkEnd w:id="8"/>
      <w:bookmarkEnd w:id="9"/>
      <w:bookmarkStart w:id="10" w:name="_Toc35393800"/>
      <w:bookmarkStart w:id="11" w:name="_Toc28359014"/>
      <w:bookmarkStart w:id="12" w:name="_Toc28359091"/>
      <w:bookmarkStart w:id="13" w:name="_Toc35393631"/>
    </w:p>
    <w:p w14:paraId="0B7BCC89">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1.满足《中华人民共和国政府采购法》第二十二条规定。</w:t>
      </w:r>
    </w:p>
    <w:p w14:paraId="2FA7F8E9">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2.必须为未被列入“信用中国”网站(</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"http://www.creditchina.gov.cn/"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1"/>
          <w:highlight w:val="none"/>
        </w:rPr>
        <w:t>www.creditchina.gov.cn</w:t>
      </w:r>
      <w:r>
        <w:rPr>
          <w:rFonts w:hint="eastAsia" w:ascii="仿宋" w:hAnsi="仿宋" w:eastAsia="仿宋" w:cs="仿宋"/>
          <w:color w:val="auto"/>
          <w:szCs w:val="21"/>
          <w:highlight w:val="none"/>
        </w:rPr>
        <w:fldChar w:fldCharType="end"/>
      </w:r>
      <w:r>
        <w:rPr>
          <w:rFonts w:hint="eastAsia" w:ascii="仿宋" w:hAnsi="仿宋" w:eastAsia="仿宋" w:cs="仿宋"/>
          <w:color w:val="auto"/>
          <w:szCs w:val="21"/>
          <w:highlight w:val="none"/>
        </w:rPr>
        <w:t>)、中国政府采购网(</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"http://www.ccgp.gov.cn/"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1"/>
          <w:highlight w:val="none"/>
        </w:rPr>
        <w:t>www.ccgp.gov.cn</w:t>
      </w:r>
      <w:r>
        <w:rPr>
          <w:rFonts w:hint="eastAsia" w:ascii="仿宋" w:hAnsi="仿宋" w:eastAsia="仿宋" w:cs="仿宋"/>
          <w:color w:val="auto"/>
          <w:szCs w:val="21"/>
          <w:highlight w:val="none"/>
        </w:rPr>
        <w:fldChar w:fldCharType="end"/>
      </w:r>
      <w:r>
        <w:rPr>
          <w:rFonts w:hint="eastAsia" w:ascii="仿宋" w:hAnsi="仿宋" w:eastAsia="仿宋" w:cs="仿宋"/>
          <w:color w:val="auto"/>
          <w:szCs w:val="21"/>
          <w:highlight w:val="none"/>
        </w:rPr>
        <w:t>)渠道信用记录失信被执行人、</w:t>
      </w:r>
      <w:r>
        <w:rPr>
          <w:rFonts w:hint="eastAsia" w:ascii="仿宋" w:hAnsi="仿宋" w:eastAsia="仿宋" w:cs="仿宋"/>
          <w:color w:val="auto"/>
          <w:szCs w:val="21"/>
          <w:highlight w:val="none"/>
          <w:lang w:eastAsia="zh-CN"/>
        </w:rPr>
        <w:t>重大税收违法失信主体</w:t>
      </w:r>
      <w:r>
        <w:rPr>
          <w:rFonts w:hint="eastAsia" w:ascii="仿宋" w:hAnsi="仿宋" w:eastAsia="仿宋" w:cs="仿宋"/>
          <w:color w:val="auto"/>
          <w:szCs w:val="21"/>
          <w:highlight w:val="none"/>
        </w:rPr>
        <w:t>、政府采购严重违法失信行为记录名单的投标人。</w:t>
      </w:r>
    </w:p>
    <w:p w14:paraId="1AF6CA69">
      <w:pPr>
        <w:keepNext w:val="0"/>
        <w:keepLines w:val="0"/>
        <w:pageBreakBefore w:val="0"/>
        <w:widowControl/>
        <w:kinsoku/>
        <w:wordWrap/>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3.落实政府采购政策需满足的资格要求：</w:t>
      </w:r>
      <w:r>
        <w:rPr>
          <w:rFonts w:hint="eastAsia" w:ascii="仿宋" w:hAnsi="仿宋" w:eastAsia="仿宋" w:cs="仿宋"/>
          <w:b/>
          <w:bCs/>
          <w:color w:val="auto"/>
          <w:szCs w:val="21"/>
          <w:lang w:val="en-US" w:eastAsia="zh-CN"/>
        </w:rPr>
        <w:t>无</w:t>
      </w:r>
      <w:r>
        <w:rPr>
          <w:rFonts w:hint="eastAsia" w:ascii="仿宋" w:hAnsi="仿宋" w:eastAsia="仿宋" w:cs="仿宋"/>
          <w:color w:val="auto"/>
          <w:szCs w:val="21"/>
          <w:highlight w:val="none"/>
        </w:rPr>
        <w:t>。</w:t>
      </w:r>
    </w:p>
    <w:p w14:paraId="24313C84">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4.本项目的特定资格要求：</w:t>
      </w:r>
      <w:r>
        <w:rPr>
          <w:rFonts w:hint="eastAsia" w:ascii="仿宋" w:hAnsi="仿宋" w:eastAsia="仿宋" w:cs="仿宋"/>
          <w:color w:val="auto"/>
          <w:szCs w:val="21"/>
          <w:highlight w:val="none"/>
          <w:lang w:val="en-US" w:eastAsia="zh-CN"/>
        </w:rPr>
        <w:t>无。</w:t>
      </w:r>
    </w:p>
    <w:p w14:paraId="3965148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三、获取采购文件</w:t>
      </w:r>
      <w:bookmarkEnd w:id="10"/>
      <w:bookmarkEnd w:id="11"/>
      <w:bookmarkEnd w:id="12"/>
      <w:bookmarkEnd w:id="13"/>
      <w:bookmarkStart w:id="14" w:name="_Toc35393632"/>
      <w:bookmarkStart w:id="15" w:name="_Toc35393801"/>
      <w:bookmarkStart w:id="16" w:name="_Toc28359092"/>
      <w:bookmarkStart w:id="17" w:name="_Toc28359015"/>
    </w:p>
    <w:p w14:paraId="30FD4D2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时间：</w:t>
      </w:r>
      <w:r>
        <w:rPr>
          <w:rFonts w:hint="eastAsia" w:ascii="仿宋" w:hAnsi="仿宋" w:eastAsia="仿宋" w:cs="仿宋"/>
          <w:color w:val="auto"/>
          <w:szCs w:val="21"/>
          <w:highlight w:val="none"/>
          <w:lang w:val="en-US"/>
        </w:rPr>
        <w:t xml:space="preserve"> </w:t>
      </w:r>
      <w:r>
        <w:rPr>
          <w:rFonts w:hint="eastAsia" w:ascii="仿宋" w:hAnsi="仿宋" w:eastAsia="仿宋" w:cs="仿宋"/>
          <w:color w:val="auto"/>
          <w:szCs w:val="21"/>
          <w:highlight w:val="none"/>
          <w:u w:val="single" w:color="000000"/>
        </w:rPr>
        <w:t>/</w:t>
      </w:r>
      <w:r>
        <w:rPr>
          <w:rFonts w:hint="eastAsia" w:ascii="仿宋" w:hAnsi="仿宋" w:eastAsia="仿宋" w:cs="仿宋"/>
          <w:color w:val="auto"/>
          <w:szCs w:val="21"/>
          <w:highlight w:val="none"/>
        </w:rPr>
        <w:t>至</w:t>
      </w:r>
      <w:r>
        <w:rPr>
          <w:rFonts w:hint="eastAsia" w:ascii="仿宋" w:hAnsi="仿宋" w:eastAsia="仿宋" w:cs="仿宋"/>
          <w:b/>
          <w:bCs/>
          <w:color w:val="auto"/>
          <w:szCs w:val="21"/>
          <w:highlight w:val="none"/>
          <w:lang w:eastAsia="zh-CN"/>
        </w:rPr>
        <w:t>202</w:t>
      </w:r>
      <w:r>
        <w:rPr>
          <w:rFonts w:hint="eastAsia" w:ascii="仿宋" w:hAnsi="仿宋" w:eastAsia="仿宋" w:cs="仿宋"/>
          <w:b/>
          <w:bCs/>
          <w:color w:val="auto"/>
          <w:szCs w:val="21"/>
          <w:highlight w:val="none"/>
          <w:lang w:val="en-US" w:eastAsia="zh-CN"/>
        </w:rPr>
        <w:t>5</w:t>
      </w:r>
      <w:r>
        <w:rPr>
          <w:rFonts w:hint="eastAsia" w:ascii="仿宋" w:hAnsi="仿宋" w:eastAsia="仿宋" w:cs="仿宋"/>
          <w:b/>
          <w:bCs/>
          <w:color w:val="auto"/>
          <w:szCs w:val="21"/>
          <w:highlight w:val="none"/>
          <w:lang w:eastAsia="zh-CN"/>
        </w:rPr>
        <w:t>年</w:t>
      </w:r>
      <w:r>
        <w:rPr>
          <w:rFonts w:hint="eastAsia" w:ascii="仿宋" w:hAnsi="仿宋" w:eastAsia="仿宋" w:cs="仿宋"/>
          <w:b/>
          <w:bCs/>
          <w:color w:val="auto"/>
          <w:szCs w:val="21"/>
          <w:highlight w:val="none"/>
          <w:lang w:val="en-US" w:eastAsia="zh-CN"/>
        </w:rPr>
        <w:t>04</w:t>
      </w:r>
      <w:r>
        <w:rPr>
          <w:rFonts w:hint="eastAsia" w:ascii="仿宋" w:hAnsi="仿宋" w:eastAsia="仿宋" w:cs="仿宋"/>
          <w:b/>
          <w:bCs/>
          <w:color w:val="auto"/>
          <w:szCs w:val="21"/>
          <w:highlight w:val="none"/>
          <w:lang w:eastAsia="zh-CN"/>
        </w:rPr>
        <w:t>月</w:t>
      </w:r>
      <w:r>
        <w:rPr>
          <w:rFonts w:hint="eastAsia" w:ascii="仿宋" w:hAnsi="仿宋" w:eastAsia="仿宋" w:cs="仿宋"/>
          <w:b/>
          <w:bCs/>
          <w:color w:val="auto"/>
          <w:szCs w:val="21"/>
          <w:highlight w:val="none"/>
          <w:lang w:val="en-US" w:eastAsia="zh-CN"/>
        </w:rPr>
        <w:t>14</w:t>
      </w:r>
      <w:r>
        <w:rPr>
          <w:rFonts w:hint="eastAsia" w:ascii="仿宋" w:hAnsi="仿宋" w:eastAsia="仿宋" w:cs="仿宋"/>
          <w:b/>
          <w:bCs/>
          <w:color w:val="auto"/>
          <w:szCs w:val="21"/>
          <w:highlight w:val="none"/>
          <w:lang w:eastAsia="zh-CN"/>
        </w:rPr>
        <w:t>日</w:t>
      </w:r>
      <w:r>
        <w:rPr>
          <w:rFonts w:hint="eastAsia" w:ascii="仿宋" w:hAnsi="仿宋" w:eastAsia="仿宋" w:cs="仿宋"/>
          <w:color w:val="auto"/>
          <w:szCs w:val="21"/>
          <w:highlight w:val="none"/>
        </w:rPr>
        <w:t>，每天上午00:00至12:00，下午12:00至23:59（北京时间，线上获取法定节假日均可，线下获取文件法定节假日除外）</w:t>
      </w:r>
    </w:p>
    <w:p w14:paraId="301570BA">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u w:val="single"/>
        </w:rPr>
      </w:pPr>
      <w:r>
        <w:rPr>
          <w:rFonts w:hint="eastAsia" w:ascii="仿宋" w:hAnsi="仿宋" w:eastAsia="仿宋" w:cs="仿宋"/>
          <w:color w:val="auto"/>
          <w:szCs w:val="21"/>
          <w:highlight w:val="none"/>
        </w:rPr>
        <w:t>地点（网址）：政府采购云平台（www.zcygov.cn）</w:t>
      </w:r>
    </w:p>
    <w:p w14:paraId="01163954">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u w:val="single"/>
        </w:rPr>
      </w:pPr>
      <w:r>
        <w:rPr>
          <w:rFonts w:hint="eastAsia" w:ascii="仿宋" w:hAnsi="仿宋" w:eastAsia="仿宋" w:cs="仿宋"/>
          <w:color w:val="auto"/>
          <w:szCs w:val="21"/>
          <w:highlight w:val="none"/>
        </w:rPr>
        <w:t>方式：网上下载。拟参加本项目采购活动的潜在供应商直接登录“政采云”平台（www.zcygov.cn）或点击浙江政府采购网本项目公告附件“潜在供应商--获取采购文件”链接跳转登录后，在线申请获取采购文件（进入“项目采购”应用，在“获取采购文件”菜单中选择本项目并申请获取采购文件）。仅需浏览采购文件的供应商可点击“游客--浏览采购文件”直接下载采购文件用于浏览。</w:t>
      </w:r>
    </w:p>
    <w:p w14:paraId="6DC2F133">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售价（元）：0</w:t>
      </w:r>
    </w:p>
    <w:p w14:paraId="211C489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四、响应文件提交</w:t>
      </w:r>
      <w:bookmarkEnd w:id="14"/>
      <w:bookmarkEnd w:id="15"/>
      <w:bookmarkEnd w:id="16"/>
      <w:bookmarkEnd w:id="17"/>
    </w:p>
    <w:p w14:paraId="12596623">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color w:val="auto"/>
          <w:szCs w:val="21"/>
          <w:highlight w:val="none"/>
        </w:rPr>
        <w:t>1.投标截</w:t>
      </w:r>
      <w:r>
        <w:rPr>
          <w:rFonts w:hint="eastAsia" w:ascii="仿宋" w:hAnsi="仿宋" w:eastAsia="仿宋" w:cs="仿宋"/>
          <w:color w:val="auto"/>
          <w:szCs w:val="21"/>
          <w:highlight w:val="none"/>
          <w:lang w:val="en-US" w:eastAsia="zh-CN"/>
        </w:rPr>
        <w:t>至</w:t>
      </w:r>
      <w:r>
        <w:rPr>
          <w:rFonts w:hint="eastAsia" w:ascii="仿宋" w:hAnsi="仿宋" w:eastAsia="仿宋" w:cs="仿宋"/>
          <w:color w:val="auto"/>
          <w:szCs w:val="21"/>
          <w:highlight w:val="none"/>
        </w:rPr>
        <w:t>时间：</w:t>
      </w:r>
      <w:r>
        <w:rPr>
          <w:rFonts w:hint="eastAsia" w:ascii="仿宋" w:hAnsi="仿宋" w:eastAsia="仿宋" w:cs="仿宋"/>
          <w:b/>
          <w:bCs/>
          <w:color w:val="auto"/>
          <w:szCs w:val="21"/>
          <w:highlight w:val="none"/>
          <w:u w:val="single" w:color="000000"/>
          <w:lang w:eastAsia="zh-CN"/>
        </w:rPr>
        <w:t>202</w:t>
      </w:r>
      <w:r>
        <w:rPr>
          <w:rFonts w:hint="eastAsia" w:ascii="仿宋" w:hAnsi="仿宋" w:eastAsia="仿宋" w:cs="仿宋"/>
          <w:b/>
          <w:bCs/>
          <w:color w:val="auto"/>
          <w:szCs w:val="21"/>
          <w:highlight w:val="none"/>
          <w:u w:val="single" w:color="000000"/>
          <w:lang w:val="en-US" w:eastAsia="zh-CN"/>
        </w:rPr>
        <w:t>5</w:t>
      </w:r>
      <w:r>
        <w:rPr>
          <w:rFonts w:hint="eastAsia" w:ascii="仿宋" w:hAnsi="仿宋" w:eastAsia="仿宋" w:cs="仿宋"/>
          <w:b/>
          <w:bCs/>
          <w:color w:val="auto"/>
          <w:szCs w:val="21"/>
          <w:highlight w:val="none"/>
          <w:u w:val="single" w:color="000000"/>
          <w:lang w:eastAsia="zh-CN"/>
        </w:rPr>
        <w:t>年</w:t>
      </w:r>
      <w:r>
        <w:rPr>
          <w:rFonts w:hint="eastAsia" w:ascii="仿宋" w:hAnsi="仿宋" w:eastAsia="仿宋" w:cs="仿宋"/>
          <w:b/>
          <w:bCs/>
          <w:color w:val="auto"/>
          <w:szCs w:val="21"/>
          <w:highlight w:val="none"/>
          <w:u w:val="single" w:color="000000"/>
          <w:lang w:val="en-US" w:eastAsia="zh-CN"/>
        </w:rPr>
        <w:t>04</w:t>
      </w:r>
      <w:r>
        <w:rPr>
          <w:rFonts w:hint="eastAsia" w:ascii="仿宋" w:hAnsi="仿宋" w:eastAsia="仿宋" w:cs="仿宋"/>
          <w:b/>
          <w:bCs/>
          <w:color w:val="auto"/>
          <w:szCs w:val="21"/>
          <w:highlight w:val="none"/>
          <w:u w:val="single" w:color="000000"/>
        </w:rPr>
        <w:t>月</w:t>
      </w:r>
      <w:r>
        <w:rPr>
          <w:rFonts w:hint="eastAsia" w:ascii="仿宋" w:hAnsi="仿宋" w:eastAsia="仿宋" w:cs="仿宋"/>
          <w:b/>
          <w:bCs/>
          <w:color w:val="auto"/>
          <w:szCs w:val="21"/>
          <w:highlight w:val="none"/>
          <w:u w:val="single" w:color="000000"/>
          <w:lang w:val="en-US" w:eastAsia="zh-CN"/>
        </w:rPr>
        <w:t>14</w:t>
      </w:r>
      <w:r>
        <w:rPr>
          <w:rFonts w:hint="eastAsia" w:ascii="仿宋" w:hAnsi="仿宋" w:eastAsia="仿宋" w:cs="仿宋"/>
          <w:b/>
          <w:bCs/>
          <w:color w:val="auto"/>
          <w:szCs w:val="21"/>
          <w:highlight w:val="none"/>
          <w:u w:val="single" w:color="000000"/>
        </w:rPr>
        <w:t>日</w:t>
      </w:r>
      <w:r>
        <w:rPr>
          <w:rFonts w:hint="eastAsia" w:ascii="仿宋" w:hAnsi="仿宋" w:eastAsia="仿宋" w:cs="仿宋"/>
          <w:b/>
          <w:bCs/>
          <w:color w:val="auto"/>
          <w:szCs w:val="21"/>
          <w:highlight w:val="none"/>
          <w:u w:val="single" w:color="000000"/>
          <w:lang w:val="en-US" w:eastAsia="zh-CN"/>
        </w:rPr>
        <w:t xml:space="preserve">09时30 </w:t>
      </w:r>
      <w:r>
        <w:rPr>
          <w:rFonts w:hint="eastAsia" w:ascii="仿宋" w:hAnsi="仿宋" w:eastAsia="仿宋" w:cs="仿宋"/>
          <w:b/>
          <w:bCs/>
          <w:color w:val="auto"/>
          <w:szCs w:val="21"/>
          <w:highlight w:val="none"/>
          <w:u w:val="single" w:color="000000"/>
        </w:rPr>
        <w:t>分</w:t>
      </w:r>
      <w:r>
        <w:rPr>
          <w:rFonts w:hint="eastAsia" w:ascii="仿宋" w:hAnsi="仿宋" w:eastAsia="仿宋" w:cs="仿宋"/>
          <w:b/>
          <w:bCs/>
          <w:color w:val="auto"/>
          <w:szCs w:val="21"/>
          <w:highlight w:val="none"/>
        </w:rPr>
        <w:t>（北京时间）</w:t>
      </w:r>
    </w:p>
    <w:p w14:paraId="0223FC7F">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2.投标地点：“政府采购云平台（www.zcygov.cn）”在线提交（上传），供应商无须前往开标现场。</w:t>
      </w:r>
    </w:p>
    <w:p w14:paraId="367F95A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bookmarkStart w:id="18" w:name="_Toc28359093"/>
      <w:bookmarkStart w:id="19" w:name="_Toc28359016"/>
      <w:bookmarkStart w:id="20" w:name="_Toc35393802"/>
      <w:bookmarkStart w:id="21" w:name="_Toc35393633"/>
      <w:r>
        <w:rPr>
          <w:rFonts w:hint="eastAsia" w:ascii="仿宋" w:hAnsi="仿宋" w:eastAsia="仿宋" w:cs="仿宋"/>
          <w:color w:val="auto"/>
          <w:szCs w:val="21"/>
          <w:highlight w:val="none"/>
        </w:rPr>
        <w:t>五、开启（竞争性磋商方式必须填写）</w:t>
      </w:r>
      <w:bookmarkEnd w:id="18"/>
      <w:bookmarkEnd w:id="19"/>
      <w:bookmarkEnd w:id="20"/>
      <w:bookmarkEnd w:id="21"/>
    </w:p>
    <w:p w14:paraId="65D5BE5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时间：</w:t>
      </w:r>
      <w:r>
        <w:rPr>
          <w:rFonts w:hint="eastAsia" w:ascii="仿宋" w:hAnsi="仿宋" w:eastAsia="仿宋" w:cs="仿宋"/>
          <w:b/>
          <w:bCs/>
          <w:color w:val="auto"/>
          <w:szCs w:val="21"/>
          <w:highlight w:val="none"/>
          <w:u w:val="single" w:color="000000"/>
          <w:lang w:eastAsia="zh-CN"/>
        </w:rPr>
        <w:t>202</w:t>
      </w:r>
      <w:r>
        <w:rPr>
          <w:rFonts w:hint="eastAsia" w:ascii="仿宋" w:hAnsi="仿宋" w:eastAsia="仿宋" w:cs="仿宋"/>
          <w:b/>
          <w:bCs/>
          <w:color w:val="auto"/>
          <w:szCs w:val="21"/>
          <w:highlight w:val="none"/>
          <w:u w:val="single" w:color="000000"/>
          <w:lang w:val="en-US" w:eastAsia="zh-CN"/>
        </w:rPr>
        <w:t>5</w:t>
      </w:r>
      <w:r>
        <w:rPr>
          <w:rFonts w:hint="eastAsia" w:ascii="仿宋" w:hAnsi="仿宋" w:eastAsia="仿宋" w:cs="仿宋"/>
          <w:b/>
          <w:bCs/>
          <w:color w:val="auto"/>
          <w:szCs w:val="21"/>
          <w:highlight w:val="none"/>
          <w:u w:val="single" w:color="000000"/>
          <w:lang w:eastAsia="zh-CN"/>
        </w:rPr>
        <w:t>年</w:t>
      </w:r>
      <w:r>
        <w:rPr>
          <w:rFonts w:hint="eastAsia" w:ascii="仿宋" w:hAnsi="仿宋" w:eastAsia="仿宋" w:cs="仿宋"/>
          <w:b/>
          <w:bCs/>
          <w:color w:val="auto"/>
          <w:szCs w:val="21"/>
          <w:highlight w:val="none"/>
          <w:u w:val="single" w:color="000000"/>
          <w:lang w:val="en-US" w:eastAsia="zh-CN"/>
        </w:rPr>
        <w:t>04</w:t>
      </w:r>
      <w:r>
        <w:rPr>
          <w:rFonts w:hint="eastAsia" w:ascii="仿宋" w:hAnsi="仿宋" w:eastAsia="仿宋" w:cs="仿宋"/>
          <w:b/>
          <w:bCs/>
          <w:color w:val="auto"/>
          <w:szCs w:val="21"/>
          <w:highlight w:val="none"/>
          <w:u w:val="single" w:color="000000"/>
        </w:rPr>
        <w:t>月</w:t>
      </w:r>
      <w:r>
        <w:rPr>
          <w:rFonts w:hint="eastAsia" w:ascii="仿宋" w:hAnsi="仿宋" w:eastAsia="仿宋" w:cs="仿宋"/>
          <w:b/>
          <w:bCs/>
          <w:color w:val="auto"/>
          <w:szCs w:val="21"/>
          <w:highlight w:val="none"/>
          <w:u w:val="single" w:color="000000"/>
          <w:lang w:val="en-US" w:eastAsia="zh-CN"/>
        </w:rPr>
        <w:t>14</w:t>
      </w:r>
      <w:r>
        <w:rPr>
          <w:rFonts w:hint="eastAsia" w:ascii="仿宋" w:hAnsi="仿宋" w:eastAsia="仿宋" w:cs="仿宋"/>
          <w:b/>
          <w:bCs/>
          <w:color w:val="auto"/>
          <w:szCs w:val="21"/>
          <w:highlight w:val="none"/>
          <w:u w:val="single" w:color="000000"/>
        </w:rPr>
        <w:t>日</w:t>
      </w:r>
      <w:r>
        <w:rPr>
          <w:rFonts w:hint="eastAsia" w:ascii="仿宋" w:hAnsi="仿宋" w:eastAsia="仿宋" w:cs="仿宋"/>
          <w:b/>
          <w:bCs/>
          <w:color w:val="auto"/>
          <w:szCs w:val="21"/>
          <w:highlight w:val="none"/>
          <w:u w:val="single" w:color="000000"/>
          <w:lang w:val="en-US" w:eastAsia="zh-CN"/>
        </w:rPr>
        <w:t xml:space="preserve">09时30 </w:t>
      </w:r>
      <w:r>
        <w:rPr>
          <w:rFonts w:hint="eastAsia" w:ascii="仿宋" w:hAnsi="仿宋" w:eastAsia="仿宋" w:cs="仿宋"/>
          <w:b/>
          <w:bCs/>
          <w:color w:val="auto"/>
          <w:szCs w:val="21"/>
          <w:highlight w:val="none"/>
          <w:u w:val="single" w:color="000000"/>
        </w:rPr>
        <w:t>分</w:t>
      </w:r>
      <w:r>
        <w:rPr>
          <w:rFonts w:hint="eastAsia" w:ascii="仿宋" w:hAnsi="仿宋" w:eastAsia="仿宋" w:cs="仿宋"/>
          <w:b/>
          <w:bCs/>
          <w:color w:val="auto"/>
          <w:szCs w:val="21"/>
          <w:highlight w:val="none"/>
        </w:rPr>
        <w:t>（北京时间）</w:t>
      </w:r>
    </w:p>
    <w:p w14:paraId="4B68B987">
      <w:pPr>
        <w:keepNext w:val="0"/>
        <w:keepLines w:val="0"/>
        <w:pageBreakBefore w:val="0"/>
        <w:kinsoku/>
        <w:overflowPunct/>
        <w:topLinePunct w:val="0"/>
        <w:autoSpaceDE/>
        <w:autoSpaceDN/>
        <w:bidi w:val="0"/>
        <w:adjustRightInd/>
        <w:snapToGrid/>
        <w:spacing w:line="440" w:lineRule="exact"/>
        <w:ind w:firstLine="420" w:firstLineChars="200"/>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地点：</w:t>
      </w:r>
      <w:bookmarkStart w:id="22" w:name="_Toc35393803"/>
      <w:bookmarkStart w:id="23" w:name="_Toc28359017"/>
      <w:bookmarkStart w:id="24" w:name="_Toc28359094"/>
      <w:bookmarkStart w:id="25" w:name="_Toc35393634"/>
      <w:r>
        <w:rPr>
          <w:rFonts w:hint="eastAsia" w:ascii="仿宋" w:hAnsi="仿宋" w:eastAsia="仿宋" w:cs="仿宋"/>
          <w:color w:val="auto"/>
          <w:szCs w:val="21"/>
          <w:highlight w:val="none"/>
        </w:rPr>
        <w:t>衢州市公共资源交易常山分中心【常山县紫港路2号常山县行政服务中心东边附属楼2楼】 。同步在“政采云远程开标大厅”在线开标。</w:t>
      </w:r>
    </w:p>
    <w:p w14:paraId="21CB2C8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六、公告期限</w:t>
      </w:r>
      <w:bookmarkEnd w:id="22"/>
      <w:bookmarkEnd w:id="23"/>
      <w:bookmarkEnd w:id="24"/>
      <w:bookmarkEnd w:id="25"/>
    </w:p>
    <w:p w14:paraId="0EA4FA1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自本公告发布之日起</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个工作日。</w:t>
      </w:r>
    </w:p>
    <w:p w14:paraId="46298401">
      <w:pPr>
        <w:keepNext w:val="0"/>
        <w:keepLines w:val="0"/>
        <w:pageBreakBefore w:val="0"/>
        <w:kinsoku/>
        <w:overflowPunct/>
        <w:topLinePunct w:val="0"/>
        <w:autoSpaceDE/>
        <w:autoSpaceDN/>
        <w:bidi w:val="0"/>
        <w:adjustRightInd/>
        <w:snapToGrid/>
        <w:spacing w:line="440" w:lineRule="exact"/>
        <w:ind w:firstLine="422" w:firstLineChars="200"/>
        <w:textAlignment w:val="baseline"/>
        <w:rPr>
          <w:rFonts w:hint="eastAsia" w:ascii="仿宋" w:hAnsi="仿宋" w:eastAsia="仿宋" w:cs="仿宋"/>
          <w:b/>
          <w:bCs/>
          <w:color w:val="auto"/>
          <w:sz w:val="20"/>
          <w:szCs w:val="21"/>
          <w:highlight w:val="none"/>
        </w:rPr>
      </w:pPr>
      <w:bookmarkStart w:id="26" w:name="_Toc35393626"/>
      <w:bookmarkStart w:id="27" w:name="_Toc35393795"/>
      <w:bookmarkStart w:id="28" w:name="_Toc35393636"/>
      <w:bookmarkStart w:id="29" w:name="_Toc28359095"/>
      <w:bookmarkStart w:id="30" w:name="_Toc28359018"/>
      <w:bookmarkStart w:id="31" w:name="_Toc35393805"/>
      <w:r>
        <w:rPr>
          <w:rFonts w:hint="eastAsia" w:ascii="仿宋" w:hAnsi="仿宋" w:eastAsia="仿宋" w:cs="仿宋"/>
          <w:b/>
          <w:bCs/>
          <w:color w:val="auto"/>
          <w:szCs w:val="21"/>
          <w:highlight w:val="none"/>
        </w:rPr>
        <w:t>七、其他补充事宜</w:t>
      </w:r>
      <w:bookmarkEnd w:id="26"/>
      <w:bookmarkEnd w:id="27"/>
    </w:p>
    <w:p w14:paraId="4A21E038">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1.质疑和投诉</w:t>
      </w:r>
    </w:p>
    <w:p w14:paraId="1DC9E584">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供应商认为采购文件、采购过程、采购结果使自己的权益受到损害的，可以在知道或者应知其权益受到损害之日起7个工作日内以书面形式向采购人或采购代理机构提出质疑。针对同一采购程序环节的质疑，供应商应在法定期限内一次性提出（即针对同一采购程序环节的质疑采购人或采购代理机构仅受理一次），逾期提出或针对同一采购程序环节多次提出的质疑将不予受理、答复。供应商对采购人和采购代理机构的质疑答复不满意或者采购人和采购代理机构未在规定时间内作出答复的，可以在答复期满后十五个工作日内向同级政府采购监管部门投诉。</w:t>
      </w:r>
    </w:p>
    <w:p w14:paraId="39B7F373">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2.政采</w:t>
      </w:r>
      <w:r>
        <w:rPr>
          <w:rFonts w:hint="eastAsia" w:ascii="仿宋" w:hAnsi="仿宋" w:eastAsia="仿宋" w:cs="仿宋"/>
          <w:color w:val="auto"/>
          <w:szCs w:val="21"/>
          <w:highlight w:val="none"/>
          <w:lang w:val="zh-CN"/>
        </w:rPr>
        <w:t>贷</w:t>
      </w:r>
    </w:p>
    <w:p w14:paraId="71736A96">
      <w:pPr>
        <w:keepNext w:val="0"/>
        <w:keepLines w:val="0"/>
        <w:pageBreakBefore w:val="0"/>
        <w:kinsoku/>
        <w:wordWrap w:val="0"/>
        <w:overflowPunct/>
        <w:topLinePunct w:val="0"/>
        <w:autoSpaceDE/>
        <w:autoSpaceDN/>
        <w:bidi w:val="0"/>
        <w:adjustRightInd/>
        <w:snapToGrid/>
        <w:spacing w:line="440" w:lineRule="exact"/>
        <w:ind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本采购项目，成交供应商与采购人签订的政府采购合同适用于衢州市常山县政府采购贷款政策，简称“政采贷”，具体内容可参阅《常山县“政采贷”办理指引》，http://www.zjcs.gov.cn/art/2022/1/10/art_1229091236_4857590.html。</w:t>
      </w:r>
    </w:p>
    <w:p w14:paraId="51684FDF">
      <w:pPr>
        <w:keepNext w:val="0"/>
        <w:keepLines w:val="0"/>
        <w:pageBreakBefore w:val="0"/>
        <w:kinsoku/>
        <w:wordWrap w:val="0"/>
        <w:overflowPunct/>
        <w:topLinePunct w:val="0"/>
        <w:autoSpaceDE/>
        <w:autoSpaceDN/>
        <w:bidi w:val="0"/>
        <w:adjustRightInd/>
        <w:snapToGrid/>
        <w:spacing w:line="44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14:paraId="33EB75D6">
      <w:pPr>
        <w:keepNext w:val="0"/>
        <w:keepLines w:val="0"/>
        <w:pageBreakBefore w:val="0"/>
        <w:kinsoku/>
        <w:wordWrap w:val="0"/>
        <w:overflowPunct/>
        <w:topLinePunct w:val="0"/>
        <w:autoSpaceDE/>
        <w:autoSpaceDN/>
        <w:bidi w:val="0"/>
        <w:adjustRightInd/>
        <w:snapToGrid/>
        <w:spacing w:line="44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Cs w:val="21"/>
          <w:highlight w:val="none"/>
          <w:lang w:val="en-US" w:eastAsia="zh-CN"/>
        </w:rPr>
        <w:t>政务</w:t>
      </w:r>
      <w:r>
        <w:rPr>
          <w:rFonts w:hint="eastAsia" w:ascii="仿宋" w:hAnsi="仿宋" w:eastAsia="仿宋" w:cs="仿宋"/>
          <w:color w:val="auto"/>
          <w:szCs w:val="21"/>
          <w:highlight w:val="none"/>
        </w:rPr>
        <w:t>服务网-政府采购投诉处理-在线办理。</w:t>
      </w:r>
    </w:p>
    <w:p w14:paraId="7CFB046B">
      <w:pPr>
        <w:keepNext w:val="0"/>
        <w:keepLines w:val="0"/>
        <w:pageBreakBefore w:val="0"/>
        <w:kinsoku/>
        <w:overflowPunct/>
        <w:topLinePunct w:val="0"/>
        <w:autoSpaceDE/>
        <w:autoSpaceDN/>
        <w:bidi w:val="0"/>
        <w:adjustRightInd/>
        <w:snapToGrid/>
        <w:spacing w:line="440" w:lineRule="exact"/>
        <w:ind w:firstLine="422"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八．在线投标（电子交易）说明</w:t>
      </w:r>
    </w:p>
    <w:p w14:paraId="00D76FC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1.采购信息发布媒介：浙江政府采购网（http://zfcg.czt.zj.gov.cn/）、常山县</w:t>
      </w:r>
      <w:r>
        <w:rPr>
          <w:rFonts w:hint="eastAsia" w:ascii="仿宋" w:hAnsi="仿宋" w:eastAsia="仿宋" w:cs="仿宋"/>
          <w:color w:val="auto"/>
          <w:szCs w:val="21"/>
          <w:highlight w:val="none"/>
          <w:lang w:val="en-US" w:eastAsia="zh-CN"/>
        </w:rPr>
        <w:t>政府</w:t>
      </w:r>
      <w:r>
        <w:rPr>
          <w:rFonts w:hint="eastAsia" w:ascii="仿宋" w:hAnsi="仿宋" w:eastAsia="仿宋" w:cs="仿宋"/>
          <w:color w:val="auto"/>
          <w:szCs w:val="21"/>
          <w:highlight w:val="none"/>
        </w:rPr>
        <w:t>网（http://qzcs.zjzwfw.gov.cn/col/col1341066/index.html）。</w:t>
      </w:r>
    </w:p>
    <w:p w14:paraId="1F64A61C">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本项目实行电子招投标，投标人应按照本项目招标文件和政采云平台的要求编制、加密并递交投标文件。投标人在使用系统进行投标的过程中遇到涉及平台使用的任何问题，可致电政采云平台技术支持热线咨询，联系方式：400-881-7190。</w:t>
      </w:r>
    </w:p>
    <w:p w14:paraId="381A9F1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3.电子交易平台为“政府采购云平台（www.zcygov.cn）”，供应商在投标前，应注册成为政府采购云平台正式供应商。编制电子投标文件前还需申领CA证书并绑定帐号，确保在电子投标过程中能够对相关数据电文进行加密和使用电子签章。供应商应充分考虑完成平台注册、申领CA证书等所需的时间。CA数字证书办理流程详见</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"http://zfcg.czt.zj.gov.cn/bidClientTemplate/2019-05-27/12945.html"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1"/>
          <w:highlight w:val="none"/>
        </w:rPr>
        <w:t>http://zfcg.czt.zj.gov.cn/bidClientTemplate/2019-05-27/12945.html</w:t>
      </w:r>
      <w:r>
        <w:rPr>
          <w:rFonts w:hint="eastAsia" w:ascii="仿宋" w:hAnsi="仿宋" w:eastAsia="仿宋" w:cs="仿宋"/>
          <w:color w:val="auto"/>
          <w:szCs w:val="21"/>
          <w:highlight w:val="none"/>
        </w:rPr>
        <w:fldChar w:fldCharType="end"/>
      </w:r>
      <w:r>
        <w:rPr>
          <w:rFonts w:hint="eastAsia" w:ascii="仿宋" w:hAnsi="仿宋" w:eastAsia="仿宋" w:cs="仿宋"/>
          <w:color w:val="auto"/>
          <w:szCs w:val="21"/>
          <w:highlight w:val="none"/>
        </w:rPr>
        <w:t>。完成CA数字证书办理预计一周左右，建议各投标人抓紧时间办理。</w:t>
      </w:r>
    </w:p>
    <w:p w14:paraId="3CADA25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4.供应商编制电子投标文件应安装“电子交易客户端”软件，并按照本招标文件和电子交易平台的要求编制并加密投标文件。未按规定加密的投标文件，将被电子交易平台拒收。“电子交易客户端”请供应商自行前往“浙江政府采购网— 下载专区 — 电子交易客户端”版块获取（下载网址：</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"http://zfcg.czt.zj.gov.cn/bidClientTemplate/2019-09-24/12975.html%EF%BC%89%E3%80%82" </w:instrText>
      </w:r>
      <w:r>
        <w:rPr>
          <w:rFonts w:hint="eastAsia" w:ascii="仿宋" w:hAnsi="仿宋" w:eastAsia="仿宋" w:cs="仿宋"/>
          <w:color w:val="auto"/>
          <w:highlight w:val="none"/>
        </w:rPr>
        <w:fldChar w:fldCharType="separate"/>
      </w:r>
      <w:r>
        <w:rPr>
          <w:rFonts w:hint="eastAsia" w:ascii="仿宋" w:hAnsi="仿宋" w:eastAsia="仿宋" w:cs="仿宋"/>
          <w:color w:val="auto"/>
          <w:szCs w:val="21"/>
          <w:highlight w:val="none"/>
        </w:rPr>
        <w:t>http://zfcg.czt.zj.gov.cn/bidClientTemplate/2019-09-24/12975.html）。</w:t>
      </w:r>
      <w:r>
        <w:rPr>
          <w:rFonts w:hint="eastAsia" w:ascii="仿宋" w:hAnsi="仿宋" w:eastAsia="仿宋" w:cs="仿宋"/>
          <w:color w:val="auto"/>
          <w:szCs w:val="21"/>
          <w:highlight w:val="none"/>
        </w:rPr>
        <w:fldChar w:fldCharType="end"/>
      </w:r>
    </w:p>
    <w:p w14:paraId="3A6934A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5.电子投标制作具体流程详见政府采购项目电子交易管理操作指南：【请投标供应商点击链接https://service.zcygov.cn/#/knowledges/CW1EtGwBFdiHxlNd6I3m/6IMVAG0BFdiHxlNdQ8Na或登录“政府采购云平台（www.zcygov.cn）”，从首页-服务中心-帮助文档-项目采购-操作流程-电子招投标，查看文档和视频】。</w:t>
      </w:r>
    </w:p>
    <w:p w14:paraId="422E1FCA">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6.本项目投标文件的解密、报价文件确认等所使用的CA必须和制作电子加密投标文件时使用的CA为同一个。</w:t>
      </w:r>
    </w:p>
    <w:p w14:paraId="3B6DC05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九、凡对本次采购提出询问，请按以下方式联系。</w:t>
      </w:r>
      <w:bookmarkEnd w:id="28"/>
      <w:bookmarkEnd w:id="29"/>
      <w:bookmarkEnd w:id="30"/>
      <w:bookmarkEnd w:id="31"/>
    </w:p>
    <w:p w14:paraId="16B324B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1.采购人信息</w:t>
      </w:r>
    </w:p>
    <w:p w14:paraId="41677D34">
      <w:pPr>
        <w:keepNext w:val="0"/>
        <w:keepLines w:val="0"/>
        <w:pageBreakBefore w:val="0"/>
        <w:kinsoku/>
        <w:wordWrap/>
        <w:overflowPunct/>
        <w:topLinePunct w:val="0"/>
        <w:autoSpaceDE/>
        <w:autoSpaceDN/>
        <w:bidi w:val="0"/>
        <w:adjustRightInd/>
        <w:snapToGrid/>
        <w:spacing w:line="44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名 称：常山县自然资源和规划局 　　　　　　　　　　</w:t>
      </w:r>
    </w:p>
    <w:p w14:paraId="1DBB18E5">
      <w:pPr>
        <w:keepNext w:val="0"/>
        <w:keepLines w:val="0"/>
        <w:pageBreakBefore w:val="0"/>
        <w:kinsoku/>
        <w:wordWrap/>
        <w:overflowPunct/>
        <w:topLinePunct w:val="0"/>
        <w:autoSpaceDE/>
        <w:autoSpaceDN/>
        <w:bidi w:val="0"/>
        <w:adjustRightInd/>
        <w:snapToGrid/>
        <w:spacing w:line="440" w:lineRule="exact"/>
        <w:ind w:firstLine="420" w:firstLineChars="200"/>
        <w:rPr>
          <w:rFonts w:hint="eastAsia" w:ascii="仿宋" w:hAnsi="仿宋" w:eastAsia="仿宋" w:cs="仿宋"/>
          <w:color w:val="auto"/>
          <w:szCs w:val="21"/>
        </w:rPr>
      </w:pPr>
      <w:r>
        <w:rPr>
          <w:rFonts w:hint="eastAsia" w:ascii="仿宋" w:hAnsi="仿宋" w:eastAsia="仿宋" w:cs="仿宋"/>
          <w:color w:val="auto"/>
          <w:szCs w:val="21"/>
        </w:rPr>
        <w:t xml:space="preserve">地址：衢州市常山县白马路161号 </w:t>
      </w:r>
    </w:p>
    <w:p w14:paraId="210D8703">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项目联系人：蒋志坤</w:t>
      </w:r>
    </w:p>
    <w:p w14:paraId="7F2B4422">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项目联系方式：13511426022</w:t>
      </w:r>
    </w:p>
    <w:p w14:paraId="4623615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质疑联系人：毛思懿</w:t>
      </w:r>
    </w:p>
    <w:p w14:paraId="392717FC">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质疑联系方式：13967028075</w:t>
      </w:r>
    </w:p>
    <w:p w14:paraId="2DD0EBA4">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2.采购代理机构信息</w:t>
      </w:r>
    </w:p>
    <w:p w14:paraId="67E518D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名称：浙江衢州公信工程管理有限公司　　　　　　　　</w:t>
      </w:r>
    </w:p>
    <w:p w14:paraId="5A456183">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地　址：常山县天马街道文峰西路222号</w:t>
      </w:r>
    </w:p>
    <w:p w14:paraId="2B12710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项目联系人：吴美娟　   　　　　　　　　　　　</w:t>
      </w:r>
    </w:p>
    <w:p w14:paraId="34F759EB">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lang w:val="en-US" w:eastAsia="zh-CN"/>
        </w:rPr>
      </w:pPr>
      <w:r>
        <w:rPr>
          <w:rFonts w:hint="eastAsia" w:ascii="仿宋" w:hAnsi="仿宋" w:eastAsia="仿宋" w:cs="仿宋"/>
          <w:color w:val="auto"/>
          <w:szCs w:val="21"/>
          <w:highlight w:val="none"/>
        </w:rPr>
        <w:t>项目联系方式：</w:t>
      </w:r>
      <w:r>
        <w:rPr>
          <w:rFonts w:hint="eastAsia" w:ascii="仿宋" w:hAnsi="仿宋" w:eastAsia="仿宋" w:cs="仿宋"/>
          <w:color w:val="auto"/>
          <w:szCs w:val="21"/>
          <w:highlight w:val="none"/>
          <w:lang w:val="en-US" w:eastAsia="zh-CN"/>
        </w:rPr>
        <w:t>0570-5020184</w:t>
      </w:r>
    </w:p>
    <w:p w14:paraId="3AD4881C">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lang w:val="en-US" w:eastAsia="zh-CN"/>
        </w:rPr>
      </w:pPr>
      <w:r>
        <w:rPr>
          <w:rFonts w:hint="eastAsia" w:ascii="仿宋" w:hAnsi="仿宋" w:eastAsia="仿宋" w:cs="仿宋"/>
          <w:color w:val="auto"/>
          <w:szCs w:val="21"/>
          <w:highlight w:val="none"/>
        </w:rPr>
        <w:t>质疑联系人：</w:t>
      </w:r>
      <w:r>
        <w:rPr>
          <w:rFonts w:hint="eastAsia" w:ascii="仿宋" w:hAnsi="仿宋" w:eastAsia="仿宋" w:cs="仿宋"/>
          <w:color w:val="auto"/>
          <w:szCs w:val="21"/>
          <w:highlight w:val="none"/>
          <w:lang w:val="en-US" w:eastAsia="zh-CN"/>
        </w:rPr>
        <w:t>童彬彬</w:t>
      </w:r>
    </w:p>
    <w:p w14:paraId="30988C01">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lang w:val="en-US" w:eastAsia="zh-CN"/>
        </w:rPr>
      </w:pPr>
      <w:r>
        <w:rPr>
          <w:rFonts w:hint="eastAsia" w:ascii="仿宋" w:hAnsi="仿宋" w:eastAsia="仿宋" w:cs="仿宋"/>
          <w:color w:val="auto"/>
          <w:szCs w:val="21"/>
          <w:highlight w:val="none"/>
        </w:rPr>
        <w:t>联系电话：</w:t>
      </w:r>
      <w:r>
        <w:rPr>
          <w:rFonts w:hint="eastAsia" w:ascii="仿宋" w:hAnsi="仿宋" w:eastAsia="仿宋" w:cs="仿宋"/>
          <w:color w:val="auto"/>
          <w:szCs w:val="21"/>
          <w:highlight w:val="none"/>
          <w:lang w:val="en-US" w:eastAsia="zh-CN"/>
        </w:rPr>
        <w:t>19235705133</w:t>
      </w:r>
    </w:p>
    <w:p w14:paraId="48ED9B07">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3.同级政府采购监管部门</w:t>
      </w:r>
    </w:p>
    <w:p w14:paraId="73E570FD">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名称：常山县财政局政府采购监管科</w:t>
      </w:r>
    </w:p>
    <w:p w14:paraId="41862F89">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地址：常山县天马街道定阳北路415号</w:t>
      </w:r>
    </w:p>
    <w:p w14:paraId="25656A98">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lang w:eastAsia="zh-CN"/>
        </w:rPr>
      </w:pPr>
      <w:r>
        <w:rPr>
          <w:rFonts w:hint="eastAsia" w:ascii="仿宋" w:hAnsi="仿宋" w:eastAsia="仿宋" w:cs="仿宋"/>
          <w:color w:val="auto"/>
          <w:szCs w:val="21"/>
          <w:highlight w:val="none"/>
        </w:rPr>
        <w:t>联系人：李</w:t>
      </w:r>
      <w:r>
        <w:rPr>
          <w:rFonts w:hint="eastAsia" w:ascii="仿宋" w:hAnsi="仿宋" w:eastAsia="仿宋" w:cs="仿宋"/>
          <w:color w:val="auto"/>
          <w:szCs w:val="21"/>
          <w:highlight w:val="none"/>
          <w:lang w:val="en-US" w:eastAsia="zh-CN"/>
        </w:rPr>
        <w:t>科长</w:t>
      </w:r>
    </w:p>
    <w:p w14:paraId="179D5B35">
      <w:pPr>
        <w:keepNext w:val="0"/>
        <w:keepLines w:val="0"/>
        <w:pageBreakBefore w:val="0"/>
        <w:kinsoku/>
        <w:overflowPunct/>
        <w:topLinePunct w:val="0"/>
        <w:autoSpaceDE/>
        <w:autoSpaceDN/>
        <w:bidi w:val="0"/>
        <w:adjustRightInd/>
        <w:snapToGrid/>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监督投诉电话：0570-5015373</w:t>
      </w:r>
    </w:p>
    <w:p w14:paraId="4E1E9300">
      <w:pPr>
        <w:pStyle w:val="13"/>
        <w:keepNext w:val="0"/>
        <w:keepLines w:val="0"/>
        <w:pageBreakBefore w:val="0"/>
        <w:widowControl w:val="0"/>
        <w:kinsoku/>
        <w:wordWrap/>
        <w:overflowPunct/>
        <w:topLinePunct w:val="0"/>
        <w:bidi w:val="0"/>
        <w:snapToGrid/>
        <w:spacing w:after="0" w:line="500" w:lineRule="exact"/>
        <w:ind w:firstLine="210"/>
        <w:jc w:val="right"/>
        <w:rPr>
          <w:rFonts w:hint="eastAsia" w:ascii="仿宋" w:hAnsi="仿宋" w:eastAsia="仿宋" w:cs="仿宋"/>
          <w:color w:val="auto"/>
          <w:sz w:val="21"/>
          <w:szCs w:val="21"/>
          <w:highlight w:val="none"/>
          <w:lang w:eastAsia="zh-CN"/>
        </w:rPr>
      </w:pPr>
      <w:bookmarkStart w:id="32" w:name="_Toc8258"/>
      <w:bookmarkStart w:id="33" w:name="_Toc421834140"/>
      <w:r>
        <w:rPr>
          <w:rFonts w:hint="eastAsia" w:ascii="仿宋" w:hAnsi="仿宋" w:eastAsia="仿宋" w:cs="仿宋"/>
          <w:color w:val="auto"/>
          <w:sz w:val="21"/>
          <w:szCs w:val="21"/>
          <w:highlight w:val="none"/>
          <w:lang w:eastAsia="zh-CN"/>
        </w:rPr>
        <w:t>常山县自然资源和规划局</w:t>
      </w:r>
    </w:p>
    <w:p w14:paraId="6A915B77">
      <w:pPr>
        <w:pStyle w:val="13"/>
        <w:keepNext w:val="0"/>
        <w:keepLines w:val="0"/>
        <w:pageBreakBefore w:val="0"/>
        <w:widowControl w:val="0"/>
        <w:kinsoku/>
        <w:wordWrap/>
        <w:overflowPunct/>
        <w:topLinePunct w:val="0"/>
        <w:bidi w:val="0"/>
        <w:snapToGrid/>
        <w:spacing w:after="0" w:line="500" w:lineRule="exact"/>
        <w:ind w:firstLine="210"/>
        <w:jc w:val="right"/>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浙江衢州公信工程管理有限公司　</w:t>
      </w:r>
    </w:p>
    <w:p w14:paraId="37509661">
      <w:pPr>
        <w:pStyle w:val="13"/>
        <w:keepNext w:val="0"/>
        <w:keepLines w:val="0"/>
        <w:pageBreakBefore w:val="0"/>
        <w:widowControl w:val="0"/>
        <w:kinsoku/>
        <w:wordWrap/>
        <w:overflowPunct/>
        <w:topLinePunct w:val="0"/>
        <w:bidi w:val="0"/>
        <w:snapToGrid/>
        <w:spacing w:after="0" w:line="500" w:lineRule="exact"/>
        <w:ind w:firstLine="210"/>
        <w:jc w:val="right"/>
        <w:rPr>
          <w:rFonts w:hint="eastAsia" w:ascii="仿宋" w:hAnsi="仿宋" w:eastAsia="仿宋" w:cs="仿宋"/>
          <w:color w:val="auto"/>
          <w:sz w:val="20"/>
          <w:szCs w:val="21"/>
          <w:highlight w:val="none"/>
        </w:rPr>
      </w:pPr>
      <w:r>
        <w:rPr>
          <w:rFonts w:hint="eastAsia" w:ascii="仿宋" w:hAnsi="仿宋" w:eastAsia="仿宋" w:cs="仿宋"/>
          <w:color w:val="auto"/>
          <w:sz w:val="21"/>
          <w:szCs w:val="21"/>
          <w:highlight w:val="none"/>
        </w:rPr>
        <w:t>202</w:t>
      </w:r>
      <w:r>
        <w:rPr>
          <w:rFonts w:hint="eastAsia" w:ascii="仿宋" w:hAnsi="仿宋" w:eastAsia="仿宋" w:cs="仿宋"/>
          <w:color w:val="auto"/>
          <w:sz w:val="21"/>
          <w:szCs w:val="21"/>
          <w:highlight w:val="none"/>
          <w:lang w:val="en-US" w:eastAsia="zh-CN"/>
        </w:rPr>
        <w:t>5</w:t>
      </w:r>
      <w:r>
        <w:rPr>
          <w:rFonts w:hint="eastAsia" w:ascii="仿宋" w:hAnsi="仿宋" w:eastAsia="仿宋" w:cs="仿宋"/>
          <w:color w:val="auto"/>
          <w:sz w:val="21"/>
          <w:szCs w:val="21"/>
          <w:highlight w:val="none"/>
        </w:rPr>
        <w:t>年</w:t>
      </w:r>
      <w:r>
        <w:rPr>
          <w:rFonts w:hint="eastAsia" w:ascii="仿宋" w:hAnsi="仿宋" w:eastAsia="仿宋" w:cs="仿宋"/>
          <w:color w:val="auto"/>
          <w:sz w:val="21"/>
          <w:szCs w:val="21"/>
          <w:highlight w:val="none"/>
          <w:lang w:val="en-US" w:eastAsia="zh-CN"/>
        </w:rPr>
        <w:t>04</w:t>
      </w:r>
      <w:r>
        <w:rPr>
          <w:rFonts w:hint="eastAsia" w:ascii="仿宋" w:hAnsi="仿宋" w:eastAsia="仿宋" w:cs="仿宋"/>
          <w:color w:val="auto"/>
          <w:sz w:val="21"/>
          <w:szCs w:val="21"/>
          <w:highlight w:val="none"/>
        </w:rPr>
        <w:t>月　　</w:t>
      </w:r>
    </w:p>
    <w:p w14:paraId="68C8CEA0">
      <w:pPr>
        <w:pStyle w:val="25"/>
        <w:rPr>
          <w:rFonts w:hint="eastAsia" w:ascii="仿宋" w:hAnsi="仿宋" w:eastAsia="仿宋" w:cs="仿宋"/>
          <w:color w:val="auto"/>
          <w:highlight w:val="none"/>
        </w:rPr>
      </w:pPr>
    </w:p>
    <w:p w14:paraId="350FA268">
      <w:pPr>
        <w:pStyle w:val="43"/>
        <w:textAlignment w:val="baseline"/>
        <w:rPr>
          <w:rFonts w:hint="eastAsia" w:ascii="仿宋" w:hAnsi="仿宋" w:eastAsia="仿宋" w:cs="仿宋"/>
          <w:color w:val="auto"/>
          <w:highlight w:val="none"/>
        </w:rPr>
      </w:pPr>
    </w:p>
    <w:p w14:paraId="753435A0">
      <w:pPr>
        <w:spacing w:after="156" w:line="360" w:lineRule="auto"/>
        <w:jc w:val="center"/>
        <w:textAlignment w:val="baseline"/>
        <w:outlineLvl w:val="0"/>
        <w:rPr>
          <w:rFonts w:hint="eastAsia" w:ascii="仿宋" w:hAnsi="仿宋" w:eastAsia="仿宋" w:cs="仿宋"/>
          <w:b/>
          <w:bCs/>
          <w:color w:val="auto"/>
          <w:sz w:val="36"/>
          <w:szCs w:val="36"/>
          <w:highlight w:val="none"/>
        </w:rPr>
      </w:pPr>
      <w:bookmarkStart w:id="34" w:name="_Toc6164"/>
      <w:bookmarkStart w:id="35" w:name="_Toc17731"/>
    </w:p>
    <w:p w14:paraId="0F47A96E">
      <w:pPr>
        <w:spacing w:after="156" w:line="360" w:lineRule="auto"/>
        <w:jc w:val="center"/>
        <w:textAlignment w:val="baseline"/>
        <w:outlineLvl w:val="0"/>
        <w:rPr>
          <w:rFonts w:hint="eastAsia" w:ascii="仿宋" w:hAnsi="仿宋" w:eastAsia="仿宋" w:cs="仿宋"/>
          <w:b/>
          <w:bCs/>
          <w:color w:val="auto"/>
          <w:sz w:val="36"/>
          <w:szCs w:val="36"/>
          <w:highlight w:val="none"/>
        </w:rPr>
      </w:pPr>
    </w:p>
    <w:p w14:paraId="42D33C6E">
      <w:pPr>
        <w:spacing w:after="156" w:line="360" w:lineRule="auto"/>
        <w:jc w:val="center"/>
        <w:textAlignment w:val="baseline"/>
        <w:outlineLvl w:val="0"/>
        <w:rPr>
          <w:rFonts w:hint="eastAsia" w:ascii="仿宋" w:hAnsi="仿宋" w:eastAsia="仿宋" w:cs="仿宋"/>
          <w:b/>
          <w:bCs/>
          <w:color w:val="auto"/>
          <w:sz w:val="36"/>
          <w:szCs w:val="36"/>
          <w:highlight w:val="none"/>
        </w:rPr>
      </w:pPr>
    </w:p>
    <w:p w14:paraId="0ABE7DC5">
      <w:pPr>
        <w:spacing w:after="156" w:line="360" w:lineRule="auto"/>
        <w:jc w:val="center"/>
        <w:textAlignment w:val="baseline"/>
        <w:outlineLvl w:val="0"/>
        <w:rPr>
          <w:rFonts w:hint="eastAsia" w:ascii="仿宋" w:hAnsi="仿宋" w:eastAsia="仿宋" w:cs="仿宋"/>
          <w:b/>
          <w:bCs/>
          <w:color w:val="auto"/>
          <w:sz w:val="36"/>
          <w:szCs w:val="36"/>
          <w:highlight w:val="none"/>
        </w:rPr>
      </w:pPr>
    </w:p>
    <w:p w14:paraId="28576869">
      <w:pPr>
        <w:spacing w:after="156" w:line="360" w:lineRule="auto"/>
        <w:jc w:val="center"/>
        <w:textAlignment w:val="baseline"/>
        <w:outlineLvl w:val="0"/>
        <w:rPr>
          <w:rFonts w:hint="eastAsia" w:ascii="仿宋" w:hAnsi="仿宋" w:eastAsia="仿宋" w:cs="仿宋"/>
          <w:b/>
          <w:bCs/>
          <w:color w:val="auto"/>
          <w:sz w:val="36"/>
          <w:szCs w:val="36"/>
          <w:highlight w:val="none"/>
        </w:rPr>
      </w:pPr>
    </w:p>
    <w:p w14:paraId="4DFF54DA">
      <w:pPr>
        <w:pStyle w:val="12"/>
        <w:rPr>
          <w:rFonts w:hint="eastAsia" w:ascii="仿宋" w:hAnsi="仿宋" w:eastAsia="仿宋" w:cs="仿宋"/>
          <w:color w:val="auto"/>
        </w:rPr>
      </w:pPr>
    </w:p>
    <w:p w14:paraId="6B828312">
      <w:pPr>
        <w:spacing w:after="156" w:line="360" w:lineRule="auto"/>
        <w:jc w:val="center"/>
        <w:textAlignment w:val="baseline"/>
        <w:outlineLvl w:val="0"/>
        <w:rPr>
          <w:rFonts w:hint="eastAsia" w:ascii="仿宋" w:hAnsi="仿宋" w:eastAsia="仿宋" w:cs="仿宋"/>
          <w:b/>
          <w:bCs/>
          <w:color w:val="auto"/>
          <w:sz w:val="36"/>
          <w:szCs w:val="36"/>
          <w:highlight w:val="none"/>
        </w:rPr>
      </w:pPr>
    </w:p>
    <w:p w14:paraId="173DEADB">
      <w:pPr>
        <w:spacing w:after="156" w:line="360" w:lineRule="auto"/>
        <w:jc w:val="center"/>
        <w:textAlignment w:val="baseline"/>
        <w:outlineLvl w:val="0"/>
        <w:rPr>
          <w:rFonts w:hint="eastAsia"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第二章  磋商供应商须知</w:t>
      </w:r>
      <w:bookmarkEnd w:id="32"/>
      <w:bookmarkEnd w:id="33"/>
      <w:bookmarkEnd w:id="34"/>
      <w:bookmarkEnd w:id="35"/>
    </w:p>
    <w:p w14:paraId="312B989D">
      <w:pPr>
        <w:pStyle w:val="9"/>
        <w:spacing w:line="360" w:lineRule="auto"/>
        <w:ind w:left="422" w:firstLine="64"/>
        <w:jc w:val="center"/>
        <w:textAlignment w:val="baseline"/>
        <w:rPr>
          <w:rFonts w:hint="eastAsia" w:ascii="仿宋" w:hAnsi="仿宋" w:eastAsia="仿宋" w:cs="仿宋"/>
          <w:b/>
          <w:bCs/>
          <w:color w:val="auto"/>
          <w:kern w:val="2"/>
          <w:szCs w:val="32"/>
          <w:highlight w:val="none"/>
        </w:rPr>
      </w:pPr>
      <w:bookmarkStart w:id="36" w:name="_Toc469694892"/>
      <w:bookmarkStart w:id="37" w:name="_Toc8417"/>
      <w:bookmarkStart w:id="38" w:name="_Toc421834141"/>
      <w:bookmarkStart w:id="39" w:name="_Toc469273548"/>
      <w:r>
        <w:rPr>
          <w:rFonts w:hint="eastAsia" w:ascii="仿宋" w:hAnsi="仿宋" w:eastAsia="仿宋" w:cs="仿宋"/>
          <w:color w:val="auto"/>
          <w:sz w:val="24"/>
          <w:szCs w:val="24"/>
          <w:highlight w:val="none"/>
        </w:rPr>
        <w:t>磋商供应商须知前附表</w:t>
      </w:r>
      <w:bookmarkEnd w:id="36"/>
      <w:bookmarkEnd w:id="37"/>
      <w:bookmarkEnd w:id="38"/>
      <w:bookmarkEnd w:id="39"/>
    </w:p>
    <w:tbl>
      <w:tblPr>
        <w:tblStyle w:val="32"/>
        <w:tblW w:w="98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3"/>
        <w:gridCol w:w="7798"/>
      </w:tblGrid>
      <w:tr w14:paraId="13D9E7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top w:val="double" w:color="auto" w:sz="4" w:space="0"/>
              <w:left w:val="double" w:color="auto" w:sz="4" w:space="0"/>
            </w:tcBorders>
            <w:vAlign w:val="center"/>
          </w:tcPr>
          <w:p w14:paraId="2D060723">
            <w:pPr>
              <w:pStyle w:val="10"/>
              <w:snapToGrid w:val="0"/>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项目概况</w:t>
            </w:r>
          </w:p>
        </w:tc>
        <w:tc>
          <w:tcPr>
            <w:tcW w:w="7798" w:type="dxa"/>
            <w:tcBorders>
              <w:top w:val="double" w:color="auto" w:sz="4" w:space="0"/>
              <w:right w:val="double" w:color="auto" w:sz="4" w:space="0"/>
            </w:tcBorders>
            <w:vAlign w:val="center"/>
          </w:tcPr>
          <w:p w14:paraId="3A9352D5">
            <w:pPr>
              <w:pStyle w:val="29"/>
              <w:tabs>
                <w:tab w:val="left" w:pos="6930"/>
              </w:tabs>
              <w:spacing w:beforeAutospacing="0" w:afterAutospacing="0" w:line="300" w:lineRule="auto"/>
              <w:rPr>
                <w:rFonts w:hint="eastAsia" w:ascii="仿宋" w:hAnsi="仿宋" w:eastAsia="仿宋" w:cs="仿宋"/>
                <w:bCs/>
                <w:color w:val="auto"/>
                <w:sz w:val="21"/>
                <w:szCs w:val="21"/>
                <w:lang w:eastAsia="zh-CN"/>
              </w:rPr>
            </w:pPr>
            <w:r>
              <w:rPr>
                <w:rFonts w:hint="eastAsia" w:ascii="仿宋" w:hAnsi="仿宋" w:eastAsia="仿宋" w:cs="仿宋"/>
                <w:bCs/>
                <w:color w:val="auto"/>
                <w:sz w:val="21"/>
                <w:szCs w:val="21"/>
              </w:rPr>
              <w:t>项目名称：</w:t>
            </w:r>
            <w:r>
              <w:rPr>
                <w:rFonts w:hint="eastAsia" w:ascii="仿宋" w:hAnsi="仿宋" w:eastAsia="仿宋" w:cs="仿宋"/>
                <w:bCs/>
                <w:color w:val="auto"/>
                <w:sz w:val="21"/>
                <w:szCs w:val="21"/>
                <w:lang w:eastAsia="zh-CN"/>
              </w:rPr>
              <w:t xml:space="preserve"> 常山县城东新区狮子口片区控规调整</w:t>
            </w:r>
          </w:p>
          <w:p w14:paraId="739AEA63">
            <w:pPr>
              <w:pStyle w:val="29"/>
              <w:tabs>
                <w:tab w:val="left" w:pos="6930"/>
              </w:tabs>
              <w:spacing w:beforeAutospacing="0" w:afterAutospacing="0" w:line="300" w:lineRule="auto"/>
              <w:rPr>
                <w:rFonts w:hint="eastAsia" w:ascii="仿宋" w:hAnsi="仿宋" w:eastAsia="仿宋" w:cs="仿宋"/>
                <w:b/>
                <w:bCs/>
                <w:color w:val="auto"/>
                <w:kern w:val="2"/>
                <w:sz w:val="21"/>
                <w:lang w:eastAsia="zh-CN"/>
              </w:rPr>
            </w:pPr>
            <w:r>
              <w:rPr>
                <w:rFonts w:hint="eastAsia" w:ascii="仿宋" w:hAnsi="仿宋" w:eastAsia="仿宋" w:cs="仿宋"/>
                <w:bCs/>
                <w:color w:val="auto"/>
                <w:sz w:val="21"/>
                <w:szCs w:val="21"/>
              </w:rPr>
              <w:t>项目编号：</w:t>
            </w:r>
            <w:r>
              <w:rPr>
                <w:rFonts w:hint="eastAsia" w:ascii="仿宋" w:hAnsi="仿宋" w:eastAsia="仿宋" w:cs="仿宋"/>
                <w:bCs/>
                <w:color w:val="auto"/>
                <w:sz w:val="21"/>
                <w:szCs w:val="21"/>
                <w:lang w:eastAsia="zh-CN"/>
              </w:rPr>
              <w:t>GXZFCG-2025-CS003</w:t>
            </w:r>
          </w:p>
        </w:tc>
      </w:tr>
      <w:tr w14:paraId="44D2AC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6" w:hRule="atLeast"/>
          <w:jc w:val="center"/>
        </w:trPr>
        <w:tc>
          <w:tcPr>
            <w:tcW w:w="2053" w:type="dxa"/>
            <w:tcBorders>
              <w:left w:val="double" w:color="auto" w:sz="4" w:space="0"/>
            </w:tcBorders>
            <w:vAlign w:val="center"/>
          </w:tcPr>
          <w:p w14:paraId="0F035904">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采购内容</w:t>
            </w:r>
          </w:p>
        </w:tc>
        <w:tc>
          <w:tcPr>
            <w:tcW w:w="7798" w:type="dxa"/>
            <w:tcBorders>
              <w:right w:val="double" w:color="auto" w:sz="4" w:space="0"/>
            </w:tcBorders>
            <w:vAlign w:val="center"/>
          </w:tcPr>
          <w:p w14:paraId="38C2DEA3">
            <w:pPr>
              <w:pStyle w:val="29"/>
              <w:tabs>
                <w:tab w:val="left" w:pos="6930"/>
              </w:tabs>
              <w:spacing w:beforeAutospacing="0" w:afterAutospacing="0" w:line="300" w:lineRule="auto"/>
              <w:rPr>
                <w:rFonts w:hint="eastAsia" w:ascii="仿宋" w:hAnsi="仿宋" w:eastAsia="仿宋" w:cs="仿宋"/>
                <w:b/>
                <w:bCs/>
                <w:color w:val="auto"/>
                <w:kern w:val="2"/>
                <w:sz w:val="21"/>
              </w:rPr>
            </w:pPr>
            <w:r>
              <w:rPr>
                <w:rFonts w:hint="eastAsia" w:ascii="仿宋" w:hAnsi="仿宋" w:eastAsia="仿宋" w:cs="仿宋"/>
                <w:bCs/>
                <w:color w:val="auto"/>
                <w:sz w:val="21"/>
                <w:szCs w:val="21"/>
                <w:highlight w:val="none"/>
              </w:rPr>
              <w:t>具体内容及要求详见采购文件第三章。</w:t>
            </w:r>
          </w:p>
        </w:tc>
      </w:tr>
      <w:tr w14:paraId="0A3D34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76" w:hRule="atLeast"/>
          <w:jc w:val="center"/>
        </w:trPr>
        <w:tc>
          <w:tcPr>
            <w:tcW w:w="2053" w:type="dxa"/>
            <w:tcBorders>
              <w:left w:val="double" w:color="auto" w:sz="4" w:space="0"/>
            </w:tcBorders>
            <w:vAlign w:val="center"/>
          </w:tcPr>
          <w:p w14:paraId="739A5AF6">
            <w:pPr>
              <w:keepNext w:val="0"/>
              <w:keepLines w:val="0"/>
              <w:pageBreakBefore w:val="0"/>
              <w:kinsoku/>
              <w:overflowPunct/>
              <w:topLinePunct w:val="0"/>
              <w:bidi w:val="0"/>
              <w:adjustRightInd/>
              <w:snapToGrid/>
              <w:spacing w:line="360" w:lineRule="auto"/>
              <w:jc w:val="center"/>
              <w:rPr>
                <w:rFonts w:hint="eastAsia" w:ascii="仿宋" w:hAnsi="仿宋" w:eastAsia="仿宋" w:cs="仿宋"/>
                <w:b w:val="0"/>
                <w:bCs w:val="0"/>
                <w:color w:val="auto"/>
                <w:kern w:val="2"/>
                <w:sz w:val="21"/>
                <w:highlight w:val="none"/>
              </w:rPr>
            </w:pPr>
            <w:r>
              <w:rPr>
                <w:rFonts w:hint="eastAsia" w:ascii="仿宋" w:hAnsi="仿宋" w:eastAsia="仿宋" w:cs="仿宋"/>
                <w:color w:val="auto"/>
                <w:szCs w:val="21"/>
                <w:highlight w:val="none"/>
                <w:lang w:eastAsia="zh-CN"/>
              </w:rPr>
              <w:t>最高限价（单价）</w:t>
            </w:r>
          </w:p>
        </w:tc>
        <w:tc>
          <w:tcPr>
            <w:tcW w:w="7798" w:type="dxa"/>
            <w:tcBorders>
              <w:right w:val="double" w:color="auto" w:sz="4" w:space="0"/>
            </w:tcBorders>
            <w:vAlign w:val="center"/>
          </w:tcPr>
          <w:p w14:paraId="686A0309">
            <w:pPr>
              <w:keepNext w:val="0"/>
              <w:keepLines w:val="0"/>
              <w:pageBreakBefore w:val="0"/>
              <w:kinsoku/>
              <w:overflowPunct/>
              <w:topLinePunct w:val="0"/>
              <w:bidi w:val="0"/>
              <w:adjustRightInd/>
              <w:snapToGrid/>
              <w:spacing w:line="360" w:lineRule="auto"/>
              <w:jc w:val="left"/>
              <w:rPr>
                <w:rFonts w:hint="eastAsia" w:ascii="仿宋" w:hAnsi="仿宋" w:eastAsia="仿宋" w:cs="仿宋"/>
                <w:b w:val="0"/>
                <w:bCs w:val="0"/>
                <w:color w:val="auto"/>
                <w:kern w:val="2"/>
                <w:sz w:val="21"/>
                <w:highlight w:val="none"/>
              </w:rPr>
            </w:pPr>
            <w:r>
              <w:rPr>
                <w:rFonts w:hint="eastAsia" w:ascii="仿宋" w:hAnsi="仿宋" w:eastAsia="仿宋" w:cs="仿宋"/>
                <w:color w:val="auto"/>
                <w:kern w:val="0"/>
                <w:sz w:val="21"/>
                <w:szCs w:val="21"/>
                <w:highlight w:val="none"/>
                <w:lang w:val="en-US" w:eastAsia="zh-CN" w:bidi="ar-SA"/>
              </w:rPr>
              <w:t>▲最高限价：850000元，磋商报价（含初次报价和最后报价）高于最高限价的，按无效响应处理。</w:t>
            </w:r>
          </w:p>
        </w:tc>
      </w:tr>
      <w:tr w14:paraId="64CD27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jc w:val="center"/>
        </w:trPr>
        <w:tc>
          <w:tcPr>
            <w:tcW w:w="2053" w:type="dxa"/>
            <w:tcBorders>
              <w:left w:val="double" w:color="auto" w:sz="4" w:space="0"/>
            </w:tcBorders>
            <w:vAlign w:val="center"/>
          </w:tcPr>
          <w:p w14:paraId="1C01EFF8">
            <w:pPr>
              <w:keepNext w:val="0"/>
              <w:keepLines w:val="0"/>
              <w:pageBreakBefore w:val="0"/>
              <w:kinsoku/>
              <w:overflowPunct/>
              <w:topLinePunct w:val="0"/>
              <w:bidi w:val="0"/>
              <w:adjustRightInd w:val="0"/>
              <w:snapToGrid w:val="0"/>
              <w:spacing w:line="300" w:lineRule="auto"/>
              <w:jc w:val="center"/>
              <w:rPr>
                <w:rFonts w:hint="eastAsia" w:ascii="仿宋" w:hAnsi="仿宋" w:eastAsia="仿宋" w:cs="仿宋"/>
                <w:b w:val="0"/>
                <w:bCs w:val="0"/>
                <w:color w:val="auto"/>
                <w:kern w:val="2"/>
                <w:sz w:val="21"/>
                <w:lang w:eastAsia="zh-CN"/>
              </w:rPr>
            </w:pPr>
            <w:r>
              <w:rPr>
                <w:rFonts w:hint="eastAsia" w:ascii="仿宋" w:hAnsi="仿宋" w:eastAsia="仿宋" w:cs="仿宋"/>
                <w:color w:val="auto"/>
                <w:szCs w:val="21"/>
                <w:lang w:eastAsia="zh-CN"/>
              </w:rPr>
              <w:t>服务期限</w:t>
            </w:r>
          </w:p>
        </w:tc>
        <w:tc>
          <w:tcPr>
            <w:tcW w:w="7798" w:type="dxa"/>
            <w:tcBorders>
              <w:right w:val="double" w:color="auto" w:sz="4" w:space="0"/>
            </w:tcBorders>
            <w:vAlign w:val="center"/>
          </w:tcPr>
          <w:p w14:paraId="44FE1619">
            <w:pPr>
              <w:pStyle w:val="10"/>
              <w:keepNext w:val="0"/>
              <w:keepLines w:val="0"/>
              <w:pageBreakBefore w:val="0"/>
              <w:kinsoku/>
              <w:overflowPunct/>
              <w:topLinePunct w:val="0"/>
              <w:bidi w:val="0"/>
              <w:adjustRightInd w:val="0"/>
              <w:snapToGrid w:val="0"/>
              <w:spacing w:before="0" w:line="300" w:lineRule="auto"/>
              <w:rPr>
                <w:rFonts w:hint="eastAsia" w:ascii="仿宋" w:hAnsi="仿宋" w:eastAsia="仿宋" w:cs="仿宋"/>
                <w:b w:val="0"/>
                <w:bCs w:val="0"/>
                <w:color w:val="auto"/>
                <w:kern w:val="2"/>
                <w:sz w:val="21"/>
                <w:lang w:eastAsia="zh-CN"/>
              </w:rPr>
            </w:pPr>
            <w:r>
              <w:rPr>
                <w:rFonts w:hint="eastAsia" w:ascii="仿宋" w:hAnsi="仿宋" w:eastAsia="仿宋" w:cs="仿宋"/>
                <w:b w:val="0"/>
                <w:bCs w:val="0"/>
                <w:color w:val="auto"/>
                <w:kern w:val="2"/>
                <w:sz w:val="21"/>
                <w:highlight w:val="none"/>
                <w:lang w:eastAsia="zh-CN"/>
              </w:rPr>
              <w:t>详见第三章采购内容及要求</w:t>
            </w:r>
          </w:p>
        </w:tc>
      </w:tr>
      <w:tr w14:paraId="4A93C7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2053" w:type="dxa"/>
            <w:tcBorders>
              <w:left w:val="double" w:color="auto" w:sz="4" w:space="0"/>
            </w:tcBorders>
            <w:vAlign w:val="center"/>
          </w:tcPr>
          <w:p w14:paraId="60178157">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采购方式</w:t>
            </w:r>
          </w:p>
        </w:tc>
        <w:tc>
          <w:tcPr>
            <w:tcW w:w="7798" w:type="dxa"/>
            <w:tcBorders>
              <w:right w:val="double" w:color="auto" w:sz="4" w:space="0"/>
            </w:tcBorders>
            <w:vAlign w:val="center"/>
          </w:tcPr>
          <w:p w14:paraId="1E6A50B6">
            <w:pPr>
              <w:pStyle w:val="29"/>
              <w:tabs>
                <w:tab w:val="left" w:pos="6930"/>
              </w:tabs>
              <w:wordWrap w:val="0"/>
              <w:spacing w:before="0" w:beforeAutospacing="0" w:after="0" w:afterAutospacing="0" w:line="300" w:lineRule="auto"/>
              <w:rPr>
                <w:rFonts w:hint="eastAsia" w:ascii="仿宋" w:hAnsi="仿宋" w:eastAsia="仿宋" w:cs="仿宋"/>
                <w:b w:val="0"/>
                <w:bCs w:val="0"/>
                <w:color w:val="auto"/>
                <w:kern w:val="2"/>
                <w:sz w:val="21"/>
              </w:rPr>
            </w:pPr>
            <w:r>
              <w:rPr>
                <w:rFonts w:hint="eastAsia" w:ascii="仿宋" w:hAnsi="仿宋" w:eastAsia="仿宋" w:cs="仿宋"/>
                <w:color w:val="auto"/>
                <w:kern w:val="2"/>
                <w:sz w:val="21"/>
              </w:rPr>
              <w:t>竞争性磋商</w:t>
            </w:r>
          </w:p>
        </w:tc>
      </w:tr>
      <w:tr w14:paraId="40924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2F3FAAFC">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评审方法</w:t>
            </w:r>
          </w:p>
        </w:tc>
        <w:tc>
          <w:tcPr>
            <w:tcW w:w="7798" w:type="dxa"/>
            <w:tcBorders>
              <w:right w:val="double" w:color="auto" w:sz="4" w:space="0"/>
            </w:tcBorders>
            <w:vAlign w:val="center"/>
          </w:tcPr>
          <w:p w14:paraId="06B089D6">
            <w:pPr>
              <w:pStyle w:val="10"/>
              <w:adjustRightInd w:val="0"/>
              <w:snapToGrid w:val="0"/>
              <w:spacing w:before="0" w:line="300" w:lineRule="auto"/>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综合评分法</w:t>
            </w:r>
          </w:p>
        </w:tc>
      </w:tr>
      <w:tr w14:paraId="2BBC4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7" w:hRule="atLeast"/>
          <w:jc w:val="center"/>
        </w:trPr>
        <w:tc>
          <w:tcPr>
            <w:tcW w:w="2053" w:type="dxa"/>
            <w:tcBorders>
              <w:left w:val="double" w:color="auto" w:sz="4" w:space="0"/>
            </w:tcBorders>
            <w:vAlign w:val="center"/>
          </w:tcPr>
          <w:p w14:paraId="7F3A7CFB">
            <w:pPr>
              <w:pStyle w:val="10"/>
              <w:keepNext w:val="0"/>
              <w:keepLines w:val="0"/>
              <w:pageBreakBefore w:val="0"/>
              <w:kinsoku/>
              <w:overflowPunct/>
              <w:topLinePunct w:val="0"/>
              <w:bidi w:val="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lang w:eastAsia="zh-CN"/>
              </w:rPr>
              <w:t>供应商</w:t>
            </w:r>
            <w:r>
              <w:rPr>
                <w:rFonts w:hint="eastAsia" w:ascii="仿宋" w:hAnsi="仿宋" w:eastAsia="仿宋" w:cs="仿宋"/>
                <w:b w:val="0"/>
                <w:bCs w:val="0"/>
                <w:color w:val="auto"/>
                <w:kern w:val="2"/>
                <w:sz w:val="21"/>
              </w:rPr>
              <w:t>资格要求</w:t>
            </w:r>
          </w:p>
        </w:tc>
        <w:tc>
          <w:tcPr>
            <w:tcW w:w="7798" w:type="dxa"/>
            <w:tcBorders>
              <w:right w:val="double" w:color="auto" w:sz="4" w:space="0"/>
            </w:tcBorders>
            <w:vAlign w:val="center"/>
          </w:tcPr>
          <w:p w14:paraId="3A58CD1B">
            <w:pPr>
              <w:pStyle w:val="10"/>
              <w:keepNext w:val="0"/>
              <w:keepLines w:val="0"/>
              <w:pageBreakBefore w:val="0"/>
              <w:kinsoku/>
              <w:overflowPunct/>
              <w:topLinePunct w:val="0"/>
              <w:bidi w:val="0"/>
              <w:snapToGrid w:val="0"/>
              <w:spacing w:before="0" w:line="300" w:lineRule="auto"/>
              <w:jc w:val="left"/>
              <w:rPr>
                <w:rFonts w:hint="eastAsia" w:ascii="仿宋" w:hAnsi="仿宋" w:eastAsia="仿宋" w:cs="仿宋"/>
                <w:color w:val="auto"/>
                <w:sz w:val="21"/>
                <w:szCs w:val="21"/>
              </w:rPr>
            </w:pPr>
            <w:r>
              <w:rPr>
                <w:rFonts w:hint="eastAsia" w:ascii="仿宋" w:hAnsi="仿宋" w:eastAsia="仿宋" w:cs="仿宋"/>
                <w:b w:val="0"/>
                <w:bCs w:val="0"/>
                <w:color w:val="auto"/>
                <w:kern w:val="2"/>
                <w:sz w:val="21"/>
              </w:rPr>
              <w:t>详见</w:t>
            </w:r>
            <w:r>
              <w:rPr>
                <w:rFonts w:hint="eastAsia" w:ascii="仿宋" w:hAnsi="仿宋" w:eastAsia="仿宋" w:cs="仿宋"/>
                <w:b w:val="0"/>
                <w:bCs w:val="0"/>
                <w:color w:val="auto"/>
                <w:kern w:val="2"/>
                <w:sz w:val="21"/>
                <w:lang w:eastAsia="zh-CN"/>
              </w:rPr>
              <w:t>采购</w:t>
            </w:r>
            <w:r>
              <w:rPr>
                <w:rFonts w:hint="eastAsia" w:ascii="仿宋" w:hAnsi="仿宋" w:eastAsia="仿宋" w:cs="仿宋"/>
                <w:b w:val="0"/>
                <w:bCs w:val="0"/>
                <w:color w:val="auto"/>
                <w:kern w:val="2"/>
                <w:sz w:val="21"/>
              </w:rPr>
              <w:t>公告</w:t>
            </w:r>
          </w:p>
        </w:tc>
      </w:tr>
      <w:tr w14:paraId="1C973D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053" w:type="dxa"/>
            <w:tcBorders>
              <w:left w:val="double" w:color="auto" w:sz="4" w:space="0"/>
            </w:tcBorders>
            <w:vAlign w:val="center"/>
          </w:tcPr>
          <w:p w14:paraId="317F742B">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现场踏勘</w:t>
            </w:r>
          </w:p>
        </w:tc>
        <w:tc>
          <w:tcPr>
            <w:tcW w:w="7798" w:type="dxa"/>
            <w:tcBorders>
              <w:right w:val="double" w:color="auto" w:sz="4" w:space="0"/>
            </w:tcBorders>
            <w:vAlign w:val="center"/>
          </w:tcPr>
          <w:p w14:paraId="0C0A30E8">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本次采购不组织集中踏勘现场</w:t>
            </w:r>
          </w:p>
        </w:tc>
      </w:tr>
      <w:tr w14:paraId="0AA563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5694D92A">
            <w:pPr>
              <w:snapToGrid w:val="0"/>
              <w:spacing w:line="360" w:lineRule="auto"/>
              <w:jc w:val="center"/>
              <w:textAlignment w:val="baseline"/>
              <w:rPr>
                <w:rFonts w:hint="eastAsia" w:ascii="仿宋" w:hAnsi="仿宋" w:eastAsia="仿宋" w:cs="仿宋"/>
                <w:b w:val="0"/>
                <w:bCs w:val="0"/>
                <w:color w:val="auto"/>
                <w:kern w:val="2"/>
                <w:sz w:val="21"/>
              </w:rPr>
            </w:pPr>
            <w:r>
              <w:rPr>
                <w:rStyle w:val="71"/>
                <w:rFonts w:hint="eastAsia" w:ascii="仿宋" w:hAnsi="仿宋" w:eastAsia="仿宋" w:cs="仿宋"/>
                <w:color w:val="auto"/>
                <w:szCs w:val="21"/>
              </w:rPr>
              <w:t>是否允许递交备选投标方案</w:t>
            </w:r>
          </w:p>
        </w:tc>
        <w:tc>
          <w:tcPr>
            <w:tcW w:w="7798" w:type="dxa"/>
            <w:tcBorders>
              <w:right w:val="double" w:color="auto" w:sz="4" w:space="0"/>
            </w:tcBorders>
            <w:vAlign w:val="center"/>
          </w:tcPr>
          <w:p w14:paraId="5B7C9EAD">
            <w:pPr>
              <w:pStyle w:val="98"/>
              <w:widowControl/>
              <w:snapToGrid w:val="0"/>
              <w:spacing w:before="0" w:line="360" w:lineRule="auto"/>
              <w:rPr>
                <w:rFonts w:hint="eastAsia" w:ascii="仿宋" w:hAnsi="仿宋" w:eastAsia="仿宋" w:cs="仿宋"/>
                <w:color w:val="auto"/>
                <w:sz w:val="21"/>
                <w:szCs w:val="21"/>
                <w:u w:color="000000"/>
              </w:rPr>
            </w:pPr>
            <w:r>
              <w:rPr>
                <w:rStyle w:val="71"/>
                <w:rFonts w:hint="eastAsia" w:ascii="仿宋" w:hAnsi="仿宋" w:eastAsia="仿宋" w:cs="仿宋"/>
                <w:b w:val="0"/>
                <w:bCs w:val="0"/>
                <w:color w:val="auto"/>
                <w:kern w:val="2"/>
                <w:sz w:val="21"/>
              </w:rPr>
              <w:t>不允许</w:t>
            </w:r>
          </w:p>
        </w:tc>
      </w:tr>
      <w:tr w14:paraId="6A47CA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053" w:type="dxa"/>
            <w:tcBorders>
              <w:left w:val="double" w:color="auto" w:sz="4" w:space="0"/>
            </w:tcBorders>
            <w:vAlign w:val="center"/>
          </w:tcPr>
          <w:p w14:paraId="468BF4AC">
            <w:pPr>
              <w:pStyle w:val="10"/>
              <w:snapToGrid w:val="0"/>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获取磋商文件</w:t>
            </w:r>
          </w:p>
        </w:tc>
        <w:tc>
          <w:tcPr>
            <w:tcW w:w="7798" w:type="dxa"/>
            <w:tcBorders>
              <w:right w:val="double" w:color="auto" w:sz="4" w:space="0"/>
            </w:tcBorders>
            <w:vAlign w:val="center"/>
          </w:tcPr>
          <w:p w14:paraId="6797DD81">
            <w:pPr>
              <w:pStyle w:val="29"/>
              <w:spacing w:beforeAutospacing="0" w:afterAutospacing="0" w:line="300" w:lineRule="auto"/>
              <w:rPr>
                <w:rFonts w:hint="eastAsia" w:ascii="仿宋" w:hAnsi="仿宋" w:eastAsia="仿宋" w:cs="仿宋"/>
                <w:color w:val="auto"/>
                <w:sz w:val="21"/>
                <w:szCs w:val="21"/>
                <w:u w:color="000000"/>
              </w:rPr>
            </w:pPr>
            <w:r>
              <w:rPr>
                <w:rFonts w:hint="eastAsia" w:ascii="仿宋" w:hAnsi="仿宋" w:eastAsia="仿宋" w:cs="仿宋"/>
                <w:color w:val="auto"/>
                <w:sz w:val="21"/>
                <w:szCs w:val="21"/>
                <w:u w:color="000000"/>
              </w:rPr>
              <w:t>1.获取时间：公告发布之日起至响应</w:t>
            </w:r>
            <w:r>
              <w:rPr>
                <w:rFonts w:hint="eastAsia" w:ascii="仿宋" w:hAnsi="仿宋" w:eastAsia="仿宋" w:cs="仿宋"/>
                <w:color w:val="auto"/>
                <w:sz w:val="21"/>
                <w:szCs w:val="21"/>
                <w:u w:color="000000"/>
                <w:lang w:eastAsia="zh-CN"/>
              </w:rPr>
              <w:t>截至时间</w:t>
            </w:r>
            <w:r>
              <w:rPr>
                <w:rFonts w:hint="eastAsia" w:ascii="仿宋" w:hAnsi="仿宋" w:eastAsia="仿宋" w:cs="仿宋"/>
                <w:color w:val="auto"/>
                <w:sz w:val="21"/>
                <w:szCs w:val="21"/>
                <w:u w:color="000000"/>
              </w:rPr>
              <w:t>止【响应</w:t>
            </w:r>
            <w:r>
              <w:rPr>
                <w:rFonts w:hint="eastAsia" w:ascii="仿宋" w:hAnsi="仿宋" w:eastAsia="仿宋" w:cs="仿宋"/>
                <w:color w:val="auto"/>
                <w:sz w:val="21"/>
                <w:szCs w:val="21"/>
                <w:u w:color="000000"/>
                <w:lang w:eastAsia="zh-CN"/>
              </w:rPr>
              <w:t>截至时间</w:t>
            </w:r>
            <w:r>
              <w:rPr>
                <w:rFonts w:hint="eastAsia" w:ascii="仿宋" w:hAnsi="仿宋" w:eastAsia="仿宋" w:cs="仿宋"/>
                <w:color w:val="auto"/>
                <w:sz w:val="21"/>
                <w:szCs w:val="21"/>
                <w:u w:color="000000"/>
              </w:rPr>
              <w:t>前均允许潜在供应商获取采购文件，但该供应商如对采购文件有异议应按本公告“质疑和投诉”规定的时限提出；逾期提出的，采购代理机构不予受理、答复】；</w:t>
            </w:r>
          </w:p>
          <w:p w14:paraId="67AA3971">
            <w:pPr>
              <w:pStyle w:val="29"/>
              <w:spacing w:beforeAutospacing="0" w:afterAutospacing="0" w:line="300" w:lineRule="auto"/>
              <w:rPr>
                <w:rFonts w:hint="eastAsia" w:ascii="仿宋" w:hAnsi="仿宋" w:eastAsia="仿宋" w:cs="仿宋"/>
                <w:color w:val="auto"/>
                <w:sz w:val="21"/>
                <w:szCs w:val="21"/>
                <w:u w:color="000000"/>
              </w:rPr>
            </w:pPr>
            <w:r>
              <w:rPr>
                <w:rFonts w:hint="eastAsia" w:ascii="仿宋" w:hAnsi="仿宋" w:eastAsia="仿宋" w:cs="仿宋"/>
                <w:color w:val="auto"/>
                <w:sz w:val="21"/>
                <w:szCs w:val="21"/>
                <w:u w:color="000000"/>
              </w:rPr>
              <w:t>2.获取地点：浙江政府采购网本项目公告附件或政府采购云平台（www.zcygov.cn）；</w:t>
            </w:r>
          </w:p>
          <w:p w14:paraId="3729715A">
            <w:pPr>
              <w:pStyle w:val="29"/>
              <w:spacing w:beforeAutospacing="0" w:afterAutospacing="0" w:line="300" w:lineRule="auto"/>
              <w:rPr>
                <w:rFonts w:hint="eastAsia" w:ascii="仿宋" w:hAnsi="仿宋" w:eastAsia="仿宋" w:cs="仿宋"/>
                <w:color w:val="auto"/>
                <w:sz w:val="21"/>
                <w:szCs w:val="21"/>
                <w:u w:color="000000"/>
              </w:rPr>
            </w:pPr>
            <w:r>
              <w:rPr>
                <w:rFonts w:hint="eastAsia" w:ascii="仿宋" w:hAnsi="仿宋" w:eastAsia="仿宋" w:cs="仿宋"/>
                <w:color w:val="auto"/>
                <w:sz w:val="21"/>
                <w:szCs w:val="21"/>
                <w:u w:color="000000"/>
              </w:rPr>
              <w:t>3.获取方式：</w:t>
            </w:r>
          </w:p>
          <w:p w14:paraId="23247519">
            <w:pPr>
              <w:pStyle w:val="29"/>
              <w:spacing w:beforeAutospacing="0" w:afterAutospacing="0" w:line="300" w:lineRule="auto"/>
              <w:rPr>
                <w:rFonts w:hint="eastAsia" w:ascii="仿宋" w:hAnsi="仿宋" w:eastAsia="仿宋" w:cs="仿宋"/>
                <w:color w:val="auto"/>
                <w:sz w:val="21"/>
                <w:szCs w:val="21"/>
                <w:u w:color="000000"/>
              </w:rPr>
            </w:pPr>
            <w:r>
              <w:rPr>
                <w:rFonts w:hint="eastAsia" w:ascii="仿宋" w:hAnsi="仿宋" w:eastAsia="仿宋" w:cs="仿宋"/>
                <w:color w:val="auto"/>
                <w:sz w:val="21"/>
                <w:szCs w:val="21"/>
                <w:u w:color="000000"/>
              </w:rPr>
              <w:t>3.1本项目采购文件实行“政府采购云平台”在线获取，不提供采购文件纸质版。</w:t>
            </w:r>
          </w:p>
          <w:p w14:paraId="4A95A37C">
            <w:pPr>
              <w:pStyle w:val="29"/>
              <w:spacing w:beforeAutospacing="0" w:afterAutospacing="0" w:line="300" w:lineRule="auto"/>
              <w:rPr>
                <w:rFonts w:hint="eastAsia" w:ascii="仿宋" w:hAnsi="仿宋" w:eastAsia="仿宋" w:cs="仿宋"/>
                <w:color w:val="auto"/>
                <w:sz w:val="21"/>
                <w:szCs w:val="21"/>
                <w:u w:color="000000"/>
              </w:rPr>
            </w:pPr>
            <w:r>
              <w:rPr>
                <w:rFonts w:hint="eastAsia" w:ascii="仿宋" w:hAnsi="仿宋" w:eastAsia="仿宋" w:cs="仿宋"/>
                <w:color w:val="auto"/>
                <w:sz w:val="21"/>
                <w:szCs w:val="21"/>
                <w:u w:color="000000"/>
              </w:rPr>
              <w:t>3.2供应商获取采购文件前应先完成“政府采购云平台”的账号注册，注册流程详见“第六章响应文件格式”附件。</w:t>
            </w:r>
          </w:p>
          <w:p w14:paraId="5B3C8B97">
            <w:pPr>
              <w:pStyle w:val="29"/>
              <w:spacing w:beforeAutospacing="0" w:afterAutospacing="0" w:line="30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u w:color="000000"/>
              </w:rPr>
              <w:t>3.3潜在供应商登录政采云平台，在线申请获取采购文件（进入“项目采购”应用，在获取采购文件菜单中选择本项目并申请获取采购文件。【通过本项目采购公告下方“游客--浏览采购文件”下载的采购文件仅供浏览，不视作依法获取采购文件。通过此方式获取及下载采购文件导致无法提交响应文件或响应无效的责任由供应商自行承担】</w:t>
            </w:r>
            <w:r>
              <w:rPr>
                <w:rFonts w:hint="eastAsia" w:ascii="仿宋" w:hAnsi="仿宋" w:eastAsia="仿宋" w:cs="仿宋"/>
                <w:color w:val="auto"/>
                <w:sz w:val="21"/>
                <w:szCs w:val="21"/>
                <w:u w:color="000000"/>
                <w:lang w:eastAsia="zh-CN"/>
              </w:rPr>
              <w:t>。</w:t>
            </w:r>
          </w:p>
        </w:tc>
      </w:tr>
      <w:tr w14:paraId="532AE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1DDF95A2">
            <w:pPr>
              <w:pStyle w:val="10"/>
              <w:snapToGrid w:val="0"/>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磋商保证金</w:t>
            </w:r>
          </w:p>
        </w:tc>
        <w:tc>
          <w:tcPr>
            <w:tcW w:w="7798" w:type="dxa"/>
            <w:tcBorders>
              <w:right w:val="double" w:color="auto" w:sz="4" w:space="0"/>
            </w:tcBorders>
            <w:vAlign w:val="center"/>
          </w:tcPr>
          <w:p w14:paraId="1C01A426">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1.根据《浙江省财政厅关于明确政府采购保证金管理工作的通知》（浙财采监〔2019〕5号）规定，本项目无需缴纳磋商保证金。</w:t>
            </w:r>
          </w:p>
          <w:p w14:paraId="6CD41924">
            <w:pPr>
              <w:pStyle w:val="29"/>
              <w:tabs>
                <w:tab w:val="left" w:pos="6930"/>
              </w:tabs>
              <w:spacing w:beforeAutospacing="0" w:afterAutospacing="0" w:line="300" w:lineRule="auto"/>
              <w:rPr>
                <w:rFonts w:hint="eastAsia" w:ascii="仿宋" w:hAnsi="仿宋" w:eastAsia="仿宋" w:cs="仿宋"/>
                <w:b/>
                <w:color w:val="auto"/>
                <w:szCs w:val="21"/>
              </w:rPr>
            </w:pPr>
            <w:r>
              <w:rPr>
                <w:rFonts w:hint="eastAsia" w:ascii="仿宋" w:hAnsi="仿宋" w:eastAsia="仿宋" w:cs="仿宋"/>
                <w:color w:val="auto"/>
                <w:sz w:val="21"/>
                <w:szCs w:val="21"/>
              </w:rPr>
              <w:t>2.供应商在响应有效期内撤回响应文件或者成交供应商在法定期限内无正当理由不与采购人签订合同或无法按照磋商标文件承诺的条件与采购人签订合同的，应当按照本项目最高限价2%的标准承担因此给采购人造成的损失的赔偿责任及相应的法律责任。</w:t>
            </w:r>
          </w:p>
        </w:tc>
      </w:tr>
      <w:tr w14:paraId="098ABB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7E517214">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磋商文件的澄清与修改</w:t>
            </w:r>
          </w:p>
        </w:tc>
        <w:tc>
          <w:tcPr>
            <w:tcW w:w="7798" w:type="dxa"/>
            <w:tcBorders>
              <w:right w:val="double" w:color="auto" w:sz="4" w:space="0"/>
            </w:tcBorders>
            <w:vAlign w:val="center"/>
          </w:tcPr>
          <w:p w14:paraId="1DEDACB6">
            <w:pPr>
              <w:pStyle w:val="29"/>
              <w:tabs>
                <w:tab w:val="left" w:pos="6930"/>
              </w:tabs>
              <w:spacing w:beforeAutospacing="0" w:afterAutospacing="0" w:line="300" w:lineRule="auto"/>
              <w:rPr>
                <w:rFonts w:hint="eastAsia" w:ascii="仿宋" w:hAnsi="仿宋" w:eastAsia="仿宋" w:cs="仿宋"/>
                <w:b/>
                <w:bCs/>
                <w:color w:val="auto"/>
                <w:kern w:val="2"/>
                <w:sz w:val="21"/>
              </w:rPr>
            </w:pPr>
            <w:r>
              <w:rPr>
                <w:rFonts w:hint="eastAsia" w:ascii="仿宋" w:hAnsi="仿宋" w:eastAsia="仿宋" w:cs="仿宋"/>
                <w:bCs/>
                <w:color w:val="auto"/>
                <w:sz w:val="21"/>
                <w:szCs w:val="21"/>
              </w:rPr>
              <w:t>采购人或者采购代理机构可以对已发出的磋商文件进行必要的澄清或者修改。澄清或者修改的内容在原公告发布媒体上以补充（更正）公告形式通知所有获取磋商文件的潜在供应商。澄清或者修改的内容作为磋商文件的补充和组成部分，对所有供应商均有约束力。澄清或者修改的内容可能影响响应文件编制且发出时间距响应</w:t>
            </w:r>
            <w:r>
              <w:rPr>
                <w:rFonts w:hint="eastAsia" w:ascii="仿宋" w:hAnsi="仿宋" w:eastAsia="仿宋" w:cs="仿宋"/>
                <w:bCs/>
                <w:color w:val="auto"/>
                <w:sz w:val="21"/>
                <w:szCs w:val="21"/>
                <w:lang w:eastAsia="zh-CN"/>
              </w:rPr>
              <w:t>截至时间</w:t>
            </w:r>
            <w:r>
              <w:rPr>
                <w:rFonts w:hint="eastAsia" w:ascii="仿宋" w:hAnsi="仿宋" w:eastAsia="仿宋" w:cs="仿宋"/>
                <w:bCs/>
                <w:color w:val="auto"/>
                <w:sz w:val="21"/>
                <w:szCs w:val="21"/>
              </w:rPr>
              <w:t>不足5日的，将顺延响应文件提交</w:t>
            </w:r>
            <w:r>
              <w:rPr>
                <w:rFonts w:hint="eastAsia" w:ascii="仿宋" w:hAnsi="仿宋" w:eastAsia="仿宋" w:cs="仿宋"/>
                <w:bCs/>
                <w:color w:val="auto"/>
                <w:sz w:val="21"/>
                <w:szCs w:val="21"/>
                <w:lang w:eastAsia="zh-CN"/>
              </w:rPr>
              <w:t>截至时间</w:t>
            </w:r>
            <w:r>
              <w:rPr>
                <w:rFonts w:hint="eastAsia" w:ascii="仿宋" w:hAnsi="仿宋" w:eastAsia="仿宋" w:cs="仿宋"/>
                <w:bCs/>
                <w:color w:val="auto"/>
                <w:sz w:val="21"/>
                <w:szCs w:val="21"/>
              </w:rPr>
              <w:t>。</w:t>
            </w:r>
          </w:p>
        </w:tc>
      </w:tr>
      <w:tr w14:paraId="36088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4C143FF6">
            <w:pPr>
              <w:keepNext w:val="0"/>
              <w:keepLines w:val="0"/>
              <w:pageBreakBefore w:val="0"/>
              <w:kinsoku/>
              <w:overflowPunct/>
              <w:topLinePunct w:val="0"/>
              <w:bidi w:val="0"/>
              <w:adjustRightInd/>
              <w:snapToGrid/>
              <w:spacing w:line="360" w:lineRule="auto"/>
              <w:jc w:val="center"/>
              <w:textAlignment w:val="baseline"/>
              <w:rPr>
                <w:rFonts w:hint="eastAsia" w:ascii="仿宋" w:hAnsi="仿宋" w:eastAsia="仿宋" w:cs="仿宋"/>
                <w:b w:val="0"/>
                <w:bCs w:val="0"/>
                <w:color w:val="auto"/>
                <w:kern w:val="2"/>
                <w:sz w:val="21"/>
              </w:rPr>
            </w:pPr>
            <w:r>
              <w:rPr>
                <w:rFonts w:hint="eastAsia" w:ascii="仿宋" w:hAnsi="仿宋" w:eastAsia="仿宋" w:cs="仿宋"/>
                <w:color w:val="auto"/>
                <w:szCs w:val="21"/>
              </w:rPr>
              <w:t>采购文件答疑</w:t>
            </w:r>
          </w:p>
        </w:tc>
        <w:tc>
          <w:tcPr>
            <w:tcW w:w="7798" w:type="dxa"/>
            <w:tcBorders>
              <w:right w:val="double" w:color="auto" w:sz="4" w:space="0"/>
            </w:tcBorders>
            <w:vAlign w:val="center"/>
          </w:tcPr>
          <w:p w14:paraId="223A04F3">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rPr>
              <w:t>潜在</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认为采购文件存在含糊不清、相互矛盾、多种含义以及歧视性不公正条款或违法违规等内容时，请在</w:t>
            </w:r>
            <w:r>
              <w:rPr>
                <w:rFonts w:hint="eastAsia" w:ascii="仿宋" w:hAnsi="仿宋" w:eastAsia="仿宋" w:cs="仿宋"/>
                <w:color w:val="auto"/>
                <w:sz w:val="21"/>
                <w:szCs w:val="21"/>
                <w:lang w:eastAsia="zh-CN"/>
              </w:rPr>
              <w:t>采购</w:t>
            </w:r>
            <w:r>
              <w:rPr>
                <w:rFonts w:hint="eastAsia" w:ascii="仿宋" w:hAnsi="仿宋" w:eastAsia="仿宋" w:cs="仿宋"/>
                <w:color w:val="auto"/>
                <w:sz w:val="21"/>
                <w:szCs w:val="21"/>
              </w:rPr>
              <w:t>公告期限届满之日起7个工作日内在线提起</w:t>
            </w:r>
            <w:r>
              <w:rPr>
                <w:rFonts w:hint="eastAsia" w:ascii="仿宋" w:hAnsi="仿宋" w:eastAsia="仿宋" w:cs="仿宋"/>
                <w:color w:val="auto"/>
                <w:sz w:val="21"/>
                <w:szCs w:val="21"/>
                <w:lang w:val="en-US" w:eastAsia="zh-CN"/>
              </w:rPr>
              <w:t>相关询问或质疑</w:t>
            </w:r>
            <w:r>
              <w:rPr>
                <w:rFonts w:hint="eastAsia" w:ascii="仿宋" w:hAnsi="仿宋" w:eastAsia="仿宋" w:cs="仿宋"/>
                <w:color w:val="auto"/>
                <w:sz w:val="21"/>
                <w:szCs w:val="21"/>
                <w:lang w:eastAsia="zh-CN"/>
              </w:rPr>
              <w:t>：</w:t>
            </w:r>
          </w:p>
          <w:p w14:paraId="01452FD7">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color w:val="auto"/>
                <w:sz w:val="21"/>
                <w:szCs w:val="21"/>
                <w:lang w:val="en-US" w:eastAsia="zh-CN"/>
              </w:rPr>
            </w:pPr>
            <w:r>
              <w:rPr>
                <w:rFonts w:hint="eastAsia" w:ascii="仿宋" w:hAnsi="仿宋" w:eastAsia="仿宋" w:cs="仿宋"/>
                <w:color w:val="auto"/>
                <w:sz w:val="21"/>
                <w:szCs w:val="21"/>
                <w:lang w:val="en-US" w:eastAsia="zh-CN"/>
              </w:rPr>
              <w:t>在线提供询问</w:t>
            </w:r>
            <w:r>
              <w:rPr>
                <w:rFonts w:hint="eastAsia" w:ascii="仿宋" w:hAnsi="仿宋" w:eastAsia="仿宋" w:cs="仿宋"/>
                <w:color w:val="auto"/>
                <w:sz w:val="21"/>
                <w:szCs w:val="21"/>
              </w:rPr>
              <w:t>路径为：政采云-项目采购-询问质疑投诉-询问列表</w:t>
            </w:r>
            <w:r>
              <w:rPr>
                <w:rFonts w:hint="eastAsia" w:ascii="仿宋" w:hAnsi="仿宋" w:eastAsia="仿宋" w:cs="仿宋"/>
                <w:color w:val="auto"/>
                <w:sz w:val="21"/>
                <w:szCs w:val="21"/>
                <w:lang w:val="en-US" w:eastAsia="zh-CN"/>
              </w:rPr>
              <w:t>；</w:t>
            </w:r>
          </w:p>
          <w:p w14:paraId="1A308977">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在线提起质疑路径为：政采云-项目采购-询问质疑投诉-质疑列表。</w:t>
            </w:r>
          </w:p>
          <w:p w14:paraId="6CB0E71A">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color w:val="auto"/>
                <w:sz w:val="21"/>
                <w:szCs w:val="21"/>
              </w:rPr>
            </w:pPr>
            <w:r>
              <w:rPr>
                <w:rFonts w:hint="eastAsia" w:ascii="仿宋" w:hAnsi="仿宋" w:eastAsia="仿宋" w:cs="仿宋"/>
                <w:color w:val="auto"/>
                <w:sz w:val="21"/>
                <w:szCs w:val="21"/>
              </w:rPr>
              <w:t>质疑供应商对在线质疑答复不满意的，可在线提起投诉，路径为：浙江政</w:t>
            </w:r>
            <w:r>
              <w:rPr>
                <w:rFonts w:hint="eastAsia" w:ascii="仿宋" w:hAnsi="仿宋" w:eastAsia="仿宋" w:cs="仿宋"/>
                <w:color w:val="auto"/>
                <w:sz w:val="21"/>
                <w:szCs w:val="21"/>
                <w:lang w:val="en-US" w:eastAsia="zh-CN"/>
              </w:rPr>
              <w:t>务</w:t>
            </w:r>
            <w:r>
              <w:rPr>
                <w:rFonts w:hint="eastAsia" w:ascii="仿宋" w:hAnsi="仿宋" w:eastAsia="仿宋" w:cs="仿宋"/>
                <w:color w:val="auto"/>
                <w:sz w:val="21"/>
                <w:szCs w:val="21"/>
              </w:rPr>
              <w:t>服务网-政府采购投诉处理-在线办理。</w:t>
            </w:r>
          </w:p>
          <w:p w14:paraId="58D2196D">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color w:val="auto"/>
                <w:sz w:val="21"/>
                <w:szCs w:val="21"/>
                <w:lang w:eastAsia="zh-CN"/>
              </w:rPr>
            </w:pPr>
            <w:r>
              <w:rPr>
                <w:rFonts w:hint="eastAsia" w:ascii="仿宋" w:hAnsi="仿宋" w:eastAsia="仿宋" w:cs="仿宋"/>
                <w:color w:val="auto"/>
                <w:sz w:val="21"/>
                <w:szCs w:val="21"/>
                <w:lang w:eastAsia="zh-CN"/>
              </w:rPr>
              <w:t>除在线提出质疑外，供应商也可以通过</w:t>
            </w:r>
            <w:r>
              <w:rPr>
                <w:rFonts w:hint="eastAsia" w:ascii="仿宋" w:hAnsi="仿宋" w:eastAsia="仿宋" w:cs="仿宋"/>
                <w:color w:val="auto"/>
                <w:sz w:val="21"/>
                <w:szCs w:val="21"/>
                <w:lang w:val="en-US" w:eastAsia="zh-CN"/>
              </w:rPr>
              <w:t>邮箱（617535062@qq.com）或</w:t>
            </w:r>
            <w:r>
              <w:rPr>
                <w:rFonts w:hint="eastAsia" w:ascii="仿宋" w:hAnsi="仿宋" w:eastAsia="仿宋" w:cs="仿宋"/>
                <w:color w:val="auto"/>
                <w:sz w:val="21"/>
                <w:szCs w:val="21"/>
                <w:lang w:eastAsia="zh-CN"/>
              </w:rPr>
              <w:t>线下</w:t>
            </w:r>
            <w:r>
              <w:rPr>
                <w:rFonts w:hint="eastAsia" w:ascii="仿宋" w:hAnsi="仿宋" w:eastAsia="仿宋" w:cs="仿宋"/>
                <w:bCs/>
                <w:color w:val="auto"/>
                <w:sz w:val="21"/>
                <w:szCs w:val="21"/>
                <w:highlight w:val="none"/>
              </w:rPr>
              <w:t>邮寄质疑函</w:t>
            </w:r>
            <w:r>
              <w:rPr>
                <w:rFonts w:hint="eastAsia" w:ascii="仿宋" w:hAnsi="仿宋" w:eastAsia="仿宋" w:cs="仿宋"/>
                <w:bCs/>
                <w:color w:val="auto"/>
                <w:sz w:val="21"/>
                <w:szCs w:val="21"/>
                <w:highlight w:val="none"/>
                <w:lang w:eastAsia="zh-CN"/>
              </w:rPr>
              <w:t>的方式提出质疑，线下提出质疑的，邮寄信息如下：</w:t>
            </w:r>
            <w:r>
              <w:rPr>
                <w:rFonts w:hint="eastAsia" w:ascii="仿宋" w:hAnsi="仿宋" w:eastAsia="仿宋" w:cs="仿宋"/>
                <w:bCs/>
                <w:color w:val="auto"/>
                <w:sz w:val="21"/>
                <w:szCs w:val="21"/>
                <w:highlight w:val="none"/>
                <w:u w:val="single"/>
              </w:rPr>
              <w:t>浙江省衢州市常山县天马街道</w:t>
            </w:r>
            <w:r>
              <w:rPr>
                <w:rFonts w:hint="eastAsia" w:ascii="仿宋" w:hAnsi="仿宋" w:eastAsia="仿宋" w:cs="仿宋"/>
                <w:bCs/>
                <w:color w:val="auto"/>
                <w:sz w:val="21"/>
                <w:szCs w:val="21"/>
                <w:highlight w:val="none"/>
                <w:u w:val="single"/>
                <w:lang w:val="en-US" w:eastAsia="zh-CN"/>
              </w:rPr>
              <w:t>文峰西路222号</w:t>
            </w:r>
            <w:r>
              <w:rPr>
                <w:rFonts w:hint="eastAsia" w:ascii="仿宋" w:hAnsi="仿宋" w:eastAsia="仿宋" w:cs="仿宋"/>
                <w:bCs/>
                <w:color w:val="auto"/>
                <w:sz w:val="21"/>
                <w:szCs w:val="21"/>
                <w:highlight w:val="none"/>
                <w:u w:val="single"/>
              </w:rPr>
              <w:t>，</w:t>
            </w:r>
            <w:r>
              <w:rPr>
                <w:rFonts w:hint="eastAsia" w:ascii="仿宋" w:hAnsi="仿宋" w:eastAsia="仿宋" w:cs="仿宋"/>
                <w:bCs/>
                <w:color w:val="auto"/>
                <w:sz w:val="21"/>
                <w:szCs w:val="21"/>
                <w:highlight w:val="none"/>
                <w:u w:val="single"/>
                <w:lang w:val="en-US" w:eastAsia="zh-CN"/>
              </w:rPr>
              <w:t>童彬彬</w:t>
            </w:r>
            <w:r>
              <w:rPr>
                <w:rFonts w:hint="eastAsia" w:ascii="仿宋" w:hAnsi="仿宋" w:eastAsia="仿宋" w:cs="仿宋"/>
                <w:bCs/>
                <w:color w:val="auto"/>
                <w:sz w:val="21"/>
                <w:szCs w:val="21"/>
                <w:highlight w:val="none"/>
                <w:u w:val="single"/>
                <w:lang w:eastAsia="zh-CN"/>
              </w:rPr>
              <w:t>，</w:t>
            </w:r>
            <w:r>
              <w:rPr>
                <w:rFonts w:hint="eastAsia" w:ascii="仿宋" w:hAnsi="仿宋" w:eastAsia="仿宋" w:cs="仿宋"/>
                <w:bCs/>
                <w:color w:val="auto"/>
                <w:sz w:val="21"/>
                <w:szCs w:val="21"/>
                <w:highlight w:val="none"/>
                <w:u w:val="single"/>
                <w:lang w:val="en-US" w:eastAsia="zh-CN"/>
              </w:rPr>
              <w:t>19235705133</w:t>
            </w:r>
            <w:r>
              <w:rPr>
                <w:rFonts w:hint="eastAsia" w:ascii="仿宋" w:hAnsi="仿宋" w:eastAsia="仿宋" w:cs="仿宋"/>
                <w:bCs/>
                <w:color w:val="auto"/>
                <w:sz w:val="21"/>
                <w:szCs w:val="21"/>
                <w:highlight w:val="none"/>
              </w:rPr>
              <w:t>。</w:t>
            </w:r>
          </w:p>
          <w:p w14:paraId="3672B84C">
            <w:pPr>
              <w:pStyle w:val="29"/>
              <w:keepNext w:val="0"/>
              <w:keepLines w:val="0"/>
              <w:pageBreakBefore w:val="0"/>
              <w:tabs>
                <w:tab w:val="left" w:pos="6930"/>
              </w:tabs>
              <w:kinsoku/>
              <w:overflowPunct/>
              <w:topLinePunct w:val="0"/>
              <w:bidi w:val="0"/>
              <w:adjustRightInd/>
              <w:snapToGrid/>
              <w:spacing w:beforeAutospacing="0" w:afterAutospacing="0" w:line="360" w:lineRule="auto"/>
              <w:rPr>
                <w:rFonts w:hint="eastAsia" w:ascii="仿宋" w:hAnsi="仿宋" w:eastAsia="仿宋" w:cs="仿宋"/>
                <w:b/>
                <w:bCs/>
                <w:color w:val="auto"/>
                <w:kern w:val="2"/>
                <w:sz w:val="21"/>
              </w:rPr>
            </w:pPr>
            <w:r>
              <w:rPr>
                <w:rFonts w:hint="eastAsia" w:ascii="仿宋" w:hAnsi="仿宋" w:eastAsia="仿宋" w:cs="仿宋"/>
                <w:color w:val="auto"/>
                <w:sz w:val="21"/>
                <w:szCs w:val="21"/>
              </w:rPr>
              <w:t>质疑的提出与答复均按《政府采购质疑和投诉办法》（中华人民共和国财政部令第94号）规定执行。针对同一采购程序环节的质疑，</w:t>
            </w:r>
            <w:r>
              <w:rPr>
                <w:rFonts w:hint="eastAsia" w:ascii="仿宋" w:hAnsi="仿宋" w:eastAsia="仿宋" w:cs="仿宋"/>
                <w:color w:val="auto"/>
                <w:sz w:val="21"/>
                <w:szCs w:val="21"/>
                <w:lang w:eastAsia="zh-CN"/>
              </w:rPr>
              <w:t>供应商</w:t>
            </w:r>
            <w:r>
              <w:rPr>
                <w:rFonts w:hint="eastAsia" w:ascii="仿宋" w:hAnsi="仿宋" w:eastAsia="仿宋" w:cs="仿宋"/>
                <w:color w:val="auto"/>
                <w:sz w:val="21"/>
                <w:szCs w:val="21"/>
              </w:rPr>
              <w:t>应在法定期限内一次性提出（即针对同一采购程序环节的质疑采购人或采购代理机构仅受理一次），逾期提出或针对同一采购程序环节多次提出的质疑将不予受理、答复。</w:t>
            </w:r>
          </w:p>
        </w:tc>
      </w:tr>
      <w:tr w14:paraId="39F834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053" w:type="dxa"/>
            <w:tcBorders>
              <w:left w:val="double" w:color="auto" w:sz="4" w:space="0"/>
            </w:tcBorders>
            <w:vAlign w:val="center"/>
          </w:tcPr>
          <w:p w14:paraId="7D7E1CAB">
            <w:pPr>
              <w:pStyle w:val="10"/>
              <w:snapToGrid w:val="0"/>
              <w:spacing w:before="0" w:line="300" w:lineRule="auto"/>
              <w:jc w:val="center"/>
              <w:rPr>
                <w:rFonts w:hint="eastAsia" w:ascii="仿宋" w:hAnsi="仿宋" w:eastAsia="仿宋" w:cs="仿宋"/>
                <w:color w:val="auto"/>
                <w:kern w:val="2"/>
                <w:sz w:val="21"/>
              </w:rPr>
            </w:pPr>
            <w:r>
              <w:rPr>
                <w:rFonts w:hint="eastAsia" w:ascii="仿宋" w:hAnsi="仿宋" w:eastAsia="仿宋" w:cs="仿宋"/>
                <w:b w:val="0"/>
                <w:bCs w:val="0"/>
                <w:color w:val="auto"/>
                <w:kern w:val="2"/>
                <w:sz w:val="21"/>
              </w:rPr>
              <w:t>响应文件形式、组成及制作</w:t>
            </w:r>
          </w:p>
        </w:tc>
        <w:tc>
          <w:tcPr>
            <w:tcW w:w="7798" w:type="dxa"/>
            <w:tcBorders>
              <w:right w:val="double" w:color="auto" w:sz="4" w:space="0"/>
            </w:tcBorders>
            <w:vAlign w:val="center"/>
          </w:tcPr>
          <w:p w14:paraId="12C96467">
            <w:pPr>
              <w:pStyle w:val="29"/>
              <w:tabs>
                <w:tab w:val="left" w:pos="6930"/>
              </w:tabs>
              <w:spacing w:beforeAutospacing="0" w:afterAutospacing="0" w:line="30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rPr>
              <w:t>1.</w:t>
            </w:r>
            <w:r>
              <w:rPr>
                <w:rFonts w:hint="eastAsia" w:ascii="仿宋" w:hAnsi="仿宋" w:eastAsia="仿宋" w:cs="仿宋"/>
                <w:color w:val="auto"/>
                <w:sz w:val="21"/>
                <w:szCs w:val="21"/>
                <w:lang w:val="zh-CN"/>
              </w:rPr>
              <w:t>响应文件的形式：电子响应文件（包括“电子加密响应文件”和“备份响应文件”，在响应文件编制完成后同时生成）；</w:t>
            </w:r>
          </w:p>
          <w:p w14:paraId="0095A57E">
            <w:pPr>
              <w:pStyle w:val="29"/>
              <w:tabs>
                <w:tab w:val="left" w:pos="6930"/>
              </w:tabs>
              <w:spacing w:beforeAutospacing="0" w:afterAutospacing="0" w:line="30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（1）“电子加密响应文件”是指通过“政采云电子投标客户端”完成响应文件编制后生成并加密的数据电文形式的响应文件。</w:t>
            </w:r>
          </w:p>
          <w:p w14:paraId="741447F4">
            <w:pPr>
              <w:pStyle w:val="29"/>
              <w:tabs>
                <w:tab w:val="left" w:pos="6930"/>
              </w:tabs>
              <w:spacing w:beforeAutospacing="0" w:afterAutospacing="0" w:line="300" w:lineRule="auto"/>
              <w:rPr>
                <w:rFonts w:hint="eastAsia" w:ascii="仿宋" w:hAnsi="仿宋" w:eastAsia="仿宋" w:cs="仿宋"/>
                <w:color w:val="auto"/>
                <w:sz w:val="21"/>
                <w:szCs w:val="21"/>
                <w:lang w:val="zh-CN"/>
              </w:rPr>
            </w:pPr>
            <w:r>
              <w:rPr>
                <w:rFonts w:hint="eastAsia" w:ascii="仿宋" w:hAnsi="仿宋" w:eastAsia="仿宋" w:cs="仿宋"/>
                <w:color w:val="auto"/>
                <w:sz w:val="21"/>
                <w:szCs w:val="21"/>
                <w:lang w:val="zh-CN"/>
              </w:rPr>
              <w:t>（2）“备份响应文件”是指与“电子加密响应文件”同时生成的数据电文形式的电子文件（备份标书），其他方式编制的备份响应文件视为无效备份响应文件。</w:t>
            </w:r>
          </w:p>
          <w:p w14:paraId="57F01FEA">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2.响应文件由资格文件、商务技术文件、报价文件组成；</w:t>
            </w:r>
          </w:p>
          <w:p w14:paraId="440C7727">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3.电子加密响应文件制作：应按政采云平台供应商项目采购-电子招投标操作指南（网址：</w:t>
            </w:r>
            <w:r>
              <w:rPr>
                <w:rFonts w:hint="eastAsia" w:ascii="仿宋" w:hAnsi="仿宋" w:eastAsia="仿宋" w:cs="仿宋"/>
                <w:color w:val="auto"/>
              </w:rPr>
              <w:fldChar w:fldCharType="begin"/>
            </w:r>
            <w:r>
              <w:rPr>
                <w:rFonts w:hint="eastAsia" w:ascii="仿宋" w:hAnsi="仿宋" w:eastAsia="仿宋" w:cs="仿宋"/>
                <w:color w:val="auto"/>
              </w:rPr>
              <w:instrText xml:space="preserve"> HYPERLINK "https://help.zcy.gov.cn/web/site_2/2018/12-28/2573.html）及本采购文件要求制作" </w:instrText>
            </w:r>
            <w:r>
              <w:rPr>
                <w:rFonts w:hint="eastAsia" w:ascii="仿宋" w:hAnsi="仿宋" w:eastAsia="仿宋" w:cs="仿宋"/>
                <w:color w:val="auto"/>
              </w:rPr>
              <w:fldChar w:fldCharType="separate"/>
            </w:r>
            <w:r>
              <w:rPr>
                <w:rStyle w:val="38"/>
                <w:rFonts w:hint="eastAsia" w:ascii="仿宋" w:hAnsi="仿宋" w:eastAsia="仿宋" w:cs="仿宋"/>
                <w:color w:val="auto"/>
                <w:sz w:val="21"/>
                <w:szCs w:val="21"/>
                <w:u w:val="none"/>
              </w:rPr>
              <w:t>https://help.zcy.gov.cn/web/site_2/2018/12-28/2573.html）及本采购文件要求制作</w:t>
            </w:r>
            <w:r>
              <w:rPr>
                <w:rStyle w:val="38"/>
                <w:rFonts w:hint="eastAsia" w:ascii="仿宋" w:hAnsi="仿宋" w:eastAsia="仿宋" w:cs="仿宋"/>
                <w:color w:val="auto"/>
                <w:sz w:val="21"/>
                <w:szCs w:val="21"/>
                <w:u w:val="none"/>
              </w:rPr>
              <w:fldChar w:fldCharType="end"/>
            </w:r>
            <w:r>
              <w:rPr>
                <w:rFonts w:hint="eastAsia" w:ascii="仿宋" w:hAnsi="仿宋" w:eastAsia="仿宋" w:cs="仿宋"/>
                <w:color w:val="auto"/>
                <w:sz w:val="21"/>
                <w:szCs w:val="21"/>
              </w:rPr>
              <w:t>、加密并在线提交。</w:t>
            </w:r>
          </w:p>
        </w:tc>
      </w:tr>
      <w:tr w14:paraId="0949B1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1" w:hRule="atLeast"/>
          <w:jc w:val="center"/>
        </w:trPr>
        <w:tc>
          <w:tcPr>
            <w:tcW w:w="2053" w:type="dxa"/>
            <w:tcBorders>
              <w:left w:val="double" w:color="auto" w:sz="4" w:space="0"/>
            </w:tcBorders>
            <w:vAlign w:val="center"/>
          </w:tcPr>
          <w:p w14:paraId="6B14E257">
            <w:pPr>
              <w:snapToGrid w:val="0"/>
              <w:spacing w:line="300" w:lineRule="auto"/>
              <w:jc w:val="center"/>
              <w:rPr>
                <w:rFonts w:hint="eastAsia" w:ascii="仿宋" w:hAnsi="仿宋" w:eastAsia="仿宋" w:cs="仿宋"/>
                <w:color w:val="auto"/>
                <w:szCs w:val="21"/>
              </w:rPr>
            </w:pPr>
            <w:r>
              <w:rPr>
                <w:rFonts w:hint="eastAsia" w:ascii="仿宋" w:hAnsi="仿宋" w:eastAsia="仿宋" w:cs="仿宋"/>
                <w:color w:val="auto"/>
                <w:szCs w:val="21"/>
              </w:rPr>
              <w:t>响应文件递交</w:t>
            </w:r>
            <w:r>
              <w:rPr>
                <w:rFonts w:hint="eastAsia" w:ascii="仿宋" w:hAnsi="仿宋" w:eastAsia="仿宋" w:cs="仿宋"/>
                <w:color w:val="auto"/>
                <w:szCs w:val="21"/>
                <w:lang w:eastAsia="zh-CN"/>
              </w:rPr>
              <w:t>截至时间</w:t>
            </w:r>
            <w:r>
              <w:rPr>
                <w:rFonts w:hint="eastAsia" w:ascii="仿宋" w:hAnsi="仿宋" w:eastAsia="仿宋" w:cs="仿宋"/>
                <w:color w:val="auto"/>
                <w:szCs w:val="21"/>
              </w:rPr>
              <w:t>及地点</w:t>
            </w:r>
          </w:p>
        </w:tc>
        <w:tc>
          <w:tcPr>
            <w:tcW w:w="7798" w:type="dxa"/>
            <w:tcBorders>
              <w:right w:val="double" w:color="auto" w:sz="4" w:space="0"/>
            </w:tcBorders>
            <w:vAlign w:val="center"/>
          </w:tcPr>
          <w:p w14:paraId="1CD9B509">
            <w:pPr>
              <w:pStyle w:val="29"/>
              <w:tabs>
                <w:tab w:val="left" w:pos="6930"/>
              </w:tabs>
              <w:spacing w:beforeAutospacing="0" w:afterAutospacing="0" w:line="300" w:lineRule="auto"/>
              <w:rPr>
                <w:rFonts w:hint="eastAsia" w:ascii="仿宋" w:hAnsi="仿宋" w:eastAsia="仿宋" w:cs="仿宋"/>
                <w:color w:val="auto"/>
                <w:kern w:val="2"/>
                <w:sz w:val="21"/>
              </w:rPr>
            </w:pPr>
            <w:r>
              <w:rPr>
                <w:rFonts w:hint="eastAsia" w:ascii="仿宋" w:hAnsi="仿宋" w:eastAsia="仿宋" w:cs="仿宋"/>
                <w:color w:val="auto"/>
                <w:kern w:val="2"/>
                <w:sz w:val="21"/>
              </w:rPr>
              <w:t>1.</w:t>
            </w:r>
            <w:r>
              <w:rPr>
                <w:rFonts w:hint="eastAsia" w:ascii="仿宋" w:hAnsi="仿宋" w:eastAsia="仿宋" w:cs="仿宋"/>
                <w:color w:val="auto"/>
                <w:sz w:val="21"/>
                <w:szCs w:val="21"/>
                <w:lang w:val="zh-CN"/>
              </w:rPr>
              <w:t>电子加密响应文件</w:t>
            </w:r>
            <w:r>
              <w:rPr>
                <w:rFonts w:hint="eastAsia" w:ascii="仿宋" w:hAnsi="仿宋" w:eastAsia="仿宋" w:cs="仿宋"/>
                <w:color w:val="auto"/>
                <w:kern w:val="2"/>
                <w:sz w:val="21"/>
              </w:rPr>
              <w:t>递交：供应商应于</w:t>
            </w:r>
            <w:r>
              <w:rPr>
                <w:rFonts w:hint="eastAsia" w:ascii="仿宋" w:hAnsi="仿宋" w:eastAsia="仿宋" w:cs="仿宋"/>
                <w:b/>
                <w:bCs/>
                <w:color w:val="auto"/>
                <w:kern w:val="2"/>
                <w:sz w:val="21"/>
                <w:lang w:eastAsia="zh-CN"/>
              </w:rPr>
              <w:t>20</w:t>
            </w:r>
            <w:r>
              <w:rPr>
                <w:rFonts w:hint="eastAsia" w:ascii="仿宋" w:hAnsi="仿宋" w:eastAsia="仿宋" w:cs="仿宋"/>
                <w:b/>
                <w:bCs/>
                <w:color w:val="auto"/>
                <w:kern w:val="2"/>
                <w:sz w:val="21"/>
                <w:lang w:val="en-US" w:eastAsia="zh-CN"/>
              </w:rPr>
              <w:t>25</w:t>
            </w:r>
            <w:r>
              <w:rPr>
                <w:rFonts w:hint="eastAsia" w:ascii="仿宋" w:hAnsi="仿宋" w:eastAsia="仿宋" w:cs="仿宋"/>
                <w:b/>
                <w:bCs/>
                <w:color w:val="auto"/>
                <w:kern w:val="2"/>
                <w:sz w:val="21"/>
                <w:lang w:eastAsia="zh-CN"/>
              </w:rPr>
              <w:t>年</w:t>
            </w:r>
            <w:r>
              <w:rPr>
                <w:rFonts w:hint="eastAsia" w:ascii="仿宋" w:hAnsi="仿宋" w:eastAsia="仿宋" w:cs="仿宋"/>
                <w:b/>
                <w:bCs/>
                <w:color w:val="auto"/>
                <w:kern w:val="2"/>
                <w:sz w:val="21"/>
                <w:lang w:val="en-US" w:eastAsia="zh-CN"/>
              </w:rPr>
              <w:t xml:space="preserve"> 04月14日</w:t>
            </w:r>
            <w:r>
              <w:rPr>
                <w:rFonts w:hint="eastAsia" w:ascii="仿宋" w:hAnsi="仿宋" w:eastAsia="仿宋" w:cs="仿宋"/>
                <w:b/>
                <w:bCs/>
                <w:color w:val="auto"/>
                <w:kern w:val="2"/>
                <w:sz w:val="21"/>
                <w:lang w:eastAsia="zh-CN"/>
              </w:rPr>
              <w:t xml:space="preserve"> 09:30</w:t>
            </w:r>
            <w:r>
              <w:rPr>
                <w:rFonts w:hint="eastAsia" w:ascii="仿宋" w:hAnsi="仿宋" w:eastAsia="仿宋" w:cs="仿宋"/>
                <w:color w:val="auto"/>
                <w:kern w:val="2"/>
                <w:sz w:val="21"/>
              </w:rPr>
              <w:t>（北京时间，下同）前将的电子加密响应文件上传至“政采云电子投标客户端”平台，逾期未上传的，视为不参加。</w:t>
            </w:r>
          </w:p>
          <w:p w14:paraId="66378778">
            <w:pPr>
              <w:pStyle w:val="29"/>
              <w:tabs>
                <w:tab w:val="left" w:pos="6930"/>
              </w:tabs>
              <w:spacing w:beforeAutospacing="0" w:afterAutospacing="0" w:line="300" w:lineRule="auto"/>
              <w:rPr>
                <w:rStyle w:val="38"/>
                <w:rFonts w:hint="eastAsia" w:ascii="仿宋" w:hAnsi="仿宋" w:eastAsia="仿宋" w:cs="仿宋"/>
                <w:color w:val="auto"/>
                <w:kern w:val="2"/>
                <w:sz w:val="21"/>
                <w:u w:val="none"/>
              </w:rPr>
            </w:pPr>
            <w:r>
              <w:rPr>
                <w:rStyle w:val="38"/>
                <w:rFonts w:hint="eastAsia" w:ascii="仿宋" w:hAnsi="仿宋" w:eastAsia="仿宋" w:cs="仿宋"/>
                <w:color w:val="auto"/>
                <w:kern w:val="2"/>
                <w:sz w:val="21"/>
                <w:u w:val="none"/>
              </w:rPr>
              <w:fldChar w:fldCharType="begin"/>
            </w:r>
            <w:r>
              <w:rPr>
                <w:rStyle w:val="38"/>
                <w:rFonts w:hint="eastAsia" w:ascii="仿宋" w:hAnsi="仿宋" w:eastAsia="仿宋" w:cs="仿宋"/>
                <w:color w:val="auto"/>
                <w:kern w:val="2"/>
                <w:sz w:val="21"/>
                <w:u w:val="none"/>
              </w:rPr>
              <w:instrText xml:space="preserve"> HYPERLINK "mailto:2.备份投标文件在开标时间后15分钟内以电子邮件形式递交至采购代理机构邮箱（103874679@qq.com）。" </w:instrText>
            </w:r>
            <w:r>
              <w:rPr>
                <w:rStyle w:val="38"/>
                <w:rFonts w:hint="eastAsia" w:ascii="仿宋" w:hAnsi="仿宋" w:eastAsia="仿宋" w:cs="仿宋"/>
                <w:color w:val="auto"/>
                <w:kern w:val="2"/>
                <w:sz w:val="21"/>
                <w:u w:val="none"/>
              </w:rPr>
              <w:fldChar w:fldCharType="separate"/>
            </w:r>
            <w:r>
              <w:rPr>
                <w:rStyle w:val="38"/>
                <w:rFonts w:hint="eastAsia" w:ascii="仿宋" w:hAnsi="仿宋" w:eastAsia="仿宋" w:cs="仿宋"/>
                <w:color w:val="auto"/>
                <w:kern w:val="2"/>
                <w:sz w:val="21"/>
                <w:u w:val="none"/>
              </w:rPr>
              <w:t>2.备份响应文件递交：</w:t>
            </w:r>
          </w:p>
          <w:p w14:paraId="27462E14">
            <w:pPr>
              <w:pStyle w:val="29"/>
              <w:tabs>
                <w:tab w:val="left" w:pos="6930"/>
              </w:tabs>
              <w:spacing w:beforeAutospacing="0" w:afterAutospacing="0" w:line="300" w:lineRule="auto"/>
              <w:rPr>
                <w:rStyle w:val="38"/>
                <w:rFonts w:hint="eastAsia" w:ascii="仿宋" w:hAnsi="仿宋" w:eastAsia="仿宋" w:cs="仿宋"/>
                <w:color w:val="auto"/>
                <w:kern w:val="2"/>
                <w:sz w:val="21"/>
                <w:u w:val="none"/>
              </w:rPr>
            </w:pPr>
            <w:r>
              <w:rPr>
                <w:rStyle w:val="38"/>
                <w:rFonts w:hint="eastAsia" w:ascii="仿宋" w:hAnsi="仿宋" w:eastAsia="仿宋" w:cs="仿宋"/>
                <w:color w:val="auto"/>
                <w:kern w:val="2"/>
                <w:sz w:val="21"/>
                <w:u w:val="none"/>
              </w:rPr>
              <w:t>2.1供应商在“政府采购云平台”完成“电子加密响应文件”在线提交后，还可以（以电子邮件的形式）在响应</w:t>
            </w:r>
            <w:r>
              <w:rPr>
                <w:rStyle w:val="38"/>
                <w:rFonts w:hint="eastAsia" w:ascii="仿宋" w:hAnsi="仿宋" w:eastAsia="仿宋" w:cs="仿宋"/>
                <w:color w:val="auto"/>
                <w:kern w:val="2"/>
                <w:sz w:val="21"/>
                <w:u w:val="none"/>
                <w:lang w:eastAsia="zh-CN"/>
              </w:rPr>
              <w:t>截至时间</w:t>
            </w:r>
            <w:r>
              <w:rPr>
                <w:rStyle w:val="38"/>
                <w:rFonts w:hint="eastAsia" w:ascii="仿宋" w:hAnsi="仿宋" w:eastAsia="仿宋" w:cs="仿宋"/>
                <w:color w:val="auto"/>
                <w:kern w:val="2"/>
                <w:sz w:val="21"/>
                <w:u w:val="none"/>
              </w:rPr>
              <w:t>前发送一份加密压缩文件的“备份响应文件”（一份）；</w:t>
            </w:r>
          </w:p>
          <w:p w14:paraId="0382878C">
            <w:pPr>
              <w:pStyle w:val="29"/>
              <w:tabs>
                <w:tab w:val="left" w:pos="6930"/>
              </w:tabs>
              <w:spacing w:beforeAutospacing="0" w:afterAutospacing="0" w:line="300" w:lineRule="auto"/>
              <w:rPr>
                <w:rStyle w:val="38"/>
                <w:rFonts w:hint="eastAsia" w:ascii="仿宋" w:hAnsi="仿宋" w:eastAsia="仿宋" w:cs="仿宋"/>
                <w:color w:val="auto"/>
                <w:kern w:val="2"/>
                <w:sz w:val="21"/>
                <w:u w:val="none"/>
                <w:lang w:val="zh-CN"/>
              </w:rPr>
            </w:pPr>
            <w:r>
              <w:rPr>
                <w:rStyle w:val="38"/>
                <w:rFonts w:hint="eastAsia" w:ascii="仿宋" w:hAnsi="仿宋" w:eastAsia="仿宋" w:cs="仿宋"/>
                <w:color w:val="auto"/>
                <w:kern w:val="2"/>
                <w:sz w:val="21"/>
                <w:u w:val="none"/>
              </w:rPr>
              <w:t>2.2</w:t>
            </w:r>
            <w:r>
              <w:rPr>
                <w:rStyle w:val="38"/>
                <w:rFonts w:hint="eastAsia" w:ascii="仿宋" w:hAnsi="仿宋" w:eastAsia="仿宋" w:cs="仿宋"/>
                <w:color w:val="auto"/>
                <w:kern w:val="2"/>
                <w:sz w:val="21"/>
                <w:u w:val="none"/>
                <w:lang w:val="zh-CN"/>
              </w:rPr>
              <w:t>“备份响应文件”以压缩文件形式加密发送至采购代理机构邮箱：</w:t>
            </w:r>
            <w:r>
              <w:rPr>
                <w:rStyle w:val="38"/>
                <w:rFonts w:hint="eastAsia" w:ascii="仿宋" w:hAnsi="仿宋" w:eastAsia="仿宋" w:cs="仿宋"/>
                <w:color w:val="auto"/>
                <w:kern w:val="2"/>
                <w:sz w:val="21"/>
                <w:u w:val="none"/>
              </w:rPr>
              <w:t>压缩文件命名为</w:t>
            </w:r>
            <w:r>
              <w:rPr>
                <w:rStyle w:val="38"/>
                <w:rFonts w:hint="eastAsia" w:ascii="仿宋" w:hAnsi="仿宋" w:eastAsia="仿宋" w:cs="仿宋"/>
                <w:color w:val="auto"/>
                <w:kern w:val="2"/>
                <w:sz w:val="21"/>
                <w:u w:val="none"/>
                <w:lang w:val="zh-CN"/>
              </w:rPr>
              <w:t>项目编号和供应商单位简称。接到在线解密通知后</w:t>
            </w:r>
            <w:r>
              <w:rPr>
                <w:rStyle w:val="38"/>
                <w:rFonts w:hint="eastAsia" w:ascii="仿宋" w:hAnsi="仿宋" w:eastAsia="仿宋" w:cs="仿宋"/>
                <w:color w:val="auto"/>
                <w:kern w:val="2"/>
                <w:sz w:val="21"/>
                <w:u w:val="none"/>
              </w:rPr>
              <w:t>30分钟</w:t>
            </w:r>
            <w:r>
              <w:rPr>
                <w:rStyle w:val="38"/>
                <w:rFonts w:hint="eastAsia" w:ascii="仿宋" w:hAnsi="仿宋" w:eastAsia="仿宋" w:cs="仿宋"/>
                <w:color w:val="auto"/>
                <w:kern w:val="2"/>
                <w:sz w:val="21"/>
                <w:u w:val="none"/>
                <w:lang w:val="zh-CN"/>
              </w:rPr>
              <w:t>内发送压缩文件密码至采购代理机构邮箱</w:t>
            </w:r>
            <w:r>
              <w:rPr>
                <w:rStyle w:val="38"/>
                <w:rFonts w:hint="eastAsia" w:ascii="仿宋" w:hAnsi="仿宋" w:eastAsia="仿宋" w:cs="仿宋"/>
                <w:b/>
                <w:bCs/>
                <w:color w:val="auto"/>
                <w:kern w:val="2"/>
                <w:sz w:val="21"/>
                <w:u w:val="none"/>
                <w:lang w:val="zh-CN"/>
              </w:rPr>
              <w:t>（备份响应文件接收邮箱号码：</w:t>
            </w:r>
            <w:r>
              <w:rPr>
                <w:rStyle w:val="38"/>
                <w:rFonts w:hint="eastAsia" w:ascii="仿宋" w:hAnsi="仿宋" w:eastAsia="仿宋" w:cs="仿宋"/>
                <w:b/>
                <w:bCs/>
                <w:color w:val="auto"/>
                <w:kern w:val="2"/>
                <w:sz w:val="21"/>
                <w:u w:val="none"/>
                <w:lang w:eastAsia="zh-CN"/>
              </w:rPr>
              <w:t>617535062@qq.com</w:t>
            </w:r>
            <w:r>
              <w:rPr>
                <w:rStyle w:val="38"/>
                <w:rFonts w:hint="eastAsia" w:ascii="仿宋" w:hAnsi="仿宋" w:eastAsia="仿宋" w:cs="仿宋"/>
                <w:b/>
                <w:bCs/>
                <w:color w:val="auto"/>
                <w:kern w:val="2"/>
                <w:sz w:val="21"/>
                <w:u w:val="none"/>
              </w:rPr>
              <w:t>@qq.com）</w:t>
            </w:r>
            <w:r>
              <w:rPr>
                <w:rStyle w:val="38"/>
                <w:rFonts w:hint="eastAsia" w:ascii="仿宋" w:hAnsi="仿宋" w:eastAsia="仿宋" w:cs="仿宋"/>
                <w:color w:val="auto"/>
                <w:kern w:val="2"/>
                <w:sz w:val="21"/>
                <w:u w:val="none"/>
                <w:lang w:val="zh-CN"/>
              </w:rPr>
              <w:t>。</w:t>
            </w:r>
          </w:p>
          <w:p w14:paraId="0BA5FEF9">
            <w:pPr>
              <w:pStyle w:val="29"/>
              <w:tabs>
                <w:tab w:val="left" w:pos="6930"/>
              </w:tabs>
              <w:spacing w:beforeAutospacing="0" w:afterAutospacing="0" w:line="300" w:lineRule="auto"/>
              <w:rPr>
                <w:rFonts w:hint="eastAsia" w:ascii="仿宋" w:hAnsi="仿宋" w:eastAsia="仿宋" w:cs="仿宋"/>
                <w:b/>
                <w:color w:val="auto"/>
                <w:szCs w:val="21"/>
              </w:rPr>
            </w:pPr>
            <w:r>
              <w:rPr>
                <w:rStyle w:val="38"/>
                <w:rFonts w:hint="eastAsia" w:ascii="仿宋" w:hAnsi="仿宋" w:eastAsia="仿宋" w:cs="仿宋"/>
                <w:color w:val="auto"/>
                <w:kern w:val="2"/>
                <w:sz w:val="21"/>
                <w:u w:val="none"/>
              </w:rPr>
              <w:fldChar w:fldCharType="end"/>
            </w:r>
            <w:r>
              <w:rPr>
                <w:rStyle w:val="38"/>
                <w:rFonts w:hint="eastAsia" w:ascii="仿宋" w:hAnsi="仿宋" w:eastAsia="仿宋" w:cs="仿宋"/>
                <w:color w:val="auto"/>
                <w:kern w:val="2"/>
                <w:sz w:val="21"/>
                <w:u w:val="none"/>
              </w:rPr>
              <w:t>3.如供应商未在响应</w:t>
            </w:r>
            <w:r>
              <w:rPr>
                <w:rStyle w:val="38"/>
                <w:rFonts w:hint="eastAsia" w:ascii="仿宋" w:hAnsi="仿宋" w:eastAsia="仿宋" w:cs="仿宋"/>
                <w:color w:val="auto"/>
                <w:kern w:val="2"/>
                <w:sz w:val="21"/>
                <w:u w:val="none"/>
                <w:lang w:eastAsia="zh-CN"/>
              </w:rPr>
              <w:t>截至时间</w:t>
            </w:r>
            <w:r>
              <w:rPr>
                <w:rStyle w:val="38"/>
                <w:rFonts w:hint="eastAsia" w:ascii="仿宋" w:hAnsi="仿宋" w:eastAsia="仿宋" w:cs="仿宋"/>
                <w:color w:val="auto"/>
                <w:kern w:val="2"/>
                <w:sz w:val="21"/>
                <w:u w:val="none"/>
              </w:rPr>
              <w:t>前完成“</w:t>
            </w:r>
            <w:r>
              <w:rPr>
                <w:rFonts w:hint="eastAsia" w:ascii="仿宋" w:hAnsi="仿宋" w:eastAsia="仿宋" w:cs="仿宋"/>
                <w:color w:val="auto"/>
                <w:sz w:val="21"/>
                <w:szCs w:val="21"/>
                <w:lang w:val="zh-CN"/>
              </w:rPr>
              <w:t>电子加密响应文件</w:t>
            </w:r>
            <w:r>
              <w:rPr>
                <w:rStyle w:val="38"/>
                <w:rFonts w:hint="eastAsia" w:ascii="仿宋" w:hAnsi="仿宋" w:eastAsia="仿宋" w:cs="仿宋"/>
                <w:color w:val="auto"/>
                <w:kern w:val="2"/>
                <w:sz w:val="21"/>
                <w:u w:val="none"/>
              </w:rPr>
              <w:t>”在线提交的，其备份响应文件也将被拒收。</w:t>
            </w:r>
          </w:p>
        </w:tc>
      </w:tr>
      <w:tr w14:paraId="11506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669D55A9">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响应文件的修改</w:t>
            </w:r>
          </w:p>
          <w:p w14:paraId="7DA6ECFE">
            <w:pPr>
              <w:pStyle w:val="10"/>
              <w:snapToGrid w:val="0"/>
              <w:spacing w:before="0" w:line="300" w:lineRule="auto"/>
              <w:jc w:val="center"/>
              <w:rPr>
                <w:rFonts w:hint="eastAsia" w:ascii="仿宋" w:hAnsi="仿宋" w:eastAsia="仿宋" w:cs="仿宋"/>
                <w:color w:val="auto"/>
                <w:kern w:val="2"/>
                <w:sz w:val="21"/>
              </w:rPr>
            </w:pPr>
            <w:r>
              <w:rPr>
                <w:rFonts w:hint="eastAsia" w:ascii="仿宋" w:hAnsi="仿宋" w:eastAsia="仿宋" w:cs="仿宋"/>
                <w:b w:val="0"/>
                <w:bCs w:val="0"/>
                <w:color w:val="auto"/>
                <w:kern w:val="2"/>
                <w:sz w:val="21"/>
              </w:rPr>
              <w:t>（补充）和撤回</w:t>
            </w:r>
          </w:p>
        </w:tc>
        <w:tc>
          <w:tcPr>
            <w:tcW w:w="7798" w:type="dxa"/>
            <w:tcBorders>
              <w:right w:val="double" w:color="auto" w:sz="4" w:space="0"/>
            </w:tcBorders>
            <w:vAlign w:val="center"/>
          </w:tcPr>
          <w:p w14:paraId="47ED5B9E">
            <w:pPr>
              <w:pStyle w:val="29"/>
              <w:tabs>
                <w:tab w:val="left" w:pos="6930"/>
              </w:tabs>
              <w:spacing w:beforeAutospacing="0" w:afterAutospacing="0" w:line="300" w:lineRule="auto"/>
              <w:rPr>
                <w:rFonts w:hint="eastAsia" w:ascii="仿宋" w:hAnsi="仿宋" w:eastAsia="仿宋" w:cs="仿宋"/>
                <w:color w:val="auto"/>
                <w:kern w:val="2"/>
                <w:sz w:val="21"/>
              </w:rPr>
            </w:pPr>
            <w:r>
              <w:rPr>
                <w:rFonts w:hint="eastAsia" w:ascii="仿宋" w:hAnsi="仿宋" w:eastAsia="仿宋" w:cs="仿宋"/>
                <w:color w:val="auto"/>
                <w:kern w:val="2"/>
                <w:sz w:val="21"/>
              </w:rPr>
              <w:t>1.响应</w:t>
            </w:r>
            <w:r>
              <w:rPr>
                <w:rFonts w:hint="eastAsia" w:ascii="仿宋" w:hAnsi="仿宋" w:eastAsia="仿宋" w:cs="仿宋"/>
                <w:color w:val="auto"/>
                <w:kern w:val="2"/>
                <w:sz w:val="21"/>
                <w:lang w:eastAsia="zh-CN"/>
              </w:rPr>
              <w:t>截至时间</w:t>
            </w:r>
            <w:r>
              <w:rPr>
                <w:rFonts w:hint="eastAsia" w:ascii="仿宋" w:hAnsi="仿宋" w:eastAsia="仿宋" w:cs="仿宋"/>
                <w:color w:val="auto"/>
                <w:kern w:val="2"/>
                <w:sz w:val="21"/>
              </w:rPr>
              <w:t>前可以修改（补充）或撤回电子加密响应文件。补充或者修改电子加密响应文件的，应当先行撤回原文件，补充、修改后重新传输递交。响应</w:t>
            </w:r>
            <w:r>
              <w:rPr>
                <w:rFonts w:hint="eastAsia" w:ascii="仿宋" w:hAnsi="仿宋" w:eastAsia="仿宋" w:cs="仿宋"/>
                <w:color w:val="auto"/>
                <w:kern w:val="2"/>
                <w:sz w:val="21"/>
                <w:lang w:eastAsia="zh-CN"/>
              </w:rPr>
              <w:t>截至时间</w:t>
            </w:r>
            <w:r>
              <w:rPr>
                <w:rFonts w:hint="eastAsia" w:ascii="仿宋" w:hAnsi="仿宋" w:eastAsia="仿宋" w:cs="仿宋"/>
                <w:color w:val="auto"/>
                <w:kern w:val="2"/>
                <w:sz w:val="21"/>
              </w:rPr>
              <w:t>前未完成在线提交的，视为撤回响应文件。</w:t>
            </w:r>
          </w:p>
          <w:p w14:paraId="291A8998">
            <w:pPr>
              <w:pStyle w:val="29"/>
              <w:tabs>
                <w:tab w:val="left" w:pos="6930"/>
              </w:tabs>
              <w:spacing w:beforeAutospacing="0" w:afterAutospacing="0" w:line="300" w:lineRule="auto"/>
              <w:rPr>
                <w:rFonts w:hint="eastAsia" w:ascii="仿宋" w:hAnsi="仿宋" w:eastAsia="仿宋" w:cs="仿宋"/>
                <w:b/>
                <w:color w:val="auto"/>
                <w:szCs w:val="21"/>
              </w:rPr>
            </w:pPr>
            <w:r>
              <w:rPr>
                <w:rFonts w:hint="eastAsia" w:ascii="仿宋" w:hAnsi="仿宋" w:eastAsia="仿宋" w:cs="仿宋"/>
                <w:color w:val="auto"/>
                <w:kern w:val="2"/>
                <w:sz w:val="21"/>
              </w:rPr>
              <w:t>2.响应</w:t>
            </w:r>
            <w:r>
              <w:rPr>
                <w:rFonts w:hint="eastAsia" w:ascii="仿宋" w:hAnsi="仿宋" w:eastAsia="仿宋" w:cs="仿宋"/>
                <w:color w:val="auto"/>
                <w:kern w:val="2"/>
                <w:sz w:val="21"/>
                <w:lang w:eastAsia="zh-CN"/>
              </w:rPr>
              <w:t>截至时间</w:t>
            </w:r>
            <w:r>
              <w:rPr>
                <w:rFonts w:hint="eastAsia" w:ascii="仿宋" w:hAnsi="仿宋" w:eastAsia="仿宋" w:cs="仿宋"/>
                <w:color w:val="auto"/>
                <w:kern w:val="2"/>
                <w:sz w:val="21"/>
              </w:rPr>
              <w:t>后，供应商不得修改（补充）或撤回其响应文件。</w:t>
            </w:r>
          </w:p>
        </w:tc>
      </w:tr>
      <w:tr w14:paraId="52B04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51C1CCD8">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开标时间、地点</w:t>
            </w:r>
          </w:p>
          <w:p w14:paraId="77E20AFF">
            <w:pPr>
              <w:pStyle w:val="10"/>
              <w:snapToGrid w:val="0"/>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及注意事项</w:t>
            </w:r>
          </w:p>
        </w:tc>
        <w:tc>
          <w:tcPr>
            <w:tcW w:w="7798" w:type="dxa"/>
            <w:tcBorders>
              <w:right w:val="double" w:color="auto" w:sz="4" w:space="0"/>
            </w:tcBorders>
            <w:vAlign w:val="center"/>
          </w:tcPr>
          <w:p w14:paraId="15E7589A">
            <w:pPr>
              <w:spacing w:line="300" w:lineRule="auto"/>
              <w:rPr>
                <w:rFonts w:hint="eastAsia" w:ascii="仿宋" w:hAnsi="仿宋" w:eastAsia="仿宋" w:cs="仿宋"/>
                <w:color w:val="auto"/>
                <w:lang w:eastAsia="zh-CN"/>
              </w:rPr>
            </w:pPr>
            <w:r>
              <w:rPr>
                <w:rFonts w:hint="eastAsia" w:ascii="仿宋" w:hAnsi="仿宋" w:eastAsia="仿宋" w:cs="仿宋"/>
                <w:color w:val="auto"/>
              </w:rPr>
              <w:t>开标时间</w:t>
            </w:r>
            <w:r>
              <w:rPr>
                <w:rFonts w:hint="eastAsia" w:ascii="仿宋" w:hAnsi="仿宋" w:eastAsia="仿宋" w:cs="仿宋"/>
                <w:color w:val="auto"/>
                <w:highlight w:val="none"/>
              </w:rPr>
              <w:t>:</w:t>
            </w:r>
            <w:r>
              <w:rPr>
                <w:rFonts w:hint="eastAsia" w:ascii="仿宋" w:hAnsi="仿宋" w:eastAsia="仿宋" w:cs="仿宋"/>
                <w:b/>
                <w:bCs/>
                <w:color w:val="auto"/>
                <w:kern w:val="2"/>
                <w:sz w:val="21"/>
                <w:lang w:eastAsia="zh-CN"/>
              </w:rPr>
              <w:t>202</w:t>
            </w:r>
            <w:r>
              <w:rPr>
                <w:rFonts w:hint="eastAsia" w:ascii="仿宋" w:hAnsi="仿宋" w:eastAsia="仿宋" w:cs="仿宋"/>
                <w:b/>
                <w:bCs/>
                <w:color w:val="auto"/>
                <w:kern w:val="2"/>
                <w:sz w:val="21"/>
                <w:lang w:val="en-US" w:eastAsia="zh-CN"/>
              </w:rPr>
              <w:t>5</w:t>
            </w:r>
            <w:r>
              <w:rPr>
                <w:rFonts w:hint="eastAsia" w:ascii="仿宋" w:hAnsi="仿宋" w:eastAsia="仿宋" w:cs="仿宋"/>
                <w:b/>
                <w:bCs/>
                <w:color w:val="auto"/>
                <w:kern w:val="2"/>
                <w:sz w:val="21"/>
                <w:lang w:eastAsia="zh-CN"/>
              </w:rPr>
              <w:t>年</w:t>
            </w:r>
            <w:r>
              <w:rPr>
                <w:rFonts w:hint="eastAsia" w:ascii="仿宋" w:hAnsi="仿宋" w:eastAsia="仿宋" w:cs="仿宋"/>
                <w:b/>
                <w:bCs/>
                <w:color w:val="auto"/>
                <w:kern w:val="2"/>
                <w:sz w:val="21"/>
                <w:lang w:val="en-US" w:eastAsia="zh-CN"/>
              </w:rPr>
              <w:t>04</w:t>
            </w:r>
            <w:r>
              <w:rPr>
                <w:rFonts w:hint="eastAsia" w:ascii="仿宋" w:hAnsi="仿宋" w:eastAsia="仿宋" w:cs="仿宋"/>
                <w:b/>
                <w:bCs/>
                <w:color w:val="auto"/>
                <w:kern w:val="2"/>
                <w:sz w:val="21"/>
                <w:lang w:eastAsia="zh-CN"/>
              </w:rPr>
              <w:t>月</w:t>
            </w:r>
            <w:r>
              <w:rPr>
                <w:rFonts w:hint="eastAsia" w:ascii="仿宋" w:hAnsi="仿宋" w:eastAsia="仿宋" w:cs="仿宋"/>
                <w:b/>
                <w:bCs/>
                <w:color w:val="auto"/>
                <w:kern w:val="2"/>
                <w:sz w:val="21"/>
                <w:lang w:val="en-US" w:eastAsia="zh-CN"/>
              </w:rPr>
              <w:t>14</w:t>
            </w:r>
            <w:r>
              <w:rPr>
                <w:rFonts w:hint="eastAsia" w:ascii="仿宋" w:hAnsi="仿宋" w:eastAsia="仿宋" w:cs="仿宋"/>
                <w:b/>
                <w:bCs/>
                <w:color w:val="auto"/>
                <w:kern w:val="2"/>
                <w:sz w:val="21"/>
                <w:lang w:eastAsia="zh-CN"/>
              </w:rPr>
              <w:t>日09:30</w:t>
            </w:r>
          </w:p>
          <w:p w14:paraId="2DA63E65">
            <w:pPr>
              <w:spacing w:line="300" w:lineRule="auto"/>
              <w:rPr>
                <w:rFonts w:hint="eastAsia" w:ascii="仿宋" w:hAnsi="仿宋" w:eastAsia="仿宋" w:cs="仿宋"/>
                <w:b/>
                <w:color w:val="auto"/>
                <w:kern w:val="0"/>
                <w:sz w:val="24"/>
                <w:szCs w:val="21"/>
              </w:rPr>
            </w:pPr>
            <w:r>
              <w:rPr>
                <w:rFonts w:hint="eastAsia" w:ascii="仿宋" w:hAnsi="仿宋" w:eastAsia="仿宋" w:cs="仿宋"/>
                <w:color w:val="auto"/>
              </w:rPr>
              <w:t>开标地点：</w:t>
            </w:r>
            <w:r>
              <w:rPr>
                <w:rFonts w:hint="eastAsia" w:ascii="仿宋" w:hAnsi="仿宋" w:eastAsia="仿宋" w:cs="仿宋"/>
                <w:color w:val="auto"/>
                <w:szCs w:val="21"/>
              </w:rPr>
              <w:t>政府采购云平台（www.zcygov.cn）”在线开、评标，供应商无须前往评审现场。</w:t>
            </w:r>
          </w:p>
        </w:tc>
      </w:tr>
      <w:tr w14:paraId="7F5422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4" w:hRule="atLeast"/>
          <w:jc w:val="center"/>
        </w:trPr>
        <w:tc>
          <w:tcPr>
            <w:tcW w:w="2053" w:type="dxa"/>
            <w:tcBorders>
              <w:left w:val="double" w:color="auto" w:sz="4" w:space="0"/>
            </w:tcBorders>
            <w:vAlign w:val="center"/>
          </w:tcPr>
          <w:p w14:paraId="2AB86F60">
            <w:pPr>
              <w:pStyle w:val="10"/>
              <w:snapToGrid w:val="0"/>
              <w:spacing w:before="0" w:line="300" w:lineRule="auto"/>
              <w:jc w:val="center"/>
              <w:rPr>
                <w:rFonts w:hint="eastAsia" w:ascii="仿宋" w:hAnsi="仿宋" w:eastAsia="仿宋" w:cs="仿宋"/>
                <w:color w:val="auto"/>
                <w:kern w:val="2"/>
                <w:sz w:val="21"/>
              </w:rPr>
            </w:pPr>
            <w:r>
              <w:rPr>
                <w:rFonts w:hint="eastAsia" w:ascii="仿宋" w:hAnsi="仿宋" w:eastAsia="仿宋" w:cs="仿宋"/>
                <w:b w:val="0"/>
                <w:bCs w:val="0"/>
                <w:color w:val="auto"/>
                <w:kern w:val="2"/>
                <w:sz w:val="21"/>
              </w:rPr>
              <w:t>资格审查</w:t>
            </w:r>
          </w:p>
        </w:tc>
        <w:tc>
          <w:tcPr>
            <w:tcW w:w="7798" w:type="dxa"/>
            <w:tcBorders>
              <w:right w:val="double" w:color="auto" w:sz="4" w:space="0"/>
            </w:tcBorders>
            <w:vAlign w:val="center"/>
          </w:tcPr>
          <w:p w14:paraId="471C42F8">
            <w:pPr>
              <w:pStyle w:val="29"/>
              <w:tabs>
                <w:tab w:val="left" w:pos="6930"/>
              </w:tabs>
              <w:spacing w:beforeAutospacing="0" w:afterAutospacing="0" w:line="300" w:lineRule="auto"/>
              <w:rPr>
                <w:rFonts w:hint="eastAsia" w:ascii="仿宋" w:hAnsi="仿宋" w:eastAsia="仿宋" w:cs="仿宋"/>
                <w:color w:val="auto"/>
                <w:szCs w:val="21"/>
              </w:rPr>
            </w:pPr>
            <w:r>
              <w:rPr>
                <w:rFonts w:hint="eastAsia" w:ascii="仿宋" w:hAnsi="仿宋" w:eastAsia="仿宋" w:cs="仿宋"/>
                <w:bCs/>
                <w:color w:val="auto"/>
                <w:sz w:val="21"/>
                <w:szCs w:val="21"/>
              </w:rPr>
              <w:t>依法对供应商的资格进行审查。审查内容详见采购文件。</w:t>
            </w:r>
          </w:p>
        </w:tc>
      </w:tr>
      <w:tr w14:paraId="42ACC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36B73FEF">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评审小组的</w:t>
            </w:r>
          </w:p>
          <w:p w14:paraId="1C353E1B">
            <w:pPr>
              <w:pStyle w:val="10"/>
              <w:snapToGrid w:val="0"/>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组建</w:t>
            </w:r>
          </w:p>
        </w:tc>
        <w:tc>
          <w:tcPr>
            <w:tcW w:w="7798" w:type="dxa"/>
            <w:tcBorders>
              <w:right w:val="double" w:color="auto" w:sz="4" w:space="0"/>
            </w:tcBorders>
            <w:vAlign w:val="center"/>
          </w:tcPr>
          <w:p w14:paraId="7377A859">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采购人依法组建</w:t>
            </w:r>
            <w:r>
              <w:rPr>
                <w:rStyle w:val="71"/>
                <w:rFonts w:hint="eastAsia" w:ascii="仿宋" w:hAnsi="仿宋" w:eastAsia="仿宋" w:cs="仿宋"/>
                <w:color w:val="auto"/>
                <w:sz w:val="21"/>
                <w:szCs w:val="21"/>
                <w:lang w:eastAsia="zh-CN"/>
              </w:rPr>
              <w:t>评审小组</w:t>
            </w:r>
            <w:r>
              <w:rPr>
                <w:rStyle w:val="71"/>
                <w:rFonts w:hint="eastAsia" w:ascii="仿宋" w:hAnsi="仿宋" w:eastAsia="仿宋" w:cs="仿宋"/>
                <w:color w:val="auto"/>
                <w:sz w:val="21"/>
                <w:szCs w:val="21"/>
              </w:rPr>
              <w:t>，成员人数为3名，其中采购人代表1名，技术、经济方面的评审专家2名；</w:t>
            </w:r>
          </w:p>
          <w:p w14:paraId="3971A5A0">
            <w:pPr>
              <w:pStyle w:val="99"/>
              <w:tabs>
                <w:tab w:val="left" w:pos="6930"/>
              </w:tabs>
              <w:spacing w:before="0" w:beforeAutospacing="0" w:after="0" w:afterAutospacing="0" w:line="300" w:lineRule="auto"/>
              <w:rPr>
                <w:rFonts w:hint="eastAsia" w:ascii="仿宋" w:hAnsi="仿宋" w:eastAsia="仿宋" w:cs="仿宋"/>
                <w:color w:val="auto"/>
                <w:sz w:val="21"/>
                <w:szCs w:val="21"/>
              </w:rPr>
            </w:pPr>
            <w:r>
              <w:rPr>
                <w:rStyle w:val="71"/>
                <w:rFonts w:hint="eastAsia" w:ascii="仿宋" w:hAnsi="仿宋" w:eastAsia="仿宋" w:cs="仿宋"/>
                <w:color w:val="auto"/>
                <w:sz w:val="21"/>
                <w:szCs w:val="21"/>
              </w:rPr>
              <w:t>评审专家确定方式：按政府采购相关规定从专家库中随机抽取。</w:t>
            </w:r>
          </w:p>
        </w:tc>
      </w:tr>
      <w:tr w14:paraId="24CEE7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1D69D772">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采购项目类别</w:t>
            </w:r>
          </w:p>
        </w:tc>
        <w:tc>
          <w:tcPr>
            <w:tcW w:w="7798" w:type="dxa"/>
            <w:tcBorders>
              <w:right w:val="double" w:color="auto" w:sz="4" w:space="0"/>
            </w:tcBorders>
            <w:vAlign w:val="center"/>
          </w:tcPr>
          <w:p w14:paraId="245FAEC9">
            <w:pPr>
              <w:pStyle w:val="29"/>
              <w:tabs>
                <w:tab w:val="left" w:pos="6930"/>
              </w:tabs>
              <w:spacing w:beforeAutospacing="0" w:afterAutospacing="0" w:line="300" w:lineRule="auto"/>
              <w:rPr>
                <w:rStyle w:val="71"/>
                <w:rFonts w:hint="eastAsia" w:ascii="仿宋" w:hAnsi="仿宋" w:eastAsia="仿宋" w:cs="仿宋"/>
                <w:color w:val="auto"/>
                <w:sz w:val="21"/>
                <w:szCs w:val="21"/>
              </w:rPr>
            </w:pPr>
            <w:r>
              <w:rPr>
                <w:rFonts w:hint="eastAsia" w:ascii="仿宋" w:hAnsi="仿宋" w:eastAsia="仿宋" w:cs="仿宋"/>
                <w:bCs/>
                <w:color w:val="auto"/>
                <w:sz w:val="21"/>
                <w:szCs w:val="21"/>
              </w:rPr>
              <w:t>本项目属于</w:t>
            </w:r>
            <w:r>
              <w:rPr>
                <w:rFonts w:hint="eastAsia" w:ascii="仿宋" w:hAnsi="仿宋" w:eastAsia="仿宋" w:cs="仿宋"/>
                <w:bCs/>
                <w:color w:val="auto"/>
                <w:sz w:val="21"/>
                <w:szCs w:val="21"/>
                <w:u w:val="single"/>
                <w:lang w:val="en-US" w:eastAsia="zh-CN"/>
              </w:rPr>
              <w:t xml:space="preserve"> </w:t>
            </w:r>
            <w:r>
              <w:rPr>
                <w:rFonts w:hint="eastAsia" w:ascii="仿宋" w:hAnsi="仿宋" w:eastAsia="仿宋" w:cs="仿宋"/>
                <w:b/>
                <w:color w:val="auto"/>
                <w:sz w:val="21"/>
                <w:szCs w:val="21"/>
                <w:u w:val="single"/>
              </w:rPr>
              <w:t>服务类</w:t>
            </w:r>
            <w:r>
              <w:rPr>
                <w:rFonts w:hint="eastAsia" w:ascii="仿宋" w:hAnsi="仿宋" w:eastAsia="仿宋" w:cs="仿宋"/>
                <w:b/>
                <w:color w:val="auto"/>
                <w:sz w:val="21"/>
                <w:szCs w:val="21"/>
                <w:u w:val="single"/>
                <w:lang w:val="en-US" w:eastAsia="zh-CN"/>
              </w:rPr>
              <w:t xml:space="preserve"> </w:t>
            </w:r>
            <w:r>
              <w:rPr>
                <w:rFonts w:hint="eastAsia" w:ascii="仿宋" w:hAnsi="仿宋" w:eastAsia="仿宋" w:cs="仿宋"/>
                <w:bCs/>
                <w:color w:val="auto"/>
                <w:sz w:val="21"/>
                <w:szCs w:val="21"/>
              </w:rPr>
              <w:t>采购项目</w:t>
            </w:r>
          </w:p>
        </w:tc>
      </w:tr>
      <w:tr w14:paraId="401EA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52B4960">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采购标的及对应的中小企业划型标准所属行业</w:t>
            </w:r>
          </w:p>
        </w:tc>
        <w:tc>
          <w:tcPr>
            <w:tcW w:w="7798" w:type="dxa"/>
            <w:tcBorders>
              <w:right w:val="double" w:color="auto" w:sz="4" w:space="0"/>
            </w:tcBorders>
            <w:vAlign w:val="center"/>
          </w:tcPr>
          <w:p w14:paraId="58CFFC70">
            <w:pPr>
              <w:pStyle w:val="29"/>
              <w:keepNext w:val="0"/>
              <w:keepLines w:val="0"/>
              <w:pageBreakBefore w:val="0"/>
              <w:tabs>
                <w:tab w:val="left" w:pos="6930"/>
              </w:tabs>
              <w:kinsoku/>
              <w:overflowPunct/>
              <w:topLinePunct w:val="0"/>
              <w:bidi w:val="0"/>
              <w:spacing w:beforeAutospacing="0" w:afterAutospacing="0" w:line="300" w:lineRule="auto"/>
              <w:rPr>
                <w:rFonts w:hint="eastAsia" w:ascii="仿宋" w:hAnsi="仿宋" w:eastAsia="仿宋" w:cs="仿宋"/>
                <w:color w:val="auto"/>
                <w:sz w:val="21"/>
                <w:szCs w:val="21"/>
                <w:highlight w:val="none"/>
              </w:rPr>
            </w:pPr>
            <w:r>
              <w:rPr>
                <w:rFonts w:hint="eastAsia" w:ascii="仿宋" w:hAnsi="仿宋" w:eastAsia="仿宋" w:cs="仿宋"/>
                <w:color w:val="auto"/>
                <w:sz w:val="21"/>
                <w:szCs w:val="21"/>
              </w:rPr>
              <w:t>本项目采购</w:t>
            </w:r>
            <w:r>
              <w:rPr>
                <w:rFonts w:hint="eastAsia" w:ascii="仿宋" w:hAnsi="仿宋" w:eastAsia="仿宋" w:cs="仿宋"/>
                <w:color w:val="auto"/>
                <w:sz w:val="21"/>
                <w:szCs w:val="21"/>
                <w:highlight w:val="none"/>
              </w:rPr>
              <w:t>标</w:t>
            </w:r>
            <w:r>
              <w:rPr>
                <w:rFonts w:hint="eastAsia" w:ascii="仿宋" w:hAnsi="仿宋" w:eastAsia="仿宋" w:cs="仿宋"/>
                <w:color w:val="auto"/>
                <w:sz w:val="21"/>
                <w:szCs w:val="21"/>
                <w:highlight w:val="none"/>
                <w:lang w:eastAsia="zh-CN"/>
              </w:rPr>
              <w:t>的</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b/>
                <w:bCs/>
                <w:color w:val="auto"/>
                <w:sz w:val="21"/>
                <w:szCs w:val="21"/>
                <w:u w:val="single"/>
                <w:lang w:eastAsia="zh-CN"/>
              </w:rPr>
              <w:t>常山县城东新区狮子口片区控规调整</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rPr>
              <w:t>内容</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b/>
                <w:bCs/>
                <w:color w:val="auto"/>
                <w:sz w:val="21"/>
                <w:szCs w:val="21"/>
                <w:highlight w:val="none"/>
                <w:u w:val="single"/>
                <w:lang w:eastAsia="zh-CN"/>
              </w:rPr>
              <w:t>详见第三章采购内容及要求</w:t>
            </w:r>
            <w:r>
              <w:rPr>
                <w:rFonts w:hint="eastAsia" w:ascii="仿宋" w:hAnsi="仿宋" w:eastAsia="仿宋" w:cs="仿宋"/>
                <w:b w:val="0"/>
                <w:bCs w:val="0"/>
                <w:color w:val="auto"/>
                <w:sz w:val="21"/>
                <w:szCs w:val="21"/>
                <w:highlight w:val="none"/>
                <w:u w:val="single"/>
              </w:rPr>
              <w:t xml:space="preserve"> </w:t>
            </w:r>
            <w:r>
              <w:rPr>
                <w:rFonts w:hint="eastAsia" w:ascii="仿宋" w:hAnsi="仿宋" w:eastAsia="仿宋" w:cs="仿宋"/>
                <w:color w:val="auto"/>
                <w:sz w:val="21"/>
                <w:szCs w:val="21"/>
                <w:highlight w:val="none"/>
              </w:rPr>
              <w:t>。根据《关于印发中小企业划型标准规定的通知》（工信部联企业〔2011〕300号），对应的中小企业划型标准所属行业为：</w:t>
            </w:r>
            <w:r>
              <w:rPr>
                <w:rFonts w:hint="eastAsia" w:ascii="仿宋" w:hAnsi="仿宋" w:eastAsia="仿宋" w:cs="仿宋"/>
                <w:b/>
                <w:bCs/>
                <w:color w:val="auto"/>
                <w:sz w:val="21"/>
                <w:szCs w:val="21"/>
                <w:highlight w:val="none"/>
                <w:u w:val="single"/>
                <w:lang w:val="en-US" w:eastAsia="zh-CN"/>
              </w:rPr>
              <w:t xml:space="preserve"> 其他未列明行业</w:t>
            </w:r>
            <w:r>
              <w:rPr>
                <w:rFonts w:hint="eastAsia" w:ascii="仿宋" w:hAnsi="仿宋" w:eastAsia="仿宋" w:cs="仿宋"/>
                <w:b/>
                <w:bCs/>
                <w:color w:val="auto"/>
                <w:sz w:val="21"/>
                <w:szCs w:val="21"/>
                <w:highlight w:val="none"/>
                <w:u w:val="single"/>
              </w:rPr>
              <w:t xml:space="preserve"> </w:t>
            </w:r>
            <w:r>
              <w:rPr>
                <w:rFonts w:hint="eastAsia" w:ascii="仿宋" w:hAnsi="仿宋" w:eastAsia="仿宋" w:cs="仿宋"/>
                <w:color w:val="auto"/>
                <w:sz w:val="21"/>
                <w:szCs w:val="21"/>
                <w:highlight w:val="none"/>
              </w:rPr>
              <w:t>。</w:t>
            </w:r>
          </w:p>
          <w:p w14:paraId="213D1A50">
            <w:pPr>
              <w:pStyle w:val="29"/>
              <w:keepNext w:val="0"/>
              <w:keepLines w:val="0"/>
              <w:pageBreakBefore w:val="0"/>
              <w:tabs>
                <w:tab w:val="left" w:pos="6930"/>
              </w:tabs>
              <w:kinsoku/>
              <w:overflowPunct/>
              <w:topLinePunct w:val="0"/>
              <w:bidi w:val="0"/>
              <w:spacing w:beforeAutospacing="0" w:afterAutospacing="0" w:line="300" w:lineRule="auto"/>
              <w:rPr>
                <w:rStyle w:val="71"/>
                <w:rFonts w:hint="eastAsia" w:ascii="仿宋" w:hAnsi="仿宋" w:eastAsia="仿宋" w:cs="仿宋"/>
                <w:color w:val="auto"/>
                <w:sz w:val="21"/>
                <w:szCs w:val="21"/>
              </w:rPr>
            </w:pPr>
            <w:r>
              <w:rPr>
                <w:rFonts w:hint="eastAsia" w:ascii="仿宋" w:hAnsi="仿宋" w:eastAsia="仿宋" w:cs="仿宋"/>
                <w:color w:val="auto"/>
                <w:sz w:val="21"/>
                <w:szCs w:val="21"/>
                <w:highlight w:val="none"/>
                <w:lang w:eastAsia="zh-CN"/>
              </w:rPr>
              <w:t>供应商必须根据</w:t>
            </w:r>
            <w:r>
              <w:rPr>
                <w:rFonts w:hint="eastAsia" w:ascii="仿宋" w:hAnsi="仿宋" w:eastAsia="仿宋" w:cs="仿宋"/>
                <w:color w:val="auto"/>
                <w:sz w:val="21"/>
                <w:szCs w:val="21"/>
                <w:highlight w:val="none"/>
              </w:rPr>
              <w:t>采购</w:t>
            </w:r>
            <w:r>
              <w:rPr>
                <w:rFonts w:hint="eastAsia" w:ascii="仿宋" w:hAnsi="仿宋" w:eastAsia="仿宋" w:cs="仿宋"/>
                <w:color w:val="auto"/>
                <w:sz w:val="21"/>
                <w:szCs w:val="21"/>
                <w:highlight w:val="none"/>
                <w:lang w:eastAsia="zh-CN"/>
              </w:rPr>
              <w:t>文件明确的行业所对应的划型标准判断</w:t>
            </w:r>
            <w:r>
              <w:rPr>
                <w:rFonts w:hint="eastAsia" w:ascii="仿宋" w:hAnsi="仿宋" w:eastAsia="仿宋" w:cs="仿宋"/>
                <w:color w:val="auto"/>
                <w:sz w:val="21"/>
                <w:szCs w:val="21"/>
                <w:highlight w:val="none"/>
              </w:rPr>
              <w:t>自身（或所投产品制造商）</w:t>
            </w:r>
            <w:r>
              <w:rPr>
                <w:rFonts w:hint="eastAsia" w:ascii="仿宋" w:hAnsi="仿宋" w:eastAsia="仿宋" w:cs="仿宋"/>
                <w:color w:val="auto"/>
                <w:sz w:val="21"/>
                <w:szCs w:val="21"/>
                <w:highlight w:val="none"/>
                <w:lang w:eastAsia="zh-CN"/>
              </w:rPr>
              <w:t>的</w:t>
            </w:r>
            <w:r>
              <w:rPr>
                <w:rFonts w:hint="eastAsia" w:ascii="仿宋" w:hAnsi="仿宋" w:eastAsia="仿宋" w:cs="仿宋"/>
                <w:color w:val="auto"/>
                <w:sz w:val="21"/>
                <w:szCs w:val="21"/>
                <w:highlight w:val="none"/>
              </w:rPr>
              <w:t>企业规模类型。</w:t>
            </w:r>
          </w:p>
        </w:tc>
      </w:tr>
      <w:tr w14:paraId="3BAAC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36145E7">
            <w:pPr>
              <w:pStyle w:val="10"/>
              <w:spacing w:before="0" w:line="360" w:lineRule="auto"/>
              <w:jc w:val="center"/>
              <w:rPr>
                <w:rFonts w:hint="eastAsia" w:ascii="仿宋" w:hAnsi="仿宋" w:eastAsia="仿宋" w:cs="仿宋"/>
                <w:b w:val="0"/>
                <w:color w:val="auto"/>
                <w:sz w:val="21"/>
                <w:highlight w:val="none"/>
              </w:rPr>
            </w:pPr>
            <w:r>
              <w:rPr>
                <w:rFonts w:hint="eastAsia" w:ascii="仿宋" w:hAnsi="仿宋" w:eastAsia="仿宋" w:cs="仿宋"/>
                <w:b w:val="0"/>
                <w:color w:val="auto"/>
                <w:sz w:val="21"/>
                <w:highlight w:val="none"/>
              </w:rPr>
              <w:t>需落实的政府采购政策</w:t>
            </w:r>
          </w:p>
        </w:tc>
        <w:tc>
          <w:tcPr>
            <w:tcW w:w="7798" w:type="dxa"/>
            <w:tcBorders>
              <w:right w:val="double" w:color="auto" w:sz="4" w:space="0"/>
            </w:tcBorders>
            <w:vAlign w:val="center"/>
          </w:tcPr>
          <w:p w14:paraId="460C3F16">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一、政府采购促进中小企业发展扶持政策</w:t>
            </w:r>
          </w:p>
          <w:p w14:paraId="152D5602">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1.根据《政府采购促进中小企业发展管理办法》(财库【2020】46号)、《财政部、司法部关于政府采购支持监狱企业发展有关问题的通知》（财库【2014】68号)、《关于促进残疾人就业政府采购政策的通知》（财库【2017】141号）及《财政部关于进一步加大政府采购支持中小企业力度的通知》（财库【2022】 19 号)规定，欢迎符合规定的供应商参与本项目采购活动。具体措施/要求如下:</w:t>
            </w:r>
          </w:p>
          <w:p w14:paraId="5FFED6E7">
            <w:pPr>
              <w:pStyle w:val="99"/>
              <w:tabs>
                <w:tab w:val="left" w:pos="6930"/>
              </w:tabs>
              <w:spacing w:before="0" w:beforeAutospacing="0" w:after="0" w:afterAutospacing="0" w:line="300" w:lineRule="auto"/>
              <w:rPr>
                <w:rStyle w:val="71"/>
                <w:rFonts w:hint="eastAsia" w:ascii="仿宋" w:hAnsi="仿宋" w:eastAsia="仿宋" w:cs="仿宋"/>
                <w:b w:val="0"/>
                <w:bCs w:val="0"/>
                <w:color w:val="auto"/>
                <w:sz w:val="21"/>
                <w:szCs w:val="21"/>
              </w:rPr>
            </w:pPr>
            <w:r>
              <w:rPr>
                <w:rStyle w:val="71"/>
                <w:rFonts w:hint="eastAsia" w:ascii="仿宋" w:hAnsi="仿宋" w:eastAsia="仿宋" w:cs="仿宋"/>
                <w:b w:val="0"/>
                <w:bCs w:val="0"/>
                <w:color w:val="auto"/>
                <w:sz w:val="21"/>
                <w:szCs w:val="21"/>
              </w:rPr>
              <w:t>（1）针对预留份额专门面向中小企业采购的项目。货物类项目要求供应商针对本项目提供的产品全部由符合政策要求的中小企业生产且使用该中小企业商号或者注册商标。服务类项目要求服务由中小企业承接，即提供服务的人员为中小企业依照 《中华人民共和国芳动合同法》订立劳动合同的从业人员。工程采购项目要求工程由中小企业承建，即工程施工单位为中小企业。</w:t>
            </w:r>
          </w:p>
          <w:p w14:paraId="396C8715">
            <w:pPr>
              <w:pStyle w:val="99"/>
              <w:tabs>
                <w:tab w:val="left" w:pos="6930"/>
              </w:tabs>
              <w:spacing w:before="0" w:beforeAutospacing="0" w:after="0" w:afterAutospacing="0" w:line="300" w:lineRule="auto"/>
              <w:rPr>
                <w:rStyle w:val="71"/>
                <w:rFonts w:hint="eastAsia" w:ascii="仿宋" w:hAnsi="仿宋" w:eastAsia="仿宋" w:cs="仿宋"/>
                <w:b w:val="0"/>
                <w:bCs w:val="0"/>
                <w:color w:val="auto"/>
                <w:sz w:val="21"/>
                <w:szCs w:val="21"/>
              </w:rPr>
            </w:pPr>
            <w:r>
              <w:rPr>
                <w:rStyle w:val="71"/>
                <w:rFonts w:hint="eastAsia" w:ascii="仿宋" w:hAnsi="仿宋" w:eastAsia="仿宋" w:cs="仿宋"/>
                <w:b w:val="0"/>
                <w:bCs w:val="0"/>
                <w:color w:val="auto"/>
                <w:sz w:val="21"/>
                <w:szCs w:val="21"/>
              </w:rPr>
              <w:t>（2）针对非预留份额专门面向中小企业采购的项目:</w:t>
            </w:r>
          </w:p>
          <w:p w14:paraId="10FE953C">
            <w:pPr>
              <w:pStyle w:val="99"/>
              <w:tabs>
                <w:tab w:val="left" w:pos="6930"/>
              </w:tabs>
              <w:spacing w:before="0" w:beforeAutospacing="0" w:after="0" w:afterAutospacing="0" w:line="300" w:lineRule="auto"/>
              <w:rPr>
                <w:rStyle w:val="71"/>
                <w:rFonts w:hint="eastAsia" w:ascii="仿宋" w:hAnsi="仿宋" w:eastAsia="仿宋" w:cs="仿宋"/>
                <w:b w:val="0"/>
                <w:bCs w:val="0"/>
                <w:color w:val="auto"/>
                <w:sz w:val="21"/>
                <w:szCs w:val="21"/>
              </w:rPr>
            </w:pPr>
            <w:r>
              <w:rPr>
                <w:rStyle w:val="71"/>
                <w:rFonts w:hint="eastAsia" w:ascii="仿宋" w:hAnsi="仿宋" w:eastAsia="仿宋" w:cs="仿宋"/>
                <w:b w:val="0"/>
                <w:bCs w:val="0"/>
                <w:color w:val="auto"/>
                <w:sz w:val="21"/>
                <w:szCs w:val="21"/>
              </w:rPr>
              <w:t xml:space="preserve">① </w:t>
            </w:r>
            <w:r>
              <w:rPr>
                <w:rStyle w:val="71"/>
                <w:rFonts w:hint="eastAsia" w:ascii="仿宋" w:hAnsi="仿宋" w:eastAsia="仿宋" w:cs="仿宋"/>
                <w:b/>
                <w:bCs/>
                <w:color w:val="auto"/>
                <w:sz w:val="21"/>
                <w:szCs w:val="21"/>
              </w:rPr>
              <w:t>货物类项目供应商针对本项目提供的产品全部由符合政策要求的小微企业生产且使用该小微企业商号或者注册商标，或服务类项目中的服务由小微企业承接，且供应商按采购文件要求准确、完整填写并提交《中小企业声明函》(格式见附件）的，经评审小组认定后，其报价给予10%的扣除(工程类项目由小微企业承接的，其报价给予 5%的扣除）。用扣除后的价格参加报价评审。</w:t>
            </w:r>
          </w:p>
          <w:p w14:paraId="6FE624E7">
            <w:pPr>
              <w:pStyle w:val="99"/>
              <w:tabs>
                <w:tab w:val="left" w:pos="6930"/>
              </w:tabs>
              <w:spacing w:before="0" w:beforeAutospacing="0" w:after="0" w:afterAutospacing="0" w:line="300" w:lineRule="auto"/>
              <w:rPr>
                <w:rStyle w:val="71"/>
                <w:rFonts w:hint="eastAsia" w:ascii="仿宋" w:hAnsi="仿宋" w:eastAsia="仿宋" w:cs="仿宋"/>
                <w:b/>
                <w:bCs/>
                <w:color w:val="auto"/>
                <w:sz w:val="21"/>
                <w:szCs w:val="21"/>
              </w:rPr>
            </w:pPr>
            <w:r>
              <w:rPr>
                <w:rStyle w:val="71"/>
                <w:rFonts w:hint="eastAsia" w:ascii="仿宋" w:hAnsi="仿宋" w:eastAsia="仿宋" w:cs="仿宋"/>
                <w:b w:val="0"/>
                <w:bCs w:val="0"/>
                <w:color w:val="auto"/>
                <w:sz w:val="21"/>
                <w:szCs w:val="21"/>
              </w:rPr>
              <w:t>② 接受大中型企业与小微企业组成联合体或者允许大中型企业向一家或者多家小微企业分包的采购项目，对于联合协议或者分包意向协议约定小微企业的合同份额占到合同总金额 30% 以上，且供应商|（联合体）按采购文件要求准确、完整填写并提交《中小企业声明函》（格式见附件）的，经评审小组认定后，对联合体或者大中型企业的报价给予6%(工程项目为 2%）的扣除。用扣除后的价格参加报价评审</w:t>
            </w:r>
            <w:r>
              <w:rPr>
                <w:rStyle w:val="71"/>
                <w:rFonts w:hint="eastAsia" w:ascii="仿宋" w:hAnsi="仿宋" w:eastAsia="仿宋" w:cs="仿宋"/>
                <w:b/>
                <w:bCs/>
                <w:color w:val="auto"/>
                <w:sz w:val="21"/>
                <w:szCs w:val="21"/>
              </w:rPr>
              <w:t>。</w:t>
            </w:r>
          </w:p>
          <w:p w14:paraId="1DDE0328">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2.依据《政府采购促进中小企业发展管理办法》（财库【2020】46 号)规定享受中小企业扶持政策而中标（成交）获得政府采购合同的小微企业，不得将合同分包给大中型企业。否则按提供虚假材料谋取中标（成交）处理。</w:t>
            </w:r>
          </w:p>
          <w:p w14:paraId="43363423">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3.本采购文件所称中小企业，是指在中华人民共和国境内依法设立，依据国务院批准的中小企业划分标准确定的中型企业、小型企业和微型企业，但与大企业的负责人为同一人，或者与大企业存在直接控股、管理关系的除外。符合小微企业划分标准的个体工商户，视同小微企业。</w:t>
            </w:r>
          </w:p>
          <w:p w14:paraId="0C087A79">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二、政府采购节能环保政策</w:t>
            </w:r>
            <w:r>
              <w:rPr>
                <w:rStyle w:val="71"/>
                <w:rFonts w:hint="eastAsia" w:ascii="仿宋" w:hAnsi="仿宋" w:eastAsia="仿宋" w:cs="仿宋"/>
                <w:b/>
                <w:bCs/>
                <w:color w:val="auto"/>
                <w:sz w:val="21"/>
                <w:szCs w:val="21"/>
              </w:rPr>
              <w:t>（适用于货物类采购项目）</w:t>
            </w:r>
          </w:p>
          <w:p w14:paraId="1F674C7F">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1.根据财政部、发展改革委、生态环境部、市场监管总局《关于调整优化节能产品、环境标志产品政府采购执行机制的通知》（财库〔2019〕9号）文件及“节能产品政府采购品目清单”、“环境标志产品政府采购品目清单”：</w:t>
            </w:r>
          </w:p>
          <w:p w14:paraId="20AF5D7E">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1.1本项目如需采购品目清单中的政府强制采购的节能、环保产品，供应商所投的相应产品须在商务技术文件中提供国家确定的认证机构出具的、处于有效期之内的节能产品、环境标志产品认证证书复印件，否则响应无效。</w:t>
            </w:r>
          </w:p>
          <w:p w14:paraId="3C19F59F">
            <w:pPr>
              <w:pStyle w:val="99"/>
              <w:tabs>
                <w:tab w:val="left" w:pos="6930"/>
              </w:tabs>
              <w:spacing w:before="0" w:beforeAutospacing="0" w:after="0" w:afterAutospacing="0" w:line="300" w:lineRule="auto"/>
              <w:rPr>
                <w:rStyle w:val="71"/>
                <w:rFonts w:hint="eastAsia" w:ascii="仿宋" w:hAnsi="仿宋" w:eastAsia="仿宋" w:cs="仿宋"/>
                <w:color w:val="auto"/>
                <w:sz w:val="21"/>
                <w:szCs w:val="21"/>
              </w:rPr>
            </w:pPr>
            <w:r>
              <w:rPr>
                <w:rStyle w:val="71"/>
                <w:rFonts w:hint="eastAsia" w:ascii="仿宋" w:hAnsi="仿宋" w:eastAsia="仿宋" w:cs="仿宋"/>
                <w:color w:val="auto"/>
                <w:sz w:val="21"/>
                <w:szCs w:val="21"/>
              </w:rPr>
              <w:t>1.2本项目如需采购品目清单中的政府优先采购的节能、环保产品，供应商所投的相应产品须在商务技术文件中提供国家确定的认证机构出具的、处于有效期之内的节能产品、环境标志产品认证证书复印件，否则不予实施优先采购。</w:t>
            </w:r>
          </w:p>
          <w:p w14:paraId="62454066">
            <w:pPr>
              <w:pStyle w:val="99"/>
              <w:tabs>
                <w:tab w:val="left" w:pos="6930"/>
              </w:tabs>
              <w:spacing w:before="0" w:beforeAutospacing="0" w:after="0" w:afterAutospacing="0" w:line="300" w:lineRule="auto"/>
              <w:rPr>
                <w:rStyle w:val="71"/>
                <w:rFonts w:hint="eastAsia" w:ascii="仿宋" w:hAnsi="仿宋" w:eastAsia="仿宋" w:cs="仿宋"/>
                <w:color w:val="auto"/>
                <w:sz w:val="21"/>
                <w:szCs w:val="21"/>
                <w:highlight w:val="none"/>
                <w:lang w:eastAsia="zh-CN"/>
              </w:rPr>
            </w:pPr>
            <w:r>
              <w:rPr>
                <w:rStyle w:val="71"/>
                <w:rFonts w:hint="eastAsia" w:ascii="仿宋" w:hAnsi="仿宋" w:eastAsia="仿宋" w:cs="仿宋"/>
                <w:color w:val="auto"/>
                <w:sz w:val="21"/>
                <w:szCs w:val="21"/>
              </w:rPr>
              <w:t>2.认证机构范围以《市场监管总局关于发布参与实施政府采购节能产品、环境标志产品认证机构名录的公告》中公布的认证机构名录为准。</w:t>
            </w:r>
          </w:p>
        </w:tc>
      </w:tr>
      <w:tr w14:paraId="4D2B51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0C75CED6">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专门面向中小企业预留采购份额情况</w:t>
            </w:r>
          </w:p>
        </w:tc>
        <w:tc>
          <w:tcPr>
            <w:tcW w:w="7798" w:type="dxa"/>
            <w:tcBorders>
              <w:right w:val="double" w:color="auto" w:sz="4" w:space="0"/>
            </w:tcBorders>
            <w:vAlign w:val="center"/>
          </w:tcPr>
          <w:p w14:paraId="6D134925">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b w:val="0"/>
                <w:bCs w:val="0"/>
                <w:color w:val="auto"/>
                <w:sz w:val="21"/>
                <w:szCs w:val="21"/>
              </w:rPr>
              <w:t>本项目</w:t>
            </w:r>
            <w:r>
              <w:rPr>
                <w:rFonts w:hint="eastAsia" w:ascii="仿宋" w:hAnsi="仿宋" w:eastAsia="仿宋" w:cs="仿宋"/>
                <w:b w:val="0"/>
                <w:bCs w:val="0"/>
                <w:color w:val="auto"/>
                <w:sz w:val="21"/>
                <w:szCs w:val="21"/>
                <w:lang w:eastAsia="zh-CN"/>
              </w:rPr>
              <w:t>【</w:t>
            </w:r>
            <w:r>
              <w:rPr>
                <w:rFonts w:hint="eastAsia" w:ascii="仿宋" w:hAnsi="仿宋" w:eastAsia="仿宋" w:cs="仿宋"/>
                <w:b/>
                <w:bCs/>
                <w:color w:val="auto"/>
                <w:sz w:val="21"/>
                <w:szCs w:val="21"/>
                <w:lang w:eastAsia="zh-CN"/>
              </w:rPr>
              <w:t>是（</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）否（</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val="0"/>
                <w:bCs w:val="0"/>
                <w:color w:val="auto"/>
                <w:sz w:val="21"/>
                <w:szCs w:val="21"/>
                <w:lang w:eastAsia="zh-CN"/>
              </w:rPr>
              <w:t>】</w:t>
            </w:r>
            <w:r>
              <w:rPr>
                <w:rFonts w:hint="eastAsia" w:ascii="仿宋" w:hAnsi="仿宋" w:eastAsia="仿宋" w:cs="仿宋"/>
                <w:b w:val="0"/>
                <w:bCs w:val="0"/>
                <w:color w:val="auto"/>
                <w:sz w:val="21"/>
                <w:szCs w:val="21"/>
              </w:rPr>
              <w:t>预留（或部分预留）份额专门面向中小企业采购的采购项目。</w:t>
            </w:r>
          </w:p>
        </w:tc>
      </w:tr>
      <w:tr w14:paraId="7350E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49A177A2">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联合体投标</w:t>
            </w:r>
          </w:p>
        </w:tc>
        <w:tc>
          <w:tcPr>
            <w:tcW w:w="7798" w:type="dxa"/>
            <w:tcBorders>
              <w:right w:val="double" w:color="auto" w:sz="4" w:space="0"/>
            </w:tcBorders>
            <w:vAlign w:val="center"/>
          </w:tcPr>
          <w:p w14:paraId="47054F31">
            <w:pPr>
              <w:pStyle w:val="29"/>
              <w:tabs>
                <w:tab w:val="left" w:pos="6930"/>
              </w:tabs>
              <w:spacing w:beforeAutospacing="0" w:afterAutospacing="0" w:line="300" w:lineRule="auto"/>
              <w:rPr>
                <w:rFonts w:hint="eastAsia" w:ascii="仿宋" w:hAnsi="仿宋" w:eastAsia="仿宋" w:cs="仿宋"/>
                <w:color w:val="auto"/>
                <w:sz w:val="21"/>
                <w:szCs w:val="21"/>
                <w:highlight w:val="red"/>
                <w:lang w:val="en-US" w:eastAsia="zh-CN"/>
              </w:rPr>
            </w:pPr>
            <w:r>
              <w:rPr>
                <w:rFonts w:hint="eastAsia" w:ascii="仿宋" w:hAnsi="仿宋" w:eastAsia="仿宋" w:cs="仿宋"/>
                <w:color w:val="auto"/>
                <w:sz w:val="21"/>
                <w:szCs w:val="21"/>
              </w:rPr>
              <w:t>1.本项目</w:t>
            </w:r>
            <w:r>
              <w:rPr>
                <w:rFonts w:hint="eastAsia" w:ascii="仿宋" w:hAnsi="仿宋" w:eastAsia="仿宋" w:cs="仿宋"/>
                <w:color w:val="auto"/>
                <w:sz w:val="21"/>
                <w:szCs w:val="21"/>
                <w:lang w:eastAsia="zh-CN"/>
              </w:rPr>
              <w:t>【</w:t>
            </w:r>
            <w:r>
              <w:rPr>
                <w:rFonts w:hint="eastAsia" w:ascii="仿宋" w:hAnsi="仿宋" w:eastAsia="仿宋" w:cs="仿宋"/>
                <w:b/>
                <w:bCs/>
                <w:color w:val="auto"/>
                <w:sz w:val="21"/>
                <w:szCs w:val="21"/>
              </w:rPr>
              <w:t>接受</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rPr>
              <w:t>不接受</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color w:val="auto"/>
                <w:sz w:val="21"/>
                <w:szCs w:val="21"/>
                <w:lang w:eastAsia="zh-CN"/>
              </w:rPr>
              <w:t>】大中</w:t>
            </w:r>
            <w:r>
              <w:rPr>
                <w:rFonts w:hint="eastAsia" w:ascii="仿宋" w:hAnsi="仿宋" w:eastAsia="仿宋" w:cs="仿宋"/>
                <w:color w:val="auto"/>
                <w:sz w:val="21"/>
                <w:szCs w:val="21"/>
              </w:rPr>
              <w:t>型企业与小微企业组成联合体</w:t>
            </w:r>
            <w:r>
              <w:rPr>
                <w:rFonts w:hint="eastAsia" w:ascii="仿宋" w:hAnsi="仿宋" w:eastAsia="仿宋" w:cs="仿宋"/>
                <w:color w:val="auto"/>
                <w:sz w:val="21"/>
                <w:szCs w:val="21"/>
                <w:highlight w:val="none"/>
                <w:lang w:val="en-US" w:eastAsia="zh-CN"/>
              </w:rPr>
              <w:t>。</w:t>
            </w:r>
          </w:p>
          <w:p w14:paraId="4D02D026">
            <w:pPr>
              <w:pStyle w:val="29"/>
              <w:tabs>
                <w:tab w:val="left" w:pos="6930"/>
              </w:tabs>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2.本项目</w:t>
            </w:r>
            <w:r>
              <w:rPr>
                <w:rFonts w:hint="eastAsia" w:ascii="仿宋" w:hAnsi="仿宋" w:eastAsia="仿宋" w:cs="仿宋"/>
                <w:color w:val="auto"/>
                <w:sz w:val="21"/>
                <w:szCs w:val="21"/>
                <w:lang w:eastAsia="zh-CN"/>
              </w:rPr>
              <w:t>【</w:t>
            </w:r>
            <w:r>
              <w:rPr>
                <w:rFonts w:hint="eastAsia" w:ascii="仿宋" w:hAnsi="仿宋" w:eastAsia="仿宋" w:cs="仿宋"/>
                <w:b/>
                <w:bCs/>
                <w:color w:val="auto"/>
                <w:sz w:val="21"/>
                <w:szCs w:val="21"/>
              </w:rPr>
              <w:t>接受</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rPr>
              <w:t>不接受</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b/>
                <w:bCs/>
                <w:color w:val="auto"/>
                <w:sz w:val="21"/>
                <w:szCs w:val="21"/>
                <w:lang w:val="en-US" w:eastAsia="zh-CN"/>
              </w:rPr>
              <w:t xml:space="preserve">  </w:t>
            </w:r>
            <w:r>
              <w:rPr>
                <w:rFonts w:hint="eastAsia" w:ascii="仿宋" w:hAnsi="仿宋" w:eastAsia="仿宋" w:cs="仿宋"/>
                <w:b/>
                <w:bCs/>
                <w:color w:val="auto"/>
                <w:sz w:val="21"/>
                <w:szCs w:val="21"/>
                <w:lang w:eastAsia="zh-CN"/>
              </w:rPr>
              <w:t>）</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其他形式的联合体。</w:t>
            </w:r>
          </w:p>
        </w:tc>
      </w:tr>
      <w:tr w14:paraId="03D24B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34AC2785">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转包与分包</w:t>
            </w:r>
          </w:p>
        </w:tc>
        <w:tc>
          <w:tcPr>
            <w:tcW w:w="7798" w:type="dxa"/>
            <w:tcBorders>
              <w:right w:val="double" w:color="auto" w:sz="4" w:space="0"/>
            </w:tcBorders>
            <w:vAlign w:val="center"/>
          </w:tcPr>
          <w:p w14:paraId="4BDF709E">
            <w:pPr>
              <w:pStyle w:val="29"/>
              <w:tabs>
                <w:tab w:val="left" w:pos="6930"/>
              </w:tabs>
              <w:wordWrap w:val="0"/>
              <w:spacing w:beforeAutospacing="0" w:afterAutospacing="0" w:line="300" w:lineRule="auto"/>
              <w:rPr>
                <w:rFonts w:hint="eastAsia" w:ascii="仿宋" w:hAnsi="仿宋" w:eastAsia="仿宋" w:cs="仿宋"/>
                <w:color w:val="auto"/>
                <w:sz w:val="21"/>
                <w:szCs w:val="21"/>
              </w:rPr>
            </w:pPr>
            <w:r>
              <w:rPr>
                <w:rFonts w:hint="eastAsia" w:ascii="仿宋" w:hAnsi="仿宋" w:eastAsia="仿宋" w:cs="仿宋"/>
                <w:color w:val="auto"/>
                <w:sz w:val="21"/>
                <w:szCs w:val="21"/>
              </w:rPr>
              <w:t>1.本项目</w:t>
            </w:r>
            <w:r>
              <w:rPr>
                <w:rFonts w:hint="eastAsia" w:ascii="仿宋" w:hAnsi="仿宋" w:eastAsia="仿宋" w:cs="仿宋"/>
                <w:color w:val="auto"/>
                <w:sz w:val="21"/>
                <w:szCs w:val="21"/>
                <w:lang w:eastAsia="zh-CN"/>
              </w:rPr>
              <w:t>【</w:t>
            </w:r>
            <w:r>
              <w:rPr>
                <w:rFonts w:hint="eastAsia" w:ascii="仿宋" w:hAnsi="仿宋" w:eastAsia="仿宋" w:cs="仿宋"/>
                <w:b/>
                <w:bCs w:val="0"/>
                <w:color w:val="auto"/>
                <w:sz w:val="21"/>
                <w:szCs w:val="21"/>
              </w:rPr>
              <w:t>允许</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不允许</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color w:val="auto"/>
                <w:sz w:val="21"/>
                <w:szCs w:val="21"/>
                <w:lang w:eastAsia="zh-CN"/>
              </w:rPr>
              <w:t>】</w:t>
            </w:r>
            <w:r>
              <w:rPr>
                <w:rFonts w:hint="eastAsia" w:ascii="仿宋" w:hAnsi="仿宋" w:eastAsia="仿宋" w:cs="仿宋"/>
                <w:color w:val="auto"/>
                <w:sz w:val="21"/>
                <w:szCs w:val="21"/>
              </w:rPr>
              <w:t>转包；</w:t>
            </w:r>
          </w:p>
          <w:p w14:paraId="1EACBC69">
            <w:pPr>
              <w:pStyle w:val="17"/>
              <w:spacing w:line="400" w:lineRule="exact"/>
              <w:rPr>
                <w:rFonts w:hint="eastAsia" w:ascii="仿宋" w:hAnsi="仿宋" w:eastAsia="仿宋" w:cs="仿宋"/>
                <w:color w:val="auto"/>
                <w:sz w:val="21"/>
                <w:szCs w:val="21"/>
              </w:rPr>
            </w:pPr>
            <w:r>
              <w:rPr>
                <w:rFonts w:hint="eastAsia" w:ascii="仿宋" w:hAnsi="仿宋" w:eastAsia="仿宋" w:cs="仿宋"/>
                <w:bCs/>
                <w:color w:val="auto"/>
                <w:sz w:val="21"/>
                <w:szCs w:val="21"/>
              </w:rPr>
              <w:t>2.本项目</w:t>
            </w:r>
            <w:r>
              <w:rPr>
                <w:rFonts w:hint="eastAsia" w:ascii="仿宋" w:hAnsi="仿宋" w:eastAsia="仿宋" w:cs="仿宋"/>
                <w:bCs/>
                <w:color w:val="auto"/>
                <w:sz w:val="21"/>
                <w:szCs w:val="21"/>
                <w:lang w:eastAsia="zh-CN"/>
              </w:rPr>
              <w:t>【</w:t>
            </w:r>
            <w:r>
              <w:rPr>
                <w:rFonts w:hint="eastAsia" w:ascii="仿宋" w:hAnsi="仿宋" w:eastAsia="仿宋" w:cs="仿宋"/>
                <w:b/>
                <w:bCs w:val="0"/>
                <w:color w:val="auto"/>
                <w:sz w:val="21"/>
                <w:szCs w:val="21"/>
              </w:rPr>
              <w:t>允许</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rPr>
              <w:t>不允许</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b/>
                <w:bCs w:val="0"/>
                <w:color w:val="auto"/>
                <w:sz w:val="21"/>
                <w:szCs w:val="21"/>
                <w:lang w:val="en-US" w:eastAsia="zh-CN"/>
              </w:rPr>
              <w:t xml:space="preserve"> </w:t>
            </w:r>
            <w:r>
              <w:rPr>
                <w:rFonts w:hint="eastAsia" w:ascii="仿宋" w:hAnsi="仿宋" w:eastAsia="仿宋" w:cs="仿宋"/>
                <w:b/>
                <w:bCs w:val="0"/>
                <w:color w:val="auto"/>
                <w:sz w:val="21"/>
                <w:szCs w:val="21"/>
                <w:lang w:eastAsia="zh-CN"/>
              </w:rPr>
              <w:t>）</w:t>
            </w:r>
            <w:r>
              <w:rPr>
                <w:rFonts w:hint="eastAsia" w:ascii="仿宋" w:hAnsi="仿宋" w:eastAsia="仿宋" w:cs="仿宋"/>
                <w:bCs/>
                <w:color w:val="auto"/>
                <w:sz w:val="21"/>
                <w:szCs w:val="21"/>
                <w:lang w:eastAsia="zh-CN"/>
              </w:rPr>
              <w:t>】大中</w:t>
            </w:r>
            <w:r>
              <w:rPr>
                <w:rFonts w:hint="eastAsia" w:ascii="仿宋" w:hAnsi="仿宋" w:eastAsia="仿宋" w:cs="仿宋"/>
                <w:bCs/>
                <w:color w:val="auto"/>
                <w:sz w:val="21"/>
                <w:szCs w:val="21"/>
              </w:rPr>
              <w:t>型企业向小微企业</w:t>
            </w:r>
            <w:r>
              <w:rPr>
                <w:rFonts w:hint="eastAsia" w:ascii="仿宋" w:hAnsi="仿宋" w:eastAsia="仿宋" w:cs="仿宋"/>
                <w:bCs/>
                <w:color w:val="auto"/>
                <w:sz w:val="21"/>
                <w:szCs w:val="21"/>
                <w:lang w:eastAsia="zh-CN"/>
              </w:rPr>
              <w:t>合理</w:t>
            </w:r>
            <w:r>
              <w:rPr>
                <w:rFonts w:hint="eastAsia" w:ascii="仿宋" w:hAnsi="仿宋" w:eastAsia="仿宋" w:cs="仿宋"/>
                <w:bCs/>
                <w:color w:val="auto"/>
                <w:sz w:val="21"/>
                <w:szCs w:val="21"/>
              </w:rPr>
              <w:t>分包。</w:t>
            </w:r>
          </w:p>
        </w:tc>
      </w:tr>
      <w:tr w14:paraId="4A4DA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7057BF3C">
            <w:pPr>
              <w:pStyle w:val="10"/>
              <w:snapToGrid w:val="0"/>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信用查询</w:t>
            </w:r>
          </w:p>
        </w:tc>
        <w:tc>
          <w:tcPr>
            <w:tcW w:w="7798" w:type="dxa"/>
            <w:tcBorders>
              <w:right w:val="double" w:color="auto" w:sz="4" w:space="0"/>
            </w:tcBorders>
            <w:vAlign w:val="center"/>
          </w:tcPr>
          <w:p w14:paraId="31917233">
            <w:pPr>
              <w:pStyle w:val="29"/>
              <w:tabs>
                <w:tab w:val="left" w:pos="6930"/>
              </w:tabs>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根据《关于在政府采购活动中查询及使用信用记录有关问题的通知》财库[2016]125号的规定：</w:t>
            </w:r>
          </w:p>
          <w:p w14:paraId="1CBB6E4B">
            <w:pPr>
              <w:pStyle w:val="29"/>
              <w:tabs>
                <w:tab w:val="left" w:pos="6930"/>
              </w:tabs>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1）采购人或采购代理机构将对本项目投标人的信用记录进行查询。查询渠道为信用中国网站（www.creditchina.gov.cn）、中国政府采购网（www.ccgp.gov.cn）；</w:t>
            </w:r>
          </w:p>
          <w:p w14:paraId="447C08E2">
            <w:pPr>
              <w:pStyle w:val="29"/>
              <w:tabs>
                <w:tab w:val="left" w:pos="6930"/>
              </w:tabs>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2）截止时点：提交投标文件（响应文件）</w:t>
            </w:r>
            <w:r>
              <w:rPr>
                <w:rFonts w:hint="eastAsia" w:ascii="仿宋" w:hAnsi="仿宋" w:eastAsia="仿宋" w:cs="仿宋"/>
                <w:bCs/>
                <w:color w:val="auto"/>
                <w:sz w:val="21"/>
                <w:szCs w:val="21"/>
                <w:lang w:eastAsia="zh-CN"/>
              </w:rPr>
              <w:t>截至时间</w:t>
            </w:r>
            <w:r>
              <w:rPr>
                <w:rFonts w:hint="eastAsia" w:ascii="仿宋" w:hAnsi="仿宋" w:eastAsia="仿宋" w:cs="仿宋"/>
                <w:bCs/>
                <w:color w:val="auto"/>
                <w:sz w:val="21"/>
                <w:szCs w:val="21"/>
              </w:rPr>
              <w:t>前3年内；</w:t>
            </w:r>
          </w:p>
          <w:p w14:paraId="2EE79CFE">
            <w:pPr>
              <w:pStyle w:val="29"/>
              <w:tabs>
                <w:tab w:val="left" w:pos="6930"/>
              </w:tabs>
              <w:spacing w:beforeAutospacing="0" w:afterAutospacing="0" w:line="300" w:lineRule="auto"/>
              <w:rPr>
                <w:rFonts w:hint="eastAsia" w:ascii="仿宋" w:hAnsi="仿宋" w:eastAsia="仿宋" w:cs="仿宋"/>
                <w:bCs/>
                <w:color w:val="auto"/>
                <w:sz w:val="21"/>
                <w:szCs w:val="21"/>
                <w:lang w:val="en-US" w:eastAsia="zh-CN"/>
              </w:rPr>
            </w:pPr>
            <w:r>
              <w:rPr>
                <w:rFonts w:hint="eastAsia" w:ascii="仿宋" w:hAnsi="仿宋" w:eastAsia="仿宋" w:cs="仿宋"/>
                <w:bCs/>
                <w:color w:val="auto"/>
                <w:sz w:val="21"/>
                <w:szCs w:val="21"/>
              </w:rPr>
              <w:t>3）查询记录和证据的留存：信用信息查询记录和证据以网页截图等方式留存；</w:t>
            </w:r>
          </w:p>
          <w:p w14:paraId="6EBDB193">
            <w:pPr>
              <w:pStyle w:val="29"/>
              <w:tabs>
                <w:tab w:val="left" w:pos="6930"/>
              </w:tabs>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4）使用规则：被列入失信被执行人、重大税收违法案件当事人名单、政府采购严重违法失信行为记录名单及其它不符合《中华人民共和国政府采购法》第二十二条规定条件的，其投标文件做无效文件处理；</w:t>
            </w:r>
          </w:p>
          <w:p w14:paraId="46606D00">
            <w:pPr>
              <w:pStyle w:val="29"/>
              <w:tabs>
                <w:tab w:val="left" w:pos="6930"/>
              </w:tabs>
              <w:spacing w:beforeAutospacing="0" w:afterAutospacing="0" w:line="300" w:lineRule="auto"/>
              <w:rPr>
                <w:rFonts w:hint="eastAsia" w:ascii="仿宋" w:hAnsi="仿宋" w:eastAsia="仿宋" w:cs="仿宋"/>
                <w:bCs/>
                <w:color w:val="auto"/>
                <w:szCs w:val="21"/>
              </w:rPr>
            </w:pPr>
            <w:r>
              <w:rPr>
                <w:rFonts w:hint="eastAsia" w:ascii="仿宋" w:hAnsi="仿宋" w:eastAsia="仿宋" w:cs="仿宋"/>
                <w:bCs/>
                <w:color w:val="auto"/>
                <w:sz w:val="21"/>
                <w:szCs w:val="21"/>
              </w:rPr>
              <w:t>5）如允许联合体投标的，联合体成员任意一方存在不良信用记录的，视同联合体存在不良信用记录。</w:t>
            </w:r>
          </w:p>
        </w:tc>
      </w:tr>
      <w:tr w14:paraId="0D7525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20D039CB">
            <w:pPr>
              <w:pStyle w:val="10"/>
              <w:pageBreakBefore w:val="0"/>
              <w:kinsoku/>
              <w:topLinePunct w:val="0"/>
              <w:bidi w:val="0"/>
              <w:snapToGrid/>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成交结果公告</w:t>
            </w:r>
          </w:p>
          <w:p w14:paraId="46CAD378">
            <w:pPr>
              <w:pStyle w:val="10"/>
              <w:pageBreakBefore w:val="0"/>
              <w:kinsoku/>
              <w:topLinePunct w:val="0"/>
              <w:bidi w:val="0"/>
              <w:snapToGrid/>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方式及期限</w:t>
            </w:r>
          </w:p>
        </w:tc>
        <w:tc>
          <w:tcPr>
            <w:tcW w:w="7798" w:type="dxa"/>
            <w:tcBorders>
              <w:right w:val="double" w:color="auto" w:sz="4" w:space="0"/>
            </w:tcBorders>
            <w:vAlign w:val="center"/>
          </w:tcPr>
          <w:p w14:paraId="4916D2B8">
            <w:pPr>
              <w:pStyle w:val="29"/>
              <w:pageBreakBefore w:val="0"/>
              <w:tabs>
                <w:tab w:val="left" w:pos="6930"/>
              </w:tabs>
              <w:kinsoku/>
              <w:topLinePunct w:val="0"/>
              <w:bidi w:val="0"/>
              <w:snapToGrid/>
              <w:spacing w:beforeAutospacing="0" w:afterAutospacing="0" w:line="300" w:lineRule="auto"/>
              <w:rPr>
                <w:rFonts w:hint="eastAsia" w:ascii="仿宋" w:hAnsi="仿宋" w:eastAsia="仿宋" w:cs="仿宋"/>
                <w:color w:val="auto"/>
                <w:szCs w:val="21"/>
              </w:rPr>
            </w:pPr>
            <w:r>
              <w:rPr>
                <w:rFonts w:hint="eastAsia" w:ascii="仿宋" w:hAnsi="仿宋" w:eastAsia="仿宋" w:cs="仿宋"/>
                <w:bCs/>
                <w:color w:val="auto"/>
                <w:sz w:val="21"/>
                <w:szCs w:val="21"/>
              </w:rPr>
              <w:t>在原磋商公告发布媒体进行成交结果公告，公告期限为发布之日起1个工作日。</w:t>
            </w:r>
          </w:p>
        </w:tc>
      </w:tr>
      <w:tr w14:paraId="6C112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32AEFF16">
            <w:pPr>
              <w:pStyle w:val="10"/>
              <w:pageBreakBefore w:val="0"/>
              <w:kinsoku/>
              <w:topLinePunct w:val="0"/>
              <w:bidi w:val="0"/>
              <w:snapToGrid/>
              <w:spacing w:before="0" w:line="300" w:lineRule="auto"/>
              <w:jc w:val="center"/>
              <w:rPr>
                <w:rFonts w:hint="eastAsia" w:ascii="仿宋" w:hAnsi="仿宋" w:eastAsia="仿宋" w:cs="仿宋"/>
                <w:color w:val="auto"/>
              </w:rPr>
            </w:pPr>
            <w:r>
              <w:rPr>
                <w:rFonts w:hint="eastAsia" w:ascii="仿宋" w:hAnsi="仿宋" w:eastAsia="仿宋" w:cs="仿宋"/>
                <w:b w:val="0"/>
                <w:bCs w:val="0"/>
                <w:color w:val="auto"/>
                <w:kern w:val="2"/>
                <w:sz w:val="21"/>
              </w:rPr>
              <w:t>签订合同</w:t>
            </w:r>
          </w:p>
        </w:tc>
        <w:tc>
          <w:tcPr>
            <w:tcW w:w="7798" w:type="dxa"/>
            <w:tcBorders>
              <w:right w:val="double" w:color="auto" w:sz="4" w:space="0"/>
            </w:tcBorders>
            <w:vAlign w:val="center"/>
          </w:tcPr>
          <w:p w14:paraId="71DD76F3">
            <w:pPr>
              <w:pStyle w:val="29"/>
              <w:pageBreakBefore w:val="0"/>
              <w:tabs>
                <w:tab w:val="left" w:pos="6930"/>
              </w:tabs>
              <w:kinsoku/>
              <w:topLinePunct w:val="0"/>
              <w:bidi w:val="0"/>
              <w:snapToGrid/>
              <w:spacing w:beforeAutospacing="0" w:afterAutospacing="0" w:line="300" w:lineRule="auto"/>
              <w:rPr>
                <w:rFonts w:hint="eastAsia" w:ascii="仿宋" w:hAnsi="仿宋" w:eastAsia="仿宋" w:cs="仿宋"/>
                <w:bCs/>
                <w:color w:val="auto"/>
                <w:sz w:val="21"/>
                <w:szCs w:val="21"/>
              </w:rPr>
            </w:pPr>
            <w:r>
              <w:rPr>
                <w:rFonts w:hint="eastAsia" w:ascii="仿宋" w:hAnsi="仿宋" w:eastAsia="仿宋" w:cs="仿宋"/>
                <w:bCs/>
                <w:color w:val="auto"/>
                <w:sz w:val="21"/>
                <w:szCs w:val="21"/>
              </w:rPr>
              <w:t>采购人与成交供应商应当在成交通知书发出之日起三十日内，按照磋商文件确定的事项及响应文件承诺签订政府采购合同。</w:t>
            </w:r>
          </w:p>
        </w:tc>
      </w:tr>
      <w:tr w14:paraId="7B258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2053" w:type="dxa"/>
            <w:tcBorders>
              <w:left w:val="double" w:color="auto" w:sz="4" w:space="0"/>
            </w:tcBorders>
            <w:vAlign w:val="center"/>
          </w:tcPr>
          <w:p w14:paraId="0A67245D">
            <w:pPr>
              <w:keepNext w:val="0"/>
              <w:keepLines w:val="0"/>
              <w:pageBreakBefore w:val="0"/>
              <w:kinsoku/>
              <w:overflowPunct/>
              <w:topLinePunct w:val="0"/>
              <w:autoSpaceDE w:val="0"/>
              <w:autoSpaceDN w:val="0"/>
              <w:bidi w:val="0"/>
              <w:adjustRightInd/>
              <w:snapToGrid/>
              <w:spacing w:line="360" w:lineRule="auto"/>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w:t>
            </w:r>
          </w:p>
        </w:tc>
        <w:tc>
          <w:tcPr>
            <w:tcW w:w="7798" w:type="dxa"/>
            <w:tcBorders>
              <w:right w:val="double" w:color="auto" w:sz="4" w:space="0"/>
            </w:tcBorders>
            <w:vAlign w:val="center"/>
          </w:tcPr>
          <w:p w14:paraId="256935EF">
            <w:pPr>
              <w:keepNext w:val="0"/>
              <w:keepLines w:val="0"/>
              <w:pageBreakBefore w:val="0"/>
              <w:kinsoku/>
              <w:wordWrap/>
              <w:overflowPunct/>
              <w:topLinePunct w:val="0"/>
              <w:bidi w:val="0"/>
              <w:adjustRightInd/>
              <w:snapToGrid/>
              <w:spacing w:line="360" w:lineRule="auto"/>
              <w:jc w:val="left"/>
              <w:textAlignment w:val="auto"/>
              <w:rPr>
                <w:rFonts w:hint="eastAsia" w:ascii="仿宋" w:hAnsi="仿宋" w:eastAsia="仿宋" w:cs="仿宋"/>
                <w:color w:val="auto"/>
                <w:kern w:val="0"/>
                <w:sz w:val="24"/>
                <w:szCs w:val="21"/>
                <w:highlight w:val="none"/>
                <w:lang w:val="en-US" w:eastAsia="zh-CN"/>
              </w:rPr>
            </w:pPr>
            <w:r>
              <w:rPr>
                <w:rFonts w:hint="eastAsia" w:ascii="仿宋" w:hAnsi="仿宋" w:eastAsia="仿宋" w:cs="仿宋"/>
                <w:bCs/>
                <w:color w:val="auto"/>
                <w:sz w:val="21"/>
                <w:szCs w:val="21"/>
                <w:lang w:val="en-US" w:eastAsia="zh-CN"/>
              </w:rPr>
              <w:t>本项目无。</w:t>
            </w:r>
          </w:p>
        </w:tc>
      </w:tr>
      <w:tr w14:paraId="7CACF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2053" w:type="dxa"/>
            <w:tcBorders>
              <w:left w:val="double" w:color="auto" w:sz="4" w:space="0"/>
            </w:tcBorders>
            <w:vAlign w:val="center"/>
          </w:tcPr>
          <w:p w14:paraId="349A28E7">
            <w:pPr>
              <w:pStyle w:val="10"/>
              <w:pageBreakBefore w:val="0"/>
              <w:kinsoku/>
              <w:topLinePunct w:val="0"/>
              <w:bidi w:val="0"/>
              <w:snapToGrid/>
              <w:spacing w:before="0" w:line="300" w:lineRule="auto"/>
              <w:jc w:val="center"/>
              <w:rPr>
                <w:rFonts w:hint="eastAsia" w:ascii="仿宋" w:hAnsi="仿宋" w:eastAsia="仿宋" w:cs="仿宋"/>
                <w:b w:val="0"/>
                <w:bCs w:val="0"/>
                <w:color w:val="auto"/>
                <w:kern w:val="2"/>
                <w:sz w:val="21"/>
              </w:rPr>
            </w:pPr>
            <w:r>
              <w:rPr>
                <w:rFonts w:hint="eastAsia" w:ascii="仿宋" w:hAnsi="仿宋" w:eastAsia="仿宋" w:cs="仿宋"/>
                <w:b w:val="0"/>
                <w:bCs w:val="0"/>
                <w:color w:val="auto"/>
                <w:kern w:val="2"/>
                <w:sz w:val="21"/>
              </w:rPr>
              <w:t>磋商公告、答疑澄清公告及成交结果公告发布媒体</w:t>
            </w:r>
          </w:p>
        </w:tc>
        <w:tc>
          <w:tcPr>
            <w:tcW w:w="7798" w:type="dxa"/>
            <w:tcBorders>
              <w:right w:val="double" w:color="auto" w:sz="4" w:space="0"/>
            </w:tcBorders>
            <w:vAlign w:val="center"/>
          </w:tcPr>
          <w:p w14:paraId="634DEEE1">
            <w:pPr>
              <w:keepNext w:val="0"/>
              <w:keepLines w:val="0"/>
              <w:pageBreakBefore w:val="0"/>
              <w:kinsoku/>
              <w:wordWrap/>
              <w:overflowPunct/>
              <w:topLinePunct w:val="0"/>
              <w:bidi w:val="0"/>
              <w:adjustRightInd/>
              <w:snapToGrid/>
              <w:spacing w:line="360" w:lineRule="auto"/>
              <w:jc w:val="left"/>
              <w:textAlignment w:val="auto"/>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浙江政府采购网</w:t>
            </w:r>
            <w:r>
              <w:rPr>
                <w:rFonts w:hint="eastAsia" w:ascii="仿宋" w:hAnsi="仿宋" w:eastAsia="仿宋" w:cs="仿宋"/>
                <w:color w:val="auto"/>
                <w:szCs w:val="21"/>
                <w:highlight w:val="none"/>
                <w:lang w:eastAsia="zh-CN"/>
              </w:rPr>
              <w:fldChar w:fldCharType="begin"/>
            </w:r>
            <w:r>
              <w:rPr>
                <w:rFonts w:hint="eastAsia" w:ascii="仿宋" w:hAnsi="仿宋" w:eastAsia="仿宋" w:cs="仿宋"/>
                <w:color w:val="auto"/>
                <w:szCs w:val="21"/>
                <w:highlight w:val="none"/>
                <w:lang w:eastAsia="zh-CN"/>
              </w:rPr>
              <w:instrText xml:space="preserve"> HYPERLINK "http://www.zjzfcg.gov.cn/new/" </w:instrText>
            </w:r>
            <w:r>
              <w:rPr>
                <w:rFonts w:hint="eastAsia" w:ascii="仿宋" w:hAnsi="仿宋" w:eastAsia="仿宋" w:cs="仿宋"/>
                <w:color w:val="auto"/>
                <w:szCs w:val="21"/>
                <w:highlight w:val="none"/>
                <w:lang w:eastAsia="zh-CN"/>
              </w:rPr>
              <w:fldChar w:fldCharType="separate"/>
            </w:r>
            <w:r>
              <w:rPr>
                <w:rFonts w:hint="eastAsia" w:ascii="仿宋" w:hAnsi="仿宋" w:eastAsia="仿宋" w:cs="仿宋"/>
                <w:color w:val="auto"/>
                <w:szCs w:val="21"/>
                <w:highlight w:val="none"/>
                <w:lang w:eastAsia="zh-CN"/>
              </w:rPr>
              <w:t>http://</w:t>
            </w:r>
            <w:bookmarkStart w:id="40" w:name="_Hlt522530785"/>
            <w:bookmarkStart w:id="41" w:name="_Hlt522530784"/>
            <w:r>
              <w:rPr>
                <w:rFonts w:hint="eastAsia" w:ascii="仿宋" w:hAnsi="仿宋" w:eastAsia="仿宋" w:cs="仿宋"/>
                <w:color w:val="auto"/>
                <w:szCs w:val="21"/>
                <w:highlight w:val="none"/>
                <w:lang w:eastAsia="zh-CN"/>
              </w:rPr>
              <w:t>w</w:t>
            </w:r>
            <w:bookmarkEnd w:id="40"/>
            <w:bookmarkEnd w:id="41"/>
            <w:r>
              <w:rPr>
                <w:rFonts w:hint="eastAsia" w:ascii="仿宋" w:hAnsi="仿宋" w:eastAsia="仿宋" w:cs="仿宋"/>
                <w:color w:val="auto"/>
                <w:szCs w:val="21"/>
                <w:highlight w:val="none"/>
                <w:lang w:eastAsia="zh-CN"/>
              </w:rPr>
              <w:t>ww.zjzfcg.gov.cn/new/</w:t>
            </w:r>
            <w:r>
              <w:rPr>
                <w:rFonts w:hint="eastAsia" w:ascii="仿宋" w:hAnsi="仿宋" w:eastAsia="仿宋" w:cs="仿宋"/>
                <w:color w:val="auto"/>
                <w:szCs w:val="21"/>
                <w:highlight w:val="none"/>
                <w:lang w:eastAsia="zh-CN"/>
              </w:rPr>
              <w:fldChar w:fldCharType="end"/>
            </w:r>
          </w:p>
          <w:p w14:paraId="5625A60A">
            <w:pPr>
              <w:keepNext w:val="0"/>
              <w:keepLines w:val="0"/>
              <w:pageBreakBefore w:val="0"/>
              <w:kinsoku/>
              <w:wordWrap/>
              <w:overflowPunct/>
              <w:topLinePunct w:val="0"/>
              <w:bidi w:val="0"/>
              <w:adjustRightInd/>
              <w:snapToGrid/>
              <w:spacing w:line="360" w:lineRule="auto"/>
              <w:jc w:val="left"/>
              <w:textAlignment w:val="auto"/>
              <w:rPr>
                <w:rFonts w:hint="eastAsia" w:ascii="仿宋" w:hAnsi="仿宋" w:eastAsia="仿宋" w:cs="仿宋"/>
                <w:bCs/>
                <w:color w:val="auto"/>
                <w:sz w:val="21"/>
                <w:szCs w:val="21"/>
              </w:rPr>
            </w:pPr>
            <w:r>
              <w:rPr>
                <w:rFonts w:hint="eastAsia" w:ascii="仿宋" w:hAnsi="仿宋" w:eastAsia="仿宋" w:cs="仿宋"/>
                <w:color w:val="auto"/>
                <w:szCs w:val="21"/>
                <w:highlight w:val="none"/>
                <w:lang w:eastAsia="zh-CN"/>
              </w:rPr>
              <w:t>常山县政府网（http://www.zjcs.gov.cn/col/col1229635770/index.html）</w:t>
            </w:r>
          </w:p>
        </w:tc>
      </w:tr>
      <w:tr w14:paraId="2E54E2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1" w:hRule="atLeast"/>
          <w:jc w:val="center"/>
        </w:trPr>
        <w:tc>
          <w:tcPr>
            <w:tcW w:w="2053" w:type="dxa"/>
            <w:tcBorders>
              <w:left w:val="double" w:color="auto" w:sz="4" w:space="0"/>
            </w:tcBorders>
            <w:vAlign w:val="center"/>
          </w:tcPr>
          <w:p w14:paraId="6B053061">
            <w:pPr>
              <w:pStyle w:val="99"/>
              <w:pageBreakBefore w:val="0"/>
              <w:tabs>
                <w:tab w:val="left" w:pos="6930"/>
              </w:tabs>
              <w:kinsoku/>
              <w:topLinePunct w:val="0"/>
              <w:bidi w:val="0"/>
              <w:snapToGrid/>
              <w:spacing w:before="0" w:beforeAutospacing="0" w:after="0" w:afterAutospacing="0" w:line="300" w:lineRule="auto"/>
              <w:jc w:val="center"/>
              <w:rPr>
                <w:rFonts w:hint="eastAsia" w:ascii="仿宋" w:hAnsi="仿宋" w:eastAsia="仿宋" w:cs="仿宋"/>
                <w:bCs/>
                <w:color w:val="auto"/>
                <w:sz w:val="21"/>
                <w:szCs w:val="21"/>
              </w:rPr>
            </w:pPr>
            <w:r>
              <w:rPr>
                <w:rStyle w:val="71"/>
                <w:rFonts w:hint="eastAsia" w:ascii="仿宋" w:hAnsi="仿宋" w:eastAsia="仿宋" w:cs="仿宋"/>
                <w:bCs/>
                <w:color w:val="auto"/>
                <w:sz w:val="21"/>
                <w:szCs w:val="21"/>
              </w:rPr>
              <w:t>解释权</w:t>
            </w:r>
          </w:p>
        </w:tc>
        <w:tc>
          <w:tcPr>
            <w:tcW w:w="7798" w:type="dxa"/>
            <w:tcBorders>
              <w:right w:val="double" w:color="auto" w:sz="4" w:space="0"/>
            </w:tcBorders>
            <w:vAlign w:val="center"/>
          </w:tcPr>
          <w:p w14:paraId="7D38A330">
            <w:pPr>
              <w:pStyle w:val="99"/>
              <w:pageBreakBefore w:val="0"/>
              <w:tabs>
                <w:tab w:val="left" w:pos="6930"/>
              </w:tabs>
              <w:kinsoku/>
              <w:topLinePunct w:val="0"/>
              <w:bidi w:val="0"/>
              <w:snapToGrid/>
              <w:spacing w:before="0" w:beforeAutospacing="0" w:after="0" w:afterAutospacing="0" w:line="300" w:lineRule="auto"/>
              <w:rPr>
                <w:rStyle w:val="71"/>
                <w:rFonts w:hint="eastAsia" w:ascii="仿宋" w:hAnsi="仿宋" w:eastAsia="仿宋" w:cs="仿宋"/>
                <w:bCs/>
                <w:color w:val="auto"/>
                <w:sz w:val="21"/>
                <w:szCs w:val="21"/>
              </w:rPr>
            </w:pPr>
            <w:r>
              <w:rPr>
                <w:rStyle w:val="71"/>
                <w:rFonts w:hint="eastAsia" w:ascii="仿宋" w:hAnsi="仿宋" w:eastAsia="仿宋" w:cs="仿宋"/>
                <w:bCs/>
                <w:color w:val="auto"/>
                <w:sz w:val="21"/>
                <w:szCs w:val="21"/>
              </w:rPr>
              <w:t>构成本磋商文件的各个组成文件应互为解释，互为说明；如有不明确或不一致的，按以下约定处理：</w:t>
            </w:r>
          </w:p>
          <w:p w14:paraId="7A9CC026">
            <w:pPr>
              <w:pStyle w:val="99"/>
              <w:pageBreakBefore w:val="0"/>
              <w:tabs>
                <w:tab w:val="left" w:pos="6930"/>
              </w:tabs>
              <w:kinsoku/>
              <w:topLinePunct w:val="0"/>
              <w:bidi w:val="0"/>
              <w:snapToGrid/>
              <w:spacing w:before="0" w:beforeAutospacing="0" w:after="0" w:afterAutospacing="0" w:line="300" w:lineRule="auto"/>
              <w:rPr>
                <w:rStyle w:val="71"/>
                <w:rFonts w:hint="eastAsia" w:ascii="仿宋" w:hAnsi="仿宋" w:eastAsia="仿宋" w:cs="仿宋"/>
                <w:bCs/>
                <w:color w:val="auto"/>
                <w:sz w:val="21"/>
                <w:szCs w:val="21"/>
              </w:rPr>
            </w:pPr>
            <w:r>
              <w:rPr>
                <w:rStyle w:val="71"/>
                <w:rFonts w:hint="eastAsia" w:ascii="仿宋" w:hAnsi="仿宋" w:eastAsia="仿宋" w:cs="仿宋"/>
                <w:bCs/>
                <w:color w:val="auto"/>
                <w:sz w:val="21"/>
                <w:szCs w:val="21"/>
              </w:rPr>
              <w:t>1.仅适用于采购阶段的约定，按磋商公告、供应商须知、评标办法、响应文件格式的先后顺序解释；同一文件中就同一事项的约定不一致的，以逻辑顺序在后者为准；同一文件不同版本之间有不一致的，以形成时间在后者为准。</w:t>
            </w:r>
          </w:p>
          <w:p w14:paraId="074946E3">
            <w:pPr>
              <w:pStyle w:val="99"/>
              <w:pageBreakBefore w:val="0"/>
              <w:tabs>
                <w:tab w:val="left" w:pos="6930"/>
              </w:tabs>
              <w:kinsoku/>
              <w:topLinePunct w:val="0"/>
              <w:bidi w:val="0"/>
              <w:snapToGrid/>
              <w:spacing w:before="0" w:beforeAutospacing="0" w:after="0" w:afterAutospacing="0" w:line="300" w:lineRule="auto"/>
              <w:rPr>
                <w:rStyle w:val="71"/>
                <w:rFonts w:hint="eastAsia" w:ascii="仿宋" w:hAnsi="仿宋" w:eastAsia="仿宋" w:cs="仿宋"/>
                <w:bCs/>
                <w:color w:val="auto"/>
                <w:sz w:val="21"/>
                <w:szCs w:val="21"/>
              </w:rPr>
            </w:pPr>
            <w:r>
              <w:rPr>
                <w:rStyle w:val="71"/>
                <w:rFonts w:hint="eastAsia" w:ascii="仿宋" w:hAnsi="仿宋" w:eastAsia="仿宋" w:cs="仿宋"/>
                <w:bCs/>
                <w:color w:val="auto"/>
                <w:sz w:val="21"/>
                <w:szCs w:val="21"/>
              </w:rPr>
              <w:t>2.构成合同文件组成内容的，以合同文件约定内容为准，且以专用合同条款约定的合同文件优先顺序解释。</w:t>
            </w:r>
          </w:p>
          <w:p w14:paraId="312B1B78">
            <w:pPr>
              <w:pStyle w:val="99"/>
              <w:pageBreakBefore w:val="0"/>
              <w:tabs>
                <w:tab w:val="left" w:pos="6930"/>
              </w:tabs>
              <w:kinsoku/>
              <w:topLinePunct w:val="0"/>
              <w:bidi w:val="0"/>
              <w:snapToGrid/>
              <w:spacing w:before="0" w:beforeAutospacing="0" w:after="0" w:afterAutospacing="0" w:line="300" w:lineRule="auto"/>
              <w:rPr>
                <w:rFonts w:hint="eastAsia" w:ascii="仿宋" w:hAnsi="仿宋" w:eastAsia="仿宋" w:cs="仿宋"/>
                <w:bCs/>
                <w:color w:val="auto"/>
                <w:sz w:val="21"/>
                <w:szCs w:val="21"/>
              </w:rPr>
            </w:pPr>
            <w:r>
              <w:rPr>
                <w:rStyle w:val="71"/>
                <w:rFonts w:hint="eastAsia" w:ascii="仿宋" w:hAnsi="仿宋" w:eastAsia="仿宋" w:cs="仿宋"/>
                <w:bCs/>
                <w:color w:val="auto"/>
                <w:sz w:val="21"/>
                <w:szCs w:val="21"/>
              </w:rPr>
              <w:t>3.按前述约定仍不能形成结论的，由采购人负责解释。</w:t>
            </w:r>
          </w:p>
        </w:tc>
      </w:tr>
      <w:tr w14:paraId="66C04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bottom w:val="double" w:color="auto" w:sz="4" w:space="0"/>
            </w:tcBorders>
            <w:vAlign w:val="center"/>
          </w:tcPr>
          <w:p w14:paraId="0772D503">
            <w:pPr>
              <w:pStyle w:val="10"/>
              <w:snapToGrid w:val="0"/>
              <w:spacing w:before="0" w:line="360" w:lineRule="exact"/>
              <w:jc w:val="center"/>
              <w:textAlignment w:val="baseline"/>
              <w:rPr>
                <w:rFonts w:hint="eastAsia" w:ascii="仿宋" w:hAnsi="仿宋" w:eastAsia="仿宋" w:cs="仿宋"/>
                <w:b/>
                <w:bCs/>
                <w:color w:val="auto"/>
                <w:kern w:val="2"/>
                <w:sz w:val="21"/>
                <w:szCs w:val="21"/>
                <w:highlight w:val="none"/>
                <w:lang w:val="en-US" w:eastAsia="zh-CN" w:bidi="ar-SA"/>
              </w:rPr>
            </w:pPr>
            <w:r>
              <w:rPr>
                <w:rFonts w:hint="eastAsia" w:ascii="仿宋" w:hAnsi="仿宋" w:eastAsia="仿宋" w:cs="仿宋"/>
                <w:color w:val="auto"/>
                <w:kern w:val="2"/>
                <w:sz w:val="21"/>
                <w:highlight w:val="none"/>
              </w:rPr>
              <w:t>注意事项</w:t>
            </w:r>
          </w:p>
        </w:tc>
        <w:tc>
          <w:tcPr>
            <w:tcW w:w="7798" w:type="dxa"/>
            <w:tcBorders>
              <w:bottom w:val="double" w:color="auto" w:sz="4" w:space="0"/>
              <w:right w:val="double" w:color="auto" w:sz="4" w:space="0"/>
            </w:tcBorders>
            <w:vAlign w:val="center"/>
          </w:tcPr>
          <w:p w14:paraId="32A66A11">
            <w:pPr>
              <w:spacing w:line="360" w:lineRule="exact"/>
              <w:jc w:val="left"/>
              <w:textAlignment w:val="baseline"/>
              <w:rPr>
                <w:rFonts w:hint="eastAsia" w:ascii="仿宋" w:hAnsi="仿宋" w:eastAsia="仿宋" w:cs="仿宋"/>
                <w:b/>
                <w:bCs/>
                <w:color w:val="auto"/>
                <w:kern w:val="2"/>
                <w:sz w:val="20"/>
                <w:szCs w:val="24"/>
                <w:highlight w:val="none"/>
                <w:lang w:val="en-US" w:eastAsia="zh-CN" w:bidi="ar-SA"/>
              </w:rPr>
            </w:pPr>
            <w:r>
              <w:rPr>
                <w:rFonts w:hint="eastAsia" w:ascii="仿宋" w:hAnsi="仿宋" w:eastAsia="仿宋" w:cs="仿宋"/>
                <w:b/>
                <w:bCs/>
                <w:color w:val="auto"/>
                <w:highlight w:val="none"/>
              </w:rPr>
              <w:t>由于本项目为电子标，供应商的法定代表人（或其委托代理人）无需出席开标现场会议，均应当准时在线参加</w:t>
            </w:r>
            <w:r>
              <w:rPr>
                <w:rFonts w:hint="eastAsia" w:ascii="仿宋" w:hAnsi="仿宋" w:eastAsia="仿宋" w:cs="仿宋"/>
                <w:b/>
                <w:bCs/>
                <w:color w:val="auto"/>
                <w:highlight w:val="none"/>
                <w:lang w:val="zh-CN"/>
              </w:rPr>
              <w:t>，直至评审结束，且保证采购代理机构能够随时与其代表人取得联系。</w:t>
            </w:r>
          </w:p>
        </w:tc>
      </w:tr>
      <w:tr w14:paraId="6D6C3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9" w:hRule="atLeast"/>
          <w:jc w:val="center"/>
        </w:trPr>
        <w:tc>
          <w:tcPr>
            <w:tcW w:w="2053" w:type="dxa"/>
            <w:tcBorders>
              <w:left w:val="double" w:color="auto" w:sz="4" w:space="0"/>
            </w:tcBorders>
            <w:vAlign w:val="center"/>
          </w:tcPr>
          <w:p w14:paraId="2542F500">
            <w:pPr>
              <w:pStyle w:val="10"/>
              <w:keepNext w:val="0"/>
              <w:keepLines w:val="0"/>
              <w:pageBreakBefore w:val="0"/>
              <w:kinsoku/>
              <w:overflowPunct/>
              <w:topLinePunct w:val="0"/>
              <w:bidi w:val="0"/>
              <w:adjustRightInd/>
              <w:snapToGrid/>
              <w:spacing w:before="0" w:line="360" w:lineRule="auto"/>
              <w:jc w:val="center"/>
              <w:rPr>
                <w:rFonts w:hint="eastAsia" w:ascii="仿宋" w:hAnsi="仿宋" w:eastAsia="仿宋" w:cs="仿宋"/>
                <w:bCs w:val="0"/>
                <w:color w:val="auto"/>
                <w:sz w:val="21"/>
              </w:rPr>
            </w:pPr>
            <w:r>
              <w:rPr>
                <w:rFonts w:hint="eastAsia" w:ascii="仿宋" w:hAnsi="仿宋" w:eastAsia="仿宋" w:cs="仿宋"/>
                <w:color w:val="auto"/>
                <w:sz w:val="21"/>
                <w:highlight w:val="none"/>
              </w:rPr>
              <w:t>服务费</w:t>
            </w:r>
          </w:p>
        </w:tc>
        <w:tc>
          <w:tcPr>
            <w:tcW w:w="7798" w:type="dxa"/>
            <w:tcBorders>
              <w:right w:val="double" w:color="auto" w:sz="4" w:space="0"/>
            </w:tcBorders>
            <w:vAlign w:val="center"/>
          </w:tcPr>
          <w:p w14:paraId="4CEDF04E">
            <w:pPr>
              <w:spacing w:line="360" w:lineRule="exact"/>
              <w:jc w:val="left"/>
              <w:textAlignment w:val="baseline"/>
              <w:rPr>
                <w:rFonts w:hint="eastAsia" w:ascii="仿宋" w:hAnsi="仿宋" w:eastAsia="仿宋" w:cs="仿宋"/>
                <w:b/>
                <w:bCs/>
                <w:color w:val="auto"/>
                <w:highlight w:val="none"/>
              </w:rPr>
            </w:pPr>
            <w:r>
              <w:rPr>
                <w:rFonts w:hint="eastAsia" w:ascii="仿宋" w:hAnsi="仿宋" w:eastAsia="仿宋" w:cs="仿宋"/>
                <w:b/>
                <w:bCs/>
                <w:color w:val="auto"/>
                <w:highlight w:val="none"/>
              </w:rPr>
              <w:t>本项目采购代理服务费参照国家计委关于印发《招标代理服务费管理暂行办法》的通知（计价格【2002】1980号）规定的“</w:t>
            </w:r>
            <w:r>
              <w:rPr>
                <w:rFonts w:hint="eastAsia" w:ascii="仿宋" w:hAnsi="仿宋" w:eastAsia="仿宋" w:cs="仿宋"/>
                <w:b/>
                <w:bCs/>
                <w:color w:val="auto"/>
                <w:highlight w:val="none"/>
                <w:lang w:eastAsia="zh-CN"/>
              </w:rPr>
              <w:t>服务</w:t>
            </w:r>
            <w:r>
              <w:rPr>
                <w:rFonts w:hint="eastAsia" w:ascii="仿宋" w:hAnsi="仿宋" w:eastAsia="仿宋" w:cs="仿宋"/>
                <w:b/>
                <w:bCs/>
                <w:color w:val="auto"/>
                <w:highlight w:val="none"/>
              </w:rPr>
              <w:t>招标”收费标准按差额定率累进法计算，计费基数为成交价；各投标人在投标报价时自行考虑在投标报价中，由中标人在领取中标通知书前一次性支付给代理机构。</w:t>
            </w:r>
          </w:p>
          <w:p w14:paraId="3D5806B1">
            <w:pPr>
              <w:spacing w:line="360" w:lineRule="auto"/>
              <w:ind w:firstLine="422" w:firstLineChars="200"/>
              <w:rPr>
                <w:rFonts w:hint="eastAsia" w:ascii="仿宋" w:hAnsi="仿宋" w:eastAsia="仿宋" w:cs="仿宋"/>
                <w:b/>
                <w:bCs/>
                <w:color w:val="auto"/>
              </w:rPr>
            </w:pPr>
            <w:r>
              <w:rPr>
                <w:rFonts w:hint="eastAsia" w:ascii="仿宋" w:hAnsi="仿宋" w:eastAsia="仿宋" w:cs="仿宋"/>
                <w:b/>
                <w:bCs/>
                <w:color w:val="auto"/>
                <w:kern w:val="2"/>
                <w:sz w:val="21"/>
                <w:szCs w:val="24"/>
                <w:lang w:val="en-US" w:eastAsia="zh-CN" w:bidi="ar-SA"/>
              </w:rPr>
              <w:t>《招标代理服务费管理暂行办法》的通知规定的收费标准</w:t>
            </w:r>
            <w:r>
              <w:rPr>
                <w:rFonts w:hint="eastAsia" w:ascii="仿宋" w:hAnsi="仿宋" w:eastAsia="仿宋" w:cs="仿宋"/>
                <w:b/>
                <w:bCs/>
                <w:color w:val="auto"/>
              </w:rPr>
              <w:t>。</w:t>
            </w:r>
          </w:p>
          <w:tbl>
            <w:tblPr>
              <w:tblStyle w:val="32"/>
              <w:tblW w:w="686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2292"/>
              <w:gridCol w:w="2293"/>
              <w:gridCol w:w="2280"/>
            </w:tblGrid>
            <w:tr w14:paraId="6CD839F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0C17E99F">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中标金额（万元）</w:t>
                  </w:r>
                </w:p>
              </w:tc>
              <w:tc>
                <w:tcPr>
                  <w:tcW w:w="2293" w:type="dxa"/>
                  <w:noWrap w:val="0"/>
                  <w:vAlign w:val="top"/>
                </w:tcPr>
                <w:p w14:paraId="048694CA">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货物费率</w:t>
                  </w:r>
                </w:p>
              </w:tc>
              <w:tc>
                <w:tcPr>
                  <w:tcW w:w="2280" w:type="dxa"/>
                  <w:noWrap w:val="0"/>
                  <w:vAlign w:val="top"/>
                </w:tcPr>
                <w:p w14:paraId="58A8F264">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服务费率</w:t>
                  </w:r>
                </w:p>
              </w:tc>
            </w:tr>
            <w:tr w14:paraId="20F3BBD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54C7D188">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100以下</w:t>
                  </w:r>
                </w:p>
              </w:tc>
              <w:tc>
                <w:tcPr>
                  <w:tcW w:w="2293" w:type="dxa"/>
                  <w:noWrap w:val="0"/>
                  <w:vAlign w:val="top"/>
                </w:tcPr>
                <w:p w14:paraId="52487767">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1.5%</w:t>
                  </w:r>
                </w:p>
              </w:tc>
              <w:tc>
                <w:tcPr>
                  <w:tcW w:w="2280" w:type="dxa"/>
                  <w:noWrap w:val="0"/>
                  <w:vAlign w:val="top"/>
                </w:tcPr>
                <w:p w14:paraId="256DFFE0">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1.5%</w:t>
                  </w:r>
                </w:p>
              </w:tc>
            </w:tr>
            <w:tr w14:paraId="70F4E0F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6B81F02F">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100-500</w:t>
                  </w:r>
                </w:p>
              </w:tc>
              <w:tc>
                <w:tcPr>
                  <w:tcW w:w="2293" w:type="dxa"/>
                  <w:noWrap w:val="0"/>
                  <w:vAlign w:val="top"/>
                </w:tcPr>
                <w:p w14:paraId="6956F002">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1.1%</w:t>
                  </w:r>
                </w:p>
              </w:tc>
              <w:tc>
                <w:tcPr>
                  <w:tcW w:w="2280" w:type="dxa"/>
                  <w:noWrap w:val="0"/>
                  <w:vAlign w:val="top"/>
                </w:tcPr>
                <w:p w14:paraId="74E4F352">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0.8%</w:t>
                  </w:r>
                </w:p>
              </w:tc>
            </w:tr>
            <w:tr w14:paraId="1B0C7ED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292" w:type="dxa"/>
                  <w:noWrap w:val="0"/>
                  <w:vAlign w:val="top"/>
                </w:tcPr>
                <w:p w14:paraId="2F4C8E28">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500-1000</w:t>
                  </w:r>
                </w:p>
              </w:tc>
              <w:tc>
                <w:tcPr>
                  <w:tcW w:w="2293" w:type="dxa"/>
                  <w:noWrap w:val="0"/>
                  <w:vAlign w:val="top"/>
                </w:tcPr>
                <w:p w14:paraId="4C1A98C7">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0.8%</w:t>
                  </w:r>
                </w:p>
              </w:tc>
              <w:tc>
                <w:tcPr>
                  <w:tcW w:w="2280" w:type="dxa"/>
                  <w:noWrap w:val="0"/>
                  <w:vAlign w:val="top"/>
                </w:tcPr>
                <w:p w14:paraId="67B00152">
                  <w:pPr>
                    <w:snapToGrid w:val="0"/>
                    <w:spacing w:before="100" w:beforeAutospacing="1" w:after="100" w:afterAutospacing="1" w:line="276" w:lineRule="auto"/>
                    <w:jc w:val="center"/>
                    <w:rPr>
                      <w:rFonts w:hint="eastAsia" w:ascii="仿宋" w:hAnsi="仿宋" w:eastAsia="仿宋" w:cs="仿宋"/>
                      <w:b/>
                      <w:bCs/>
                      <w:color w:val="auto"/>
                      <w:szCs w:val="21"/>
                    </w:rPr>
                  </w:pPr>
                  <w:r>
                    <w:rPr>
                      <w:rFonts w:hint="eastAsia" w:ascii="仿宋" w:hAnsi="仿宋" w:eastAsia="仿宋" w:cs="仿宋"/>
                      <w:b/>
                      <w:bCs/>
                      <w:color w:val="auto"/>
                      <w:szCs w:val="21"/>
                    </w:rPr>
                    <w:t>0.45%</w:t>
                  </w:r>
                </w:p>
              </w:tc>
            </w:tr>
          </w:tbl>
          <w:p w14:paraId="27B02256">
            <w:pPr>
              <w:pStyle w:val="99"/>
              <w:keepNext w:val="0"/>
              <w:keepLines w:val="0"/>
              <w:pageBreakBefore w:val="0"/>
              <w:tabs>
                <w:tab w:val="left" w:pos="6930"/>
              </w:tabs>
              <w:kinsoku/>
              <w:overflowPunct/>
              <w:topLinePunct w:val="0"/>
              <w:bidi w:val="0"/>
              <w:adjustRightInd/>
              <w:snapToGrid/>
              <w:spacing w:before="0" w:beforeAutospacing="0" w:after="0" w:afterAutospacing="0" w:line="360" w:lineRule="auto"/>
              <w:rPr>
                <w:rFonts w:hint="eastAsia" w:ascii="仿宋" w:hAnsi="仿宋" w:eastAsia="仿宋" w:cs="仿宋"/>
                <w:color w:val="auto"/>
              </w:rPr>
            </w:pPr>
          </w:p>
        </w:tc>
      </w:tr>
      <w:tr w14:paraId="1EA4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4" w:hRule="atLeast"/>
          <w:jc w:val="center"/>
        </w:trPr>
        <w:tc>
          <w:tcPr>
            <w:tcW w:w="2053" w:type="dxa"/>
            <w:tcBorders>
              <w:left w:val="double" w:color="auto" w:sz="4" w:space="0"/>
              <w:bottom w:val="double" w:color="auto" w:sz="4" w:space="0"/>
            </w:tcBorders>
            <w:vAlign w:val="center"/>
          </w:tcPr>
          <w:p w14:paraId="6B7AECA5">
            <w:pPr>
              <w:spacing w:line="240" w:lineRule="auto"/>
              <w:jc w:val="center"/>
              <w:rPr>
                <w:rFonts w:hint="eastAsia" w:ascii="仿宋" w:hAnsi="仿宋" w:eastAsia="仿宋" w:cs="仿宋"/>
                <w:color w:val="auto"/>
                <w:sz w:val="21"/>
                <w:highlight w:val="none"/>
              </w:rPr>
            </w:pPr>
            <w:r>
              <w:rPr>
                <w:rFonts w:hint="eastAsia" w:ascii="仿宋" w:hAnsi="仿宋" w:eastAsia="仿宋" w:cs="仿宋"/>
                <w:b/>
                <w:color w:val="auto"/>
                <w:kern w:val="0"/>
                <w:szCs w:val="21"/>
                <w:highlight w:val="none"/>
              </w:rPr>
              <w:t>特别说明</w:t>
            </w:r>
          </w:p>
        </w:tc>
        <w:tc>
          <w:tcPr>
            <w:tcW w:w="7798" w:type="dxa"/>
            <w:tcBorders>
              <w:bottom w:val="double" w:color="auto" w:sz="4" w:space="0"/>
              <w:right w:val="double" w:color="auto" w:sz="4" w:space="0"/>
            </w:tcBorders>
            <w:vAlign w:val="center"/>
          </w:tcPr>
          <w:p w14:paraId="64A7DD38">
            <w:pPr>
              <w:spacing w:line="240" w:lineRule="auto"/>
              <w:rPr>
                <w:rFonts w:hint="eastAsia" w:ascii="仿宋" w:hAnsi="仿宋" w:eastAsia="仿宋" w:cs="仿宋"/>
                <w:color w:val="auto"/>
              </w:rPr>
            </w:pPr>
            <w:r>
              <w:rPr>
                <w:rFonts w:hint="eastAsia" w:ascii="仿宋" w:hAnsi="仿宋" w:eastAsia="仿宋" w:cs="仿宋"/>
                <w:b/>
                <w:color w:val="auto"/>
                <w:kern w:val="0"/>
                <w:szCs w:val="21"/>
                <w:highlight w:val="none"/>
              </w:rPr>
              <w:t>中标人应提供与电子投标文件内容一致的纸质投标文件（资格审查资料、</w:t>
            </w:r>
            <w:r>
              <w:rPr>
                <w:rFonts w:hint="eastAsia" w:ascii="仿宋" w:hAnsi="仿宋" w:eastAsia="仿宋" w:cs="仿宋"/>
                <w:b/>
                <w:bCs/>
                <w:color w:val="auto"/>
                <w:highlight w:val="none"/>
              </w:rPr>
              <w:t>技术资信文件</w:t>
            </w:r>
            <w:r>
              <w:rPr>
                <w:rFonts w:hint="eastAsia" w:ascii="仿宋" w:hAnsi="仿宋" w:eastAsia="仿宋" w:cs="仿宋"/>
                <w:b/>
                <w:color w:val="auto"/>
                <w:kern w:val="0"/>
                <w:szCs w:val="21"/>
                <w:highlight w:val="none"/>
              </w:rPr>
              <w:t>、报价文件）一正三副。中标人在领取中标通知书时提供纸质投标文件。</w:t>
            </w:r>
          </w:p>
        </w:tc>
      </w:tr>
    </w:tbl>
    <w:p w14:paraId="28FAE932">
      <w:pPr>
        <w:pStyle w:val="9"/>
        <w:spacing w:line="360" w:lineRule="auto"/>
        <w:ind w:left="422" w:firstLine="64"/>
        <w:jc w:val="center"/>
        <w:textAlignment w:val="baseline"/>
        <w:rPr>
          <w:rFonts w:hint="eastAsia" w:ascii="仿宋" w:hAnsi="仿宋" w:eastAsia="仿宋" w:cs="仿宋"/>
          <w:color w:val="auto"/>
          <w:szCs w:val="21"/>
          <w:highlight w:val="none"/>
        </w:rPr>
      </w:pPr>
      <w:r>
        <w:rPr>
          <w:rFonts w:hint="eastAsia" w:ascii="仿宋" w:hAnsi="仿宋" w:eastAsia="仿宋" w:cs="仿宋"/>
          <w:b/>
          <w:bCs/>
          <w:color w:val="auto"/>
          <w:kern w:val="2"/>
          <w:szCs w:val="32"/>
          <w:highlight w:val="none"/>
        </w:rPr>
        <w:t>一、总则</w:t>
      </w:r>
    </w:p>
    <w:p w14:paraId="42F62E6F">
      <w:pPr>
        <w:pStyle w:val="9"/>
        <w:keepNext w:val="0"/>
        <w:keepLines w:val="0"/>
        <w:pageBreakBefore w:val="0"/>
        <w:widowControl w:val="0"/>
        <w:kinsoku/>
        <w:wordWrap/>
        <w:topLinePunct w:val="0"/>
        <w:bidi w:val="0"/>
        <w:snapToGrid/>
        <w:spacing w:line="500" w:lineRule="exact"/>
        <w:ind w:left="0" w:firstLine="843" w:firstLineChars="400"/>
        <w:textAlignment w:val="baseline"/>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1</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适用范围</w:t>
      </w:r>
    </w:p>
    <w:p w14:paraId="31BB18C4">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1.1本磋商文件适用于本次采购活动中所叙述的</w:t>
      </w:r>
      <w:r>
        <w:rPr>
          <w:rFonts w:hint="eastAsia" w:ascii="仿宋" w:hAnsi="仿宋" w:eastAsia="仿宋" w:cs="仿宋"/>
          <w:color w:val="auto"/>
          <w:sz w:val="21"/>
          <w:szCs w:val="21"/>
          <w:highlight w:val="none"/>
          <w:lang w:eastAsia="zh-CN"/>
        </w:rPr>
        <w:t>常山县城东新区狮子口片区控规调整</w:t>
      </w:r>
      <w:r>
        <w:rPr>
          <w:rFonts w:hint="eastAsia" w:ascii="仿宋" w:hAnsi="仿宋" w:eastAsia="仿宋" w:cs="仿宋"/>
          <w:color w:val="auto"/>
          <w:sz w:val="21"/>
          <w:szCs w:val="21"/>
          <w:highlight w:val="none"/>
        </w:rPr>
        <w:t>。</w:t>
      </w:r>
    </w:p>
    <w:p w14:paraId="08084C32">
      <w:pPr>
        <w:pStyle w:val="9"/>
        <w:keepNext w:val="0"/>
        <w:keepLines w:val="0"/>
        <w:pageBreakBefore w:val="0"/>
        <w:widowControl w:val="0"/>
        <w:kinsoku/>
        <w:wordWrap/>
        <w:topLinePunct w:val="0"/>
        <w:bidi w:val="0"/>
        <w:snapToGrid/>
        <w:spacing w:line="500" w:lineRule="exact"/>
        <w:ind w:left="0" w:firstLine="843" w:firstLineChars="4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定义解释</w:t>
      </w:r>
    </w:p>
    <w:p w14:paraId="6DF82BD9">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2.1“采购代理机构”是指浙江衢州公信工程管理有限公司。</w:t>
      </w:r>
    </w:p>
    <w:p w14:paraId="77BAF850">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2.2“采购人”是指</w:t>
      </w:r>
      <w:r>
        <w:rPr>
          <w:rFonts w:hint="eastAsia" w:ascii="仿宋" w:hAnsi="仿宋" w:eastAsia="仿宋" w:cs="仿宋"/>
          <w:color w:val="auto"/>
          <w:sz w:val="21"/>
          <w:szCs w:val="21"/>
          <w:highlight w:val="none"/>
          <w:lang w:eastAsia="zh-CN"/>
        </w:rPr>
        <w:t>常山县自然资源和规划局</w:t>
      </w:r>
      <w:r>
        <w:rPr>
          <w:rFonts w:hint="eastAsia" w:ascii="仿宋" w:hAnsi="仿宋" w:eastAsia="仿宋" w:cs="仿宋"/>
          <w:color w:val="auto"/>
          <w:sz w:val="21"/>
          <w:szCs w:val="21"/>
          <w:highlight w:val="none"/>
        </w:rPr>
        <w:t>。</w:t>
      </w:r>
    </w:p>
    <w:p w14:paraId="5F71FB2A">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2.3“采购项目”是指本磋商文件所要求</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lang w:eastAsia="zh-CN"/>
        </w:rPr>
        <w:t>常山县城东新区狮子口片区控规调整</w:t>
      </w:r>
      <w:r>
        <w:rPr>
          <w:rFonts w:hint="eastAsia" w:ascii="仿宋" w:hAnsi="仿宋" w:eastAsia="仿宋" w:cs="仿宋"/>
          <w:color w:val="auto"/>
          <w:sz w:val="21"/>
          <w:szCs w:val="21"/>
          <w:highlight w:val="none"/>
        </w:rPr>
        <w:t>。</w:t>
      </w:r>
    </w:p>
    <w:p w14:paraId="10B11AA2">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2.4“磋商供应商”是指获得磋商文件并向采购代理机构提交响应文件的磋商供应商。</w:t>
      </w:r>
    </w:p>
    <w:p w14:paraId="7624F288">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2.5“潜在磋商供应商”是指符合磋商文件规定的磋商供应商。</w:t>
      </w:r>
    </w:p>
    <w:p w14:paraId="3ADAA6E8">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2.6 “中标人”是指经磋商小组审查通过，并经公示无异议的磋商供应商。</w:t>
      </w:r>
    </w:p>
    <w:p w14:paraId="4C119793">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2.7“磋商供应商代表”是指磋商供应商法定代表人或磋商供应商法定代表人授权委托的人。</w:t>
      </w:r>
    </w:p>
    <w:p w14:paraId="2A93AFFC">
      <w:pPr>
        <w:pStyle w:val="9"/>
        <w:keepNext w:val="0"/>
        <w:keepLines w:val="0"/>
        <w:pageBreakBefore w:val="0"/>
        <w:widowControl w:val="0"/>
        <w:kinsoku/>
        <w:wordWrap/>
        <w:topLinePunct w:val="0"/>
        <w:bidi w:val="0"/>
        <w:snapToGrid/>
        <w:spacing w:line="500" w:lineRule="exact"/>
        <w:ind w:left="0" w:firstLine="840" w:firstLineChars="4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2.8“产品（货物）”是指按采购文件要求配置的一切设备、机械、仪器仪表、备品备件、工具、手册及其它有关技术资料和文字材料；</w:t>
      </w:r>
    </w:p>
    <w:p w14:paraId="34DCDA11">
      <w:pPr>
        <w:pStyle w:val="9"/>
        <w:keepNext w:val="0"/>
        <w:keepLines w:val="0"/>
        <w:pageBreakBefore w:val="0"/>
        <w:widowControl w:val="0"/>
        <w:kinsoku/>
        <w:wordWrap/>
        <w:topLinePunct w:val="0"/>
        <w:bidi w:val="0"/>
        <w:snapToGrid/>
        <w:spacing w:line="500" w:lineRule="exact"/>
        <w:ind w:left="0" w:firstLine="840" w:firstLineChars="4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2.9“服务”在货物类采购项目中是指采购文件规定供方须承担的货物运输、操作使用、技术支持、培训、维修保养服务；在服务类采购项目是指采购采购内容本身及相关的售后技术支持、培训服务；</w:t>
      </w:r>
    </w:p>
    <w:p w14:paraId="1E42F02E">
      <w:pPr>
        <w:pStyle w:val="9"/>
        <w:keepNext w:val="0"/>
        <w:keepLines w:val="0"/>
        <w:pageBreakBefore w:val="0"/>
        <w:widowControl w:val="0"/>
        <w:kinsoku/>
        <w:wordWrap/>
        <w:topLinePunct w:val="0"/>
        <w:bidi w:val="0"/>
        <w:snapToGrid/>
        <w:spacing w:line="500" w:lineRule="exact"/>
        <w:ind w:left="0" w:firstLine="840" w:firstLineChars="4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2.10“书面形式”包括纸质文件、电子邮件、信函、传真等。</w:t>
      </w:r>
    </w:p>
    <w:p w14:paraId="36D80852">
      <w:pPr>
        <w:pStyle w:val="9"/>
        <w:keepNext w:val="0"/>
        <w:keepLines w:val="0"/>
        <w:pageBreakBefore w:val="0"/>
        <w:widowControl w:val="0"/>
        <w:kinsoku/>
        <w:wordWrap/>
        <w:topLinePunct w:val="0"/>
        <w:bidi w:val="0"/>
        <w:snapToGrid/>
        <w:spacing w:line="500" w:lineRule="exact"/>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2.11实质性响应：是指投标文件相关内容符合招标（采购）文件规定的实质性内容、条款和规定。</w:t>
      </w:r>
    </w:p>
    <w:p w14:paraId="7E076A93">
      <w:pPr>
        <w:spacing w:line="360" w:lineRule="auto"/>
        <w:ind w:firstLine="420"/>
        <w:rPr>
          <w:rFonts w:hint="eastAsia" w:ascii="仿宋" w:hAnsi="仿宋" w:eastAsia="仿宋" w:cs="仿宋"/>
          <w:b/>
          <w:bCs/>
          <w:color w:val="auto"/>
          <w:szCs w:val="21"/>
        </w:rPr>
      </w:pPr>
      <w:r>
        <w:rPr>
          <w:rFonts w:hint="eastAsia" w:ascii="仿宋" w:hAnsi="仿宋" w:eastAsia="仿宋" w:cs="仿宋"/>
          <w:color w:val="auto"/>
          <w:sz w:val="21"/>
          <w:szCs w:val="21"/>
          <w:highlight w:val="none"/>
        </w:rPr>
        <w:t>2.12</w:t>
      </w:r>
      <w:r>
        <w:rPr>
          <w:rFonts w:hint="eastAsia" w:ascii="仿宋" w:hAnsi="仿宋" w:eastAsia="仿宋" w:cs="仿宋"/>
          <w:b/>
          <w:bCs/>
          <w:color w:val="auto"/>
          <w:szCs w:val="21"/>
        </w:rPr>
        <w:t>除另行说明外，采购文件中标注 “▲” 的内容为必须满足的实质性内容或不可负偏离指标，</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未实质性响应的，按</w:t>
      </w:r>
      <w:r>
        <w:rPr>
          <w:rFonts w:hint="eastAsia" w:ascii="仿宋" w:hAnsi="仿宋" w:eastAsia="仿宋" w:cs="仿宋"/>
          <w:b/>
          <w:bCs/>
          <w:color w:val="auto"/>
          <w:szCs w:val="21"/>
          <w:lang w:eastAsia="zh-CN"/>
        </w:rPr>
        <w:t>响应</w:t>
      </w:r>
      <w:r>
        <w:rPr>
          <w:rFonts w:hint="eastAsia" w:ascii="仿宋" w:hAnsi="仿宋" w:eastAsia="仿宋" w:cs="仿宋"/>
          <w:b/>
          <w:bCs/>
          <w:color w:val="auto"/>
          <w:szCs w:val="21"/>
        </w:rPr>
        <w:t>无效处理；标注 “★” 表示重点提醒</w:t>
      </w:r>
      <w:r>
        <w:rPr>
          <w:rFonts w:hint="eastAsia" w:ascii="仿宋" w:hAnsi="仿宋" w:eastAsia="仿宋" w:cs="仿宋"/>
          <w:b/>
          <w:bCs/>
          <w:color w:val="auto"/>
          <w:szCs w:val="21"/>
          <w:lang w:eastAsia="zh-CN"/>
        </w:rPr>
        <w:t>供应商</w:t>
      </w:r>
      <w:r>
        <w:rPr>
          <w:rFonts w:hint="eastAsia" w:ascii="仿宋" w:hAnsi="仿宋" w:eastAsia="仿宋" w:cs="仿宋"/>
          <w:b/>
          <w:bCs/>
          <w:color w:val="auto"/>
          <w:szCs w:val="21"/>
        </w:rPr>
        <w:t>注意该内容。</w:t>
      </w:r>
      <w:r>
        <w:rPr>
          <w:rFonts w:hint="eastAsia" w:ascii="仿宋" w:hAnsi="仿宋" w:eastAsia="仿宋" w:cs="仿宋"/>
          <w:b/>
          <w:bCs/>
          <w:color w:val="auto"/>
          <w:szCs w:val="21"/>
          <w:lang w:eastAsia="zh-CN"/>
        </w:rPr>
        <w:t>【在</w:t>
      </w:r>
      <w:r>
        <w:rPr>
          <w:rFonts w:hint="eastAsia" w:ascii="仿宋" w:hAnsi="仿宋" w:eastAsia="仿宋" w:cs="仿宋"/>
          <w:b/>
          <w:bCs/>
          <w:color w:val="auto"/>
          <w:szCs w:val="21"/>
        </w:rPr>
        <w:t>货物采购项目</w:t>
      </w:r>
      <w:r>
        <w:rPr>
          <w:rFonts w:hint="eastAsia" w:ascii="仿宋" w:hAnsi="仿宋" w:eastAsia="仿宋" w:cs="仿宋"/>
          <w:b/>
          <w:bCs/>
          <w:color w:val="auto"/>
          <w:szCs w:val="21"/>
          <w:lang w:eastAsia="zh-CN"/>
        </w:rPr>
        <w:t>中，</w:t>
      </w:r>
      <w:r>
        <w:rPr>
          <w:rFonts w:hint="eastAsia" w:ascii="仿宋" w:hAnsi="仿宋" w:eastAsia="仿宋" w:cs="仿宋"/>
          <w:b/>
          <w:bCs/>
          <w:color w:val="auto"/>
          <w:szCs w:val="21"/>
        </w:rPr>
        <w:t>采购需求产品名称标注 “★” 并加下划线标明的，表示该产品为项目的核心产品（</w:t>
      </w:r>
      <w:r>
        <w:rPr>
          <w:rFonts w:hint="eastAsia" w:ascii="仿宋" w:hAnsi="仿宋" w:eastAsia="仿宋" w:cs="仿宋"/>
          <w:b/>
          <w:bCs/>
          <w:color w:val="auto"/>
          <w:szCs w:val="21"/>
          <w:lang w:eastAsia="zh-CN"/>
        </w:rPr>
        <w:t>仅适用于货物采购项目</w:t>
      </w:r>
      <w:r>
        <w:rPr>
          <w:rFonts w:hint="eastAsia" w:ascii="仿宋" w:hAnsi="仿宋" w:eastAsia="仿宋" w:cs="仿宋"/>
          <w:b/>
          <w:bCs/>
          <w:color w:val="auto"/>
          <w:szCs w:val="21"/>
        </w:rPr>
        <w:t>）</w:t>
      </w:r>
      <w:r>
        <w:rPr>
          <w:rFonts w:hint="eastAsia" w:ascii="仿宋" w:hAnsi="仿宋" w:eastAsia="仿宋" w:cs="仿宋"/>
          <w:b/>
          <w:bCs/>
          <w:color w:val="auto"/>
          <w:szCs w:val="21"/>
          <w:lang w:eastAsia="zh-CN"/>
        </w:rPr>
        <w:t>】</w:t>
      </w:r>
    </w:p>
    <w:p w14:paraId="6FE57F8D">
      <w:pPr>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2.13 “电子投标文件”系指投标人通过政采云电子投标工具编制的数据电文形式的加密标书。</w:t>
      </w:r>
    </w:p>
    <w:p w14:paraId="732E4A0D">
      <w:pPr>
        <w:pStyle w:val="9"/>
        <w:keepNext w:val="0"/>
        <w:keepLines w:val="0"/>
        <w:pageBreakBefore w:val="0"/>
        <w:widowControl w:val="0"/>
        <w:kinsoku/>
        <w:wordWrap/>
        <w:topLinePunct w:val="0"/>
        <w:bidi w:val="0"/>
        <w:snapToGrid/>
        <w:spacing w:line="500" w:lineRule="exact"/>
        <w:ind w:left="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项目说明</w:t>
      </w:r>
    </w:p>
    <w:p w14:paraId="70784B91">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中华人民共和国政府采购法》、《中华人民共和国政府采购法实施条例》、《政府采购竞争性磋商采购方式管理暂行办法》、《财政部关于政府采购竞争性磋商采购方式管理暂行办法有关问题的补充通知》和其他有关法律、行政法规以及省市规范性文件规定。</w:t>
      </w:r>
    </w:p>
    <w:p w14:paraId="4C3A4652">
      <w:pPr>
        <w:pStyle w:val="9"/>
        <w:keepNext w:val="0"/>
        <w:keepLines w:val="0"/>
        <w:pageBreakBefore w:val="0"/>
        <w:widowControl w:val="0"/>
        <w:kinsoku/>
        <w:wordWrap/>
        <w:topLinePunct w:val="0"/>
        <w:bidi w:val="0"/>
        <w:snapToGrid/>
        <w:spacing w:line="500" w:lineRule="exact"/>
        <w:ind w:left="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合格磋商供应商的条件</w:t>
      </w:r>
    </w:p>
    <w:p w14:paraId="2CD9EFA4">
      <w:pPr>
        <w:pStyle w:val="9"/>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 4.1凡符合本磋商文件第一章竞争性磋商公告磋商供应商资格要求的均为合格的磋商供应商。</w:t>
      </w:r>
    </w:p>
    <w:p w14:paraId="4D9A020F">
      <w:pPr>
        <w:pStyle w:val="9"/>
        <w:keepNext w:val="0"/>
        <w:keepLines w:val="0"/>
        <w:pageBreakBefore w:val="0"/>
        <w:widowControl w:val="0"/>
        <w:kinsoku/>
        <w:wordWrap/>
        <w:topLinePunct w:val="0"/>
        <w:bidi w:val="0"/>
        <w:snapToGrid/>
        <w:spacing w:line="500" w:lineRule="exact"/>
        <w:ind w:left="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5</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投标费用</w:t>
      </w:r>
    </w:p>
    <w:p w14:paraId="1DA9ED24">
      <w:pPr>
        <w:keepNext w:val="0"/>
        <w:keepLines w:val="0"/>
        <w:pageBreakBefore w:val="0"/>
        <w:widowControl w:val="0"/>
        <w:kinsoku/>
        <w:wordWrap/>
        <w:topLinePunct w:val="0"/>
        <w:bidi w:val="0"/>
        <w:snapToGrid/>
        <w:spacing w:line="500" w:lineRule="exact"/>
        <w:ind w:left="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5.1磋商供应商应承担参加本次投标有关的全部费用，无论结果如何，采购人和采购代理机构在任何情况下均无义务和责任承担这些费用。</w:t>
      </w:r>
    </w:p>
    <w:p w14:paraId="7C584C43">
      <w:pPr>
        <w:keepNext w:val="0"/>
        <w:keepLines w:val="0"/>
        <w:pageBreakBefore w:val="0"/>
        <w:widowControl w:val="0"/>
        <w:kinsoku/>
        <w:wordWrap/>
        <w:topLinePunct w:val="0"/>
        <w:bidi w:val="0"/>
        <w:snapToGrid/>
        <w:spacing w:line="500" w:lineRule="exact"/>
        <w:ind w:left="0" w:firstLine="422" w:firstLineChars="200"/>
        <w:jc w:val="left"/>
        <w:textAlignment w:val="baseline"/>
        <w:rPr>
          <w:rFonts w:hint="eastAsia" w:ascii="仿宋" w:hAnsi="仿宋" w:eastAsia="仿宋" w:cs="仿宋"/>
          <w:b/>
          <w:bCs/>
          <w:color w:val="auto"/>
          <w:sz w:val="20"/>
          <w:szCs w:val="21"/>
          <w:highlight w:val="none"/>
        </w:rPr>
      </w:pPr>
      <w:r>
        <w:rPr>
          <w:rFonts w:hint="eastAsia" w:ascii="仿宋" w:hAnsi="仿宋" w:eastAsia="仿宋" w:cs="仿宋"/>
          <w:b/>
          <w:color w:val="auto"/>
          <w:szCs w:val="21"/>
          <w:highlight w:val="none"/>
        </w:rPr>
        <w:t>6</w:t>
      </w:r>
      <w:r>
        <w:rPr>
          <w:rFonts w:hint="eastAsia" w:ascii="仿宋" w:hAnsi="仿宋" w:eastAsia="仿宋" w:cs="仿宋"/>
          <w:b/>
          <w:color w:val="auto"/>
          <w:szCs w:val="21"/>
          <w:highlight w:val="none"/>
          <w:lang w:val="en-US" w:eastAsia="zh-CN"/>
        </w:rPr>
        <w:t>.</w:t>
      </w:r>
      <w:r>
        <w:rPr>
          <w:rFonts w:hint="eastAsia" w:ascii="仿宋" w:hAnsi="仿宋" w:eastAsia="仿宋" w:cs="仿宋"/>
          <w:b/>
          <w:bCs/>
          <w:color w:val="auto"/>
          <w:szCs w:val="21"/>
          <w:highlight w:val="none"/>
        </w:rPr>
        <w:t>特别说明</w:t>
      </w:r>
    </w:p>
    <w:p w14:paraId="3B48E0A5">
      <w:pPr>
        <w:pStyle w:val="57"/>
        <w:keepNext w:val="0"/>
        <w:keepLines w:val="0"/>
        <w:pageBreakBefore w:val="0"/>
        <w:widowControl w:val="0"/>
        <w:kinsoku/>
        <w:wordWrap/>
        <w:topLinePunct w:val="0"/>
        <w:bidi w:val="0"/>
        <w:snapToGrid/>
        <w:spacing w:line="500" w:lineRule="exact"/>
        <w:ind w:left="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6.1投标人投标所使用的资格、信誉、荣誉、业绩与企业认证必须为本企业所拥有。投标人投标所使用的采购项目实施人员可以为其控股公司的工作人员。</w:t>
      </w:r>
    </w:p>
    <w:p w14:paraId="636F18A4">
      <w:pPr>
        <w:pStyle w:val="57"/>
        <w:keepNext w:val="0"/>
        <w:keepLines w:val="0"/>
        <w:pageBreakBefore w:val="0"/>
        <w:widowControl w:val="0"/>
        <w:kinsoku/>
        <w:wordWrap/>
        <w:topLinePunct w:val="0"/>
        <w:bidi w:val="0"/>
        <w:snapToGrid/>
        <w:spacing w:line="500" w:lineRule="exact"/>
        <w:ind w:left="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6.2投标人在投标活动中提供任何虚假材料或从事其他违法活动的,其投标无效，并报监管部门查处；成交后发现的,中标人须依照《中华人民共和国消费者权益保护法》之规定赔偿采购单位。且民事赔偿并不免除违法投标人的行政与刑事责任。</w:t>
      </w:r>
    </w:p>
    <w:p w14:paraId="3DB0F2FE">
      <w:pPr>
        <w:pStyle w:val="57"/>
        <w:keepNext w:val="0"/>
        <w:keepLines w:val="0"/>
        <w:pageBreakBefore w:val="0"/>
        <w:widowControl w:val="0"/>
        <w:kinsoku/>
        <w:wordWrap/>
        <w:topLinePunct w:val="0"/>
        <w:bidi w:val="0"/>
        <w:snapToGrid/>
        <w:spacing w:line="500" w:lineRule="exact"/>
        <w:ind w:left="0"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6.3投标人应仔细阅读招标文件的所有内容，按照招标文件的要求提交投标文件。投标文件应对招标文件的要求作出实质性响应，并对所提供的全部资料的真实性承担法律责任。</w:t>
      </w:r>
    </w:p>
    <w:p w14:paraId="56887987">
      <w:pPr>
        <w:keepNext w:val="0"/>
        <w:keepLines w:val="0"/>
        <w:pageBreakBefore w:val="0"/>
        <w:widowControl w:val="0"/>
        <w:kinsoku/>
        <w:wordWrap/>
        <w:topLinePunct w:val="0"/>
        <w:bidi w:val="0"/>
        <w:snapToGrid/>
        <w:spacing w:line="500" w:lineRule="exact"/>
        <w:ind w:left="0" w:firstLine="422" w:firstLineChars="200"/>
        <w:textAlignment w:val="baseline"/>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6.</w:t>
      </w:r>
      <w:r>
        <w:rPr>
          <w:rFonts w:hint="eastAsia" w:ascii="仿宋" w:hAnsi="仿宋" w:eastAsia="仿宋" w:cs="仿宋"/>
          <w:b/>
          <w:bCs/>
          <w:color w:val="auto"/>
          <w:szCs w:val="21"/>
          <w:highlight w:val="none"/>
          <w:lang w:val="en-US" w:eastAsia="zh-CN"/>
        </w:rPr>
        <w:t>4</w:t>
      </w:r>
      <w:r>
        <w:rPr>
          <w:rFonts w:hint="eastAsia" w:ascii="仿宋" w:hAnsi="仿宋" w:eastAsia="仿宋" w:cs="仿宋"/>
          <w:b/>
          <w:bCs/>
          <w:color w:val="auto"/>
          <w:szCs w:val="21"/>
          <w:highlight w:val="none"/>
        </w:rPr>
        <w:t>与参加本次项目同一合同项下政府采购活动的其他供应商不存在单位负责人为同一人或者直接控股、管理关系。</w:t>
      </w:r>
    </w:p>
    <w:p w14:paraId="071EEB74">
      <w:pPr>
        <w:keepNext w:val="0"/>
        <w:keepLines w:val="0"/>
        <w:pageBreakBefore w:val="0"/>
        <w:widowControl w:val="0"/>
        <w:kinsoku/>
        <w:wordWrap/>
        <w:topLinePunct w:val="0"/>
        <w:bidi w:val="0"/>
        <w:snapToGrid/>
        <w:spacing w:line="500" w:lineRule="exact"/>
        <w:ind w:left="0"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6.</w:t>
      </w:r>
      <w:r>
        <w:rPr>
          <w:rFonts w:hint="eastAsia" w:ascii="仿宋" w:hAnsi="仿宋" w:eastAsia="仿宋" w:cs="仿宋"/>
          <w:b/>
          <w:bCs/>
          <w:color w:val="auto"/>
          <w:szCs w:val="21"/>
          <w:highlight w:val="none"/>
          <w:lang w:val="en-US" w:eastAsia="zh-CN"/>
        </w:rPr>
        <w:t>5</w:t>
      </w:r>
      <w:r>
        <w:rPr>
          <w:rFonts w:hint="eastAsia" w:ascii="仿宋" w:hAnsi="仿宋" w:eastAsia="仿宋" w:cs="仿宋"/>
          <w:b/>
          <w:bCs/>
          <w:color w:val="auto"/>
          <w:szCs w:val="21"/>
          <w:highlight w:val="none"/>
        </w:rPr>
        <w:t>采用最低评标价法的采购项目，提供相同品牌产品的不同投标人参加同一合同项下投标的，以其中通过资格审查、符合性审查且报价最低的参加评标；报价相同的，由采购单位现场抽签确定一个参加评标的投标人，其他投标无效。</w:t>
      </w:r>
    </w:p>
    <w:p w14:paraId="49DC89A1">
      <w:pPr>
        <w:keepNext w:val="0"/>
        <w:keepLines w:val="0"/>
        <w:pageBreakBefore w:val="0"/>
        <w:widowControl w:val="0"/>
        <w:kinsoku/>
        <w:wordWrap/>
        <w:topLinePunct w:val="0"/>
        <w:bidi w:val="0"/>
        <w:snapToGrid/>
        <w:spacing w:line="500" w:lineRule="exact"/>
        <w:ind w:left="0"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单位现场抽签确定一个投标人获得中标人推荐资格，其他同品牌投标人不作为中标候选人。</w:t>
      </w:r>
    </w:p>
    <w:p w14:paraId="2A9DCA3B">
      <w:pPr>
        <w:keepNext w:val="0"/>
        <w:keepLines w:val="0"/>
        <w:pageBreakBefore w:val="0"/>
        <w:widowControl w:val="0"/>
        <w:kinsoku/>
        <w:wordWrap/>
        <w:topLinePunct w:val="0"/>
        <w:bidi w:val="0"/>
        <w:snapToGrid/>
        <w:spacing w:line="500" w:lineRule="exact"/>
        <w:ind w:left="0" w:firstLine="422" w:firstLineChars="200"/>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非单一产品采购项目，采购人应当根据采购项目技术构成、产品价格比重等合理确定核心产品，并在招标文件中载明。多家投标人提供的核心产品品牌相同的，按前两款规定处理。</w:t>
      </w:r>
    </w:p>
    <w:p w14:paraId="1C45DA72">
      <w:pPr>
        <w:pStyle w:val="4"/>
        <w:keepLines/>
        <w:widowControl w:val="0"/>
        <w:numPr>
          <w:ilvl w:val="2"/>
          <w:numId w:val="0"/>
        </w:numPr>
        <w:spacing w:before="156" w:after="156"/>
        <w:jc w:val="center"/>
        <w:textAlignment w:val="baseline"/>
        <w:rPr>
          <w:rFonts w:hint="eastAsia" w:ascii="仿宋" w:hAnsi="仿宋" w:eastAsia="仿宋" w:cs="仿宋"/>
          <w:b/>
          <w:bCs/>
          <w:color w:val="auto"/>
          <w:kern w:val="2"/>
          <w:sz w:val="32"/>
          <w:szCs w:val="32"/>
          <w:highlight w:val="none"/>
        </w:rPr>
      </w:pPr>
      <w:bookmarkStart w:id="42" w:name="_Toc20292"/>
      <w:r>
        <w:rPr>
          <w:rFonts w:hint="eastAsia" w:ascii="仿宋" w:hAnsi="仿宋" w:eastAsia="仿宋" w:cs="仿宋"/>
          <w:b/>
          <w:bCs/>
          <w:color w:val="auto"/>
          <w:kern w:val="2"/>
          <w:sz w:val="32"/>
          <w:szCs w:val="32"/>
          <w:highlight w:val="none"/>
        </w:rPr>
        <w:t>二、磋商文件</w:t>
      </w:r>
      <w:bookmarkEnd w:id="42"/>
    </w:p>
    <w:p w14:paraId="13AF15AF">
      <w:pPr>
        <w:pStyle w:val="4"/>
        <w:keepNext w:val="0"/>
        <w:keepLines w:val="0"/>
        <w:pageBreakBefore w:val="0"/>
        <w:numPr>
          <w:ilvl w:val="0"/>
          <w:numId w:val="0"/>
        </w:numPr>
        <w:kinsoku/>
        <w:wordWrap/>
        <w:overflowPunct/>
        <w:topLinePunct w:val="0"/>
        <w:bidi w:val="0"/>
        <w:snapToGrid/>
        <w:spacing w:beforeLines="0" w:afterLines="0" w:line="500" w:lineRule="exact"/>
        <w:ind w:left="0" w:firstLine="422" w:firstLineChars="200"/>
        <w:textAlignment w:val="baseline"/>
        <w:rPr>
          <w:rFonts w:hint="eastAsia" w:ascii="仿宋" w:hAnsi="仿宋" w:eastAsia="仿宋" w:cs="仿宋"/>
          <w:b/>
          <w:color w:val="auto"/>
          <w:sz w:val="21"/>
          <w:szCs w:val="21"/>
          <w:highlight w:val="none"/>
        </w:rPr>
      </w:pPr>
      <w:bookmarkStart w:id="43" w:name="_Toc15455"/>
      <w:r>
        <w:rPr>
          <w:rFonts w:hint="eastAsia" w:ascii="仿宋" w:hAnsi="仿宋" w:eastAsia="仿宋" w:cs="仿宋"/>
          <w:b/>
          <w:color w:val="auto"/>
          <w:sz w:val="21"/>
          <w:szCs w:val="21"/>
          <w:highlight w:val="none"/>
        </w:rPr>
        <w:t>1</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磋商文件的组成</w:t>
      </w:r>
      <w:bookmarkEnd w:id="43"/>
    </w:p>
    <w:p w14:paraId="6C0401FD">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1.1磋商文件共分为6部分，其内容如下：</w:t>
      </w:r>
    </w:p>
    <w:p w14:paraId="3701B395">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第一章 竞争性磋商公告</w:t>
      </w:r>
    </w:p>
    <w:p w14:paraId="6F640D62">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第二章 磋商供应商须知</w:t>
      </w:r>
    </w:p>
    <w:p w14:paraId="2597518D">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第三章 采购内容及要求</w:t>
      </w:r>
    </w:p>
    <w:p w14:paraId="19D0C305">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第四章 合同条款</w:t>
      </w:r>
    </w:p>
    <w:p w14:paraId="6BB1F685">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第五章 评标原则及办法</w:t>
      </w:r>
    </w:p>
    <w:p w14:paraId="0F9367E4">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第六章  响应文件格式</w:t>
      </w:r>
    </w:p>
    <w:p w14:paraId="5B2C9864">
      <w:pPr>
        <w:pStyle w:val="9"/>
        <w:keepNext w:val="0"/>
        <w:keepLines w:val="0"/>
        <w:pageBreakBefore w:val="0"/>
        <w:kinsoku/>
        <w:wordWrap/>
        <w:overflowPunct/>
        <w:topLinePunct w:val="0"/>
        <w:bidi w:val="0"/>
        <w:snapToGrid/>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1.2除上条1.1内容外，采购人、采购代理机构在规定时间前，以书面形式发出的对磋商文件的澄清或修改内容，均为磋商文件的组成部分。</w:t>
      </w:r>
    </w:p>
    <w:p w14:paraId="576192EF">
      <w:pPr>
        <w:pStyle w:val="9"/>
        <w:keepNext w:val="0"/>
        <w:keepLines w:val="0"/>
        <w:pageBreakBefore w:val="0"/>
        <w:kinsoku/>
        <w:wordWrap/>
        <w:topLinePunct w:val="0"/>
        <w:bidi w:val="0"/>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1.3磋商供应商获取磋商文件后，应仔细检查磋商文件的所有内容，如有残缺等问题，应在获得磋商文件3日内向采购人提出，否则，由此引起的损失由磋商供应商自己承担。磋商供应商同时应认真审阅磋商文件中所有的事项、格式、条款和规范要求等，若磋商供应商的响应文件没有按磋商文件要求提交全部资料，或响应文件没有对磋商文件做出实质性响应，并根据有关条款规定，其风险由磋商供应商自行承担。</w:t>
      </w:r>
    </w:p>
    <w:p w14:paraId="24F9741B">
      <w:pPr>
        <w:pStyle w:val="9"/>
        <w:keepNext w:val="0"/>
        <w:keepLines w:val="0"/>
        <w:pageBreakBefore w:val="0"/>
        <w:kinsoku/>
        <w:wordWrap/>
        <w:topLinePunct w:val="0"/>
        <w:bidi w:val="0"/>
        <w:spacing w:line="500" w:lineRule="exact"/>
        <w:ind w:left="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1.4招标采购人允许潜在磋商供应商在磋商文件发售</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后至投标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前允许潜在磋商供应商前来认购磋商文件，但该磋商供应商如在法律、法规规定的时间内逾期对磋商文件提出异议的，招标采购人可不予受理、答复。</w:t>
      </w:r>
    </w:p>
    <w:p w14:paraId="26C3117E">
      <w:pPr>
        <w:pStyle w:val="9"/>
        <w:keepNext w:val="0"/>
        <w:keepLines w:val="0"/>
        <w:pageBreakBefore w:val="0"/>
        <w:kinsoku/>
        <w:wordWrap/>
        <w:topLinePunct w:val="0"/>
        <w:bidi w:val="0"/>
        <w:spacing w:line="500" w:lineRule="exact"/>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磋商文件的澄清与修改</w:t>
      </w:r>
    </w:p>
    <w:p w14:paraId="4D9038C8">
      <w:pPr>
        <w:pStyle w:val="17"/>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2.1</w:t>
      </w:r>
      <w:r>
        <w:rPr>
          <w:rFonts w:hint="eastAsia" w:ascii="仿宋" w:hAnsi="仿宋" w:eastAsia="仿宋" w:cs="仿宋"/>
          <w:bCs/>
          <w:color w:val="auto"/>
          <w:highlight w:val="none"/>
        </w:rPr>
        <w:t>磋商供应商应认真阅读本磋商文件，发现其中有误或有不合理要求的，磋商供应商必须在前附表规定的时间内以书面形式要求招标采购人澄清</w:t>
      </w:r>
      <w:r>
        <w:rPr>
          <w:rFonts w:hint="eastAsia" w:ascii="仿宋" w:hAnsi="仿宋" w:eastAsia="仿宋" w:cs="仿宋"/>
          <w:color w:val="auto"/>
          <w:highlight w:val="none"/>
        </w:rPr>
        <w:t>。采购代理机构对已发出的磋商文件进行必要澄清、答复、修改或补充的，应当在提交首次响应文件</w:t>
      </w:r>
      <w:r>
        <w:rPr>
          <w:rFonts w:hint="eastAsia" w:ascii="仿宋" w:hAnsi="仿宋" w:eastAsia="仿宋" w:cs="仿宋"/>
          <w:color w:val="auto"/>
          <w:highlight w:val="none"/>
          <w:lang w:eastAsia="zh-CN"/>
        </w:rPr>
        <w:t>截至时间</w:t>
      </w:r>
      <w:r>
        <w:rPr>
          <w:rFonts w:hint="eastAsia" w:ascii="仿宋" w:hAnsi="仿宋" w:eastAsia="仿宋" w:cs="仿宋"/>
          <w:color w:val="auto"/>
          <w:highlight w:val="none"/>
        </w:rPr>
        <w:t>至少5日前，在财政部门指定的政府采购信息发布媒体上发布更正公告，并以书面形式通知所有获取磋商文件的供应商。</w:t>
      </w:r>
    </w:p>
    <w:p w14:paraId="4132D95B">
      <w:pPr>
        <w:pStyle w:val="17"/>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2.2采购代理机构必须以书面形式答复磋商供应商要求澄清的问题，并将不包含问题来源的答复书面通知所有购买磋商文件的磋商供应商；除书面答复以外的其他澄清方式及澄清内容均无效。</w:t>
      </w:r>
    </w:p>
    <w:p w14:paraId="1018D1E5">
      <w:pPr>
        <w:pStyle w:val="17"/>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2.3磋商文件澄清、答复、修改、补充的内容为磋商文件的组成部分。当磋商文件与磋商文件的答复、澄清、修改、补充通知就同一内容的表述不一致时，以最后发出的书面文件为准。</w:t>
      </w:r>
    </w:p>
    <w:p w14:paraId="02EB4396">
      <w:pPr>
        <w:pStyle w:val="17"/>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2.4磋商文件的澄清、答复、修改或补充都应该通过本代理机构以法定形式发布，采购人非通过本机构，不得擅自澄清、答复、修改或补充磋商文件。</w:t>
      </w:r>
    </w:p>
    <w:p w14:paraId="43E4D28A">
      <w:pPr>
        <w:pStyle w:val="4"/>
        <w:keepLines/>
        <w:widowControl w:val="0"/>
        <w:numPr>
          <w:ilvl w:val="2"/>
          <w:numId w:val="0"/>
        </w:numPr>
        <w:spacing w:before="156" w:after="156" w:line="440" w:lineRule="exact"/>
        <w:jc w:val="center"/>
        <w:textAlignment w:val="baseline"/>
        <w:rPr>
          <w:rFonts w:hint="eastAsia" w:ascii="仿宋" w:hAnsi="仿宋" w:eastAsia="仿宋" w:cs="仿宋"/>
          <w:b/>
          <w:bCs/>
          <w:color w:val="auto"/>
          <w:kern w:val="2"/>
          <w:sz w:val="32"/>
          <w:szCs w:val="32"/>
          <w:highlight w:val="none"/>
        </w:rPr>
      </w:pPr>
      <w:bookmarkStart w:id="44" w:name="_Toc16910"/>
      <w:r>
        <w:rPr>
          <w:rFonts w:hint="eastAsia" w:ascii="仿宋" w:hAnsi="仿宋" w:eastAsia="仿宋" w:cs="仿宋"/>
          <w:b/>
          <w:bCs/>
          <w:color w:val="auto"/>
          <w:kern w:val="2"/>
          <w:sz w:val="32"/>
          <w:szCs w:val="32"/>
          <w:highlight w:val="none"/>
        </w:rPr>
        <w:t>三、响应文件</w:t>
      </w:r>
      <w:bookmarkEnd w:id="44"/>
    </w:p>
    <w:p w14:paraId="4965505D">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响应文件的语言及度量衡单位</w:t>
      </w:r>
    </w:p>
    <w:p w14:paraId="55BB9C06">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1.1除采购货物有关专用名称外，响应文件和与投标有关的所有文件说明均应使用中文。</w:t>
      </w:r>
    </w:p>
    <w:p w14:paraId="49D40B24">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1.2除采购项目规范另有规定外，响应文件使用的度量衡单位，均采用中华人民共和国法定计量单位。</w:t>
      </w:r>
    </w:p>
    <w:p w14:paraId="3DF70790">
      <w:pPr>
        <w:keepNext w:val="0"/>
        <w:keepLines w:val="0"/>
        <w:pageBreakBefore w:val="0"/>
        <w:kinsoku/>
        <w:wordWrap/>
        <w:overflowPunct/>
        <w:topLinePunct w:val="0"/>
        <w:autoSpaceDE/>
        <w:autoSpaceDN/>
        <w:bidi w:val="0"/>
        <w:adjustRightInd/>
        <w:snapToGrid w:val="0"/>
        <w:spacing w:line="500" w:lineRule="exact"/>
        <w:ind w:left="0" w:leftChars="0" w:firstLine="422"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b/>
          <w:color w:val="auto"/>
          <w:szCs w:val="21"/>
          <w:highlight w:val="none"/>
        </w:rPr>
        <w:t>2</w:t>
      </w:r>
      <w:r>
        <w:rPr>
          <w:rFonts w:hint="eastAsia" w:ascii="仿宋" w:hAnsi="仿宋" w:eastAsia="仿宋" w:cs="仿宋"/>
          <w:b/>
          <w:color w:val="auto"/>
          <w:szCs w:val="21"/>
          <w:highlight w:val="none"/>
          <w:lang w:val="en-US" w:eastAsia="zh-CN"/>
        </w:rPr>
        <w:t>.</w:t>
      </w:r>
      <w:r>
        <w:rPr>
          <w:rFonts w:hint="eastAsia" w:ascii="仿宋" w:hAnsi="仿宋" w:eastAsia="仿宋" w:cs="仿宋"/>
          <w:b/>
          <w:color w:val="auto"/>
          <w:szCs w:val="21"/>
          <w:highlight w:val="none"/>
        </w:rPr>
        <w:t>响应文件的形式和效力</w:t>
      </w:r>
    </w:p>
    <w:p w14:paraId="38717A27">
      <w:pPr>
        <w:keepNext w:val="0"/>
        <w:keepLines w:val="0"/>
        <w:pageBreakBefore w:val="0"/>
        <w:kinsoku/>
        <w:wordWrap/>
        <w:overflowPunct/>
        <w:topLinePunct w:val="0"/>
        <w:autoSpaceDE/>
        <w:autoSpaceDN/>
        <w:bidi w:val="0"/>
        <w:adjustRightInd/>
        <w:snapToGrid w:val="0"/>
        <w:spacing w:line="500" w:lineRule="exact"/>
        <w:ind w:left="0" w:leftChars="0" w:firstLine="422" w:firstLineChars="200"/>
        <w:textAlignment w:val="baseline"/>
        <w:rPr>
          <w:rFonts w:hint="eastAsia" w:ascii="仿宋" w:hAnsi="仿宋" w:eastAsia="仿宋" w:cs="仿宋"/>
          <w:color w:val="auto"/>
          <w:sz w:val="20"/>
          <w:highlight w:val="none"/>
        </w:rPr>
      </w:pPr>
      <w:r>
        <w:rPr>
          <w:rFonts w:hint="eastAsia" w:ascii="仿宋" w:hAnsi="仿宋" w:eastAsia="仿宋" w:cs="仿宋"/>
          <w:b/>
          <w:color w:val="auto"/>
          <w:szCs w:val="21"/>
          <w:highlight w:val="none"/>
        </w:rPr>
        <w:t>2.1响应文件为电子响应文件。电子响应文件</w:t>
      </w:r>
      <w:r>
        <w:rPr>
          <w:rFonts w:hint="eastAsia" w:ascii="仿宋" w:hAnsi="仿宋" w:eastAsia="仿宋" w:cs="仿宋"/>
          <w:b/>
          <w:bCs/>
          <w:color w:val="auto"/>
          <w:szCs w:val="21"/>
          <w:highlight w:val="none"/>
        </w:rPr>
        <w:t>按政采云平台</w:t>
      </w:r>
      <w:r>
        <w:rPr>
          <w:rFonts w:hint="eastAsia" w:ascii="仿宋" w:hAnsi="仿宋" w:eastAsia="仿宋" w:cs="仿宋"/>
          <w:b/>
          <w:bCs/>
          <w:color w:val="auto"/>
          <w:kern w:val="0"/>
          <w:szCs w:val="21"/>
          <w:highlight w:val="none"/>
        </w:rPr>
        <w:t>“供应商-政府采购项目电子交易操作指南”</w:t>
      </w:r>
      <w:r>
        <w:rPr>
          <w:rFonts w:hint="eastAsia" w:ascii="仿宋" w:hAnsi="仿宋" w:eastAsia="仿宋" w:cs="仿宋"/>
          <w:b/>
          <w:color w:val="auto"/>
          <w:szCs w:val="21"/>
          <w:highlight w:val="none"/>
        </w:rPr>
        <w:t>及本招标文件要求制作、加密并递交。</w:t>
      </w:r>
    </w:p>
    <w:p w14:paraId="24641D17">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响应文件的组成</w:t>
      </w:r>
    </w:p>
    <w:p w14:paraId="0465F1F9">
      <w:pPr>
        <w:keepNext w:val="0"/>
        <w:keepLines w:val="0"/>
        <w:pageBreakBefore w:val="0"/>
        <w:tabs>
          <w:tab w:val="left" w:pos="0"/>
          <w:tab w:val="left" w:pos="900"/>
          <w:tab w:val="left" w:pos="7020"/>
          <w:tab w:val="left" w:pos="8460"/>
        </w:tabs>
        <w:kinsoku/>
        <w:wordWrap/>
        <w:overflowPunct/>
        <w:topLinePunct w:val="0"/>
        <w:autoSpaceDE/>
        <w:autoSpaceDN/>
        <w:bidi w:val="0"/>
        <w:adjustRightInd/>
        <w:snapToGrid w:val="0"/>
        <w:spacing w:line="500" w:lineRule="exact"/>
        <w:ind w:left="0" w:leftChars="0" w:firstLine="420"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color w:val="auto"/>
          <w:szCs w:val="21"/>
          <w:highlight w:val="none"/>
        </w:rPr>
        <w:t>2.1响应文件由</w:t>
      </w:r>
      <w:r>
        <w:rPr>
          <w:rFonts w:hint="eastAsia" w:ascii="仿宋" w:hAnsi="仿宋" w:eastAsia="仿宋" w:cs="仿宋"/>
          <w:color w:val="auto"/>
          <w:szCs w:val="21"/>
          <w:highlight w:val="none"/>
          <w:lang w:eastAsia="zh-CN"/>
        </w:rPr>
        <w:t>资格审查文件</w:t>
      </w:r>
      <w:r>
        <w:rPr>
          <w:rFonts w:hint="eastAsia" w:ascii="仿宋" w:hAnsi="仿宋" w:eastAsia="仿宋" w:cs="仿宋"/>
          <w:color w:val="auto"/>
          <w:szCs w:val="21"/>
          <w:highlight w:val="none"/>
        </w:rPr>
        <w:t>、商务技术文件、报价文件三部分组成。</w:t>
      </w:r>
      <w:r>
        <w:rPr>
          <w:rFonts w:hint="eastAsia" w:ascii="仿宋" w:hAnsi="仿宋" w:eastAsia="仿宋" w:cs="仿宋"/>
          <w:b/>
          <w:color w:val="auto"/>
          <w:szCs w:val="21"/>
          <w:highlight w:val="none"/>
        </w:rPr>
        <w:t>电子响应文件中所须加盖公章部分均采用CA签章。</w:t>
      </w:r>
    </w:p>
    <w:p w14:paraId="7E8EFD42">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bCs/>
          <w:color w:val="auto"/>
          <w:sz w:val="21"/>
          <w:szCs w:val="21"/>
          <w:highlight w:val="none"/>
          <w:lang w:eastAsia="zh-CN"/>
        </w:rPr>
      </w:pPr>
      <w:r>
        <w:rPr>
          <w:rFonts w:hint="eastAsia" w:ascii="仿宋" w:hAnsi="仿宋" w:eastAsia="仿宋" w:cs="仿宋"/>
          <w:b/>
          <w:bCs/>
          <w:color w:val="auto"/>
          <w:sz w:val="21"/>
          <w:szCs w:val="21"/>
          <w:highlight w:val="none"/>
          <w:lang w:eastAsia="zh-CN"/>
        </w:rPr>
        <w:t>资格审查文件</w:t>
      </w:r>
    </w:p>
    <w:p w14:paraId="47AD29C5">
      <w:pPr>
        <w:keepNext w:val="0"/>
        <w:keepLines w:val="0"/>
        <w:pageBreakBefore w:val="0"/>
        <w:tabs>
          <w:tab w:val="left" w:pos="720"/>
          <w:tab w:val="left" w:pos="5355"/>
        </w:tabs>
        <w:kinsoku/>
        <w:wordWrap/>
        <w:overflowPunct/>
        <w:topLinePunct w:val="0"/>
        <w:autoSpaceDE/>
        <w:autoSpaceDN/>
        <w:bidi w:val="0"/>
        <w:adjustRightInd/>
        <w:spacing w:line="500" w:lineRule="exact"/>
        <w:ind w:left="0" w:leftChars="0"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1）投标人资格承诺函【格式见附件】</w:t>
      </w:r>
      <w:r>
        <w:rPr>
          <w:rFonts w:hint="eastAsia" w:ascii="仿宋" w:hAnsi="仿宋" w:eastAsia="仿宋" w:cs="仿宋"/>
          <w:bCs/>
          <w:color w:val="auto"/>
          <w:highlight w:val="none"/>
          <w:lang w:val="zh-CN"/>
        </w:rPr>
        <w:t>；</w:t>
      </w:r>
    </w:p>
    <w:p w14:paraId="0FFA3F43">
      <w:pPr>
        <w:keepNext w:val="0"/>
        <w:keepLines w:val="0"/>
        <w:pageBreakBefore w:val="0"/>
        <w:tabs>
          <w:tab w:val="left" w:pos="0"/>
          <w:tab w:val="left" w:pos="900"/>
          <w:tab w:val="left" w:pos="7020"/>
          <w:tab w:val="left" w:pos="8460"/>
        </w:tabs>
        <w:kinsoku/>
        <w:wordWrap/>
        <w:overflowPunct/>
        <w:topLinePunct w:val="0"/>
        <w:autoSpaceDE/>
        <w:autoSpaceDN/>
        <w:bidi w:val="0"/>
        <w:adjustRightInd/>
        <w:snapToGrid w:val="0"/>
        <w:spacing w:line="500" w:lineRule="exact"/>
        <w:ind w:left="0" w:leftChars="0" w:firstLine="420" w:firstLineChars="200"/>
        <w:rPr>
          <w:rFonts w:hint="eastAsia" w:ascii="仿宋" w:hAnsi="仿宋" w:eastAsia="仿宋" w:cs="仿宋"/>
          <w:color w:val="auto"/>
          <w:szCs w:val="21"/>
          <w:highlight w:val="none"/>
          <w:lang w:val="zh-CN"/>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有效期内</w:t>
      </w:r>
      <w:r>
        <w:rPr>
          <w:rFonts w:hint="eastAsia" w:ascii="仿宋" w:hAnsi="仿宋" w:eastAsia="仿宋" w:cs="仿宋"/>
          <w:color w:val="auto"/>
          <w:szCs w:val="21"/>
          <w:highlight w:val="none"/>
          <w:lang w:val="zh-CN"/>
        </w:rPr>
        <w:t>营业执照原件扫描件；</w:t>
      </w:r>
    </w:p>
    <w:p w14:paraId="6F8509F1">
      <w:pPr>
        <w:keepNext w:val="0"/>
        <w:keepLines w:val="0"/>
        <w:pageBreakBefore w:val="0"/>
        <w:tabs>
          <w:tab w:val="left" w:pos="720"/>
          <w:tab w:val="left" w:pos="5355"/>
        </w:tabs>
        <w:kinsoku/>
        <w:wordWrap/>
        <w:overflowPunct/>
        <w:topLinePunct w:val="0"/>
        <w:autoSpaceDE/>
        <w:autoSpaceDN/>
        <w:bidi w:val="0"/>
        <w:adjustRightInd/>
        <w:spacing w:line="500" w:lineRule="exact"/>
        <w:ind w:left="0" w:leftChars="0" w:firstLine="420" w:firstLineChars="200"/>
        <w:rPr>
          <w:rFonts w:hint="eastAsia" w:ascii="仿宋" w:hAnsi="仿宋" w:eastAsia="仿宋" w:cs="仿宋"/>
          <w:bCs/>
          <w:color w:val="auto"/>
          <w:highlight w:val="none"/>
          <w:lang w:val="zh-CN"/>
        </w:rPr>
      </w:pPr>
      <w:r>
        <w:rPr>
          <w:rFonts w:hint="eastAsia" w:ascii="仿宋" w:hAnsi="仿宋" w:eastAsia="仿宋" w:cs="仿宋"/>
          <w:bCs/>
          <w:color w:val="auto"/>
          <w:highlight w:val="none"/>
          <w:lang w:val="en-US" w:eastAsia="zh-CN"/>
        </w:rPr>
        <w:t>3</w:t>
      </w:r>
      <w:r>
        <w:rPr>
          <w:rFonts w:hint="eastAsia" w:ascii="仿宋" w:hAnsi="仿宋" w:eastAsia="仿宋" w:cs="仿宋"/>
          <w:bCs/>
          <w:color w:val="auto"/>
          <w:highlight w:val="none"/>
          <w:lang w:val="zh-CN"/>
        </w:rPr>
        <w:t>）法定代表人身份证明和本人身份证复印件</w:t>
      </w:r>
      <w:r>
        <w:rPr>
          <w:rFonts w:hint="eastAsia" w:ascii="仿宋" w:hAnsi="仿宋" w:eastAsia="仿宋" w:cs="仿宋"/>
          <w:b/>
          <w:bCs w:val="0"/>
          <w:color w:val="auto"/>
          <w:highlight w:val="none"/>
          <w:lang w:val="zh-CN"/>
        </w:rPr>
        <w:t>（</w:t>
      </w:r>
      <w:r>
        <w:rPr>
          <w:rFonts w:hint="eastAsia" w:ascii="仿宋" w:hAnsi="仿宋" w:eastAsia="仿宋" w:cs="仿宋"/>
          <w:b/>
          <w:bCs w:val="0"/>
          <w:color w:val="auto"/>
          <w:highlight w:val="none"/>
          <w:lang w:val="en-US" w:eastAsia="zh-CN"/>
        </w:rPr>
        <w:t>法定代表人参与投标的提供</w:t>
      </w:r>
      <w:r>
        <w:rPr>
          <w:rFonts w:hint="eastAsia" w:ascii="仿宋" w:hAnsi="仿宋" w:eastAsia="仿宋" w:cs="仿宋"/>
          <w:b/>
          <w:bCs w:val="0"/>
          <w:color w:val="auto"/>
          <w:highlight w:val="none"/>
          <w:lang w:val="zh-CN"/>
        </w:rPr>
        <w:t>）</w:t>
      </w:r>
      <w:r>
        <w:rPr>
          <w:rFonts w:hint="eastAsia" w:ascii="仿宋" w:hAnsi="仿宋" w:eastAsia="仿宋" w:cs="仿宋"/>
          <w:bCs/>
          <w:color w:val="auto"/>
          <w:highlight w:val="none"/>
          <w:lang w:val="zh-CN"/>
        </w:rPr>
        <w:t>或法定代表人授权委托书和委托代理人身份证复印件</w:t>
      </w:r>
      <w:r>
        <w:rPr>
          <w:rFonts w:hint="eastAsia" w:ascii="仿宋" w:hAnsi="仿宋" w:eastAsia="仿宋" w:cs="仿宋"/>
          <w:b/>
          <w:bCs w:val="0"/>
          <w:i w:val="0"/>
          <w:iCs w:val="0"/>
          <w:color w:val="auto"/>
          <w:highlight w:val="none"/>
          <w:lang w:val="zh-CN"/>
        </w:rPr>
        <w:t>（</w:t>
      </w:r>
      <w:r>
        <w:rPr>
          <w:rFonts w:hint="eastAsia" w:ascii="仿宋" w:hAnsi="仿宋" w:eastAsia="仿宋" w:cs="仿宋"/>
          <w:b/>
          <w:bCs w:val="0"/>
          <w:i w:val="0"/>
          <w:iCs w:val="0"/>
          <w:color w:val="auto"/>
          <w:highlight w:val="none"/>
          <w:lang w:val="en-US" w:eastAsia="zh-CN"/>
        </w:rPr>
        <w:t>授权委托人参与投标的提供</w:t>
      </w:r>
      <w:r>
        <w:rPr>
          <w:rFonts w:hint="eastAsia" w:ascii="仿宋" w:hAnsi="仿宋" w:eastAsia="仿宋" w:cs="仿宋"/>
          <w:b/>
          <w:bCs w:val="0"/>
          <w:i w:val="0"/>
          <w:iCs w:val="0"/>
          <w:color w:val="auto"/>
          <w:highlight w:val="none"/>
          <w:lang w:val="zh-CN"/>
        </w:rPr>
        <w:t>）</w:t>
      </w:r>
      <w:r>
        <w:rPr>
          <w:rFonts w:hint="eastAsia" w:ascii="仿宋" w:hAnsi="仿宋" w:eastAsia="仿宋" w:cs="仿宋"/>
          <w:b/>
          <w:bCs/>
          <w:color w:val="auto"/>
          <w:szCs w:val="21"/>
          <w:highlight w:val="none"/>
        </w:rPr>
        <w:t>（</w:t>
      </w:r>
      <w:r>
        <w:rPr>
          <w:rFonts w:hint="eastAsia" w:ascii="仿宋" w:hAnsi="仿宋" w:eastAsia="仿宋" w:cs="仿宋"/>
          <w:color w:val="auto"/>
          <w:szCs w:val="21"/>
          <w:highlight w:val="none"/>
        </w:rPr>
        <w:t>格式详见附件，</w:t>
      </w:r>
      <w:r>
        <w:rPr>
          <w:rFonts w:hint="eastAsia" w:ascii="仿宋" w:hAnsi="仿宋" w:eastAsia="仿宋" w:cs="仿宋"/>
          <w:b/>
          <w:bCs/>
          <w:color w:val="auto"/>
          <w:szCs w:val="21"/>
          <w:highlight w:val="none"/>
        </w:rPr>
        <w:t>电子标书内法定代表人授权委托书需签字的可线下签字后再将其放入线上投标文件内）</w:t>
      </w:r>
      <w:r>
        <w:rPr>
          <w:rFonts w:hint="eastAsia" w:ascii="仿宋" w:hAnsi="仿宋" w:eastAsia="仿宋" w:cs="仿宋"/>
          <w:bCs/>
          <w:color w:val="auto"/>
          <w:highlight w:val="none"/>
          <w:lang w:val="zh-CN"/>
        </w:rPr>
        <w:t>。</w:t>
      </w:r>
    </w:p>
    <w:p w14:paraId="1B485617">
      <w:pPr>
        <w:spacing w:line="360" w:lineRule="auto"/>
        <w:ind w:firstLine="422" w:firstLineChars="200"/>
        <w:textAlignment w:val="baseline"/>
        <w:rPr>
          <w:rStyle w:val="71"/>
          <w:rFonts w:hint="eastAsia" w:ascii="仿宋" w:hAnsi="仿宋" w:eastAsia="仿宋" w:cs="仿宋"/>
          <w:b/>
          <w:bCs/>
          <w:color w:val="auto"/>
          <w:szCs w:val="21"/>
          <w:highlight w:val="yellow"/>
          <w:u w:val="single"/>
          <w:lang w:val="zh-CN"/>
        </w:rPr>
      </w:pPr>
      <w:r>
        <w:rPr>
          <w:rFonts w:hint="eastAsia" w:ascii="仿宋" w:hAnsi="仿宋" w:eastAsia="仿宋" w:cs="仿宋"/>
          <w:b/>
          <w:bCs/>
          <w:color w:val="auto"/>
          <w:szCs w:val="21"/>
          <w:highlight w:val="none"/>
          <w:u w:val="single"/>
          <w:lang w:val="zh-CN"/>
        </w:rPr>
        <w:t>★注：以上内容构成完整的资格文件，</w:t>
      </w:r>
      <w:r>
        <w:rPr>
          <w:rStyle w:val="71"/>
          <w:rFonts w:hint="eastAsia" w:ascii="仿宋" w:hAnsi="仿宋" w:eastAsia="仿宋" w:cs="仿宋"/>
          <w:b/>
          <w:bCs/>
          <w:color w:val="auto"/>
          <w:szCs w:val="21"/>
          <w:highlight w:val="none"/>
          <w:u w:val="single"/>
          <w:lang w:val="zh-CN"/>
        </w:rPr>
        <w:t>供应商应当完整提供所有有效证明材料，任何相关证明材料的缺失或无效将导致资格审查结果不合格。</w:t>
      </w:r>
    </w:p>
    <w:p w14:paraId="4497FCA2">
      <w:pPr>
        <w:pStyle w:val="9"/>
        <w:spacing w:line="440" w:lineRule="exact"/>
        <w:ind w:left="420" w:firstLine="42"/>
        <w:textAlignment w:val="baseline"/>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商务技术文件（请附“供应商自评表”【格式见附件】，以便评审）：</w:t>
      </w:r>
    </w:p>
    <w:p w14:paraId="5F5DD188">
      <w:pPr>
        <w:pStyle w:val="9"/>
        <w:numPr>
          <w:ilvl w:val="0"/>
          <w:numId w:val="0"/>
        </w:numPr>
        <w:spacing w:line="360" w:lineRule="auto"/>
        <w:ind w:leftChars="0"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lang w:val="en-US" w:eastAsia="zh-CN"/>
        </w:rPr>
        <w:t>（1）商务资信部分</w:t>
      </w:r>
    </w:p>
    <w:p w14:paraId="29778799">
      <w:pPr>
        <w:keepNext w:val="0"/>
        <w:keepLines w:val="0"/>
        <w:pageBreakBefore w:val="0"/>
        <w:widowControl w:val="0"/>
        <w:numPr>
          <w:ilvl w:val="0"/>
          <w:numId w:val="5"/>
        </w:numPr>
        <w:tabs>
          <w:tab w:val="left" w:pos="720"/>
          <w:tab w:val="left" w:pos="5355"/>
          <w:tab w:val="clear" w:pos="0"/>
        </w:tabs>
        <w:kinsoku/>
        <w:wordWrap/>
        <w:overflowPunct/>
        <w:topLinePunct w:val="0"/>
        <w:autoSpaceDE/>
        <w:autoSpaceDN/>
        <w:bidi w:val="0"/>
        <w:adjustRightInd/>
        <w:snapToGrid/>
        <w:spacing w:line="360" w:lineRule="auto"/>
        <w:ind w:left="0" w:leftChars="0" w:firstLine="420" w:firstLineChars="200"/>
        <w:textAlignment w:val="auto"/>
        <w:rPr>
          <w:rFonts w:hint="eastAsia" w:ascii="仿宋" w:hAnsi="仿宋" w:eastAsia="仿宋" w:cs="仿宋"/>
          <w:b w:val="0"/>
          <w:bCs w:val="0"/>
          <w:color w:val="auto"/>
          <w:szCs w:val="21"/>
        </w:rPr>
      </w:pPr>
      <w:r>
        <w:rPr>
          <w:rFonts w:hint="eastAsia" w:ascii="仿宋" w:hAnsi="仿宋" w:eastAsia="仿宋" w:cs="仿宋"/>
          <w:b w:val="0"/>
          <w:bCs w:val="0"/>
          <w:color w:val="auto"/>
          <w:szCs w:val="21"/>
          <w:lang w:val="en-US" w:eastAsia="zh-CN"/>
        </w:rPr>
        <w:t>投标声明书</w:t>
      </w:r>
      <w:r>
        <w:rPr>
          <w:rFonts w:hint="eastAsia" w:ascii="仿宋" w:hAnsi="仿宋" w:eastAsia="仿宋" w:cs="仿宋"/>
          <w:color w:val="auto"/>
          <w:szCs w:val="21"/>
          <w:lang w:eastAsia="zh-CN"/>
        </w:rPr>
        <w:t>【格式见附件】</w:t>
      </w:r>
      <w:r>
        <w:rPr>
          <w:rFonts w:hint="eastAsia" w:ascii="仿宋" w:hAnsi="仿宋" w:eastAsia="仿宋" w:cs="仿宋"/>
          <w:b w:val="0"/>
          <w:bCs w:val="0"/>
          <w:color w:val="auto"/>
          <w:szCs w:val="21"/>
        </w:rPr>
        <w:t>；</w:t>
      </w:r>
    </w:p>
    <w:p w14:paraId="081A5B4C">
      <w:pPr>
        <w:keepNext w:val="0"/>
        <w:keepLines w:val="0"/>
        <w:pageBreakBefore w:val="0"/>
        <w:widowControl w:val="0"/>
        <w:numPr>
          <w:ilvl w:val="0"/>
          <w:numId w:val="5"/>
        </w:numPr>
        <w:tabs>
          <w:tab w:val="left" w:pos="720"/>
          <w:tab w:val="left" w:pos="5355"/>
          <w:tab w:val="clear" w:pos="0"/>
        </w:tabs>
        <w:kinsoku/>
        <w:wordWrap/>
        <w:overflowPunct/>
        <w:topLinePunct w:val="0"/>
        <w:autoSpaceDE/>
        <w:autoSpaceDN/>
        <w:bidi w:val="0"/>
        <w:adjustRightInd/>
        <w:snapToGrid/>
        <w:spacing w:line="360" w:lineRule="auto"/>
        <w:ind w:left="0" w:leftChars="0" w:firstLine="408" w:firstLineChars="200"/>
        <w:textAlignment w:val="auto"/>
        <w:rPr>
          <w:rFonts w:hint="eastAsia" w:ascii="仿宋" w:hAnsi="仿宋" w:eastAsia="仿宋" w:cs="仿宋"/>
          <w:b w:val="0"/>
          <w:bCs w:val="0"/>
          <w:color w:val="auto"/>
          <w:szCs w:val="21"/>
          <w:lang w:val="en-US" w:eastAsia="zh-CN"/>
        </w:rPr>
      </w:pPr>
      <w:r>
        <w:rPr>
          <w:rFonts w:hint="eastAsia" w:ascii="仿宋" w:hAnsi="仿宋" w:eastAsia="仿宋" w:cs="仿宋"/>
          <w:b w:val="0"/>
          <w:bCs w:val="0"/>
          <w:color w:val="auto"/>
          <w:spacing w:val="-3"/>
          <w:sz w:val="21"/>
        </w:rPr>
        <w:t>投标人基本情况表</w:t>
      </w:r>
      <w:r>
        <w:rPr>
          <w:rFonts w:hint="eastAsia" w:ascii="仿宋" w:hAnsi="仿宋" w:eastAsia="仿宋" w:cs="仿宋"/>
          <w:b w:val="0"/>
          <w:bCs w:val="0"/>
          <w:color w:val="auto"/>
          <w:szCs w:val="21"/>
          <w:lang w:eastAsia="zh-CN"/>
        </w:rPr>
        <w:t>【格式见附件】</w:t>
      </w:r>
      <w:r>
        <w:rPr>
          <w:rFonts w:hint="eastAsia" w:ascii="仿宋" w:hAnsi="仿宋" w:eastAsia="仿宋" w:cs="仿宋"/>
          <w:b w:val="0"/>
          <w:bCs w:val="0"/>
          <w:color w:val="auto"/>
          <w:szCs w:val="21"/>
          <w:lang w:val="en-US" w:eastAsia="zh-CN"/>
        </w:rPr>
        <w:t>；</w:t>
      </w:r>
    </w:p>
    <w:p w14:paraId="73E91B52">
      <w:pPr>
        <w:keepNext w:val="0"/>
        <w:keepLines w:val="0"/>
        <w:pageBreakBefore w:val="0"/>
        <w:widowControl w:val="0"/>
        <w:numPr>
          <w:ilvl w:val="0"/>
          <w:numId w:val="5"/>
        </w:numPr>
        <w:tabs>
          <w:tab w:val="left" w:pos="720"/>
          <w:tab w:val="left" w:pos="5355"/>
          <w:tab w:val="clear" w:pos="0"/>
        </w:tabs>
        <w:kinsoku/>
        <w:wordWrap/>
        <w:overflowPunct/>
        <w:topLinePunct w:val="0"/>
        <w:autoSpaceDE/>
        <w:autoSpaceDN/>
        <w:bidi w:val="0"/>
        <w:adjustRightInd/>
        <w:snapToGrid/>
        <w:spacing w:line="360" w:lineRule="auto"/>
        <w:ind w:left="0" w:leftChars="0" w:firstLine="420" w:firstLineChars="200"/>
        <w:textAlignment w:val="auto"/>
        <w:rPr>
          <w:rFonts w:hint="eastAsia" w:ascii="仿宋" w:hAnsi="仿宋" w:eastAsia="仿宋" w:cs="仿宋"/>
          <w:b w:val="0"/>
          <w:bCs w:val="0"/>
          <w:color w:val="auto"/>
          <w:szCs w:val="21"/>
        </w:rPr>
      </w:pPr>
      <w:r>
        <w:rPr>
          <w:rFonts w:hint="eastAsia" w:ascii="仿宋" w:hAnsi="仿宋" w:eastAsia="仿宋" w:cs="仿宋"/>
          <w:b w:val="0"/>
          <w:bCs w:val="0"/>
          <w:color w:val="auto"/>
          <w:szCs w:val="21"/>
          <w:lang w:val="en-US" w:eastAsia="zh-CN"/>
        </w:rPr>
        <w:t>根据商务资信、技术部分评分标准编制；</w:t>
      </w:r>
    </w:p>
    <w:p w14:paraId="0BC69BD3">
      <w:pPr>
        <w:keepNext w:val="0"/>
        <w:keepLines w:val="0"/>
        <w:pageBreakBefore w:val="0"/>
        <w:widowControl w:val="0"/>
        <w:numPr>
          <w:ilvl w:val="0"/>
          <w:numId w:val="0"/>
        </w:numPr>
        <w:tabs>
          <w:tab w:val="left" w:pos="720"/>
          <w:tab w:val="left" w:pos="5355"/>
        </w:tabs>
        <w:kinsoku/>
        <w:wordWrap/>
        <w:overflowPunct/>
        <w:topLinePunct w:val="0"/>
        <w:autoSpaceDE/>
        <w:autoSpaceDN/>
        <w:bidi w:val="0"/>
        <w:adjustRightInd/>
        <w:snapToGrid/>
        <w:spacing w:line="360" w:lineRule="auto"/>
        <w:ind w:leftChars="200"/>
        <w:textAlignment w:val="auto"/>
        <w:rPr>
          <w:rFonts w:hint="eastAsia" w:ascii="仿宋" w:hAnsi="仿宋" w:eastAsia="仿宋" w:cs="仿宋"/>
          <w:b/>
          <w:bCs/>
          <w:color w:val="auto"/>
          <w:szCs w:val="21"/>
        </w:rPr>
      </w:pPr>
      <w:r>
        <w:rPr>
          <w:rFonts w:hint="eastAsia" w:ascii="仿宋" w:hAnsi="仿宋" w:eastAsia="仿宋" w:cs="仿宋"/>
          <w:b w:val="0"/>
          <w:bCs w:val="0"/>
          <w:color w:val="auto"/>
          <w:szCs w:val="21"/>
          <w:lang w:val="en-US" w:eastAsia="zh-CN"/>
        </w:rPr>
        <w:t>4）</w:t>
      </w:r>
      <w:r>
        <w:rPr>
          <w:rFonts w:hint="eastAsia" w:ascii="仿宋" w:hAnsi="仿宋" w:eastAsia="仿宋" w:cs="仿宋"/>
          <w:b w:val="0"/>
          <w:bCs w:val="0"/>
          <w:color w:val="auto"/>
          <w:szCs w:val="21"/>
        </w:rPr>
        <w:t>投标人认为有必要提供的其他文件和说明（格式自拟）</w:t>
      </w:r>
      <w:r>
        <w:rPr>
          <w:rFonts w:hint="eastAsia" w:ascii="仿宋" w:hAnsi="仿宋" w:eastAsia="仿宋" w:cs="仿宋"/>
          <w:b w:val="0"/>
          <w:bCs w:val="0"/>
          <w:color w:val="auto"/>
          <w:szCs w:val="21"/>
          <w:lang w:val="en-US" w:eastAsia="zh-CN"/>
        </w:rPr>
        <w:t>。</w:t>
      </w:r>
    </w:p>
    <w:p w14:paraId="0EFD0F1D">
      <w:pPr>
        <w:pStyle w:val="9"/>
        <w:numPr>
          <w:ilvl w:val="0"/>
          <w:numId w:val="0"/>
        </w:numPr>
        <w:spacing w:line="360" w:lineRule="auto"/>
        <w:ind w:leftChars="0" w:firstLine="422" w:firstLineChars="200"/>
        <w:rPr>
          <w:rFonts w:hint="eastAsia" w:ascii="仿宋" w:hAnsi="仿宋" w:eastAsia="仿宋" w:cs="仿宋"/>
          <w:b/>
          <w:bCs/>
          <w:color w:val="auto"/>
          <w:sz w:val="21"/>
          <w:szCs w:val="21"/>
          <w:lang w:val="en-US" w:eastAsia="zh-CN"/>
        </w:rPr>
      </w:pPr>
      <w:r>
        <w:rPr>
          <w:rFonts w:hint="eastAsia" w:ascii="仿宋" w:hAnsi="仿宋" w:eastAsia="仿宋" w:cs="仿宋"/>
          <w:b/>
          <w:bCs/>
          <w:color w:val="auto"/>
          <w:sz w:val="21"/>
          <w:szCs w:val="21"/>
          <w:lang w:val="en-US" w:eastAsia="zh-CN"/>
        </w:rPr>
        <w:t>（2）技术部分</w:t>
      </w:r>
    </w:p>
    <w:p w14:paraId="7E55B86E">
      <w:pPr>
        <w:keepNext w:val="0"/>
        <w:keepLines w:val="0"/>
        <w:pageBreakBefore w:val="0"/>
        <w:widowControl w:val="0"/>
        <w:numPr>
          <w:ilvl w:val="0"/>
          <w:numId w:val="0"/>
        </w:numPr>
        <w:tabs>
          <w:tab w:val="left" w:pos="720"/>
          <w:tab w:val="left" w:pos="5355"/>
        </w:tabs>
        <w:kinsoku/>
        <w:wordWrap/>
        <w:overflowPunct/>
        <w:topLinePunct w:val="0"/>
        <w:autoSpaceDE/>
        <w:autoSpaceDN/>
        <w:bidi w:val="0"/>
        <w:adjustRightInd/>
        <w:snapToGrid/>
        <w:spacing w:line="360" w:lineRule="auto"/>
        <w:ind w:leftChars="200" w:right="0" w:rightChars="0"/>
        <w:jc w:val="both"/>
        <w:textAlignment w:val="auto"/>
        <w:outlineLvl w:val="9"/>
        <w:rPr>
          <w:rFonts w:hint="eastAsia" w:ascii="仿宋" w:hAnsi="仿宋" w:eastAsia="仿宋" w:cs="仿宋"/>
          <w:b w:val="0"/>
          <w:bCs w:val="0"/>
          <w:color w:val="auto"/>
          <w:szCs w:val="21"/>
        </w:rPr>
      </w:pPr>
      <w:r>
        <w:rPr>
          <w:rFonts w:hint="eastAsia" w:ascii="仿宋" w:hAnsi="仿宋" w:eastAsia="仿宋" w:cs="仿宋"/>
          <w:b w:val="0"/>
          <w:bCs w:val="0"/>
          <w:color w:val="auto"/>
          <w:szCs w:val="21"/>
          <w:lang w:val="en-US" w:eastAsia="zh-CN"/>
        </w:rPr>
        <w:t>1）</w:t>
      </w:r>
      <w:r>
        <w:rPr>
          <w:rFonts w:hint="eastAsia" w:ascii="仿宋" w:hAnsi="仿宋" w:eastAsia="仿宋" w:cs="仿宋"/>
          <w:b w:val="0"/>
          <w:bCs w:val="0"/>
          <w:color w:val="auto"/>
          <w:szCs w:val="21"/>
        </w:rPr>
        <w:t>偏离表</w:t>
      </w:r>
      <w:r>
        <w:rPr>
          <w:rFonts w:hint="eastAsia" w:ascii="仿宋" w:hAnsi="仿宋" w:eastAsia="仿宋" w:cs="仿宋"/>
          <w:b w:val="0"/>
          <w:bCs w:val="0"/>
          <w:color w:val="auto"/>
          <w:szCs w:val="21"/>
          <w:lang w:eastAsia="zh-CN"/>
        </w:rPr>
        <w:t>【格式见附件】</w:t>
      </w:r>
      <w:r>
        <w:rPr>
          <w:rFonts w:hint="eastAsia" w:ascii="仿宋" w:hAnsi="仿宋" w:eastAsia="仿宋" w:cs="仿宋"/>
          <w:b w:val="0"/>
          <w:bCs w:val="0"/>
          <w:color w:val="auto"/>
          <w:szCs w:val="21"/>
        </w:rPr>
        <w:t>；</w:t>
      </w:r>
    </w:p>
    <w:p w14:paraId="0503FA57">
      <w:pPr>
        <w:keepNext w:val="0"/>
        <w:keepLines w:val="0"/>
        <w:pageBreakBefore w:val="0"/>
        <w:widowControl w:val="0"/>
        <w:numPr>
          <w:ilvl w:val="0"/>
          <w:numId w:val="0"/>
        </w:numPr>
        <w:tabs>
          <w:tab w:val="left" w:pos="720"/>
          <w:tab w:val="left" w:pos="5355"/>
        </w:tabs>
        <w:kinsoku/>
        <w:wordWrap/>
        <w:overflowPunct/>
        <w:topLinePunct w:val="0"/>
        <w:autoSpaceDE/>
        <w:autoSpaceDN/>
        <w:bidi w:val="0"/>
        <w:adjustRightInd/>
        <w:snapToGrid/>
        <w:spacing w:line="360" w:lineRule="auto"/>
        <w:ind w:leftChars="200"/>
        <w:textAlignment w:val="auto"/>
        <w:rPr>
          <w:rFonts w:hint="eastAsia" w:ascii="仿宋" w:hAnsi="仿宋" w:eastAsia="仿宋" w:cs="仿宋"/>
          <w:b w:val="0"/>
          <w:bCs w:val="0"/>
          <w:color w:val="auto"/>
          <w:szCs w:val="21"/>
        </w:rPr>
      </w:pPr>
      <w:r>
        <w:rPr>
          <w:rFonts w:hint="eastAsia" w:ascii="仿宋" w:hAnsi="仿宋" w:eastAsia="仿宋" w:cs="仿宋"/>
          <w:b w:val="0"/>
          <w:bCs w:val="0"/>
          <w:color w:val="auto"/>
          <w:szCs w:val="21"/>
          <w:lang w:val="en-US" w:eastAsia="zh-CN"/>
        </w:rPr>
        <w:t>2）根据技术部分评分标准编制；</w:t>
      </w:r>
    </w:p>
    <w:p w14:paraId="64F9A0F2">
      <w:pPr>
        <w:keepNext w:val="0"/>
        <w:keepLines w:val="0"/>
        <w:pageBreakBefore w:val="0"/>
        <w:widowControl w:val="0"/>
        <w:numPr>
          <w:ilvl w:val="0"/>
          <w:numId w:val="0"/>
        </w:numPr>
        <w:tabs>
          <w:tab w:val="left" w:pos="720"/>
          <w:tab w:val="left" w:pos="5355"/>
        </w:tabs>
        <w:kinsoku/>
        <w:wordWrap/>
        <w:overflowPunct/>
        <w:topLinePunct w:val="0"/>
        <w:autoSpaceDE/>
        <w:autoSpaceDN/>
        <w:bidi w:val="0"/>
        <w:adjustRightInd/>
        <w:snapToGrid/>
        <w:spacing w:line="360" w:lineRule="auto"/>
        <w:ind w:leftChars="200"/>
        <w:textAlignment w:val="auto"/>
        <w:rPr>
          <w:rFonts w:hint="eastAsia" w:ascii="仿宋" w:hAnsi="仿宋" w:eastAsia="仿宋" w:cs="仿宋"/>
          <w:b w:val="0"/>
          <w:bCs w:val="0"/>
          <w:color w:val="auto"/>
          <w:szCs w:val="21"/>
          <w:lang w:val="en-US" w:eastAsia="zh-CN"/>
        </w:rPr>
      </w:pPr>
      <w:r>
        <w:rPr>
          <w:rFonts w:hint="eastAsia" w:ascii="仿宋" w:hAnsi="仿宋" w:eastAsia="仿宋" w:cs="仿宋"/>
          <w:b w:val="0"/>
          <w:bCs w:val="0"/>
          <w:color w:val="auto"/>
          <w:szCs w:val="21"/>
          <w:lang w:val="en-US" w:eastAsia="zh-CN"/>
        </w:rPr>
        <w:t>3）投标人认为有必要提供的其他文件和说明（格式自拟）。</w:t>
      </w:r>
    </w:p>
    <w:p w14:paraId="42513A63">
      <w:pPr>
        <w:autoSpaceDE w:val="0"/>
        <w:autoSpaceDN w:val="0"/>
        <w:adjustRightInd w:val="0"/>
        <w:spacing w:line="360" w:lineRule="auto"/>
        <w:ind w:firstLine="422" w:firstLineChars="200"/>
        <w:rPr>
          <w:rFonts w:hint="eastAsia" w:ascii="仿宋" w:hAnsi="仿宋" w:eastAsia="仿宋" w:cs="仿宋"/>
          <w:color w:val="auto"/>
          <w:szCs w:val="21"/>
          <w:lang w:val="zh-CN"/>
        </w:rPr>
      </w:pPr>
      <w:r>
        <w:rPr>
          <w:rFonts w:hint="eastAsia" w:ascii="仿宋" w:hAnsi="仿宋" w:eastAsia="仿宋" w:cs="仿宋"/>
          <w:b/>
          <w:bCs/>
          <w:color w:val="auto"/>
          <w:szCs w:val="21"/>
          <w:u w:val="single"/>
          <w:lang w:val="zh-CN"/>
        </w:rPr>
        <w:t>★注：以上内容构成完整的商务技术文件，</w:t>
      </w:r>
      <w:r>
        <w:rPr>
          <w:rStyle w:val="71"/>
          <w:rFonts w:hint="eastAsia" w:ascii="仿宋" w:hAnsi="仿宋" w:eastAsia="仿宋" w:cs="仿宋"/>
          <w:b/>
          <w:bCs/>
          <w:color w:val="auto"/>
          <w:szCs w:val="21"/>
          <w:u w:val="single"/>
          <w:lang w:val="zh-CN"/>
        </w:rPr>
        <w:t>供应商应当完整提供所有有效证明材料，任何相关证明材料的缺失或无效将导致技术、资信方面的不利评定。以上内容中要求提供原件扫描件的，供应商必须采用相关材料的原件扫描件。</w:t>
      </w:r>
    </w:p>
    <w:p w14:paraId="5027482A">
      <w:pPr>
        <w:tabs>
          <w:tab w:val="left" w:pos="720"/>
          <w:tab w:val="left" w:pos="5355"/>
        </w:tabs>
        <w:spacing w:line="440" w:lineRule="exact"/>
        <w:ind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报价文件：</w:t>
      </w:r>
    </w:p>
    <w:p w14:paraId="20CD38EA">
      <w:pPr>
        <w:tabs>
          <w:tab w:val="left" w:pos="720"/>
          <w:tab w:val="left" w:pos="5355"/>
        </w:tabs>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1）磋商报价一览表（首次报价）</w:t>
      </w:r>
    </w:p>
    <w:p w14:paraId="276767EF">
      <w:pPr>
        <w:tabs>
          <w:tab w:val="left" w:pos="720"/>
          <w:tab w:val="left" w:pos="5355"/>
        </w:tabs>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2）报价明细表（须详细列明本次项目投标报价的组成明细，格式自拟）</w:t>
      </w:r>
    </w:p>
    <w:p w14:paraId="02F91DD8">
      <w:pPr>
        <w:tabs>
          <w:tab w:val="left" w:pos="720"/>
          <w:tab w:val="left" w:pos="5355"/>
        </w:tabs>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）最终报价表；</w:t>
      </w:r>
      <w:r>
        <w:rPr>
          <w:rFonts w:hint="eastAsia" w:ascii="仿宋" w:hAnsi="仿宋" w:eastAsia="仿宋" w:cs="仿宋"/>
          <w:b/>
          <w:bCs/>
          <w:color w:val="auto"/>
          <w:highlight w:val="none"/>
        </w:rPr>
        <w:t>（根据系统要求在线填写。）</w:t>
      </w:r>
    </w:p>
    <w:p w14:paraId="7747D0FB">
      <w:pPr>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b/>
          <w:bCs/>
          <w:color w:val="auto"/>
          <w:szCs w:val="21"/>
          <w:highlight w:val="none"/>
          <w:lang w:eastAsia="zh-CN"/>
        </w:rPr>
      </w:pP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b w:val="0"/>
          <w:bCs w:val="0"/>
          <w:color w:val="auto"/>
          <w:szCs w:val="21"/>
          <w:lang w:val="zh-CN"/>
        </w:rPr>
        <w:t>《中小企业声明函》或《残疾人福利性单位声明函》或省级以上监狱管理局、戒毒管理局（含新疆生产建设兵团）出具的属于监狱企业的证明文件</w:t>
      </w:r>
      <w:r>
        <w:rPr>
          <w:rStyle w:val="71"/>
          <w:rFonts w:hint="eastAsia" w:ascii="仿宋" w:hAnsi="仿宋" w:eastAsia="仿宋" w:cs="仿宋"/>
          <w:b/>
          <w:bCs/>
          <w:color w:val="auto"/>
          <w:szCs w:val="21"/>
        </w:rPr>
        <w:t>【格式见</w:t>
      </w:r>
      <w:r>
        <w:rPr>
          <w:rFonts w:hint="eastAsia" w:ascii="仿宋" w:hAnsi="仿宋" w:eastAsia="仿宋" w:cs="仿宋"/>
          <w:b/>
          <w:bCs/>
          <w:color w:val="auto"/>
          <w:szCs w:val="21"/>
        </w:rPr>
        <w:t>附件】</w:t>
      </w:r>
      <w:r>
        <w:rPr>
          <w:rFonts w:hint="eastAsia" w:ascii="仿宋" w:hAnsi="仿宋" w:eastAsia="仿宋" w:cs="仿宋"/>
          <w:b/>
          <w:bCs/>
          <w:color w:val="auto"/>
          <w:szCs w:val="21"/>
          <w:lang w:eastAsia="zh-CN"/>
        </w:rPr>
        <w:t>。</w:t>
      </w:r>
    </w:p>
    <w:p w14:paraId="26BF8BA9">
      <w:pPr>
        <w:tabs>
          <w:tab w:val="left" w:pos="720"/>
          <w:tab w:val="left" w:pos="5355"/>
        </w:tabs>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磋商供应商针对报价需要说明的其他文件和资料（格式自拟）。</w:t>
      </w:r>
    </w:p>
    <w:p w14:paraId="4419E5E7">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4</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响应文件的编制格式及说明</w:t>
      </w:r>
    </w:p>
    <w:p w14:paraId="3F88EDB0">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b/>
          <w:bCs/>
          <w:color w:val="auto"/>
          <w:sz w:val="21"/>
          <w:szCs w:val="21"/>
          <w:highlight w:val="none"/>
        </w:rPr>
      </w:pPr>
      <w:r>
        <w:rPr>
          <w:rFonts w:hint="eastAsia" w:ascii="仿宋" w:hAnsi="仿宋" w:eastAsia="仿宋" w:cs="仿宋"/>
          <w:color w:val="auto"/>
          <w:sz w:val="21"/>
          <w:szCs w:val="21"/>
          <w:highlight w:val="none"/>
        </w:rPr>
        <w:t>4.1响应文件应包括规定的内容，磋商供应商提交的响应文件应当使用磋商文件所提供的响应文件全部格式（格式可以按同样格式扩展）；未提供响应文件标准格式的，由磋商供应商自行编写：</w:t>
      </w:r>
      <w:r>
        <w:rPr>
          <w:rFonts w:hint="eastAsia" w:ascii="仿宋" w:hAnsi="仿宋" w:eastAsia="仿宋" w:cs="仿宋"/>
          <w:b/>
          <w:bCs/>
          <w:color w:val="auto"/>
          <w:sz w:val="21"/>
          <w:szCs w:val="21"/>
          <w:highlight w:val="none"/>
        </w:rPr>
        <w:t>电子响应文件按政采云平台“供应商-政府采购项目电子交易操作指南”及本竞争性磋商要求制作、加密。</w:t>
      </w:r>
    </w:p>
    <w:p w14:paraId="3BE1CAB1">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4.</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磋商供应商应在认真阅读磋商文件所有内容的基础上，按照磋商文件的要求编制完整的响应文件，响应文件应按照磋商文件中规定的统一格式填写，严格按照规定的顺序编制目录，混乱的编排或未按磋商文件所提供的统一格式编写与漏写而导致响应文件被误读或查找不到有效文件是磋商供应商的风险。</w:t>
      </w:r>
    </w:p>
    <w:p w14:paraId="4C3218CC">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val="en-US" w:eastAsia="zh-CN"/>
        </w:rPr>
        <w:t>4.3</w:t>
      </w:r>
      <w:r>
        <w:rPr>
          <w:rFonts w:hint="eastAsia" w:ascii="仿宋" w:hAnsi="仿宋" w:eastAsia="仿宋" w:cs="仿宋"/>
          <w:color w:val="auto"/>
          <w:sz w:val="21"/>
          <w:szCs w:val="21"/>
          <w:highlight w:val="none"/>
        </w:rPr>
        <w:t>磋商供应商必须保证响应文件所提供的全部资料真实可靠，并接受对其中任何资料进一步审查的要求。</w:t>
      </w:r>
    </w:p>
    <w:p w14:paraId="7E9DDE7A">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b/>
          <w:color w:val="auto"/>
          <w:sz w:val="21"/>
          <w:szCs w:val="21"/>
          <w:highlight w:val="none"/>
        </w:rPr>
        <w:t>5</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投标报价</w:t>
      </w:r>
    </w:p>
    <w:p w14:paraId="77704D02">
      <w:pPr>
        <w:keepNext w:val="0"/>
        <w:keepLines w:val="0"/>
        <w:pageBreakBefore w:val="0"/>
        <w:tabs>
          <w:tab w:val="left" w:pos="540"/>
        </w:tabs>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b/>
          <w:bCs/>
          <w:color w:val="auto"/>
          <w:sz w:val="21"/>
          <w:szCs w:val="21"/>
          <w:highlight w:val="none"/>
        </w:rPr>
      </w:pPr>
      <w:r>
        <w:rPr>
          <w:rFonts w:hint="eastAsia" w:ascii="仿宋" w:hAnsi="仿宋" w:eastAsia="仿宋" w:cs="仿宋"/>
          <w:color w:val="auto"/>
          <w:szCs w:val="21"/>
          <w:highlight w:val="none"/>
        </w:rPr>
        <w:t>▲ 5.1</w:t>
      </w:r>
      <w:r>
        <w:rPr>
          <w:rFonts w:hint="eastAsia" w:ascii="仿宋" w:hAnsi="仿宋" w:eastAsia="仿宋" w:cs="仿宋"/>
          <w:b/>
          <w:bCs/>
          <w:color w:val="auto"/>
          <w:sz w:val="21"/>
          <w:szCs w:val="21"/>
          <w:highlight w:val="none"/>
        </w:rPr>
        <w:t>采购预算最高限价：</w:t>
      </w:r>
      <w:r>
        <w:rPr>
          <w:rFonts w:hint="eastAsia" w:ascii="仿宋" w:hAnsi="仿宋" w:eastAsia="仿宋" w:cs="仿宋"/>
          <w:b/>
          <w:bCs/>
          <w:color w:val="auto"/>
          <w:sz w:val="21"/>
          <w:szCs w:val="21"/>
          <w:highlight w:val="none"/>
          <w:u w:val="single"/>
          <w:lang w:val="en-US" w:eastAsia="zh-CN"/>
        </w:rPr>
        <w:t>85</w:t>
      </w:r>
      <w:r>
        <w:rPr>
          <w:rFonts w:hint="eastAsia" w:ascii="仿宋" w:hAnsi="仿宋" w:eastAsia="仿宋" w:cs="仿宋"/>
          <w:b/>
          <w:bCs/>
          <w:color w:val="auto"/>
          <w:sz w:val="21"/>
          <w:szCs w:val="21"/>
          <w:highlight w:val="none"/>
        </w:rPr>
        <w:t>万元。所有轮次磋商报价（含初次报价和最后报价）均不得高于最高限价，否则按无效响应处理。</w:t>
      </w:r>
    </w:p>
    <w:p w14:paraId="472F4D52">
      <w:pPr>
        <w:pageBreakBefore w:val="0"/>
        <w:kinsoku/>
        <w:topLinePunct w:val="0"/>
        <w:bidi w:val="0"/>
        <w:snapToGrid/>
        <w:spacing w:line="300" w:lineRule="auto"/>
        <w:ind w:firstLine="422" w:firstLineChars="200"/>
        <w:rPr>
          <w:rFonts w:hint="eastAsia" w:ascii="仿宋" w:hAnsi="仿宋" w:eastAsia="仿宋" w:cs="仿宋"/>
          <w:b/>
          <w:bCs/>
          <w:color w:val="auto"/>
          <w:sz w:val="21"/>
          <w:szCs w:val="21"/>
        </w:rPr>
      </w:pPr>
      <w:r>
        <w:rPr>
          <w:rFonts w:hint="eastAsia" w:ascii="仿宋" w:hAnsi="仿宋" w:eastAsia="仿宋" w:cs="仿宋"/>
          <w:b/>
          <w:bCs/>
          <w:color w:val="auto"/>
          <w:sz w:val="21"/>
          <w:szCs w:val="21"/>
          <w:u w:val="single"/>
          <w:lang w:val="en-US"/>
        </w:rPr>
        <w:t>★2.</w:t>
      </w:r>
      <w:r>
        <w:rPr>
          <w:rFonts w:hint="eastAsia" w:ascii="仿宋" w:hAnsi="仿宋" w:eastAsia="仿宋" w:cs="仿宋"/>
          <w:b/>
          <w:bCs/>
          <w:color w:val="auto"/>
          <w:sz w:val="21"/>
          <w:szCs w:val="21"/>
          <w:u w:val="single"/>
        </w:rPr>
        <w:t>除响应文件中要求提供的初次报价外，磋商环节结束后，评审小组将根据磋商结果要求供应商在政采云系统上进行最后报价（或二次报价）。</w:t>
      </w:r>
    </w:p>
    <w:p w14:paraId="776D706F">
      <w:pPr>
        <w:pStyle w:val="9"/>
        <w:tabs>
          <w:tab w:val="left" w:pos="900"/>
        </w:tabs>
        <w:spacing w:line="360" w:lineRule="auto"/>
        <w:ind w:left="0"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kern w:val="2"/>
          <w:sz w:val="21"/>
          <w:szCs w:val="21"/>
          <w:highlight w:val="none"/>
          <w:lang w:val="en-US" w:eastAsia="zh-CN" w:bidi="ar-SA"/>
        </w:rPr>
        <w:t>5.2本次报价非一次性报价，在磋商后根据磋商情况供应商须进行最终报价。投</w:t>
      </w:r>
      <w:r>
        <w:rPr>
          <w:rFonts w:hint="eastAsia" w:ascii="仿宋" w:hAnsi="仿宋" w:eastAsia="仿宋" w:cs="仿宋"/>
          <w:b/>
          <w:bCs/>
          <w:color w:val="auto"/>
          <w:sz w:val="21"/>
          <w:szCs w:val="21"/>
          <w:highlight w:val="none"/>
        </w:rPr>
        <w:t>标报价是履行合同的最终价格。完成本项目采购范围内全部工作内容所需价款、企业应缴纳的税费及合理利润、合同包含的风险等所有采购文件提及或采购文件未提及的全部开支均应计入投标报价</w:t>
      </w:r>
      <w:r>
        <w:rPr>
          <w:rFonts w:hint="eastAsia" w:ascii="仿宋" w:hAnsi="仿宋" w:eastAsia="仿宋" w:cs="仿宋"/>
          <w:b/>
          <w:bCs/>
          <w:color w:val="auto"/>
          <w:sz w:val="21"/>
          <w:szCs w:val="21"/>
          <w:highlight w:val="none"/>
          <w:lang w:eastAsia="zh-CN"/>
        </w:rPr>
        <w:t>。</w:t>
      </w:r>
      <w:r>
        <w:rPr>
          <w:rFonts w:hint="eastAsia" w:ascii="仿宋" w:hAnsi="仿宋" w:eastAsia="仿宋" w:cs="仿宋"/>
          <w:b/>
          <w:bCs/>
          <w:color w:val="auto"/>
          <w:sz w:val="21"/>
          <w:szCs w:val="21"/>
          <w:highlight w:val="none"/>
        </w:rPr>
        <w:t>如有漏项，视同已包含在其总项目中，合同总价不做调整。投标人须充分考虑实际服务内容和需求，针对自身实际情况，核算所需的成本及合理的利润。</w:t>
      </w:r>
    </w:p>
    <w:p w14:paraId="2BCDBA43">
      <w:pPr>
        <w:keepNext w:val="0"/>
        <w:keepLines w:val="0"/>
        <w:pageBreakBefore w:val="0"/>
        <w:tabs>
          <w:tab w:val="left" w:pos="540"/>
        </w:tabs>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投标相关报价明细表填写时应详细注明该表列举的费用及分项清单。</w:t>
      </w:r>
    </w:p>
    <w:p w14:paraId="62D0D8C0">
      <w:pPr>
        <w:keepNext w:val="0"/>
        <w:keepLines w:val="0"/>
        <w:pageBreakBefore w:val="0"/>
        <w:tabs>
          <w:tab w:val="left" w:pos="540"/>
        </w:tabs>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磋商供应商必须按第六章响应文件格式中的开标一览表（统一格式）的内容填写价格、及其他事项。</w:t>
      </w:r>
    </w:p>
    <w:p w14:paraId="006ABE04">
      <w:pPr>
        <w:keepNext w:val="0"/>
        <w:keepLines w:val="0"/>
        <w:pageBreakBefore w:val="0"/>
        <w:tabs>
          <w:tab w:val="left" w:pos="540"/>
        </w:tabs>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5.</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所有投标均以人民币报价。</w:t>
      </w:r>
    </w:p>
    <w:p w14:paraId="10FCE6A6">
      <w:pPr>
        <w:keepNext w:val="0"/>
        <w:keepLines w:val="0"/>
        <w:pageBreakBefore w:val="0"/>
        <w:tabs>
          <w:tab w:val="left" w:pos="540"/>
        </w:tabs>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5.</w:t>
      </w:r>
      <w:r>
        <w:rPr>
          <w:rFonts w:hint="eastAsia" w:ascii="仿宋" w:hAnsi="仿宋" w:eastAsia="仿宋" w:cs="仿宋"/>
          <w:b/>
          <w:bCs/>
          <w:color w:val="auto"/>
          <w:szCs w:val="21"/>
          <w:highlight w:val="none"/>
          <w:lang w:val="en-US" w:eastAsia="zh-CN"/>
        </w:rPr>
        <w:t>6</w:t>
      </w:r>
      <w:r>
        <w:rPr>
          <w:rFonts w:hint="eastAsia" w:ascii="仿宋" w:hAnsi="仿宋" w:eastAsia="仿宋" w:cs="仿宋"/>
          <w:b/>
          <w:bCs/>
          <w:color w:val="auto"/>
          <w:szCs w:val="21"/>
          <w:highlight w:val="none"/>
          <w:lang w:val="en-US"/>
        </w:rPr>
        <w:t>初次报价和最后</w:t>
      </w:r>
      <w:r>
        <w:rPr>
          <w:rFonts w:hint="eastAsia" w:ascii="仿宋" w:hAnsi="仿宋" w:eastAsia="仿宋" w:cs="仿宋"/>
          <w:b/>
          <w:bCs/>
          <w:color w:val="auto"/>
          <w:szCs w:val="21"/>
          <w:highlight w:val="none"/>
        </w:rPr>
        <w:t>报价只允许有一个报价，有选择的或有条件的报价将不予接受。经磋商后，如果成交供应商最后报价（成交价）高于或低于首次报价的，分项报价同比例调整。</w:t>
      </w:r>
    </w:p>
    <w:p w14:paraId="2E3C5B07">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1"/>
          <w:szCs w:val="21"/>
          <w:highlight w:val="none"/>
        </w:rPr>
      </w:pPr>
      <w:bookmarkStart w:id="45" w:name="_Toc221356887"/>
      <w:bookmarkStart w:id="46" w:name="_Toc249758864"/>
      <w:bookmarkStart w:id="47" w:name="_Toc222114879"/>
      <w:bookmarkStart w:id="48" w:name="_Toc262049418"/>
      <w:bookmarkStart w:id="49" w:name="_Toc262105503"/>
      <w:bookmarkStart w:id="50" w:name="_Toc223715998"/>
      <w:bookmarkStart w:id="51" w:name="_Toc249758712"/>
      <w:bookmarkStart w:id="52" w:name="_Toc239145354"/>
      <w:bookmarkStart w:id="53" w:name="_Toc221356951"/>
      <w:bookmarkStart w:id="54" w:name="_Toc221423619"/>
      <w:bookmarkStart w:id="55" w:name="_Toc245191314"/>
      <w:bookmarkStart w:id="56" w:name="_Toc410031816"/>
      <w:bookmarkStart w:id="57" w:name="_Toc241404202"/>
      <w:bookmarkStart w:id="58" w:name="_Toc245722281"/>
      <w:bookmarkStart w:id="59" w:name="_Toc221374626"/>
      <w:bookmarkStart w:id="60" w:name="_Toc246261265"/>
      <w:r>
        <w:rPr>
          <w:rFonts w:hint="eastAsia" w:ascii="仿宋" w:hAnsi="仿宋" w:eastAsia="仿宋" w:cs="仿宋"/>
          <w:b/>
          <w:color w:val="auto"/>
          <w:sz w:val="21"/>
          <w:szCs w:val="21"/>
          <w:highlight w:val="none"/>
          <w:lang w:val="en-US" w:eastAsia="zh-CN"/>
        </w:rPr>
        <w:t>6.</w:t>
      </w:r>
      <w:r>
        <w:rPr>
          <w:rFonts w:hint="eastAsia" w:ascii="仿宋" w:hAnsi="仿宋" w:eastAsia="仿宋" w:cs="仿宋"/>
          <w:b/>
          <w:color w:val="auto"/>
          <w:sz w:val="21"/>
          <w:szCs w:val="21"/>
          <w:highlight w:val="none"/>
        </w:rPr>
        <w:t>响应文件的格式和顺序</w:t>
      </w:r>
    </w:p>
    <w:p w14:paraId="14041E47">
      <w:pPr>
        <w:keepNext w:val="0"/>
        <w:keepLines w:val="0"/>
        <w:pageBreakBefore w:val="0"/>
        <w:kinsoku/>
        <w:wordWrap/>
        <w:overflowPunct/>
        <w:topLinePunct w:val="0"/>
        <w:autoSpaceDE/>
        <w:autoSpaceDN/>
        <w:bidi w:val="0"/>
        <w:adjustRightInd/>
        <w:snapToGrid w:val="0"/>
        <w:spacing w:line="500" w:lineRule="exact"/>
        <w:ind w:left="0" w:leftChars="0" w:firstLine="422" w:firstLineChars="200"/>
        <w:textAlignment w:val="baseline"/>
        <w:rPr>
          <w:rFonts w:hint="eastAsia" w:ascii="仿宋" w:hAnsi="仿宋" w:eastAsia="仿宋" w:cs="仿宋"/>
          <w:color w:val="auto"/>
          <w:sz w:val="20"/>
          <w:highlight w:val="none"/>
          <w:u w:val="none"/>
        </w:rPr>
      </w:pPr>
      <w:bookmarkStart w:id="61" w:name="_Toc22960"/>
      <w:r>
        <w:rPr>
          <w:rFonts w:hint="eastAsia" w:ascii="仿宋" w:hAnsi="仿宋" w:eastAsia="仿宋" w:cs="仿宋"/>
          <w:b/>
          <w:color w:val="auto"/>
          <w:szCs w:val="21"/>
          <w:highlight w:val="none"/>
        </w:rPr>
        <w:t>电子响应文件</w:t>
      </w:r>
      <w:r>
        <w:rPr>
          <w:rFonts w:hint="eastAsia" w:ascii="仿宋" w:hAnsi="仿宋" w:eastAsia="仿宋" w:cs="仿宋"/>
          <w:b/>
          <w:bCs/>
          <w:color w:val="auto"/>
          <w:szCs w:val="21"/>
          <w:highlight w:val="none"/>
        </w:rPr>
        <w:t>按政采云平台“供应商-政府采购项目电子交易操作指南”</w:t>
      </w:r>
      <w:r>
        <w:rPr>
          <w:rFonts w:hint="eastAsia" w:ascii="仿宋" w:hAnsi="仿宋" w:eastAsia="仿宋" w:cs="仿宋"/>
          <w:color w:val="auto"/>
          <w:highlight w:val="none"/>
          <w:u w:val="none"/>
        </w:rPr>
        <w:fldChar w:fldCharType="begin"/>
      </w:r>
      <w:r>
        <w:rPr>
          <w:rFonts w:hint="eastAsia" w:ascii="仿宋" w:hAnsi="仿宋" w:eastAsia="仿宋" w:cs="仿宋"/>
          <w:color w:val="auto"/>
          <w:highlight w:val="none"/>
          <w:u w:val="none"/>
        </w:rPr>
        <w:instrText xml:space="preserve"> HYPERLINK "https://help.zcy.gov.cn/web/site_2/2018/12-28/2573.html）及本招标文件规定的格式和顺序编制电子投标文件并进行关联定位。" </w:instrText>
      </w:r>
      <w:r>
        <w:rPr>
          <w:rFonts w:hint="eastAsia" w:ascii="仿宋" w:hAnsi="仿宋" w:eastAsia="仿宋" w:cs="仿宋"/>
          <w:color w:val="auto"/>
          <w:highlight w:val="none"/>
          <w:u w:val="none"/>
        </w:rPr>
        <w:fldChar w:fldCharType="separate"/>
      </w:r>
      <w:r>
        <w:rPr>
          <w:rStyle w:val="38"/>
          <w:rFonts w:hint="eastAsia" w:ascii="仿宋" w:hAnsi="仿宋" w:eastAsia="仿宋" w:cs="仿宋"/>
          <w:b/>
          <w:bCs/>
          <w:color w:val="auto"/>
          <w:szCs w:val="21"/>
          <w:highlight w:val="none"/>
          <w:u w:val="none"/>
        </w:rPr>
        <w:t>及本竞争性磋商文件规定的格式和顺序编制电子响应文件并进行关联定位。</w:t>
      </w:r>
      <w:r>
        <w:rPr>
          <w:rStyle w:val="38"/>
          <w:rFonts w:hint="eastAsia" w:ascii="仿宋" w:hAnsi="仿宋" w:eastAsia="仿宋" w:cs="仿宋"/>
          <w:b/>
          <w:bCs/>
          <w:color w:val="auto"/>
          <w:szCs w:val="21"/>
          <w:highlight w:val="none"/>
          <w:u w:val="none"/>
        </w:rPr>
        <w:fldChar w:fldCharType="end"/>
      </w:r>
      <w:bookmarkEnd w:id="61"/>
    </w:p>
    <w:p w14:paraId="0C4FF869">
      <w:pPr>
        <w:pStyle w:val="9"/>
        <w:keepNext w:val="0"/>
        <w:keepLines w:val="0"/>
        <w:pageBreakBefore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7</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投标有效期</w:t>
      </w:r>
    </w:p>
    <w:p w14:paraId="206343BB">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7.1投标有效期见本磋商文件中前附表所规定的期限，在此期限内，凡符合磋商文件要求的响应文件均保持有效。</w:t>
      </w:r>
    </w:p>
    <w:p w14:paraId="67F0DA2E">
      <w:pPr>
        <w:pStyle w:val="9"/>
        <w:keepNext w:val="0"/>
        <w:keepLines w:val="0"/>
        <w:pageBreakBefore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7.2在特殊情况下，招标采购人在原定投标有效期内，可以根据需要以书面形式向磋商供应商提出延长投标有效期的要求，对此要求磋商供应商须以书面形式予以答复。磋商供应商可以拒绝招标采购人这种要求。同意延长投标有效期的磋商供应商既不能要求也不允许修改其响应文件。</w:t>
      </w:r>
    </w:p>
    <w:p w14:paraId="5AFFAE6B">
      <w:pPr>
        <w:pStyle w:val="4"/>
        <w:keepLines/>
        <w:widowControl w:val="0"/>
        <w:numPr>
          <w:ilvl w:val="2"/>
          <w:numId w:val="0"/>
        </w:numPr>
        <w:spacing w:before="156" w:after="156"/>
        <w:jc w:val="center"/>
        <w:textAlignment w:val="baseline"/>
        <w:rPr>
          <w:rFonts w:hint="eastAsia" w:ascii="仿宋" w:hAnsi="仿宋" w:eastAsia="仿宋" w:cs="仿宋"/>
          <w:b/>
          <w:bCs/>
          <w:color w:val="auto"/>
          <w:kern w:val="2"/>
          <w:sz w:val="32"/>
          <w:szCs w:val="32"/>
          <w:highlight w:val="none"/>
        </w:rPr>
      </w:pPr>
      <w:bookmarkStart w:id="62" w:name="_Toc10667"/>
      <w:r>
        <w:rPr>
          <w:rFonts w:hint="eastAsia" w:ascii="仿宋" w:hAnsi="仿宋" w:eastAsia="仿宋" w:cs="仿宋"/>
          <w:b/>
          <w:bCs/>
          <w:color w:val="auto"/>
          <w:kern w:val="2"/>
          <w:sz w:val="32"/>
          <w:szCs w:val="32"/>
          <w:highlight w:val="none"/>
        </w:rPr>
        <w:t>四、投标</w:t>
      </w:r>
      <w:bookmarkEnd w:id="62"/>
    </w:p>
    <w:p w14:paraId="324DF327">
      <w:pPr>
        <w:pStyle w:val="9"/>
        <w:keepNext w:val="0"/>
        <w:keepLines w:val="0"/>
        <w:pageBreakBefore w:val="0"/>
        <w:kinsoku/>
        <w:overflowPunct/>
        <w:topLinePunct w:val="0"/>
        <w:autoSpaceDE/>
        <w:autoSpaceDN/>
        <w:bidi w:val="0"/>
        <w:adjustRightInd/>
        <w:snapToGri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响应文件的提交</w:t>
      </w:r>
    </w:p>
    <w:p w14:paraId="353F3FF7">
      <w:pPr>
        <w:keepNext w:val="0"/>
        <w:keepLines w:val="0"/>
        <w:pageBreakBefore w:val="0"/>
        <w:widowControl/>
        <w:kinsoku/>
        <w:overflowPunct/>
        <w:topLinePunct w:val="0"/>
        <w:autoSpaceDE/>
        <w:autoSpaceDN/>
        <w:bidi w:val="0"/>
        <w:adjustRightInd/>
        <w:snapToGrid/>
        <w:spacing w:line="500" w:lineRule="exact"/>
        <w:ind w:left="0" w:leftChars="0" w:firstLine="420" w:firstLineChars="200"/>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1.1</w:t>
      </w:r>
      <w:r>
        <w:rPr>
          <w:rFonts w:hint="eastAsia" w:ascii="仿宋" w:hAnsi="仿宋" w:eastAsia="仿宋" w:cs="仿宋"/>
          <w:b/>
          <w:bCs/>
          <w:color w:val="auto"/>
          <w:kern w:val="0"/>
          <w:szCs w:val="21"/>
          <w:highlight w:val="none"/>
        </w:rPr>
        <w:t>电子加密投标文件：</w:t>
      </w:r>
      <w:r>
        <w:rPr>
          <w:rFonts w:hint="eastAsia" w:ascii="仿宋" w:hAnsi="仿宋" w:eastAsia="仿宋" w:cs="仿宋"/>
          <w:color w:val="auto"/>
          <w:kern w:val="0"/>
          <w:szCs w:val="21"/>
          <w:highlight w:val="none"/>
        </w:rPr>
        <w:t>投标人应当于投标文件提交</w:t>
      </w:r>
      <w:r>
        <w:rPr>
          <w:rFonts w:hint="eastAsia" w:ascii="仿宋" w:hAnsi="仿宋" w:eastAsia="仿宋" w:cs="仿宋"/>
          <w:color w:val="auto"/>
          <w:kern w:val="0"/>
          <w:szCs w:val="21"/>
          <w:highlight w:val="none"/>
          <w:lang w:eastAsia="zh-CN"/>
        </w:rPr>
        <w:t>截至时间</w:t>
      </w:r>
      <w:r>
        <w:rPr>
          <w:rFonts w:hint="eastAsia" w:ascii="仿宋" w:hAnsi="仿宋" w:eastAsia="仿宋" w:cs="仿宋"/>
          <w:color w:val="auto"/>
          <w:kern w:val="0"/>
          <w:szCs w:val="21"/>
          <w:highlight w:val="none"/>
        </w:rPr>
        <w:t>前</w:t>
      </w:r>
      <w:r>
        <w:rPr>
          <w:rFonts w:hint="eastAsia" w:ascii="仿宋" w:hAnsi="仿宋" w:eastAsia="仿宋" w:cs="仿宋"/>
          <w:color w:val="auto"/>
          <w:szCs w:val="21"/>
          <w:highlight w:val="none"/>
        </w:rPr>
        <w:t>通过“政采云电子投标客户端”上传至政采云平台</w:t>
      </w:r>
      <w:r>
        <w:rPr>
          <w:rFonts w:hint="eastAsia" w:ascii="仿宋" w:hAnsi="仿宋" w:eastAsia="仿宋" w:cs="仿宋"/>
          <w:color w:val="auto"/>
          <w:kern w:val="0"/>
          <w:szCs w:val="21"/>
          <w:highlight w:val="none"/>
        </w:rPr>
        <w:t>上</w:t>
      </w:r>
      <w:r>
        <w:rPr>
          <w:rFonts w:hint="eastAsia" w:ascii="仿宋" w:hAnsi="仿宋" w:eastAsia="仿宋" w:cs="仿宋"/>
          <w:b/>
          <w:bCs/>
          <w:color w:val="auto"/>
          <w:kern w:val="0"/>
          <w:szCs w:val="21"/>
          <w:highlight w:val="none"/>
        </w:rPr>
        <w:t>。（逾期上传的投标文件将被拒收）</w:t>
      </w:r>
    </w:p>
    <w:p w14:paraId="3D58D7CC">
      <w:pPr>
        <w:keepNext w:val="0"/>
        <w:keepLines w:val="0"/>
        <w:pageBreakBefore w:val="0"/>
        <w:widowControl/>
        <w:kinsoku/>
        <w:wordWrap w:val="0"/>
        <w:overflowPunct/>
        <w:topLinePunct w:val="0"/>
        <w:autoSpaceDE/>
        <w:autoSpaceDN/>
        <w:bidi w:val="0"/>
        <w:adjustRightInd/>
        <w:snapToGrid/>
        <w:spacing w:line="500" w:lineRule="exact"/>
        <w:ind w:left="0" w:leftChars="0" w:firstLine="420" w:firstLineChars="200"/>
        <w:rPr>
          <w:rFonts w:hint="eastAsia" w:ascii="仿宋" w:hAnsi="仿宋" w:eastAsia="仿宋" w:cs="仿宋"/>
          <w:b/>
          <w:bCs/>
          <w:color w:val="auto"/>
          <w:highlight w:val="none"/>
          <w:lang w:val="zh-CN"/>
        </w:rPr>
      </w:pPr>
      <w:r>
        <w:rPr>
          <w:rFonts w:hint="eastAsia" w:ascii="仿宋" w:hAnsi="仿宋" w:eastAsia="仿宋" w:cs="仿宋"/>
          <w:color w:val="auto"/>
          <w:kern w:val="0"/>
          <w:szCs w:val="21"/>
          <w:highlight w:val="none"/>
        </w:rPr>
        <w:t>1.2</w:t>
      </w:r>
      <w:r>
        <w:rPr>
          <w:rFonts w:hint="eastAsia" w:ascii="仿宋" w:hAnsi="仿宋" w:eastAsia="仿宋" w:cs="仿宋"/>
          <w:b/>
          <w:bCs/>
          <w:color w:val="auto"/>
          <w:kern w:val="0"/>
          <w:szCs w:val="21"/>
          <w:highlight w:val="none"/>
        </w:rPr>
        <w:t>备份投标文件（非强制要求提供）</w:t>
      </w:r>
      <w:r>
        <w:rPr>
          <w:rFonts w:hint="eastAsia" w:ascii="仿宋" w:hAnsi="仿宋" w:eastAsia="仿宋" w:cs="仿宋"/>
          <w:color w:val="auto"/>
          <w:kern w:val="0"/>
          <w:szCs w:val="21"/>
          <w:highlight w:val="none"/>
        </w:rPr>
        <w:t>：可在</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"mailto:按政采云平台项目采购-电子招投标操作指南制作备份投标文件（后缀名为.bfbs），在开标时间后15分钟内以电子邮件形式递交至采购代理机构邮箱（103874679@qq.com）。" </w:instrText>
      </w:r>
      <w:r>
        <w:rPr>
          <w:rFonts w:hint="eastAsia" w:ascii="仿宋" w:hAnsi="仿宋" w:eastAsia="仿宋" w:cs="仿宋"/>
          <w:color w:val="auto"/>
          <w:highlight w:val="none"/>
        </w:rPr>
        <w:fldChar w:fldCharType="separate"/>
      </w:r>
      <w:r>
        <w:rPr>
          <w:rStyle w:val="38"/>
          <w:rFonts w:hint="eastAsia" w:ascii="仿宋" w:hAnsi="仿宋" w:eastAsia="仿宋" w:cs="仿宋"/>
          <w:color w:val="auto"/>
          <w:kern w:val="0"/>
          <w:szCs w:val="21"/>
          <w:highlight w:val="none"/>
          <w:u w:val="none"/>
        </w:rPr>
        <w:t>投标文件提交</w:t>
      </w:r>
      <w:r>
        <w:rPr>
          <w:rStyle w:val="38"/>
          <w:rFonts w:hint="eastAsia" w:ascii="仿宋" w:hAnsi="仿宋" w:eastAsia="仿宋" w:cs="仿宋"/>
          <w:color w:val="auto"/>
          <w:kern w:val="0"/>
          <w:szCs w:val="21"/>
          <w:highlight w:val="none"/>
          <w:u w:val="none"/>
          <w:lang w:eastAsia="zh-CN"/>
        </w:rPr>
        <w:t>截至时间</w:t>
      </w:r>
      <w:r>
        <w:rPr>
          <w:rStyle w:val="38"/>
          <w:rFonts w:hint="eastAsia" w:ascii="仿宋" w:hAnsi="仿宋" w:eastAsia="仿宋" w:cs="仿宋"/>
          <w:color w:val="auto"/>
          <w:kern w:val="0"/>
          <w:szCs w:val="21"/>
          <w:highlight w:val="none"/>
          <w:u w:val="none"/>
        </w:rPr>
        <w:t>前以加密的压缩文件形式（即将压缩文件设置为需要密码才能打开）发送至采购代理机构邮箱</w:t>
      </w:r>
      <w:r>
        <w:rPr>
          <w:rStyle w:val="38"/>
          <w:rFonts w:hint="eastAsia" w:ascii="仿宋" w:hAnsi="仿宋" w:eastAsia="仿宋" w:cs="仿宋"/>
          <w:color w:val="auto"/>
          <w:kern w:val="0"/>
          <w:szCs w:val="21"/>
          <w:highlight w:val="none"/>
          <w:u w:val="none"/>
        </w:rPr>
        <w:fldChar w:fldCharType="end"/>
      </w:r>
      <w:r>
        <w:rPr>
          <w:rFonts w:hint="eastAsia" w:ascii="仿宋" w:hAnsi="仿宋" w:eastAsia="仿宋" w:cs="仿宋"/>
          <w:color w:val="auto"/>
          <w:kern w:val="0"/>
          <w:szCs w:val="21"/>
          <w:highlight w:val="none"/>
        </w:rPr>
        <w:t>，并在</w:t>
      </w:r>
      <w:r>
        <w:rPr>
          <w:rFonts w:hint="eastAsia" w:ascii="仿宋" w:hAnsi="仿宋" w:eastAsia="仿宋" w:cs="仿宋"/>
          <w:color w:val="auto"/>
          <w:highlight w:val="none"/>
          <w:lang w:val="zh-CN"/>
        </w:rPr>
        <w:t>接到在线解密通</w:t>
      </w:r>
      <w:r>
        <w:rPr>
          <w:rFonts w:hint="eastAsia" w:ascii="仿宋" w:hAnsi="仿宋" w:eastAsia="仿宋" w:cs="仿宋"/>
          <w:color w:val="auto"/>
          <w:szCs w:val="21"/>
          <w:highlight w:val="none"/>
          <w:lang w:val="zh-CN"/>
        </w:rPr>
        <w:t>知</w:t>
      </w:r>
      <w:r>
        <w:rPr>
          <w:rFonts w:hint="eastAsia" w:ascii="仿宋" w:hAnsi="仿宋" w:eastAsia="仿宋" w:cs="仿宋"/>
          <w:color w:val="auto"/>
          <w:highlight w:val="none"/>
          <w:lang w:val="zh-CN"/>
        </w:rPr>
        <w:t>后</w:t>
      </w:r>
      <w:r>
        <w:rPr>
          <w:rFonts w:hint="eastAsia" w:ascii="仿宋" w:hAnsi="仿宋" w:eastAsia="仿宋" w:cs="仿宋"/>
          <w:color w:val="auto"/>
          <w:szCs w:val="21"/>
          <w:highlight w:val="none"/>
        </w:rPr>
        <w:t>30</w:t>
      </w:r>
      <w:r>
        <w:rPr>
          <w:rFonts w:hint="eastAsia" w:ascii="仿宋" w:hAnsi="仿宋" w:eastAsia="仿宋" w:cs="仿宋"/>
          <w:color w:val="auto"/>
          <w:highlight w:val="none"/>
        </w:rPr>
        <w:t>分钟</w:t>
      </w:r>
      <w:r>
        <w:rPr>
          <w:rFonts w:hint="eastAsia" w:ascii="仿宋" w:hAnsi="仿宋" w:eastAsia="仿宋" w:cs="仿宋"/>
          <w:color w:val="auto"/>
          <w:highlight w:val="none"/>
          <w:lang w:val="zh-CN"/>
        </w:rPr>
        <w:t>内发送压缩文件密码至</w:t>
      </w:r>
      <w:r>
        <w:rPr>
          <w:rStyle w:val="38"/>
          <w:rFonts w:hint="eastAsia" w:ascii="仿宋" w:hAnsi="仿宋" w:eastAsia="仿宋" w:cs="仿宋"/>
          <w:color w:val="auto"/>
          <w:kern w:val="0"/>
          <w:szCs w:val="21"/>
          <w:highlight w:val="none"/>
          <w:u w:val="none"/>
        </w:rPr>
        <w:t>采购代理机构邮箱（邮箱号码：</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"mailto:103874679@qq.com）。" </w:instrText>
      </w:r>
      <w:r>
        <w:rPr>
          <w:rFonts w:hint="eastAsia" w:ascii="仿宋" w:hAnsi="仿宋" w:eastAsia="仿宋" w:cs="仿宋"/>
          <w:color w:val="auto"/>
          <w:highlight w:val="none"/>
        </w:rPr>
        <w:fldChar w:fldCharType="separate"/>
      </w:r>
      <w:r>
        <w:rPr>
          <w:rStyle w:val="38"/>
          <w:rFonts w:hint="eastAsia" w:ascii="仿宋" w:hAnsi="仿宋" w:eastAsia="仿宋" w:cs="仿宋"/>
          <w:color w:val="auto"/>
          <w:highlight w:val="none"/>
          <w:u w:val="none"/>
          <w:lang w:val="en-US" w:eastAsia="zh-CN"/>
        </w:rPr>
        <w:t>617535062</w:t>
      </w:r>
      <w:r>
        <w:rPr>
          <w:rStyle w:val="38"/>
          <w:rFonts w:hint="eastAsia" w:ascii="仿宋" w:hAnsi="仿宋" w:eastAsia="仿宋" w:cs="仿宋"/>
          <w:color w:val="auto"/>
          <w:highlight w:val="none"/>
          <w:u w:val="none"/>
        </w:rPr>
        <w:t>@qq.com）</w:t>
      </w:r>
      <w:r>
        <w:rPr>
          <w:rStyle w:val="38"/>
          <w:rFonts w:hint="eastAsia" w:ascii="仿宋" w:hAnsi="仿宋" w:eastAsia="仿宋" w:cs="仿宋"/>
          <w:color w:val="auto"/>
          <w:highlight w:val="none"/>
          <w:u w:val="none"/>
        </w:rPr>
        <w:fldChar w:fldCharType="end"/>
      </w:r>
      <w:r>
        <w:rPr>
          <w:rStyle w:val="38"/>
          <w:rFonts w:hint="eastAsia" w:ascii="仿宋" w:hAnsi="仿宋" w:eastAsia="仿宋" w:cs="仿宋"/>
          <w:color w:val="auto"/>
          <w:highlight w:val="none"/>
          <w:u w:val="none"/>
          <w:lang w:val="zh-CN"/>
        </w:rPr>
        <w:t>。</w:t>
      </w:r>
      <w:r>
        <w:rPr>
          <w:rFonts w:hint="eastAsia" w:ascii="仿宋" w:hAnsi="仿宋" w:eastAsia="仿宋" w:cs="仿宋"/>
          <w:b/>
          <w:bCs/>
          <w:color w:val="auto"/>
          <w:kern w:val="0"/>
          <w:szCs w:val="21"/>
          <w:highlight w:val="none"/>
        </w:rPr>
        <w:t>（逾期提交的备份投标文件将被拒收）</w:t>
      </w:r>
    </w:p>
    <w:p w14:paraId="42B6FE56">
      <w:pPr>
        <w:keepNext w:val="0"/>
        <w:keepLines w:val="0"/>
        <w:pageBreakBefore w:val="0"/>
        <w:widowControl/>
        <w:kinsoku/>
        <w:overflowPunct/>
        <w:topLinePunct w:val="0"/>
        <w:autoSpaceDE/>
        <w:autoSpaceDN/>
        <w:bidi w:val="0"/>
        <w:adjustRightInd/>
        <w:snapToGrid/>
        <w:spacing w:line="500" w:lineRule="exact"/>
        <w:ind w:left="0" w:leftChars="0" w:firstLine="422" w:firstLineChars="200"/>
        <w:rPr>
          <w:rFonts w:hint="eastAsia" w:ascii="仿宋" w:hAnsi="仿宋" w:eastAsia="仿宋" w:cs="仿宋"/>
          <w:b/>
          <w:bCs/>
          <w:color w:val="auto"/>
          <w:highlight w:val="none"/>
          <w:lang w:val="zh-CN"/>
        </w:rPr>
      </w:pPr>
      <w:r>
        <w:rPr>
          <w:rFonts w:hint="eastAsia" w:ascii="仿宋" w:hAnsi="仿宋" w:eastAsia="仿宋" w:cs="仿宋"/>
          <w:b/>
          <w:bCs/>
          <w:color w:val="auto"/>
          <w:szCs w:val="21"/>
          <w:highlight w:val="none"/>
          <w:lang w:val="zh-CN"/>
        </w:rPr>
        <w:t>提示：①为确保采购项目顺利实施，投标人可以按照采购文件要求在投标文件提交截至时间前向采购代理机构</w:t>
      </w:r>
      <w:r>
        <w:rPr>
          <w:rFonts w:hint="eastAsia" w:ascii="仿宋" w:hAnsi="仿宋" w:eastAsia="仿宋" w:cs="仿宋"/>
          <w:b/>
          <w:bCs/>
          <w:color w:val="auto"/>
          <w:szCs w:val="21"/>
          <w:highlight w:val="none"/>
        </w:rPr>
        <w:t>提交</w:t>
      </w:r>
      <w:r>
        <w:rPr>
          <w:rFonts w:hint="eastAsia" w:ascii="仿宋" w:hAnsi="仿宋" w:eastAsia="仿宋" w:cs="仿宋"/>
          <w:b/>
          <w:bCs/>
          <w:color w:val="auto"/>
          <w:szCs w:val="21"/>
          <w:highlight w:val="none"/>
          <w:lang w:val="zh-CN"/>
        </w:rPr>
        <w:t>备份投标文件，但非强制性要求。如</w:t>
      </w:r>
      <w:r>
        <w:rPr>
          <w:rFonts w:hint="eastAsia" w:ascii="仿宋" w:hAnsi="仿宋" w:eastAsia="仿宋" w:cs="仿宋"/>
          <w:b/>
          <w:bCs/>
          <w:color w:val="auto"/>
          <w:szCs w:val="21"/>
          <w:highlight w:val="none"/>
        </w:rPr>
        <w:t>在</w:t>
      </w:r>
      <w:r>
        <w:rPr>
          <w:rFonts w:hint="eastAsia" w:ascii="仿宋" w:hAnsi="仿宋" w:eastAsia="仿宋" w:cs="仿宋"/>
          <w:b/>
          <w:bCs/>
          <w:color w:val="auto"/>
          <w:szCs w:val="21"/>
          <w:highlight w:val="none"/>
          <w:lang w:val="zh-CN"/>
        </w:rPr>
        <w:t>投标文件提交截至时间前</w:t>
      </w:r>
      <w:r>
        <w:rPr>
          <w:rFonts w:hint="eastAsia" w:ascii="仿宋" w:hAnsi="仿宋" w:eastAsia="仿宋" w:cs="仿宋"/>
          <w:b/>
          <w:bCs/>
          <w:color w:val="auto"/>
          <w:szCs w:val="21"/>
          <w:highlight w:val="none"/>
        </w:rPr>
        <w:t>未提交</w:t>
      </w:r>
      <w:r>
        <w:rPr>
          <w:rFonts w:hint="eastAsia" w:ascii="仿宋" w:hAnsi="仿宋" w:eastAsia="仿宋" w:cs="仿宋"/>
          <w:b/>
          <w:bCs/>
          <w:color w:val="auto"/>
          <w:szCs w:val="21"/>
          <w:highlight w:val="none"/>
          <w:lang w:val="zh-CN"/>
        </w:rPr>
        <w:t>备份投标文件，因遇电子加密投标文件解密失败等情况造成投标撤回或无效的，其后果由投标人自行承担。</w:t>
      </w:r>
    </w:p>
    <w:p w14:paraId="3A30BA9F">
      <w:pPr>
        <w:keepNext w:val="0"/>
        <w:keepLines w:val="0"/>
        <w:pageBreakBefore w:val="0"/>
        <w:kinsoku/>
        <w:overflowPunct/>
        <w:topLinePunct w:val="0"/>
        <w:autoSpaceDE/>
        <w:autoSpaceDN/>
        <w:bidi w:val="0"/>
        <w:adjustRightInd/>
        <w:snapToGrid/>
        <w:spacing w:line="500" w:lineRule="exact"/>
        <w:ind w:left="0" w:leftChars="0" w:firstLine="422" w:firstLineChars="200"/>
        <w:rPr>
          <w:rFonts w:hint="eastAsia" w:ascii="仿宋" w:hAnsi="仿宋" w:eastAsia="仿宋" w:cs="仿宋"/>
          <w:b/>
          <w:bCs/>
          <w:color w:val="auto"/>
          <w:szCs w:val="21"/>
          <w:highlight w:val="none"/>
          <w:lang w:val="zh-CN"/>
        </w:rPr>
      </w:pPr>
      <w:r>
        <w:rPr>
          <w:rFonts w:hint="eastAsia" w:ascii="仿宋" w:hAnsi="仿宋" w:eastAsia="仿宋" w:cs="仿宋"/>
          <w:b/>
          <w:bCs/>
          <w:color w:val="auto"/>
          <w:szCs w:val="21"/>
          <w:highlight w:val="none"/>
        </w:rPr>
        <w:t>②</w:t>
      </w:r>
      <w:r>
        <w:rPr>
          <w:rFonts w:hint="eastAsia" w:ascii="仿宋" w:hAnsi="仿宋" w:eastAsia="仿宋" w:cs="仿宋"/>
          <w:b/>
          <w:bCs/>
          <w:color w:val="auto"/>
          <w:szCs w:val="21"/>
          <w:highlight w:val="none"/>
          <w:lang w:val="zh-CN"/>
        </w:rPr>
        <w:t>本次采购活动采用电子交易，实行网上交易（非现场方式实施）。投标人代表无需到达现场，但应当准时在线参加开标，直至评审结束，并保证开标、评审过程中采购代理机构能够随时与其代表人取得联系。</w:t>
      </w:r>
    </w:p>
    <w:p w14:paraId="0BCC06D8">
      <w:pPr>
        <w:pStyle w:val="9"/>
        <w:keepNext w:val="0"/>
        <w:keepLines w:val="0"/>
        <w:pageBreakBefore w:val="0"/>
        <w:kinsoku/>
        <w:overflowPunct/>
        <w:topLinePunct w:val="0"/>
        <w:autoSpaceDE/>
        <w:autoSpaceDN/>
        <w:bidi w:val="0"/>
        <w:adjustRightInd/>
        <w:snapToGrid/>
        <w:spacing w:line="500" w:lineRule="exact"/>
        <w:ind w:left="0" w:leftChars="0" w:firstLine="422" w:firstLineChars="200"/>
        <w:textAlignment w:val="baseline"/>
        <w:rPr>
          <w:rFonts w:hint="eastAsia" w:ascii="仿宋" w:hAnsi="仿宋" w:eastAsia="仿宋" w:cs="仿宋"/>
          <w:b/>
          <w:color w:val="auto"/>
          <w:sz w:val="21"/>
          <w:szCs w:val="21"/>
          <w:highlight w:val="none"/>
          <w:lang w:eastAsia="zh-CN"/>
        </w:rPr>
      </w:pP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响应文件提交的</w:t>
      </w:r>
      <w:r>
        <w:rPr>
          <w:rFonts w:hint="eastAsia" w:ascii="仿宋" w:hAnsi="仿宋" w:eastAsia="仿宋" w:cs="仿宋"/>
          <w:b/>
          <w:color w:val="auto"/>
          <w:sz w:val="21"/>
          <w:szCs w:val="21"/>
          <w:highlight w:val="none"/>
          <w:lang w:eastAsia="zh-CN"/>
        </w:rPr>
        <w:t>截至时间</w:t>
      </w:r>
    </w:p>
    <w:p w14:paraId="261C6B04">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2.1响应文件提交的</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见磋商文件投标须知前附表规定。</w:t>
      </w:r>
    </w:p>
    <w:p w14:paraId="77E756E2">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2.2招标采购人可按本磋商文件规定以修改补充通知的方式，</w:t>
      </w:r>
      <w:r>
        <w:rPr>
          <w:rFonts w:hint="eastAsia" w:ascii="仿宋" w:hAnsi="仿宋" w:eastAsia="仿宋" w:cs="仿宋"/>
          <w:color w:val="auto"/>
          <w:sz w:val="21"/>
          <w:szCs w:val="21"/>
          <w:highlight w:val="none"/>
          <w:lang w:eastAsia="zh-CN"/>
        </w:rPr>
        <w:t>综合</w:t>
      </w:r>
      <w:r>
        <w:rPr>
          <w:rFonts w:hint="eastAsia" w:ascii="仿宋" w:hAnsi="仿宋" w:eastAsia="仿宋" w:cs="仿宋"/>
          <w:color w:val="auto"/>
          <w:sz w:val="21"/>
          <w:szCs w:val="21"/>
          <w:highlight w:val="none"/>
        </w:rPr>
        <w:t>延长提交响应文件的</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。在此情况下，磋商供应商的所有权利和义务以及磋商供应商受制约的</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，均以延长后新的投标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为准。</w:t>
      </w:r>
    </w:p>
    <w:p w14:paraId="62F12CB3">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2.3磋商供应商在投标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以后送达的响应文件将被拒绝接受。</w:t>
      </w:r>
    </w:p>
    <w:p w14:paraId="7B332412">
      <w:pPr>
        <w:pStyle w:val="9"/>
        <w:keepNext w:val="0"/>
        <w:keepLines w:val="0"/>
        <w:pageBreakBefore w:val="0"/>
        <w:kinsoku/>
        <w:overflowPunct/>
        <w:topLinePunct w:val="0"/>
        <w:autoSpaceDE/>
        <w:autoSpaceDN/>
        <w:bidi w:val="0"/>
        <w:adjustRightInd/>
        <w:snapToGrid/>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3</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响应文件的补充、修改与撤回</w:t>
      </w:r>
    </w:p>
    <w:p w14:paraId="143A423A">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3.1磋商供应商在提交响应文件以后，在规定的投标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之前，可以补充修改或撤回已提交的响应文件：</w:t>
      </w:r>
    </w:p>
    <w:p w14:paraId="280C735B">
      <w:pPr>
        <w:pStyle w:val="9"/>
        <w:keepNext w:val="0"/>
        <w:keepLines w:val="0"/>
        <w:pageBreakBefore w:val="0"/>
        <w:kinsoku/>
        <w:overflowPunct/>
        <w:topLinePunct w:val="0"/>
        <w:autoSpaceDE/>
        <w:autoSpaceDN/>
        <w:bidi w:val="0"/>
        <w:adjustRightInd/>
        <w:snapToGrid/>
        <w:spacing w:line="500" w:lineRule="exact"/>
        <w:ind w:left="0" w:leftChars="0" w:firstLine="422" w:firstLineChars="200"/>
        <w:textAlignment w:val="baseline"/>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递交响应文件</w:t>
      </w:r>
      <w:r>
        <w:rPr>
          <w:rFonts w:hint="eastAsia" w:ascii="仿宋" w:hAnsi="仿宋" w:eastAsia="仿宋" w:cs="仿宋"/>
          <w:b/>
          <w:bCs/>
          <w:color w:val="auto"/>
          <w:sz w:val="21"/>
          <w:szCs w:val="21"/>
          <w:highlight w:val="none"/>
          <w:lang w:eastAsia="zh-CN"/>
        </w:rPr>
        <w:t>截至时间</w:t>
      </w:r>
      <w:r>
        <w:rPr>
          <w:rFonts w:hint="eastAsia" w:ascii="仿宋" w:hAnsi="仿宋" w:eastAsia="仿宋" w:cs="仿宋"/>
          <w:b/>
          <w:bCs/>
          <w:color w:val="auto"/>
          <w:sz w:val="21"/>
          <w:szCs w:val="21"/>
          <w:highlight w:val="none"/>
        </w:rPr>
        <w:t>之前补充或者修改电子响应文件的，应当先行撤回原文件，补充、修改后重新传输递交。</w:t>
      </w:r>
    </w:p>
    <w:p w14:paraId="27A43C32">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3.2在投标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之后，磋商供应商不得补充、修改响应文件。</w:t>
      </w:r>
    </w:p>
    <w:p w14:paraId="2EB1B82B">
      <w:pPr>
        <w:pStyle w:val="9"/>
        <w:keepNext w:val="0"/>
        <w:keepLines w:val="0"/>
        <w:pageBreakBefore w:val="0"/>
        <w:kinsoku/>
        <w:overflowPunct/>
        <w:topLinePunct w:val="0"/>
        <w:autoSpaceDE/>
        <w:autoSpaceDN/>
        <w:bidi w:val="0"/>
        <w:adjustRightInd/>
        <w:snapToGrid/>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3.3根据磋商文件规定，在投标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之后至磋商供应商在投标声明书中规定的投标有效期满之前的这段时间内，磋商供应商不得撤回其响应文件，否则应当按照本项目采购预算价2%的标准承担因此给采购单位造成的损失的赔偿责任及相应的法律责任。</w:t>
      </w:r>
    </w:p>
    <w:p w14:paraId="0C3B3D8B">
      <w:pPr>
        <w:pStyle w:val="4"/>
        <w:keepLines/>
        <w:widowControl w:val="0"/>
        <w:numPr>
          <w:ilvl w:val="2"/>
          <w:numId w:val="0"/>
        </w:numPr>
        <w:spacing w:before="156" w:after="156"/>
        <w:jc w:val="center"/>
        <w:textAlignment w:val="baseline"/>
        <w:rPr>
          <w:rFonts w:hint="eastAsia" w:ascii="仿宋" w:hAnsi="仿宋" w:eastAsia="仿宋" w:cs="仿宋"/>
          <w:b/>
          <w:bCs/>
          <w:color w:val="auto"/>
          <w:kern w:val="2"/>
          <w:sz w:val="32"/>
          <w:szCs w:val="32"/>
          <w:highlight w:val="none"/>
        </w:rPr>
      </w:pPr>
      <w:bookmarkStart w:id="63" w:name="_Toc582"/>
      <w:r>
        <w:rPr>
          <w:rFonts w:hint="eastAsia" w:ascii="仿宋" w:hAnsi="仿宋" w:eastAsia="仿宋" w:cs="仿宋"/>
          <w:b/>
          <w:bCs/>
          <w:color w:val="auto"/>
          <w:kern w:val="2"/>
          <w:sz w:val="32"/>
          <w:szCs w:val="32"/>
          <w:highlight w:val="none"/>
        </w:rPr>
        <w:t xml:space="preserve"> 五、开标</w:t>
      </w:r>
      <w:bookmarkEnd w:id="63"/>
    </w:p>
    <w:p w14:paraId="7638B5BD">
      <w:pPr>
        <w:pStyle w:val="9"/>
        <w:keepNext w:val="0"/>
        <w:keepLines w:val="0"/>
        <w:pageBreakBefore w:val="0"/>
        <w:kinsoku/>
        <w:wordWrap/>
        <w:topLinePunct w:val="0"/>
        <w:bidi w:val="0"/>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1</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开标</w:t>
      </w:r>
    </w:p>
    <w:p w14:paraId="5A9A024A">
      <w:pPr>
        <w:pStyle w:val="9"/>
        <w:keepNext w:val="0"/>
        <w:keepLines w:val="0"/>
        <w:pageBreakBefore w:val="0"/>
        <w:kinsoku/>
        <w:wordWrap/>
        <w:topLinePunct w:val="0"/>
        <w:bidi w:val="0"/>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1.1招标采购人按本磋商文件磋商供应商须知前附表规定的时间和地点公开开标。</w:t>
      </w:r>
    </w:p>
    <w:p w14:paraId="14FEAC31">
      <w:pPr>
        <w:pStyle w:val="9"/>
        <w:keepNext w:val="0"/>
        <w:keepLines w:val="0"/>
        <w:pageBreakBefore w:val="0"/>
        <w:kinsoku/>
        <w:wordWrap/>
        <w:topLinePunct w:val="0"/>
        <w:bidi w:val="0"/>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1.2采购代理机构核验出席开标活动现场的相关单位人员身份，并组织其分别登记、签到，无关人员不得进入现场。</w:t>
      </w:r>
    </w:p>
    <w:p w14:paraId="21B7040D">
      <w:pPr>
        <w:pStyle w:val="9"/>
        <w:keepNext w:val="0"/>
        <w:keepLines w:val="0"/>
        <w:pageBreakBefore w:val="0"/>
        <w:kinsoku/>
        <w:wordWrap/>
        <w:topLinePunct w:val="0"/>
        <w:bidi w:val="0"/>
        <w:spacing w:line="500" w:lineRule="exact"/>
        <w:ind w:left="0" w:leftChars="0" w:firstLine="422" w:firstLineChars="200"/>
        <w:textAlignment w:val="baseline"/>
        <w:rPr>
          <w:rFonts w:hint="eastAsia" w:ascii="仿宋" w:hAnsi="仿宋" w:eastAsia="仿宋" w:cs="仿宋"/>
          <w:b/>
          <w:color w:val="auto"/>
          <w:sz w:val="21"/>
          <w:szCs w:val="21"/>
          <w:highlight w:val="none"/>
          <w:lang w:val="en-US" w:eastAsia="zh-CN"/>
        </w:rPr>
      </w:pPr>
      <w:r>
        <w:rPr>
          <w:rFonts w:hint="eastAsia" w:ascii="仿宋" w:hAnsi="仿宋" w:eastAsia="仿宋" w:cs="仿宋"/>
          <w:b/>
          <w:color w:val="auto"/>
          <w:sz w:val="21"/>
          <w:szCs w:val="21"/>
          <w:highlight w:val="none"/>
          <w:lang w:val="en-US" w:eastAsia="zh-CN"/>
        </w:rPr>
        <w:t>1.3开标的准备工作由采购组织机构负责落实；采购组织机构将按照采购文件规定的时间通过“政府采购云平台”组织开标、开启投标文件，所有投标人均应当准时在线参加（因投标人需要及时进行标书在线解密）。投标人如不在线参加的，视同认可开标结果，事后不得对开标结果提出异议。投标人因未在线参加开标而导致投标文件无法按时解密等一切后果由投标人自己承担。</w:t>
      </w:r>
    </w:p>
    <w:p w14:paraId="36187DD2">
      <w:pPr>
        <w:pStyle w:val="9"/>
        <w:keepNext w:val="0"/>
        <w:keepLines w:val="0"/>
        <w:pageBreakBefore w:val="0"/>
        <w:kinsoku/>
        <w:wordWrap/>
        <w:topLinePunct w:val="0"/>
        <w:bidi w:val="0"/>
        <w:spacing w:line="500" w:lineRule="exact"/>
        <w:ind w:left="0" w:leftChars="0" w:firstLine="422" w:firstLineChars="200"/>
        <w:textAlignment w:val="baseline"/>
        <w:rPr>
          <w:rFonts w:hint="eastAsia" w:ascii="仿宋" w:hAnsi="仿宋" w:eastAsia="仿宋" w:cs="仿宋"/>
          <w:b/>
          <w:color w:val="auto"/>
          <w:sz w:val="21"/>
          <w:szCs w:val="21"/>
          <w:highlight w:val="none"/>
        </w:rPr>
      </w:pPr>
      <w:r>
        <w:rPr>
          <w:rFonts w:hint="eastAsia" w:ascii="仿宋" w:hAnsi="仿宋" w:eastAsia="仿宋" w:cs="仿宋"/>
          <w:b/>
          <w:color w:val="auto"/>
          <w:sz w:val="21"/>
          <w:szCs w:val="21"/>
          <w:highlight w:val="none"/>
        </w:rPr>
        <w:t>2</w:t>
      </w:r>
      <w:r>
        <w:rPr>
          <w:rFonts w:hint="eastAsia" w:ascii="仿宋" w:hAnsi="仿宋" w:eastAsia="仿宋" w:cs="仿宋"/>
          <w:b/>
          <w:color w:val="auto"/>
          <w:sz w:val="21"/>
          <w:szCs w:val="21"/>
          <w:highlight w:val="none"/>
          <w:lang w:val="en-US" w:eastAsia="zh-CN"/>
        </w:rPr>
        <w:t>.</w:t>
      </w:r>
      <w:r>
        <w:rPr>
          <w:rFonts w:hint="eastAsia" w:ascii="仿宋" w:hAnsi="仿宋" w:eastAsia="仿宋" w:cs="仿宋"/>
          <w:b/>
          <w:color w:val="auto"/>
          <w:sz w:val="21"/>
          <w:szCs w:val="21"/>
          <w:highlight w:val="none"/>
        </w:rPr>
        <w:t>开标程序</w:t>
      </w:r>
    </w:p>
    <w:p w14:paraId="1D130188">
      <w:pPr>
        <w:pStyle w:val="9"/>
        <w:keepNext w:val="0"/>
        <w:keepLines w:val="0"/>
        <w:pageBreakBefore w:val="0"/>
        <w:kinsoku/>
        <w:wordWrap/>
        <w:topLinePunct w:val="0"/>
        <w:bidi w:val="0"/>
        <w:spacing w:line="500" w:lineRule="exact"/>
        <w:ind w:left="0" w:leftChars="0" w:firstLine="420" w:firstLineChars="200"/>
        <w:textAlignment w:val="baseline"/>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2.1主持人宣布投标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，投标</w:t>
      </w:r>
      <w:r>
        <w:rPr>
          <w:rFonts w:hint="eastAsia" w:ascii="仿宋" w:hAnsi="仿宋" w:eastAsia="仿宋" w:cs="仿宋"/>
          <w:color w:val="auto"/>
          <w:sz w:val="21"/>
          <w:szCs w:val="21"/>
          <w:highlight w:val="none"/>
          <w:lang w:eastAsia="zh-CN"/>
        </w:rPr>
        <w:t>截至时间</w:t>
      </w:r>
      <w:r>
        <w:rPr>
          <w:rFonts w:hint="eastAsia" w:ascii="仿宋" w:hAnsi="仿宋" w:eastAsia="仿宋" w:cs="仿宋"/>
          <w:color w:val="auto"/>
          <w:sz w:val="21"/>
          <w:szCs w:val="21"/>
          <w:highlight w:val="none"/>
        </w:rPr>
        <w:t>以北京时间为准。</w:t>
      </w:r>
    </w:p>
    <w:p w14:paraId="5B2CB10E">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bCs/>
          <w:color w:val="auto"/>
          <w:highlight w:val="none"/>
        </w:rPr>
      </w:pPr>
      <w:r>
        <w:rPr>
          <w:rFonts w:hint="eastAsia" w:ascii="仿宋" w:hAnsi="仿宋" w:eastAsia="仿宋" w:cs="仿宋"/>
          <w:b/>
          <w:bCs/>
          <w:color w:val="auto"/>
          <w:highlight w:val="none"/>
        </w:rPr>
        <w:t>2.2 电子投标开标及评审程序</w:t>
      </w:r>
    </w:p>
    <w:p w14:paraId="60DE9A7B">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bookmarkStart w:id="64" w:name="_Toc14145"/>
      <w:r>
        <w:rPr>
          <w:rFonts w:hint="eastAsia" w:ascii="仿宋" w:hAnsi="仿宋" w:eastAsia="仿宋" w:cs="仿宋"/>
          <w:color w:val="auto"/>
          <w:szCs w:val="21"/>
          <w:highlight w:val="none"/>
        </w:rPr>
        <w:t>1.采购代理机构通过政采云平台向各供应商发出电子加密响应文件【开始解密】通知，由供应商在30分钟内完成响应文件解密。在规定的时间内无法完成“电子加密响应文件”解密的，如已按规定递交了备份响应文件的，将由采购组织机构按“政府采购云平台”操作规范将备份响应文件上传至“政府采购云平台”，上传成功后，“电子加密响应文件”自动失效。</w:t>
      </w:r>
    </w:p>
    <w:p w14:paraId="334E7B38">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2.响应文件解密结束，组织供应商签署《政府采购活动现场确认声明书》（格式见第六章附件），声明书扫描件以邮件的形式发送至代理邮箱</w:t>
      </w:r>
      <w:r>
        <w:rPr>
          <w:rFonts w:hint="eastAsia" w:ascii="仿宋" w:hAnsi="仿宋" w:eastAsia="仿宋" w:cs="仿宋"/>
          <w:color w:val="auto"/>
          <w:szCs w:val="21"/>
          <w:highlight w:val="none"/>
          <w:lang w:eastAsia="zh-CN"/>
        </w:rPr>
        <w:t>。</w:t>
      </w:r>
    </w:p>
    <w:p w14:paraId="3E98D5BE">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3.评审小组对各供应商的资格文件进行评审，资格审查结果在政采云系统上公布。若资格审查不合格的，将告知原因并由供应商通过政采云系统签章确认。资格审查不合格的供应商，其商务技术文件及报价文件不进入评审阶段。</w:t>
      </w:r>
    </w:p>
    <w:p w14:paraId="36211E1B">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4.评审小组对各供应商的商务技术文件、报价文件进行评审，评审内容包括符合性审查，技术、商务评估及比较等。商务技术文件或报价文件符合性审查不通过的，将告知原因并由供应商通过政采云系统签章确认。</w:t>
      </w:r>
    </w:p>
    <w:p w14:paraId="65E392E0">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5.评审小组与各供应商就项目需求、技术人员安排、价格构成等要素分别进行一对一的磋商（采用在线询标方式），磋商轮次由评审小组视情况决定。磋商过程中，评审小组可以根据磋商情况实质性变动采购需求中的技术、商务条款以及合同条款，但不得变动磋商文件中的其他内容。实质性变动的内容，须经采购人代表确认。</w:t>
      </w:r>
    </w:p>
    <w:p w14:paraId="0F56F39D">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6.对磋商文件作出的实质性变动（如有）是磋商文件的有效组成部分，评审小组将以书面形式同时通知所有参加磋商的供应商。供应商应当按照磋商文件的变动情况和评审小组的要求重新提交响应文件，并由其法定代表人或授权代表签字或者加盖公章。由授权代表签字的，应当附法定代表人授权书。供应商为自然人的，应当由本人签字并附身份证明。</w:t>
      </w:r>
    </w:p>
    <w:p w14:paraId="13315B4B">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7.磋商结束后，</w:t>
      </w:r>
      <w:r>
        <w:rPr>
          <w:rFonts w:hint="eastAsia" w:ascii="仿宋" w:hAnsi="仿宋" w:eastAsia="仿宋" w:cs="仿宋"/>
          <w:color w:val="auto"/>
          <w:szCs w:val="21"/>
          <w:highlight w:val="none"/>
          <w:lang w:val="en-US" w:eastAsia="zh-CN"/>
        </w:rPr>
        <w:t>系统开启最后报价填报</w:t>
      </w:r>
      <w:r>
        <w:rPr>
          <w:rFonts w:hint="eastAsia" w:ascii="仿宋" w:hAnsi="仿宋" w:eastAsia="仿宋" w:cs="仿宋"/>
          <w:color w:val="auto"/>
          <w:szCs w:val="21"/>
          <w:highlight w:val="none"/>
        </w:rPr>
        <w:t>，各供应商在规定的时间内提交最后报价。规定时间内</w:t>
      </w:r>
      <w:r>
        <w:rPr>
          <w:rFonts w:hint="eastAsia" w:ascii="仿宋" w:hAnsi="仿宋" w:eastAsia="仿宋" w:cs="仿宋"/>
          <w:color w:val="auto"/>
          <w:szCs w:val="21"/>
          <w:highlight w:val="none"/>
          <w:lang w:eastAsia="zh-CN"/>
        </w:rPr>
        <w:t>未</w:t>
      </w:r>
      <w:r>
        <w:rPr>
          <w:rFonts w:hint="eastAsia" w:ascii="仿宋" w:hAnsi="仿宋" w:eastAsia="仿宋" w:cs="仿宋"/>
          <w:color w:val="auto"/>
          <w:szCs w:val="21"/>
          <w:highlight w:val="none"/>
        </w:rPr>
        <w:t>提交最后报价的供应商，视为自动放弃报价资格。</w:t>
      </w:r>
    </w:p>
    <w:p w14:paraId="10FD9BB4">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8.供应商在填报最后报价的同时</w:t>
      </w:r>
      <w:r>
        <w:rPr>
          <w:rFonts w:hint="eastAsia" w:ascii="仿宋" w:hAnsi="仿宋" w:eastAsia="仿宋" w:cs="仿宋"/>
          <w:color w:val="auto"/>
          <w:szCs w:val="21"/>
          <w:highlight w:val="none"/>
        </w:rPr>
        <w:t>评审小组对各供应商资信及商务、技术情况进行评分</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评分结束后</w:t>
      </w:r>
      <w:r>
        <w:rPr>
          <w:rFonts w:hint="eastAsia" w:ascii="仿宋" w:hAnsi="仿宋" w:eastAsia="仿宋" w:cs="仿宋"/>
          <w:color w:val="auto"/>
          <w:szCs w:val="21"/>
          <w:highlight w:val="none"/>
          <w:lang w:eastAsia="zh-CN"/>
        </w:rPr>
        <w:t>系统</w:t>
      </w:r>
      <w:r>
        <w:rPr>
          <w:rFonts w:hint="eastAsia" w:ascii="仿宋" w:hAnsi="仿宋" w:eastAsia="仿宋" w:cs="仿宋"/>
          <w:color w:val="auto"/>
          <w:szCs w:val="21"/>
          <w:highlight w:val="none"/>
        </w:rPr>
        <w:t>公布各供应商资信及商务技术评审结果，供应商如对资信、商务、技术评分结果有异议的，应当场提出</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相关异议（如有）将由评审小组作出澄清；</w:t>
      </w:r>
    </w:p>
    <w:p w14:paraId="420C2ED8">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9</w:t>
      </w:r>
      <w:r>
        <w:rPr>
          <w:rFonts w:hint="eastAsia" w:ascii="仿宋" w:hAnsi="仿宋" w:eastAsia="仿宋" w:cs="仿宋"/>
          <w:color w:val="auto"/>
          <w:szCs w:val="21"/>
          <w:highlight w:val="none"/>
        </w:rPr>
        <w:t>.采购组织机构协助完成</w:t>
      </w:r>
      <w:r>
        <w:rPr>
          <w:rFonts w:hint="eastAsia" w:ascii="仿宋" w:hAnsi="仿宋" w:eastAsia="仿宋" w:cs="仿宋"/>
          <w:color w:val="auto"/>
          <w:szCs w:val="21"/>
          <w:highlight w:val="none"/>
          <w:lang w:eastAsia="zh-CN"/>
        </w:rPr>
        <w:t>最后</w:t>
      </w:r>
      <w:r>
        <w:rPr>
          <w:rFonts w:hint="eastAsia" w:ascii="仿宋" w:hAnsi="仿宋" w:eastAsia="仿宋" w:cs="仿宋"/>
          <w:color w:val="auto"/>
          <w:szCs w:val="21"/>
          <w:highlight w:val="none"/>
        </w:rPr>
        <w:t>报价评分及综合得分计算（报评审小组确认），评审小组编写、签署评审报告，并按综合得分排名由高到低推荐</w:t>
      </w:r>
      <w:r>
        <w:rPr>
          <w:rFonts w:hint="eastAsia" w:ascii="仿宋" w:hAnsi="仿宋" w:eastAsia="仿宋" w:cs="仿宋"/>
          <w:color w:val="auto"/>
          <w:szCs w:val="21"/>
          <w:highlight w:val="none"/>
          <w:lang w:val="en-US" w:eastAsia="zh-CN"/>
        </w:rPr>
        <w:t>3名</w:t>
      </w:r>
      <w:r>
        <w:rPr>
          <w:rFonts w:hint="eastAsia" w:ascii="仿宋" w:hAnsi="仿宋" w:eastAsia="仿宋" w:cs="仿宋"/>
          <w:color w:val="auto"/>
          <w:szCs w:val="21"/>
          <w:highlight w:val="none"/>
        </w:rPr>
        <w:t>成交候选人；</w:t>
      </w:r>
    </w:p>
    <w:p w14:paraId="795D79D3">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系统</w:t>
      </w:r>
      <w:r>
        <w:rPr>
          <w:rFonts w:hint="eastAsia" w:ascii="仿宋" w:hAnsi="仿宋" w:eastAsia="仿宋" w:cs="仿宋"/>
          <w:color w:val="auto"/>
          <w:szCs w:val="21"/>
          <w:highlight w:val="none"/>
        </w:rPr>
        <w:t>公布最终评审结果</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会议结束。</w:t>
      </w:r>
    </w:p>
    <w:p w14:paraId="1C7F8403">
      <w:pPr>
        <w:pStyle w:val="9"/>
        <w:keepNext w:val="0"/>
        <w:keepLines w:val="0"/>
        <w:pageBreakBefore w:val="0"/>
        <w:kinsoku/>
        <w:wordWrap/>
        <w:topLinePunct w:val="0"/>
        <w:bidi w:val="0"/>
        <w:spacing w:line="500" w:lineRule="exact"/>
        <w:ind w:left="0" w:leftChars="0"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特别说明：如“政采云”系统对电子化开标及评审程序有调整的，按调整后的程序操作。</w:t>
      </w:r>
    </w:p>
    <w:p w14:paraId="32D12C0F">
      <w:pPr>
        <w:pStyle w:val="9"/>
        <w:keepNext w:val="0"/>
        <w:keepLines w:val="0"/>
        <w:pageBreakBefore w:val="0"/>
        <w:kinsoku/>
        <w:wordWrap/>
        <w:topLinePunct w:val="0"/>
        <w:bidi w:val="0"/>
        <w:spacing w:line="500" w:lineRule="exact"/>
        <w:ind w:left="0" w:leftChars="0"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注：本项目采用政采云电子招投标开标及评审程序，采购过程中出现以下情形，导致电子交易平台无法正常运行，或者无法保证电子交易的公平、公正和安全时，采购代理机构可中止电子交易活动：</w:t>
      </w:r>
    </w:p>
    <w:p w14:paraId="30183A3E">
      <w:pPr>
        <w:pStyle w:val="9"/>
        <w:keepNext w:val="0"/>
        <w:keepLines w:val="0"/>
        <w:pageBreakBefore w:val="0"/>
        <w:kinsoku/>
        <w:wordWrap/>
        <w:topLinePunct w:val="0"/>
        <w:bidi w:val="0"/>
        <w:spacing w:line="500" w:lineRule="exac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 xml:space="preserve">（一）电子交易平台发生故障而无法登录访问的； </w:t>
      </w:r>
    </w:p>
    <w:p w14:paraId="7253F0D8">
      <w:pPr>
        <w:pStyle w:val="9"/>
        <w:keepNext w:val="0"/>
        <w:keepLines w:val="0"/>
        <w:pageBreakBefore w:val="0"/>
        <w:kinsoku/>
        <w:wordWrap/>
        <w:topLinePunct w:val="0"/>
        <w:bidi w:val="0"/>
        <w:spacing w:line="500" w:lineRule="exac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（二）电子交易平台应用或数据库出现错误，不能进行正常操作的；</w:t>
      </w:r>
    </w:p>
    <w:p w14:paraId="7F80B930">
      <w:pPr>
        <w:pStyle w:val="9"/>
        <w:keepNext w:val="0"/>
        <w:keepLines w:val="0"/>
        <w:pageBreakBefore w:val="0"/>
        <w:kinsoku/>
        <w:wordWrap/>
        <w:topLinePunct w:val="0"/>
        <w:bidi w:val="0"/>
        <w:spacing w:line="500" w:lineRule="exac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（三）电子交易平台发现严重安全漏洞，有潜在泄密危险的；</w:t>
      </w:r>
    </w:p>
    <w:p w14:paraId="34DB49FC">
      <w:pPr>
        <w:pStyle w:val="9"/>
        <w:keepNext w:val="0"/>
        <w:keepLines w:val="0"/>
        <w:pageBreakBefore w:val="0"/>
        <w:kinsoku/>
        <w:wordWrap/>
        <w:topLinePunct w:val="0"/>
        <w:bidi w:val="0"/>
        <w:spacing w:line="500" w:lineRule="exac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（四）病毒发作导致不能进行正常操作的；</w:t>
      </w:r>
    </w:p>
    <w:p w14:paraId="0163308A">
      <w:pPr>
        <w:pStyle w:val="9"/>
        <w:keepNext w:val="0"/>
        <w:keepLines w:val="0"/>
        <w:pageBreakBefore w:val="0"/>
        <w:kinsoku/>
        <w:wordWrap/>
        <w:topLinePunct w:val="0"/>
        <w:bidi w:val="0"/>
        <w:spacing w:line="500" w:lineRule="exact"/>
        <w:ind w:left="0" w:leftChars="0" w:firstLine="420" w:firstLineChars="20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（五）其他无法保证电子交易的公平、公正和安全的情况。</w:t>
      </w:r>
    </w:p>
    <w:p w14:paraId="244A37C4">
      <w:pPr>
        <w:pStyle w:val="9"/>
        <w:keepNext w:val="0"/>
        <w:keepLines w:val="0"/>
        <w:pageBreakBefore w:val="0"/>
        <w:kinsoku/>
        <w:wordWrap/>
        <w:topLinePunct w:val="0"/>
        <w:bidi w:val="0"/>
        <w:spacing w:line="500" w:lineRule="exact"/>
        <w:ind w:left="0" w:leftChars="0" w:firstLine="422" w:firstLineChars="200"/>
        <w:rPr>
          <w:rFonts w:hint="eastAsia" w:ascii="仿宋" w:hAnsi="仿宋" w:eastAsia="仿宋" w:cs="仿宋"/>
          <w:b/>
          <w:bCs/>
          <w:color w:val="auto"/>
          <w:sz w:val="21"/>
          <w:szCs w:val="21"/>
          <w:highlight w:val="none"/>
        </w:rPr>
      </w:pPr>
      <w:r>
        <w:rPr>
          <w:rFonts w:hint="eastAsia" w:ascii="仿宋" w:hAnsi="仿宋" w:eastAsia="仿宋" w:cs="仿宋"/>
          <w:b/>
          <w:bCs/>
          <w:color w:val="auto"/>
          <w:sz w:val="21"/>
          <w:szCs w:val="21"/>
          <w:highlight w:val="none"/>
        </w:rPr>
        <w:t>出现前款规定情形，不影响采购公平、公正性的，采购代理机构可以待上述情形消除后继续组织电子交易活动。</w:t>
      </w:r>
    </w:p>
    <w:p w14:paraId="480AB8CE">
      <w:pPr>
        <w:pStyle w:val="4"/>
        <w:keepLines/>
        <w:widowControl w:val="0"/>
        <w:numPr>
          <w:ilvl w:val="2"/>
          <w:numId w:val="0"/>
        </w:numPr>
        <w:spacing w:before="156" w:after="156"/>
        <w:jc w:val="center"/>
        <w:textAlignment w:val="baseline"/>
        <w:rPr>
          <w:rFonts w:hint="eastAsia" w:ascii="仿宋" w:hAnsi="仿宋" w:eastAsia="仿宋" w:cs="仿宋"/>
          <w:b/>
          <w:bCs/>
          <w:color w:val="auto"/>
          <w:kern w:val="2"/>
          <w:sz w:val="32"/>
          <w:szCs w:val="32"/>
          <w:highlight w:val="none"/>
        </w:rPr>
      </w:pPr>
      <w:r>
        <w:rPr>
          <w:rFonts w:hint="eastAsia" w:ascii="仿宋" w:hAnsi="仿宋" w:eastAsia="仿宋" w:cs="仿宋"/>
          <w:b/>
          <w:bCs/>
          <w:color w:val="auto"/>
          <w:kern w:val="2"/>
          <w:sz w:val="32"/>
          <w:szCs w:val="32"/>
          <w:highlight w:val="none"/>
        </w:rPr>
        <w:t>六、评标</w:t>
      </w:r>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4"/>
    </w:p>
    <w:p w14:paraId="7D56B517">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1</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组建磋商小组</w:t>
      </w:r>
    </w:p>
    <w:p w14:paraId="161CFC9C">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highlight w:val="none"/>
        </w:rPr>
      </w:pPr>
      <w:r>
        <w:rPr>
          <w:rFonts w:hint="eastAsia" w:ascii="仿宋" w:hAnsi="仿宋" w:eastAsia="仿宋" w:cs="仿宋"/>
          <w:b w:val="0"/>
          <w:bCs/>
          <w:color w:val="auto"/>
          <w:highlight w:val="none"/>
          <w:lang w:eastAsia="zh-CN"/>
        </w:rPr>
        <w:t>评审小组</w:t>
      </w:r>
      <w:r>
        <w:rPr>
          <w:rFonts w:hint="eastAsia" w:ascii="仿宋" w:hAnsi="仿宋" w:eastAsia="仿宋" w:cs="仿宋"/>
          <w:b w:val="0"/>
          <w:bCs/>
          <w:color w:val="auto"/>
          <w:highlight w:val="none"/>
        </w:rPr>
        <w:t>由采购人代表1名及2名技术、经济等方面的评审专家组成。</w:t>
      </w:r>
    </w:p>
    <w:p w14:paraId="53DDFA23">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highlight w:val="none"/>
          <w:lang w:val="zh-CN"/>
        </w:rPr>
      </w:pPr>
      <w:r>
        <w:rPr>
          <w:rFonts w:hint="eastAsia" w:ascii="仿宋" w:hAnsi="仿宋" w:eastAsia="仿宋" w:cs="仿宋"/>
          <w:b w:val="0"/>
          <w:bCs/>
          <w:color w:val="auto"/>
          <w:highlight w:val="none"/>
          <w:lang w:val="zh-CN"/>
        </w:rPr>
        <w:t>评审专家确定方式：按政府采购相关规定从专家库中随机抽取。</w:t>
      </w:r>
    </w:p>
    <w:p w14:paraId="7C6757CA">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2</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评标的方式</w:t>
      </w:r>
    </w:p>
    <w:p w14:paraId="7124575E">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本项目采用不公开方式评标，评标的依据为磋商文件和响应文件。</w:t>
      </w:r>
    </w:p>
    <w:p w14:paraId="19F26B67">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bCs/>
          <w:color w:val="auto"/>
          <w:highlight w:val="none"/>
        </w:rPr>
        <w:t>3</w:t>
      </w:r>
      <w:r>
        <w:rPr>
          <w:rFonts w:hint="eastAsia" w:ascii="仿宋" w:hAnsi="仿宋" w:eastAsia="仿宋" w:cs="仿宋"/>
          <w:b/>
          <w:bCs/>
          <w:color w:val="auto"/>
          <w:highlight w:val="none"/>
          <w:lang w:val="en-US" w:eastAsia="zh-CN"/>
        </w:rPr>
        <w:t>.</w:t>
      </w:r>
      <w:r>
        <w:rPr>
          <w:rFonts w:hint="eastAsia" w:ascii="仿宋" w:hAnsi="仿宋" w:eastAsia="仿宋" w:cs="仿宋"/>
          <w:b/>
          <w:bCs/>
          <w:color w:val="auto"/>
          <w:highlight w:val="none"/>
        </w:rPr>
        <w:t>评标程序</w:t>
      </w:r>
    </w:p>
    <w:p w14:paraId="383F8113">
      <w:pPr>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3.1形式审查</w:t>
      </w:r>
    </w:p>
    <w:p w14:paraId="594A5035">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color w:val="auto"/>
          <w:szCs w:val="21"/>
          <w:highlight w:val="none"/>
        </w:rPr>
        <w:t>采购人代表和代理机构工作人员协助磋商小组对磋商供应商的响应文件的完整性、合法性等进行审查。</w:t>
      </w:r>
    </w:p>
    <w:p w14:paraId="5B8CB31B">
      <w:pPr>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3.2实质审查与比较</w:t>
      </w:r>
    </w:p>
    <w:p w14:paraId="118441D1">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（1）评审小组按磋商文件中规定的评审方法和标准，对符合性审查合格的响应文件进行商务和技术评估；综合比较与评价。</w:t>
      </w:r>
    </w:p>
    <w:p w14:paraId="3076A6EE">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2）评审小组根据供应商的响应文件进行审查、评判，如有疑问，将对供应商进行询标，供应商需向评审小组澄清有关问题,并最终以书面形式进行答复。供应商代表拒绝澄清或者澄清的内容改变了响应文件的实质性内容的，评审小组有权对该响应文件作出不利于供应商的评判。</w:t>
      </w:r>
    </w:p>
    <w:p w14:paraId="58252C01">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（3）各供应商的资信技术得分为所有评委的有效评分的算术平均值，由评审小组指定专人进行计算复核。</w:t>
      </w:r>
    </w:p>
    <w:p w14:paraId="33C87483">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（4）评审小组根据本项目的评审标准计算各供应商的报价得分。</w:t>
      </w:r>
    </w:p>
    <w:p w14:paraId="39786AED">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szCs w:val="21"/>
          <w:highlight w:val="none"/>
        </w:rPr>
      </w:pPr>
      <w:r>
        <w:rPr>
          <w:rFonts w:hint="eastAsia" w:ascii="仿宋" w:hAnsi="仿宋" w:eastAsia="仿宋" w:cs="仿宋"/>
          <w:b w:val="0"/>
          <w:bCs/>
          <w:color w:val="auto"/>
          <w:szCs w:val="21"/>
          <w:highlight w:val="none"/>
        </w:rPr>
        <w:t>（5）评审小组完成评审后，评委对各部分得分汇总，计算出各供应商综合得分。评审小组按评审方法起草评审报告并推荐成交供应商。</w:t>
      </w:r>
    </w:p>
    <w:p w14:paraId="37C34E02">
      <w:pPr>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4</w:t>
      </w:r>
      <w:r>
        <w:rPr>
          <w:rFonts w:hint="eastAsia" w:ascii="仿宋" w:hAnsi="仿宋" w:eastAsia="仿宋" w:cs="仿宋"/>
          <w:b/>
          <w:color w:val="auto"/>
          <w:szCs w:val="21"/>
          <w:highlight w:val="none"/>
          <w:lang w:val="en-US" w:eastAsia="zh-CN"/>
        </w:rPr>
        <w:t>.</w:t>
      </w:r>
      <w:r>
        <w:rPr>
          <w:rFonts w:hint="eastAsia" w:ascii="仿宋" w:hAnsi="仿宋" w:eastAsia="仿宋" w:cs="仿宋"/>
          <w:b/>
          <w:color w:val="auto"/>
          <w:szCs w:val="21"/>
          <w:highlight w:val="none"/>
        </w:rPr>
        <w:t>澄清问题的形式</w:t>
      </w:r>
    </w:p>
    <w:p w14:paraId="6A4C43C4">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 w:val="0"/>
          <w:bCs/>
          <w:color w:val="auto"/>
          <w:highlight w:val="none"/>
        </w:rPr>
      </w:pPr>
      <w:r>
        <w:rPr>
          <w:rFonts w:hint="eastAsia" w:ascii="仿宋" w:hAnsi="仿宋" w:eastAsia="仿宋" w:cs="仿宋"/>
          <w:b w:val="0"/>
          <w:bCs/>
          <w:color w:val="auto"/>
          <w:highlight w:val="none"/>
        </w:rPr>
        <w:t>对响应文件中含义不明确、同类问题表述不一致或者有明显文字和计算错误的内容，评审小组可要求供应商作出必要的澄清、说明或者更正。供应商的澄清、说明或者更正应当采用书面形式，由其授权代表签字或盖章确认（或CA签章），并不得超出响应文件的范围或者改变响应文件的实质性内容。</w:t>
      </w:r>
    </w:p>
    <w:p w14:paraId="3CC46390">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5</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错误修正</w:t>
      </w:r>
    </w:p>
    <w:p w14:paraId="2EE45004">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响应文件如果出现计算或表达上的错误，修正错误的原则如下：</w:t>
      </w:r>
    </w:p>
    <w:p w14:paraId="46D16291">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(1)响应文件中报价一览表内容与响应文件中相关内容不一致的，以报价一览表为准；</w:t>
      </w:r>
    </w:p>
    <w:p w14:paraId="3971DFBC">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(2)大写金额和小写金额不一致的，以大写金额为准；</w:t>
      </w:r>
    </w:p>
    <w:p w14:paraId="69301806">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(3)单价金额小数点或者百分比有明显错位的，以报价一览表的总价为准，并修改单价；</w:t>
      </w:r>
    </w:p>
    <w:p w14:paraId="4A5DE9F9">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(4)总价金额与按单价汇总金额不一致的，以单价金额计算结果为准。</w:t>
      </w:r>
    </w:p>
    <w:p w14:paraId="4F890F41">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同时出现两种以上不一致的，按照前款规定的顺序修正。修正后的报价经供应商确认后产生约束力，供应商不确认的，按无效响应处理。</w:t>
      </w:r>
    </w:p>
    <w:p w14:paraId="32CE35AF">
      <w:pPr>
        <w:pStyle w:val="17"/>
        <w:keepNext w:val="0"/>
        <w:keepLines w:val="0"/>
        <w:pageBreakBefore w:val="0"/>
        <w:tabs>
          <w:tab w:val="left" w:pos="630"/>
        </w:tabs>
        <w:kinsoku/>
        <w:wordWrap/>
        <w:topLinePunct w:val="0"/>
        <w:bidi w:val="0"/>
        <w:snapToGrid w:val="0"/>
        <w:spacing w:line="500" w:lineRule="exact"/>
        <w:ind w:left="0" w:leftChars="0" w:firstLine="420" w:firstLineChars="200"/>
        <w:rPr>
          <w:rFonts w:hint="eastAsia" w:ascii="仿宋" w:hAnsi="仿宋" w:eastAsia="仿宋" w:cs="仿宋"/>
          <w:b w:val="0"/>
          <w:bCs w:val="0"/>
          <w:color w:val="auto"/>
          <w:highlight w:val="none"/>
        </w:rPr>
      </w:pPr>
      <w:r>
        <w:rPr>
          <w:rFonts w:hint="eastAsia" w:ascii="仿宋" w:hAnsi="仿宋" w:eastAsia="仿宋" w:cs="仿宋"/>
          <w:b w:val="0"/>
          <w:bCs w:val="0"/>
          <w:color w:val="auto"/>
          <w:highlight w:val="none"/>
        </w:rPr>
        <w:t>（5）政采云系统中填报的电子数据（例如政采云系统中填报的“开标一览表”内容）与电子加密响应文件相应内容不一致的，以电子加密响应文件内容为准，但相关法律法规或管理办法有明确规定的，从其规定。</w:t>
      </w:r>
    </w:p>
    <w:p w14:paraId="550A5E1D">
      <w:pPr>
        <w:pStyle w:val="17"/>
        <w:keepNext w:val="0"/>
        <w:keepLines w:val="0"/>
        <w:pageBreakBefore w:val="0"/>
        <w:tabs>
          <w:tab w:val="left" w:pos="630"/>
        </w:tabs>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6</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评标原则和评标办法</w:t>
      </w:r>
    </w:p>
    <w:p w14:paraId="5F00B28D">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6.1评标原则。磋商小组必须公平、公正、客观，不带任何倾向性和启发性；不得向外界透露任何与评标有关的内容；任何单位和个人不得干扰、影响评标的正常进行；磋商小组及有关工作人员不得私下与磋商供应商接触。</w:t>
      </w:r>
    </w:p>
    <w:p w14:paraId="5A457BF4">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6.2评标办法。本项目评标办法是综合评分法，具体评标内容及评分标准等详见《第五章：评标原则及方法》。</w:t>
      </w:r>
    </w:p>
    <w:p w14:paraId="7F9AA7C8">
      <w:pPr>
        <w:pStyle w:val="17"/>
        <w:keepNext w:val="0"/>
        <w:keepLines w:val="0"/>
        <w:pageBreakBefore w:val="0"/>
        <w:tabs>
          <w:tab w:val="left" w:pos="630"/>
        </w:tabs>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7</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无效标条款</w:t>
      </w:r>
    </w:p>
    <w:p w14:paraId="5E9A96E6">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7.1开标时，如出现以下情况之一的，则响应文件不予启封或唱标，即使已启封或唱标的，其响应文件仍然无效：</w:t>
      </w:r>
    </w:p>
    <w:p w14:paraId="6D14679F">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（一）响应文件未按磋商文件要求签署、盖章的；</w:t>
      </w:r>
    </w:p>
    <w:p w14:paraId="42609C88">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（二）不具备磋商文件中规定的资格要求的；</w:t>
      </w:r>
    </w:p>
    <w:p w14:paraId="655EE8DE">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（三）报价超过磋商文件中规定的预算金额或者最高限价的；</w:t>
      </w:r>
    </w:p>
    <w:p w14:paraId="7CB2A13E">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（四）响应文件含有采购人不能接受的附加条件的;</w:t>
      </w:r>
    </w:p>
    <w:p w14:paraId="221BC42F">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bCs/>
          <w:color w:val="auto"/>
          <w:szCs w:val="21"/>
          <w:highlight w:val="none"/>
        </w:rPr>
        <w:t>（五）</w:t>
      </w:r>
      <w:r>
        <w:rPr>
          <w:rFonts w:hint="eastAsia" w:ascii="仿宋" w:hAnsi="仿宋" w:eastAsia="仿宋" w:cs="仿宋"/>
          <w:color w:val="auto"/>
          <w:szCs w:val="21"/>
          <w:highlight w:val="none"/>
        </w:rPr>
        <w:t>竞争性磋商文件标注“▲”的条款发生实质性负偏离的；</w:t>
      </w:r>
    </w:p>
    <w:p w14:paraId="08FAD941">
      <w:pPr>
        <w:snapToGrid w:val="0"/>
        <w:spacing w:line="500" w:lineRule="exact"/>
        <w:ind w:firstLine="422" w:firstLineChars="200"/>
        <w:rPr>
          <w:rFonts w:hint="eastAsia" w:ascii="仿宋" w:hAnsi="仿宋" w:eastAsia="仿宋" w:cs="仿宋"/>
          <w:b/>
          <w:bCs w:val="0"/>
          <w:color w:val="auto"/>
          <w:szCs w:val="21"/>
          <w:highlight w:val="none"/>
          <w:lang w:eastAsia="zh-CN"/>
        </w:rPr>
      </w:pPr>
      <w:r>
        <w:rPr>
          <w:rFonts w:hint="eastAsia" w:ascii="仿宋" w:hAnsi="仿宋" w:eastAsia="仿宋" w:cs="仿宋"/>
          <w:b/>
          <w:bCs w:val="0"/>
          <w:color w:val="auto"/>
          <w:szCs w:val="21"/>
          <w:highlight w:val="none"/>
          <w:lang w:eastAsia="zh-CN"/>
        </w:rPr>
        <w:t>（</w:t>
      </w:r>
      <w:r>
        <w:rPr>
          <w:rFonts w:hint="eastAsia" w:ascii="仿宋" w:hAnsi="仿宋" w:eastAsia="仿宋" w:cs="仿宋"/>
          <w:b/>
          <w:bCs w:val="0"/>
          <w:color w:val="auto"/>
          <w:szCs w:val="21"/>
          <w:highlight w:val="none"/>
          <w:lang w:val="en-US" w:eastAsia="zh-CN"/>
        </w:rPr>
        <w:t>六</w:t>
      </w:r>
      <w:r>
        <w:rPr>
          <w:rFonts w:hint="eastAsia" w:ascii="仿宋" w:hAnsi="仿宋" w:eastAsia="仿宋" w:cs="仿宋"/>
          <w:b/>
          <w:bCs w:val="0"/>
          <w:color w:val="auto"/>
          <w:szCs w:val="21"/>
          <w:highlight w:val="none"/>
          <w:lang w:eastAsia="zh-CN"/>
        </w:rPr>
        <w:t>）为防止供应商串通投标，采购文件中明确规定参与同一标项的供应商存在以下情形的，投标无效:MAC地址相同；计算机硬盘序列号相同；投标文件细节错误一致且无合理解释的；</w:t>
      </w:r>
    </w:p>
    <w:p w14:paraId="3A5A35D6">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七</w:t>
      </w:r>
      <w:r>
        <w:rPr>
          <w:rFonts w:hint="eastAsia" w:ascii="仿宋" w:hAnsi="仿宋" w:eastAsia="仿宋" w:cs="仿宋"/>
          <w:color w:val="auto"/>
          <w:szCs w:val="21"/>
          <w:highlight w:val="none"/>
        </w:rPr>
        <w:t>）</w:t>
      </w:r>
      <w:r>
        <w:rPr>
          <w:rFonts w:hint="eastAsia" w:ascii="仿宋" w:hAnsi="仿宋" w:eastAsia="仿宋" w:cs="仿宋"/>
          <w:bCs/>
          <w:color w:val="auto"/>
          <w:szCs w:val="21"/>
          <w:highlight w:val="none"/>
        </w:rPr>
        <w:t>法律、法规和磋商文件规定的其他无效情形。</w:t>
      </w:r>
    </w:p>
    <w:p w14:paraId="3A92EF7F">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7.2有下列情形之一的，视为磋商供应商串通投标，其投标无效：</w:t>
      </w:r>
    </w:p>
    <w:p w14:paraId="27FAE028">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（一）不同磋商供应商的响应文件由同一单位或者个人编制；</w:t>
      </w:r>
    </w:p>
    <w:p w14:paraId="3A08E58E">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（二）不同磋商供应商委托同一单位或者个人办理投标事宜；</w:t>
      </w:r>
    </w:p>
    <w:p w14:paraId="515E04EC">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（三）不同磋商供应商的响应文件载明的项目管理成员或者联系人员为同一人；</w:t>
      </w:r>
    </w:p>
    <w:p w14:paraId="403BD4C5">
      <w:pPr>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（四）不同磋商供应商的响应文件异常一致或者投标报价呈规律性差异；</w:t>
      </w:r>
    </w:p>
    <w:p w14:paraId="05FD343C">
      <w:pPr>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7.3磋商小组认为磋商供应商的报价明显低于其他通过符合性审查磋商供应商的报价，有可能影响产品质量或者不能诚信履约的，应当要求其在评标现场合理的时间内提供书面说明，必要时提交相关证明材料；磋商供应商不能证明其报价合理性的，磋商小组应当将其作为无效投标处理。</w:t>
      </w:r>
    </w:p>
    <w:p w14:paraId="5913F4CD">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rPr>
        <w:t>8</w:t>
      </w:r>
      <w:r>
        <w:rPr>
          <w:rFonts w:hint="eastAsia" w:ascii="仿宋" w:hAnsi="仿宋" w:eastAsia="仿宋" w:cs="仿宋"/>
          <w:b/>
          <w:color w:val="auto"/>
          <w:highlight w:val="none"/>
          <w:lang w:val="en-US" w:eastAsia="zh-CN"/>
        </w:rPr>
        <w:t>.</w:t>
      </w:r>
      <w:r>
        <w:rPr>
          <w:rFonts w:hint="eastAsia" w:ascii="仿宋" w:hAnsi="仿宋" w:eastAsia="仿宋" w:cs="仿宋"/>
          <w:b/>
          <w:color w:val="auto"/>
          <w:highlight w:val="none"/>
        </w:rPr>
        <w:t>终止竞争性磋商采购活动的情形</w:t>
      </w:r>
    </w:p>
    <w:p w14:paraId="47B14FC2">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highlight w:val="none"/>
        </w:rPr>
      </w:pPr>
      <w:r>
        <w:rPr>
          <w:rFonts w:hint="eastAsia" w:ascii="仿宋" w:hAnsi="仿宋" w:eastAsia="仿宋" w:cs="仿宋"/>
          <w:bCs/>
          <w:color w:val="auto"/>
          <w:highlight w:val="none"/>
        </w:rPr>
        <w:t>8.1出现下列情形之一的，采购人或采购代理机构应当终止竞争性磋商采购活动，发布项目终止公告并说明原因，重新开展采购活动：</w:t>
      </w:r>
    </w:p>
    <w:p w14:paraId="592C3A76">
      <w:pPr>
        <w:pStyle w:val="17"/>
        <w:keepNext w:val="0"/>
        <w:keepLines w:val="0"/>
        <w:pageBreakBefore w:val="0"/>
        <w:numPr>
          <w:ilvl w:val="0"/>
          <w:numId w:val="6"/>
        </w:numPr>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highlight w:val="none"/>
        </w:rPr>
      </w:pPr>
      <w:r>
        <w:rPr>
          <w:rFonts w:hint="eastAsia" w:ascii="仿宋" w:hAnsi="仿宋" w:eastAsia="仿宋" w:cs="仿宋"/>
          <w:bCs/>
          <w:color w:val="auto"/>
          <w:highlight w:val="none"/>
        </w:rPr>
        <w:t>因情况变化，不再符合规定的竞争性磋商采购方式适用情形的；</w:t>
      </w:r>
    </w:p>
    <w:p w14:paraId="1C83CF3B">
      <w:pPr>
        <w:pStyle w:val="17"/>
        <w:keepNext w:val="0"/>
        <w:keepLines w:val="0"/>
        <w:pageBreakBefore w:val="0"/>
        <w:numPr>
          <w:ilvl w:val="0"/>
          <w:numId w:val="6"/>
        </w:numPr>
        <w:kinsoku/>
        <w:wordWrap/>
        <w:topLinePunct w:val="0"/>
        <w:bidi w:val="0"/>
        <w:snapToGrid w:val="0"/>
        <w:spacing w:line="500" w:lineRule="exact"/>
        <w:ind w:left="0" w:leftChars="0" w:firstLine="420" w:firstLineChars="200"/>
        <w:textAlignment w:val="baseline"/>
        <w:rPr>
          <w:rFonts w:hint="eastAsia" w:ascii="仿宋" w:hAnsi="仿宋" w:eastAsia="仿宋" w:cs="仿宋"/>
          <w:bCs/>
          <w:color w:val="auto"/>
          <w:highlight w:val="none"/>
        </w:rPr>
      </w:pPr>
      <w:r>
        <w:rPr>
          <w:rFonts w:hint="eastAsia" w:ascii="仿宋" w:hAnsi="仿宋" w:eastAsia="仿宋" w:cs="仿宋"/>
          <w:bCs/>
          <w:color w:val="auto"/>
          <w:highlight w:val="none"/>
        </w:rPr>
        <w:t>出现影响采购公正的违法、违规行为的；</w:t>
      </w:r>
    </w:p>
    <w:p w14:paraId="23FEBE2E">
      <w:pPr>
        <w:pStyle w:val="17"/>
        <w:keepNext w:val="0"/>
        <w:keepLines w:val="0"/>
        <w:pageBreakBefore w:val="0"/>
        <w:numPr>
          <w:ilvl w:val="0"/>
          <w:numId w:val="0"/>
        </w:numPr>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9.</w:t>
      </w:r>
      <w:r>
        <w:rPr>
          <w:rFonts w:hint="eastAsia" w:ascii="仿宋" w:hAnsi="仿宋" w:eastAsia="仿宋" w:cs="仿宋"/>
          <w:b/>
          <w:color w:val="auto"/>
          <w:highlight w:val="none"/>
        </w:rPr>
        <w:t>根据《财政部关于政府采购竞争性磋商采购方式管理暂行办法有关问题的补充通知》（财库【2015】124号）采用竞争性磋商采购方式的政府购买服务项目在采购过程中符合要求的供应商只有2家的，竞争性磋商采购活动可以继续进行。采购过程中符合要求的供应商只有1家的，采购人终止竞争性磋商采购活动。</w:t>
      </w:r>
    </w:p>
    <w:p w14:paraId="5D4710F3">
      <w:pPr>
        <w:pStyle w:val="17"/>
        <w:keepNext w:val="0"/>
        <w:keepLines w:val="0"/>
        <w:pageBreakBefore w:val="0"/>
        <w:kinsoku/>
        <w:wordWrap/>
        <w:topLinePunct w:val="0"/>
        <w:bidi w:val="0"/>
        <w:snapToGrid w:val="0"/>
        <w:spacing w:line="500" w:lineRule="exact"/>
        <w:ind w:left="0" w:leftChars="0" w:firstLine="422" w:firstLineChars="200"/>
        <w:textAlignment w:val="baseline"/>
        <w:rPr>
          <w:rFonts w:hint="eastAsia" w:ascii="仿宋" w:hAnsi="仿宋" w:eastAsia="仿宋" w:cs="仿宋"/>
          <w:b/>
          <w:color w:val="auto"/>
          <w:highlight w:val="none"/>
        </w:rPr>
      </w:pPr>
      <w:r>
        <w:rPr>
          <w:rFonts w:hint="eastAsia" w:ascii="仿宋" w:hAnsi="仿宋" w:eastAsia="仿宋" w:cs="仿宋"/>
          <w:b/>
          <w:color w:val="auto"/>
          <w:highlight w:val="none"/>
          <w:lang w:val="en-US" w:eastAsia="zh-CN"/>
        </w:rPr>
        <w:t>10.</w:t>
      </w:r>
      <w:r>
        <w:rPr>
          <w:rFonts w:hint="eastAsia" w:ascii="仿宋" w:hAnsi="仿宋" w:eastAsia="仿宋" w:cs="仿宋"/>
          <w:b/>
          <w:color w:val="auto"/>
          <w:highlight w:val="none"/>
        </w:rPr>
        <w:t>评标过程的监控</w:t>
      </w:r>
    </w:p>
    <w:p w14:paraId="25FEB208">
      <w:pPr>
        <w:pStyle w:val="17"/>
        <w:keepNext w:val="0"/>
        <w:keepLines w:val="0"/>
        <w:pageBreakBefore w:val="0"/>
        <w:kinsoku/>
        <w:wordWrap/>
        <w:topLinePunct w:val="0"/>
        <w:bidi w:val="0"/>
        <w:snapToGrid w:val="0"/>
        <w:spacing w:line="500" w:lineRule="exact"/>
        <w:ind w:left="0" w:leftChars="0" w:firstLine="420" w:firstLineChars="200"/>
        <w:textAlignment w:val="baseline"/>
        <w:rPr>
          <w:rFonts w:hint="eastAsia" w:ascii="仿宋" w:hAnsi="仿宋" w:eastAsia="仿宋" w:cs="仿宋"/>
          <w:color w:val="auto"/>
          <w:highlight w:val="none"/>
        </w:rPr>
      </w:pPr>
      <w:r>
        <w:rPr>
          <w:rFonts w:hint="eastAsia" w:ascii="仿宋" w:hAnsi="仿宋" w:eastAsia="仿宋" w:cs="仿宋"/>
          <w:color w:val="auto"/>
          <w:highlight w:val="none"/>
        </w:rPr>
        <w:t>本项目评标过程实行全程录音、录像监控，磋商供应商在评标过程中所进行的试图影响评标结果的不公正活动，可能导致其投标被拒绝。</w:t>
      </w:r>
    </w:p>
    <w:p w14:paraId="67E66D8A">
      <w:pPr>
        <w:pStyle w:val="4"/>
        <w:numPr>
          <w:ilvl w:val="0"/>
          <w:numId w:val="0"/>
        </w:numPr>
        <w:spacing w:before="156" w:after="156"/>
        <w:jc w:val="center"/>
        <w:textAlignment w:val="baseline"/>
        <w:rPr>
          <w:rFonts w:hint="eastAsia" w:ascii="仿宋" w:hAnsi="仿宋" w:eastAsia="仿宋" w:cs="仿宋"/>
          <w:b/>
          <w:bCs/>
          <w:color w:val="auto"/>
          <w:sz w:val="32"/>
          <w:szCs w:val="32"/>
          <w:highlight w:val="none"/>
        </w:rPr>
      </w:pPr>
      <w:bookmarkStart w:id="65" w:name="_Toc21143"/>
      <w:r>
        <w:rPr>
          <w:rFonts w:hint="eastAsia" w:ascii="仿宋" w:hAnsi="仿宋" w:eastAsia="仿宋" w:cs="仿宋"/>
          <w:b/>
          <w:bCs/>
          <w:color w:val="auto"/>
          <w:sz w:val="32"/>
          <w:szCs w:val="32"/>
          <w:highlight w:val="none"/>
        </w:rPr>
        <w:t>七、定标</w:t>
      </w:r>
      <w:bookmarkEnd w:id="65"/>
    </w:p>
    <w:p w14:paraId="3B1BEC07">
      <w:pPr>
        <w:pStyle w:val="17"/>
        <w:keepNext w:val="0"/>
        <w:keepLines w:val="0"/>
        <w:pageBreakBefore w:val="0"/>
        <w:kinsoku/>
        <w:wordWrap/>
        <w:topLinePunct w:val="0"/>
        <w:bidi w:val="0"/>
        <w:snapToGrid w:val="0"/>
        <w:spacing w:line="500" w:lineRule="exact"/>
        <w:ind w:firstLine="422" w:firstLineChars="200"/>
        <w:textAlignment w:val="baseline"/>
        <w:rPr>
          <w:rFonts w:hint="eastAsia" w:ascii="仿宋" w:hAnsi="仿宋" w:eastAsia="仿宋" w:cs="仿宋"/>
          <w:b/>
          <w:bCs/>
          <w:color w:val="auto"/>
          <w:highlight w:val="none"/>
        </w:rPr>
      </w:pPr>
      <w:r>
        <w:rPr>
          <w:rFonts w:hint="eastAsia" w:ascii="仿宋" w:hAnsi="仿宋" w:eastAsia="仿宋" w:cs="仿宋"/>
          <w:b/>
          <w:bCs/>
          <w:color w:val="auto"/>
          <w:highlight w:val="none"/>
        </w:rPr>
        <w:t>1</w:t>
      </w:r>
      <w:r>
        <w:rPr>
          <w:rFonts w:hint="eastAsia" w:ascii="仿宋" w:hAnsi="仿宋" w:eastAsia="仿宋" w:cs="仿宋"/>
          <w:b/>
          <w:bCs/>
          <w:color w:val="auto"/>
          <w:highlight w:val="none"/>
          <w:lang w:val="en-US" w:eastAsia="zh-CN"/>
        </w:rPr>
        <w:t>.</w:t>
      </w:r>
      <w:r>
        <w:rPr>
          <w:rFonts w:hint="eastAsia" w:ascii="仿宋" w:hAnsi="仿宋" w:eastAsia="仿宋" w:cs="仿宋"/>
          <w:b/>
          <w:bCs/>
          <w:color w:val="auto"/>
          <w:highlight w:val="none"/>
        </w:rPr>
        <w:t>确定中标单位</w:t>
      </w:r>
    </w:p>
    <w:p w14:paraId="72A229C1">
      <w:pPr>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1.1采购代理机构在评标结束后2个工作日内将评标报告交采购人确认。</w:t>
      </w:r>
    </w:p>
    <w:p w14:paraId="036B9076">
      <w:pPr>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1.2磋商供应商对评标结果无异议的，采购人应在收到评标报告后5个工作日内对评标结果进行确认。如有磋商供应商对评标结果提出质疑的，采购人可在质疑处理完毕后确定中标单位。</w:t>
      </w:r>
    </w:p>
    <w:p w14:paraId="424FC5B7">
      <w:pPr>
        <w:keepNext w:val="0"/>
        <w:keepLines w:val="0"/>
        <w:pageBreakBefore w:val="0"/>
        <w:kinsoku/>
        <w:wordWrap/>
        <w:topLinePunct w:val="0"/>
        <w:bidi w:val="0"/>
        <w:snapToGrid w:val="0"/>
        <w:spacing w:line="50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1.3采购人依法确定中标单位后2个工作日内，在</w:t>
      </w:r>
      <w:r>
        <w:rPr>
          <w:rFonts w:hint="eastAsia" w:ascii="仿宋" w:hAnsi="仿宋" w:eastAsia="仿宋" w:cs="仿宋"/>
          <w:color w:val="auto"/>
          <w:spacing w:val="-4"/>
          <w:highlight w:val="none"/>
          <w:lang w:eastAsia="zh-CN"/>
        </w:rPr>
        <w:t>常山县人民政府网</w:t>
      </w:r>
      <w:r>
        <w:rPr>
          <w:rFonts w:hint="eastAsia" w:ascii="仿宋" w:hAnsi="仿宋" w:eastAsia="仿宋" w:cs="仿宋"/>
          <w:color w:val="auto"/>
          <w:spacing w:val="-4"/>
          <w:highlight w:val="none"/>
        </w:rPr>
        <w:t>、浙江政府采购网上</w:t>
      </w:r>
      <w:r>
        <w:rPr>
          <w:rFonts w:hint="eastAsia" w:ascii="仿宋" w:hAnsi="仿宋" w:eastAsia="仿宋" w:cs="仿宋"/>
          <w:color w:val="auto"/>
          <w:szCs w:val="21"/>
          <w:highlight w:val="none"/>
        </w:rPr>
        <w:t>公告中标结果，同时采购人或采购代理机构应当向中标人以书面形式发出《中标通知书》。</w:t>
      </w:r>
    </w:p>
    <w:p w14:paraId="38901E44">
      <w:pPr>
        <w:pStyle w:val="4"/>
        <w:keepLines/>
        <w:widowControl w:val="0"/>
        <w:numPr>
          <w:ilvl w:val="2"/>
          <w:numId w:val="0"/>
        </w:numPr>
        <w:spacing w:before="156" w:after="156" w:line="440" w:lineRule="exact"/>
        <w:jc w:val="center"/>
        <w:textAlignment w:val="baseline"/>
        <w:rPr>
          <w:rFonts w:hint="eastAsia" w:ascii="仿宋" w:hAnsi="仿宋" w:eastAsia="仿宋" w:cs="仿宋"/>
          <w:b/>
          <w:bCs/>
          <w:color w:val="auto"/>
          <w:sz w:val="32"/>
          <w:szCs w:val="32"/>
          <w:highlight w:val="none"/>
        </w:rPr>
      </w:pPr>
      <w:bookmarkStart w:id="66" w:name="_Toc11700"/>
      <w:bookmarkStart w:id="67" w:name="_Toc18706"/>
      <w:r>
        <w:rPr>
          <w:rFonts w:hint="eastAsia" w:ascii="仿宋" w:hAnsi="仿宋" w:eastAsia="仿宋" w:cs="仿宋"/>
          <w:b/>
          <w:bCs/>
          <w:color w:val="auto"/>
          <w:sz w:val="32"/>
          <w:szCs w:val="32"/>
          <w:highlight w:val="none"/>
        </w:rPr>
        <w:t>八、合同授予</w:t>
      </w:r>
      <w:bookmarkEnd w:id="66"/>
      <w:bookmarkEnd w:id="67"/>
    </w:p>
    <w:p w14:paraId="01C0F33A">
      <w:pPr>
        <w:keepNext w:val="0"/>
        <w:keepLines w:val="0"/>
        <w:pageBreakBefore w:val="0"/>
        <w:widowControl w:val="0"/>
        <w:kinsoku/>
        <w:wordWrap/>
        <w:overflowPunct/>
        <w:topLinePunct w:val="0"/>
        <w:autoSpaceDE/>
        <w:autoSpaceDN/>
        <w:bidi w:val="0"/>
        <w:adjustRightInd/>
        <w:snapToGrid w:val="0"/>
        <w:spacing w:line="500" w:lineRule="exact"/>
        <w:ind w:firstLine="422" w:firstLineChars="200"/>
        <w:textAlignment w:val="baseline"/>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1</w:t>
      </w:r>
      <w:r>
        <w:rPr>
          <w:rFonts w:hint="eastAsia" w:ascii="仿宋" w:hAnsi="仿宋" w:eastAsia="仿宋" w:cs="仿宋"/>
          <w:b/>
          <w:bCs/>
          <w:color w:val="auto"/>
          <w:szCs w:val="21"/>
          <w:highlight w:val="none"/>
          <w:lang w:val="en-US" w:eastAsia="zh-CN"/>
        </w:rPr>
        <w:t>.</w:t>
      </w:r>
      <w:r>
        <w:rPr>
          <w:rFonts w:hint="eastAsia" w:ascii="仿宋" w:hAnsi="仿宋" w:eastAsia="仿宋" w:cs="仿宋"/>
          <w:b/>
          <w:bCs/>
          <w:color w:val="auto"/>
          <w:szCs w:val="21"/>
          <w:highlight w:val="none"/>
        </w:rPr>
        <w:t>签订合同</w:t>
      </w:r>
    </w:p>
    <w:p w14:paraId="24FC674C">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1.1中标通知书于中标公告发布之日签发，中标人应于中标结果公告发布之日起两个工作日内，凭法定代表人（负责人）授权委托书及被授权人身份证原件至浙江衢州公信工程管理有限公司领取中标通知书，逾期领取的后果自负。中标人与采购单位须在中标结果公告发出两个工作日后的三十天内签订合同。《中标通知书》一经发出即发生法律效力。采购单位无义务向未中标人解释落选原因，不退回投标文件。《中标通知书》作为签订合同的重要依据，对采购单位和中标人具有法律效力。采购单位改变中标结果或者中标人放弃中标项目的都应承担法律责任。</w:t>
      </w:r>
    </w:p>
    <w:p w14:paraId="61DBAA73">
      <w:pPr>
        <w:keepNext w:val="0"/>
        <w:keepLines w:val="0"/>
        <w:pageBreakBefore w:val="0"/>
        <w:widowControl w:val="0"/>
        <w:kinsoku/>
        <w:wordWrap/>
        <w:overflowPunct/>
        <w:topLinePunct w:val="0"/>
        <w:autoSpaceDE/>
        <w:autoSpaceDN/>
        <w:bidi w:val="0"/>
        <w:adjustRightInd/>
        <w:snapToGrid w:val="0"/>
        <w:spacing w:line="50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1.2中标人拖延、拒签合同的,应当按照本项目采购预算价2%的标准承担因此给采购单位造成的损失的赔偿责任及相应的法律责任。</w:t>
      </w:r>
    </w:p>
    <w:p w14:paraId="478FC8E6">
      <w:pPr>
        <w:pStyle w:val="4"/>
        <w:keepLines/>
        <w:widowControl w:val="0"/>
        <w:numPr>
          <w:ilvl w:val="2"/>
          <w:numId w:val="0"/>
        </w:numPr>
        <w:spacing w:before="156" w:after="156" w:line="440" w:lineRule="exact"/>
        <w:jc w:val="center"/>
        <w:textAlignment w:val="baseline"/>
        <w:outlineLvl w:val="9"/>
        <w:rPr>
          <w:rFonts w:hint="eastAsia" w:ascii="仿宋" w:hAnsi="仿宋" w:eastAsia="仿宋" w:cs="仿宋"/>
          <w:b/>
          <w:bCs/>
          <w:color w:val="auto"/>
          <w:sz w:val="32"/>
          <w:szCs w:val="32"/>
          <w:highlight w:val="none"/>
        </w:rPr>
      </w:pPr>
      <w:bookmarkStart w:id="68" w:name="_Toc16204"/>
      <w:bookmarkStart w:id="69" w:name="_Toc16691"/>
    </w:p>
    <w:bookmarkEnd w:id="68"/>
    <w:bookmarkEnd w:id="69"/>
    <w:p w14:paraId="38571047">
      <w:pPr>
        <w:pStyle w:val="30"/>
        <w:spacing w:line="360" w:lineRule="auto"/>
        <w:textAlignment w:val="baseline"/>
        <w:outlineLvl w:val="9"/>
        <w:rPr>
          <w:rFonts w:hint="eastAsia" w:ascii="仿宋" w:hAnsi="仿宋" w:eastAsia="仿宋" w:cs="仿宋"/>
          <w:color w:val="auto"/>
          <w:szCs w:val="21"/>
          <w:highlight w:val="none"/>
        </w:rPr>
      </w:pPr>
      <w:bookmarkStart w:id="70" w:name="_Toc1585"/>
      <w:bookmarkStart w:id="71" w:name="_Toc13937"/>
      <w:bookmarkStart w:id="72" w:name="_Toc487209066"/>
      <w:bookmarkStart w:id="73" w:name="_Toc18498_WPSOffice_Level1"/>
      <w:bookmarkStart w:id="74" w:name="_Toc5684"/>
      <w:r>
        <w:rPr>
          <w:rFonts w:hint="eastAsia" w:ascii="仿宋" w:hAnsi="仿宋" w:eastAsia="仿宋" w:cs="仿宋"/>
          <w:color w:val="auto"/>
          <w:szCs w:val="21"/>
          <w:highlight w:val="none"/>
        </w:rPr>
        <w:t> </w:t>
      </w:r>
      <w:bookmarkEnd w:id="70"/>
      <w:bookmarkEnd w:id="71"/>
    </w:p>
    <w:p w14:paraId="7EBF336E">
      <w:pPr>
        <w:rPr>
          <w:rFonts w:hint="eastAsia" w:ascii="仿宋" w:hAnsi="仿宋" w:eastAsia="仿宋" w:cs="仿宋"/>
          <w:color w:val="auto"/>
          <w:szCs w:val="21"/>
          <w:highlight w:val="none"/>
        </w:rPr>
      </w:pPr>
    </w:p>
    <w:p w14:paraId="511BD5AE">
      <w:pPr>
        <w:rPr>
          <w:rFonts w:hint="eastAsia" w:ascii="仿宋" w:hAnsi="仿宋" w:eastAsia="仿宋" w:cs="仿宋"/>
          <w:color w:val="auto"/>
          <w:szCs w:val="21"/>
          <w:highlight w:val="none"/>
        </w:rPr>
      </w:pPr>
    </w:p>
    <w:p w14:paraId="769D9F7E">
      <w:pPr>
        <w:rPr>
          <w:rFonts w:hint="eastAsia" w:ascii="仿宋" w:hAnsi="仿宋" w:eastAsia="仿宋" w:cs="仿宋"/>
          <w:color w:val="auto"/>
          <w:szCs w:val="21"/>
          <w:highlight w:val="none"/>
        </w:rPr>
      </w:pPr>
    </w:p>
    <w:p w14:paraId="310D3583">
      <w:pPr>
        <w:rPr>
          <w:rFonts w:hint="eastAsia" w:ascii="仿宋" w:hAnsi="仿宋" w:eastAsia="仿宋" w:cs="仿宋"/>
          <w:color w:val="auto"/>
          <w:szCs w:val="21"/>
          <w:highlight w:val="none"/>
        </w:rPr>
      </w:pPr>
    </w:p>
    <w:p w14:paraId="4C2F3AF4">
      <w:pPr>
        <w:rPr>
          <w:rFonts w:hint="eastAsia" w:ascii="仿宋" w:hAnsi="仿宋" w:eastAsia="仿宋" w:cs="仿宋"/>
          <w:color w:val="auto"/>
          <w:szCs w:val="21"/>
          <w:highlight w:val="none"/>
        </w:rPr>
      </w:pPr>
    </w:p>
    <w:p w14:paraId="703DB9AA">
      <w:pPr>
        <w:pStyle w:val="43"/>
        <w:rPr>
          <w:rFonts w:hint="eastAsia" w:ascii="仿宋" w:hAnsi="仿宋" w:eastAsia="仿宋" w:cs="仿宋"/>
          <w:color w:val="auto"/>
          <w:szCs w:val="21"/>
          <w:highlight w:val="none"/>
        </w:rPr>
      </w:pPr>
    </w:p>
    <w:p w14:paraId="6BD67CC3">
      <w:pPr>
        <w:pStyle w:val="43"/>
        <w:rPr>
          <w:rFonts w:hint="eastAsia" w:ascii="仿宋" w:hAnsi="仿宋" w:eastAsia="仿宋" w:cs="仿宋"/>
          <w:color w:val="auto"/>
          <w:szCs w:val="21"/>
          <w:highlight w:val="none"/>
        </w:rPr>
      </w:pPr>
    </w:p>
    <w:p w14:paraId="44801B09">
      <w:pPr>
        <w:pStyle w:val="43"/>
        <w:rPr>
          <w:rFonts w:hint="eastAsia" w:ascii="仿宋" w:hAnsi="仿宋" w:eastAsia="仿宋" w:cs="仿宋"/>
          <w:color w:val="auto"/>
          <w:szCs w:val="21"/>
          <w:highlight w:val="none"/>
        </w:rPr>
      </w:pPr>
    </w:p>
    <w:p w14:paraId="223E475D">
      <w:pPr>
        <w:pStyle w:val="43"/>
        <w:rPr>
          <w:rFonts w:hint="eastAsia" w:ascii="仿宋" w:hAnsi="仿宋" w:eastAsia="仿宋" w:cs="仿宋"/>
          <w:color w:val="auto"/>
          <w:szCs w:val="21"/>
          <w:highlight w:val="none"/>
        </w:rPr>
      </w:pPr>
    </w:p>
    <w:p w14:paraId="2B9ABE4F">
      <w:pPr>
        <w:pStyle w:val="43"/>
        <w:rPr>
          <w:rFonts w:hint="eastAsia" w:ascii="仿宋" w:hAnsi="仿宋" w:eastAsia="仿宋" w:cs="仿宋"/>
          <w:color w:val="auto"/>
          <w:szCs w:val="21"/>
          <w:highlight w:val="none"/>
        </w:rPr>
      </w:pPr>
    </w:p>
    <w:p w14:paraId="22B76117">
      <w:pPr>
        <w:pStyle w:val="43"/>
        <w:rPr>
          <w:rFonts w:hint="eastAsia" w:ascii="仿宋" w:hAnsi="仿宋" w:eastAsia="仿宋" w:cs="仿宋"/>
          <w:color w:val="auto"/>
          <w:szCs w:val="21"/>
          <w:highlight w:val="none"/>
        </w:rPr>
      </w:pPr>
    </w:p>
    <w:p w14:paraId="06F67429">
      <w:pPr>
        <w:pStyle w:val="43"/>
        <w:rPr>
          <w:rFonts w:hint="eastAsia" w:ascii="仿宋" w:hAnsi="仿宋" w:eastAsia="仿宋" w:cs="仿宋"/>
          <w:color w:val="auto"/>
          <w:szCs w:val="21"/>
          <w:highlight w:val="none"/>
        </w:rPr>
      </w:pPr>
    </w:p>
    <w:p w14:paraId="39AE2676">
      <w:pPr>
        <w:pStyle w:val="43"/>
        <w:rPr>
          <w:rFonts w:hint="eastAsia" w:ascii="仿宋" w:hAnsi="仿宋" w:eastAsia="仿宋" w:cs="仿宋"/>
          <w:color w:val="auto"/>
          <w:szCs w:val="21"/>
          <w:highlight w:val="none"/>
        </w:rPr>
      </w:pPr>
    </w:p>
    <w:p w14:paraId="4A78B99B">
      <w:pPr>
        <w:pStyle w:val="43"/>
        <w:rPr>
          <w:rFonts w:hint="eastAsia" w:ascii="仿宋" w:hAnsi="仿宋" w:eastAsia="仿宋" w:cs="仿宋"/>
          <w:color w:val="auto"/>
          <w:szCs w:val="21"/>
          <w:highlight w:val="none"/>
        </w:rPr>
      </w:pPr>
    </w:p>
    <w:p w14:paraId="5262D5D6">
      <w:pPr>
        <w:pStyle w:val="43"/>
        <w:rPr>
          <w:rFonts w:hint="eastAsia" w:ascii="仿宋" w:hAnsi="仿宋" w:eastAsia="仿宋" w:cs="仿宋"/>
          <w:color w:val="auto"/>
          <w:szCs w:val="21"/>
          <w:highlight w:val="none"/>
        </w:rPr>
      </w:pPr>
    </w:p>
    <w:p w14:paraId="421E16D4">
      <w:pPr>
        <w:pStyle w:val="43"/>
        <w:rPr>
          <w:rFonts w:hint="eastAsia" w:ascii="仿宋" w:hAnsi="仿宋" w:eastAsia="仿宋" w:cs="仿宋"/>
          <w:color w:val="auto"/>
          <w:szCs w:val="21"/>
          <w:highlight w:val="none"/>
        </w:rPr>
      </w:pPr>
    </w:p>
    <w:p w14:paraId="43A2083E">
      <w:pPr>
        <w:pStyle w:val="43"/>
        <w:rPr>
          <w:rFonts w:hint="eastAsia" w:ascii="仿宋" w:hAnsi="仿宋" w:eastAsia="仿宋" w:cs="仿宋"/>
          <w:color w:val="auto"/>
          <w:szCs w:val="21"/>
          <w:highlight w:val="none"/>
        </w:rPr>
      </w:pPr>
    </w:p>
    <w:p w14:paraId="10800D3E">
      <w:pPr>
        <w:pStyle w:val="43"/>
        <w:rPr>
          <w:rFonts w:hint="eastAsia" w:ascii="仿宋" w:hAnsi="仿宋" w:eastAsia="仿宋" w:cs="仿宋"/>
          <w:color w:val="auto"/>
          <w:szCs w:val="21"/>
          <w:highlight w:val="none"/>
        </w:rPr>
      </w:pPr>
    </w:p>
    <w:p w14:paraId="2FEBFF76">
      <w:pPr>
        <w:pStyle w:val="43"/>
        <w:rPr>
          <w:rFonts w:hint="eastAsia" w:ascii="仿宋" w:hAnsi="仿宋" w:eastAsia="仿宋" w:cs="仿宋"/>
          <w:color w:val="auto"/>
          <w:szCs w:val="21"/>
          <w:highlight w:val="none"/>
        </w:rPr>
      </w:pPr>
    </w:p>
    <w:p w14:paraId="65B0B60B">
      <w:pPr>
        <w:pStyle w:val="43"/>
        <w:rPr>
          <w:rFonts w:hint="eastAsia" w:ascii="仿宋" w:hAnsi="仿宋" w:eastAsia="仿宋" w:cs="仿宋"/>
          <w:color w:val="auto"/>
          <w:szCs w:val="21"/>
          <w:highlight w:val="none"/>
        </w:rPr>
      </w:pPr>
    </w:p>
    <w:p w14:paraId="67E5EAA1">
      <w:pPr>
        <w:pStyle w:val="43"/>
        <w:rPr>
          <w:rFonts w:hint="eastAsia" w:ascii="仿宋" w:hAnsi="仿宋" w:eastAsia="仿宋" w:cs="仿宋"/>
          <w:color w:val="auto"/>
          <w:szCs w:val="21"/>
          <w:highlight w:val="none"/>
        </w:rPr>
      </w:pPr>
    </w:p>
    <w:p w14:paraId="30A6EDDB">
      <w:pPr>
        <w:pStyle w:val="43"/>
        <w:rPr>
          <w:rFonts w:hint="eastAsia" w:ascii="仿宋" w:hAnsi="仿宋" w:eastAsia="仿宋" w:cs="仿宋"/>
          <w:color w:val="auto"/>
          <w:szCs w:val="21"/>
          <w:highlight w:val="none"/>
        </w:rPr>
      </w:pPr>
    </w:p>
    <w:p w14:paraId="34AAEC0E">
      <w:pPr>
        <w:pStyle w:val="43"/>
        <w:rPr>
          <w:rFonts w:hint="eastAsia" w:ascii="仿宋" w:hAnsi="仿宋" w:eastAsia="仿宋" w:cs="仿宋"/>
          <w:color w:val="auto"/>
          <w:szCs w:val="21"/>
          <w:highlight w:val="none"/>
        </w:rPr>
      </w:pPr>
    </w:p>
    <w:p w14:paraId="56DD81CA">
      <w:pPr>
        <w:pStyle w:val="43"/>
        <w:rPr>
          <w:rFonts w:hint="eastAsia" w:ascii="仿宋" w:hAnsi="仿宋" w:eastAsia="仿宋" w:cs="仿宋"/>
          <w:color w:val="auto"/>
          <w:szCs w:val="21"/>
          <w:highlight w:val="none"/>
        </w:rPr>
      </w:pPr>
    </w:p>
    <w:p w14:paraId="3FB0F069">
      <w:pPr>
        <w:pStyle w:val="43"/>
        <w:rPr>
          <w:rFonts w:hint="eastAsia" w:ascii="仿宋" w:hAnsi="仿宋" w:eastAsia="仿宋" w:cs="仿宋"/>
          <w:color w:val="auto"/>
          <w:szCs w:val="21"/>
          <w:highlight w:val="none"/>
        </w:rPr>
      </w:pPr>
    </w:p>
    <w:p w14:paraId="1D0B804C">
      <w:pPr>
        <w:pStyle w:val="43"/>
        <w:rPr>
          <w:rFonts w:hint="eastAsia" w:ascii="仿宋" w:hAnsi="仿宋" w:eastAsia="仿宋" w:cs="仿宋"/>
          <w:color w:val="auto"/>
          <w:szCs w:val="21"/>
          <w:highlight w:val="none"/>
        </w:rPr>
      </w:pPr>
    </w:p>
    <w:p w14:paraId="42819131">
      <w:pPr>
        <w:pStyle w:val="43"/>
        <w:rPr>
          <w:rFonts w:hint="eastAsia" w:ascii="仿宋" w:hAnsi="仿宋" w:eastAsia="仿宋" w:cs="仿宋"/>
          <w:color w:val="auto"/>
          <w:szCs w:val="21"/>
          <w:highlight w:val="none"/>
        </w:rPr>
      </w:pPr>
    </w:p>
    <w:p w14:paraId="7BA98AEB">
      <w:pPr>
        <w:pStyle w:val="43"/>
        <w:rPr>
          <w:rFonts w:hint="eastAsia" w:ascii="仿宋" w:hAnsi="仿宋" w:eastAsia="仿宋" w:cs="仿宋"/>
          <w:color w:val="auto"/>
          <w:szCs w:val="21"/>
          <w:highlight w:val="none"/>
        </w:rPr>
      </w:pPr>
    </w:p>
    <w:p w14:paraId="43764A49">
      <w:pPr>
        <w:pStyle w:val="43"/>
        <w:rPr>
          <w:rFonts w:hint="eastAsia" w:ascii="仿宋" w:hAnsi="仿宋" w:eastAsia="仿宋" w:cs="仿宋"/>
          <w:color w:val="auto"/>
          <w:szCs w:val="21"/>
          <w:highlight w:val="none"/>
        </w:rPr>
      </w:pPr>
    </w:p>
    <w:p w14:paraId="58EC1344">
      <w:pPr>
        <w:pStyle w:val="43"/>
        <w:rPr>
          <w:rFonts w:hint="eastAsia" w:ascii="仿宋" w:hAnsi="仿宋" w:eastAsia="仿宋" w:cs="仿宋"/>
          <w:color w:val="auto"/>
          <w:szCs w:val="21"/>
          <w:highlight w:val="none"/>
        </w:rPr>
      </w:pPr>
    </w:p>
    <w:p w14:paraId="45B527AC">
      <w:pPr>
        <w:pStyle w:val="43"/>
        <w:rPr>
          <w:rFonts w:hint="eastAsia" w:ascii="仿宋" w:hAnsi="仿宋" w:eastAsia="仿宋" w:cs="仿宋"/>
          <w:color w:val="auto"/>
          <w:szCs w:val="21"/>
          <w:highlight w:val="none"/>
        </w:rPr>
      </w:pPr>
    </w:p>
    <w:p w14:paraId="3B7841BF">
      <w:pPr>
        <w:pStyle w:val="43"/>
        <w:rPr>
          <w:rFonts w:hint="eastAsia" w:ascii="仿宋" w:hAnsi="仿宋" w:eastAsia="仿宋" w:cs="仿宋"/>
          <w:color w:val="auto"/>
          <w:szCs w:val="21"/>
          <w:highlight w:val="none"/>
        </w:rPr>
      </w:pPr>
    </w:p>
    <w:p w14:paraId="75EDA93E">
      <w:pPr>
        <w:pStyle w:val="43"/>
        <w:rPr>
          <w:rFonts w:hint="eastAsia" w:ascii="仿宋" w:hAnsi="仿宋" w:eastAsia="仿宋" w:cs="仿宋"/>
          <w:color w:val="auto"/>
          <w:szCs w:val="21"/>
          <w:highlight w:val="none"/>
        </w:rPr>
      </w:pPr>
    </w:p>
    <w:p w14:paraId="131EBB66">
      <w:pPr>
        <w:pStyle w:val="43"/>
        <w:rPr>
          <w:rFonts w:hint="eastAsia" w:ascii="仿宋" w:hAnsi="仿宋" w:eastAsia="仿宋" w:cs="仿宋"/>
          <w:color w:val="auto"/>
          <w:szCs w:val="21"/>
          <w:highlight w:val="none"/>
        </w:rPr>
      </w:pPr>
    </w:p>
    <w:p w14:paraId="6A436782">
      <w:pPr>
        <w:pStyle w:val="30"/>
        <w:spacing w:line="360" w:lineRule="auto"/>
        <w:textAlignment w:val="baseline"/>
        <w:outlineLvl w:val="0"/>
        <w:rPr>
          <w:rFonts w:hint="eastAsia" w:ascii="仿宋" w:hAnsi="仿宋" w:eastAsia="仿宋" w:cs="仿宋"/>
          <w:b/>
          <w:bCs/>
          <w:color w:val="auto"/>
          <w:kern w:val="2"/>
          <w:sz w:val="44"/>
          <w:szCs w:val="44"/>
          <w:highlight w:val="none"/>
          <w:lang w:val="zh-CN" w:eastAsia="zh-CN"/>
        </w:rPr>
      </w:pPr>
      <w:bookmarkStart w:id="75" w:name="_Toc28462"/>
      <w:bookmarkStart w:id="76" w:name="_Toc7942"/>
      <w:r>
        <w:rPr>
          <w:rFonts w:hint="eastAsia" w:ascii="仿宋" w:hAnsi="仿宋" w:eastAsia="仿宋" w:cs="仿宋"/>
          <w:b/>
          <w:bCs/>
          <w:color w:val="auto"/>
          <w:kern w:val="2"/>
          <w:sz w:val="44"/>
          <w:szCs w:val="44"/>
          <w:highlight w:val="none"/>
          <w:lang w:eastAsia="zh-CN"/>
        </w:rPr>
        <w:t xml:space="preserve">第三章  </w:t>
      </w:r>
      <w:r>
        <w:rPr>
          <w:rFonts w:hint="eastAsia" w:ascii="仿宋" w:hAnsi="仿宋" w:eastAsia="仿宋" w:cs="仿宋"/>
          <w:b/>
          <w:bCs/>
          <w:color w:val="auto"/>
          <w:kern w:val="2"/>
          <w:sz w:val="44"/>
          <w:szCs w:val="44"/>
          <w:highlight w:val="none"/>
          <w:lang w:val="zh-CN" w:eastAsia="zh-CN"/>
        </w:rPr>
        <w:t>采购内容及要求</w:t>
      </w:r>
      <w:bookmarkEnd w:id="72"/>
      <w:bookmarkEnd w:id="73"/>
      <w:bookmarkEnd w:id="74"/>
      <w:bookmarkEnd w:id="75"/>
      <w:bookmarkEnd w:id="76"/>
    </w:p>
    <w:p w14:paraId="6975E85B">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一、项目背景</w:t>
      </w:r>
    </w:p>
    <w:p w14:paraId="47FE8441">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根据城东新区发展规划及城市设计</w:t>
      </w:r>
      <w:r>
        <w:rPr>
          <w:rFonts w:hint="eastAsia" w:ascii="仿宋" w:hAnsi="仿宋" w:eastAsia="仿宋" w:cs="仿宋"/>
          <w:color w:val="auto"/>
          <w:kern w:val="0"/>
          <w:sz w:val="22"/>
          <w:szCs w:val="22"/>
          <w:highlight w:val="none"/>
          <w:lang w:val="en-US" w:eastAsia="zh-CN"/>
        </w:rPr>
        <w:t>指引</w:t>
      </w:r>
      <w:r>
        <w:rPr>
          <w:rFonts w:hint="eastAsia" w:ascii="仿宋" w:hAnsi="仿宋" w:eastAsia="仿宋" w:cs="仿宋"/>
          <w:color w:val="auto"/>
          <w:kern w:val="0"/>
          <w:sz w:val="22"/>
          <w:szCs w:val="22"/>
          <w:highlight w:val="none"/>
        </w:rPr>
        <w:t>，编制常山县城东新区狮子口片区控规调整服务项目，对用地性质、使用强度、空间环境等进行刚性控制，为重大项目落地提供规划保障。</w:t>
      </w:r>
    </w:p>
    <w:p w14:paraId="1A3C4055">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二、规划范围</w:t>
      </w:r>
    </w:p>
    <w:p w14:paraId="15B24F5B">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常山县城东新区狮子口片区，总规划面积约188.8公顷。</w:t>
      </w:r>
    </w:p>
    <w:p w14:paraId="38B09019">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三、工作内容</w:t>
      </w:r>
    </w:p>
    <w:p w14:paraId="38D3C263">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参照《浙江省控制性详细规划图集编制导则（试行）》开展工作，以控规编制单元为对象，对狮子口片区内的功能、土地利用、公共设施和重要市政基础设施等进行规划控制。需包含但不限于以下内容：</w:t>
      </w:r>
    </w:p>
    <w:p w14:paraId="4F997B7D">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明确主导性质和功能。一是确定编制单元和管理单元主导性质；二是确定用地的主导性质，其中，非混合用地按照《城市用地分类与规划建设用地标准》执行，混合用地需落实总体规划和城市设计控制要求，并提出可操作的控制方式；</w:t>
      </w:r>
    </w:p>
    <w:p w14:paraId="2DFA4178">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2、“五线”控制要求。包括红线、绿线、紫线、蓝线和黄线的控制要求；</w:t>
      </w:r>
    </w:p>
    <w:p w14:paraId="4AB3FB76">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3、公共配套设施控制；</w:t>
      </w:r>
    </w:p>
    <w:p w14:paraId="5BF4388A">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kern w:val="0"/>
          <w:sz w:val="22"/>
          <w:highlight w:val="none"/>
        </w:rPr>
        <w:t>4、建设强度和建筑高度。按照总体规划和城市设计要求落实控制要求；确定各地块的额定容积率、建筑密度和建筑高度等建设指标，作为地块规划设计条件的依据。</w:t>
      </w:r>
    </w:p>
    <w:p w14:paraId="0FE36F88">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5、确定市级公园绿地（市、区级综合公园，专类公园）、社区级公园绿地（居住区公园、带状公园、街头绿地）、防护绿地和广场用地的控制线。</w:t>
      </w:r>
    </w:p>
    <w:p w14:paraId="4F1FAE65">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kern w:val="0"/>
          <w:sz w:val="22"/>
          <w:szCs w:val="22"/>
          <w:highlight w:val="none"/>
          <w:lang w:eastAsia="zh-CN"/>
        </w:rPr>
      </w:pPr>
      <w:r>
        <w:rPr>
          <w:rFonts w:hint="eastAsia" w:ascii="仿宋" w:hAnsi="仿宋" w:eastAsia="仿宋" w:cs="仿宋"/>
          <w:color w:val="auto"/>
          <w:kern w:val="0"/>
          <w:sz w:val="22"/>
          <w:szCs w:val="22"/>
          <w:highlight w:val="none"/>
        </w:rPr>
        <w:t>6、综合管线</w:t>
      </w:r>
      <w:r>
        <w:rPr>
          <w:rFonts w:hint="eastAsia" w:ascii="仿宋" w:hAnsi="仿宋" w:eastAsia="仿宋" w:cs="仿宋"/>
          <w:color w:val="auto"/>
          <w:kern w:val="0"/>
          <w:sz w:val="22"/>
          <w:szCs w:val="22"/>
          <w:highlight w:val="none"/>
          <w:lang w:eastAsia="zh-CN"/>
        </w:rPr>
        <w:t>。</w:t>
      </w:r>
    </w:p>
    <w:p w14:paraId="20ECA822">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四、成果要求</w:t>
      </w:r>
    </w:p>
    <w:p w14:paraId="620DD00F">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1、规划设计成果的内容必须符合规划设计任务书的有关要求和国家有关标准。</w:t>
      </w:r>
    </w:p>
    <w:p w14:paraId="5BDE76E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2、规划设计成果包括纸质文件及相应的计算机文件。</w:t>
      </w:r>
    </w:p>
    <w:p w14:paraId="3E539BCD">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3、纸质文件包括文本、说明书、规划图纸。内容必须清晰完整，说明书应准确、完整地阐述设计意图和内容。规划图纸内容必须全面。</w:t>
      </w:r>
    </w:p>
    <w:p w14:paraId="1797F3C8">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五、成果编制时间</w:t>
      </w:r>
    </w:p>
    <w:p w14:paraId="4D42C583">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lang w:val="en-US" w:eastAsia="zh-CN"/>
        </w:rPr>
      </w:pPr>
      <w:r>
        <w:rPr>
          <w:rFonts w:hint="eastAsia" w:ascii="仿宋" w:hAnsi="仿宋" w:eastAsia="仿宋" w:cs="仿宋"/>
          <w:color w:val="auto"/>
          <w:kern w:val="0"/>
          <w:sz w:val="22"/>
          <w:highlight w:val="none"/>
          <w:lang w:val="en-US" w:eastAsia="zh-CN"/>
        </w:rPr>
        <w:t>规划编制拟定30天内完成。</w:t>
      </w:r>
    </w:p>
    <w:p w14:paraId="6E86BBEB">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第一阶段：</w:t>
      </w:r>
      <w:r>
        <w:rPr>
          <w:rFonts w:hint="eastAsia" w:ascii="仿宋" w:hAnsi="仿宋" w:eastAsia="仿宋" w:cs="仿宋"/>
          <w:color w:val="auto"/>
          <w:kern w:val="0"/>
          <w:sz w:val="22"/>
          <w:highlight w:val="none"/>
          <w:lang w:val="en-US" w:eastAsia="zh-CN"/>
        </w:rPr>
        <w:t>15天内完成</w:t>
      </w:r>
      <w:r>
        <w:rPr>
          <w:rFonts w:hint="eastAsia" w:ascii="仿宋" w:hAnsi="仿宋" w:eastAsia="仿宋" w:cs="仿宋"/>
          <w:color w:val="auto"/>
          <w:kern w:val="0"/>
          <w:sz w:val="22"/>
          <w:highlight w:val="none"/>
        </w:rPr>
        <w:t>前期调研和</w:t>
      </w:r>
      <w:r>
        <w:rPr>
          <w:rFonts w:hint="eastAsia" w:ascii="仿宋" w:hAnsi="仿宋" w:eastAsia="仿宋" w:cs="仿宋"/>
          <w:color w:val="auto"/>
          <w:kern w:val="0"/>
          <w:sz w:val="22"/>
          <w:highlight w:val="none"/>
          <w:lang w:val="en-US" w:eastAsia="zh-CN"/>
        </w:rPr>
        <w:t>控规调整的</w:t>
      </w:r>
      <w:r>
        <w:rPr>
          <w:rFonts w:hint="eastAsia" w:ascii="仿宋" w:hAnsi="仿宋" w:eastAsia="仿宋" w:cs="仿宋"/>
          <w:color w:val="auto"/>
          <w:kern w:val="0"/>
          <w:sz w:val="22"/>
          <w:highlight w:val="none"/>
        </w:rPr>
        <w:t>初步成果编制。</w:t>
      </w:r>
    </w:p>
    <w:p w14:paraId="2C4BB502">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lang w:val="en-US" w:eastAsia="zh-CN"/>
        </w:rPr>
      </w:pPr>
      <w:r>
        <w:rPr>
          <w:rFonts w:hint="eastAsia" w:ascii="仿宋" w:hAnsi="仿宋" w:eastAsia="仿宋" w:cs="仿宋"/>
          <w:color w:val="auto"/>
          <w:kern w:val="0"/>
          <w:sz w:val="22"/>
          <w:highlight w:val="none"/>
        </w:rPr>
        <w:t>第二阶段：</w:t>
      </w:r>
      <w:r>
        <w:rPr>
          <w:rFonts w:hint="eastAsia" w:ascii="仿宋" w:hAnsi="仿宋" w:eastAsia="仿宋" w:cs="仿宋"/>
          <w:color w:val="auto"/>
          <w:kern w:val="0"/>
          <w:sz w:val="22"/>
          <w:highlight w:val="none"/>
          <w:lang w:val="en-US" w:eastAsia="zh-CN"/>
        </w:rPr>
        <w:t>15天内，结合意见调整编制最终成果并经采购单位同意。</w:t>
      </w:r>
    </w:p>
    <w:p w14:paraId="1204CE56">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以上报告成果形式包括纸质版和电子版，其中，纸质版送审稿数量应满足审查需要，纸质版报批稿按实提供，电子版最终成果一份。</w:t>
      </w:r>
    </w:p>
    <w:p w14:paraId="2B534101">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六、详细成果内容</w:t>
      </w:r>
    </w:p>
    <w:p w14:paraId="1211F2D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1.成果内容</w:t>
      </w:r>
    </w:p>
    <w:p w14:paraId="17AD69D7">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主要包含控规文本、图则及相关附件。</w:t>
      </w:r>
    </w:p>
    <w:p w14:paraId="4A05D02F">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2.附件</w:t>
      </w:r>
    </w:p>
    <w:p w14:paraId="298AA076">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（1）规划说明书</w:t>
      </w:r>
    </w:p>
    <w:p w14:paraId="71406CA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（2）相关图纸</w:t>
      </w:r>
    </w:p>
    <w:p w14:paraId="5D8C772B">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区位分析图</w:t>
      </w:r>
    </w:p>
    <w:p w14:paraId="12E30991">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用地现状图</w:t>
      </w:r>
    </w:p>
    <w:p w14:paraId="080D4E4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公共设施现状图</w:t>
      </w:r>
    </w:p>
    <w:p w14:paraId="5954FE0E">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lang w:val="en-US" w:eastAsia="zh-CN"/>
        </w:rPr>
        <w:t>开发动态</w:t>
      </w:r>
      <w:r>
        <w:rPr>
          <w:rFonts w:hint="eastAsia" w:ascii="仿宋" w:hAnsi="仿宋" w:eastAsia="仿宋" w:cs="仿宋"/>
          <w:color w:val="auto"/>
          <w:kern w:val="0"/>
          <w:sz w:val="22"/>
          <w:highlight w:val="none"/>
        </w:rPr>
        <w:t>图</w:t>
      </w:r>
    </w:p>
    <w:p w14:paraId="7C8FABC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用地规划图</w:t>
      </w:r>
    </w:p>
    <w:p w14:paraId="3E75A8EA">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规划结构图</w:t>
      </w:r>
    </w:p>
    <w:p w14:paraId="77CE01C5">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绿地系统规划图</w:t>
      </w:r>
    </w:p>
    <w:p w14:paraId="4CE3BB41">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道路系统规划图</w:t>
      </w:r>
    </w:p>
    <w:p w14:paraId="44BF475E">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道路横断面规划图</w:t>
      </w:r>
    </w:p>
    <w:p w14:paraId="06C9A09E">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道路竖向规划图</w:t>
      </w:r>
    </w:p>
    <w:p w14:paraId="1CF2A279">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强度分区图</w:t>
      </w:r>
    </w:p>
    <w:p w14:paraId="6A1A6AB9">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高度分区图</w:t>
      </w:r>
    </w:p>
    <w:p w14:paraId="655D9E7D">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给水工程规划图</w:t>
      </w:r>
    </w:p>
    <w:p w14:paraId="06AC6EE4">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雨水工程规划图</w:t>
      </w:r>
    </w:p>
    <w:p w14:paraId="68F88B65">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污水工程规划图</w:t>
      </w:r>
    </w:p>
    <w:p w14:paraId="63DAC5A2">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电力电讯规划图</w:t>
      </w:r>
    </w:p>
    <w:p w14:paraId="7AC6624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燃气工程规划图</w:t>
      </w:r>
    </w:p>
    <w:p w14:paraId="7F448175">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环卫工程规划图</w:t>
      </w:r>
    </w:p>
    <w:p w14:paraId="32E7BE36">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管线综合规划图</w:t>
      </w:r>
    </w:p>
    <w:p w14:paraId="7A1C8E48">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（3） 控制图则</w:t>
      </w:r>
    </w:p>
    <w:p w14:paraId="5135E2C4">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七、验收方式</w:t>
      </w:r>
    </w:p>
    <w:p w14:paraId="417F155B">
      <w:pPr>
        <w:keepNext w:val="0"/>
        <w:keepLines w:val="0"/>
        <w:pageBreakBefore w:val="0"/>
        <w:widowControl w:val="0"/>
        <w:kinsoku/>
        <w:wordWrap/>
        <w:overflowPunct/>
        <w:topLinePunct w:val="0"/>
        <w:bidi w:val="0"/>
        <w:snapToGrid w:val="0"/>
        <w:spacing w:line="440" w:lineRule="exact"/>
        <w:ind w:firstLine="440" w:firstLineChars="200"/>
        <w:textAlignment w:val="auto"/>
        <w:rPr>
          <w:rFonts w:hint="eastAsia" w:ascii="仿宋" w:hAnsi="仿宋" w:eastAsia="仿宋" w:cs="仿宋"/>
          <w:color w:val="auto"/>
          <w:sz w:val="22"/>
          <w:szCs w:val="22"/>
          <w:highlight w:val="none"/>
        </w:rPr>
      </w:pPr>
      <w:bookmarkStart w:id="77" w:name="_Hlk72832777"/>
      <w:r>
        <w:rPr>
          <w:rFonts w:hint="eastAsia" w:ascii="仿宋" w:hAnsi="仿宋" w:eastAsia="仿宋" w:cs="仿宋"/>
          <w:color w:val="auto"/>
          <w:sz w:val="22"/>
          <w:szCs w:val="22"/>
          <w:highlight w:val="none"/>
        </w:rPr>
        <w:t>由招标人组织验收。</w:t>
      </w:r>
    </w:p>
    <w:bookmarkEnd w:id="77"/>
    <w:p w14:paraId="0A773510">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八、知识产权</w:t>
      </w:r>
    </w:p>
    <w:p w14:paraId="0711CEAD">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投标人须保证，招标人在中华人民共和国境内使用投标资料、技术、服务或其任何一部分时，享有不受限制的无偿使用权，不会产生因第三方提出侵犯应的知识产权，则在投标报价中必须包括合法获取该知识产权的一切相关费用。如因此导致招标人损失的，投标人须承担全部赔偿责任。</w:t>
      </w:r>
    </w:p>
    <w:p w14:paraId="04A05BAE">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2、所有投标文件不论中标与否均不退还。招标方拥有使用任何投标文件成果或向最终中标单位提供并在未来的规划方案中引用这些成果的权利。</w:t>
      </w:r>
    </w:p>
    <w:p w14:paraId="2D2E1D15">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3、投标人如欲在项目实施过程中采用自有知识成果，须在投标文件中声明，并提供相关知识产权证明文件。使用该知识成果后，投标人须提供开发接口和开发手册等技术文档。</w:t>
      </w:r>
    </w:p>
    <w:p w14:paraId="029FC813">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4、在招标过程中，本项目由招标人提供的所有基础资料（包括文字、图纸、电子数据）的版权均受法律保护，投标人应按国家要求做好所有基础资料的保密工作，除为本项目设计本身使用外，不做其他用途，任何未经招标人同意的修改、拷贝、传播、公开发布等行为都将承担由此引起的一切经济、法律责任。</w:t>
      </w:r>
    </w:p>
    <w:p w14:paraId="23D4BAD0">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九、付款方式</w:t>
      </w:r>
    </w:p>
    <w:p w14:paraId="7C871A1E">
      <w:pPr>
        <w:snapToGrid w:val="0"/>
        <w:spacing w:line="460" w:lineRule="atLeast"/>
        <w:ind w:firstLine="440" w:firstLineChars="200"/>
        <w:rPr>
          <w:rFonts w:hint="eastAsia" w:ascii="仿宋" w:hAnsi="仿宋" w:eastAsia="仿宋" w:cs="仿宋"/>
          <w:color w:val="auto"/>
          <w:sz w:val="22"/>
          <w:szCs w:val="22"/>
        </w:rPr>
      </w:pPr>
      <w:r>
        <w:rPr>
          <w:rFonts w:hint="eastAsia" w:ascii="仿宋" w:hAnsi="仿宋" w:eastAsia="仿宋" w:cs="仿宋"/>
          <w:color w:val="auto"/>
          <w:sz w:val="22"/>
          <w:szCs w:val="22"/>
        </w:rPr>
        <w:t>在合同签订后7天内，采购人支付合同金额30%作为预付款；</w:t>
      </w:r>
    </w:p>
    <w:p w14:paraId="7AF67345">
      <w:pPr>
        <w:snapToGrid w:val="0"/>
        <w:spacing w:line="460" w:lineRule="atLeast"/>
        <w:ind w:firstLine="440" w:firstLineChars="200"/>
        <w:rPr>
          <w:rFonts w:hint="eastAsia" w:ascii="仿宋" w:hAnsi="仿宋" w:eastAsia="仿宋" w:cs="仿宋"/>
          <w:color w:val="auto"/>
          <w:sz w:val="22"/>
          <w:szCs w:val="22"/>
        </w:rPr>
      </w:pPr>
      <w:r>
        <w:rPr>
          <w:rFonts w:hint="eastAsia" w:ascii="仿宋" w:hAnsi="仿宋" w:eastAsia="仿宋" w:cs="仿宋"/>
          <w:color w:val="auto"/>
          <w:sz w:val="22"/>
          <w:szCs w:val="22"/>
        </w:rPr>
        <w:t>完成</w:t>
      </w:r>
      <w:r>
        <w:rPr>
          <w:rFonts w:hint="eastAsia" w:ascii="仿宋" w:hAnsi="仿宋" w:eastAsia="仿宋" w:cs="仿宋"/>
          <w:color w:val="auto"/>
          <w:kern w:val="0"/>
          <w:sz w:val="22"/>
          <w:highlight w:val="none"/>
        </w:rPr>
        <w:t>常山县城东新区狮子口片区控规调整初步成果</w:t>
      </w:r>
      <w:r>
        <w:rPr>
          <w:rFonts w:hint="eastAsia" w:ascii="仿宋" w:hAnsi="仿宋" w:eastAsia="仿宋" w:cs="仿宋"/>
          <w:color w:val="auto"/>
          <w:sz w:val="22"/>
          <w:szCs w:val="22"/>
        </w:rPr>
        <w:t>后7天内，支付合同金额的30%；</w:t>
      </w:r>
    </w:p>
    <w:p w14:paraId="50404023">
      <w:pPr>
        <w:snapToGrid w:val="0"/>
        <w:spacing w:line="460" w:lineRule="atLeast"/>
        <w:ind w:firstLine="440" w:firstLineChars="200"/>
        <w:rPr>
          <w:rFonts w:hint="eastAsia" w:ascii="仿宋" w:hAnsi="仿宋" w:eastAsia="仿宋" w:cs="仿宋"/>
          <w:color w:val="auto"/>
          <w:sz w:val="22"/>
          <w:szCs w:val="22"/>
        </w:rPr>
      </w:pPr>
      <w:r>
        <w:rPr>
          <w:rFonts w:hint="eastAsia" w:ascii="仿宋" w:hAnsi="仿宋" w:eastAsia="仿宋" w:cs="仿宋"/>
          <w:color w:val="auto"/>
          <w:sz w:val="22"/>
          <w:szCs w:val="22"/>
        </w:rPr>
        <w:t>提交中间成果稿后7天内，支付合同金额的20%。</w:t>
      </w:r>
    </w:p>
    <w:p w14:paraId="7C2D6E56">
      <w:pPr>
        <w:snapToGrid w:val="0"/>
        <w:spacing w:line="460" w:lineRule="atLeast"/>
        <w:ind w:firstLine="440" w:firstLineChars="200"/>
        <w:rPr>
          <w:rFonts w:hint="eastAsia" w:ascii="仿宋" w:hAnsi="仿宋" w:eastAsia="仿宋" w:cs="仿宋"/>
          <w:b w:val="0"/>
          <w:bCs w:val="0"/>
          <w:color w:val="auto"/>
          <w:kern w:val="0"/>
          <w:sz w:val="28"/>
          <w:szCs w:val="28"/>
          <w:highlight w:val="none"/>
        </w:rPr>
      </w:pPr>
      <w:r>
        <w:rPr>
          <w:rFonts w:hint="eastAsia" w:ascii="仿宋" w:hAnsi="仿宋" w:eastAsia="仿宋" w:cs="仿宋"/>
          <w:color w:val="auto"/>
          <w:sz w:val="22"/>
          <w:szCs w:val="22"/>
        </w:rPr>
        <w:t>提交最终成果后7天内，支付合同金额的20%。</w:t>
      </w:r>
    </w:p>
    <w:p w14:paraId="3EAB377B">
      <w:pPr>
        <w:keepNext w:val="0"/>
        <w:keepLines w:val="0"/>
        <w:pageBreakBefore w:val="0"/>
        <w:widowControl w:val="0"/>
        <w:kinsoku/>
        <w:wordWrap/>
        <w:overflowPunct/>
        <w:topLinePunct w:val="0"/>
        <w:autoSpaceDE w:val="0"/>
        <w:autoSpaceDN w:val="0"/>
        <w:bidi w:val="0"/>
        <w:snapToGrid w:val="0"/>
        <w:spacing w:line="440" w:lineRule="exact"/>
        <w:ind w:firstLine="562" w:firstLineChars="200"/>
        <w:textAlignment w:val="auto"/>
        <w:rPr>
          <w:rFonts w:hint="eastAsia" w:ascii="仿宋" w:hAnsi="仿宋" w:eastAsia="仿宋" w:cs="仿宋"/>
          <w:b/>
          <w:bCs/>
          <w:color w:val="auto"/>
          <w:kern w:val="0"/>
          <w:sz w:val="28"/>
          <w:szCs w:val="28"/>
          <w:highlight w:val="none"/>
        </w:rPr>
      </w:pPr>
      <w:r>
        <w:rPr>
          <w:rFonts w:hint="eastAsia" w:ascii="仿宋" w:hAnsi="仿宋" w:eastAsia="仿宋" w:cs="仿宋"/>
          <w:b/>
          <w:bCs/>
          <w:color w:val="auto"/>
          <w:kern w:val="0"/>
          <w:sz w:val="28"/>
          <w:szCs w:val="28"/>
          <w:highlight w:val="none"/>
        </w:rPr>
        <w:t>十、报价要求</w:t>
      </w:r>
    </w:p>
    <w:p w14:paraId="0A451000">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1、服务理费用以供应商的中标价为准，本项目的服务经费由政府拨款，如因政策影响，拨款未能及时到位，中标方不得以此为由而不履行本项目合同规定的义务。否则，采购人按规定扣罚。</w:t>
      </w:r>
    </w:p>
    <w:p w14:paraId="2E633CD7">
      <w:pPr>
        <w:pStyle w:val="8"/>
        <w:keepNext w:val="0"/>
        <w:keepLines w:val="0"/>
        <w:pageBreakBefore w:val="0"/>
        <w:widowControl w:val="0"/>
        <w:kinsoku/>
        <w:wordWrap/>
        <w:overflowPunct/>
        <w:topLinePunct w:val="0"/>
        <w:bidi w:val="0"/>
        <w:spacing w:line="440" w:lineRule="exact"/>
        <w:ind w:firstLine="440" w:firstLineChars="200"/>
        <w:jc w:val="left"/>
        <w:textAlignment w:val="auto"/>
        <w:rPr>
          <w:rFonts w:hint="eastAsia" w:ascii="仿宋" w:hAnsi="仿宋" w:eastAsia="仿宋" w:cs="仿宋"/>
          <w:color w:val="auto"/>
          <w:kern w:val="0"/>
          <w:sz w:val="22"/>
          <w:highlight w:val="none"/>
        </w:rPr>
      </w:pPr>
      <w:r>
        <w:rPr>
          <w:rFonts w:hint="eastAsia" w:ascii="仿宋" w:hAnsi="仿宋" w:eastAsia="仿宋" w:cs="仿宋"/>
          <w:color w:val="auto"/>
          <w:kern w:val="0"/>
          <w:sz w:val="22"/>
          <w:highlight w:val="none"/>
        </w:rPr>
        <w:t>2、服务费用应包括项目规划设计、图纸资料费、人员工资、项目的评审费、差旅费、利润、税费、约定期限内免费后续服务、无论何种原因导致的工作内容增加或服务期延长、提供服务所需的一切本身和不可或缺的所有工作开支、政策性文件规定及合同包含的所有风险、责任等各项全部费用并承担一切风险责任。</w:t>
      </w:r>
    </w:p>
    <w:p w14:paraId="2EAF7268">
      <w:pPr>
        <w:pStyle w:val="13"/>
        <w:rPr>
          <w:rFonts w:hint="eastAsia" w:ascii="仿宋" w:hAnsi="仿宋" w:eastAsia="仿宋" w:cs="仿宋"/>
          <w:color w:val="auto"/>
          <w:sz w:val="21"/>
          <w:szCs w:val="21"/>
          <w:lang w:val="en-US" w:eastAsia="zh-CN"/>
        </w:rPr>
      </w:pPr>
    </w:p>
    <w:p w14:paraId="1B6105A5">
      <w:pPr>
        <w:jc w:val="center"/>
        <w:rPr>
          <w:rFonts w:hint="eastAsia" w:ascii="仿宋" w:hAnsi="仿宋" w:eastAsia="仿宋" w:cs="仿宋"/>
          <w:b/>
          <w:bCs/>
          <w:color w:val="auto"/>
          <w:sz w:val="32"/>
          <w:szCs w:val="32"/>
          <w:highlight w:val="none"/>
          <w:lang w:eastAsia="zh-CN"/>
        </w:rPr>
      </w:pPr>
    </w:p>
    <w:p w14:paraId="01CD6AFB">
      <w:pPr>
        <w:jc w:val="center"/>
        <w:rPr>
          <w:rFonts w:hint="eastAsia" w:ascii="仿宋" w:hAnsi="仿宋" w:eastAsia="仿宋" w:cs="仿宋"/>
          <w:b/>
          <w:bCs/>
          <w:color w:val="auto"/>
          <w:sz w:val="32"/>
          <w:szCs w:val="32"/>
          <w:highlight w:val="none"/>
          <w:lang w:eastAsia="zh-CN"/>
        </w:rPr>
      </w:pPr>
    </w:p>
    <w:p w14:paraId="03648729">
      <w:pPr>
        <w:jc w:val="center"/>
        <w:rPr>
          <w:rFonts w:hint="eastAsia" w:ascii="仿宋" w:hAnsi="仿宋" w:eastAsia="仿宋" w:cs="仿宋"/>
          <w:b/>
          <w:bCs/>
          <w:color w:val="auto"/>
          <w:sz w:val="32"/>
          <w:szCs w:val="32"/>
          <w:highlight w:val="none"/>
          <w:lang w:eastAsia="zh-CN"/>
        </w:rPr>
      </w:pPr>
    </w:p>
    <w:p w14:paraId="21005BB0">
      <w:pPr>
        <w:jc w:val="center"/>
        <w:rPr>
          <w:rFonts w:hint="eastAsia" w:ascii="仿宋" w:hAnsi="仿宋" w:eastAsia="仿宋" w:cs="仿宋"/>
          <w:b/>
          <w:bCs/>
          <w:color w:val="auto"/>
          <w:sz w:val="32"/>
          <w:szCs w:val="32"/>
          <w:highlight w:val="none"/>
          <w:lang w:eastAsia="zh-CN"/>
        </w:rPr>
      </w:pPr>
    </w:p>
    <w:p w14:paraId="2D9C1BB3">
      <w:pPr>
        <w:jc w:val="center"/>
        <w:rPr>
          <w:rFonts w:hint="eastAsia" w:ascii="仿宋" w:hAnsi="仿宋" w:eastAsia="仿宋" w:cs="仿宋"/>
          <w:b/>
          <w:bCs/>
          <w:color w:val="auto"/>
          <w:sz w:val="32"/>
          <w:szCs w:val="32"/>
          <w:highlight w:val="none"/>
          <w:lang w:eastAsia="zh-CN"/>
        </w:rPr>
      </w:pPr>
    </w:p>
    <w:p w14:paraId="1A391793">
      <w:pPr>
        <w:jc w:val="center"/>
        <w:rPr>
          <w:rFonts w:hint="eastAsia" w:ascii="仿宋" w:hAnsi="仿宋" w:eastAsia="仿宋" w:cs="仿宋"/>
          <w:b/>
          <w:bCs/>
          <w:color w:val="auto"/>
          <w:sz w:val="32"/>
          <w:szCs w:val="32"/>
          <w:highlight w:val="none"/>
          <w:lang w:eastAsia="zh-CN"/>
        </w:rPr>
      </w:pPr>
    </w:p>
    <w:p w14:paraId="3761CF0D">
      <w:pPr>
        <w:rPr>
          <w:rFonts w:hint="eastAsia" w:ascii="仿宋" w:hAnsi="仿宋" w:eastAsia="仿宋" w:cs="仿宋"/>
          <w:color w:val="auto"/>
          <w:lang w:eastAsia="zh-CN"/>
        </w:rPr>
      </w:pPr>
    </w:p>
    <w:p w14:paraId="11492420">
      <w:pPr>
        <w:jc w:val="center"/>
        <w:outlineLvl w:val="0"/>
        <w:rPr>
          <w:rFonts w:hint="eastAsia" w:ascii="仿宋" w:hAnsi="仿宋" w:eastAsia="仿宋" w:cs="仿宋"/>
          <w:b/>
          <w:bCs/>
          <w:color w:val="auto"/>
          <w:sz w:val="44"/>
          <w:szCs w:val="44"/>
          <w:highlight w:val="none"/>
          <w:lang w:val="en-US" w:eastAsia="zh-CN"/>
        </w:rPr>
      </w:pPr>
      <w:bookmarkStart w:id="78" w:name="_Toc21230"/>
      <w:r>
        <w:rPr>
          <w:rFonts w:hint="eastAsia" w:ascii="仿宋" w:hAnsi="仿宋" w:eastAsia="仿宋" w:cs="仿宋"/>
          <w:b/>
          <w:bCs/>
          <w:color w:val="auto"/>
          <w:sz w:val="44"/>
          <w:szCs w:val="44"/>
          <w:highlight w:val="none"/>
          <w:lang w:eastAsia="zh-CN"/>
        </w:rPr>
        <w:t>第四章</w:t>
      </w:r>
      <w:r>
        <w:rPr>
          <w:rFonts w:hint="eastAsia" w:ascii="仿宋" w:hAnsi="仿宋" w:eastAsia="仿宋" w:cs="仿宋"/>
          <w:b/>
          <w:bCs/>
          <w:color w:val="auto"/>
          <w:sz w:val="44"/>
          <w:szCs w:val="44"/>
          <w:highlight w:val="none"/>
          <w:lang w:val="en-US" w:eastAsia="zh-CN"/>
        </w:rPr>
        <w:t xml:space="preserve">  </w:t>
      </w:r>
      <w:r>
        <w:rPr>
          <w:rFonts w:hint="eastAsia" w:ascii="仿宋" w:hAnsi="仿宋" w:eastAsia="仿宋" w:cs="仿宋"/>
          <w:b/>
          <w:bCs/>
          <w:color w:val="auto"/>
          <w:sz w:val="44"/>
          <w:szCs w:val="44"/>
          <w:highlight w:val="none"/>
          <w:lang w:eastAsia="zh-CN"/>
        </w:rPr>
        <w:t>合同</w:t>
      </w:r>
      <w:r>
        <w:rPr>
          <w:rFonts w:hint="eastAsia" w:ascii="仿宋" w:hAnsi="仿宋" w:eastAsia="仿宋" w:cs="仿宋"/>
          <w:b/>
          <w:bCs/>
          <w:color w:val="auto"/>
          <w:sz w:val="44"/>
          <w:szCs w:val="44"/>
          <w:highlight w:val="none"/>
          <w:lang w:val="en-US" w:eastAsia="zh-CN"/>
        </w:rPr>
        <w:t>主要条款</w:t>
      </w:r>
      <w:bookmarkEnd w:id="78"/>
    </w:p>
    <w:p w14:paraId="592372FC">
      <w:pPr>
        <w:widowControl/>
        <w:spacing w:before="317" w:beforeLines="100" w:after="317" w:afterLines="100" w:line="360" w:lineRule="auto"/>
        <w:ind w:left="210" w:leftChars="100" w:right="210" w:rightChars="100"/>
        <w:jc w:val="center"/>
        <w:rPr>
          <w:rFonts w:hint="eastAsia" w:ascii="仿宋" w:hAnsi="仿宋" w:eastAsia="仿宋" w:cs="仿宋"/>
          <w:b/>
          <w:color w:val="auto"/>
          <w:sz w:val="52"/>
          <w:szCs w:val="44"/>
          <w:highlight w:val="yellow"/>
        </w:rPr>
      </w:pPr>
      <w:bookmarkStart w:id="79" w:name="_Toc6691"/>
    </w:p>
    <w:p w14:paraId="38F9CFF3">
      <w:pPr>
        <w:widowControl/>
        <w:spacing w:before="317" w:beforeLines="100" w:after="317" w:afterLines="100" w:line="360" w:lineRule="auto"/>
        <w:ind w:left="210" w:leftChars="100" w:right="210" w:rightChars="100"/>
        <w:jc w:val="center"/>
        <w:rPr>
          <w:rFonts w:hint="eastAsia" w:ascii="仿宋" w:hAnsi="仿宋" w:eastAsia="仿宋" w:cs="仿宋"/>
          <w:b/>
          <w:bCs/>
          <w:color w:val="auto"/>
          <w:sz w:val="52"/>
          <w:szCs w:val="44"/>
          <w:highlight w:val="none"/>
        </w:rPr>
      </w:pPr>
      <w:r>
        <w:rPr>
          <w:rFonts w:hint="eastAsia" w:ascii="仿宋" w:hAnsi="仿宋" w:eastAsia="仿宋" w:cs="仿宋"/>
          <w:b/>
          <w:color w:val="auto"/>
          <w:sz w:val="52"/>
          <w:szCs w:val="44"/>
          <w:highlight w:val="none"/>
        </w:rPr>
        <w:t>项目合同书</w:t>
      </w:r>
    </w:p>
    <w:p w14:paraId="3DCFA5BA">
      <w:pPr>
        <w:widowControl/>
        <w:spacing w:before="317" w:beforeLines="100" w:after="317" w:afterLines="100" w:line="400" w:lineRule="exact"/>
        <w:ind w:firstLine="562" w:firstLineChars="200"/>
        <w:rPr>
          <w:rFonts w:hint="eastAsia" w:ascii="仿宋" w:hAnsi="仿宋" w:eastAsia="仿宋" w:cs="仿宋"/>
          <w:b/>
          <w:color w:val="auto"/>
          <w:sz w:val="28"/>
          <w:szCs w:val="28"/>
          <w:highlight w:val="none"/>
          <w:u w:val="single"/>
        </w:rPr>
      </w:pPr>
      <w:r>
        <w:rPr>
          <w:rFonts w:hint="eastAsia" w:ascii="仿宋" w:hAnsi="仿宋" w:eastAsia="仿宋" w:cs="仿宋"/>
          <w:b/>
          <w:color w:val="auto"/>
          <w:sz w:val="28"/>
          <w:szCs w:val="28"/>
          <w:highlight w:val="none"/>
        </w:rPr>
        <w:t>项目名称：</w:t>
      </w:r>
      <w:r>
        <w:rPr>
          <w:rFonts w:hint="eastAsia" w:ascii="仿宋" w:hAnsi="仿宋" w:eastAsia="仿宋" w:cs="仿宋"/>
          <w:b/>
          <w:color w:val="auto"/>
          <w:sz w:val="28"/>
          <w:szCs w:val="28"/>
          <w:highlight w:val="none"/>
          <w:u w:val="single"/>
        </w:rPr>
        <w:t xml:space="preserve">                                         </w:t>
      </w:r>
    </w:p>
    <w:p w14:paraId="3657D21E">
      <w:pPr>
        <w:widowControl/>
        <w:spacing w:before="317" w:beforeLines="100" w:after="317" w:afterLines="100" w:line="400" w:lineRule="exact"/>
        <w:ind w:firstLine="1968" w:firstLineChars="7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u w:val="single"/>
        </w:rPr>
        <w:t xml:space="preserve">                                         </w:t>
      </w:r>
    </w:p>
    <w:p w14:paraId="40E685DF">
      <w:pPr>
        <w:widowControl/>
        <w:spacing w:before="317" w:beforeLines="100" w:after="317" w:afterLines="100" w:line="400" w:lineRule="exact"/>
        <w:ind w:firstLine="562" w:firstLineChars="200"/>
        <w:rPr>
          <w:rFonts w:hint="eastAsia" w:ascii="仿宋" w:hAnsi="仿宋" w:eastAsia="仿宋" w:cs="仿宋"/>
          <w:b/>
          <w:color w:val="auto"/>
          <w:sz w:val="28"/>
          <w:szCs w:val="28"/>
          <w:highlight w:val="none"/>
          <w:u w:val="single"/>
        </w:rPr>
      </w:pPr>
      <w:r>
        <w:rPr>
          <w:rFonts w:hint="eastAsia" w:ascii="仿宋" w:hAnsi="仿宋" w:eastAsia="仿宋" w:cs="仿宋"/>
          <w:b/>
          <w:color w:val="auto"/>
          <w:sz w:val="28"/>
          <w:szCs w:val="28"/>
          <w:highlight w:val="none"/>
        </w:rPr>
        <w:t>项目编号</w:t>
      </w:r>
      <w:r>
        <w:rPr>
          <w:rFonts w:hint="eastAsia" w:ascii="仿宋" w:hAnsi="仿宋" w:eastAsia="仿宋" w:cs="仿宋"/>
          <w:b/>
          <w:color w:val="auto"/>
          <w:kern w:val="0"/>
          <w:sz w:val="28"/>
          <w:szCs w:val="28"/>
          <w:highlight w:val="none"/>
        </w:rPr>
        <w:t>：</w:t>
      </w:r>
      <w:r>
        <w:rPr>
          <w:rFonts w:hint="eastAsia" w:ascii="仿宋" w:hAnsi="仿宋" w:eastAsia="仿宋" w:cs="仿宋"/>
          <w:b/>
          <w:color w:val="auto"/>
          <w:sz w:val="28"/>
          <w:szCs w:val="28"/>
          <w:highlight w:val="none"/>
          <w:u w:val="single"/>
        </w:rPr>
        <w:t xml:space="preserve">                                         </w:t>
      </w:r>
    </w:p>
    <w:p w14:paraId="7430B7E9">
      <w:pPr>
        <w:widowControl/>
        <w:spacing w:before="317" w:beforeLines="100" w:after="317" w:afterLines="100" w:line="400" w:lineRule="exact"/>
        <w:ind w:firstLine="562" w:firstLineChars="20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甲    方：</w:t>
      </w:r>
      <w:r>
        <w:rPr>
          <w:rFonts w:hint="eastAsia" w:ascii="仿宋" w:hAnsi="仿宋" w:eastAsia="仿宋" w:cs="仿宋"/>
          <w:b/>
          <w:color w:val="auto"/>
          <w:kern w:val="0"/>
          <w:sz w:val="28"/>
          <w:szCs w:val="28"/>
          <w:highlight w:val="none"/>
          <w:u w:val="single"/>
        </w:rPr>
        <w:t xml:space="preserve">                                        </w:t>
      </w:r>
    </w:p>
    <w:p w14:paraId="124292E1">
      <w:pPr>
        <w:widowControl/>
        <w:spacing w:before="317" w:beforeLines="100" w:after="317" w:afterLines="100" w:line="400" w:lineRule="exact"/>
        <w:ind w:firstLine="562" w:firstLineChars="200"/>
        <w:rPr>
          <w:rFonts w:hint="eastAsia" w:ascii="仿宋" w:hAnsi="仿宋" w:eastAsia="仿宋" w:cs="仿宋"/>
          <w:b/>
          <w:color w:val="auto"/>
          <w:sz w:val="28"/>
          <w:szCs w:val="28"/>
          <w:highlight w:val="none"/>
          <w:u w:val="single"/>
        </w:rPr>
      </w:pPr>
      <w:r>
        <w:rPr>
          <w:rFonts w:hint="eastAsia" w:ascii="仿宋" w:hAnsi="仿宋" w:eastAsia="仿宋" w:cs="仿宋"/>
          <w:b/>
          <w:color w:val="auto"/>
          <w:kern w:val="0"/>
          <w:sz w:val="28"/>
          <w:szCs w:val="28"/>
          <w:highlight w:val="none"/>
        </w:rPr>
        <w:t>乙    方：</w:t>
      </w:r>
      <w:r>
        <w:rPr>
          <w:rFonts w:hint="eastAsia" w:ascii="仿宋" w:hAnsi="仿宋" w:eastAsia="仿宋" w:cs="仿宋"/>
          <w:b/>
          <w:color w:val="auto"/>
          <w:sz w:val="28"/>
          <w:szCs w:val="28"/>
          <w:highlight w:val="none"/>
          <w:u w:val="single"/>
        </w:rPr>
        <w:t xml:space="preserve">                                        </w:t>
      </w:r>
    </w:p>
    <w:p w14:paraId="7F7EE4A4">
      <w:pPr>
        <w:widowControl/>
        <w:spacing w:before="317" w:beforeLines="100" w:after="317" w:afterLines="100" w:line="400" w:lineRule="exact"/>
        <w:ind w:firstLine="562" w:firstLineChars="200"/>
        <w:rPr>
          <w:rFonts w:hint="eastAsia" w:ascii="仿宋" w:hAnsi="仿宋" w:eastAsia="仿宋" w:cs="仿宋"/>
          <w:b/>
          <w:color w:val="auto"/>
          <w:sz w:val="28"/>
          <w:szCs w:val="28"/>
          <w:highlight w:val="none"/>
          <w:u w:val="single"/>
        </w:rPr>
      </w:pPr>
      <w:r>
        <w:rPr>
          <w:rFonts w:hint="eastAsia" w:ascii="仿宋" w:hAnsi="仿宋" w:eastAsia="仿宋" w:cs="仿宋"/>
          <w:b/>
          <w:color w:val="auto"/>
          <w:sz w:val="28"/>
          <w:szCs w:val="28"/>
          <w:highlight w:val="none"/>
        </w:rPr>
        <w:t>签订日期：</w:t>
      </w:r>
      <w:r>
        <w:rPr>
          <w:rFonts w:hint="eastAsia" w:ascii="仿宋" w:hAnsi="仿宋" w:eastAsia="仿宋" w:cs="仿宋"/>
          <w:b/>
          <w:color w:val="auto"/>
          <w:sz w:val="28"/>
          <w:szCs w:val="28"/>
          <w:highlight w:val="none"/>
          <w:u w:val="single"/>
        </w:rPr>
        <w:t xml:space="preserve">           年  月                           </w:t>
      </w:r>
    </w:p>
    <w:p w14:paraId="55F88859">
      <w:pPr>
        <w:widowControl/>
        <w:spacing w:before="317" w:beforeLines="100" w:after="317" w:afterLines="100" w:line="400" w:lineRule="exact"/>
        <w:ind w:firstLine="562" w:firstLineChars="200"/>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签订地点：</w:t>
      </w:r>
      <w:r>
        <w:rPr>
          <w:rFonts w:hint="eastAsia" w:ascii="仿宋" w:hAnsi="仿宋" w:eastAsia="仿宋" w:cs="仿宋"/>
          <w:b/>
          <w:color w:val="auto"/>
          <w:sz w:val="28"/>
          <w:szCs w:val="28"/>
          <w:highlight w:val="none"/>
          <w:u w:val="single"/>
        </w:rPr>
        <w:t xml:space="preserve">                                        </w:t>
      </w:r>
    </w:p>
    <w:p w14:paraId="0C9FA7BF">
      <w:pPr>
        <w:widowControl/>
        <w:spacing w:before="317" w:beforeLines="100" w:after="317" w:afterLines="100" w:line="400" w:lineRule="exact"/>
        <w:ind w:firstLine="562" w:firstLineChars="200"/>
        <w:rPr>
          <w:rFonts w:hint="eastAsia" w:ascii="仿宋" w:hAnsi="仿宋" w:eastAsia="仿宋" w:cs="仿宋"/>
          <w:color w:val="auto"/>
          <w:sz w:val="28"/>
          <w:szCs w:val="28"/>
          <w:highlight w:val="none"/>
        </w:rPr>
      </w:pPr>
      <w:r>
        <w:rPr>
          <w:rFonts w:hint="eastAsia" w:ascii="仿宋" w:hAnsi="仿宋" w:eastAsia="仿宋" w:cs="仿宋"/>
          <w:b/>
          <w:color w:val="auto"/>
          <w:sz w:val="28"/>
          <w:szCs w:val="28"/>
          <w:highlight w:val="none"/>
        </w:rPr>
        <w:t>有效期限：</w:t>
      </w:r>
      <w:r>
        <w:rPr>
          <w:rFonts w:hint="eastAsia" w:ascii="仿宋" w:hAnsi="仿宋" w:eastAsia="仿宋" w:cs="仿宋"/>
          <w:b/>
          <w:color w:val="auto"/>
          <w:sz w:val="28"/>
          <w:szCs w:val="28"/>
          <w:highlight w:val="none"/>
          <w:u w:val="single"/>
        </w:rPr>
        <w:t xml:space="preserve">    年  月至    年  月                  </w:t>
      </w:r>
    </w:p>
    <w:p w14:paraId="16F5A9E5">
      <w:pPr>
        <w:spacing w:after="120"/>
        <w:ind w:firstLine="210" w:firstLineChars="100"/>
        <w:rPr>
          <w:rFonts w:hint="eastAsia" w:ascii="仿宋" w:hAnsi="仿宋" w:eastAsia="仿宋" w:cs="仿宋"/>
          <w:color w:val="auto"/>
          <w:szCs w:val="22"/>
          <w:highlight w:val="yellow"/>
        </w:rPr>
      </w:pPr>
    </w:p>
    <w:p w14:paraId="7507210F">
      <w:pPr>
        <w:snapToGrid w:val="0"/>
        <w:spacing w:after="158" w:afterLines="50" w:line="360" w:lineRule="auto"/>
        <w:rPr>
          <w:rFonts w:hint="eastAsia" w:ascii="仿宋" w:hAnsi="仿宋" w:eastAsia="仿宋" w:cs="仿宋"/>
          <w:b/>
          <w:bCs/>
          <w:color w:val="auto"/>
          <w:sz w:val="24"/>
          <w:highlight w:val="yellow"/>
        </w:rPr>
      </w:pPr>
      <w:bookmarkStart w:id="80" w:name="_Toc359577617"/>
      <w:bookmarkStart w:id="81" w:name="_Toc454467944"/>
      <w:bookmarkStart w:id="82" w:name="_Toc249760797"/>
      <w:bookmarkStart w:id="83" w:name="_Toc428884242"/>
      <w:bookmarkStart w:id="84" w:name="_Toc234764855"/>
      <w:bookmarkStart w:id="85" w:name="_Toc251566668"/>
    </w:p>
    <w:p w14:paraId="3AF043F7">
      <w:pPr>
        <w:spacing w:after="120" w:line="360" w:lineRule="auto"/>
        <w:ind w:left="420" w:leftChars="200" w:firstLine="420"/>
        <w:jc w:val="left"/>
        <w:rPr>
          <w:rFonts w:hint="eastAsia" w:ascii="仿宋" w:hAnsi="仿宋" w:eastAsia="仿宋" w:cs="仿宋"/>
          <w:color w:val="auto"/>
          <w:kern w:val="0"/>
          <w:szCs w:val="21"/>
          <w:highlight w:val="yellow"/>
        </w:rPr>
        <w:sectPr>
          <w:footerReference r:id="rId6" w:type="default"/>
          <w:pgSz w:w="11906" w:h="16838"/>
          <w:pgMar w:top="1440" w:right="1134" w:bottom="1440" w:left="1134" w:header="850" w:footer="992" w:gutter="0"/>
          <w:pgNumType w:fmt="decimal" w:start="1"/>
          <w:cols w:space="720" w:num="1"/>
          <w:docGrid w:type="lines" w:linePitch="317" w:charSpace="0"/>
        </w:sectPr>
      </w:pPr>
    </w:p>
    <w:p w14:paraId="7981B12D">
      <w:pPr>
        <w:snapToGrid w:val="0"/>
        <w:spacing w:line="440" w:lineRule="exact"/>
        <w:ind w:firstLine="422" w:firstLineChars="200"/>
        <w:rPr>
          <w:rFonts w:hint="eastAsia" w:ascii="仿宋" w:hAnsi="仿宋" w:eastAsia="仿宋" w:cs="仿宋"/>
          <w:color w:val="auto"/>
          <w:szCs w:val="21"/>
          <w:highlight w:val="none"/>
          <w:u w:val="single"/>
        </w:rPr>
      </w:pPr>
      <w:r>
        <w:rPr>
          <w:rFonts w:hint="eastAsia" w:ascii="仿宋" w:hAnsi="仿宋" w:eastAsia="仿宋" w:cs="仿宋"/>
          <w:b/>
          <w:bCs/>
          <w:color w:val="auto"/>
          <w:szCs w:val="21"/>
          <w:highlight w:val="none"/>
        </w:rPr>
        <w:t>项目名称：</w:t>
      </w:r>
      <w:r>
        <w:rPr>
          <w:rFonts w:hint="eastAsia" w:ascii="仿宋" w:hAnsi="仿宋" w:eastAsia="仿宋" w:cs="仿宋"/>
          <w:color w:val="auto"/>
          <w:szCs w:val="21"/>
          <w:highlight w:val="none"/>
          <w:u w:val="single"/>
        </w:rPr>
        <w:t xml:space="preserve">                                                 </w:t>
      </w:r>
    </w:p>
    <w:p w14:paraId="0D7F33AC">
      <w:pPr>
        <w:snapToGrid w:val="0"/>
        <w:spacing w:line="440" w:lineRule="exact"/>
        <w:ind w:firstLine="422" w:firstLineChars="200"/>
        <w:rPr>
          <w:rFonts w:hint="eastAsia" w:ascii="仿宋" w:hAnsi="仿宋" w:eastAsia="仿宋" w:cs="仿宋"/>
          <w:color w:val="auto"/>
          <w:szCs w:val="21"/>
          <w:highlight w:val="none"/>
          <w:u w:val="single"/>
        </w:rPr>
      </w:pPr>
      <w:r>
        <w:rPr>
          <w:rFonts w:hint="eastAsia" w:ascii="仿宋" w:hAnsi="仿宋" w:eastAsia="仿宋" w:cs="仿宋"/>
          <w:b/>
          <w:bCs/>
          <w:color w:val="auto"/>
          <w:szCs w:val="21"/>
          <w:highlight w:val="none"/>
        </w:rPr>
        <w:t>项目编号：</w:t>
      </w:r>
      <w:r>
        <w:rPr>
          <w:rFonts w:hint="eastAsia" w:ascii="仿宋" w:hAnsi="仿宋" w:eastAsia="仿宋" w:cs="仿宋"/>
          <w:color w:val="auto"/>
          <w:szCs w:val="21"/>
          <w:highlight w:val="none"/>
          <w:u w:val="single"/>
        </w:rPr>
        <w:t xml:space="preserve">                                                  </w:t>
      </w:r>
    </w:p>
    <w:p w14:paraId="7FCCA0D8">
      <w:pPr>
        <w:snapToGrid w:val="0"/>
        <w:spacing w:line="440" w:lineRule="exact"/>
        <w:ind w:firstLine="422" w:firstLineChars="200"/>
        <w:rPr>
          <w:rFonts w:hint="eastAsia" w:ascii="仿宋" w:hAnsi="仿宋" w:eastAsia="仿宋" w:cs="仿宋"/>
          <w:color w:val="auto"/>
          <w:szCs w:val="21"/>
          <w:highlight w:val="none"/>
          <w:u w:val="single"/>
        </w:rPr>
      </w:pPr>
      <w:r>
        <w:rPr>
          <w:rFonts w:hint="eastAsia" w:ascii="仿宋" w:hAnsi="仿宋" w:eastAsia="仿宋" w:cs="仿宋"/>
          <w:b/>
          <w:bCs/>
          <w:color w:val="auto"/>
          <w:szCs w:val="21"/>
          <w:highlight w:val="none"/>
        </w:rPr>
        <w:t>委托方（甲方）：</w:t>
      </w:r>
      <w:r>
        <w:rPr>
          <w:rFonts w:hint="eastAsia" w:ascii="仿宋" w:hAnsi="仿宋" w:eastAsia="仿宋" w:cs="仿宋"/>
          <w:color w:val="auto"/>
          <w:szCs w:val="21"/>
          <w:highlight w:val="none"/>
          <w:u w:val="single"/>
        </w:rPr>
        <w:t xml:space="preserve">                                            </w:t>
      </w:r>
    </w:p>
    <w:p w14:paraId="7CD4BE5C">
      <w:pPr>
        <w:tabs>
          <w:tab w:val="left" w:pos="8280"/>
        </w:tabs>
        <w:snapToGrid w:val="0"/>
        <w:spacing w:line="440" w:lineRule="exact"/>
        <w:ind w:firstLine="422" w:firstLineChars="200"/>
        <w:rPr>
          <w:rFonts w:hint="eastAsia" w:ascii="仿宋" w:hAnsi="仿宋" w:eastAsia="仿宋" w:cs="仿宋"/>
          <w:color w:val="auto"/>
          <w:szCs w:val="21"/>
          <w:highlight w:val="none"/>
          <w:u w:val="single"/>
        </w:rPr>
      </w:pPr>
      <w:r>
        <w:rPr>
          <w:rFonts w:hint="eastAsia" w:ascii="仿宋" w:hAnsi="仿宋" w:eastAsia="仿宋" w:cs="仿宋"/>
          <w:b/>
          <w:bCs/>
          <w:color w:val="auto"/>
          <w:szCs w:val="21"/>
          <w:highlight w:val="none"/>
        </w:rPr>
        <w:t>受托方（乙方）：</w:t>
      </w:r>
      <w:r>
        <w:rPr>
          <w:rFonts w:hint="eastAsia" w:ascii="仿宋" w:hAnsi="仿宋" w:eastAsia="仿宋" w:cs="仿宋"/>
          <w:color w:val="auto"/>
          <w:szCs w:val="21"/>
          <w:highlight w:val="none"/>
          <w:u w:val="single"/>
        </w:rPr>
        <w:t xml:space="preserve">                                             </w:t>
      </w:r>
    </w:p>
    <w:p w14:paraId="0BB892E3">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根据《中华人民共和国政府采购法》、《中华人民共和国</w:t>
      </w:r>
      <w:r>
        <w:rPr>
          <w:rFonts w:hint="eastAsia" w:ascii="仿宋" w:hAnsi="仿宋" w:eastAsia="仿宋" w:cs="仿宋"/>
          <w:color w:val="auto"/>
          <w:szCs w:val="21"/>
          <w:highlight w:val="none"/>
          <w:lang w:eastAsia="zh-Hans"/>
        </w:rPr>
        <w:t>民法典</w:t>
      </w:r>
      <w:r>
        <w:rPr>
          <w:rFonts w:hint="eastAsia" w:ascii="仿宋" w:hAnsi="仿宋" w:eastAsia="仿宋" w:cs="仿宋"/>
          <w:color w:val="auto"/>
          <w:szCs w:val="21"/>
          <w:highlight w:val="none"/>
        </w:rPr>
        <w:t>》及有关法律规定，遵循平等、自愿、公平和诚实信用的原则，双方就</w:t>
      </w:r>
      <w:r>
        <w:rPr>
          <w:rFonts w:hint="eastAsia" w:ascii="仿宋" w:hAnsi="仿宋" w:eastAsia="仿宋" w:cs="仿宋"/>
          <w:color w:val="auto"/>
          <w:szCs w:val="21"/>
          <w:highlight w:val="none"/>
          <w:u w:val="single"/>
        </w:rPr>
        <w:t xml:space="preserve">  （项目名称）  </w:t>
      </w:r>
      <w:r>
        <w:rPr>
          <w:rFonts w:hint="eastAsia" w:ascii="仿宋" w:hAnsi="仿宋" w:eastAsia="仿宋" w:cs="仿宋"/>
          <w:color w:val="auto"/>
          <w:szCs w:val="21"/>
          <w:highlight w:val="none"/>
        </w:rPr>
        <w:t>委托的有关事项协商一致，共同达成如下协议：</w:t>
      </w:r>
    </w:p>
    <w:p w14:paraId="2A4C92C6">
      <w:pPr>
        <w:spacing w:line="440" w:lineRule="exact"/>
        <w:ind w:firstLine="422" w:firstLineChars="200"/>
        <w:contextualSpacing/>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第一条</w:t>
      </w:r>
      <w:r>
        <w:rPr>
          <w:rFonts w:hint="eastAsia" w:ascii="仿宋" w:hAnsi="仿宋" w:eastAsia="仿宋" w:cs="仿宋"/>
          <w:color w:val="auto"/>
          <w:szCs w:val="21"/>
          <w:highlight w:val="none"/>
        </w:rPr>
        <w:t xml:space="preserve">  鉴于乙方具备提供技术服务的能力、条件及专门的技术知识，甲方委托乙方就</w:t>
      </w:r>
      <w:r>
        <w:rPr>
          <w:rFonts w:hint="eastAsia" w:ascii="仿宋" w:hAnsi="仿宋" w:eastAsia="仿宋" w:cs="仿宋"/>
          <w:color w:val="auto"/>
          <w:szCs w:val="21"/>
          <w:highlight w:val="none"/>
          <w:u w:val="single"/>
        </w:rPr>
        <w:t xml:space="preserve">  （项目名称）  </w:t>
      </w:r>
      <w:r>
        <w:rPr>
          <w:rFonts w:hint="eastAsia" w:ascii="仿宋" w:hAnsi="仿宋" w:eastAsia="仿宋" w:cs="仿宋"/>
          <w:color w:val="auto"/>
          <w:szCs w:val="21"/>
          <w:highlight w:val="none"/>
        </w:rPr>
        <w:t>进行技术服务，并支付相应的技术服务报酬。</w:t>
      </w:r>
    </w:p>
    <w:p w14:paraId="09A2C0BE">
      <w:pPr>
        <w:spacing w:line="440" w:lineRule="exact"/>
        <w:ind w:firstLine="422" w:firstLineChars="200"/>
        <w:contextualSpacing/>
        <w:rPr>
          <w:rFonts w:hint="eastAsia" w:ascii="仿宋" w:hAnsi="仿宋" w:eastAsia="仿宋" w:cs="仿宋"/>
          <w:color w:val="auto"/>
          <w:szCs w:val="21"/>
          <w:highlight w:val="none"/>
        </w:rPr>
      </w:pPr>
      <w:r>
        <w:rPr>
          <w:rFonts w:hint="eastAsia" w:ascii="仿宋" w:hAnsi="仿宋" w:eastAsia="仿宋" w:cs="仿宋"/>
          <w:b/>
          <w:color w:val="auto"/>
          <w:szCs w:val="21"/>
          <w:highlight w:val="none"/>
        </w:rPr>
        <w:t>第二条</w:t>
      </w:r>
      <w:r>
        <w:rPr>
          <w:rFonts w:hint="eastAsia" w:ascii="仿宋" w:hAnsi="仿宋" w:eastAsia="仿宋" w:cs="仿宋"/>
          <w:color w:val="auto"/>
          <w:szCs w:val="21"/>
          <w:highlight w:val="none"/>
        </w:rPr>
        <w:t xml:space="preserve">  乙方应按下列要求完成技术服务工作：</w:t>
      </w:r>
    </w:p>
    <w:p w14:paraId="7C341740">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1．技术服务咨询的地点：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8FBC11E">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2．技术服务咨询的期限：</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规划编制拟定30天内完成。</w:t>
      </w:r>
      <w:r>
        <w:rPr>
          <w:rFonts w:hint="eastAsia" w:ascii="仿宋" w:hAnsi="仿宋" w:eastAsia="仿宋" w:cs="仿宋"/>
          <w:color w:val="auto"/>
          <w:szCs w:val="21"/>
          <w:highlight w:val="none"/>
          <w:u w:val="single"/>
        </w:rPr>
        <w:t>第一阶段：</w:t>
      </w:r>
      <w:r>
        <w:rPr>
          <w:rFonts w:hint="eastAsia" w:ascii="仿宋" w:hAnsi="仿宋" w:eastAsia="仿宋" w:cs="仿宋"/>
          <w:color w:val="auto"/>
          <w:szCs w:val="21"/>
          <w:highlight w:val="none"/>
          <w:u w:val="single"/>
          <w:lang w:val="en-US" w:eastAsia="zh-CN"/>
        </w:rPr>
        <w:t>15天内完成</w:t>
      </w:r>
      <w:r>
        <w:rPr>
          <w:rFonts w:hint="eastAsia" w:ascii="仿宋" w:hAnsi="仿宋" w:eastAsia="仿宋" w:cs="仿宋"/>
          <w:color w:val="auto"/>
          <w:szCs w:val="21"/>
          <w:highlight w:val="none"/>
          <w:u w:val="single"/>
        </w:rPr>
        <w:t>前期调研和</w:t>
      </w:r>
      <w:r>
        <w:rPr>
          <w:rFonts w:hint="eastAsia" w:ascii="仿宋" w:hAnsi="仿宋" w:eastAsia="仿宋" w:cs="仿宋"/>
          <w:color w:val="auto"/>
          <w:szCs w:val="21"/>
          <w:highlight w:val="none"/>
          <w:u w:val="single"/>
          <w:lang w:val="en-US" w:eastAsia="zh-CN"/>
        </w:rPr>
        <w:t>控规调整的</w:t>
      </w:r>
      <w:r>
        <w:rPr>
          <w:rFonts w:hint="eastAsia" w:ascii="仿宋" w:hAnsi="仿宋" w:eastAsia="仿宋" w:cs="仿宋"/>
          <w:color w:val="auto"/>
          <w:szCs w:val="21"/>
          <w:highlight w:val="none"/>
          <w:u w:val="single"/>
        </w:rPr>
        <w:t>初步成果编制。第二阶段：</w:t>
      </w:r>
      <w:r>
        <w:rPr>
          <w:rFonts w:hint="eastAsia" w:ascii="仿宋" w:hAnsi="仿宋" w:eastAsia="仿宋" w:cs="仿宋"/>
          <w:color w:val="auto"/>
          <w:szCs w:val="21"/>
          <w:highlight w:val="none"/>
          <w:u w:val="single"/>
          <w:lang w:val="en-US" w:eastAsia="zh-CN"/>
        </w:rPr>
        <w:t>15天内，结合意见调整编制最终成果并经采购单位同意</w:t>
      </w:r>
      <w:r>
        <w:rPr>
          <w:rFonts w:hint="eastAsia" w:ascii="仿宋" w:hAnsi="仿宋" w:eastAsia="仿宋" w:cs="仿宋"/>
          <w:color w:val="auto"/>
          <w:szCs w:val="21"/>
          <w:highlight w:val="none"/>
        </w:rPr>
        <w:t>；</w:t>
      </w:r>
    </w:p>
    <w:p w14:paraId="546603C9">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3．技术服务咨询的进度：</w:t>
      </w:r>
      <w:r>
        <w:rPr>
          <w:rFonts w:hint="eastAsia" w:ascii="仿宋" w:hAnsi="仿宋" w:eastAsia="仿宋" w:cs="仿宋"/>
          <w:color w:val="auto"/>
          <w:szCs w:val="21"/>
          <w:highlight w:val="none"/>
          <w:u w:val="single"/>
        </w:rPr>
        <w:t xml:space="preserve">             根据甲方工作要求                </w:t>
      </w:r>
      <w:r>
        <w:rPr>
          <w:rFonts w:hint="eastAsia" w:ascii="仿宋" w:hAnsi="仿宋" w:eastAsia="仿宋" w:cs="仿宋"/>
          <w:color w:val="auto"/>
          <w:szCs w:val="21"/>
          <w:highlight w:val="none"/>
        </w:rPr>
        <w:t>；</w:t>
      </w:r>
    </w:p>
    <w:p w14:paraId="3E2F07B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4．技术服务咨询的质量要求：</w:t>
      </w:r>
      <w:r>
        <w:rPr>
          <w:rFonts w:hint="eastAsia" w:ascii="仿宋" w:hAnsi="仿宋" w:eastAsia="仿宋" w:cs="仿宋"/>
          <w:color w:val="auto"/>
          <w:szCs w:val="21"/>
          <w:highlight w:val="none"/>
          <w:u w:val="single"/>
        </w:rPr>
        <w:t xml:space="preserve">            符合相关技术标准             </w:t>
      </w:r>
      <w:r>
        <w:rPr>
          <w:rFonts w:hint="eastAsia" w:ascii="仿宋" w:hAnsi="仿宋" w:eastAsia="仿宋" w:cs="仿宋"/>
          <w:color w:val="auto"/>
          <w:szCs w:val="21"/>
          <w:highlight w:val="none"/>
        </w:rPr>
        <w:t>。</w:t>
      </w:r>
    </w:p>
    <w:p w14:paraId="5CAA3699">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第三条 乙方为完成本项目而组建的项目团队：</w:t>
      </w:r>
    </w:p>
    <w:p w14:paraId="7EE1817E">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1．项目负责人：</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F7F25B2">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2．常驻人员：</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7C7EC0A">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3．其他项目组成员：</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79A988B">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第四条  为保证乙方有效进行技术服务工作，甲方应当向乙方提供下列工作条件和协作事项：</w:t>
      </w:r>
    </w:p>
    <w:p w14:paraId="4533C3DC">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1．提供技术资料：</w:t>
      </w:r>
    </w:p>
    <w:p w14:paraId="5C4CC8E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764E18C">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0EFB3B1">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54D9DF74">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2．提供工作条件：</w:t>
      </w:r>
      <w:r>
        <w:rPr>
          <w:rFonts w:hint="eastAsia" w:ascii="仿宋" w:hAnsi="仿宋" w:eastAsia="仿宋" w:cs="仿宋"/>
          <w:color w:val="auto"/>
          <w:szCs w:val="21"/>
          <w:highlight w:val="none"/>
          <w:u w:val="single"/>
        </w:rPr>
        <w:t xml:space="preserve">    结合项目内容具体开展情况确定即可              </w:t>
      </w:r>
      <w:r>
        <w:rPr>
          <w:rFonts w:hint="eastAsia" w:ascii="仿宋" w:hAnsi="仿宋" w:eastAsia="仿宋" w:cs="仿宋"/>
          <w:color w:val="auto"/>
          <w:szCs w:val="21"/>
          <w:highlight w:val="none"/>
        </w:rPr>
        <w:t>。</w:t>
      </w:r>
    </w:p>
    <w:p w14:paraId="1182C8AE">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D728E18">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第五条  甲方向乙方支付技术服务报酬及支付方式为：</w:t>
      </w:r>
    </w:p>
    <w:p w14:paraId="2CC8B8E8">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1．技术服务咨询费总额为：人民币</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元，大写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整，以上费用已包含本项目执行中相关的检验费、试验费、报告编制费、调研费、工具费、研讨费、论证费、场地费、评审费、专家费、会务费、人员劳务费、差旅费、办公费、保险费、通信费、不可预见费、采购代理服务费、税费、管理费、利润等各项完成本项目所需的全部费用，及合同中明示或暗示的所有风险、责任和义务。如有漏项，视同已包含在项目中，合同总价不予调整。甲方无需另行支付增值税税款。</w:t>
      </w:r>
    </w:p>
    <w:p w14:paraId="6B123159">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2．付款方式：</w:t>
      </w:r>
    </w:p>
    <w:p w14:paraId="13906BA6">
      <w:pPr>
        <w:pStyle w:val="9"/>
        <w:spacing w:line="440" w:lineRule="exact"/>
        <w:ind w:left="0" w:firstLine="420" w:firstLineChars="200"/>
        <w:contextualSpacing/>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在合同签订后7天内，采购人支付合同金额30%作为预付款；</w:t>
      </w:r>
    </w:p>
    <w:p w14:paraId="3FA554FF">
      <w:pPr>
        <w:pStyle w:val="9"/>
        <w:spacing w:line="440" w:lineRule="exact"/>
        <w:ind w:left="0" w:firstLine="420" w:firstLineChars="200"/>
        <w:contextualSpacing/>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完成常山县城东新区狮子口片区控规调整初步成果后7天内，支付合同金额的30%；</w:t>
      </w:r>
    </w:p>
    <w:p w14:paraId="1F5E0C16">
      <w:pPr>
        <w:pStyle w:val="9"/>
        <w:spacing w:line="440" w:lineRule="exact"/>
        <w:ind w:left="0" w:firstLine="420" w:firstLineChars="200"/>
        <w:contextualSpacing/>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提交中间成果稿后7天内，支付合同金额的20%。</w:t>
      </w:r>
    </w:p>
    <w:p w14:paraId="66569E13">
      <w:pPr>
        <w:pStyle w:val="9"/>
        <w:spacing w:line="440" w:lineRule="exact"/>
        <w:ind w:left="0" w:firstLine="420" w:firstLineChars="200"/>
        <w:contextualSpacing/>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提交最终成果后7天内，支付合同金额的20%。</w:t>
      </w:r>
    </w:p>
    <w:p w14:paraId="7F427E14">
      <w:pPr>
        <w:pStyle w:val="9"/>
        <w:spacing w:line="440" w:lineRule="exact"/>
        <w:ind w:left="0" w:firstLine="420" w:firstLineChars="200"/>
        <w:contextualSpacing/>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single"/>
        </w:rPr>
        <w:t>履约保证金：无</w:t>
      </w:r>
    </w:p>
    <w:p w14:paraId="12687D93">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乙方开户银行名称、地址和帐号为：</w:t>
      </w:r>
    </w:p>
    <w:p w14:paraId="613AA0C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31F2D5B">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户    名：</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42AFAA1">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地址、电话：</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AD4431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帐    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23FB8D1C">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第六条 本合同的变更必须由双方协商一致，并以书面形式确定。</w:t>
      </w:r>
    </w:p>
    <w:p w14:paraId="4EA9FE20">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第七条 双方确定以下服务内容和验收标准：</w:t>
      </w:r>
    </w:p>
    <w:p w14:paraId="677BF672">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参照《浙江省控制性详细规划图集编制导则（试行）》开展工作，以控规编制单元为对象，对狮子口片区内的功能、土地利用、公共设施和重要市政基础设施等进行规划控制。需包含但不限于以下内容：</w:t>
      </w:r>
    </w:p>
    <w:p w14:paraId="17E66EFF">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1、明确主导性质和功能。一是确定编制单元和管理单元主导性质；二是确定用地的主导性质，其中，非混合用地按照《城市用地分类与规划建设用地标准》执行，混合用地需落实总体规划和城市设计控制要求，并提出可操作的控制方式；</w:t>
      </w:r>
    </w:p>
    <w:p w14:paraId="5B29456C">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2、“五线”控制要求。包括红线、绿线、紫线、蓝线和黄线的控制要求；</w:t>
      </w:r>
    </w:p>
    <w:p w14:paraId="02629611">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3、公共配套设施控制；</w:t>
      </w:r>
    </w:p>
    <w:p w14:paraId="6AB3C339">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4、建设强度和建筑高度。按照总体规划和城市设计要求落实控制要求；确定各地块的额定容积率、建筑密度和建筑高度等建设指标，作为地块规划设计条件的依据。</w:t>
      </w:r>
    </w:p>
    <w:p w14:paraId="2F565A16">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5、确定市级公园绿地（市、区级综合公园，专类公园）、社区级公园绿地（居住区公园、带状公园、街头绿地）、防护绿地和广场用地的控制线。</w:t>
      </w:r>
    </w:p>
    <w:p w14:paraId="0D1025D6">
      <w:pPr>
        <w:snapToGrid w:val="0"/>
        <w:spacing w:line="460" w:lineRule="atLeast"/>
        <w:ind w:firstLine="440" w:firstLineChars="200"/>
        <w:rPr>
          <w:rFonts w:hint="eastAsia" w:ascii="仿宋" w:hAnsi="仿宋" w:eastAsia="仿宋" w:cs="仿宋"/>
          <w:color w:val="auto"/>
          <w:kern w:val="0"/>
          <w:sz w:val="22"/>
          <w:szCs w:val="22"/>
          <w:highlight w:val="none"/>
        </w:rPr>
      </w:pPr>
      <w:r>
        <w:rPr>
          <w:rFonts w:hint="eastAsia" w:ascii="仿宋" w:hAnsi="仿宋" w:eastAsia="仿宋" w:cs="仿宋"/>
          <w:color w:val="auto"/>
          <w:kern w:val="0"/>
          <w:sz w:val="22"/>
          <w:szCs w:val="22"/>
          <w:highlight w:val="none"/>
        </w:rPr>
        <w:t>6、综合管线。</w:t>
      </w:r>
    </w:p>
    <w:p w14:paraId="1D208C0E">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第八条 双方确定：</w:t>
      </w:r>
    </w:p>
    <w:p w14:paraId="5A2A610A">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1．在本合同有效期内，甲方利用乙方提交的技术服务工作成果所完成的新的技术成果，归</w:t>
      </w:r>
      <w:r>
        <w:rPr>
          <w:rFonts w:hint="eastAsia" w:ascii="仿宋" w:hAnsi="仿宋" w:eastAsia="仿宋" w:cs="仿宋"/>
          <w:color w:val="auto"/>
          <w:szCs w:val="21"/>
          <w:highlight w:val="none"/>
          <w:u w:val="single"/>
        </w:rPr>
        <w:t xml:space="preserve">   甲  </w:t>
      </w:r>
      <w:r>
        <w:rPr>
          <w:rFonts w:hint="eastAsia" w:ascii="仿宋" w:hAnsi="仿宋" w:eastAsia="仿宋" w:cs="仿宋"/>
          <w:color w:val="auto"/>
          <w:szCs w:val="21"/>
          <w:highlight w:val="none"/>
        </w:rPr>
        <w:t>（甲、双）方所有。</w:t>
      </w:r>
    </w:p>
    <w:p w14:paraId="2C891F4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2．在本合同有效期内，乙方利用甲方提供的技术资料和工作条件所完成的新的技术成果，归</w:t>
      </w:r>
      <w:r>
        <w:rPr>
          <w:rFonts w:hint="eastAsia" w:ascii="仿宋" w:hAnsi="仿宋" w:eastAsia="仿宋" w:cs="仿宋"/>
          <w:color w:val="auto"/>
          <w:szCs w:val="21"/>
          <w:highlight w:val="none"/>
          <w:u w:val="single"/>
        </w:rPr>
        <w:t xml:space="preserve">  甲  </w:t>
      </w:r>
      <w:r>
        <w:rPr>
          <w:rFonts w:hint="eastAsia" w:ascii="仿宋" w:hAnsi="仿宋" w:eastAsia="仿宋" w:cs="仿宋"/>
          <w:color w:val="auto"/>
          <w:szCs w:val="21"/>
          <w:highlight w:val="none"/>
        </w:rPr>
        <w:t>（乙、双）方所有。</w:t>
      </w:r>
    </w:p>
    <w:p w14:paraId="571AF54E">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第九条 违约责任</w:t>
      </w:r>
    </w:p>
    <w:p w14:paraId="77099ED8">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1、甲方无正当理由拒收接受服务的，甲方向乙方偿付合同款项百分之一作为违约金。</w:t>
      </w:r>
    </w:p>
    <w:p w14:paraId="5F6A37B3">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2、甲方无故逾期验收和办理款项支付手续的,甲方应按逾期付款总额每日万分之五向乙方支付违约金。</w:t>
      </w:r>
    </w:p>
    <w:p w14:paraId="3F371B9D">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逾期提供服务的，每日向甲方支付千分之六违约金。逾期超过约定日期10个工作日不能交货的，甲方可解除本合同。乙方因逾期交货或因其他违约行为导致甲方解除合同的，乙方应向甲方支付合同总值1%的违约金，如造成甲方损失超过违约金的，超出部分由乙方继续承担赔偿责任。</w:t>
      </w:r>
    </w:p>
    <w:p w14:paraId="76DE28BD">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第十条 不可抗力事件处理</w:t>
      </w:r>
    </w:p>
    <w:p w14:paraId="7283D0F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1、在合同有效期内，任何一方因不可抗力事件导致不能履行合同，则合同履行期可延长，其延长期与不可抗力影响期相同。</w:t>
      </w:r>
    </w:p>
    <w:p w14:paraId="23A7F953">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2、不可抗力事件发生后，应立即通知对方，并寄送有关权威机构出具的证明。</w:t>
      </w:r>
    </w:p>
    <w:p w14:paraId="2971066B">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3、不可抗力事件延续120天以上，双方应通过友好协商，确定是否继续履行合同。</w:t>
      </w:r>
    </w:p>
    <w:p w14:paraId="77D3F80E">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第十一条  </w:t>
      </w:r>
      <w:r>
        <w:rPr>
          <w:rFonts w:hint="eastAsia" w:ascii="仿宋" w:hAnsi="仿宋" w:eastAsia="仿宋" w:cs="仿宋"/>
          <w:bCs/>
          <w:color w:val="auto"/>
          <w:szCs w:val="21"/>
          <w:highlight w:val="none"/>
        </w:rPr>
        <w:t>双方确定，在本合同有效期内，甲方指定</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为甲方项目联系人，乙方指定</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rPr>
        <w:t>为乙方项目联系人。项目联系人承担以下责任：</w:t>
      </w:r>
    </w:p>
    <w:p w14:paraId="76B52E68">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u w:val="single"/>
        </w:rPr>
        <w:t xml:space="preserve">               合同签订                   </w:t>
      </w:r>
      <w:r>
        <w:rPr>
          <w:rFonts w:hint="eastAsia" w:ascii="仿宋" w:hAnsi="仿宋" w:eastAsia="仿宋" w:cs="仿宋"/>
          <w:color w:val="auto"/>
          <w:szCs w:val="21"/>
          <w:highlight w:val="none"/>
        </w:rPr>
        <w:t>；</w:t>
      </w:r>
    </w:p>
    <w:p w14:paraId="3BFA63F8">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u w:val="single"/>
        </w:rPr>
        <w:t xml:space="preserve">               进度跟踪                   </w:t>
      </w:r>
      <w:r>
        <w:rPr>
          <w:rFonts w:hint="eastAsia" w:ascii="仿宋" w:hAnsi="仿宋" w:eastAsia="仿宋" w:cs="仿宋"/>
          <w:color w:val="auto"/>
          <w:szCs w:val="21"/>
          <w:highlight w:val="none"/>
        </w:rPr>
        <w:t>；</w:t>
      </w:r>
    </w:p>
    <w:p w14:paraId="0EB10BC0">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w:t>
      </w:r>
      <w:r>
        <w:rPr>
          <w:rFonts w:hint="eastAsia" w:ascii="仿宋" w:hAnsi="仿宋" w:eastAsia="仿宋" w:cs="仿宋"/>
          <w:color w:val="auto"/>
          <w:szCs w:val="21"/>
          <w:highlight w:val="none"/>
          <w:u w:val="single"/>
        </w:rPr>
        <w:t xml:space="preserve">            其他有关事宜商谈              </w:t>
      </w:r>
      <w:r>
        <w:rPr>
          <w:rFonts w:hint="eastAsia" w:ascii="仿宋" w:hAnsi="仿宋" w:eastAsia="仿宋" w:cs="仿宋"/>
          <w:color w:val="auto"/>
          <w:szCs w:val="21"/>
          <w:highlight w:val="none"/>
        </w:rPr>
        <w:t>。</w:t>
      </w:r>
    </w:p>
    <w:p w14:paraId="68D208B0">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一方变更项目联系人的，应当及时以书面形式通知另一方。未及时通知并影响本合同履行或造成损失的，应承担相应的责任。</w:t>
      </w:r>
    </w:p>
    <w:p w14:paraId="1BB4EA49">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第十二条 </w:t>
      </w:r>
      <w:r>
        <w:rPr>
          <w:rFonts w:hint="eastAsia" w:ascii="仿宋" w:hAnsi="仿宋" w:eastAsia="仿宋" w:cs="仿宋"/>
          <w:bCs/>
          <w:color w:val="auto"/>
          <w:szCs w:val="21"/>
          <w:highlight w:val="none"/>
        </w:rPr>
        <w:t>双方确定，出现下列情形，致使本合同的履行成为不必要或不可能的，可以解除本合同：本合同因下列原因而终止：</w:t>
      </w:r>
    </w:p>
    <w:p w14:paraId="328B1ED2">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1．双方确定的权利与义务履行完毕；</w:t>
      </w:r>
    </w:p>
    <w:p w14:paraId="78889E88">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2．双方经共同协商解除本合同；</w:t>
      </w:r>
    </w:p>
    <w:p w14:paraId="76A64519">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3．出现本合同第 九 条的情形；</w:t>
      </w:r>
    </w:p>
    <w:p w14:paraId="10D441B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4．因发生不可抗力。本合同所称“不可抗力”包括：地震、台风、水灾、火灾、战争、计算机病毒、工具性软件的设计漏洞、互联网络遭黑客袭击、政策改变、法律变更等 。</w:t>
      </w:r>
    </w:p>
    <w:p w14:paraId="3DE74F0B">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5．一方当事人有下列严重违约行为，致使本合同的履行成为不必要或不可能：</w:t>
      </w:r>
    </w:p>
    <w:p w14:paraId="033B884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（1）发生不可抗力；</w:t>
      </w:r>
    </w:p>
    <w:p w14:paraId="6DD4F570">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（2）其他：</w:t>
      </w:r>
      <w:r>
        <w:rPr>
          <w:rFonts w:hint="eastAsia" w:ascii="仿宋" w:hAnsi="仿宋" w:eastAsia="仿宋" w:cs="仿宋"/>
          <w:color w:val="auto"/>
          <w:szCs w:val="21"/>
          <w:highlight w:val="none"/>
          <w:u w:val="single"/>
        </w:rPr>
        <w:t xml:space="preserve"> 无  </w:t>
      </w:r>
      <w:r>
        <w:rPr>
          <w:rFonts w:hint="eastAsia" w:ascii="仿宋" w:hAnsi="仿宋" w:eastAsia="仿宋" w:cs="仿宋"/>
          <w:color w:val="auto"/>
          <w:szCs w:val="21"/>
          <w:highlight w:val="none"/>
        </w:rPr>
        <w:t>。</w:t>
      </w:r>
    </w:p>
    <w:p w14:paraId="7C349A35">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第十三条 </w:t>
      </w:r>
      <w:r>
        <w:rPr>
          <w:rFonts w:hint="eastAsia" w:ascii="仿宋" w:hAnsi="仿宋" w:eastAsia="仿宋" w:cs="仿宋"/>
          <w:bCs/>
          <w:color w:val="auto"/>
          <w:szCs w:val="21"/>
          <w:highlight w:val="none"/>
        </w:rPr>
        <w:t>双方因履行本合同而发生的争议，应协商、调解解决。协商、调解不成的，确定按以下第</w:t>
      </w:r>
      <w:r>
        <w:rPr>
          <w:rFonts w:hint="eastAsia" w:ascii="仿宋" w:hAnsi="仿宋" w:eastAsia="仿宋" w:cs="仿宋"/>
          <w:bCs/>
          <w:color w:val="auto"/>
          <w:szCs w:val="21"/>
          <w:highlight w:val="none"/>
          <w:u w:val="single"/>
        </w:rPr>
        <w:t xml:space="preserve">   2  </w:t>
      </w:r>
      <w:r>
        <w:rPr>
          <w:rFonts w:hint="eastAsia" w:ascii="仿宋" w:hAnsi="仿宋" w:eastAsia="仿宋" w:cs="仿宋"/>
          <w:bCs/>
          <w:color w:val="auto"/>
          <w:szCs w:val="21"/>
          <w:highlight w:val="none"/>
        </w:rPr>
        <w:t>种方式处理：</w:t>
      </w:r>
    </w:p>
    <w:p w14:paraId="71092E24">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1．提交</w:t>
      </w:r>
      <w:r>
        <w:rPr>
          <w:rFonts w:hint="eastAsia" w:ascii="仿宋" w:hAnsi="仿宋" w:eastAsia="仿宋" w:cs="仿宋"/>
          <w:color w:val="auto"/>
          <w:szCs w:val="21"/>
          <w:highlight w:val="none"/>
          <w:u w:val="single"/>
        </w:rPr>
        <w:t xml:space="preserve">  甲方所在地  </w:t>
      </w:r>
      <w:r>
        <w:rPr>
          <w:rFonts w:hint="eastAsia" w:ascii="仿宋" w:hAnsi="仿宋" w:eastAsia="仿宋" w:cs="仿宋"/>
          <w:color w:val="auto"/>
          <w:szCs w:val="21"/>
          <w:highlight w:val="none"/>
        </w:rPr>
        <w:t>仲裁委员会仲裁；</w:t>
      </w:r>
    </w:p>
    <w:p w14:paraId="599656FC">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2．依法向甲方所在地人民法院起诉。</w:t>
      </w:r>
    </w:p>
    <w:p w14:paraId="5D5F27AD">
      <w:pPr>
        <w:spacing w:line="440" w:lineRule="exact"/>
        <w:ind w:firstLine="422" w:firstLineChars="200"/>
        <w:contextualSpacing/>
        <w:rPr>
          <w:rFonts w:hint="eastAsia" w:ascii="仿宋" w:hAnsi="仿宋" w:eastAsia="仿宋" w:cs="仿宋"/>
          <w:bCs/>
          <w:color w:val="auto"/>
          <w:szCs w:val="21"/>
          <w:highlight w:val="none"/>
        </w:rPr>
      </w:pPr>
      <w:r>
        <w:rPr>
          <w:rFonts w:hint="eastAsia" w:ascii="仿宋" w:hAnsi="仿宋" w:eastAsia="仿宋" w:cs="仿宋"/>
          <w:b/>
          <w:color w:val="auto"/>
          <w:szCs w:val="21"/>
          <w:highlight w:val="none"/>
        </w:rPr>
        <w:t xml:space="preserve">第十四条 </w:t>
      </w:r>
      <w:r>
        <w:rPr>
          <w:rFonts w:hint="eastAsia" w:ascii="仿宋" w:hAnsi="仿宋" w:eastAsia="仿宋" w:cs="仿宋"/>
          <w:bCs/>
          <w:color w:val="auto"/>
          <w:szCs w:val="21"/>
          <w:highlight w:val="none"/>
        </w:rPr>
        <w:t>与履行本合同有关的下列技术文件，经双方确认后，为本合同的组成部分：</w:t>
      </w:r>
    </w:p>
    <w:p w14:paraId="48AFED10">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1．技术背景资料：</w:t>
      </w:r>
      <w:r>
        <w:rPr>
          <w:rFonts w:hint="eastAsia" w:ascii="仿宋" w:hAnsi="仿宋" w:eastAsia="仿宋" w:cs="仿宋"/>
          <w:color w:val="auto"/>
          <w:szCs w:val="21"/>
          <w:highlight w:val="none"/>
          <w:u w:val="single"/>
        </w:rPr>
        <w:t xml:space="preserve">                         </w:t>
      </w:r>
    </w:p>
    <w:p w14:paraId="15162C64">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2．可行性论证报告：</w:t>
      </w:r>
      <w:r>
        <w:rPr>
          <w:rFonts w:hint="eastAsia" w:ascii="仿宋" w:hAnsi="仿宋" w:eastAsia="仿宋" w:cs="仿宋"/>
          <w:color w:val="auto"/>
          <w:szCs w:val="21"/>
          <w:highlight w:val="none"/>
          <w:u w:val="single"/>
        </w:rPr>
        <w:t xml:space="preserve">      无     </w:t>
      </w:r>
      <w:r>
        <w:rPr>
          <w:rFonts w:hint="eastAsia" w:ascii="仿宋" w:hAnsi="仿宋" w:eastAsia="仿宋" w:cs="仿宋"/>
          <w:color w:val="auto"/>
          <w:szCs w:val="21"/>
          <w:highlight w:val="none"/>
        </w:rPr>
        <w:t>；</w:t>
      </w:r>
    </w:p>
    <w:p w14:paraId="450C11D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3．技术评价报告：</w:t>
      </w:r>
      <w:r>
        <w:rPr>
          <w:rFonts w:hint="eastAsia" w:ascii="仿宋" w:hAnsi="仿宋" w:eastAsia="仿宋" w:cs="仿宋"/>
          <w:color w:val="auto"/>
          <w:szCs w:val="21"/>
          <w:highlight w:val="none"/>
          <w:u w:val="single"/>
        </w:rPr>
        <w:t xml:space="preserve">       无      </w:t>
      </w:r>
      <w:r>
        <w:rPr>
          <w:rFonts w:hint="eastAsia" w:ascii="仿宋" w:hAnsi="仿宋" w:eastAsia="仿宋" w:cs="仿宋"/>
          <w:color w:val="auto"/>
          <w:szCs w:val="21"/>
          <w:highlight w:val="none"/>
        </w:rPr>
        <w:t>；</w:t>
      </w:r>
    </w:p>
    <w:p w14:paraId="78DABDF5">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4．技术标准和规范：</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6099B499">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5．原始设计和工艺文件：</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w:t>
      </w:r>
    </w:p>
    <w:p w14:paraId="04C70CC9">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6．其他：</w:t>
      </w:r>
      <w:r>
        <w:rPr>
          <w:rFonts w:hint="eastAsia" w:ascii="仿宋" w:hAnsi="仿宋" w:eastAsia="仿宋" w:cs="仿宋"/>
          <w:color w:val="auto"/>
          <w:szCs w:val="21"/>
          <w:highlight w:val="none"/>
          <w:u w:val="single"/>
        </w:rPr>
        <w:t xml:space="preserve">          等 </w:t>
      </w:r>
      <w:r>
        <w:rPr>
          <w:rFonts w:hint="eastAsia" w:ascii="仿宋" w:hAnsi="仿宋" w:eastAsia="仿宋" w:cs="仿宋"/>
          <w:color w:val="auto"/>
          <w:szCs w:val="21"/>
          <w:highlight w:val="none"/>
        </w:rPr>
        <w:t>。</w:t>
      </w:r>
    </w:p>
    <w:p w14:paraId="1A258878">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第十五条 履约验收</w:t>
      </w:r>
    </w:p>
    <w:p w14:paraId="7AD1A22A">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甲方组织对乙方履约的验收。验收方成员应当在验收书上签字，并承担相应的法律责任。如果发现与合同中要求不符，乙方须承担由此发生的一切损失和费用，并接受相应的处理。</w:t>
      </w:r>
    </w:p>
    <w:p w14:paraId="3E48D90F">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验收合格的项目，甲方将根据采购合同的约定及时向乙方支付采购资金。验收不合格的项目，甲方将依法及时处理。采购合同的履行、违约责任和解决争议的方式等适用《中华人民共和国民法典》。乙方在履约过程中有政府采购法律法规规定的违法违规情形的，甲方有权报告本级财政部门。</w:t>
      </w:r>
    </w:p>
    <w:p w14:paraId="24BD0366">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 xml:space="preserve">第十六条 </w:t>
      </w:r>
      <w:r>
        <w:rPr>
          <w:rFonts w:hint="eastAsia" w:ascii="仿宋" w:hAnsi="仿宋" w:eastAsia="仿宋" w:cs="仿宋"/>
          <w:bCs/>
          <w:color w:val="auto"/>
          <w:szCs w:val="21"/>
          <w:highlight w:val="none"/>
        </w:rPr>
        <w:t>双方约定本合同其他相关事项为：</w:t>
      </w:r>
      <w:r>
        <w:rPr>
          <w:rFonts w:hint="eastAsia" w:ascii="仿宋" w:hAnsi="仿宋" w:eastAsia="仿宋" w:cs="仿宋"/>
          <w:bCs/>
          <w:color w:val="auto"/>
          <w:szCs w:val="21"/>
          <w:highlight w:val="none"/>
          <w:u w:val="single"/>
        </w:rPr>
        <w:t xml:space="preserve">  无  </w:t>
      </w:r>
      <w:r>
        <w:rPr>
          <w:rFonts w:hint="eastAsia" w:ascii="仿宋" w:hAnsi="仿宋" w:eastAsia="仿宋" w:cs="仿宋"/>
          <w:bCs/>
          <w:color w:val="auto"/>
          <w:szCs w:val="21"/>
          <w:highlight w:val="none"/>
        </w:rPr>
        <w:t>。</w:t>
      </w:r>
    </w:p>
    <w:p w14:paraId="6ED45952">
      <w:pPr>
        <w:spacing w:line="440" w:lineRule="exact"/>
        <w:ind w:firstLine="422" w:firstLineChars="200"/>
        <w:contextualSpacing/>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第十七条 合同生效及其它</w:t>
      </w:r>
    </w:p>
    <w:p w14:paraId="04874046">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1、合同经双方法定代表人或授权委托代理人签字并加盖单位公章后生效。</w:t>
      </w:r>
    </w:p>
    <w:p w14:paraId="39DA2B8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2、合同执行中涉及采购资金和采购内容修改或补充的，须经财政部门审批，并签书面补充协议报政府采购监督管理部门备案，方可作为主合同不可分割的一部分。</w:t>
      </w:r>
    </w:p>
    <w:p w14:paraId="14C54457">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3、本合同未尽事宜，遵照《中华人民共和国民法典》有关条文执行。</w:t>
      </w:r>
    </w:p>
    <w:p w14:paraId="44D1A35D">
      <w:pPr>
        <w:spacing w:line="440" w:lineRule="exact"/>
        <w:ind w:firstLine="420" w:firstLineChars="200"/>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4、本合同正本一式捌份，具有同等法律效力，甲乙双方各执叁份。</w:t>
      </w:r>
    </w:p>
    <w:p w14:paraId="0798D354">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甲方（盖章）：                         乙方（盖章）： </w:t>
      </w:r>
    </w:p>
    <w:p w14:paraId="5468566A">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                             法定代表人</w:t>
      </w:r>
    </w:p>
    <w:p w14:paraId="303C7CAE">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或受委托人（签字）：                   或受委托人（签字）：</w:t>
      </w:r>
    </w:p>
    <w:p w14:paraId="60B92750">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联系人：                               联系人：</w:t>
      </w:r>
    </w:p>
    <w:p w14:paraId="5FA51935">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地址：                                 地址：</w:t>
      </w:r>
    </w:p>
    <w:p w14:paraId="0A640B20">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电话：                                 电话：</w:t>
      </w:r>
    </w:p>
    <w:p w14:paraId="486BE67A">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传真：                                 传真：</w:t>
      </w:r>
    </w:p>
    <w:p w14:paraId="38FD03B5">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                             开户银行：</w:t>
      </w:r>
    </w:p>
    <w:p w14:paraId="2526CF38">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帐号：                                 帐号：</w:t>
      </w:r>
    </w:p>
    <w:p w14:paraId="72DFA8DF">
      <w:pPr>
        <w:spacing w:line="440" w:lineRule="exact"/>
        <w:ind w:firstLine="488"/>
        <w:contextualSpacing/>
        <w:rPr>
          <w:rFonts w:hint="eastAsia" w:ascii="仿宋" w:hAnsi="仿宋" w:eastAsia="仿宋" w:cs="仿宋"/>
          <w:color w:val="auto"/>
          <w:szCs w:val="21"/>
          <w:highlight w:val="none"/>
        </w:rPr>
      </w:pPr>
      <w:r>
        <w:rPr>
          <w:rFonts w:hint="eastAsia" w:ascii="仿宋" w:hAnsi="仿宋" w:eastAsia="仿宋" w:cs="仿宋"/>
          <w:color w:val="auto"/>
          <w:szCs w:val="21"/>
          <w:highlight w:val="none"/>
        </w:rPr>
        <w:t>签订时间：                             签订时间：</w:t>
      </w:r>
    </w:p>
    <w:bookmarkEnd w:id="80"/>
    <w:bookmarkEnd w:id="81"/>
    <w:bookmarkEnd w:id="82"/>
    <w:bookmarkEnd w:id="83"/>
    <w:bookmarkEnd w:id="84"/>
    <w:bookmarkEnd w:id="85"/>
    <w:p w14:paraId="1CE91BF2">
      <w:pPr>
        <w:pStyle w:val="30"/>
        <w:numPr>
          <w:ilvl w:val="0"/>
          <w:numId w:val="7"/>
        </w:numPr>
        <w:spacing w:line="360" w:lineRule="auto"/>
        <w:textAlignment w:val="baseline"/>
        <w:outlineLvl w:val="0"/>
        <w:rPr>
          <w:rFonts w:hint="eastAsia" w:ascii="仿宋" w:hAnsi="仿宋" w:eastAsia="仿宋" w:cs="仿宋"/>
          <w:color w:val="auto"/>
          <w:sz w:val="44"/>
          <w:szCs w:val="44"/>
          <w:highlight w:val="none"/>
          <w:lang w:val="zh-CN" w:eastAsia="zh-CN"/>
        </w:rPr>
      </w:pPr>
      <w:r>
        <w:rPr>
          <w:rFonts w:hint="eastAsia" w:ascii="仿宋" w:hAnsi="仿宋" w:eastAsia="仿宋" w:cs="仿宋"/>
          <w:color w:val="auto"/>
          <w:sz w:val="44"/>
          <w:szCs w:val="44"/>
          <w:highlight w:val="none"/>
          <w:lang w:eastAsia="zh-CN"/>
        </w:rPr>
        <w:t xml:space="preserve"> </w:t>
      </w:r>
      <w:bookmarkStart w:id="86" w:name="_Toc30712"/>
      <w:bookmarkStart w:id="87" w:name="_Toc17179"/>
      <w:r>
        <w:rPr>
          <w:rFonts w:hint="eastAsia" w:ascii="仿宋" w:hAnsi="仿宋" w:eastAsia="仿宋" w:cs="仿宋"/>
          <w:color w:val="auto"/>
          <w:sz w:val="44"/>
          <w:szCs w:val="44"/>
          <w:highlight w:val="none"/>
          <w:lang w:val="zh-CN" w:eastAsia="zh-CN"/>
        </w:rPr>
        <w:t>评标办法</w:t>
      </w:r>
      <w:bookmarkEnd w:id="79"/>
      <w:bookmarkEnd w:id="86"/>
      <w:bookmarkEnd w:id="87"/>
    </w:p>
    <w:p w14:paraId="2847CA4B">
      <w:pPr>
        <w:numPr>
          <w:ilvl w:val="0"/>
          <w:numId w:val="0"/>
        </w:numPr>
        <w:rPr>
          <w:rFonts w:hint="eastAsia" w:ascii="仿宋" w:hAnsi="仿宋" w:eastAsia="仿宋" w:cs="仿宋"/>
          <w:color w:val="auto"/>
          <w:lang w:val="zh-CN" w:eastAsia="zh-CN"/>
        </w:rPr>
      </w:pPr>
    </w:p>
    <w:p w14:paraId="603C17A2">
      <w:pPr>
        <w:keepNext w:val="0"/>
        <w:keepLines w:val="0"/>
        <w:pageBreakBefore w:val="0"/>
        <w:widowControl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color w:val="auto"/>
          <w:sz w:val="20"/>
          <w:highlight w:val="none"/>
        </w:rPr>
      </w:pPr>
      <w:r>
        <w:rPr>
          <w:rFonts w:hint="eastAsia" w:ascii="仿宋" w:hAnsi="仿宋" w:eastAsia="仿宋" w:cs="仿宋"/>
          <w:b/>
          <w:color w:val="auto"/>
          <w:szCs w:val="21"/>
          <w:highlight w:val="none"/>
        </w:rPr>
        <w:t>据《中华人民共和国政府采购法》等相关法规特制定以下评标办法。</w:t>
      </w:r>
    </w:p>
    <w:p w14:paraId="6894D86B">
      <w:pPr>
        <w:keepNext w:val="0"/>
        <w:keepLines w:val="0"/>
        <w:pageBreakBefore w:val="0"/>
        <w:widowControl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一、评标组织</w:t>
      </w:r>
    </w:p>
    <w:p w14:paraId="2F6611E7">
      <w:pPr>
        <w:keepNext w:val="0"/>
        <w:keepLines w:val="0"/>
        <w:pageBreakBefore w:val="0"/>
        <w:widowControl w:val="0"/>
        <w:kinsoku/>
        <w:wordWrap/>
        <w:overflowPunct/>
        <w:topLinePunct w:val="0"/>
        <w:autoSpaceDE/>
        <w:autoSpaceDN/>
        <w:bidi w:val="0"/>
        <w:adjustRightInd/>
        <w:snapToGrid w:val="0"/>
        <w:spacing w:line="500" w:lineRule="exact"/>
        <w:ind w:left="0" w:leftChars="0" w:firstLine="420" w:firstLineChars="200"/>
        <w:textAlignment w:val="baseline"/>
        <w:rPr>
          <w:rFonts w:hint="eastAsia" w:ascii="仿宋" w:hAnsi="仿宋" w:eastAsia="仿宋" w:cs="仿宋"/>
          <w:color w:val="auto"/>
          <w:sz w:val="20"/>
          <w:highlight w:val="none"/>
        </w:rPr>
      </w:pPr>
      <w:r>
        <w:rPr>
          <w:rFonts w:hint="eastAsia" w:ascii="仿宋" w:hAnsi="仿宋" w:eastAsia="仿宋" w:cs="仿宋"/>
          <w:color w:val="auto"/>
          <w:highlight w:val="none"/>
        </w:rPr>
        <w:t>1.采购人依法组建磋商小组，共3人组成，</w:t>
      </w:r>
      <w:r>
        <w:rPr>
          <w:rFonts w:hint="eastAsia" w:ascii="仿宋" w:hAnsi="仿宋" w:eastAsia="仿宋" w:cs="仿宋"/>
          <w:bCs/>
          <w:color w:val="auto"/>
          <w:kern w:val="0"/>
          <w:szCs w:val="21"/>
          <w:highlight w:val="none"/>
        </w:rPr>
        <w:t>由1名采购人代表和2名有关经济、技术专家组成。</w:t>
      </w:r>
    </w:p>
    <w:p w14:paraId="43A74F23">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2.询标（如有）期间，磋商供应商法定代表人或法人委托人必须在</w:t>
      </w:r>
      <w:r>
        <w:rPr>
          <w:rFonts w:hint="eastAsia" w:ascii="仿宋" w:hAnsi="仿宋" w:eastAsia="仿宋" w:cs="仿宋"/>
          <w:color w:val="auto"/>
          <w:szCs w:val="21"/>
          <w:highlight w:val="none"/>
          <w:lang w:val="en-US" w:eastAsia="zh-CN"/>
        </w:rPr>
        <w:t>线</w:t>
      </w:r>
      <w:r>
        <w:rPr>
          <w:rFonts w:hint="eastAsia" w:ascii="仿宋" w:hAnsi="仿宋" w:eastAsia="仿宋" w:cs="仿宋"/>
          <w:color w:val="auto"/>
          <w:szCs w:val="21"/>
          <w:highlight w:val="none"/>
        </w:rPr>
        <w:t>，负责解答有关事宜。如不在场，则事后不得对采购过程及结果提出异议。</w:t>
      </w:r>
    </w:p>
    <w:p w14:paraId="4231BFD9">
      <w:pPr>
        <w:keepNext w:val="0"/>
        <w:keepLines w:val="0"/>
        <w:pageBreakBefore w:val="0"/>
        <w:widowControl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二、评标原则</w:t>
      </w:r>
    </w:p>
    <w:p w14:paraId="725DC6D3">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评标工作遵循公平、公正、科学、择优原则和诚实、信誉、效率的服务原则。本着科学、严谨的态度，认真进行评标。择优选用，推进技术进步，确保工程质量、交货按期，节约投资，最大限度的保护当事人权益。严格按照竞争性磋商文件的商务、技术要求，对响应文件进行综合评定，提出优选方案，编写评标报告。对落标单位，磋商小组不做任何落标解释。磋商供应商不得以任何方式干扰招投标工作的进行，一经发现其响应文件将被拒绝。</w:t>
      </w:r>
    </w:p>
    <w:p w14:paraId="7A047828">
      <w:pPr>
        <w:keepNext w:val="0"/>
        <w:keepLines w:val="0"/>
        <w:pageBreakBefore w:val="0"/>
        <w:widowControl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三、评标办法</w:t>
      </w:r>
    </w:p>
    <w:p w14:paraId="13C7CF30">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1.投标报价是指报价合计。</w:t>
      </w:r>
    </w:p>
    <w:p w14:paraId="394D4FF4">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本项目采用综合评分法，即以投标人完全响应招标文件设定的全部责任条款为前提。由磋商小组按招标文件中规定的各项因素进行综合评审，确定综合得分最高的投标人为中标人。如最高综合得分相同，投标报价低者为中标人；如综合得分和投标报价均相同，则采购单位现场抽签确定中标人。计算结果按四舍五入取小数点后一位。</w:t>
      </w:r>
    </w:p>
    <w:p w14:paraId="37661DE0">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highlight w:val="none"/>
        </w:rPr>
      </w:pPr>
      <w:r>
        <w:rPr>
          <w:rFonts w:hint="eastAsia" w:ascii="仿宋" w:hAnsi="仿宋" w:eastAsia="仿宋" w:cs="仿宋"/>
          <w:color w:val="auto"/>
          <w:highlight w:val="none"/>
        </w:rPr>
        <w:t>3.评标标准</w:t>
      </w:r>
    </w:p>
    <w:p w14:paraId="32ACBC33">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highlight w:val="none"/>
        </w:rPr>
      </w:pPr>
      <w:r>
        <w:rPr>
          <w:rFonts w:hint="eastAsia" w:ascii="仿宋" w:hAnsi="仿宋" w:eastAsia="仿宋" w:cs="仿宋"/>
          <w:color w:val="auto"/>
          <w:highlight w:val="none"/>
        </w:rPr>
        <w:t>各投标人的综合得分为报价得分和技术资信得分之和，总分为100分，其中：报价分</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rPr>
        <w:t>分，技术资信分</w:t>
      </w:r>
      <w:r>
        <w:rPr>
          <w:rFonts w:hint="eastAsia" w:ascii="仿宋" w:hAnsi="仿宋" w:eastAsia="仿宋" w:cs="仿宋"/>
          <w:color w:val="auto"/>
          <w:highlight w:val="none"/>
          <w:lang w:val="en-US" w:eastAsia="zh-CN"/>
        </w:rPr>
        <w:t>85</w:t>
      </w:r>
      <w:r>
        <w:rPr>
          <w:rFonts w:hint="eastAsia" w:ascii="仿宋" w:hAnsi="仿宋" w:eastAsia="仿宋" w:cs="仿宋"/>
          <w:color w:val="auto"/>
          <w:highlight w:val="none"/>
        </w:rPr>
        <w:t>分。各投标人的资信评分由磋商小组统一打分，技术评分按照磋商小组成员的独立评分结果汇总后的算术平均分计算；各投</w:t>
      </w:r>
      <w:bookmarkStart w:id="159" w:name="_GoBack"/>
      <w:bookmarkEnd w:id="159"/>
      <w:r>
        <w:rPr>
          <w:rFonts w:hint="eastAsia" w:ascii="仿宋" w:hAnsi="仿宋" w:eastAsia="仿宋" w:cs="仿宋"/>
          <w:color w:val="auto"/>
          <w:highlight w:val="none"/>
        </w:rPr>
        <w:t>标人的报价分得分按低价优先法计算。</w:t>
      </w:r>
    </w:p>
    <w:p w14:paraId="12FA3866">
      <w:pPr>
        <w:keepNext w:val="0"/>
        <w:keepLines w:val="0"/>
        <w:pageBreakBefore w:val="0"/>
        <w:widowControl w:val="0"/>
        <w:kinsoku/>
        <w:wordWrap/>
        <w:overflowPunct/>
        <w:topLinePunct w:val="0"/>
        <w:autoSpaceDE/>
        <w:autoSpaceDN/>
        <w:bidi w:val="0"/>
        <w:adjustRightInd/>
        <w:spacing w:line="500" w:lineRule="exact"/>
        <w:ind w:left="0" w:leftChars="0" w:firstLine="422" w:firstLineChars="200"/>
        <w:textAlignment w:val="baseline"/>
        <w:rPr>
          <w:rFonts w:hint="eastAsia" w:ascii="仿宋" w:hAnsi="仿宋" w:eastAsia="仿宋" w:cs="仿宋"/>
          <w:b/>
          <w:bCs/>
          <w:color w:val="auto"/>
          <w:sz w:val="20"/>
          <w:highlight w:val="none"/>
        </w:rPr>
      </w:pPr>
      <w:r>
        <w:rPr>
          <w:rFonts w:hint="eastAsia" w:ascii="仿宋" w:hAnsi="仿宋" w:eastAsia="仿宋" w:cs="仿宋"/>
          <w:b/>
          <w:bCs/>
          <w:color w:val="auto"/>
          <w:highlight w:val="none"/>
        </w:rPr>
        <w:t>3.1报价分（</w:t>
      </w:r>
      <w:r>
        <w:rPr>
          <w:rFonts w:hint="eastAsia" w:ascii="仿宋" w:hAnsi="仿宋" w:eastAsia="仿宋" w:cs="仿宋"/>
          <w:b/>
          <w:bCs/>
          <w:color w:val="auto"/>
          <w:highlight w:val="none"/>
          <w:lang w:val="en-US" w:eastAsia="zh-CN"/>
        </w:rPr>
        <w:t>15</w:t>
      </w:r>
      <w:r>
        <w:rPr>
          <w:rFonts w:hint="eastAsia" w:ascii="仿宋" w:hAnsi="仿宋" w:eastAsia="仿宋" w:cs="仿宋"/>
          <w:b/>
          <w:bCs/>
          <w:color w:val="auto"/>
          <w:highlight w:val="none"/>
        </w:rPr>
        <w:t>分）</w:t>
      </w:r>
    </w:p>
    <w:p w14:paraId="7DE36EE6">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highlight w:val="none"/>
        </w:rPr>
      </w:pPr>
      <w:r>
        <w:rPr>
          <w:rFonts w:hint="eastAsia" w:ascii="仿宋" w:hAnsi="仿宋" w:eastAsia="仿宋" w:cs="仿宋"/>
          <w:color w:val="auto"/>
          <w:highlight w:val="none"/>
        </w:rPr>
        <w:t>3.1.1报价分采用低价优先法计算，即满足磋商文件要求且最后报价最低的供应商的价格为磋商基准价。</w:t>
      </w:r>
    </w:p>
    <w:p w14:paraId="37A42EF3">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highlight w:val="none"/>
        </w:rPr>
      </w:pPr>
      <w:r>
        <w:rPr>
          <w:rFonts w:hint="eastAsia" w:ascii="仿宋" w:hAnsi="仿宋" w:eastAsia="仿宋" w:cs="仿宋"/>
          <w:color w:val="auto"/>
          <w:highlight w:val="none"/>
        </w:rPr>
        <w:t>3.1.2其他供应商的报价分按照下列公式计算：</w:t>
      </w:r>
    </w:p>
    <w:p w14:paraId="1ED4D1DE">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highlight w:val="none"/>
          <w:lang w:val="zh-CN"/>
        </w:rPr>
      </w:pPr>
      <w:r>
        <w:rPr>
          <w:rFonts w:hint="eastAsia" w:ascii="仿宋" w:hAnsi="仿宋" w:eastAsia="仿宋" w:cs="仿宋"/>
          <w:color w:val="auto"/>
          <w:highlight w:val="none"/>
        </w:rPr>
        <w:t>磋商报价得分=(磋商基准价／最后磋商报价)×</w:t>
      </w:r>
      <w:r>
        <w:rPr>
          <w:rFonts w:hint="eastAsia" w:ascii="仿宋" w:hAnsi="仿宋" w:eastAsia="仿宋" w:cs="仿宋"/>
          <w:color w:val="auto"/>
          <w:highlight w:val="none"/>
          <w:lang w:val="en-US" w:eastAsia="zh-CN"/>
        </w:rPr>
        <w:t>15</w:t>
      </w:r>
      <w:r>
        <w:rPr>
          <w:rFonts w:hint="eastAsia" w:ascii="仿宋" w:hAnsi="仿宋" w:eastAsia="仿宋" w:cs="仿宋"/>
          <w:color w:val="auto"/>
          <w:highlight w:val="none"/>
        </w:rPr>
        <w:t>%×100，结果四舍五入后保留两位小数</w:t>
      </w:r>
      <w:r>
        <w:rPr>
          <w:rFonts w:hint="eastAsia" w:ascii="仿宋" w:hAnsi="仿宋" w:eastAsia="仿宋" w:cs="仿宋"/>
          <w:color w:val="auto"/>
          <w:highlight w:val="none"/>
          <w:lang w:val="zh-CN"/>
        </w:rPr>
        <w:t>。</w:t>
      </w:r>
    </w:p>
    <w:p w14:paraId="33BC3F46">
      <w:pPr>
        <w:spacing w:line="420" w:lineRule="exact"/>
        <w:ind w:firstLine="422" w:firstLineChars="200"/>
        <w:jc w:val="left"/>
        <w:textAlignment w:val="baseline"/>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3.2技术商务资信分(</w:t>
      </w:r>
      <w:r>
        <w:rPr>
          <w:rFonts w:hint="eastAsia" w:ascii="仿宋" w:hAnsi="仿宋" w:eastAsia="仿宋" w:cs="仿宋"/>
          <w:b/>
          <w:bCs/>
          <w:color w:val="auto"/>
          <w:szCs w:val="21"/>
          <w:highlight w:val="none"/>
          <w:lang w:val="en-US" w:eastAsia="zh-CN"/>
        </w:rPr>
        <w:t>85</w:t>
      </w:r>
      <w:r>
        <w:rPr>
          <w:rFonts w:hint="eastAsia" w:ascii="仿宋" w:hAnsi="仿宋" w:eastAsia="仿宋" w:cs="仿宋"/>
          <w:b/>
          <w:bCs/>
          <w:color w:val="auto"/>
          <w:szCs w:val="21"/>
          <w:highlight w:val="none"/>
        </w:rPr>
        <w:t>分）</w:t>
      </w:r>
    </w:p>
    <w:tbl>
      <w:tblPr>
        <w:tblStyle w:val="32"/>
        <w:tblW w:w="97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92"/>
        <w:gridCol w:w="1351"/>
        <w:gridCol w:w="823"/>
        <w:gridCol w:w="6622"/>
      </w:tblGrid>
      <w:tr w14:paraId="23909E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8" w:hRule="atLeast"/>
          <w:jc w:val="center"/>
        </w:trPr>
        <w:tc>
          <w:tcPr>
            <w:tcW w:w="992" w:type="dxa"/>
            <w:vAlign w:val="center"/>
          </w:tcPr>
          <w:p w14:paraId="7DB15F71">
            <w:pPr>
              <w:widowControl/>
              <w:spacing w:line="240" w:lineRule="auto"/>
              <w:ind w:left="-50"/>
              <w:jc w:val="center"/>
              <w:rPr>
                <w:rFonts w:hint="eastAsia" w:ascii="仿宋" w:hAnsi="仿宋" w:eastAsia="仿宋" w:cs="仿宋"/>
                <w:snapToGrid w:val="0"/>
                <w:color w:val="auto"/>
                <w:kern w:val="0"/>
                <w:szCs w:val="21"/>
                <w:highlight w:val="none"/>
              </w:rPr>
            </w:pPr>
            <w:r>
              <w:rPr>
                <w:rFonts w:hint="eastAsia" w:ascii="仿宋" w:hAnsi="仿宋" w:eastAsia="仿宋" w:cs="仿宋"/>
                <w:snapToGrid w:val="0"/>
                <w:color w:val="auto"/>
                <w:kern w:val="0"/>
                <w:szCs w:val="21"/>
                <w:highlight w:val="none"/>
              </w:rPr>
              <w:t>评分项</w:t>
            </w:r>
          </w:p>
        </w:tc>
        <w:tc>
          <w:tcPr>
            <w:tcW w:w="1351" w:type="dxa"/>
            <w:vAlign w:val="center"/>
          </w:tcPr>
          <w:p w14:paraId="27914C59">
            <w:pPr>
              <w:widowControl/>
              <w:spacing w:line="240" w:lineRule="auto"/>
              <w:ind w:left="-50"/>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评分内容</w:t>
            </w:r>
          </w:p>
        </w:tc>
        <w:tc>
          <w:tcPr>
            <w:tcW w:w="823" w:type="dxa"/>
            <w:vAlign w:val="center"/>
          </w:tcPr>
          <w:p w14:paraId="17AD9649">
            <w:pPr>
              <w:widowControl/>
              <w:spacing w:line="240" w:lineRule="auto"/>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分值</w:t>
            </w:r>
          </w:p>
        </w:tc>
        <w:tc>
          <w:tcPr>
            <w:tcW w:w="6622" w:type="dxa"/>
            <w:vAlign w:val="center"/>
          </w:tcPr>
          <w:p w14:paraId="0D7DA609">
            <w:pPr>
              <w:widowControl/>
              <w:spacing w:line="240" w:lineRule="auto"/>
              <w:ind w:left="-50"/>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评审细则</w:t>
            </w:r>
          </w:p>
        </w:tc>
      </w:tr>
      <w:tr w14:paraId="0EB438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jc w:val="center"/>
        </w:trPr>
        <w:tc>
          <w:tcPr>
            <w:tcW w:w="992" w:type="dxa"/>
            <w:vMerge w:val="restart"/>
            <w:vAlign w:val="center"/>
          </w:tcPr>
          <w:p w14:paraId="5C8EDA49">
            <w:pPr>
              <w:widowControl/>
              <w:spacing w:line="240" w:lineRule="auto"/>
              <w:ind w:right="3" w:firstLine="105" w:firstLine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商务、资信</w:t>
            </w:r>
          </w:p>
        </w:tc>
        <w:tc>
          <w:tcPr>
            <w:tcW w:w="1351" w:type="dxa"/>
            <w:vAlign w:val="center"/>
          </w:tcPr>
          <w:p w14:paraId="10D39650">
            <w:pPr>
              <w:widowControl/>
              <w:spacing w:line="240" w:lineRule="auto"/>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企业业绩</w:t>
            </w:r>
          </w:p>
        </w:tc>
        <w:tc>
          <w:tcPr>
            <w:tcW w:w="823" w:type="dxa"/>
            <w:vAlign w:val="center"/>
          </w:tcPr>
          <w:p w14:paraId="04A0F7E1">
            <w:pPr>
              <w:widowControl/>
              <w:spacing w:line="240" w:lineRule="auto"/>
              <w:jc w:val="center"/>
              <w:rPr>
                <w:rFonts w:hint="eastAsia" w:ascii="仿宋" w:hAnsi="仿宋" w:eastAsia="仿宋" w:cs="仿宋"/>
                <w:snapToGrid w:val="0"/>
                <w:color w:val="auto"/>
                <w:kern w:val="0"/>
                <w:szCs w:val="21"/>
                <w:highlight w:val="none"/>
                <w:lang w:eastAsia="zh-CN"/>
              </w:rPr>
            </w:pPr>
            <w:r>
              <w:rPr>
                <w:rFonts w:hint="eastAsia" w:ascii="仿宋" w:hAnsi="仿宋" w:eastAsia="仿宋" w:cs="仿宋"/>
                <w:snapToGrid w:val="0"/>
                <w:color w:val="auto"/>
                <w:kern w:val="0"/>
                <w:szCs w:val="21"/>
                <w:highlight w:val="none"/>
                <w:lang w:val="en-US" w:eastAsia="zh-CN"/>
              </w:rPr>
              <w:t>1</w:t>
            </w:r>
          </w:p>
        </w:tc>
        <w:tc>
          <w:tcPr>
            <w:tcW w:w="6622" w:type="dxa"/>
            <w:vAlign w:val="center"/>
          </w:tcPr>
          <w:p w14:paraId="03B758B5">
            <w:pPr>
              <w:widowControl/>
              <w:spacing w:line="24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投标人自202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年1月1日以来承担过</w:t>
            </w:r>
            <w:r>
              <w:rPr>
                <w:rFonts w:hint="eastAsia" w:ascii="仿宋" w:hAnsi="仿宋" w:eastAsia="仿宋" w:cs="仿宋"/>
                <w:color w:val="auto"/>
                <w:sz w:val="22"/>
                <w:szCs w:val="22"/>
                <w:highlight w:val="none"/>
              </w:rPr>
              <w:t>控制性详细规划</w:t>
            </w:r>
            <w:r>
              <w:rPr>
                <w:rFonts w:hint="eastAsia" w:ascii="仿宋" w:hAnsi="仿宋" w:eastAsia="仿宋" w:cs="仿宋"/>
                <w:color w:val="auto"/>
                <w:sz w:val="22"/>
                <w:szCs w:val="22"/>
                <w:highlight w:val="none"/>
                <w:lang w:val="en-US" w:eastAsia="zh-CN"/>
              </w:rPr>
              <w:t>类似</w:t>
            </w:r>
            <w:r>
              <w:rPr>
                <w:rFonts w:hint="eastAsia" w:ascii="仿宋" w:hAnsi="仿宋" w:eastAsia="仿宋" w:cs="仿宋"/>
                <w:color w:val="auto"/>
                <w:sz w:val="22"/>
                <w:szCs w:val="22"/>
                <w:highlight w:val="none"/>
              </w:rPr>
              <w:t>项目</w:t>
            </w:r>
            <w:r>
              <w:rPr>
                <w:rFonts w:hint="eastAsia" w:ascii="仿宋" w:hAnsi="仿宋" w:eastAsia="仿宋" w:cs="仿宋"/>
                <w:color w:val="auto"/>
                <w:sz w:val="22"/>
                <w:szCs w:val="22"/>
                <w:highlight w:val="none"/>
                <w:lang w:val="en-US" w:eastAsia="zh-CN"/>
              </w:rPr>
              <w:t>的</w:t>
            </w:r>
            <w:r>
              <w:rPr>
                <w:rFonts w:hint="eastAsia" w:ascii="仿宋" w:hAnsi="仿宋" w:eastAsia="仿宋" w:cs="仿宋"/>
                <w:color w:val="auto"/>
                <w:szCs w:val="21"/>
                <w:highlight w:val="none"/>
              </w:rPr>
              <w:t>每个得</w:t>
            </w:r>
            <w:r>
              <w:rPr>
                <w:rFonts w:hint="eastAsia" w:ascii="仿宋" w:hAnsi="仿宋" w:eastAsia="仿宋" w:cs="仿宋"/>
                <w:color w:val="auto"/>
                <w:szCs w:val="21"/>
                <w:highlight w:val="none"/>
                <w:lang w:val="en-US" w:eastAsia="zh-CN"/>
              </w:rPr>
              <w:t>0.5</w:t>
            </w:r>
            <w:r>
              <w:rPr>
                <w:rFonts w:hint="eastAsia" w:ascii="仿宋" w:hAnsi="仿宋" w:eastAsia="仿宋" w:cs="仿宋"/>
                <w:color w:val="auto"/>
                <w:szCs w:val="21"/>
                <w:highlight w:val="none"/>
              </w:rPr>
              <w:t>分，本项累计最高得分</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w:t>
            </w:r>
          </w:p>
          <w:p w14:paraId="6DE7C497">
            <w:pPr>
              <w:widowControl/>
              <w:spacing w:line="240" w:lineRule="auto"/>
              <w:jc w:val="left"/>
              <w:rPr>
                <w:rFonts w:hint="eastAsia" w:ascii="仿宋" w:hAnsi="仿宋" w:eastAsia="仿宋" w:cs="仿宋"/>
                <w:color w:val="auto"/>
                <w:kern w:val="0"/>
                <w:szCs w:val="21"/>
                <w:highlight w:val="none"/>
              </w:rPr>
            </w:pPr>
            <w:r>
              <w:rPr>
                <w:rFonts w:hint="eastAsia" w:ascii="仿宋" w:hAnsi="仿宋" w:eastAsia="仿宋" w:cs="仿宋"/>
                <w:b/>
                <w:bCs/>
                <w:color w:val="auto"/>
                <w:szCs w:val="21"/>
                <w:highlight w:val="none"/>
              </w:rPr>
              <w:t>注：响应文件中须提供合同原件扫描件，否则不得分。</w:t>
            </w:r>
          </w:p>
        </w:tc>
      </w:tr>
      <w:tr w14:paraId="4C44FE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81" w:hRule="atLeast"/>
          <w:jc w:val="center"/>
        </w:trPr>
        <w:tc>
          <w:tcPr>
            <w:tcW w:w="992" w:type="dxa"/>
            <w:vMerge w:val="continue"/>
            <w:vAlign w:val="center"/>
          </w:tcPr>
          <w:p w14:paraId="4E7BB2A0">
            <w:pPr>
              <w:widowControl/>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0293DE67">
            <w:pPr>
              <w:widowControl/>
              <w:spacing w:line="240" w:lineRule="auto"/>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企业资质</w:t>
            </w:r>
          </w:p>
        </w:tc>
        <w:tc>
          <w:tcPr>
            <w:tcW w:w="823" w:type="dxa"/>
            <w:vAlign w:val="center"/>
          </w:tcPr>
          <w:p w14:paraId="13A9798F">
            <w:pPr>
              <w:widowControl/>
              <w:spacing w:line="240" w:lineRule="auto"/>
              <w:jc w:val="center"/>
              <w:rPr>
                <w:rFonts w:hint="eastAsia" w:ascii="仿宋" w:hAnsi="仿宋" w:eastAsia="仿宋" w:cs="仿宋"/>
                <w:snapToGrid w:val="0"/>
                <w:color w:val="auto"/>
                <w:kern w:val="0"/>
                <w:szCs w:val="21"/>
                <w:highlight w:val="none"/>
                <w:lang w:eastAsia="zh-CN"/>
              </w:rPr>
            </w:pPr>
            <w:r>
              <w:rPr>
                <w:rFonts w:hint="eastAsia" w:ascii="仿宋" w:hAnsi="仿宋" w:eastAsia="仿宋" w:cs="仿宋"/>
                <w:snapToGrid w:val="0"/>
                <w:color w:val="auto"/>
                <w:kern w:val="0"/>
                <w:szCs w:val="21"/>
                <w:highlight w:val="none"/>
                <w:lang w:val="en-US" w:eastAsia="zh-CN"/>
              </w:rPr>
              <w:t>4</w:t>
            </w:r>
          </w:p>
        </w:tc>
        <w:tc>
          <w:tcPr>
            <w:tcW w:w="6622" w:type="dxa"/>
            <w:vAlign w:val="center"/>
          </w:tcPr>
          <w:p w14:paraId="357F9C0B">
            <w:pPr>
              <w:widowControl/>
              <w:spacing w:line="24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投标人具有行政主管部门核发的城乡规划编制甲级资质</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分，城乡规划编制</w:t>
            </w:r>
            <w:r>
              <w:rPr>
                <w:rFonts w:hint="eastAsia" w:ascii="仿宋" w:hAnsi="仿宋" w:eastAsia="仿宋" w:cs="仿宋"/>
                <w:color w:val="auto"/>
                <w:szCs w:val="21"/>
                <w:highlight w:val="none"/>
                <w:lang w:val="en-US" w:eastAsia="zh-CN"/>
              </w:rPr>
              <w:t>乙</w:t>
            </w:r>
            <w:r>
              <w:rPr>
                <w:rFonts w:hint="eastAsia" w:ascii="仿宋" w:hAnsi="仿宋" w:eastAsia="仿宋" w:cs="仿宋"/>
                <w:color w:val="auto"/>
                <w:szCs w:val="21"/>
                <w:highlight w:val="none"/>
              </w:rPr>
              <w:t>级资质</w:t>
            </w:r>
            <w:r>
              <w:rPr>
                <w:rFonts w:hint="eastAsia" w:ascii="仿宋" w:hAnsi="仿宋" w:eastAsia="仿宋" w:cs="仿宋"/>
                <w:color w:val="auto"/>
                <w:szCs w:val="21"/>
                <w:highlight w:val="none"/>
                <w:lang w:val="en-US" w:eastAsia="zh-CN"/>
              </w:rPr>
              <w:t>的得1分，</w:t>
            </w:r>
            <w:r>
              <w:rPr>
                <w:rFonts w:hint="eastAsia" w:ascii="仿宋" w:hAnsi="仿宋" w:eastAsia="仿宋" w:cs="仿宋"/>
                <w:color w:val="auto"/>
                <w:szCs w:val="21"/>
                <w:highlight w:val="none"/>
              </w:rPr>
              <w:t>本项最高得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w:t>
            </w:r>
          </w:p>
          <w:p w14:paraId="0EEC4CA8">
            <w:pPr>
              <w:widowControl/>
              <w:spacing w:line="24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投标人具有行政主管部门核发</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建筑行业（建筑工程）设计甲级资质的得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分，建筑行业（建筑工程）设计</w:t>
            </w:r>
            <w:r>
              <w:rPr>
                <w:rFonts w:hint="eastAsia" w:ascii="仿宋" w:hAnsi="仿宋" w:eastAsia="仿宋" w:cs="仿宋"/>
                <w:color w:val="auto"/>
                <w:szCs w:val="21"/>
                <w:highlight w:val="none"/>
                <w:lang w:val="en-US" w:eastAsia="zh-CN"/>
              </w:rPr>
              <w:t>乙级</w:t>
            </w:r>
            <w:r>
              <w:rPr>
                <w:rFonts w:hint="eastAsia" w:ascii="仿宋" w:hAnsi="仿宋" w:eastAsia="仿宋" w:cs="仿宋"/>
                <w:color w:val="auto"/>
                <w:szCs w:val="21"/>
                <w:highlight w:val="none"/>
              </w:rPr>
              <w:t>资质的得</w:t>
            </w:r>
            <w:r>
              <w:rPr>
                <w:rFonts w:hint="eastAsia" w:ascii="仿宋" w:hAnsi="仿宋" w:eastAsia="仿宋" w:cs="仿宋"/>
                <w:color w:val="auto"/>
                <w:szCs w:val="21"/>
                <w:highlight w:val="none"/>
                <w:lang w:val="en-US" w:eastAsia="zh-CN"/>
              </w:rPr>
              <w:t>1</w:t>
            </w:r>
            <w:r>
              <w:rPr>
                <w:rFonts w:hint="eastAsia" w:ascii="仿宋" w:hAnsi="仿宋" w:eastAsia="仿宋" w:cs="仿宋"/>
                <w:color w:val="auto"/>
                <w:szCs w:val="21"/>
                <w:highlight w:val="none"/>
              </w:rPr>
              <w:t>分</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本项最高得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w:t>
            </w:r>
          </w:p>
          <w:p w14:paraId="052AB8EF">
            <w:pPr>
              <w:widowControl/>
              <w:spacing w:line="240" w:lineRule="auto"/>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注：响应文件中须提供有效期内相关证明文件扫描件，否则不得分。</w:t>
            </w:r>
          </w:p>
        </w:tc>
      </w:tr>
      <w:tr w14:paraId="5A626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71" w:hRule="atLeast"/>
          <w:jc w:val="center"/>
        </w:trPr>
        <w:tc>
          <w:tcPr>
            <w:tcW w:w="992" w:type="dxa"/>
            <w:vMerge w:val="continue"/>
            <w:vAlign w:val="center"/>
          </w:tcPr>
          <w:p w14:paraId="06A150EE">
            <w:pPr>
              <w:widowControl/>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38A5CE88">
            <w:pPr>
              <w:widowControl/>
              <w:spacing w:line="240" w:lineRule="auto"/>
              <w:jc w:val="cente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企业荣誉</w:t>
            </w:r>
          </w:p>
        </w:tc>
        <w:tc>
          <w:tcPr>
            <w:tcW w:w="823" w:type="dxa"/>
            <w:vAlign w:val="center"/>
          </w:tcPr>
          <w:p w14:paraId="54BC0B96">
            <w:pPr>
              <w:widowControl/>
              <w:spacing w:line="240" w:lineRule="auto"/>
              <w:jc w:val="center"/>
              <w:rPr>
                <w:rFonts w:hint="eastAsia" w:ascii="仿宋" w:hAnsi="仿宋" w:eastAsia="仿宋" w:cs="仿宋"/>
                <w:snapToGrid w:val="0"/>
                <w:color w:val="auto"/>
                <w:kern w:val="0"/>
                <w:szCs w:val="21"/>
                <w:highlight w:val="none"/>
                <w:lang w:eastAsia="zh-CN"/>
              </w:rPr>
            </w:pPr>
            <w:r>
              <w:rPr>
                <w:rFonts w:hint="eastAsia" w:ascii="仿宋" w:hAnsi="仿宋" w:eastAsia="仿宋" w:cs="仿宋"/>
                <w:snapToGrid w:val="0"/>
                <w:color w:val="auto"/>
                <w:kern w:val="0"/>
                <w:szCs w:val="21"/>
                <w:highlight w:val="none"/>
                <w:lang w:val="en-US" w:eastAsia="zh-CN"/>
              </w:rPr>
              <w:t>6</w:t>
            </w:r>
          </w:p>
        </w:tc>
        <w:tc>
          <w:tcPr>
            <w:tcW w:w="6622" w:type="dxa"/>
            <w:vAlign w:val="center"/>
          </w:tcPr>
          <w:p w14:paraId="147447D2">
            <w:pPr>
              <w:widowControl/>
              <w:spacing w:line="24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1.投标人具有全国工程勘察设计大师的得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分，本项累计最高得</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分。</w:t>
            </w:r>
          </w:p>
          <w:p w14:paraId="5F35AB79">
            <w:pPr>
              <w:widowControl/>
              <w:spacing w:line="24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2.投标人承接的规划类项目获得由</w:t>
            </w:r>
            <w:r>
              <w:rPr>
                <w:rFonts w:hint="eastAsia" w:ascii="仿宋" w:hAnsi="仿宋" w:eastAsia="仿宋" w:cs="仿宋"/>
                <w:color w:val="auto"/>
                <w:szCs w:val="21"/>
                <w:highlight w:val="none"/>
                <w:lang w:val="en-US" w:eastAsia="zh-CN"/>
              </w:rPr>
              <w:t>政府行政主管部门或</w:t>
            </w:r>
            <w:r>
              <w:rPr>
                <w:rFonts w:hint="eastAsia" w:ascii="仿宋" w:hAnsi="仿宋" w:eastAsia="仿宋" w:cs="仿宋"/>
                <w:color w:val="auto"/>
                <w:szCs w:val="21"/>
                <w:highlight w:val="none"/>
              </w:rPr>
              <w:t>城市规划协会颁发的国家级奖项的得2分，省级奖项的得1分，市级及以下奖项的得0.5分，不可累计得分，最高分2分。</w:t>
            </w:r>
          </w:p>
          <w:p w14:paraId="78D00841">
            <w:pPr>
              <w:widowControl/>
              <w:spacing w:line="240" w:lineRule="auto"/>
              <w:jc w:val="left"/>
              <w:rPr>
                <w:rFonts w:hint="default"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rPr>
              <w:t>投标人承接的控制性详细规划类项目（获奖证书需体现项目类型）获得由政府行政主管部门或城市规划协会颁发的省级及以上奖项的得2分，</w:t>
            </w:r>
            <w:r>
              <w:rPr>
                <w:rFonts w:hint="eastAsia" w:ascii="仿宋" w:hAnsi="仿宋" w:eastAsia="仿宋" w:cs="仿宋"/>
                <w:color w:val="auto"/>
                <w:szCs w:val="21"/>
                <w:lang w:val="en-US" w:eastAsia="zh-CN"/>
              </w:rPr>
              <w:t>区</w:t>
            </w:r>
            <w:r>
              <w:rPr>
                <w:rFonts w:hint="eastAsia" w:ascii="仿宋" w:hAnsi="仿宋" w:eastAsia="仿宋" w:cs="仿宋"/>
                <w:color w:val="auto"/>
                <w:szCs w:val="21"/>
              </w:rPr>
              <w:t>市级及以下奖项的得1分，不可累计得分，最高分2分。</w:t>
            </w:r>
          </w:p>
          <w:p w14:paraId="7AF1CDBB">
            <w:pPr>
              <w:pStyle w:val="12"/>
              <w:spacing w:line="240" w:lineRule="auto"/>
              <w:rPr>
                <w:rFonts w:hint="eastAsia" w:ascii="仿宋" w:hAnsi="仿宋" w:eastAsia="仿宋" w:cs="仿宋"/>
                <w:color w:val="auto"/>
                <w:highlight w:val="none"/>
              </w:rPr>
            </w:pPr>
            <w:r>
              <w:rPr>
                <w:rFonts w:hint="eastAsia" w:ascii="仿宋" w:hAnsi="仿宋" w:eastAsia="仿宋" w:cs="仿宋"/>
                <w:b/>
                <w:bCs/>
                <w:color w:val="auto"/>
                <w:szCs w:val="21"/>
                <w:highlight w:val="none"/>
              </w:rPr>
              <w:t>注：响应文件中须提供获奖证书或相关证明材料原件扫描件，否则不得分。</w:t>
            </w:r>
          </w:p>
        </w:tc>
      </w:tr>
      <w:tr w14:paraId="5F093C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992" w:type="dxa"/>
            <w:vMerge w:val="restart"/>
            <w:vAlign w:val="center"/>
          </w:tcPr>
          <w:p w14:paraId="44D82007">
            <w:pPr>
              <w:spacing w:line="240" w:lineRule="auto"/>
              <w:ind w:right="3" w:firstLine="105" w:firstLineChars="50"/>
              <w:jc w:val="center"/>
              <w:rPr>
                <w:rFonts w:hint="eastAsia" w:ascii="仿宋" w:hAnsi="仿宋" w:eastAsia="仿宋" w:cs="仿宋"/>
                <w:color w:val="auto"/>
                <w:kern w:val="0"/>
                <w:szCs w:val="21"/>
                <w:highlight w:val="none"/>
              </w:rPr>
            </w:pPr>
            <w:r>
              <w:rPr>
                <w:rFonts w:hint="eastAsia" w:ascii="仿宋" w:hAnsi="仿宋" w:eastAsia="仿宋" w:cs="仿宋"/>
                <w:color w:val="auto"/>
                <w:kern w:val="0"/>
                <w:szCs w:val="21"/>
                <w:highlight w:val="none"/>
              </w:rPr>
              <w:t>技术</w:t>
            </w:r>
          </w:p>
        </w:tc>
        <w:tc>
          <w:tcPr>
            <w:tcW w:w="1351" w:type="dxa"/>
            <w:vAlign w:val="center"/>
          </w:tcPr>
          <w:p w14:paraId="7A76C6AF">
            <w:pPr>
              <w:widowControl/>
              <w:spacing w:line="240" w:lineRule="auto"/>
              <w:ind w:right="3"/>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项目理解与</w:t>
            </w:r>
          </w:p>
          <w:p w14:paraId="226CBFDF">
            <w:pPr>
              <w:widowControl/>
              <w:spacing w:line="240" w:lineRule="auto"/>
              <w:ind w:right="3"/>
              <w:jc w:val="center"/>
              <w:rPr>
                <w:rFonts w:hint="eastAsia" w:ascii="仿宋" w:hAnsi="仿宋" w:eastAsia="仿宋" w:cs="仿宋"/>
                <w:color w:val="auto"/>
                <w:kern w:val="0"/>
                <w:szCs w:val="21"/>
                <w:highlight w:val="none"/>
              </w:rPr>
            </w:pPr>
            <w:r>
              <w:rPr>
                <w:rFonts w:hint="eastAsia" w:ascii="仿宋" w:hAnsi="仿宋" w:eastAsia="仿宋" w:cs="仿宋"/>
                <w:color w:val="auto"/>
                <w:szCs w:val="21"/>
                <w:highlight w:val="none"/>
              </w:rPr>
              <w:t>规划解读</w:t>
            </w:r>
          </w:p>
        </w:tc>
        <w:tc>
          <w:tcPr>
            <w:tcW w:w="823" w:type="dxa"/>
            <w:vAlign w:val="center"/>
          </w:tcPr>
          <w:p w14:paraId="685250DF">
            <w:pPr>
              <w:spacing w:line="240" w:lineRule="auto"/>
              <w:ind w:right="3"/>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6</w:t>
            </w:r>
          </w:p>
        </w:tc>
        <w:tc>
          <w:tcPr>
            <w:tcW w:w="6622" w:type="dxa"/>
            <w:vAlign w:val="center"/>
          </w:tcPr>
          <w:p w14:paraId="315D0457">
            <w:pPr>
              <w:spacing w:line="240" w:lineRule="auto"/>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结合狮子口片区发展现状，从项目背景、</w:t>
            </w:r>
            <w:r>
              <w:rPr>
                <w:rFonts w:hint="eastAsia" w:ascii="仿宋" w:hAnsi="仿宋" w:eastAsia="仿宋" w:cs="仿宋"/>
                <w:bCs/>
                <w:color w:val="auto"/>
                <w:kern w:val="28"/>
                <w:szCs w:val="21"/>
                <w:highlight w:val="none"/>
                <w:lang w:val="en-US" w:eastAsia="zh-CN"/>
              </w:rPr>
              <w:t>项目</w:t>
            </w:r>
            <w:r>
              <w:rPr>
                <w:rFonts w:hint="eastAsia" w:ascii="仿宋" w:hAnsi="仿宋" w:eastAsia="仿宋" w:cs="仿宋"/>
                <w:bCs/>
                <w:color w:val="auto"/>
                <w:kern w:val="28"/>
                <w:szCs w:val="21"/>
                <w:highlight w:val="none"/>
              </w:rPr>
              <w:t>现状情况、</w:t>
            </w:r>
            <w:r>
              <w:rPr>
                <w:rFonts w:hint="eastAsia" w:ascii="仿宋" w:hAnsi="仿宋" w:eastAsia="仿宋" w:cs="仿宋"/>
                <w:bCs/>
                <w:color w:val="auto"/>
                <w:kern w:val="28"/>
                <w:szCs w:val="21"/>
                <w:highlight w:val="none"/>
                <w:lang w:val="en-US" w:eastAsia="zh-CN"/>
              </w:rPr>
              <w:t>周边地块分析、</w:t>
            </w:r>
            <w:r>
              <w:rPr>
                <w:rFonts w:hint="eastAsia" w:ascii="仿宋" w:hAnsi="仿宋" w:eastAsia="仿宋" w:cs="仿宋"/>
                <w:bCs/>
                <w:color w:val="auto"/>
                <w:kern w:val="28"/>
                <w:szCs w:val="21"/>
                <w:highlight w:val="none"/>
              </w:rPr>
              <w:t>上位规划、相关指导文件、规范等的梳理、分析研究与了解等多个方案阐述对项目的理解。对项目总体认识全面深刻，论述完整清晰，总体符合规范，总体计划合理，综合措施科学得</w:t>
            </w:r>
            <w:r>
              <w:rPr>
                <w:rFonts w:hint="eastAsia" w:ascii="仿宋" w:hAnsi="仿宋" w:eastAsia="仿宋" w:cs="仿宋"/>
                <w:bCs/>
                <w:color w:val="auto"/>
                <w:kern w:val="28"/>
                <w:szCs w:val="21"/>
                <w:highlight w:val="none"/>
                <w:lang w:val="en-US" w:eastAsia="zh-CN"/>
              </w:rPr>
              <w:t>4-6</w:t>
            </w:r>
            <w:r>
              <w:rPr>
                <w:rFonts w:hint="eastAsia" w:ascii="仿宋" w:hAnsi="仿宋" w:eastAsia="仿宋" w:cs="仿宋"/>
                <w:bCs/>
                <w:color w:val="auto"/>
                <w:kern w:val="28"/>
                <w:szCs w:val="21"/>
                <w:highlight w:val="none"/>
              </w:rPr>
              <w:t>分；</w:t>
            </w:r>
          </w:p>
          <w:p w14:paraId="6941F4B4">
            <w:pPr>
              <w:spacing w:line="240" w:lineRule="auto"/>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对项目总体认识基本全面，论述基本完整清晰，总体基本符合规范，总体计划基本合理，综合措施基本科学得</w:t>
            </w:r>
            <w:r>
              <w:rPr>
                <w:rFonts w:hint="eastAsia" w:ascii="仿宋" w:hAnsi="仿宋" w:eastAsia="仿宋" w:cs="仿宋"/>
                <w:bCs/>
                <w:color w:val="auto"/>
                <w:kern w:val="28"/>
                <w:szCs w:val="21"/>
                <w:highlight w:val="none"/>
                <w:lang w:val="en-US" w:eastAsia="zh-CN"/>
              </w:rPr>
              <w:t>2-4</w:t>
            </w:r>
            <w:r>
              <w:rPr>
                <w:rFonts w:hint="eastAsia" w:ascii="仿宋" w:hAnsi="仿宋" w:eastAsia="仿宋" w:cs="仿宋"/>
                <w:bCs/>
                <w:color w:val="auto"/>
                <w:kern w:val="28"/>
                <w:szCs w:val="21"/>
                <w:highlight w:val="none"/>
              </w:rPr>
              <w:t>分；</w:t>
            </w:r>
          </w:p>
          <w:p w14:paraId="4AC239DA">
            <w:pPr>
              <w:spacing w:line="240" w:lineRule="auto"/>
              <w:rPr>
                <w:rFonts w:hint="eastAsia" w:ascii="仿宋" w:hAnsi="仿宋" w:eastAsia="仿宋" w:cs="仿宋"/>
                <w:color w:val="auto"/>
                <w:szCs w:val="21"/>
                <w:highlight w:val="none"/>
              </w:rPr>
            </w:pPr>
            <w:r>
              <w:rPr>
                <w:rFonts w:hint="eastAsia" w:ascii="仿宋" w:hAnsi="仿宋" w:eastAsia="仿宋" w:cs="仿宋"/>
                <w:bCs/>
                <w:color w:val="auto"/>
                <w:kern w:val="28"/>
                <w:szCs w:val="21"/>
                <w:highlight w:val="none"/>
              </w:rPr>
              <w:t>对项目总体认识不全面，论述不完整不清晰，或总体不符合规范，总体计划不合理，综合措施不够科学得</w:t>
            </w:r>
            <w:r>
              <w:rPr>
                <w:rFonts w:hint="eastAsia" w:ascii="仿宋" w:hAnsi="仿宋" w:eastAsia="仿宋" w:cs="仿宋"/>
                <w:bCs/>
                <w:color w:val="auto"/>
                <w:kern w:val="28"/>
                <w:szCs w:val="21"/>
                <w:highlight w:val="none"/>
                <w:lang w:val="en-US" w:eastAsia="zh-CN"/>
              </w:rPr>
              <w:t>0-2</w:t>
            </w:r>
            <w:r>
              <w:rPr>
                <w:rFonts w:hint="eastAsia" w:ascii="仿宋" w:hAnsi="仿宋" w:eastAsia="仿宋" w:cs="仿宋"/>
                <w:bCs/>
                <w:color w:val="auto"/>
                <w:kern w:val="28"/>
                <w:szCs w:val="21"/>
                <w:highlight w:val="none"/>
              </w:rPr>
              <w:t>分，未提及此项不得分。</w:t>
            </w:r>
          </w:p>
        </w:tc>
      </w:tr>
      <w:tr w14:paraId="705F5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06E6E39D">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1C429DD3">
            <w:pPr>
              <w:widowControl/>
              <w:spacing w:line="240" w:lineRule="auto"/>
              <w:ind w:right="3"/>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项目定位</w:t>
            </w:r>
          </w:p>
        </w:tc>
        <w:tc>
          <w:tcPr>
            <w:tcW w:w="823" w:type="dxa"/>
            <w:vAlign w:val="center"/>
          </w:tcPr>
          <w:p w14:paraId="6A094A3C">
            <w:pPr>
              <w:widowControl/>
              <w:spacing w:line="240" w:lineRule="auto"/>
              <w:ind w:right="3"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val="en-US" w:eastAsia="zh-CN"/>
              </w:rPr>
              <w:t>5</w:t>
            </w:r>
          </w:p>
        </w:tc>
        <w:tc>
          <w:tcPr>
            <w:tcW w:w="6622" w:type="dxa"/>
            <w:vAlign w:val="center"/>
          </w:tcPr>
          <w:p w14:paraId="1044A179">
            <w:pPr>
              <w:spacing w:line="240" w:lineRule="auto"/>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highlight w:val="none"/>
              </w:rPr>
              <w:t>对狮子口片区规划调整提出明确的设计定位，定位需符合城市总体规划和项目要求，同时结合现状，合理准确</w:t>
            </w:r>
            <w:r>
              <w:rPr>
                <w:rFonts w:hint="eastAsia" w:ascii="仿宋" w:hAnsi="仿宋" w:eastAsia="仿宋" w:cs="仿宋"/>
                <w:bCs/>
                <w:color w:val="auto"/>
                <w:kern w:val="28"/>
                <w:szCs w:val="21"/>
                <w:highlight w:val="none"/>
                <w:lang w:eastAsia="zh-CN"/>
              </w:rPr>
              <w:t>，</w:t>
            </w:r>
            <w:r>
              <w:rPr>
                <w:rFonts w:hint="eastAsia" w:ascii="仿宋" w:hAnsi="仿宋" w:eastAsia="仿宋" w:cs="仿宋"/>
                <w:bCs/>
                <w:color w:val="auto"/>
                <w:kern w:val="28"/>
                <w:szCs w:val="21"/>
                <w:highlight w:val="none"/>
              </w:rPr>
              <w:t>针对性强，得</w:t>
            </w:r>
            <w:r>
              <w:rPr>
                <w:rFonts w:hint="eastAsia" w:ascii="仿宋" w:hAnsi="仿宋" w:eastAsia="仿宋" w:cs="仿宋"/>
                <w:bCs/>
                <w:color w:val="auto"/>
                <w:kern w:val="28"/>
                <w:szCs w:val="21"/>
                <w:highlight w:val="none"/>
                <w:lang w:val="en-US" w:eastAsia="zh-CN"/>
              </w:rPr>
              <w:t>4-5</w:t>
            </w:r>
            <w:r>
              <w:rPr>
                <w:rFonts w:hint="eastAsia" w:ascii="仿宋" w:hAnsi="仿宋" w:eastAsia="仿宋" w:cs="仿宋"/>
                <w:bCs/>
                <w:color w:val="auto"/>
                <w:kern w:val="28"/>
                <w:szCs w:val="21"/>
                <w:highlight w:val="none"/>
              </w:rPr>
              <w:t>分；</w:t>
            </w:r>
          </w:p>
          <w:p w14:paraId="395DE2DB">
            <w:pPr>
              <w:spacing w:line="240" w:lineRule="auto"/>
              <w:rPr>
                <w:rFonts w:hint="eastAsia" w:ascii="仿宋" w:hAnsi="仿宋" w:eastAsia="仿宋" w:cs="仿宋"/>
                <w:color w:val="auto"/>
                <w:szCs w:val="21"/>
                <w:highlight w:val="none"/>
              </w:rPr>
            </w:pPr>
            <w:r>
              <w:rPr>
                <w:rFonts w:hint="eastAsia" w:ascii="仿宋" w:hAnsi="仿宋" w:eastAsia="仿宋" w:cs="仿宋"/>
                <w:bCs/>
                <w:color w:val="auto"/>
                <w:kern w:val="28"/>
                <w:szCs w:val="21"/>
                <w:highlight w:val="none"/>
              </w:rPr>
              <w:t xml:space="preserve">总体认识基本全面、基本符合城市总体规划、定位基本准确、针对性较强，得 </w:t>
            </w:r>
            <w:r>
              <w:rPr>
                <w:rFonts w:hint="eastAsia" w:ascii="仿宋" w:hAnsi="仿宋" w:eastAsia="仿宋" w:cs="仿宋"/>
                <w:bCs/>
                <w:color w:val="auto"/>
                <w:kern w:val="28"/>
                <w:szCs w:val="21"/>
                <w:highlight w:val="none"/>
                <w:lang w:val="en-US" w:eastAsia="zh-CN"/>
              </w:rPr>
              <w:t>2-4</w:t>
            </w:r>
            <w:r>
              <w:rPr>
                <w:rFonts w:hint="eastAsia" w:ascii="仿宋" w:hAnsi="仿宋" w:eastAsia="仿宋" w:cs="仿宋"/>
                <w:bCs/>
                <w:color w:val="auto"/>
                <w:kern w:val="28"/>
                <w:szCs w:val="21"/>
                <w:highlight w:val="none"/>
              </w:rPr>
              <w:t>分；总体认识不全、定位不准、针对性一般，得</w:t>
            </w:r>
            <w:r>
              <w:rPr>
                <w:rFonts w:hint="eastAsia" w:ascii="仿宋" w:hAnsi="仿宋" w:eastAsia="仿宋" w:cs="仿宋"/>
                <w:bCs/>
                <w:color w:val="auto"/>
                <w:kern w:val="28"/>
                <w:szCs w:val="21"/>
                <w:highlight w:val="none"/>
                <w:lang w:val="en-US" w:eastAsia="zh-CN"/>
              </w:rPr>
              <w:t>0-2</w:t>
            </w:r>
            <w:r>
              <w:rPr>
                <w:rFonts w:hint="eastAsia" w:ascii="仿宋" w:hAnsi="仿宋" w:eastAsia="仿宋" w:cs="仿宋"/>
                <w:bCs/>
                <w:color w:val="auto"/>
                <w:kern w:val="28"/>
                <w:szCs w:val="21"/>
                <w:highlight w:val="none"/>
              </w:rPr>
              <w:t>分，未提及此项不得分。</w:t>
            </w:r>
          </w:p>
        </w:tc>
      </w:tr>
      <w:tr w14:paraId="27FF40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12F25326">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shd w:val="clear" w:color="auto" w:fill="auto"/>
            <w:vAlign w:val="center"/>
          </w:tcPr>
          <w:p w14:paraId="026DA236">
            <w:pPr>
              <w:widowControl/>
              <w:spacing w:line="240" w:lineRule="auto"/>
              <w:jc w:val="center"/>
              <w:rPr>
                <w:rFonts w:hint="eastAsia" w:ascii="仿宋" w:hAnsi="仿宋" w:eastAsia="仿宋" w:cs="仿宋"/>
                <w:bCs/>
                <w:color w:val="auto"/>
                <w:kern w:val="28"/>
                <w:sz w:val="21"/>
                <w:szCs w:val="21"/>
                <w:highlight w:val="none"/>
                <w:lang w:val="en-US" w:eastAsia="zh-CN" w:bidi="ar-SA"/>
              </w:rPr>
            </w:pPr>
            <w:r>
              <w:rPr>
                <w:rFonts w:hint="eastAsia" w:ascii="仿宋" w:hAnsi="仿宋" w:eastAsia="仿宋" w:cs="仿宋"/>
                <w:bCs/>
                <w:color w:val="auto"/>
                <w:kern w:val="28"/>
                <w:szCs w:val="21"/>
                <w:highlight w:val="none"/>
              </w:rPr>
              <w:t>项目</w:t>
            </w:r>
            <w:r>
              <w:rPr>
                <w:rFonts w:hint="eastAsia" w:ascii="仿宋" w:hAnsi="仿宋" w:eastAsia="仿宋" w:cs="仿宋"/>
                <w:bCs/>
                <w:color w:val="auto"/>
                <w:kern w:val="28"/>
                <w:szCs w:val="21"/>
                <w:highlight w:val="none"/>
                <w:lang w:val="en-US" w:eastAsia="zh-CN"/>
              </w:rPr>
              <w:t>负责人资历</w:t>
            </w:r>
          </w:p>
        </w:tc>
        <w:tc>
          <w:tcPr>
            <w:tcW w:w="823" w:type="dxa"/>
            <w:shd w:val="clear" w:color="auto" w:fill="auto"/>
            <w:vAlign w:val="center"/>
          </w:tcPr>
          <w:p w14:paraId="2F0B7EC4">
            <w:pPr>
              <w:widowControl/>
              <w:spacing w:line="240" w:lineRule="auto"/>
              <w:jc w:val="center"/>
              <w:rPr>
                <w:rFonts w:hint="eastAsia" w:ascii="仿宋" w:hAnsi="仿宋" w:eastAsia="仿宋" w:cs="仿宋"/>
                <w:snapToGrid w:val="0"/>
                <w:color w:val="auto"/>
                <w:kern w:val="0"/>
                <w:sz w:val="21"/>
                <w:szCs w:val="21"/>
                <w:highlight w:val="none"/>
                <w:lang w:val="en-US" w:eastAsia="zh-CN" w:bidi="ar-SA"/>
              </w:rPr>
            </w:pPr>
            <w:r>
              <w:rPr>
                <w:rFonts w:hint="eastAsia" w:ascii="仿宋" w:hAnsi="仿宋" w:eastAsia="仿宋" w:cs="仿宋"/>
                <w:snapToGrid w:val="0"/>
                <w:color w:val="auto"/>
                <w:kern w:val="0"/>
                <w:sz w:val="21"/>
                <w:szCs w:val="21"/>
                <w:highlight w:val="none"/>
                <w:lang w:val="en-US" w:eastAsia="zh-CN"/>
              </w:rPr>
              <w:t>4</w:t>
            </w:r>
          </w:p>
        </w:tc>
        <w:tc>
          <w:tcPr>
            <w:tcW w:w="6622" w:type="dxa"/>
            <w:shd w:val="clear" w:color="auto" w:fill="auto"/>
            <w:vAlign w:val="center"/>
          </w:tcPr>
          <w:p w14:paraId="2E4C09EE">
            <w:pPr>
              <w:widowControl/>
              <w:numPr>
                <w:ilvl w:val="0"/>
                <w:numId w:val="0"/>
              </w:numPr>
              <w:spacing w:line="240" w:lineRule="auto"/>
              <w:jc w:val="left"/>
              <w:rPr>
                <w:rFonts w:hint="eastAsia" w:ascii="仿宋" w:hAnsi="仿宋" w:eastAsia="仿宋" w:cs="仿宋"/>
                <w:snapToGrid w:val="0"/>
                <w:color w:val="auto"/>
                <w:sz w:val="21"/>
                <w:szCs w:val="21"/>
                <w:highlight w:val="none"/>
              </w:rPr>
            </w:pPr>
            <w:r>
              <w:rPr>
                <w:rFonts w:hint="eastAsia" w:ascii="仿宋" w:hAnsi="仿宋" w:eastAsia="仿宋" w:cs="仿宋"/>
                <w:snapToGrid w:val="0"/>
                <w:color w:val="auto"/>
                <w:sz w:val="21"/>
                <w:szCs w:val="21"/>
                <w:highlight w:val="none"/>
                <w:lang w:val="en-US" w:eastAsia="zh-CN"/>
              </w:rPr>
              <w:t>1.</w:t>
            </w:r>
            <w:r>
              <w:rPr>
                <w:rFonts w:hint="eastAsia" w:ascii="仿宋" w:hAnsi="仿宋" w:eastAsia="仿宋" w:cs="仿宋"/>
                <w:snapToGrid w:val="0"/>
                <w:color w:val="auto"/>
                <w:sz w:val="21"/>
                <w:szCs w:val="21"/>
                <w:highlight w:val="none"/>
              </w:rPr>
              <w:t>项目负责人具有规划类高级工程师职称</w:t>
            </w:r>
            <w:r>
              <w:rPr>
                <w:rFonts w:hint="eastAsia" w:ascii="仿宋" w:hAnsi="仿宋" w:eastAsia="仿宋" w:cs="仿宋"/>
                <w:snapToGrid w:val="0"/>
                <w:color w:val="auto"/>
                <w:sz w:val="21"/>
                <w:szCs w:val="21"/>
                <w:highlight w:val="none"/>
                <w:lang w:val="en-US" w:eastAsia="zh-CN"/>
              </w:rPr>
              <w:t>并</w:t>
            </w:r>
            <w:r>
              <w:rPr>
                <w:rFonts w:hint="eastAsia" w:ascii="仿宋" w:hAnsi="仿宋" w:eastAsia="仿宋" w:cs="仿宋"/>
                <w:snapToGrid w:val="0"/>
                <w:color w:val="auto"/>
                <w:sz w:val="21"/>
                <w:szCs w:val="21"/>
                <w:highlight w:val="none"/>
              </w:rPr>
              <w:t>具有国家注册城乡规划师的得</w:t>
            </w:r>
            <w:r>
              <w:rPr>
                <w:rFonts w:hint="eastAsia" w:ascii="仿宋" w:hAnsi="仿宋" w:eastAsia="仿宋" w:cs="仿宋"/>
                <w:snapToGrid w:val="0"/>
                <w:color w:val="auto"/>
                <w:sz w:val="21"/>
                <w:szCs w:val="21"/>
                <w:highlight w:val="none"/>
                <w:lang w:val="en-US" w:eastAsia="zh-CN"/>
              </w:rPr>
              <w:t>2</w:t>
            </w:r>
            <w:r>
              <w:rPr>
                <w:rFonts w:hint="eastAsia" w:ascii="仿宋" w:hAnsi="仿宋" w:eastAsia="仿宋" w:cs="仿宋"/>
                <w:snapToGrid w:val="0"/>
                <w:color w:val="auto"/>
                <w:sz w:val="21"/>
                <w:szCs w:val="21"/>
                <w:highlight w:val="none"/>
              </w:rPr>
              <w:t>分，项目负责人具有国家注册城乡规划师的得</w:t>
            </w:r>
            <w:r>
              <w:rPr>
                <w:rFonts w:hint="eastAsia" w:ascii="仿宋" w:hAnsi="仿宋" w:eastAsia="仿宋" w:cs="仿宋"/>
                <w:snapToGrid w:val="0"/>
                <w:color w:val="auto"/>
                <w:sz w:val="21"/>
                <w:szCs w:val="21"/>
                <w:highlight w:val="none"/>
                <w:lang w:val="en-US" w:eastAsia="zh-CN"/>
              </w:rPr>
              <w:t>1</w:t>
            </w:r>
            <w:r>
              <w:rPr>
                <w:rFonts w:hint="eastAsia" w:ascii="仿宋" w:hAnsi="仿宋" w:eastAsia="仿宋" w:cs="仿宋"/>
                <w:snapToGrid w:val="0"/>
                <w:color w:val="auto"/>
                <w:sz w:val="21"/>
                <w:szCs w:val="21"/>
                <w:highlight w:val="none"/>
              </w:rPr>
              <w:t>分</w:t>
            </w:r>
            <w:r>
              <w:rPr>
                <w:rFonts w:hint="eastAsia" w:ascii="仿宋" w:hAnsi="仿宋" w:eastAsia="仿宋" w:cs="仿宋"/>
                <w:snapToGrid w:val="0"/>
                <w:color w:val="auto"/>
                <w:sz w:val="21"/>
                <w:szCs w:val="21"/>
                <w:highlight w:val="none"/>
                <w:lang w:eastAsia="zh-CN"/>
              </w:rPr>
              <w:t>，</w:t>
            </w:r>
            <w:r>
              <w:rPr>
                <w:rFonts w:hint="eastAsia" w:ascii="仿宋" w:hAnsi="仿宋" w:eastAsia="仿宋" w:cs="仿宋"/>
                <w:snapToGrid w:val="0"/>
                <w:color w:val="auto"/>
                <w:sz w:val="21"/>
                <w:szCs w:val="21"/>
                <w:highlight w:val="none"/>
              </w:rPr>
              <w:t>本项最高得</w:t>
            </w:r>
            <w:r>
              <w:rPr>
                <w:rFonts w:hint="eastAsia" w:ascii="仿宋" w:hAnsi="仿宋" w:eastAsia="仿宋" w:cs="仿宋"/>
                <w:snapToGrid w:val="0"/>
                <w:color w:val="auto"/>
                <w:sz w:val="21"/>
                <w:szCs w:val="21"/>
                <w:highlight w:val="none"/>
                <w:lang w:val="en-US" w:eastAsia="zh-CN"/>
              </w:rPr>
              <w:t>2</w:t>
            </w:r>
            <w:r>
              <w:rPr>
                <w:rFonts w:hint="eastAsia" w:ascii="仿宋" w:hAnsi="仿宋" w:eastAsia="仿宋" w:cs="仿宋"/>
                <w:snapToGrid w:val="0"/>
                <w:color w:val="auto"/>
                <w:sz w:val="21"/>
                <w:szCs w:val="21"/>
                <w:highlight w:val="none"/>
              </w:rPr>
              <w:t>分。</w:t>
            </w:r>
          </w:p>
          <w:p w14:paraId="6C042FBC">
            <w:pPr>
              <w:widowControl/>
              <w:numPr>
                <w:ilvl w:val="0"/>
                <w:numId w:val="0"/>
              </w:numPr>
              <w:spacing w:line="240" w:lineRule="auto"/>
              <w:jc w:val="left"/>
              <w:rPr>
                <w:rFonts w:hint="eastAsia" w:ascii="仿宋" w:hAnsi="仿宋" w:eastAsia="仿宋" w:cs="仿宋"/>
                <w:bCs/>
                <w:color w:val="auto"/>
                <w:kern w:val="28"/>
                <w:sz w:val="21"/>
                <w:szCs w:val="21"/>
                <w:highlight w:val="none"/>
              </w:rPr>
            </w:pPr>
            <w:r>
              <w:rPr>
                <w:rFonts w:hint="eastAsia" w:ascii="仿宋" w:hAnsi="仿宋" w:eastAsia="仿宋" w:cs="仿宋"/>
                <w:bCs/>
                <w:color w:val="auto"/>
                <w:kern w:val="28"/>
                <w:sz w:val="21"/>
                <w:szCs w:val="21"/>
                <w:highlight w:val="none"/>
                <w:lang w:val="en-US" w:eastAsia="zh-CN"/>
              </w:rPr>
              <w:t>2.</w:t>
            </w:r>
            <w:r>
              <w:rPr>
                <w:rFonts w:hint="eastAsia" w:ascii="仿宋" w:hAnsi="仿宋" w:eastAsia="仿宋" w:cs="仿宋"/>
                <w:bCs/>
                <w:color w:val="auto"/>
                <w:kern w:val="28"/>
                <w:sz w:val="21"/>
                <w:szCs w:val="21"/>
                <w:highlight w:val="none"/>
              </w:rPr>
              <w:t>项目负责人</w:t>
            </w:r>
            <w:r>
              <w:rPr>
                <w:rFonts w:hint="eastAsia" w:ascii="仿宋" w:hAnsi="仿宋" w:eastAsia="仿宋" w:cs="仿宋"/>
                <w:color w:val="auto"/>
                <w:sz w:val="21"/>
                <w:szCs w:val="21"/>
                <w:highlight w:val="none"/>
              </w:rPr>
              <w:t>参与的规划类项目获得由</w:t>
            </w:r>
            <w:r>
              <w:rPr>
                <w:rFonts w:hint="eastAsia" w:ascii="仿宋" w:hAnsi="仿宋" w:eastAsia="仿宋" w:cs="仿宋"/>
                <w:color w:val="auto"/>
                <w:sz w:val="21"/>
                <w:szCs w:val="21"/>
                <w:highlight w:val="none"/>
                <w:lang w:val="en-US" w:eastAsia="zh-CN"/>
              </w:rPr>
              <w:t>政府行政主管部门或</w:t>
            </w:r>
            <w:r>
              <w:rPr>
                <w:rFonts w:hint="eastAsia" w:ascii="仿宋" w:hAnsi="仿宋" w:eastAsia="仿宋" w:cs="仿宋"/>
                <w:color w:val="auto"/>
                <w:sz w:val="21"/>
                <w:szCs w:val="21"/>
                <w:highlight w:val="none"/>
              </w:rPr>
              <w:t>城市规划协会颁发</w:t>
            </w:r>
            <w:r>
              <w:rPr>
                <w:rFonts w:hint="eastAsia" w:ascii="仿宋" w:hAnsi="仿宋" w:eastAsia="仿宋" w:cs="仿宋"/>
                <w:color w:val="auto"/>
                <w:sz w:val="21"/>
                <w:szCs w:val="21"/>
                <w:highlight w:val="none"/>
                <w:lang w:val="en-US" w:eastAsia="zh-CN"/>
              </w:rPr>
              <w:t>的</w:t>
            </w:r>
            <w:r>
              <w:rPr>
                <w:rFonts w:hint="eastAsia" w:ascii="仿宋" w:hAnsi="仿宋" w:eastAsia="仿宋" w:cs="仿宋"/>
                <w:color w:val="auto"/>
                <w:sz w:val="21"/>
                <w:szCs w:val="21"/>
                <w:highlight w:val="none"/>
              </w:rPr>
              <w:t>省级</w:t>
            </w:r>
            <w:r>
              <w:rPr>
                <w:rFonts w:hint="eastAsia" w:ascii="仿宋" w:hAnsi="仿宋" w:eastAsia="仿宋" w:cs="仿宋"/>
                <w:color w:val="auto"/>
                <w:sz w:val="21"/>
                <w:szCs w:val="21"/>
                <w:highlight w:val="none"/>
                <w:lang w:val="en-US" w:eastAsia="zh-CN"/>
              </w:rPr>
              <w:t>及以上</w:t>
            </w:r>
            <w:r>
              <w:rPr>
                <w:rFonts w:hint="eastAsia" w:ascii="仿宋" w:hAnsi="仿宋" w:eastAsia="仿宋" w:cs="仿宋"/>
                <w:color w:val="auto"/>
                <w:sz w:val="21"/>
                <w:szCs w:val="21"/>
                <w:highlight w:val="none"/>
              </w:rPr>
              <w:t>奖项的得</w:t>
            </w:r>
            <w:r>
              <w:rPr>
                <w:rFonts w:hint="eastAsia" w:ascii="仿宋" w:hAnsi="仿宋" w:eastAsia="仿宋" w:cs="仿宋"/>
                <w:color w:val="auto"/>
                <w:sz w:val="21"/>
                <w:szCs w:val="21"/>
                <w:highlight w:val="none"/>
                <w:lang w:val="en-US" w:eastAsia="zh-CN"/>
              </w:rPr>
              <w:t>2</w:t>
            </w:r>
            <w:r>
              <w:rPr>
                <w:rFonts w:hint="eastAsia" w:ascii="仿宋" w:hAnsi="仿宋" w:eastAsia="仿宋" w:cs="仿宋"/>
                <w:color w:val="auto"/>
                <w:sz w:val="21"/>
                <w:szCs w:val="21"/>
                <w:highlight w:val="none"/>
              </w:rPr>
              <w:t>分，市级及以下奖项的得</w:t>
            </w:r>
            <w:r>
              <w:rPr>
                <w:rFonts w:hint="eastAsia" w:ascii="仿宋" w:hAnsi="仿宋" w:eastAsia="仿宋" w:cs="仿宋"/>
                <w:color w:val="auto"/>
                <w:sz w:val="21"/>
                <w:szCs w:val="21"/>
                <w:highlight w:val="none"/>
                <w:lang w:val="en-US" w:eastAsia="zh-CN"/>
              </w:rPr>
              <w:t>1</w:t>
            </w:r>
            <w:r>
              <w:rPr>
                <w:rFonts w:hint="eastAsia" w:ascii="仿宋" w:hAnsi="仿宋" w:eastAsia="仿宋" w:cs="仿宋"/>
                <w:color w:val="auto"/>
                <w:sz w:val="21"/>
                <w:szCs w:val="21"/>
                <w:highlight w:val="none"/>
              </w:rPr>
              <w:t>分，不可累计得分，最高分2分。</w:t>
            </w:r>
          </w:p>
          <w:p w14:paraId="7FAA1D0B">
            <w:pPr>
              <w:widowControl/>
              <w:spacing w:line="240" w:lineRule="auto"/>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b/>
                <w:color w:val="auto"/>
                <w:kern w:val="28"/>
                <w:sz w:val="21"/>
                <w:szCs w:val="21"/>
                <w:highlight w:val="none"/>
              </w:rPr>
              <w:t>注：提供人员相关证书扫描件以及</w:t>
            </w:r>
            <w:r>
              <w:rPr>
                <w:rFonts w:hint="eastAsia" w:ascii="仿宋" w:hAnsi="仿宋" w:eastAsia="仿宋" w:cs="仿宋"/>
                <w:b/>
                <w:bCs/>
                <w:color w:val="auto"/>
                <w:sz w:val="21"/>
                <w:szCs w:val="21"/>
                <w:highlight w:val="none"/>
              </w:rPr>
              <w:t>投标单位为</w:t>
            </w:r>
            <w:r>
              <w:rPr>
                <w:rFonts w:hint="eastAsia" w:ascii="仿宋" w:hAnsi="仿宋" w:eastAsia="仿宋" w:cs="仿宋"/>
                <w:b/>
                <w:bCs/>
                <w:color w:val="auto"/>
                <w:sz w:val="21"/>
                <w:szCs w:val="21"/>
                <w:highlight w:val="none"/>
                <w:lang w:val="en-US" w:eastAsia="zh-CN"/>
              </w:rPr>
              <w:t>其缴纳</w:t>
            </w:r>
            <w:r>
              <w:rPr>
                <w:rFonts w:hint="eastAsia" w:ascii="仿宋" w:hAnsi="仿宋" w:eastAsia="仿宋" w:cs="仿宋"/>
                <w:b/>
                <w:bCs/>
                <w:color w:val="auto"/>
                <w:sz w:val="21"/>
                <w:szCs w:val="21"/>
                <w:highlight w:val="none"/>
              </w:rPr>
              <w:t>近三个月的社保证明</w:t>
            </w:r>
            <w:r>
              <w:rPr>
                <w:rFonts w:hint="eastAsia" w:ascii="仿宋" w:hAnsi="仿宋" w:eastAsia="仿宋" w:cs="仿宋"/>
                <w:b/>
                <w:color w:val="auto"/>
                <w:kern w:val="28"/>
                <w:sz w:val="21"/>
                <w:szCs w:val="21"/>
                <w:highlight w:val="none"/>
              </w:rPr>
              <w:t>扫描件，</w:t>
            </w:r>
            <w:r>
              <w:rPr>
                <w:rFonts w:hint="eastAsia" w:ascii="仿宋" w:hAnsi="仿宋" w:eastAsia="仿宋" w:cs="仿宋"/>
                <w:b/>
                <w:bCs/>
                <w:color w:val="auto"/>
                <w:sz w:val="21"/>
                <w:szCs w:val="21"/>
                <w:highlight w:val="none"/>
              </w:rPr>
              <w:t>否则不得分。</w:t>
            </w:r>
          </w:p>
        </w:tc>
      </w:tr>
      <w:tr w14:paraId="4F07D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51CEBB62">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restart"/>
            <w:vAlign w:val="center"/>
          </w:tcPr>
          <w:p w14:paraId="5432A1DD">
            <w:pPr>
              <w:spacing w:line="240" w:lineRule="auto"/>
              <w:ind w:right="3"/>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关键技术方案</w:t>
            </w:r>
          </w:p>
        </w:tc>
        <w:tc>
          <w:tcPr>
            <w:tcW w:w="823" w:type="dxa"/>
            <w:vAlign w:val="center"/>
          </w:tcPr>
          <w:p w14:paraId="071DCEC5">
            <w:pPr>
              <w:widowControl/>
              <w:ind w:right="3" w:rightChars="0"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rPr>
              <w:t>5</w:t>
            </w:r>
          </w:p>
        </w:tc>
        <w:tc>
          <w:tcPr>
            <w:tcW w:w="6622" w:type="dxa"/>
            <w:vAlign w:val="center"/>
          </w:tcPr>
          <w:p w14:paraId="2BAA9CD7">
            <w:pPr>
              <w:rPr>
                <w:rFonts w:hint="eastAsia" w:ascii="仿宋" w:hAnsi="仿宋" w:eastAsia="仿宋" w:cs="仿宋"/>
                <w:color w:val="auto"/>
                <w:szCs w:val="21"/>
                <w:highlight w:val="none"/>
              </w:rPr>
            </w:pPr>
            <w:r>
              <w:rPr>
                <w:rFonts w:hint="eastAsia" w:ascii="仿宋" w:hAnsi="仿宋" w:eastAsia="仿宋" w:cs="仿宋"/>
                <w:bCs/>
                <w:color w:val="auto"/>
                <w:kern w:val="28"/>
                <w:szCs w:val="21"/>
              </w:rPr>
              <w:t>对区域的用地布局做出合理的优化调整及建议。有符合现状及未来发展的且针对性强的用地方案的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3</w:t>
            </w:r>
            <w:r>
              <w:rPr>
                <w:rFonts w:hint="eastAsia" w:ascii="仿宋" w:hAnsi="仿宋" w:eastAsia="仿宋" w:cs="仿宋"/>
                <w:bCs/>
                <w:color w:val="auto"/>
                <w:kern w:val="28"/>
                <w:szCs w:val="21"/>
              </w:rPr>
              <w:t>-5</w:t>
            </w:r>
            <w:r>
              <w:rPr>
                <w:rFonts w:hint="eastAsia" w:ascii="仿宋" w:hAnsi="仿宋" w:eastAsia="仿宋" w:cs="仿宋"/>
                <w:bCs/>
                <w:color w:val="auto"/>
                <w:kern w:val="28"/>
                <w:szCs w:val="21"/>
                <w:lang w:val="en-US" w:eastAsia="zh-CN"/>
              </w:rPr>
              <w:t>分</w:t>
            </w:r>
            <w:r>
              <w:rPr>
                <w:rFonts w:hint="eastAsia" w:ascii="仿宋" w:hAnsi="仿宋" w:eastAsia="仿宋" w:cs="仿宋"/>
                <w:bCs/>
                <w:color w:val="auto"/>
                <w:kern w:val="28"/>
                <w:szCs w:val="21"/>
              </w:rPr>
              <w:t>），仅提出调整建议但与现状及未来发展不太符合的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w:t>
            </w:r>
            <w:r>
              <w:rPr>
                <w:rFonts w:hint="eastAsia" w:ascii="仿宋" w:hAnsi="仿宋" w:eastAsia="仿宋" w:cs="仿宋"/>
                <w:bCs/>
                <w:color w:val="auto"/>
                <w:kern w:val="28"/>
                <w:szCs w:val="21"/>
              </w:rPr>
              <w:t>-3分），未提及此项不得分。</w:t>
            </w:r>
          </w:p>
        </w:tc>
      </w:tr>
      <w:tr w14:paraId="3756FD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46D2481F">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51293FF7">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2869AB93">
            <w:pPr>
              <w:widowControl/>
              <w:ind w:right="3" w:rightChars="0"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rPr>
              <w:t>9</w:t>
            </w:r>
          </w:p>
        </w:tc>
        <w:tc>
          <w:tcPr>
            <w:tcW w:w="6622" w:type="dxa"/>
            <w:vAlign w:val="center"/>
          </w:tcPr>
          <w:p w14:paraId="563BBFDD">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对区域的城市空间形态提出针对性的建议及城市设计方案。空间形态设计合理，有具体实施方案图纸的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（5-9分），仅有针对性建议无图纸的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5</w:t>
            </w:r>
            <w:r>
              <w:rPr>
                <w:rFonts w:hint="eastAsia" w:ascii="仿宋" w:hAnsi="仿宋" w:eastAsia="仿宋" w:cs="仿宋"/>
                <w:bCs/>
                <w:color w:val="auto"/>
                <w:kern w:val="28"/>
                <w:szCs w:val="21"/>
              </w:rPr>
              <w:t>分），未提及此项不得分。</w:t>
            </w:r>
          </w:p>
        </w:tc>
      </w:tr>
      <w:tr w14:paraId="132477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019EB7D9">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36CB66A0">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0A36545F">
            <w:pPr>
              <w:widowControl/>
              <w:ind w:right="3" w:rightChars="0"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rPr>
              <w:t>5</w:t>
            </w:r>
          </w:p>
        </w:tc>
        <w:tc>
          <w:tcPr>
            <w:tcW w:w="6622" w:type="dxa"/>
            <w:vAlign w:val="center"/>
          </w:tcPr>
          <w:p w14:paraId="130A5038">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对区域交通梳理与组织提出针对性的建议及设计方案。交通组织合理明确、有前瞻性，且有具体实施方案图纸的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（3-5分），仅有针对性建议无图纸的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0-3</w:t>
            </w:r>
            <w:r>
              <w:rPr>
                <w:rFonts w:hint="eastAsia" w:ascii="仿宋" w:hAnsi="仿宋" w:eastAsia="仿宋" w:cs="仿宋"/>
                <w:bCs/>
                <w:color w:val="auto"/>
                <w:kern w:val="28"/>
                <w:szCs w:val="21"/>
              </w:rPr>
              <w:t>分），未提及此项不得分。</w:t>
            </w:r>
          </w:p>
        </w:tc>
      </w:tr>
      <w:tr w14:paraId="1B761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4F8FB8E8">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0AFADC62">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1F96C402">
            <w:pPr>
              <w:widowControl/>
              <w:ind w:right="3" w:rightChars="0"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rPr>
              <w:t>5</w:t>
            </w:r>
          </w:p>
        </w:tc>
        <w:tc>
          <w:tcPr>
            <w:tcW w:w="6622" w:type="dxa"/>
            <w:vAlign w:val="center"/>
          </w:tcPr>
          <w:p w14:paraId="434B3B74">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结合区域空间形态，分析主要视线通廊。有清晰明确的视线廊道分析且有具体实施方案图纸的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（3-5分），仅有针对性建议无图纸的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0-3</w:t>
            </w:r>
            <w:r>
              <w:rPr>
                <w:rFonts w:hint="eastAsia" w:ascii="仿宋" w:hAnsi="仿宋" w:eastAsia="仿宋" w:cs="仿宋"/>
                <w:bCs/>
                <w:color w:val="auto"/>
                <w:kern w:val="28"/>
                <w:szCs w:val="21"/>
              </w:rPr>
              <w:t>分），未提及此项不得分。</w:t>
            </w:r>
          </w:p>
        </w:tc>
      </w:tr>
      <w:tr w14:paraId="093D16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76CAB824">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710DD741">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12491243">
            <w:pPr>
              <w:widowControl/>
              <w:ind w:right="3" w:rightChars="0" w:firstLine="105" w:firstLineChars="5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rPr>
              <w:t>5</w:t>
            </w:r>
          </w:p>
        </w:tc>
        <w:tc>
          <w:tcPr>
            <w:tcW w:w="6622" w:type="dxa"/>
            <w:vAlign w:val="center"/>
          </w:tcPr>
          <w:p w14:paraId="43CF6700">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根据对狮子口片区开发动态时序及未来规划的理解，划定区域内不少于两个地块作为重点研究。根据重点地块划定的分析依据进行打分。重点地块划分依据充分合理的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（3-5分），仅划分重点地块但无充分分析依据的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0-3</w:t>
            </w:r>
            <w:r>
              <w:rPr>
                <w:rFonts w:hint="eastAsia" w:ascii="仿宋" w:hAnsi="仿宋" w:eastAsia="仿宋" w:cs="仿宋"/>
                <w:bCs/>
                <w:color w:val="auto"/>
                <w:kern w:val="28"/>
                <w:szCs w:val="21"/>
              </w:rPr>
              <w:t>分），未提及此项不得分。</w:t>
            </w:r>
          </w:p>
        </w:tc>
      </w:tr>
      <w:tr w14:paraId="6EC80D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435EC0EC">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4BB8AF16">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4ACAA98F">
            <w:pPr>
              <w:widowControl/>
              <w:ind w:right="3" w:rightChars="0" w:firstLine="105" w:firstLineChars="50"/>
              <w:jc w:val="center"/>
              <w:rPr>
                <w:rFonts w:hint="eastAsia" w:ascii="仿宋" w:hAnsi="仿宋" w:eastAsia="仿宋" w:cs="仿宋"/>
                <w:color w:val="auto"/>
                <w:szCs w:val="21"/>
                <w:highlight w:val="none"/>
              </w:rPr>
            </w:pPr>
            <w:r>
              <w:rPr>
                <w:rFonts w:hint="eastAsia" w:ascii="仿宋" w:hAnsi="仿宋" w:eastAsia="仿宋" w:cs="仿宋"/>
                <w:color w:val="auto"/>
                <w:szCs w:val="21"/>
              </w:rPr>
              <w:t>9</w:t>
            </w:r>
          </w:p>
        </w:tc>
        <w:tc>
          <w:tcPr>
            <w:tcW w:w="6622" w:type="dxa"/>
            <w:vAlign w:val="center"/>
          </w:tcPr>
          <w:p w14:paraId="6749438F">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根据划定的重点地块一，提出合理的规划设计方案及开发引导。根据重点地块一的方案设计详细程度及开发引导的合理性进行打分。有详细设计方案及合理开发引导方案的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（5-9分），仅有合理的开发建议但无方案的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0-5</w:t>
            </w:r>
            <w:r>
              <w:rPr>
                <w:rFonts w:hint="eastAsia" w:ascii="仿宋" w:hAnsi="仿宋" w:eastAsia="仿宋" w:cs="仿宋"/>
                <w:bCs/>
                <w:color w:val="auto"/>
                <w:kern w:val="28"/>
                <w:szCs w:val="21"/>
              </w:rPr>
              <w:t>分），未提及此项不得分。</w:t>
            </w:r>
          </w:p>
        </w:tc>
      </w:tr>
      <w:tr w14:paraId="0FAC74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07FCE799">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Merge w:val="continue"/>
            <w:vAlign w:val="center"/>
          </w:tcPr>
          <w:p w14:paraId="3ED9278B">
            <w:pPr>
              <w:spacing w:line="240" w:lineRule="auto"/>
              <w:ind w:right="3"/>
              <w:jc w:val="center"/>
              <w:rPr>
                <w:rFonts w:hint="eastAsia" w:ascii="仿宋" w:hAnsi="仿宋" w:eastAsia="仿宋" w:cs="仿宋"/>
                <w:bCs/>
                <w:color w:val="auto"/>
                <w:szCs w:val="21"/>
                <w:highlight w:val="none"/>
              </w:rPr>
            </w:pPr>
          </w:p>
        </w:tc>
        <w:tc>
          <w:tcPr>
            <w:tcW w:w="823" w:type="dxa"/>
            <w:vAlign w:val="center"/>
          </w:tcPr>
          <w:p w14:paraId="42D43DE7">
            <w:pPr>
              <w:widowControl/>
              <w:ind w:right="3" w:rightChars="0" w:firstLine="105" w:firstLineChars="50"/>
              <w:jc w:val="center"/>
              <w:rPr>
                <w:rFonts w:hint="eastAsia" w:ascii="仿宋" w:hAnsi="仿宋" w:eastAsia="仿宋" w:cs="仿宋"/>
                <w:color w:val="auto"/>
                <w:szCs w:val="21"/>
                <w:highlight w:val="none"/>
              </w:rPr>
            </w:pPr>
            <w:r>
              <w:rPr>
                <w:rFonts w:hint="eastAsia" w:ascii="仿宋" w:hAnsi="仿宋" w:eastAsia="仿宋" w:cs="仿宋"/>
                <w:color w:val="auto"/>
                <w:szCs w:val="21"/>
              </w:rPr>
              <w:t>9</w:t>
            </w:r>
          </w:p>
        </w:tc>
        <w:tc>
          <w:tcPr>
            <w:tcW w:w="6622" w:type="dxa"/>
            <w:vAlign w:val="center"/>
          </w:tcPr>
          <w:p w14:paraId="55D1A955">
            <w:pPr>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根据划定的重点地块二，提出合理的设计方案及开发引导。根据重点地块二的设计详细程度及开发引导的合理性进行打分。有详细设计方案及合理开发引导方案的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（5-9分），仅有合理的开发建议但无方案的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0-5</w:t>
            </w:r>
            <w:r>
              <w:rPr>
                <w:rFonts w:hint="eastAsia" w:ascii="仿宋" w:hAnsi="仿宋" w:eastAsia="仿宋" w:cs="仿宋"/>
                <w:bCs/>
                <w:color w:val="auto"/>
                <w:kern w:val="28"/>
                <w:szCs w:val="21"/>
              </w:rPr>
              <w:t>分），未提及此项不得分。</w:t>
            </w:r>
          </w:p>
        </w:tc>
      </w:tr>
      <w:tr w14:paraId="28B05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633276C3">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1929777D">
            <w:pPr>
              <w:spacing w:line="240" w:lineRule="auto"/>
              <w:ind w:right="3"/>
              <w:jc w:val="center"/>
              <w:rPr>
                <w:rFonts w:hint="default"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lang w:val="en-US" w:eastAsia="zh-CN"/>
              </w:rPr>
              <w:t>合理化建议</w:t>
            </w:r>
          </w:p>
        </w:tc>
        <w:tc>
          <w:tcPr>
            <w:tcW w:w="823" w:type="dxa"/>
            <w:vAlign w:val="center"/>
          </w:tcPr>
          <w:p w14:paraId="14317477">
            <w:pPr>
              <w:widowControl/>
              <w:ind w:right="3" w:rightChars="0" w:firstLine="105" w:firstLineChars="5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rPr>
              <w:t>6</w:t>
            </w:r>
          </w:p>
        </w:tc>
        <w:tc>
          <w:tcPr>
            <w:tcW w:w="6622" w:type="dxa"/>
            <w:vAlign w:val="center"/>
          </w:tcPr>
          <w:p w14:paraId="197F998D">
            <w:pPr>
              <w:autoSpaceDE w:val="0"/>
              <w:autoSpaceDN w:val="0"/>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对狮子口片区未来发展提出详细的规划实施方案及建议。根据是否具有针对性和合理程度进行综合打分。规划实施方案全面且合理的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(4-6分)，规划实施方案不清晰不科学的</w:t>
            </w:r>
            <w:r>
              <w:rPr>
                <w:rFonts w:hint="eastAsia" w:ascii="仿宋" w:hAnsi="仿宋" w:eastAsia="仿宋" w:cs="仿宋"/>
                <w:bCs/>
                <w:color w:val="auto"/>
                <w:kern w:val="28"/>
                <w:szCs w:val="21"/>
                <w:lang w:val="en-US" w:eastAsia="zh-CN"/>
              </w:rPr>
              <w:t>得</w:t>
            </w:r>
            <w:r>
              <w:rPr>
                <w:rFonts w:hint="eastAsia" w:ascii="仿宋" w:hAnsi="仿宋" w:eastAsia="仿宋" w:cs="仿宋"/>
                <w:bCs/>
                <w:color w:val="auto"/>
                <w:kern w:val="28"/>
                <w:szCs w:val="21"/>
              </w:rPr>
              <w:t>(</w:t>
            </w:r>
            <w:r>
              <w:rPr>
                <w:rFonts w:hint="eastAsia" w:ascii="仿宋" w:hAnsi="仿宋" w:eastAsia="仿宋" w:cs="仿宋"/>
                <w:bCs/>
                <w:color w:val="auto"/>
                <w:kern w:val="28"/>
                <w:szCs w:val="21"/>
                <w:lang w:val="en-US" w:eastAsia="zh-CN"/>
              </w:rPr>
              <w:t>0-4</w:t>
            </w:r>
            <w:r>
              <w:rPr>
                <w:rFonts w:hint="eastAsia" w:ascii="仿宋" w:hAnsi="仿宋" w:eastAsia="仿宋" w:cs="仿宋"/>
                <w:bCs/>
                <w:color w:val="auto"/>
                <w:kern w:val="28"/>
                <w:szCs w:val="21"/>
              </w:rPr>
              <w:t>分)，未提及此项不得分。</w:t>
            </w:r>
          </w:p>
        </w:tc>
      </w:tr>
      <w:tr w14:paraId="2CFE5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32D4FB14">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049F8B43">
            <w:pPr>
              <w:spacing w:line="240" w:lineRule="auto"/>
              <w:ind w:right="3"/>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质量保障</w:t>
            </w:r>
          </w:p>
        </w:tc>
        <w:tc>
          <w:tcPr>
            <w:tcW w:w="823" w:type="dxa"/>
            <w:vAlign w:val="center"/>
          </w:tcPr>
          <w:p w14:paraId="2376CC39">
            <w:pPr>
              <w:widowControl/>
              <w:ind w:right="3" w:rightChars="0" w:firstLine="105" w:firstLineChars="5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rPr>
              <w:t>3</w:t>
            </w:r>
          </w:p>
        </w:tc>
        <w:tc>
          <w:tcPr>
            <w:tcW w:w="6622" w:type="dxa"/>
            <w:vAlign w:val="center"/>
          </w:tcPr>
          <w:p w14:paraId="63489BED">
            <w:pPr>
              <w:autoSpaceDE w:val="0"/>
              <w:autoSpaceDN w:val="0"/>
              <w:rPr>
                <w:rFonts w:ascii="仿宋" w:hAnsi="仿宋" w:eastAsia="仿宋" w:cs="仿宋"/>
                <w:bCs/>
                <w:color w:val="auto"/>
                <w:kern w:val="28"/>
                <w:szCs w:val="21"/>
              </w:rPr>
            </w:pPr>
            <w:r>
              <w:rPr>
                <w:rFonts w:hint="eastAsia" w:ascii="仿宋" w:hAnsi="仿宋" w:eastAsia="仿宋" w:cs="仿宋"/>
                <w:bCs/>
                <w:color w:val="auto"/>
                <w:kern w:val="28"/>
                <w:szCs w:val="21"/>
              </w:rPr>
              <w:t>根据投标人提出的项目质量保障措施进行综合评定</w:t>
            </w:r>
            <w:r>
              <w:rPr>
                <w:rFonts w:hint="eastAsia" w:ascii="仿宋" w:hAnsi="仿宋" w:eastAsia="仿宋" w:cs="仿宋"/>
                <w:bCs/>
                <w:color w:val="auto"/>
                <w:kern w:val="28"/>
                <w:szCs w:val="21"/>
                <w:lang w:val="zh-CN"/>
              </w:rPr>
              <w:t>：</w:t>
            </w:r>
          </w:p>
          <w:p w14:paraId="4EAA9387">
            <w:pPr>
              <w:autoSpaceDE w:val="0"/>
              <w:autoSpaceDN w:val="0"/>
              <w:rPr>
                <w:rFonts w:ascii="仿宋" w:hAnsi="仿宋" w:eastAsia="仿宋" w:cs="仿宋"/>
                <w:bCs/>
                <w:color w:val="auto"/>
                <w:kern w:val="28"/>
                <w:szCs w:val="21"/>
              </w:rPr>
            </w:pPr>
            <w:r>
              <w:rPr>
                <w:rFonts w:hint="eastAsia" w:ascii="仿宋" w:hAnsi="仿宋" w:eastAsia="仿宋" w:cs="仿宋"/>
                <w:bCs/>
                <w:color w:val="auto"/>
                <w:kern w:val="28"/>
                <w:szCs w:val="21"/>
              </w:rPr>
              <w:t>1.提出项目质量保障的工作目标。（0-1分）</w:t>
            </w:r>
          </w:p>
          <w:p w14:paraId="5E3BFD3A">
            <w:pPr>
              <w:autoSpaceDE w:val="0"/>
              <w:autoSpaceDN w:val="0"/>
              <w:rPr>
                <w:rFonts w:ascii="仿宋" w:hAnsi="仿宋" w:eastAsia="仿宋" w:cs="仿宋"/>
                <w:bCs/>
                <w:color w:val="auto"/>
                <w:kern w:val="28"/>
                <w:szCs w:val="21"/>
              </w:rPr>
            </w:pPr>
            <w:r>
              <w:rPr>
                <w:rFonts w:hint="eastAsia" w:ascii="仿宋" w:hAnsi="仿宋" w:eastAsia="仿宋" w:cs="仿宋"/>
                <w:bCs/>
                <w:color w:val="auto"/>
                <w:kern w:val="28"/>
                <w:szCs w:val="21"/>
              </w:rPr>
              <w:t>2.对项目质量的控制流程进行梳理。（0-1分）</w:t>
            </w:r>
          </w:p>
          <w:p w14:paraId="6FC426DD">
            <w:pPr>
              <w:autoSpaceDE w:val="0"/>
              <w:autoSpaceDN w:val="0"/>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3.明确质量保障的具体方法和举措。（0-1分）</w:t>
            </w:r>
          </w:p>
        </w:tc>
      </w:tr>
      <w:tr w14:paraId="272715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92" w:type="dxa"/>
            <w:vMerge w:val="continue"/>
            <w:vAlign w:val="center"/>
          </w:tcPr>
          <w:p w14:paraId="39ECAEA1">
            <w:pPr>
              <w:spacing w:line="240" w:lineRule="auto"/>
              <w:ind w:right="3" w:firstLine="105" w:firstLineChars="50"/>
              <w:jc w:val="center"/>
              <w:rPr>
                <w:rFonts w:hint="eastAsia" w:ascii="仿宋" w:hAnsi="仿宋" w:eastAsia="仿宋" w:cs="仿宋"/>
                <w:color w:val="auto"/>
                <w:kern w:val="0"/>
                <w:szCs w:val="21"/>
                <w:highlight w:val="none"/>
              </w:rPr>
            </w:pPr>
          </w:p>
        </w:tc>
        <w:tc>
          <w:tcPr>
            <w:tcW w:w="1351" w:type="dxa"/>
            <w:vAlign w:val="center"/>
          </w:tcPr>
          <w:p w14:paraId="0B59CC71">
            <w:pPr>
              <w:spacing w:line="240" w:lineRule="auto"/>
              <w:ind w:right="3"/>
              <w:jc w:val="center"/>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服务承诺</w:t>
            </w:r>
          </w:p>
        </w:tc>
        <w:tc>
          <w:tcPr>
            <w:tcW w:w="823" w:type="dxa"/>
            <w:vAlign w:val="center"/>
          </w:tcPr>
          <w:p w14:paraId="6A2B79F1">
            <w:pPr>
              <w:widowControl/>
              <w:ind w:right="3" w:rightChars="0" w:firstLine="105" w:firstLineChars="50"/>
              <w:jc w:val="center"/>
              <w:rPr>
                <w:rFonts w:hint="default" w:ascii="仿宋" w:hAnsi="仿宋" w:eastAsia="仿宋" w:cs="仿宋"/>
                <w:color w:val="auto"/>
                <w:szCs w:val="21"/>
                <w:highlight w:val="none"/>
                <w:lang w:val="en-US" w:eastAsia="zh-CN"/>
              </w:rPr>
            </w:pPr>
            <w:r>
              <w:rPr>
                <w:rFonts w:hint="eastAsia" w:ascii="仿宋" w:hAnsi="仿宋" w:eastAsia="仿宋" w:cs="仿宋"/>
                <w:color w:val="auto"/>
                <w:szCs w:val="21"/>
              </w:rPr>
              <w:t>3</w:t>
            </w:r>
          </w:p>
        </w:tc>
        <w:tc>
          <w:tcPr>
            <w:tcW w:w="6622" w:type="dxa"/>
            <w:vAlign w:val="center"/>
          </w:tcPr>
          <w:p w14:paraId="5F7B4CA5">
            <w:pPr>
              <w:autoSpaceDE w:val="0"/>
              <w:autoSpaceDN w:val="0"/>
              <w:rPr>
                <w:rFonts w:ascii="仿宋" w:hAnsi="仿宋" w:eastAsia="仿宋" w:cs="仿宋"/>
                <w:bCs/>
                <w:color w:val="auto"/>
                <w:kern w:val="28"/>
                <w:szCs w:val="21"/>
                <w:lang w:val="zh-CN"/>
              </w:rPr>
            </w:pPr>
            <w:r>
              <w:rPr>
                <w:rFonts w:hint="eastAsia" w:ascii="仿宋" w:hAnsi="仿宋" w:eastAsia="仿宋" w:cs="仿宋"/>
                <w:bCs/>
                <w:color w:val="auto"/>
                <w:kern w:val="28"/>
                <w:szCs w:val="21"/>
                <w:lang w:val="zh-CN"/>
              </w:rPr>
              <w:t>投标人制定售后服务方案进行</w:t>
            </w:r>
            <w:r>
              <w:rPr>
                <w:rFonts w:hint="eastAsia" w:ascii="仿宋" w:hAnsi="仿宋" w:eastAsia="仿宋" w:cs="仿宋"/>
                <w:bCs/>
                <w:color w:val="auto"/>
                <w:kern w:val="28"/>
                <w:szCs w:val="21"/>
              </w:rPr>
              <w:t>综合评定</w:t>
            </w:r>
            <w:r>
              <w:rPr>
                <w:rFonts w:hint="eastAsia" w:ascii="仿宋" w:hAnsi="仿宋" w:eastAsia="仿宋" w:cs="仿宋"/>
                <w:bCs/>
                <w:color w:val="auto"/>
                <w:kern w:val="28"/>
                <w:szCs w:val="21"/>
                <w:lang w:val="zh-CN"/>
              </w:rPr>
              <w:t>：</w:t>
            </w:r>
          </w:p>
          <w:p w14:paraId="4A650ACD">
            <w:pPr>
              <w:autoSpaceDE w:val="0"/>
              <w:autoSpaceDN w:val="0"/>
              <w:rPr>
                <w:rFonts w:ascii="仿宋" w:hAnsi="仿宋" w:eastAsia="仿宋" w:cs="仿宋"/>
                <w:bCs/>
                <w:color w:val="auto"/>
                <w:kern w:val="28"/>
                <w:szCs w:val="21"/>
              </w:rPr>
            </w:pPr>
            <w:r>
              <w:rPr>
                <w:rFonts w:hint="eastAsia" w:ascii="仿宋" w:hAnsi="仿宋" w:eastAsia="仿宋" w:cs="仿宋"/>
                <w:bCs/>
                <w:color w:val="auto"/>
                <w:kern w:val="28"/>
                <w:szCs w:val="21"/>
                <w:lang w:val="zh-CN"/>
              </w:rPr>
              <w:t>1.对项目的质量和进度进行保证承诺，做好项目人员的保障</w:t>
            </w:r>
            <w:r>
              <w:rPr>
                <w:rFonts w:hint="eastAsia" w:ascii="仿宋" w:hAnsi="仿宋" w:eastAsia="仿宋" w:cs="仿宋"/>
                <w:bCs/>
                <w:color w:val="auto"/>
                <w:kern w:val="28"/>
                <w:szCs w:val="21"/>
              </w:rPr>
              <w:t>。（0-2分）</w:t>
            </w:r>
          </w:p>
          <w:p w14:paraId="256A6B2D">
            <w:pPr>
              <w:autoSpaceDE w:val="0"/>
              <w:autoSpaceDN w:val="0"/>
              <w:rPr>
                <w:rFonts w:hint="eastAsia" w:ascii="仿宋" w:hAnsi="仿宋" w:eastAsia="仿宋" w:cs="仿宋"/>
                <w:bCs/>
                <w:color w:val="auto"/>
                <w:kern w:val="28"/>
                <w:szCs w:val="21"/>
                <w:highlight w:val="none"/>
              </w:rPr>
            </w:pPr>
            <w:r>
              <w:rPr>
                <w:rFonts w:hint="eastAsia" w:ascii="仿宋" w:hAnsi="仿宋" w:eastAsia="仿宋" w:cs="仿宋"/>
                <w:bCs/>
                <w:color w:val="auto"/>
                <w:kern w:val="28"/>
                <w:szCs w:val="21"/>
              </w:rPr>
              <w:t>2.对项目的全过程服务、及时沟通响应和跟踪服务进行保证承诺。（0-1分）</w:t>
            </w:r>
          </w:p>
        </w:tc>
      </w:tr>
    </w:tbl>
    <w:p w14:paraId="282FBEF9">
      <w:pPr>
        <w:keepNext w:val="0"/>
        <w:keepLines w:val="0"/>
        <w:pageBreakBefore w:val="0"/>
        <w:widowControl w:val="0"/>
        <w:numPr>
          <w:ilvl w:val="0"/>
          <w:numId w:val="0"/>
        </w:numPr>
        <w:kinsoku/>
        <w:wordWrap/>
        <w:overflowPunct/>
        <w:topLinePunct w:val="0"/>
        <w:autoSpaceDE/>
        <w:autoSpaceDN/>
        <w:bidi w:val="0"/>
        <w:adjustRightInd/>
        <w:spacing w:line="500" w:lineRule="exact"/>
        <w:ind w:firstLine="422" w:firstLineChars="200"/>
        <w:textAlignment w:val="baseline"/>
        <w:rPr>
          <w:rFonts w:hint="eastAsia" w:ascii="仿宋" w:hAnsi="仿宋" w:eastAsia="仿宋" w:cs="仿宋"/>
          <w:color w:val="auto"/>
          <w:highlight w:val="none"/>
        </w:rPr>
      </w:pPr>
      <w:r>
        <w:rPr>
          <w:rFonts w:hint="eastAsia" w:ascii="仿宋" w:hAnsi="仿宋" w:eastAsia="仿宋" w:cs="仿宋"/>
          <w:b/>
          <w:color w:val="auto"/>
          <w:szCs w:val="21"/>
          <w:highlight w:val="none"/>
          <w:lang w:val="en-US" w:eastAsia="zh-CN"/>
        </w:rPr>
        <w:t>四、</w:t>
      </w:r>
      <w:r>
        <w:rPr>
          <w:rFonts w:hint="eastAsia" w:ascii="仿宋" w:hAnsi="仿宋" w:eastAsia="仿宋" w:cs="仿宋"/>
          <w:b/>
          <w:color w:val="auto"/>
          <w:szCs w:val="21"/>
          <w:highlight w:val="none"/>
        </w:rPr>
        <w:t>定标办法</w:t>
      </w:r>
    </w:p>
    <w:p w14:paraId="1FB1B430">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1.本次招标由磋商小组推荐</w:t>
      </w:r>
      <w:r>
        <w:rPr>
          <w:rFonts w:hint="eastAsia" w:ascii="仿宋" w:hAnsi="仿宋" w:eastAsia="仿宋" w:cs="仿宋"/>
          <w:color w:val="auto"/>
          <w:szCs w:val="21"/>
          <w:highlight w:val="none"/>
          <w:lang w:val="en-US" w:eastAsia="zh-CN"/>
        </w:rPr>
        <w:t>3名</w:t>
      </w:r>
      <w:r>
        <w:rPr>
          <w:rFonts w:hint="eastAsia" w:ascii="仿宋" w:hAnsi="仿宋" w:eastAsia="仿宋" w:cs="仿宋"/>
          <w:color w:val="auto"/>
          <w:szCs w:val="21"/>
          <w:highlight w:val="none"/>
        </w:rPr>
        <w:t>成交候选人，采购单位根据磋商小组的推荐结果进行最终确认。</w:t>
      </w:r>
    </w:p>
    <w:p w14:paraId="6B81F72C">
      <w:pPr>
        <w:keepNext w:val="0"/>
        <w:keepLines w:val="0"/>
        <w:pageBreakBefore w:val="0"/>
        <w:widowControl w:val="0"/>
        <w:tabs>
          <w:tab w:val="left" w:pos="540"/>
        </w:tabs>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2.磋商小组依据法律、法规及招标文件有关规定在有效标中按投标人的最终得分【即技术资信分与报价分之和】由高到低进行排序，综合得分最高的投标人作为本项目的成交候选人（得分相同的，按投标报价由低到高顺序排列；得分且投标报价相同的，由招标人现场抽签产生成交候选人）。</w:t>
      </w:r>
    </w:p>
    <w:p w14:paraId="606A3B0B">
      <w:pPr>
        <w:pStyle w:val="17"/>
        <w:snapToGrid w:val="0"/>
        <w:spacing w:line="5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3.</w:t>
      </w:r>
      <w:r>
        <w:rPr>
          <w:rFonts w:hint="eastAsia" w:ascii="仿宋" w:hAnsi="仿宋" w:eastAsia="仿宋" w:cs="仿宋"/>
          <w:color w:val="auto"/>
          <w:highlight w:val="none"/>
        </w:rPr>
        <w:t>排名第一的中标候选人出现下列情形之一的，采购人将按照评标报告推荐的中标候选人名单排序，确定下一中标候选人为中标人。如其余中标候选人与采购项目预期（价格、质量等）差距较大，对采购人明显不利的，采购人将重新组织采购。</w:t>
      </w:r>
    </w:p>
    <w:p w14:paraId="73149951">
      <w:pPr>
        <w:pStyle w:val="17"/>
        <w:snapToGrid w:val="0"/>
        <w:spacing w:line="5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（1）因不可抗力或者自身原因不能履行合同的；</w:t>
      </w:r>
    </w:p>
    <w:p w14:paraId="2E56C42E">
      <w:pPr>
        <w:pStyle w:val="17"/>
        <w:snapToGrid w:val="0"/>
        <w:spacing w:line="5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（2）财政部门经过处理投诉举报、监督检查，认定中标结果无效的；</w:t>
      </w:r>
    </w:p>
    <w:p w14:paraId="629464E4">
      <w:pPr>
        <w:pStyle w:val="17"/>
        <w:snapToGrid w:val="0"/>
        <w:spacing w:line="5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highlight w:val="none"/>
        </w:rPr>
        <w:t>（3）中标人拒绝与采购人签订合同或无法按照投标文件承诺的条件与采购人签订合同的。</w:t>
      </w:r>
    </w:p>
    <w:p w14:paraId="41A236A9">
      <w:pPr>
        <w:keepNext w:val="0"/>
        <w:keepLines w:val="0"/>
        <w:pageBreakBefore w:val="0"/>
        <w:widowControl w:val="0"/>
        <w:kinsoku/>
        <w:wordWrap/>
        <w:overflowPunct/>
        <w:topLinePunct w:val="0"/>
        <w:autoSpaceDE/>
        <w:autoSpaceDN/>
        <w:bidi w:val="0"/>
        <w:adjustRightInd/>
        <w:snapToGrid w:val="0"/>
        <w:spacing w:line="500" w:lineRule="exact"/>
        <w:ind w:left="0" w:leftChars="0" w:firstLine="422" w:firstLineChars="200"/>
        <w:textAlignment w:val="baseline"/>
        <w:rPr>
          <w:rFonts w:hint="eastAsia" w:ascii="仿宋" w:hAnsi="仿宋" w:eastAsia="仿宋" w:cs="仿宋"/>
          <w:b/>
          <w:bCs/>
          <w:color w:val="auto"/>
          <w:sz w:val="20"/>
          <w:szCs w:val="21"/>
          <w:highlight w:val="none"/>
          <w:lang w:val="zh-CN"/>
        </w:rPr>
      </w:pPr>
      <w:r>
        <w:rPr>
          <w:rFonts w:hint="eastAsia" w:ascii="仿宋" w:hAnsi="仿宋" w:eastAsia="仿宋" w:cs="仿宋"/>
          <w:b/>
          <w:bCs/>
          <w:color w:val="auto"/>
          <w:szCs w:val="21"/>
          <w:highlight w:val="none"/>
        </w:rPr>
        <w:t>五</w:t>
      </w:r>
      <w:r>
        <w:rPr>
          <w:rFonts w:hint="eastAsia" w:ascii="仿宋" w:hAnsi="仿宋" w:eastAsia="仿宋" w:cs="仿宋"/>
          <w:b/>
          <w:bCs/>
          <w:color w:val="auto"/>
          <w:szCs w:val="21"/>
          <w:highlight w:val="none"/>
          <w:lang w:val="zh-CN"/>
        </w:rPr>
        <w:t>、</w:t>
      </w:r>
      <w:bookmarkStart w:id="88" w:name="注意事项"/>
      <w:r>
        <w:rPr>
          <w:rFonts w:hint="eastAsia" w:ascii="仿宋" w:hAnsi="仿宋" w:eastAsia="仿宋" w:cs="仿宋"/>
          <w:b/>
          <w:bCs/>
          <w:color w:val="auto"/>
          <w:szCs w:val="21"/>
          <w:highlight w:val="none"/>
          <w:lang w:val="zh-CN"/>
        </w:rPr>
        <w:t>注意事项</w:t>
      </w:r>
      <w:bookmarkEnd w:id="88"/>
    </w:p>
    <w:p w14:paraId="1B7EAAE4">
      <w:pPr>
        <w:keepNext w:val="0"/>
        <w:keepLines w:val="0"/>
        <w:pageBreakBefore w:val="0"/>
        <w:widowControl w:val="0"/>
        <w:kinsoku/>
        <w:wordWrap/>
        <w:overflowPunct/>
        <w:topLinePunct w:val="0"/>
        <w:autoSpaceDE/>
        <w:autoSpaceDN/>
        <w:bidi w:val="0"/>
        <w:adjustRightInd/>
        <w:snapToGrid w:val="0"/>
        <w:spacing w:line="500" w:lineRule="exact"/>
        <w:ind w:left="0" w:leftChars="0"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评审时磋商小组认为投标人的报价明显低于其他通过符合性审查投标人的报价，有可能影响产品质量或者不能诚信履约的，应当要求其在评标现场合理的时间内提供书面说明，必要时提交相关证明材料；投标人不能证明其报价合理性的，磋商小组应当将其作为无效投标处理。</w:t>
      </w:r>
    </w:p>
    <w:p w14:paraId="2076E600">
      <w:pPr>
        <w:keepNext w:val="0"/>
        <w:keepLines w:val="0"/>
        <w:pageBreakBefore w:val="0"/>
        <w:widowControl w:val="0"/>
        <w:kinsoku/>
        <w:wordWrap/>
        <w:overflowPunct/>
        <w:topLinePunct w:val="0"/>
        <w:autoSpaceDE/>
        <w:autoSpaceDN/>
        <w:bidi w:val="0"/>
        <w:adjustRightInd/>
        <w:snapToGrid w:val="0"/>
        <w:spacing w:line="500" w:lineRule="exact"/>
        <w:ind w:left="0" w:leftChars="0" w:firstLine="422" w:firstLineChars="200"/>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六、</w:t>
      </w:r>
      <w:bookmarkStart w:id="89" w:name="_Toc221356968"/>
      <w:bookmarkStart w:id="90" w:name="_Toc221356905"/>
      <w:r>
        <w:rPr>
          <w:rFonts w:hint="eastAsia" w:ascii="仿宋" w:hAnsi="仿宋" w:eastAsia="仿宋" w:cs="仿宋"/>
          <w:b/>
          <w:color w:val="auto"/>
          <w:szCs w:val="21"/>
          <w:highlight w:val="none"/>
        </w:rPr>
        <w:t>投标人义务</w:t>
      </w:r>
      <w:bookmarkEnd w:id="89"/>
      <w:bookmarkEnd w:id="90"/>
    </w:p>
    <w:p w14:paraId="278A2E88">
      <w:pPr>
        <w:keepNext w:val="0"/>
        <w:keepLines w:val="0"/>
        <w:pageBreakBefore w:val="0"/>
        <w:widowControl w:val="0"/>
        <w:kinsoku/>
        <w:wordWrap/>
        <w:overflowPunct/>
        <w:topLinePunct w:val="0"/>
        <w:autoSpaceDE/>
        <w:autoSpaceDN/>
        <w:bidi w:val="0"/>
        <w:adjustRightInd/>
        <w:spacing w:line="500" w:lineRule="exact"/>
        <w:ind w:left="0" w:leftChars="0" w:firstLine="420" w:firstLineChars="200"/>
        <w:textAlignment w:val="baseline"/>
        <w:rPr>
          <w:rFonts w:hint="eastAsia" w:ascii="仿宋" w:hAnsi="仿宋" w:eastAsia="仿宋" w:cs="仿宋"/>
          <w:color w:val="auto"/>
          <w:sz w:val="32"/>
          <w:szCs w:val="32"/>
          <w:highlight w:val="none"/>
        </w:rPr>
      </w:pPr>
      <w:r>
        <w:rPr>
          <w:rFonts w:hint="eastAsia" w:ascii="仿宋" w:hAnsi="仿宋" w:eastAsia="仿宋" w:cs="仿宋"/>
          <w:color w:val="auto"/>
          <w:szCs w:val="21"/>
          <w:highlight w:val="none"/>
        </w:rPr>
        <w:t>投标人应随时接受磋商小组的询标，解答包括有关的商务、技术问题等。评标结束，所有评标资料存招</w:t>
      </w:r>
      <w:r>
        <w:rPr>
          <w:rFonts w:hint="eastAsia" w:ascii="仿宋" w:hAnsi="仿宋" w:eastAsia="仿宋" w:cs="仿宋"/>
          <w:color w:val="auto"/>
          <w:szCs w:val="21"/>
          <w:highlight w:val="none"/>
          <w:lang w:val="en-US" w:eastAsia="zh-CN"/>
        </w:rPr>
        <w:t>标</w:t>
      </w:r>
      <w:r>
        <w:rPr>
          <w:rFonts w:hint="eastAsia" w:ascii="仿宋" w:hAnsi="仿宋" w:eastAsia="仿宋" w:cs="仿宋"/>
          <w:color w:val="auto"/>
          <w:szCs w:val="21"/>
          <w:highlight w:val="none"/>
        </w:rPr>
        <w:t>人备查。</w:t>
      </w:r>
    </w:p>
    <w:p w14:paraId="383167EB">
      <w:pPr>
        <w:spacing w:line="360" w:lineRule="auto"/>
        <w:jc w:val="center"/>
        <w:textAlignment w:val="baseline"/>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br w:type="page"/>
      </w:r>
    </w:p>
    <w:p w14:paraId="2FF607ED">
      <w:pPr>
        <w:spacing w:line="360" w:lineRule="auto"/>
        <w:jc w:val="center"/>
        <w:textAlignment w:val="baseline"/>
        <w:outlineLvl w:val="0"/>
        <w:rPr>
          <w:rFonts w:hint="eastAsia" w:ascii="仿宋" w:hAnsi="仿宋" w:eastAsia="仿宋" w:cs="仿宋"/>
          <w:b/>
          <w:bCs/>
          <w:color w:val="auto"/>
          <w:sz w:val="44"/>
          <w:szCs w:val="44"/>
          <w:highlight w:val="none"/>
        </w:rPr>
      </w:pPr>
      <w:bookmarkStart w:id="91" w:name="_Toc18128"/>
      <w:bookmarkStart w:id="92" w:name="_Toc13734"/>
      <w:r>
        <w:rPr>
          <w:rFonts w:hint="eastAsia" w:ascii="仿宋" w:hAnsi="仿宋" w:eastAsia="仿宋" w:cs="仿宋"/>
          <w:b/>
          <w:bCs/>
          <w:color w:val="auto"/>
          <w:sz w:val="44"/>
          <w:szCs w:val="44"/>
          <w:highlight w:val="none"/>
        </w:rPr>
        <w:t>第六章   响应文件格式</w:t>
      </w:r>
      <w:bookmarkEnd w:id="91"/>
      <w:bookmarkEnd w:id="92"/>
    </w:p>
    <w:p w14:paraId="7104DD48">
      <w:pPr>
        <w:spacing w:line="460" w:lineRule="exact"/>
        <w:textAlignment w:val="baseline"/>
        <w:rPr>
          <w:rFonts w:hint="eastAsia" w:ascii="仿宋" w:hAnsi="仿宋" w:eastAsia="仿宋" w:cs="仿宋"/>
          <w:b/>
          <w:color w:val="auto"/>
          <w:sz w:val="24"/>
          <w:highlight w:val="none"/>
        </w:rPr>
      </w:pPr>
      <w:bookmarkStart w:id="93" w:name="_Toc4973"/>
      <w:bookmarkStart w:id="94" w:name="_Toc1460"/>
      <w:bookmarkStart w:id="95" w:name="_Toc17187"/>
      <w:bookmarkStart w:id="96" w:name="_Toc20872"/>
      <w:r>
        <w:rPr>
          <w:rFonts w:hint="eastAsia" w:ascii="仿宋" w:hAnsi="仿宋" w:eastAsia="仿宋" w:cs="仿宋"/>
          <w:b/>
          <w:color w:val="auto"/>
          <w:sz w:val="24"/>
          <w:highlight w:val="none"/>
        </w:rPr>
        <w:t>响应文件封面格式：</w:t>
      </w:r>
      <w:bookmarkEnd w:id="93"/>
      <w:bookmarkEnd w:id="94"/>
      <w:bookmarkEnd w:id="95"/>
      <w:bookmarkEnd w:id="96"/>
      <w:r>
        <w:rPr>
          <w:rFonts w:hint="eastAsia" w:ascii="仿宋" w:hAnsi="仿宋" w:eastAsia="仿宋" w:cs="仿宋"/>
          <w:b/>
          <w:color w:val="auto"/>
          <w:sz w:val="24"/>
          <w:highlight w:val="none"/>
        </w:rPr>
        <w:t xml:space="preserve">          </w:t>
      </w:r>
    </w:p>
    <w:p w14:paraId="06C1ECFF">
      <w:pPr>
        <w:pStyle w:val="57"/>
        <w:jc w:val="right"/>
        <w:rPr>
          <w:rFonts w:hint="eastAsia" w:ascii="仿宋" w:hAnsi="仿宋" w:eastAsia="仿宋" w:cs="仿宋"/>
          <w:color w:val="auto"/>
          <w:sz w:val="32"/>
          <w:szCs w:val="32"/>
          <w:highlight w:val="none"/>
        </w:rPr>
      </w:pPr>
    </w:p>
    <w:p w14:paraId="1459FB0C">
      <w:pPr>
        <w:spacing w:before="185"/>
        <w:ind w:right="210"/>
        <w:jc w:val="center"/>
        <w:textAlignment w:val="baseline"/>
        <w:rPr>
          <w:rFonts w:hint="eastAsia" w:ascii="仿宋" w:hAnsi="仿宋" w:eastAsia="仿宋" w:cs="仿宋"/>
          <w:b/>
          <w:bCs/>
          <w:color w:val="auto"/>
          <w:sz w:val="22"/>
          <w:highlight w:val="none"/>
        </w:rPr>
      </w:pPr>
    </w:p>
    <w:p w14:paraId="4AB42C4C">
      <w:pPr>
        <w:spacing w:before="185"/>
        <w:ind w:right="210"/>
        <w:jc w:val="center"/>
        <w:textAlignment w:val="baseline"/>
        <w:outlineLvl w:val="0"/>
        <w:rPr>
          <w:rFonts w:hint="eastAsia" w:ascii="仿宋" w:hAnsi="仿宋" w:eastAsia="仿宋" w:cs="仿宋"/>
          <w:b/>
          <w:color w:val="auto"/>
          <w:sz w:val="52"/>
          <w:highlight w:val="none"/>
        </w:rPr>
      </w:pPr>
      <w:bookmarkStart w:id="97" w:name="_Toc3969"/>
      <w:bookmarkStart w:id="98" w:name="_Toc23846"/>
      <w:bookmarkStart w:id="99" w:name="_Toc9382"/>
      <w:bookmarkStart w:id="100" w:name="_Toc4036"/>
      <w:bookmarkStart w:id="101" w:name="_Toc11145"/>
      <w:bookmarkStart w:id="102" w:name="_Toc24957"/>
      <w:r>
        <w:rPr>
          <w:rFonts w:hint="eastAsia" w:ascii="仿宋" w:hAnsi="仿宋" w:eastAsia="仿宋" w:cs="仿宋"/>
          <w:b/>
          <w:color w:val="auto"/>
          <w:sz w:val="52"/>
          <w:highlight w:val="none"/>
        </w:rPr>
        <w:t>投 标 文 件</w:t>
      </w:r>
      <w:bookmarkEnd w:id="97"/>
      <w:bookmarkEnd w:id="98"/>
      <w:bookmarkEnd w:id="99"/>
      <w:bookmarkEnd w:id="100"/>
      <w:bookmarkEnd w:id="101"/>
      <w:bookmarkEnd w:id="102"/>
    </w:p>
    <w:p w14:paraId="1EDB61A6">
      <w:pPr>
        <w:pStyle w:val="12"/>
        <w:spacing w:before="11"/>
        <w:textAlignment w:val="baseline"/>
        <w:rPr>
          <w:rFonts w:hint="eastAsia" w:ascii="仿宋" w:hAnsi="仿宋" w:eastAsia="仿宋" w:cs="仿宋"/>
          <w:b/>
          <w:color w:val="auto"/>
          <w:sz w:val="69"/>
          <w:highlight w:val="none"/>
        </w:rPr>
      </w:pPr>
    </w:p>
    <w:p w14:paraId="7D177732">
      <w:pPr>
        <w:ind w:right="208"/>
        <w:jc w:val="center"/>
        <w:textAlignment w:val="baseline"/>
        <w:outlineLvl w:val="0"/>
        <w:rPr>
          <w:rFonts w:hint="eastAsia" w:ascii="仿宋" w:hAnsi="仿宋" w:eastAsia="仿宋" w:cs="仿宋"/>
          <w:b/>
          <w:color w:val="auto"/>
          <w:sz w:val="32"/>
          <w:highlight w:val="none"/>
        </w:rPr>
      </w:pPr>
      <w:bookmarkStart w:id="103" w:name="_Toc29951"/>
      <w:bookmarkStart w:id="104" w:name="_Toc6466"/>
      <w:bookmarkStart w:id="105" w:name="_Toc3822"/>
      <w:bookmarkStart w:id="106" w:name="_Toc14949"/>
      <w:bookmarkStart w:id="107" w:name="_Toc20538"/>
      <w:r>
        <w:rPr>
          <w:rFonts w:hint="eastAsia" w:ascii="仿宋" w:hAnsi="仿宋" w:eastAsia="仿宋" w:cs="仿宋"/>
          <w:b/>
          <w:color w:val="auto"/>
          <w:sz w:val="32"/>
          <w:highlight w:val="none"/>
          <w:lang w:eastAsia="zh-CN"/>
        </w:rPr>
        <w:t>资格审查文件</w:t>
      </w:r>
      <w:r>
        <w:rPr>
          <w:rFonts w:hint="eastAsia" w:ascii="仿宋" w:hAnsi="仿宋" w:eastAsia="仿宋" w:cs="仿宋"/>
          <w:b/>
          <w:color w:val="auto"/>
          <w:sz w:val="32"/>
          <w:highlight w:val="none"/>
        </w:rPr>
        <w:t>/商务技术文件/报价文件</w:t>
      </w:r>
      <w:bookmarkEnd w:id="103"/>
      <w:bookmarkEnd w:id="104"/>
      <w:bookmarkEnd w:id="105"/>
      <w:bookmarkEnd w:id="106"/>
      <w:bookmarkEnd w:id="107"/>
    </w:p>
    <w:p w14:paraId="6630FD2D">
      <w:pPr>
        <w:pStyle w:val="57"/>
        <w:rPr>
          <w:rFonts w:hint="eastAsia" w:ascii="仿宋" w:hAnsi="仿宋" w:eastAsia="仿宋" w:cs="仿宋"/>
          <w:b/>
          <w:color w:val="auto"/>
          <w:sz w:val="32"/>
          <w:highlight w:val="none"/>
        </w:rPr>
      </w:pPr>
    </w:p>
    <w:p w14:paraId="4603614A">
      <w:pPr>
        <w:pStyle w:val="57"/>
        <w:rPr>
          <w:rFonts w:hint="eastAsia" w:ascii="仿宋" w:hAnsi="仿宋" w:eastAsia="仿宋" w:cs="仿宋"/>
          <w:b/>
          <w:color w:val="auto"/>
          <w:sz w:val="32"/>
          <w:highlight w:val="none"/>
        </w:rPr>
      </w:pPr>
    </w:p>
    <w:p w14:paraId="3331572C">
      <w:pPr>
        <w:snapToGrid w:val="0"/>
        <w:spacing w:line="720" w:lineRule="auto"/>
        <w:ind w:firstLine="1120" w:firstLineChars="400"/>
        <w:textAlignment w:val="baseline"/>
        <w:rPr>
          <w:rFonts w:hint="eastAsia" w:ascii="仿宋" w:hAnsi="仿宋" w:eastAsia="仿宋" w:cs="仿宋"/>
          <w:color w:val="auto"/>
          <w:sz w:val="28"/>
          <w:szCs w:val="28"/>
          <w:highlight w:val="none"/>
          <w:u w:val="single" w:color="000000"/>
        </w:rPr>
      </w:pPr>
      <w:r>
        <w:rPr>
          <w:rFonts w:hint="eastAsia" w:ascii="仿宋" w:hAnsi="仿宋" w:eastAsia="仿宋" w:cs="仿宋"/>
          <w:color w:val="auto"/>
          <w:sz w:val="28"/>
          <w:szCs w:val="28"/>
          <w:highlight w:val="none"/>
        </w:rPr>
        <w:t>项目名称：</w:t>
      </w:r>
      <w:r>
        <w:rPr>
          <w:rFonts w:hint="eastAsia" w:ascii="仿宋" w:hAnsi="仿宋" w:eastAsia="仿宋" w:cs="仿宋"/>
          <w:color w:val="auto"/>
          <w:sz w:val="28"/>
          <w:szCs w:val="28"/>
          <w:highlight w:val="none"/>
          <w:u w:val="single" w:color="000000"/>
        </w:rPr>
        <w:t>            </w:t>
      </w:r>
      <w:r>
        <w:rPr>
          <w:rFonts w:hint="eastAsia" w:ascii="仿宋" w:hAnsi="仿宋" w:eastAsia="仿宋" w:cs="仿宋"/>
          <w:color w:val="auto"/>
          <w:sz w:val="28"/>
          <w:szCs w:val="28"/>
          <w:highlight w:val="none"/>
          <w:u w:val="single" w:color="000000"/>
          <w:lang w:val="en-US" w:eastAsia="zh-CN"/>
        </w:rPr>
        <w:t xml:space="preserve">                  </w:t>
      </w:r>
      <w:r>
        <w:rPr>
          <w:rFonts w:hint="eastAsia" w:ascii="仿宋" w:hAnsi="仿宋" w:eastAsia="仿宋" w:cs="仿宋"/>
          <w:color w:val="auto"/>
          <w:sz w:val="28"/>
          <w:szCs w:val="28"/>
          <w:highlight w:val="none"/>
          <w:u w:val="single" w:color="000000"/>
        </w:rPr>
        <w:t xml:space="preserve">           </w:t>
      </w:r>
    </w:p>
    <w:p w14:paraId="57BAA706">
      <w:pPr>
        <w:snapToGrid w:val="0"/>
        <w:spacing w:line="720" w:lineRule="auto"/>
        <w:ind w:firstLine="1120" w:firstLineChars="400"/>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项目编号：</w:t>
      </w:r>
      <w:r>
        <w:rPr>
          <w:rFonts w:hint="eastAsia" w:ascii="仿宋" w:hAnsi="仿宋" w:eastAsia="仿宋" w:cs="仿宋"/>
          <w:color w:val="auto"/>
          <w:sz w:val="28"/>
          <w:szCs w:val="28"/>
          <w:highlight w:val="none"/>
          <w:u w:val="single" w:color="000000"/>
        </w:rPr>
        <w:t xml:space="preserve">               </w:t>
      </w:r>
      <w:r>
        <w:rPr>
          <w:rFonts w:hint="eastAsia" w:ascii="仿宋" w:hAnsi="仿宋" w:eastAsia="仿宋" w:cs="仿宋"/>
          <w:color w:val="auto"/>
          <w:sz w:val="28"/>
          <w:szCs w:val="28"/>
          <w:highlight w:val="none"/>
          <w:u w:val="single" w:color="000000"/>
          <w:lang w:val="en-US" w:eastAsia="zh-CN"/>
        </w:rPr>
        <w:t xml:space="preserve">                  </w:t>
      </w:r>
      <w:r>
        <w:rPr>
          <w:rFonts w:hint="eastAsia" w:ascii="仿宋" w:hAnsi="仿宋" w:eastAsia="仿宋" w:cs="仿宋"/>
          <w:color w:val="auto"/>
          <w:sz w:val="28"/>
          <w:szCs w:val="28"/>
          <w:highlight w:val="none"/>
          <w:u w:val="single" w:color="000000"/>
        </w:rPr>
        <w:t xml:space="preserve">        </w:t>
      </w:r>
      <w:r>
        <w:rPr>
          <w:rFonts w:hint="eastAsia" w:ascii="仿宋" w:hAnsi="仿宋" w:eastAsia="仿宋" w:cs="仿宋"/>
          <w:color w:val="auto"/>
          <w:sz w:val="28"/>
          <w:szCs w:val="28"/>
          <w:highlight w:val="none"/>
        </w:rPr>
        <w:t xml:space="preserve"> </w:t>
      </w:r>
    </w:p>
    <w:p w14:paraId="23A59C8B">
      <w:pPr>
        <w:snapToGrid w:val="0"/>
        <w:spacing w:line="720" w:lineRule="auto"/>
        <w:ind w:firstLine="1120" w:firstLineChars="400"/>
        <w:textAlignment w:val="baseline"/>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t>投标人（全称）：</w:t>
      </w:r>
      <w:r>
        <w:rPr>
          <w:rFonts w:hint="eastAsia" w:ascii="仿宋" w:hAnsi="仿宋" w:eastAsia="仿宋" w:cs="仿宋"/>
          <w:color w:val="auto"/>
          <w:sz w:val="28"/>
          <w:szCs w:val="28"/>
          <w:highlight w:val="none"/>
          <w:u w:val="single" w:color="000000"/>
        </w:rPr>
        <w:t>    </w:t>
      </w:r>
      <w:r>
        <w:rPr>
          <w:rFonts w:hint="eastAsia" w:ascii="仿宋" w:hAnsi="仿宋" w:eastAsia="仿宋" w:cs="仿宋"/>
          <w:color w:val="auto"/>
          <w:sz w:val="28"/>
          <w:szCs w:val="28"/>
          <w:highlight w:val="none"/>
          <w:u w:val="single" w:color="000000"/>
          <w:lang w:val="en-US" w:eastAsia="zh-CN"/>
        </w:rPr>
        <w:t xml:space="preserve">                </w:t>
      </w:r>
      <w:r>
        <w:rPr>
          <w:rFonts w:hint="eastAsia" w:ascii="仿宋" w:hAnsi="仿宋" w:eastAsia="仿宋" w:cs="仿宋"/>
          <w:color w:val="auto"/>
          <w:sz w:val="28"/>
          <w:szCs w:val="28"/>
          <w:highlight w:val="none"/>
          <w:u w:val="single" w:color="000000"/>
        </w:rPr>
        <w:t>        （盖章）</w:t>
      </w:r>
    </w:p>
    <w:p w14:paraId="3A60CE3A">
      <w:pPr>
        <w:snapToGrid w:val="0"/>
        <w:spacing w:line="720" w:lineRule="auto"/>
        <w:ind w:firstLine="1120" w:firstLineChars="400"/>
        <w:textAlignment w:val="baseline"/>
        <w:rPr>
          <w:rFonts w:hint="eastAsia" w:ascii="仿宋" w:hAnsi="仿宋" w:eastAsia="仿宋" w:cs="仿宋"/>
          <w:color w:val="auto"/>
          <w:sz w:val="28"/>
          <w:szCs w:val="28"/>
          <w:highlight w:val="none"/>
          <w:u w:val="single" w:color="000000"/>
        </w:rPr>
      </w:pPr>
      <w:r>
        <w:rPr>
          <w:rFonts w:hint="eastAsia" w:ascii="仿宋" w:hAnsi="仿宋" w:eastAsia="仿宋" w:cs="仿宋"/>
          <w:color w:val="auto"/>
          <w:sz w:val="28"/>
          <w:szCs w:val="28"/>
          <w:highlight w:val="none"/>
        </w:rPr>
        <w:t>投标人地址：</w:t>
      </w:r>
      <w:r>
        <w:rPr>
          <w:rFonts w:hint="eastAsia" w:ascii="仿宋" w:hAnsi="仿宋" w:eastAsia="仿宋" w:cs="仿宋"/>
          <w:color w:val="auto"/>
          <w:sz w:val="28"/>
          <w:szCs w:val="28"/>
          <w:highlight w:val="none"/>
          <w:u w:val="single" w:color="000000"/>
        </w:rPr>
        <w:t xml:space="preserve">           </w:t>
      </w:r>
      <w:r>
        <w:rPr>
          <w:rFonts w:hint="eastAsia" w:ascii="仿宋" w:hAnsi="仿宋" w:eastAsia="仿宋" w:cs="仿宋"/>
          <w:color w:val="auto"/>
          <w:sz w:val="28"/>
          <w:szCs w:val="28"/>
          <w:highlight w:val="none"/>
          <w:u w:val="single" w:color="000000"/>
          <w:lang w:val="en-US" w:eastAsia="zh-CN"/>
        </w:rPr>
        <w:t xml:space="preserve">                      </w:t>
      </w:r>
      <w:r>
        <w:rPr>
          <w:rFonts w:hint="eastAsia" w:ascii="仿宋" w:hAnsi="仿宋" w:eastAsia="仿宋" w:cs="仿宋"/>
          <w:color w:val="auto"/>
          <w:sz w:val="28"/>
          <w:szCs w:val="28"/>
          <w:highlight w:val="none"/>
          <w:u w:val="single" w:color="000000"/>
        </w:rPr>
        <w:t xml:space="preserve">          </w:t>
      </w:r>
    </w:p>
    <w:p w14:paraId="41648E6D">
      <w:pPr>
        <w:pStyle w:val="57"/>
        <w:rPr>
          <w:rFonts w:hint="eastAsia" w:ascii="仿宋" w:hAnsi="仿宋" w:eastAsia="仿宋" w:cs="仿宋"/>
          <w:color w:val="auto"/>
          <w:sz w:val="28"/>
          <w:szCs w:val="28"/>
          <w:highlight w:val="none"/>
          <w:u w:val="single"/>
        </w:rPr>
      </w:pPr>
    </w:p>
    <w:p w14:paraId="60A69D7A">
      <w:pPr>
        <w:pStyle w:val="31"/>
        <w:spacing w:line="360" w:lineRule="auto"/>
        <w:ind w:firstLine="44"/>
        <w:textAlignment w:val="baseline"/>
        <w:rPr>
          <w:rFonts w:hint="eastAsia" w:ascii="仿宋" w:hAnsi="仿宋" w:eastAsia="仿宋" w:cs="仿宋"/>
          <w:color w:val="auto"/>
          <w:sz w:val="22"/>
          <w:szCs w:val="22"/>
          <w:highlight w:val="none"/>
          <w:u w:val="single"/>
        </w:rPr>
      </w:pPr>
      <w:r>
        <w:rPr>
          <w:rFonts w:hint="eastAsia" w:ascii="仿宋" w:hAnsi="仿宋" w:eastAsia="仿宋" w:cs="仿宋"/>
          <w:b/>
          <w:bCs/>
          <w:color w:val="auto"/>
          <w:sz w:val="22"/>
          <w:szCs w:val="22"/>
          <w:highlight w:val="none"/>
        </w:rPr>
        <w:br w:type="page"/>
      </w:r>
    </w:p>
    <w:p w14:paraId="1D8C395F">
      <w:pPr>
        <w:spacing w:line="460" w:lineRule="exact"/>
        <w:textAlignment w:val="baseline"/>
        <w:outlineLvl w:val="0"/>
        <w:rPr>
          <w:rFonts w:hint="eastAsia" w:ascii="仿宋" w:hAnsi="仿宋" w:eastAsia="仿宋" w:cs="仿宋"/>
          <w:b/>
          <w:bCs/>
          <w:color w:val="auto"/>
          <w:sz w:val="22"/>
          <w:highlight w:val="none"/>
        </w:rPr>
      </w:pPr>
      <w:bookmarkStart w:id="108" w:name="_Toc17754"/>
      <w:bookmarkStart w:id="109" w:name="_Toc22704"/>
      <w:bookmarkStart w:id="110" w:name="_Toc4066"/>
      <w:bookmarkStart w:id="111" w:name="_Toc23446"/>
      <w:r>
        <w:rPr>
          <w:rFonts w:hint="eastAsia" w:ascii="仿宋" w:hAnsi="仿宋" w:eastAsia="仿宋" w:cs="仿宋"/>
          <w:b/>
          <w:bCs/>
          <w:color w:val="auto"/>
          <w:sz w:val="22"/>
          <w:highlight w:val="none"/>
        </w:rPr>
        <w:t>附件1</w:t>
      </w:r>
      <w:bookmarkEnd w:id="108"/>
      <w:bookmarkEnd w:id="109"/>
      <w:bookmarkEnd w:id="110"/>
      <w:bookmarkEnd w:id="111"/>
    </w:p>
    <w:p w14:paraId="5860521C">
      <w:pPr>
        <w:spacing w:line="460" w:lineRule="exact"/>
        <w:textAlignment w:val="baseline"/>
        <w:rPr>
          <w:rFonts w:hint="eastAsia" w:ascii="仿宋" w:hAnsi="仿宋" w:eastAsia="仿宋" w:cs="仿宋"/>
          <w:color w:val="auto"/>
          <w:sz w:val="22"/>
          <w:highlight w:val="none"/>
        </w:rPr>
      </w:pPr>
    </w:p>
    <w:p w14:paraId="3C5889BE">
      <w:pPr>
        <w:widowControl/>
        <w:spacing w:line="420" w:lineRule="atLeast"/>
        <w:jc w:val="center"/>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t>投标人资格承诺函</w:t>
      </w:r>
    </w:p>
    <w:p w14:paraId="4B91C4F1">
      <w:pPr>
        <w:snapToGrid w:val="0"/>
        <w:spacing w:before="120" w:beforeLines="50" w:after="50"/>
        <w:ind w:firstLine="480"/>
        <w:rPr>
          <w:rFonts w:hint="eastAsia" w:ascii="仿宋" w:hAnsi="仿宋" w:eastAsia="仿宋" w:cs="仿宋"/>
          <w:color w:val="auto"/>
          <w:highlight w:val="none"/>
        </w:rPr>
      </w:pPr>
    </w:p>
    <w:p w14:paraId="5CCBBB6B">
      <w:pPr>
        <w:keepNext w:val="0"/>
        <w:keepLines w:val="0"/>
        <w:pageBreakBefore w:val="0"/>
        <w:widowControl w:val="0"/>
        <w:kinsoku/>
        <w:wordWrap/>
        <w:overflowPunct/>
        <w:topLinePunct w:val="0"/>
        <w:autoSpaceDE/>
        <w:autoSpaceDN/>
        <w:bidi w:val="0"/>
        <w:adjustRightInd/>
        <w:snapToGrid w:val="0"/>
        <w:spacing w:line="500" w:lineRule="exact"/>
        <w:ind w:firstLine="48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致：</w:t>
      </w:r>
      <w:r>
        <w:rPr>
          <w:rFonts w:hint="eastAsia" w:ascii="仿宋" w:hAnsi="仿宋" w:eastAsia="仿宋" w:cs="仿宋"/>
          <w:color w:val="auto"/>
          <w:sz w:val="24"/>
          <w:szCs w:val="24"/>
          <w:highlight w:val="none"/>
          <w:u w:val="single"/>
          <w:lang w:eastAsia="zh-CN"/>
        </w:rPr>
        <w:t>常山县自然资源和规划局</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64F19A52">
      <w:pPr>
        <w:keepNext w:val="0"/>
        <w:keepLines w:val="0"/>
        <w:pageBreakBefore w:val="0"/>
        <w:widowControl w:val="0"/>
        <w:kinsoku/>
        <w:wordWrap/>
        <w:overflowPunct/>
        <w:topLinePunct w:val="0"/>
        <w:autoSpaceDE/>
        <w:autoSpaceDN/>
        <w:bidi w:val="0"/>
        <w:adjustRightInd/>
        <w:snapToGrid w:val="0"/>
        <w:spacing w:line="5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（投标人名称）符合参加本次政府采购活动的资格条件并承诺如下。</w:t>
      </w:r>
    </w:p>
    <w:p w14:paraId="2E8BD7C5">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一、满足《中华人民共和国政府采购法》第二十二条规定</w:t>
      </w:r>
    </w:p>
    <w:p w14:paraId="5B3EC614">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1、具有独立承担民事责任的能力；</w:t>
      </w:r>
    </w:p>
    <w:p w14:paraId="3074B741">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2、具有良好的商业信誉和健全的财务会计制度；</w:t>
      </w:r>
    </w:p>
    <w:p w14:paraId="12551B1B">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3、具有履行合同所必需的设备和专业技术能力；</w:t>
      </w:r>
    </w:p>
    <w:p w14:paraId="22C18A82">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rPr>
        <w:t>4、有依法缴纳税收和社会保障资金的良好记录；</w:t>
      </w:r>
    </w:p>
    <w:p w14:paraId="3869C864">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5、参加政府采购活动前三年内，在经营活动中没有重大违法记录；</w:t>
      </w:r>
    </w:p>
    <w:p w14:paraId="1DDF8EBA">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i w:val="0"/>
          <w:iCs w:val="0"/>
          <w:color w:val="auto"/>
          <w:kern w:val="0"/>
          <w:sz w:val="24"/>
          <w:szCs w:val="24"/>
          <w:highlight w:val="none"/>
        </w:rPr>
      </w:pPr>
      <w:r>
        <w:rPr>
          <w:rFonts w:hint="eastAsia" w:ascii="仿宋" w:hAnsi="仿宋" w:eastAsia="仿宋" w:cs="仿宋"/>
          <w:i w:val="0"/>
          <w:iCs w:val="0"/>
          <w:color w:val="auto"/>
          <w:kern w:val="0"/>
          <w:sz w:val="24"/>
          <w:szCs w:val="24"/>
          <w:highlight w:val="none"/>
        </w:rPr>
        <w:t>二、未被“信用中国”（www.creditchina.gov.cn)、</w:t>
      </w:r>
      <w:r>
        <w:rPr>
          <w:rFonts w:hint="eastAsia" w:ascii="仿宋" w:hAnsi="仿宋" w:eastAsia="仿宋" w:cs="仿宋"/>
          <w:i w:val="0"/>
          <w:iCs w:val="0"/>
          <w:color w:val="auto"/>
          <w:kern w:val="0"/>
          <w:sz w:val="24"/>
          <w:szCs w:val="24"/>
          <w:highlight w:val="none"/>
          <w:lang w:eastAsia="zh-CN"/>
        </w:rPr>
        <w:t>“</w:t>
      </w:r>
      <w:r>
        <w:rPr>
          <w:rFonts w:hint="eastAsia" w:ascii="仿宋" w:hAnsi="仿宋" w:eastAsia="仿宋" w:cs="仿宋"/>
          <w:i w:val="0"/>
          <w:iCs w:val="0"/>
          <w:color w:val="auto"/>
          <w:kern w:val="0"/>
          <w:sz w:val="24"/>
          <w:szCs w:val="24"/>
          <w:highlight w:val="none"/>
        </w:rPr>
        <w:t>中国政府采购网</w:t>
      </w:r>
      <w:r>
        <w:rPr>
          <w:rFonts w:hint="eastAsia" w:ascii="仿宋" w:hAnsi="仿宋" w:eastAsia="仿宋" w:cs="仿宋"/>
          <w:i w:val="0"/>
          <w:iCs w:val="0"/>
          <w:color w:val="auto"/>
          <w:kern w:val="0"/>
          <w:sz w:val="24"/>
          <w:szCs w:val="24"/>
          <w:highlight w:val="none"/>
          <w:lang w:eastAsia="zh-CN"/>
        </w:rPr>
        <w:t>”</w:t>
      </w:r>
      <w:r>
        <w:rPr>
          <w:rFonts w:hint="eastAsia" w:ascii="仿宋" w:hAnsi="仿宋" w:eastAsia="仿宋" w:cs="仿宋"/>
          <w:i w:val="0"/>
          <w:iCs w:val="0"/>
          <w:color w:val="auto"/>
          <w:kern w:val="0"/>
          <w:sz w:val="24"/>
          <w:szCs w:val="24"/>
          <w:highlight w:val="none"/>
        </w:rPr>
        <w:t>（www.ccgp.gov.cn）列入失信被执行人、</w:t>
      </w:r>
      <w:r>
        <w:rPr>
          <w:rFonts w:hint="eastAsia" w:ascii="仿宋" w:hAnsi="仿宋" w:eastAsia="仿宋" w:cs="仿宋"/>
          <w:i w:val="0"/>
          <w:iCs w:val="0"/>
          <w:color w:val="auto"/>
          <w:kern w:val="0"/>
          <w:sz w:val="24"/>
          <w:szCs w:val="24"/>
          <w:highlight w:val="none"/>
          <w:lang w:eastAsia="zh-CN"/>
        </w:rPr>
        <w:t>重大税收违法失信主体</w:t>
      </w:r>
      <w:r>
        <w:rPr>
          <w:rFonts w:hint="eastAsia" w:ascii="仿宋" w:hAnsi="仿宋" w:eastAsia="仿宋" w:cs="仿宋"/>
          <w:i w:val="0"/>
          <w:iCs w:val="0"/>
          <w:color w:val="auto"/>
          <w:kern w:val="0"/>
          <w:sz w:val="24"/>
          <w:szCs w:val="24"/>
          <w:highlight w:val="none"/>
        </w:rPr>
        <w:t>、政府采购严重违法失信行为记录名单。</w:t>
      </w:r>
    </w:p>
    <w:p w14:paraId="20D59B81">
      <w:pPr>
        <w:keepNext w:val="0"/>
        <w:keepLines w:val="0"/>
        <w:pageBreakBefore w:val="0"/>
        <w:widowControl w:val="0"/>
        <w:kinsoku/>
        <w:wordWrap/>
        <w:overflowPunct/>
        <w:topLinePunct w:val="0"/>
        <w:autoSpaceDE/>
        <w:autoSpaceDN/>
        <w:bidi w:val="0"/>
        <w:adjustRightInd/>
        <w:snapToGrid w:val="0"/>
        <w:spacing w:line="50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本单位对上述承诺内容的真实性负责。如有虚假，将依法承担相应责任。</w:t>
      </w:r>
    </w:p>
    <w:p w14:paraId="0C649D15">
      <w:pPr>
        <w:ind w:firstLine="480"/>
        <w:rPr>
          <w:rFonts w:hint="eastAsia" w:ascii="仿宋" w:hAnsi="仿宋" w:eastAsia="仿宋" w:cs="仿宋"/>
          <w:color w:val="auto"/>
          <w:highlight w:val="none"/>
        </w:rPr>
      </w:pPr>
    </w:p>
    <w:p w14:paraId="6687159E">
      <w:pPr>
        <w:ind w:firstLine="480"/>
        <w:rPr>
          <w:rFonts w:hint="eastAsia" w:ascii="仿宋" w:hAnsi="仿宋" w:eastAsia="仿宋" w:cs="仿宋"/>
          <w:color w:val="auto"/>
          <w:highlight w:val="none"/>
        </w:rPr>
      </w:pPr>
    </w:p>
    <w:p w14:paraId="0BD7782D">
      <w:pPr>
        <w:widowControl/>
        <w:ind w:firstLine="480"/>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sz w:val="24"/>
          <w:szCs w:val="24"/>
          <w:highlight w:val="none"/>
          <w:u w:val="single"/>
        </w:rPr>
        <w:t xml:space="preserve">       （盖章）        </w:t>
      </w:r>
      <w:r>
        <w:rPr>
          <w:rFonts w:hint="eastAsia" w:ascii="仿宋" w:hAnsi="仿宋" w:eastAsia="仿宋" w:cs="仿宋"/>
          <w:color w:val="auto"/>
          <w:sz w:val="24"/>
          <w:szCs w:val="24"/>
          <w:highlight w:val="none"/>
        </w:rPr>
        <w:t xml:space="preserve">                      年    月    日</w:t>
      </w:r>
    </w:p>
    <w:p w14:paraId="0CFB0E5D">
      <w:pPr>
        <w:widowControl/>
        <w:spacing w:line="420" w:lineRule="atLeast"/>
        <w:rPr>
          <w:rFonts w:hint="eastAsia" w:ascii="仿宋" w:hAnsi="仿宋" w:eastAsia="仿宋" w:cs="仿宋"/>
          <w:b/>
          <w:bCs/>
          <w:color w:val="auto"/>
          <w:kern w:val="0"/>
          <w:sz w:val="24"/>
          <w:highlight w:val="none"/>
        </w:rPr>
      </w:pPr>
    </w:p>
    <w:p w14:paraId="0754503C">
      <w:pPr>
        <w:widowControl/>
        <w:spacing w:line="420" w:lineRule="atLeast"/>
        <w:textAlignment w:val="baseline"/>
        <w:rPr>
          <w:rFonts w:hint="eastAsia" w:ascii="仿宋" w:hAnsi="仿宋" w:eastAsia="仿宋" w:cs="仿宋"/>
          <w:b/>
          <w:bCs/>
          <w:color w:val="auto"/>
          <w:kern w:val="0"/>
          <w:sz w:val="24"/>
          <w:highlight w:val="none"/>
        </w:rPr>
      </w:pPr>
    </w:p>
    <w:p w14:paraId="67FCFE5D">
      <w:pPr>
        <w:widowControl/>
        <w:spacing w:line="420" w:lineRule="atLeast"/>
        <w:textAlignment w:val="baseline"/>
        <w:rPr>
          <w:rFonts w:hint="eastAsia" w:ascii="仿宋" w:hAnsi="仿宋" w:eastAsia="仿宋" w:cs="仿宋"/>
          <w:b/>
          <w:bCs/>
          <w:color w:val="auto"/>
          <w:kern w:val="0"/>
          <w:sz w:val="24"/>
          <w:highlight w:val="none"/>
        </w:rPr>
      </w:pPr>
    </w:p>
    <w:p w14:paraId="12647E79">
      <w:pPr>
        <w:widowControl/>
        <w:spacing w:line="420" w:lineRule="atLeast"/>
        <w:jc w:val="center"/>
        <w:textAlignment w:val="baseline"/>
        <w:rPr>
          <w:rFonts w:hint="eastAsia" w:ascii="仿宋" w:hAnsi="仿宋" w:eastAsia="仿宋" w:cs="仿宋"/>
          <w:b/>
          <w:bCs/>
          <w:color w:val="auto"/>
          <w:kern w:val="0"/>
          <w:sz w:val="30"/>
          <w:szCs w:val="30"/>
          <w:highlight w:val="none"/>
        </w:rPr>
      </w:pPr>
      <w:bookmarkStart w:id="112" w:name="_Toc340777668"/>
      <w:bookmarkEnd w:id="112"/>
    </w:p>
    <w:p w14:paraId="422AE501">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7E335224">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39939F80">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2021A1C5">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4498CC57">
      <w:pPr>
        <w:spacing w:line="420" w:lineRule="atLeast"/>
        <w:jc w:val="left"/>
        <w:textAlignment w:val="baseline"/>
        <w:outlineLvl w:val="9"/>
        <w:rPr>
          <w:rFonts w:hint="eastAsia" w:ascii="仿宋" w:hAnsi="仿宋" w:eastAsia="仿宋" w:cs="仿宋"/>
          <w:b/>
          <w:bCs/>
          <w:color w:val="auto"/>
          <w:sz w:val="22"/>
          <w:highlight w:val="none"/>
        </w:rPr>
      </w:pPr>
    </w:p>
    <w:p w14:paraId="17C92901">
      <w:pPr>
        <w:spacing w:line="420" w:lineRule="atLeast"/>
        <w:jc w:val="left"/>
        <w:textAlignment w:val="baseline"/>
        <w:outlineLvl w:val="0"/>
        <w:rPr>
          <w:rFonts w:hint="eastAsia" w:ascii="仿宋" w:hAnsi="仿宋" w:eastAsia="仿宋" w:cs="仿宋"/>
          <w:b/>
          <w:color w:val="auto"/>
          <w:sz w:val="30"/>
          <w:highlight w:val="none"/>
          <w:lang w:val="en-US" w:eastAsia="zh-CN"/>
        </w:rPr>
      </w:pPr>
      <w:bookmarkStart w:id="113" w:name="_Toc4400"/>
      <w:bookmarkStart w:id="114" w:name="_Toc32491"/>
      <w:bookmarkStart w:id="115" w:name="_Toc106"/>
      <w:r>
        <w:rPr>
          <w:rFonts w:hint="eastAsia" w:ascii="仿宋" w:hAnsi="仿宋" w:eastAsia="仿宋" w:cs="仿宋"/>
          <w:b/>
          <w:bCs/>
          <w:color w:val="auto"/>
          <w:sz w:val="22"/>
          <w:highlight w:val="none"/>
        </w:rPr>
        <w:t>附件</w:t>
      </w:r>
      <w:r>
        <w:rPr>
          <w:rFonts w:hint="eastAsia" w:ascii="仿宋" w:hAnsi="仿宋" w:eastAsia="仿宋" w:cs="仿宋"/>
          <w:b/>
          <w:bCs/>
          <w:color w:val="auto"/>
          <w:sz w:val="22"/>
          <w:highlight w:val="none"/>
          <w:lang w:val="en-US" w:eastAsia="zh-CN"/>
        </w:rPr>
        <w:t>2</w:t>
      </w:r>
      <w:bookmarkEnd w:id="113"/>
      <w:bookmarkEnd w:id="114"/>
      <w:bookmarkEnd w:id="115"/>
    </w:p>
    <w:p w14:paraId="74AFBE31">
      <w:pPr>
        <w:widowControl/>
        <w:spacing w:line="420" w:lineRule="atLeast"/>
        <w:jc w:val="both"/>
        <w:textAlignment w:val="baseline"/>
        <w:rPr>
          <w:rFonts w:hint="eastAsia" w:ascii="仿宋" w:hAnsi="仿宋" w:eastAsia="仿宋" w:cs="仿宋"/>
          <w:b/>
          <w:bCs/>
          <w:color w:val="auto"/>
          <w:kern w:val="0"/>
          <w:sz w:val="30"/>
          <w:szCs w:val="30"/>
          <w:highlight w:val="none"/>
        </w:rPr>
      </w:pPr>
    </w:p>
    <w:p w14:paraId="3DA014D4">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7ACB25BD">
      <w:pPr>
        <w:widowControl/>
        <w:spacing w:line="420" w:lineRule="atLeast"/>
        <w:jc w:val="center"/>
        <w:textAlignment w:val="baseline"/>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t xml:space="preserve">   </w:t>
      </w:r>
      <w:bookmarkStart w:id="116" w:name="_Toc22404_WPSOffice_Level1"/>
      <w:r>
        <w:rPr>
          <w:rFonts w:hint="eastAsia" w:ascii="仿宋" w:hAnsi="仿宋" w:eastAsia="仿宋" w:cs="仿宋"/>
          <w:b/>
          <w:bCs/>
          <w:color w:val="auto"/>
          <w:kern w:val="0"/>
          <w:sz w:val="30"/>
          <w:szCs w:val="30"/>
          <w:highlight w:val="none"/>
        </w:rPr>
        <w:t>法定代表人身份证明</w:t>
      </w:r>
      <w:bookmarkEnd w:id="116"/>
    </w:p>
    <w:p w14:paraId="122E001E">
      <w:pPr>
        <w:widowControl/>
        <w:spacing w:line="420" w:lineRule="atLeast"/>
        <w:jc w:val="center"/>
        <w:textAlignment w:val="baseline"/>
        <w:rPr>
          <w:rFonts w:hint="eastAsia"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 xml:space="preserve"> </w:t>
      </w:r>
    </w:p>
    <w:p w14:paraId="608C45DE">
      <w:pPr>
        <w:widowControl/>
        <w:spacing w:line="420" w:lineRule="atLeast"/>
        <w:ind w:firstLine="480"/>
        <w:jc w:val="left"/>
        <w:textAlignment w:val="baseline"/>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p>
    <w:p w14:paraId="442087A5">
      <w:pPr>
        <w:widowControl/>
        <w:spacing w:line="440" w:lineRule="exact"/>
        <w:ind w:firstLine="1077"/>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单位名称：</w:t>
      </w:r>
      <w:r>
        <w:rPr>
          <w:rFonts w:hint="eastAsia" w:ascii="仿宋" w:hAnsi="仿宋" w:eastAsia="仿宋" w:cs="仿宋"/>
          <w:color w:val="auto"/>
          <w:kern w:val="0"/>
          <w:szCs w:val="21"/>
          <w:highlight w:val="none"/>
          <w:u w:val="single" w:color="000000"/>
        </w:rPr>
        <w:t xml:space="preserve">                                               </w:t>
      </w:r>
    </w:p>
    <w:p w14:paraId="0B1627E5">
      <w:pPr>
        <w:widowControl/>
        <w:spacing w:line="440" w:lineRule="exact"/>
        <w:ind w:firstLine="1077"/>
        <w:textAlignment w:val="baseline"/>
        <w:rPr>
          <w:rFonts w:hint="eastAsia" w:ascii="仿宋" w:hAnsi="仿宋" w:eastAsia="仿宋" w:cs="仿宋"/>
          <w:color w:val="auto"/>
          <w:kern w:val="0"/>
          <w:sz w:val="20"/>
          <w:szCs w:val="21"/>
          <w:highlight w:val="none"/>
          <w:u w:val="single"/>
        </w:rPr>
      </w:pPr>
      <w:r>
        <w:rPr>
          <w:rFonts w:hint="eastAsia" w:ascii="仿宋" w:hAnsi="仿宋" w:eastAsia="仿宋" w:cs="仿宋"/>
          <w:color w:val="auto"/>
          <w:kern w:val="0"/>
          <w:szCs w:val="21"/>
          <w:highlight w:val="none"/>
        </w:rPr>
        <w:t>单位性质：</w:t>
      </w:r>
      <w:r>
        <w:rPr>
          <w:rFonts w:hint="eastAsia" w:ascii="仿宋" w:hAnsi="仿宋" w:eastAsia="仿宋" w:cs="仿宋"/>
          <w:color w:val="auto"/>
          <w:kern w:val="0"/>
          <w:szCs w:val="21"/>
          <w:highlight w:val="none"/>
          <w:u w:val="single" w:color="000000"/>
        </w:rPr>
        <w:t xml:space="preserve">                                               </w:t>
      </w:r>
    </w:p>
    <w:p w14:paraId="3A273A62">
      <w:pPr>
        <w:widowControl/>
        <w:spacing w:line="440" w:lineRule="exact"/>
        <w:ind w:firstLine="1077"/>
        <w:textAlignment w:val="baseline"/>
        <w:rPr>
          <w:rFonts w:hint="eastAsia" w:ascii="仿宋" w:hAnsi="仿宋" w:eastAsia="仿宋" w:cs="仿宋"/>
          <w:color w:val="auto"/>
          <w:kern w:val="0"/>
          <w:sz w:val="20"/>
          <w:szCs w:val="21"/>
          <w:highlight w:val="none"/>
          <w:u w:val="single"/>
        </w:rPr>
      </w:pPr>
      <w:r>
        <w:rPr>
          <w:rFonts w:hint="eastAsia" w:ascii="仿宋" w:hAnsi="仿宋" w:eastAsia="仿宋" w:cs="仿宋"/>
          <w:color w:val="auto"/>
          <w:kern w:val="0"/>
          <w:szCs w:val="21"/>
          <w:highlight w:val="none"/>
        </w:rPr>
        <w:t>地    址：</w:t>
      </w:r>
      <w:r>
        <w:rPr>
          <w:rFonts w:hint="eastAsia" w:ascii="仿宋" w:hAnsi="仿宋" w:eastAsia="仿宋" w:cs="仿宋"/>
          <w:color w:val="auto"/>
          <w:kern w:val="0"/>
          <w:szCs w:val="21"/>
          <w:highlight w:val="none"/>
          <w:u w:val="single" w:color="000000"/>
        </w:rPr>
        <w:t xml:space="preserve">                                               </w:t>
      </w:r>
    </w:p>
    <w:p w14:paraId="1029F704">
      <w:pPr>
        <w:widowControl/>
        <w:spacing w:line="440" w:lineRule="exact"/>
        <w:ind w:firstLine="1077"/>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成立时间：</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年</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月</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日</w:t>
      </w:r>
    </w:p>
    <w:p w14:paraId="6ED049A2">
      <w:pPr>
        <w:widowControl/>
        <w:spacing w:line="440" w:lineRule="exact"/>
        <w:ind w:firstLine="1077"/>
        <w:textAlignment w:val="baseline"/>
        <w:rPr>
          <w:rFonts w:hint="eastAsia" w:ascii="仿宋" w:hAnsi="仿宋" w:eastAsia="仿宋" w:cs="仿宋"/>
          <w:color w:val="auto"/>
          <w:kern w:val="0"/>
          <w:sz w:val="20"/>
          <w:szCs w:val="21"/>
          <w:highlight w:val="none"/>
          <w:u w:val="single"/>
        </w:rPr>
      </w:pPr>
      <w:r>
        <w:rPr>
          <w:rFonts w:hint="eastAsia" w:ascii="仿宋" w:hAnsi="仿宋" w:eastAsia="仿宋" w:cs="仿宋"/>
          <w:color w:val="auto"/>
          <w:kern w:val="0"/>
          <w:szCs w:val="21"/>
          <w:highlight w:val="none"/>
        </w:rPr>
        <w:t>经营期限：</w:t>
      </w:r>
      <w:r>
        <w:rPr>
          <w:rFonts w:hint="eastAsia" w:ascii="仿宋" w:hAnsi="仿宋" w:eastAsia="仿宋" w:cs="仿宋"/>
          <w:color w:val="auto"/>
          <w:kern w:val="0"/>
          <w:szCs w:val="21"/>
          <w:highlight w:val="none"/>
          <w:u w:val="single" w:color="000000"/>
        </w:rPr>
        <w:t xml:space="preserve">                                               </w:t>
      </w:r>
    </w:p>
    <w:p w14:paraId="37AAA870">
      <w:pPr>
        <w:widowControl/>
        <w:spacing w:line="440" w:lineRule="exact"/>
        <w:ind w:firstLine="1077"/>
        <w:textAlignment w:val="baseline"/>
        <w:rPr>
          <w:rFonts w:hint="eastAsia" w:ascii="仿宋" w:hAnsi="仿宋" w:eastAsia="仿宋" w:cs="仿宋"/>
          <w:color w:val="auto"/>
          <w:kern w:val="0"/>
          <w:sz w:val="20"/>
          <w:szCs w:val="21"/>
          <w:highlight w:val="none"/>
          <w:u w:val="single"/>
        </w:rPr>
      </w:pPr>
      <w:r>
        <w:rPr>
          <w:rFonts w:hint="eastAsia" w:ascii="仿宋" w:hAnsi="仿宋" w:eastAsia="仿宋" w:cs="仿宋"/>
          <w:color w:val="auto"/>
          <w:kern w:val="0"/>
          <w:szCs w:val="21"/>
          <w:highlight w:val="none"/>
        </w:rPr>
        <w:t>姓    名：</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性    别：</w:t>
      </w:r>
      <w:r>
        <w:rPr>
          <w:rFonts w:hint="eastAsia" w:ascii="仿宋" w:hAnsi="仿宋" w:eastAsia="仿宋" w:cs="仿宋"/>
          <w:color w:val="auto"/>
          <w:kern w:val="0"/>
          <w:szCs w:val="21"/>
          <w:highlight w:val="none"/>
          <w:u w:val="single" w:color="000000"/>
        </w:rPr>
        <w:t xml:space="preserve">            </w:t>
      </w:r>
    </w:p>
    <w:p w14:paraId="1E6B69FC">
      <w:pPr>
        <w:widowControl/>
        <w:spacing w:line="440" w:lineRule="exact"/>
        <w:ind w:firstLine="1077"/>
        <w:textAlignment w:val="baseline"/>
        <w:rPr>
          <w:rFonts w:hint="eastAsia" w:ascii="仿宋" w:hAnsi="仿宋" w:eastAsia="仿宋" w:cs="仿宋"/>
          <w:color w:val="auto"/>
          <w:kern w:val="0"/>
          <w:sz w:val="20"/>
          <w:szCs w:val="21"/>
          <w:highlight w:val="none"/>
          <w:u w:val="single"/>
        </w:rPr>
      </w:pPr>
      <w:r>
        <w:rPr>
          <w:rFonts w:hint="eastAsia" w:ascii="仿宋" w:hAnsi="仿宋" w:eastAsia="仿宋" w:cs="仿宋"/>
          <w:color w:val="auto"/>
          <w:kern w:val="0"/>
          <w:szCs w:val="21"/>
          <w:highlight w:val="none"/>
        </w:rPr>
        <w:t>年    龄：</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职    务：</w:t>
      </w:r>
      <w:r>
        <w:rPr>
          <w:rFonts w:hint="eastAsia" w:ascii="仿宋" w:hAnsi="仿宋" w:eastAsia="仿宋" w:cs="仿宋"/>
          <w:color w:val="auto"/>
          <w:kern w:val="0"/>
          <w:szCs w:val="21"/>
          <w:highlight w:val="none"/>
          <w:u w:val="single" w:color="000000"/>
        </w:rPr>
        <w:t xml:space="preserve">            </w:t>
      </w:r>
    </w:p>
    <w:p w14:paraId="2871A1EB">
      <w:pPr>
        <w:widowControl/>
        <w:spacing w:line="440" w:lineRule="exact"/>
        <w:ind w:firstLine="1077"/>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系</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（投标人名称）的法定代表人。</w:t>
      </w:r>
    </w:p>
    <w:p w14:paraId="7CE3E911">
      <w:pPr>
        <w:widowControl/>
        <w:spacing w:line="440" w:lineRule="exact"/>
        <w:ind w:firstLine="1077"/>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特此证明。</w:t>
      </w:r>
    </w:p>
    <w:p w14:paraId="6D332F92">
      <w:pPr>
        <w:widowControl/>
        <w:spacing w:line="420" w:lineRule="atLeast"/>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 xml:space="preserve"> </w:t>
      </w:r>
    </w:p>
    <w:p w14:paraId="227D02B8">
      <w:pPr>
        <w:widowControl/>
        <w:spacing w:line="420" w:lineRule="atLeast"/>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 xml:space="preserve"> </w:t>
      </w:r>
    </w:p>
    <w:p w14:paraId="037A4657">
      <w:pPr>
        <w:widowControl/>
        <w:spacing w:line="420" w:lineRule="atLeast"/>
        <w:ind w:right="-64" w:firstLine="3600"/>
        <w:textAlignment w:val="baseline"/>
        <w:rPr>
          <w:rFonts w:hint="eastAsia" w:ascii="仿宋" w:hAnsi="仿宋" w:eastAsia="仿宋" w:cs="仿宋"/>
          <w:color w:val="auto"/>
          <w:kern w:val="0"/>
          <w:sz w:val="20"/>
          <w:szCs w:val="21"/>
          <w:highlight w:val="none"/>
        </w:rPr>
      </w:pPr>
      <w:r>
        <w:rPr>
          <w:rFonts w:hint="eastAsia" w:ascii="仿宋" w:hAnsi="仿宋" w:eastAsia="仿宋" w:cs="仿宋"/>
          <w:b/>
          <w:bCs/>
          <w:color w:val="auto"/>
          <w:szCs w:val="21"/>
          <w:highlight w:val="none"/>
        </w:rPr>
        <w:t>磋商供应商</w:t>
      </w:r>
      <w:r>
        <w:rPr>
          <w:rFonts w:hint="eastAsia" w:ascii="仿宋" w:hAnsi="仿宋" w:eastAsia="仿宋" w:cs="仿宋"/>
          <w:b/>
          <w:bCs/>
          <w:color w:val="auto"/>
          <w:kern w:val="0"/>
          <w:szCs w:val="21"/>
          <w:highlight w:val="none"/>
        </w:rPr>
        <w:t>：</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（盖单位章）</w:t>
      </w:r>
    </w:p>
    <w:p w14:paraId="3B415404">
      <w:pPr>
        <w:widowControl/>
        <w:spacing w:line="420" w:lineRule="atLeast"/>
        <w:ind w:right="420"/>
        <w:textAlignment w:val="baseline"/>
        <w:rPr>
          <w:rFonts w:hint="eastAsia" w:ascii="仿宋" w:hAnsi="仿宋" w:eastAsia="仿宋" w:cs="仿宋"/>
          <w:color w:val="auto"/>
          <w:kern w:val="0"/>
          <w:sz w:val="20"/>
          <w:szCs w:val="21"/>
          <w:highlight w:val="none"/>
          <w:u w:val="single"/>
        </w:rPr>
      </w:pPr>
    </w:p>
    <w:p w14:paraId="529EF7F2">
      <w:pPr>
        <w:widowControl/>
        <w:spacing w:line="420" w:lineRule="atLeast"/>
        <w:ind w:right="-64" w:firstLine="4320"/>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年</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月</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 xml:space="preserve">日 </w:t>
      </w:r>
    </w:p>
    <w:p w14:paraId="033D2734">
      <w:pPr>
        <w:widowControl/>
        <w:spacing w:line="420" w:lineRule="atLeast"/>
        <w:jc w:val="center"/>
        <w:textAlignment w:val="baseline"/>
        <w:rPr>
          <w:rFonts w:hint="eastAsia" w:ascii="仿宋" w:hAnsi="仿宋" w:eastAsia="仿宋" w:cs="仿宋"/>
          <w:color w:val="auto"/>
          <w:kern w:val="0"/>
          <w:sz w:val="20"/>
          <w:szCs w:val="21"/>
          <w:highlight w:val="none"/>
        </w:rPr>
      </w:pPr>
    </w:p>
    <w:p w14:paraId="0D868F2A">
      <w:pPr>
        <w:widowControl/>
        <w:spacing w:line="420" w:lineRule="atLeast"/>
        <w:textAlignment w:val="baseline"/>
        <w:rPr>
          <w:rFonts w:hint="eastAsia" w:ascii="仿宋" w:hAnsi="仿宋" w:eastAsia="仿宋" w:cs="仿宋"/>
          <w:b/>
          <w:color w:val="auto"/>
          <w:kern w:val="0"/>
          <w:sz w:val="20"/>
          <w:szCs w:val="21"/>
          <w:highlight w:val="none"/>
        </w:rPr>
      </w:pPr>
      <w:r>
        <w:rPr>
          <w:rFonts w:hint="eastAsia" w:ascii="仿宋" w:hAnsi="仿宋" w:eastAsia="仿宋" w:cs="仿宋"/>
          <w:b/>
          <w:color w:val="auto"/>
          <w:kern w:val="0"/>
          <w:szCs w:val="21"/>
          <w:highlight w:val="none"/>
        </w:rPr>
        <w:t xml:space="preserve">后附法定代表人身份证复印件： </w:t>
      </w:r>
    </w:p>
    <w:p w14:paraId="02077102">
      <w:pPr>
        <w:widowControl/>
        <w:spacing w:line="420" w:lineRule="atLeast"/>
        <w:textAlignment w:val="baseline"/>
        <w:rPr>
          <w:rFonts w:hint="eastAsia" w:ascii="仿宋" w:hAnsi="仿宋" w:eastAsia="仿宋" w:cs="仿宋"/>
          <w:color w:val="auto"/>
          <w:kern w:val="0"/>
          <w:sz w:val="20"/>
          <w:szCs w:val="21"/>
          <w:highlight w:val="none"/>
        </w:rPr>
      </w:pPr>
    </w:p>
    <w:p w14:paraId="315625CB">
      <w:pPr>
        <w:widowControl/>
        <w:spacing w:line="420" w:lineRule="atLeast"/>
        <w:textAlignment w:val="baseline"/>
        <w:rPr>
          <w:rFonts w:hint="eastAsia" w:ascii="仿宋" w:hAnsi="仿宋" w:eastAsia="仿宋" w:cs="仿宋"/>
          <w:color w:val="auto"/>
          <w:kern w:val="0"/>
          <w:sz w:val="20"/>
          <w:szCs w:val="21"/>
          <w:highlight w:val="none"/>
        </w:rPr>
      </w:pPr>
    </w:p>
    <w:p w14:paraId="61C2F168">
      <w:pPr>
        <w:pStyle w:val="12"/>
        <w:ind w:left="1020"/>
        <w:textAlignment w:val="baseline"/>
        <w:rPr>
          <w:rFonts w:hint="eastAsia" w:ascii="仿宋" w:hAnsi="仿宋" w:eastAsia="仿宋" w:cs="仿宋"/>
          <w:color w:val="auto"/>
          <w:highlight w:val="none"/>
        </w:rPr>
      </w:pPr>
    </w:p>
    <w:p w14:paraId="2D17FF50">
      <w:pPr>
        <w:pStyle w:val="12"/>
        <w:textAlignment w:val="baseline"/>
        <w:rPr>
          <w:rFonts w:hint="eastAsia" w:ascii="仿宋" w:hAnsi="仿宋" w:eastAsia="仿宋" w:cs="仿宋"/>
          <w:color w:val="auto"/>
          <w:kern w:val="0"/>
          <w:sz w:val="24"/>
          <w:highlight w:val="none"/>
        </w:rPr>
      </w:pPr>
    </w:p>
    <w:p w14:paraId="78860F27">
      <w:pPr>
        <w:widowControl/>
        <w:spacing w:line="420" w:lineRule="atLeast"/>
        <w:jc w:val="left"/>
        <w:textAlignment w:val="baseline"/>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br w:type="page"/>
      </w:r>
    </w:p>
    <w:p w14:paraId="724A4BD3">
      <w:pPr>
        <w:spacing w:line="420" w:lineRule="atLeast"/>
        <w:jc w:val="left"/>
        <w:textAlignment w:val="baseline"/>
        <w:outlineLvl w:val="0"/>
        <w:rPr>
          <w:rFonts w:hint="eastAsia" w:ascii="仿宋" w:hAnsi="仿宋" w:eastAsia="仿宋" w:cs="仿宋"/>
          <w:b/>
          <w:color w:val="auto"/>
          <w:sz w:val="30"/>
          <w:highlight w:val="none"/>
          <w:lang w:val="en-US" w:eastAsia="zh-CN"/>
        </w:rPr>
      </w:pPr>
      <w:bookmarkStart w:id="117" w:name="_Toc28011"/>
      <w:bookmarkStart w:id="118" w:name="_Toc30245"/>
      <w:bookmarkStart w:id="119" w:name="_Toc24405"/>
      <w:bookmarkStart w:id="120" w:name="_Toc32498"/>
      <w:r>
        <w:rPr>
          <w:rFonts w:hint="eastAsia" w:ascii="仿宋" w:hAnsi="仿宋" w:eastAsia="仿宋" w:cs="仿宋"/>
          <w:b/>
          <w:bCs/>
          <w:color w:val="auto"/>
          <w:sz w:val="22"/>
          <w:highlight w:val="none"/>
        </w:rPr>
        <w:t>附件</w:t>
      </w:r>
      <w:bookmarkEnd w:id="117"/>
      <w:r>
        <w:rPr>
          <w:rFonts w:hint="eastAsia" w:ascii="仿宋" w:hAnsi="仿宋" w:eastAsia="仿宋" w:cs="仿宋"/>
          <w:b/>
          <w:bCs/>
          <w:color w:val="auto"/>
          <w:sz w:val="22"/>
          <w:highlight w:val="none"/>
          <w:lang w:val="en-US" w:eastAsia="zh-CN"/>
        </w:rPr>
        <w:t>2-1</w:t>
      </w:r>
      <w:bookmarkEnd w:id="118"/>
      <w:bookmarkEnd w:id="119"/>
      <w:bookmarkEnd w:id="120"/>
    </w:p>
    <w:p w14:paraId="6419CF06">
      <w:pPr>
        <w:widowControl/>
        <w:spacing w:line="420" w:lineRule="atLeast"/>
        <w:jc w:val="center"/>
        <w:textAlignment w:val="baseline"/>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t>法定代表人授权委托书</w:t>
      </w:r>
    </w:p>
    <w:p w14:paraId="36436506">
      <w:pPr>
        <w:widowControl/>
        <w:spacing w:line="420" w:lineRule="atLeast"/>
        <w:ind w:left="120"/>
        <w:jc w:val="left"/>
        <w:textAlignment w:val="baseline"/>
        <w:rPr>
          <w:rFonts w:hint="eastAsia" w:ascii="仿宋" w:hAnsi="仿宋" w:eastAsia="仿宋" w:cs="仿宋"/>
          <w:color w:val="auto"/>
          <w:kern w:val="0"/>
          <w:sz w:val="24"/>
          <w:highlight w:val="none"/>
        </w:rPr>
      </w:pPr>
    </w:p>
    <w:p w14:paraId="7F0B85B2">
      <w:pPr>
        <w:widowControl/>
        <w:spacing w:line="460" w:lineRule="exact"/>
        <w:ind w:left="120" w:firstLine="482"/>
        <w:jc w:val="left"/>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本授权书声明：我</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（法人代表姓名、职务）是</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（单位名称）的法人代表，现代表本单位授权</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（被授权人的姓名、职务）为本单位的合法代理人，就参加</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u w:val="single"/>
          <w:lang w:eastAsia="zh-CN"/>
        </w:rPr>
        <w:t>常山县城东新区狮子口片区控规调整</w:t>
      </w:r>
      <w:r>
        <w:rPr>
          <w:rFonts w:hint="eastAsia" w:ascii="仿宋" w:hAnsi="仿宋" w:eastAsia="仿宋" w:cs="仿宋"/>
          <w:color w:val="auto"/>
          <w:kern w:val="0"/>
          <w:szCs w:val="21"/>
          <w:highlight w:val="none"/>
          <w:u w:val="single"/>
        </w:rPr>
        <w:t>（项目编号：</w:t>
      </w:r>
      <w:r>
        <w:rPr>
          <w:rFonts w:hint="eastAsia" w:ascii="仿宋" w:hAnsi="仿宋" w:eastAsia="仿宋" w:cs="仿宋"/>
          <w:color w:val="auto"/>
          <w:kern w:val="0"/>
          <w:szCs w:val="21"/>
          <w:highlight w:val="none"/>
          <w:u w:val="single"/>
          <w:lang w:eastAsia="zh-CN"/>
        </w:rPr>
        <w:t>GXZFCG-2025-CS003</w:t>
      </w:r>
      <w:r>
        <w:rPr>
          <w:rFonts w:hint="eastAsia" w:ascii="仿宋" w:hAnsi="仿宋" w:eastAsia="仿宋" w:cs="仿宋"/>
          <w:color w:val="auto"/>
          <w:kern w:val="0"/>
          <w:szCs w:val="21"/>
          <w:highlight w:val="none"/>
          <w:u w:val="single"/>
        </w:rPr>
        <w:t>）</w:t>
      </w:r>
      <w:r>
        <w:rPr>
          <w:rFonts w:hint="eastAsia" w:ascii="仿宋" w:hAnsi="仿宋" w:eastAsia="仿宋" w:cs="仿宋"/>
          <w:color w:val="auto"/>
          <w:kern w:val="0"/>
          <w:szCs w:val="21"/>
          <w:highlight w:val="none"/>
        </w:rPr>
        <w:t>招标的投标、签订合同以及合同的执行、完成和服务，及以本单位名义处理一切与之有关的事务。</w:t>
      </w:r>
    </w:p>
    <w:p w14:paraId="066A38CA">
      <w:pPr>
        <w:widowControl/>
        <w:spacing w:line="460" w:lineRule="exact"/>
        <w:ind w:firstLine="482"/>
        <w:jc w:val="left"/>
        <w:textAlignment w:val="baseline"/>
        <w:rPr>
          <w:rFonts w:hint="eastAsia" w:ascii="仿宋" w:hAnsi="仿宋" w:eastAsia="仿宋" w:cs="仿宋"/>
          <w:color w:val="auto"/>
          <w:kern w:val="0"/>
          <w:sz w:val="20"/>
          <w:szCs w:val="21"/>
          <w:highlight w:val="none"/>
        </w:rPr>
      </w:pPr>
      <w:r>
        <w:rPr>
          <w:rFonts w:hint="eastAsia" w:ascii="仿宋" w:hAnsi="仿宋" w:eastAsia="仿宋" w:cs="仿宋"/>
          <w:color w:val="auto"/>
          <w:kern w:val="0"/>
          <w:szCs w:val="21"/>
          <w:highlight w:val="none"/>
        </w:rPr>
        <w:t xml:space="preserve"> 本授权书于</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年</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月</w:t>
      </w:r>
      <w:r>
        <w:rPr>
          <w:rFonts w:hint="eastAsia" w:ascii="仿宋" w:hAnsi="仿宋" w:eastAsia="仿宋" w:cs="仿宋"/>
          <w:color w:val="auto"/>
          <w:kern w:val="0"/>
          <w:szCs w:val="21"/>
          <w:highlight w:val="none"/>
          <w:u w:val="single" w:color="000000"/>
        </w:rPr>
        <w:t xml:space="preserve">      </w:t>
      </w:r>
      <w:r>
        <w:rPr>
          <w:rFonts w:hint="eastAsia" w:ascii="仿宋" w:hAnsi="仿宋" w:eastAsia="仿宋" w:cs="仿宋"/>
          <w:color w:val="auto"/>
          <w:kern w:val="0"/>
          <w:szCs w:val="21"/>
          <w:highlight w:val="none"/>
        </w:rPr>
        <w:t>日签字生效，特此声明。</w:t>
      </w:r>
    </w:p>
    <w:p w14:paraId="0E4BCFBA">
      <w:pPr>
        <w:pStyle w:val="57"/>
        <w:rPr>
          <w:rFonts w:hint="eastAsia" w:ascii="仿宋" w:hAnsi="仿宋" w:eastAsia="仿宋" w:cs="仿宋"/>
          <w:color w:val="auto"/>
          <w:highlight w:val="none"/>
        </w:rPr>
      </w:pPr>
    </w:p>
    <w:p w14:paraId="6B44DB00">
      <w:pPr>
        <w:widowControl/>
        <w:spacing w:line="360" w:lineRule="auto"/>
        <w:ind w:firstLine="600"/>
        <w:jc w:val="left"/>
        <w:textAlignment w:val="baseline"/>
        <w:rPr>
          <w:rFonts w:hint="eastAsia" w:ascii="仿宋" w:hAnsi="仿宋" w:eastAsia="仿宋" w:cs="仿宋"/>
          <w:b/>
          <w:bCs/>
          <w:color w:val="auto"/>
          <w:kern w:val="0"/>
          <w:sz w:val="20"/>
          <w:szCs w:val="21"/>
          <w:highlight w:val="none"/>
        </w:rPr>
      </w:pPr>
      <w:r>
        <w:rPr>
          <w:rFonts w:hint="eastAsia" w:ascii="仿宋" w:hAnsi="仿宋" w:eastAsia="仿宋" w:cs="仿宋"/>
          <w:b/>
          <w:bCs/>
          <w:color w:val="auto"/>
          <w:kern w:val="0"/>
          <w:szCs w:val="21"/>
          <w:highlight w:val="none"/>
        </w:rPr>
        <w:t>法人代表（签字）</w:t>
      </w:r>
      <w:r>
        <w:rPr>
          <w:rFonts w:hint="eastAsia" w:ascii="仿宋" w:hAnsi="仿宋" w:eastAsia="仿宋" w:cs="仿宋"/>
          <w:b/>
          <w:bCs/>
          <w:color w:val="auto"/>
          <w:kern w:val="0"/>
          <w:szCs w:val="21"/>
          <w:highlight w:val="none"/>
          <w:u w:val="single" w:color="000000"/>
        </w:rPr>
        <w:t xml:space="preserve">                          </w:t>
      </w:r>
    </w:p>
    <w:p w14:paraId="1628D960">
      <w:pPr>
        <w:widowControl/>
        <w:spacing w:line="360" w:lineRule="auto"/>
        <w:ind w:firstLine="600"/>
        <w:jc w:val="left"/>
        <w:textAlignment w:val="baseline"/>
        <w:rPr>
          <w:rFonts w:hint="eastAsia" w:ascii="仿宋" w:hAnsi="仿宋" w:eastAsia="仿宋" w:cs="仿宋"/>
          <w:b/>
          <w:bCs/>
          <w:color w:val="auto"/>
          <w:kern w:val="0"/>
          <w:sz w:val="20"/>
          <w:szCs w:val="21"/>
          <w:highlight w:val="none"/>
        </w:rPr>
      </w:pPr>
      <w:r>
        <w:rPr>
          <w:rFonts w:hint="eastAsia" w:ascii="仿宋" w:hAnsi="仿宋" w:eastAsia="仿宋" w:cs="仿宋"/>
          <w:b/>
          <w:bCs/>
          <w:color w:val="auto"/>
          <w:kern w:val="0"/>
          <w:szCs w:val="21"/>
          <w:highlight w:val="none"/>
        </w:rPr>
        <w:t>授权委托人（签字）</w:t>
      </w:r>
      <w:r>
        <w:rPr>
          <w:rFonts w:hint="eastAsia" w:ascii="仿宋" w:hAnsi="仿宋" w:eastAsia="仿宋" w:cs="仿宋"/>
          <w:b/>
          <w:bCs/>
          <w:color w:val="auto"/>
          <w:kern w:val="0"/>
          <w:szCs w:val="21"/>
          <w:highlight w:val="none"/>
          <w:u w:val="single" w:color="000000"/>
        </w:rPr>
        <w:t xml:space="preserve">                        </w:t>
      </w:r>
    </w:p>
    <w:p w14:paraId="49036BD7">
      <w:pPr>
        <w:widowControl/>
        <w:spacing w:line="360" w:lineRule="auto"/>
        <w:ind w:firstLine="600"/>
        <w:jc w:val="left"/>
        <w:textAlignment w:val="baseline"/>
        <w:rPr>
          <w:rFonts w:hint="eastAsia" w:ascii="仿宋" w:hAnsi="仿宋" w:eastAsia="仿宋" w:cs="仿宋"/>
          <w:b/>
          <w:bCs/>
          <w:color w:val="auto"/>
          <w:kern w:val="0"/>
          <w:sz w:val="20"/>
          <w:szCs w:val="21"/>
          <w:highlight w:val="none"/>
        </w:rPr>
      </w:pPr>
      <w:r>
        <w:rPr>
          <w:rFonts w:hint="eastAsia" w:ascii="仿宋" w:hAnsi="仿宋" w:eastAsia="仿宋" w:cs="仿宋"/>
          <w:b/>
          <w:bCs/>
          <w:color w:val="auto"/>
          <w:kern w:val="0"/>
          <w:szCs w:val="21"/>
          <w:highlight w:val="none"/>
        </w:rPr>
        <w:t>单位名称（公章）</w:t>
      </w:r>
      <w:r>
        <w:rPr>
          <w:rFonts w:hint="eastAsia" w:ascii="仿宋" w:hAnsi="仿宋" w:eastAsia="仿宋" w:cs="仿宋"/>
          <w:b/>
          <w:bCs/>
          <w:color w:val="auto"/>
          <w:kern w:val="0"/>
          <w:szCs w:val="21"/>
          <w:highlight w:val="none"/>
          <w:u w:val="single" w:color="000000"/>
        </w:rPr>
        <w:t xml:space="preserve">                              </w:t>
      </w:r>
    </w:p>
    <w:p w14:paraId="3CB4019E">
      <w:pPr>
        <w:widowControl/>
        <w:spacing w:line="360" w:lineRule="auto"/>
        <w:ind w:firstLine="480"/>
        <w:jc w:val="left"/>
        <w:textAlignment w:val="baseline"/>
        <w:rPr>
          <w:rFonts w:hint="eastAsia" w:ascii="仿宋" w:hAnsi="仿宋" w:eastAsia="仿宋" w:cs="仿宋"/>
          <w:b/>
          <w:bCs/>
          <w:color w:val="auto"/>
          <w:kern w:val="0"/>
          <w:sz w:val="20"/>
          <w:szCs w:val="21"/>
          <w:highlight w:val="none"/>
        </w:rPr>
      </w:pPr>
      <w:r>
        <w:rPr>
          <w:rFonts w:hint="eastAsia" w:ascii="仿宋" w:hAnsi="仿宋" w:eastAsia="仿宋" w:cs="仿宋"/>
          <w:b/>
          <w:bCs/>
          <w:color w:val="auto"/>
          <w:kern w:val="0"/>
          <w:szCs w:val="21"/>
          <w:highlight w:val="none"/>
        </w:rPr>
        <w:t xml:space="preserve"> 日    期：</w:t>
      </w:r>
      <w:r>
        <w:rPr>
          <w:rFonts w:hint="eastAsia" w:ascii="仿宋" w:hAnsi="仿宋" w:eastAsia="仿宋" w:cs="仿宋"/>
          <w:b/>
          <w:bCs/>
          <w:color w:val="auto"/>
          <w:kern w:val="0"/>
          <w:szCs w:val="21"/>
          <w:highlight w:val="none"/>
          <w:u w:val="single" w:color="000000"/>
        </w:rPr>
        <w:t xml:space="preserve">                                    </w:t>
      </w:r>
    </w:p>
    <w:p w14:paraId="75D0093F">
      <w:pPr>
        <w:widowControl/>
        <w:spacing w:line="360" w:lineRule="auto"/>
        <w:ind w:firstLine="600"/>
        <w:jc w:val="left"/>
        <w:textAlignment w:val="baseline"/>
        <w:rPr>
          <w:rFonts w:hint="eastAsia" w:ascii="仿宋" w:hAnsi="仿宋" w:eastAsia="仿宋" w:cs="仿宋"/>
          <w:color w:val="auto"/>
          <w:kern w:val="0"/>
          <w:sz w:val="20"/>
          <w:szCs w:val="21"/>
          <w:highlight w:val="none"/>
        </w:rPr>
      </w:pPr>
    </w:p>
    <w:p w14:paraId="71D7F106">
      <w:pPr>
        <w:widowControl/>
        <w:spacing w:line="360" w:lineRule="auto"/>
        <w:textAlignment w:val="baseline"/>
        <w:rPr>
          <w:rFonts w:hint="eastAsia" w:ascii="仿宋" w:hAnsi="仿宋" w:eastAsia="仿宋" w:cs="仿宋"/>
          <w:b/>
          <w:color w:val="auto"/>
          <w:kern w:val="0"/>
          <w:sz w:val="20"/>
          <w:szCs w:val="21"/>
          <w:highlight w:val="none"/>
        </w:rPr>
      </w:pPr>
      <w:r>
        <w:rPr>
          <w:rFonts w:hint="eastAsia" w:ascii="仿宋" w:hAnsi="仿宋" w:eastAsia="仿宋" w:cs="仿宋"/>
          <w:b/>
          <w:color w:val="auto"/>
          <w:kern w:val="0"/>
          <w:szCs w:val="21"/>
          <w:highlight w:val="none"/>
        </w:rPr>
        <w:t>后附委托代理人身份证复印件：</w:t>
      </w:r>
    </w:p>
    <w:p w14:paraId="5998AE9E">
      <w:pPr>
        <w:pStyle w:val="12"/>
        <w:textAlignment w:val="baseline"/>
        <w:rPr>
          <w:rFonts w:hint="eastAsia" w:ascii="仿宋" w:hAnsi="仿宋" w:eastAsia="仿宋" w:cs="仿宋"/>
          <w:color w:val="auto"/>
          <w:kern w:val="0"/>
          <w:sz w:val="24"/>
          <w:highlight w:val="none"/>
        </w:rPr>
      </w:pPr>
    </w:p>
    <w:p w14:paraId="5FC4EA53">
      <w:pPr>
        <w:spacing w:line="460" w:lineRule="exact"/>
        <w:jc w:val="left"/>
        <w:textAlignment w:val="baseline"/>
        <w:rPr>
          <w:rFonts w:hint="eastAsia" w:ascii="仿宋" w:hAnsi="仿宋" w:eastAsia="仿宋" w:cs="仿宋"/>
          <w:b/>
          <w:bCs/>
          <w:color w:val="auto"/>
          <w:sz w:val="22"/>
          <w:highlight w:val="none"/>
        </w:rPr>
      </w:pPr>
    </w:p>
    <w:p w14:paraId="17A05772">
      <w:pPr>
        <w:pStyle w:val="31"/>
        <w:spacing w:line="360" w:lineRule="auto"/>
        <w:ind w:firstLine="60"/>
        <w:textAlignment w:val="baseline"/>
        <w:rPr>
          <w:rFonts w:hint="eastAsia" w:ascii="仿宋" w:hAnsi="仿宋" w:eastAsia="仿宋" w:cs="仿宋"/>
          <w:color w:val="auto"/>
          <w:sz w:val="22"/>
          <w:szCs w:val="22"/>
          <w:highlight w:val="none"/>
          <w:u w:val="single"/>
        </w:rPr>
      </w:pPr>
      <w:r>
        <w:rPr>
          <w:rFonts w:hint="eastAsia" w:ascii="仿宋" w:hAnsi="仿宋" w:eastAsia="仿宋" w:cs="仿宋"/>
          <w:b/>
          <w:color w:val="auto"/>
          <w:sz w:val="30"/>
          <w:highlight w:val="none"/>
        </w:rPr>
        <w:br w:type="page"/>
      </w:r>
    </w:p>
    <w:p w14:paraId="11F23592">
      <w:pPr>
        <w:spacing w:line="420" w:lineRule="atLeast"/>
        <w:jc w:val="left"/>
        <w:textAlignment w:val="baseline"/>
        <w:outlineLvl w:val="0"/>
        <w:rPr>
          <w:rFonts w:hint="eastAsia" w:ascii="仿宋" w:hAnsi="仿宋" w:eastAsia="仿宋" w:cs="仿宋"/>
          <w:b/>
          <w:bCs/>
          <w:color w:val="auto"/>
          <w:sz w:val="22"/>
          <w:highlight w:val="none"/>
          <w:lang w:val="en-US" w:eastAsia="zh-CN"/>
        </w:rPr>
      </w:pPr>
      <w:bookmarkStart w:id="121" w:name="_Toc21540"/>
      <w:bookmarkStart w:id="122" w:name="_Toc20209"/>
      <w:bookmarkStart w:id="123" w:name="_Toc539"/>
      <w:bookmarkStart w:id="124" w:name="_Toc14559"/>
      <w:r>
        <w:rPr>
          <w:rFonts w:hint="eastAsia" w:ascii="仿宋" w:hAnsi="仿宋" w:eastAsia="仿宋" w:cs="仿宋"/>
          <w:b/>
          <w:bCs/>
          <w:color w:val="auto"/>
          <w:sz w:val="22"/>
          <w:highlight w:val="none"/>
          <w:lang w:val="en-US" w:eastAsia="zh-CN"/>
        </w:rPr>
        <w:t>附件3</w:t>
      </w:r>
    </w:p>
    <w:bookmarkEnd w:id="121"/>
    <w:bookmarkEnd w:id="122"/>
    <w:bookmarkEnd w:id="123"/>
    <w:p w14:paraId="32AAC643">
      <w:pPr>
        <w:jc w:val="center"/>
        <w:rPr>
          <w:rFonts w:hint="eastAsia" w:ascii="仿宋" w:hAnsi="仿宋" w:eastAsia="仿宋" w:cs="仿宋"/>
          <w:b/>
          <w:bCs/>
          <w:color w:val="auto"/>
          <w:sz w:val="28"/>
          <w:szCs w:val="28"/>
          <w:highlight w:val="none"/>
        </w:rPr>
      </w:pPr>
    </w:p>
    <w:bookmarkEnd w:id="124"/>
    <w:p w14:paraId="5B85D5C2">
      <w:pPr>
        <w:spacing w:line="360" w:lineRule="auto"/>
        <w:jc w:val="center"/>
        <w:textAlignment w:val="baseline"/>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供应商自评表</w:t>
      </w:r>
    </w:p>
    <w:tbl>
      <w:tblPr>
        <w:tblStyle w:val="32"/>
        <w:tblW w:w="10265" w:type="dxa"/>
        <w:tblInd w:w="0" w:type="dxa"/>
        <w:tblLayout w:type="fixed"/>
        <w:tblCellMar>
          <w:top w:w="15" w:type="dxa"/>
          <w:left w:w="15" w:type="dxa"/>
          <w:bottom w:w="15" w:type="dxa"/>
          <w:right w:w="15" w:type="dxa"/>
        </w:tblCellMar>
      </w:tblPr>
      <w:tblGrid>
        <w:gridCol w:w="1276"/>
        <w:gridCol w:w="4057"/>
        <w:gridCol w:w="933"/>
        <w:gridCol w:w="1117"/>
        <w:gridCol w:w="1448"/>
        <w:gridCol w:w="1434"/>
      </w:tblGrid>
      <w:tr w14:paraId="74051C2D">
        <w:tblPrEx>
          <w:tblCellMar>
            <w:top w:w="15" w:type="dxa"/>
            <w:left w:w="15" w:type="dxa"/>
            <w:bottom w:w="15" w:type="dxa"/>
            <w:right w:w="15" w:type="dxa"/>
          </w:tblCellMar>
        </w:tblPrEx>
        <w:trPr>
          <w:trHeight w:val="440" w:hRule="atLeast"/>
        </w:trPr>
        <w:tc>
          <w:tcPr>
            <w:tcW w:w="1276" w:type="dxa"/>
            <w:tcBorders>
              <w:top w:val="single" w:color="auto" w:sz="4" w:space="0"/>
              <w:left w:val="single" w:color="auto" w:sz="4" w:space="0"/>
              <w:bottom w:val="single" w:color="auto" w:sz="4" w:space="0"/>
              <w:right w:val="single" w:color="auto" w:sz="4" w:space="0"/>
            </w:tcBorders>
            <w:vAlign w:val="center"/>
          </w:tcPr>
          <w:p w14:paraId="677A015E">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评审项目</w:t>
            </w:r>
          </w:p>
        </w:tc>
        <w:tc>
          <w:tcPr>
            <w:tcW w:w="4057" w:type="dxa"/>
            <w:tcBorders>
              <w:top w:val="single" w:color="auto" w:sz="4" w:space="0"/>
              <w:left w:val="single" w:color="auto" w:sz="4" w:space="0"/>
              <w:bottom w:val="single" w:color="auto" w:sz="4" w:space="0"/>
              <w:right w:val="single" w:color="auto" w:sz="4" w:space="0"/>
            </w:tcBorders>
            <w:vAlign w:val="center"/>
          </w:tcPr>
          <w:p w14:paraId="59450F5A">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评分标准</w:t>
            </w:r>
          </w:p>
        </w:tc>
        <w:tc>
          <w:tcPr>
            <w:tcW w:w="933" w:type="dxa"/>
            <w:tcBorders>
              <w:top w:val="single" w:color="auto" w:sz="4" w:space="0"/>
              <w:left w:val="single" w:color="auto" w:sz="4" w:space="0"/>
              <w:bottom w:val="single" w:color="auto" w:sz="4" w:space="0"/>
              <w:right w:val="single" w:color="auto" w:sz="4" w:space="0"/>
            </w:tcBorders>
            <w:vAlign w:val="center"/>
          </w:tcPr>
          <w:p w14:paraId="3A1A3B05">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分值</w:t>
            </w:r>
          </w:p>
        </w:tc>
        <w:tc>
          <w:tcPr>
            <w:tcW w:w="1117" w:type="dxa"/>
            <w:tcBorders>
              <w:top w:val="single" w:color="auto" w:sz="4" w:space="0"/>
              <w:left w:val="single" w:color="auto" w:sz="4" w:space="0"/>
              <w:bottom w:val="single" w:color="auto" w:sz="4" w:space="0"/>
              <w:right w:val="single" w:color="auto" w:sz="4" w:space="0"/>
            </w:tcBorders>
            <w:vAlign w:val="center"/>
          </w:tcPr>
          <w:p w14:paraId="4695005A">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自评</w:t>
            </w:r>
          </w:p>
          <w:p w14:paraId="470E3CA2">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分值</w:t>
            </w:r>
          </w:p>
        </w:tc>
        <w:tc>
          <w:tcPr>
            <w:tcW w:w="1448" w:type="dxa"/>
            <w:tcBorders>
              <w:top w:val="single" w:color="auto" w:sz="4" w:space="0"/>
              <w:left w:val="single" w:color="auto" w:sz="4" w:space="0"/>
              <w:bottom w:val="single" w:color="auto" w:sz="4" w:space="0"/>
              <w:right w:val="single" w:color="auto" w:sz="4" w:space="0"/>
            </w:tcBorders>
            <w:vAlign w:val="center"/>
          </w:tcPr>
          <w:p w14:paraId="5D06759A">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评分</w:t>
            </w:r>
          </w:p>
          <w:p w14:paraId="302D5480">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依据</w:t>
            </w:r>
          </w:p>
        </w:tc>
        <w:tc>
          <w:tcPr>
            <w:tcW w:w="1434" w:type="dxa"/>
            <w:tcBorders>
              <w:top w:val="single" w:color="auto" w:sz="4" w:space="0"/>
              <w:left w:val="single" w:color="auto" w:sz="4" w:space="0"/>
              <w:bottom w:val="single" w:color="auto" w:sz="4" w:space="0"/>
              <w:right w:val="single" w:color="auto" w:sz="4" w:space="0"/>
            </w:tcBorders>
            <w:vAlign w:val="center"/>
          </w:tcPr>
          <w:p w14:paraId="09AAAA80">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评分对</w:t>
            </w:r>
          </w:p>
          <w:p w14:paraId="40CBE787">
            <w:pPr>
              <w:widowControl/>
              <w:spacing w:line="360" w:lineRule="auto"/>
              <w:jc w:val="center"/>
              <w:textAlignment w:val="center"/>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应页码</w:t>
            </w:r>
          </w:p>
        </w:tc>
      </w:tr>
      <w:tr w14:paraId="1BD16E0A">
        <w:tblPrEx>
          <w:tblCellMar>
            <w:top w:w="15" w:type="dxa"/>
            <w:left w:w="15" w:type="dxa"/>
            <w:bottom w:w="15" w:type="dxa"/>
            <w:right w:w="15" w:type="dxa"/>
          </w:tblCellMar>
        </w:tblPrEx>
        <w:trPr>
          <w:trHeight w:val="1279" w:hRule="atLeast"/>
        </w:trPr>
        <w:tc>
          <w:tcPr>
            <w:tcW w:w="1276" w:type="dxa"/>
            <w:tcBorders>
              <w:top w:val="single" w:color="auto" w:sz="4" w:space="0"/>
              <w:left w:val="single" w:color="auto" w:sz="4" w:space="0"/>
              <w:bottom w:val="single" w:color="auto" w:sz="4" w:space="0"/>
              <w:right w:val="single" w:color="auto" w:sz="4" w:space="0"/>
            </w:tcBorders>
            <w:vAlign w:val="center"/>
          </w:tcPr>
          <w:p w14:paraId="6244A1BD">
            <w:pPr>
              <w:widowControl/>
              <w:spacing w:line="360" w:lineRule="auto"/>
              <w:jc w:val="center"/>
              <w:textAlignment w:val="center"/>
              <w:rPr>
                <w:rFonts w:hint="eastAsia" w:ascii="仿宋" w:hAnsi="仿宋" w:eastAsia="仿宋" w:cs="仿宋"/>
                <w:color w:val="auto"/>
                <w:sz w:val="20"/>
                <w:szCs w:val="21"/>
                <w:highlight w:val="none"/>
              </w:rPr>
            </w:pPr>
          </w:p>
        </w:tc>
        <w:tc>
          <w:tcPr>
            <w:tcW w:w="4057" w:type="dxa"/>
            <w:tcBorders>
              <w:top w:val="single" w:color="auto" w:sz="4" w:space="0"/>
              <w:left w:val="single" w:color="auto" w:sz="4" w:space="0"/>
              <w:bottom w:val="single" w:color="auto" w:sz="4" w:space="0"/>
              <w:right w:val="single" w:color="auto" w:sz="4" w:space="0"/>
            </w:tcBorders>
            <w:vAlign w:val="center"/>
          </w:tcPr>
          <w:p w14:paraId="1243FC9C">
            <w:pPr>
              <w:widowControl/>
              <w:spacing w:line="360" w:lineRule="auto"/>
              <w:jc w:val="left"/>
              <w:textAlignment w:val="center"/>
              <w:rPr>
                <w:rFonts w:hint="eastAsia" w:ascii="仿宋" w:hAnsi="仿宋" w:eastAsia="仿宋" w:cs="仿宋"/>
                <w:color w:val="auto"/>
                <w:sz w:val="20"/>
                <w:highlight w:val="none"/>
              </w:rPr>
            </w:pPr>
          </w:p>
        </w:tc>
        <w:tc>
          <w:tcPr>
            <w:tcW w:w="933" w:type="dxa"/>
            <w:tcBorders>
              <w:top w:val="single" w:color="auto" w:sz="4" w:space="0"/>
              <w:left w:val="single" w:color="auto" w:sz="4" w:space="0"/>
              <w:bottom w:val="single" w:color="auto" w:sz="4" w:space="0"/>
              <w:right w:val="single" w:color="auto" w:sz="4" w:space="0"/>
            </w:tcBorders>
            <w:vAlign w:val="center"/>
          </w:tcPr>
          <w:p w14:paraId="790C4A83">
            <w:pPr>
              <w:widowControl/>
              <w:spacing w:line="360" w:lineRule="auto"/>
              <w:jc w:val="center"/>
              <w:textAlignment w:val="baseline"/>
              <w:rPr>
                <w:rFonts w:hint="eastAsia" w:ascii="仿宋" w:hAnsi="仿宋" w:eastAsia="仿宋" w:cs="仿宋"/>
                <w:color w:val="auto"/>
                <w:sz w:val="20"/>
                <w:szCs w:val="21"/>
                <w:highlight w:val="none"/>
              </w:rPr>
            </w:pPr>
          </w:p>
        </w:tc>
        <w:tc>
          <w:tcPr>
            <w:tcW w:w="1117" w:type="dxa"/>
            <w:tcBorders>
              <w:top w:val="single" w:color="auto" w:sz="4" w:space="0"/>
              <w:left w:val="single" w:color="auto" w:sz="4" w:space="0"/>
              <w:bottom w:val="single" w:color="auto" w:sz="4" w:space="0"/>
              <w:right w:val="single" w:color="auto" w:sz="4" w:space="0"/>
            </w:tcBorders>
            <w:vAlign w:val="center"/>
          </w:tcPr>
          <w:p w14:paraId="2D2858EA">
            <w:pPr>
              <w:widowControl/>
              <w:spacing w:line="360" w:lineRule="auto"/>
              <w:jc w:val="center"/>
              <w:textAlignment w:val="baseline"/>
              <w:rPr>
                <w:rFonts w:hint="eastAsia" w:ascii="仿宋" w:hAnsi="仿宋" w:eastAsia="仿宋" w:cs="仿宋"/>
                <w:color w:val="auto"/>
                <w:sz w:val="20"/>
                <w:szCs w:val="21"/>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32442AD8">
            <w:pPr>
              <w:widowControl/>
              <w:spacing w:line="360" w:lineRule="auto"/>
              <w:jc w:val="center"/>
              <w:textAlignment w:val="baseline"/>
              <w:rPr>
                <w:rFonts w:hint="eastAsia" w:ascii="仿宋" w:hAnsi="仿宋" w:eastAsia="仿宋" w:cs="仿宋"/>
                <w:color w:val="auto"/>
                <w:sz w:val="20"/>
                <w:szCs w:val="21"/>
                <w:highlight w:val="none"/>
              </w:rPr>
            </w:pPr>
          </w:p>
        </w:tc>
        <w:tc>
          <w:tcPr>
            <w:tcW w:w="1434" w:type="dxa"/>
            <w:tcBorders>
              <w:top w:val="single" w:color="auto" w:sz="4" w:space="0"/>
              <w:left w:val="single" w:color="auto" w:sz="4" w:space="0"/>
              <w:bottom w:val="single" w:color="auto" w:sz="4" w:space="0"/>
              <w:right w:val="single" w:color="auto" w:sz="4" w:space="0"/>
            </w:tcBorders>
            <w:vAlign w:val="center"/>
          </w:tcPr>
          <w:p w14:paraId="3E078164">
            <w:pPr>
              <w:widowControl/>
              <w:spacing w:line="360" w:lineRule="auto"/>
              <w:jc w:val="center"/>
              <w:textAlignment w:val="baseline"/>
              <w:rPr>
                <w:rFonts w:hint="eastAsia" w:ascii="仿宋" w:hAnsi="仿宋" w:eastAsia="仿宋" w:cs="仿宋"/>
                <w:color w:val="auto"/>
                <w:sz w:val="20"/>
                <w:szCs w:val="21"/>
                <w:highlight w:val="none"/>
              </w:rPr>
            </w:pPr>
          </w:p>
        </w:tc>
      </w:tr>
      <w:tr w14:paraId="65141BDF">
        <w:tblPrEx>
          <w:tblCellMar>
            <w:top w:w="15" w:type="dxa"/>
            <w:left w:w="15" w:type="dxa"/>
            <w:bottom w:w="15" w:type="dxa"/>
            <w:right w:w="15" w:type="dxa"/>
          </w:tblCellMar>
        </w:tblPrEx>
        <w:trPr>
          <w:trHeight w:val="1597" w:hRule="atLeast"/>
        </w:trPr>
        <w:tc>
          <w:tcPr>
            <w:tcW w:w="1276" w:type="dxa"/>
            <w:tcBorders>
              <w:top w:val="single" w:color="auto" w:sz="4" w:space="0"/>
              <w:left w:val="single" w:color="auto" w:sz="4" w:space="0"/>
              <w:bottom w:val="single" w:color="auto" w:sz="4" w:space="0"/>
              <w:right w:val="single" w:color="auto" w:sz="4" w:space="0"/>
            </w:tcBorders>
            <w:vAlign w:val="center"/>
          </w:tcPr>
          <w:p w14:paraId="64AE7267">
            <w:pPr>
              <w:widowControl/>
              <w:spacing w:line="360" w:lineRule="auto"/>
              <w:jc w:val="center"/>
              <w:textAlignment w:val="center"/>
              <w:rPr>
                <w:rFonts w:hint="eastAsia" w:ascii="仿宋" w:hAnsi="仿宋" w:eastAsia="仿宋" w:cs="仿宋"/>
                <w:color w:val="auto"/>
                <w:sz w:val="20"/>
                <w:szCs w:val="21"/>
                <w:highlight w:val="none"/>
              </w:rPr>
            </w:pPr>
          </w:p>
        </w:tc>
        <w:tc>
          <w:tcPr>
            <w:tcW w:w="4057" w:type="dxa"/>
            <w:tcBorders>
              <w:top w:val="single" w:color="auto" w:sz="4" w:space="0"/>
              <w:left w:val="single" w:color="auto" w:sz="4" w:space="0"/>
              <w:bottom w:val="single" w:color="auto" w:sz="4" w:space="0"/>
              <w:right w:val="single" w:color="auto" w:sz="4" w:space="0"/>
            </w:tcBorders>
            <w:vAlign w:val="center"/>
          </w:tcPr>
          <w:p w14:paraId="5A50E6A2">
            <w:pPr>
              <w:widowControl/>
              <w:spacing w:line="360" w:lineRule="auto"/>
              <w:jc w:val="left"/>
              <w:textAlignment w:val="center"/>
              <w:rPr>
                <w:rFonts w:hint="eastAsia" w:ascii="仿宋" w:hAnsi="仿宋" w:eastAsia="仿宋" w:cs="仿宋"/>
                <w:color w:val="auto"/>
                <w:sz w:val="20"/>
                <w:szCs w:val="21"/>
                <w:highlight w:val="none"/>
              </w:rPr>
            </w:pPr>
          </w:p>
        </w:tc>
        <w:tc>
          <w:tcPr>
            <w:tcW w:w="933" w:type="dxa"/>
            <w:tcBorders>
              <w:top w:val="single" w:color="auto" w:sz="4" w:space="0"/>
              <w:left w:val="single" w:color="auto" w:sz="4" w:space="0"/>
              <w:bottom w:val="single" w:color="auto" w:sz="4" w:space="0"/>
              <w:right w:val="single" w:color="auto" w:sz="4" w:space="0"/>
            </w:tcBorders>
            <w:vAlign w:val="center"/>
          </w:tcPr>
          <w:p w14:paraId="50104000">
            <w:pPr>
              <w:widowControl/>
              <w:spacing w:line="360" w:lineRule="auto"/>
              <w:jc w:val="center"/>
              <w:textAlignment w:val="center"/>
              <w:rPr>
                <w:rFonts w:hint="eastAsia" w:ascii="仿宋" w:hAnsi="仿宋" w:eastAsia="仿宋" w:cs="仿宋"/>
                <w:color w:val="auto"/>
                <w:sz w:val="20"/>
                <w:szCs w:val="21"/>
                <w:highlight w:val="none"/>
              </w:rPr>
            </w:pPr>
          </w:p>
        </w:tc>
        <w:tc>
          <w:tcPr>
            <w:tcW w:w="1117" w:type="dxa"/>
            <w:tcBorders>
              <w:top w:val="single" w:color="auto" w:sz="4" w:space="0"/>
              <w:left w:val="single" w:color="auto" w:sz="4" w:space="0"/>
              <w:bottom w:val="single" w:color="auto" w:sz="4" w:space="0"/>
              <w:right w:val="single" w:color="auto" w:sz="4" w:space="0"/>
            </w:tcBorders>
            <w:vAlign w:val="center"/>
          </w:tcPr>
          <w:p w14:paraId="5D3D0C1D">
            <w:pPr>
              <w:widowControl/>
              <w:spacing w:line="360" w:lineRule="auto"/>
              <w:jc w:val="center"/>
              <w:textAlignment w:val="center"/>
              <w:rPr>
                <w:rFonts w:hint="eastAsia" w:ascii="仿宋" w:hAnsi="仿宋" w:eastAsia="仿宋" w:cs="仿宋"/>
                <w:color w:val="auto"/>
                <w:sz w:val="20"/>
                <w:szCs w:val="21"/>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5F115B37">
            <w:pPr>
              <w:widowControl/>
              <w:spacing w:line="360" w:lineRule="auto"/>
              <w:jc w:val="center"/>
              <w:textAlignment w:val="center"/>
              <w:rPr>
                <w:rFonts w:hint="eastAsia" w:ascii="仿宋" w:hAnsi="仿宋" w:eastAsia="仿宋" w:cs="仿宋"/>
                <w:color w:val="auto"/>
                <w:sz w:val="20"/>
                <w:szCs w:val="21"/>
                <w:highlight w:val="none"/>
              </w:rPr>
            </w:pPr>
          </w:p>
        </w:tc>
        <w:tc>
          <w:tcPr>
            <w:tcW w:w="1434" w:type="dxa"/>
            <w:tcBorders>
              <w:top w:val="single" w:color="auto" w:sz="4" w:space="0"/>
              <w:left w:val="single" w:color="auto" w:sz="4" w:space="0"/>
              <w:bottom w:val="single" w:color="auto" w:sz="4" w:space="0"/>
              <w:right w:val="single" w:color="auto" w:sz="4" w:space="0"/>
            </w:tcBorders>
            <w:vAlign w:val="center"/>
          </w:tcPr>
          <w:p w14:paraId="29E93E36">
            <w:pPr>
              <w:widowControl/>
              <w:spacing w:line="360" w:lineRule="auto"/>
              <w:jc w:val="center"/>
              <w:textAlignment w:val="center"/>
              <w:rPr>
                <w:rFonts w:hint="eastAsia" w:ascii="仿宋" w:hAnsi="仿宋" w:eastAsia="仿宋" w:cs="仿宋"/>
                <w:color w:val="auto"/>
                <w:sz w:val="20"/>
                <w:szCs w:val="21"/>
                <w:highlight w:val="none"/>
              </w:rPr>
            </w:pPr>
          </w:p>
        </w:tc>
      </w:tr>
      <w:tr w14:paraId="36765135">
        <w:tblPrEx>
          <w:tblCellMar>
            <w:top w:w="15" w:type="dxa"/>
            <w:left w:w="15" w:type="dxa"/>
            <w:bottom w:w="15" w:type="dxa"/>
            <w:right w:w="15" w:type="dxa"/>
          </w:tblCellMar>
        </w:tblPrEx>
        <w:trPr>
          <w:trHeight w:val="1545" w:hRule="atLeast"/>
        </w:trPr>
        <w:tc>
          <w:tcPr>
            <w:tcW w:w="1276" w:type="dxa"/>
            <w:tcBorders>
              <w:top w:val="single" w:color="auto" w:sz="4" w:space="0"/>
              <w:left w:val="single" w:color="auto" w:sz="4" w:space="0"/>
              <w:bottom w:val="single" w:color="auto" w:sz="4" w:space="0"/>
              <w:right w:val="single" w:color="auto" w:sz="4" w:space="0"/>
            </w:tcBorders>
            <w:vAlign w:val="center"/>
          </w:tcPr>
          <w:p w14:paraId="4F3DE1C4">
            <w:pPr>
              <w:widowControl/>
              <w:spacing w:line="360" w:lineRule="auto"/>
              <w:jc w:val="center"/>
              <w:textAlignment w:val="baseline"/>
              <w:rPr>
                <w:rFonts w:hint="eastAsia" w:ascii="仿宋" w:hAnsi="仿宋" w:eastAsia="仿宋" w:cs="仿宋"/>
                <w:color w:val="auto"/>
                <w:sz w:val="20"/>
                <w:highlight w:val="none"/>
              </w:rPr>
            </w:pPr>
          </w:p>
        </w:tc>
        <w:tc>
          <w:tcPr>
            <w:tcW w:w="4057" w:type="dxa"/>
            <w:tcBorders>
              <w:top w:val="single" w:color="auto" w:sz="4" w:space="0"/>
              <w:left w:val="single" w:color="auto" w:sz="4" w:space="0"/>
              <w:bottom w:val="single" w:color="auto" w:sz="4" w:space="0"/>
              <w:right w:val="single" w:color="auto" w:sz="4" w:space="0"/>
            </w:tcBorders>
            <w:vAlign w:val="center"/>
          </w:tcPr>
          <w:p w14:paraId="7013396E">
            <w:pPr>
              <w:widowControl/>
              <w:spacing w:line="360" w:lineRule="auto"/>
              <w:textAlignment w:val="baseline"/>
              <w:rPr>
                <w:rFonts w:hint="eastAsia" w:ascii="仿宋" w:hAnsi="仿宋" w:eastAsia="仿宋" w:cs="仿宋"/>
                <w:color w:val="auto"/>
                <w:sz w:val="20"/>
                <w:highlight w:val="none"/>
              </w:rPr>
            </w:pPr>
          </w:p>
        </w:tc>
        <w:tc>
          <w:tcPr>
            <w:tcW w:w="933" w:type="dxa"/>
            <w:tcBorders>
              <w:top w:val="single" w:color="auto" w:sz="4" w:space="0"/>
              <w:left w:val="single" w:color="auto" w:sz="4" w:space="0"/>
              <w:bottom w:val="single" w:color="auto" w:sz="4" w:space="0"/>
              <w:right w:val="single" w:color="auto" w:sz="4" w:space="0"/>
            </w:tcBorders>
            <w:vAlign w:val="center"/>
          </w:tcPr>
          <w:p w14:paraId="11E905AC">
            <w:pPr>
              <w:widowControl/>
              <w:spacing w:line="360" w:lineRule="auto"/>
              <w:jc w:val="center"/>
              <w:textAlignment w:val="center"/>
              <w:rPr>
                <w:rFonts w:hint="eastAsia" w:ascii="仿宋" w:hAnsi="仿宋" w:eastAsia="仿宋" w:cs="仿宋"/>
                <w:color w:val="auto"/>
                <w:sz w:val="20"/>
                <w:szCs w:val="21"/>
                <w:highlight w:val="none"/>
              </w:rPr>
            </w:pPr>
          </w:p>
        </w:tc>
        <w:tc>
          <w:tcPr>
            <w:tcW w:w="1117" w:type="dxa"/>
            <w:tcBorders>
              <w:top w:val="single" w:color="auto" w:sz="4" w:space="0"/>
              <w:left w:val="single" w:color="auto" w:sz="4" w:space="0"/>
              <w:bottom w:val="single" w:color="auto" w:sz="4" w:space="0"/>
              <w:right w:val="single" w:color="auto" w:sz="4" w:space="0"/>
            </w:tcBorders>
            <w:vAlign w:val="center"/>
          </w:tcPr>
          <w:p w14:paraId="5B60360D">
            <w:pPr>
              <w:widowControl/>
              <w:spacing w:line="360" w:lineRule="auto"/>
              <w:jc w:val="center"/>
              <w:textAlignment w:val="center"/>
              <w:rPr>
                <w:rFonts w:hint="eastAsia" w:ascii="仿宋" w:hAnsi="仿宋" w:eastAsia="仿宋" w:cs="仿宋"/>
                <w:color w:val="auto"/>
                <w:sz w:val="20"/>
                <w:szCs w:val="21"/>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51C6E0FA">
            <w:pPr>
              <w:widowControl/>
              <w:spacing w:line="360" w:lineRule="auto"/>
              <w:jc w:val="center"/>
              <w:textAlignment w:val="center"/>
              <w:rPr>
                <w:rFonts w:hint="eastAsia" w:ascii="仿宋" w:hAnsi="仿宋" w:eastAsia="仿宋" w:cs="仿宋"/>
                <w:color w:val="auto"/>
                <w:sz w:val="20"/>
                <w:szCs w:val="21"/>
                <w:highlight w:val="none"/>
              </w:rPr>
            </w:pPr>
          </w:p>
        </w:tc>
        <w:tc>
          <w:tcPr>
            <w:tcW w:w="1434" w:type="dxa"/>
            <w:tcBorders>
              <w:top w:val="single" w:color="auto" w:sz="4" w:space="0"/>
              <w:left w:val="single" w:color="auto" w:sz="4" w:space="0"/>
              <w:bottom w:val="single" w:color="auto" w:sz="4" w:space="0"/>
              <w:right w:val="single" w:color="auto" w:sz="4" w:space="0"/>
            </w:tcBorders>
            <w:vAlign w:val="center"/>
          </w:tcPr>
          <w:p w14:paraId="76827D80">
            <w:pPr>
              <w:widowControl/>
              <w:spacing w:line="360" w:lineRule="auto"/>
              <w:jc w:val="center"/>
              <w:textAlignment w:val="center"/>
              <w:rPr>
                <w:rFonts w:hint="eastAsia" w:ascii="仿宋" w:hAnsi="仿宋" w:eastAsia="仿宋" w:cs="仿宋"/>
                <w:color w:val="auto"/>
                <w:sz w:val="20"/>
                <w:szCs w:val="21"/>
                <w:highlight w:val="none"/>
              </w:rPr>
            </w:pPr>
          </w:p>
        </w:tc>
      </w:tr>
      <w:tr w14:paraId="6A3B1968">
        <w:tblPrEx>
          <w:tblCellMar>
            <w:top w:w="15" w:type="dxa"/>
            <w:left w:w="15" w:type="dxa"/>
            <w:bottom w:w="15" w:type="dxa"/>
            <w:right w:w="15" w:type="dxa"/>
          </w:tblCellMar>
        </w:tblPrEx>
        <w:trPr>
          <w:trHeight w:val="1320" w:hRule="atLeast"/>
        </w:trPr>
        <w:tc>
          <w:tcPr>
            <w:tcW w:w="1276" w:type="dxa"/>
            <w:tcBorders>
              <w:top w:val="single" w:color="auto" w:sz="4" w:space="0"/>
              <w:left w:val="single" w:color="auto" w:sz="4" w:space="0"/>
              <w:bottom w:val="single" w:color="auto" w:sz="4" w:space="0"/>
              <w:right w:val="single" w:color="auto" w:sz="4" w:space="0"/>
            </w:tcBorders>
            <w:vAlign w:val="center"/>
          </w:tcPr>
          <w:p w14:paraId="2D6DC648">
            <w:pPr>
              <w:widowControl/>
              <w:spacing w:line="360" w:lineRule="auto"/>
              <w:jc w:val="center"/>
              <w:textAlignment w:val="baseline"/>
              <w:rPr>
                <w:rFonts w:hint="eastAsia" w:ascii="仿宋" w:hAnsi="仿宋" w:eastAsia="仿宋" w:cs="仿宋"/>
                <w:color w:val="auto"/>
                <w:sz w:val="20"/>
                <w:highlight w:val="none"/>
              </w:rPr>
            </w:pPr>
            <w:r>
              <w:rPr>
                <w:rFonts w:hint="eastAsia" w:ascii="仿宋" w:hAnsi="仿宋" w:eastAsia="仿宋" w:cs="仿宋"/>
                <w:color w:val="auto"/>
                <w:sz w:val="20"/>
                <w:highlight w:val="none"/>
              </w:rPr>
              <w:t>…</w:t>
            </w:r>
          </w:p>
        </w:tc>
        <w:tc>
          <w:tcPr>
            <w:tcW w:w="4057" w:type="dxa"/>
            <w:tcBorders>
              <w:top w:val="single" w:color="auto" w:sz="4" w:space="0"/>
              <w:left w:val="single" w:color="auto" w:sz="4" w:space="0"/>
              <w:bottom w:val="single" w:color="auto" w:sz="4" w:space="0"/>
              <w:right w:val="single" w:color="auto" w:sz="4" w:space="0"/>
            </w:tcBorders>
            <w:vAlign w:val="center"/>
          </w:tcPr>
          <w:p w14:paraId="651424A4">
            <w:pPr>
              <w:widowControl/>
              <w:spacing w:line="380" w:lineRule="exact"/>
              <w:jc w:val="left"/>
              <w:textAlignment w:val="baseline"/>
              <w:rPr>
                <w:rFonts w:hint="eastAsia" w:ascii="仿宋" w:hAnsi="仿宋" w:eastAsia="仿宋" w:cs="仿宋"/>
                <w:color w:val="auto"/>
                <w:sz w:val="20"/>
                <w:highlight w:val="none"/>
              </w:rPr>
            </w:pPr>
          </w:p>
        </w:tc>
        <w:tc>
          <w:tcPr>
            <w:tcW w:w="933" w:type="dxa"/>
            <w:tcBorders>
              <w:top w:val="single" w:color="auto" w:sz="4" w:space="0"/>
              <w:left w:val="single" w:color="auto" w:sz="4" w:space="0"/>
              <w:bottom w:val="single" w:color="auto" w:sz="4" w:space="0"/>
              <w:right w:val="single" w:color="auto" w:sz="4" w:space="0"/>
            </w:tcBorders>
            <w:vAlign w:val="center"/>
          </w:tcPr>
          <w:p w14:paraId="52FEF94C">
            <w:pPr>
              <w:widowControl/>
              <w:spacing w:line="360" w:lineRule="auto"/>
              <w:jc w:val="center"/>
              <w:textAlignment w:val="center"/>
              <w:rPr>
                <w:rFonts w:hint="eastAsia" w:ascii="仿宋" w:hAnsi="仿宋" w:eastAsia="仿宋" w:cs="仿宋"/>
                <w:color w:val="auto"/>
                <w:sz w:val="20"/>
                <w:szCs w:val="21"/>
                <w:highlight w:val="none"/>
              </w:rPr>
            </w:pPr>
          </w:p>
        </w:tc>
        <w:tc>
          <w:tcPr>
            <w:tcW w:w="1117" w:type="dxa"/>
            <w:tcBorders>
              <w:top w:val="single" w:color="auto" w:sz="4" w:space="0"/>
              <w:left w:val="single" w:color="auto" w:sz="4" w:space="0"/>
              <w:bottom w:val="single" w:color="auto" w:sz="4" w:space="0"/>
              <w:right w:val="single" w:color="auto" w:sz="4" w:space="0"/>
            </w:tcBorders>
            <w:vAlign w:val="center"/>
          </w:tcPr>
          <w:p w14:paraId="01857C31">
            <w:pPr>
              <w:widowControl/>
              <w:spacing w:line="360" w:lineRule="auto"/>
              <w:jc w:val="center"/>
              <w:textAlignment w:val="center"/>
              <w:rPr>
                <w:rFonts w:hint="eastAsia" w:ascii="仿宋" w:hAnsi="仿宋" w:eastAsia="仿宋" w:cs="仿宋"/>
                <w:color w:val="auto"/>
                <w:sz w:val="20"/>
                <w:szCs w:val="21"/>
                <w:highlight w:val="none"/>
              </w:rPr>
            </w:pPr>
          </w:p>
        </w:tc>
        <w:tc>
          <w:tcPr>
            <w:tcW w:w="1448" w:type="dxa"/>
            <w:tcBorders>
              <w:top w:val="single" w:color="auto" w:sz="4" w:space="0"/>
              <w:left w:val="single" w:color="auto" w:sz="4" w:space="0"/>
              <w:bottom w:val="single" w:color="auto" w:sz="4" w:space="0"/>
              <w:right w:val="single" w:color="auto" w:sz="4" w:space="0"/>
            </w:tcBorders>
            <w:vAlign w:val="center"/>
          </w:tcPr>
          <w:p w14:paraId="6D9307B7">
            <w:pPr>
              <w:widowControl/>
              <w:spacing w:line="360" w:lineRule="auto"/>
              <w:jc w:val="center"/>
              <w:textAlignment w:val="center"/>
              <w:rPr>
                <w:rFonts w:hint="eastAsia" w:ascii="仿宋" w:hAnsi="仿宋" w:eastAsia="仿宋" w:cs="仿宋"/>
                <w:color w:val="auto"/>
                <w:sz w:val="20"/>
                <w:szCs w:val="21"/>
                <w:highlight w:val="none"/>
              </w:rPr>
            </w:pPr>
          </w:p>
        </w:tc>
        <w:tc>
          <w:tcPr>
            <w:tcW w:w="1434" w:type="dxa"/>
            <w:tcBorders>
              <w:top w:val="single" w:color="auto" w:sz="4" w:space="0"/>
              <w:left w:val="single" w:color="auto" w:sz="4" w:space="0"/>
              <w:bottom w:val="single" w:color="auto" w:sz="4" w:space="0"/>
              <w:right w:val="single" w:color="auto" w:sz="4" w:space="0"/>
            </w:tcBorders>
            <w:vAlign w:val="center"/>
          </w:tcPr>
          <w:p w14:paraId="381F1FF9">
            <w:pPr>
              <w:widowControl/>
              <w:spacing w:line="360" w:lineRule="auto"/>
              <w:jc w:val="center"/>
              <w:textAlignment w:val="center"/>
              <w:rPr>
                <w:rFonts w:hint="eastAsia" w:ascii="仿宋" w:hAnsi="仿宋" w:eastAsia="仿宋" w:cs="仿宋"/>
                <w:color w:val="auto"/>
                <w:sz w:val="20"/>
                <w:szCs w:val="21"/>
                <w:highlight w:val="none"/>
              </w:rPr>
            </w:pPr>
          </w:p>
        </w:tc>
      </w:tr>
    </w:tbl>
    <w:p w14:paraId="3E70DD55">
      <w:pPr>
        <w:spacing w:line="440" w:lineRule="exact"/>
        <w:textAlignment w:val="baseline"/>
        <w:rPr>
          <w:rFonts w:hint="eastAsia" w:ascii="仿宋" w:hAnsi="仿宋" w:eastAsia="仿宋" w:cs="仿宋"/>
          <w:b/>
          <w:bCs/>
          <w:color w:val="auto"/>
          <w:sz w:val="20"/>
          <w:szCs w:val="21"/>
          <w:highlight w:val="none"/>
        </w:rPr>
      </w:pPr>
      <w:r>
        <w:rPr>
          <w:rFonts w:hint="eastAsia" w:ascii="仿宋" w:hAnsi="仿宋" w:eastAsia="仿宋" w:cs="仿宋"/>
          <w:b/>
          <w:bCs/>
          <w:color w:val="auto"/>
          <w:szCs w:val="21"/>
          <w:highlight w:val="none"/>
        </w:rPr>
        <w:t>注：评审项目、评分标准、分值对应“第五章  评标原则及方法”技术资信分评审内容。</w:t>
      </w:r>
    </w:p>
    <w:p w14:paraId="149BBEC2">
      <w:pPr>
        <w:spacing w:line="440" w:lineRule="exact"/>
        <w:ind w:firstLine="4860"/>
        <w:textAlignment w:val="baseline"/>
        <w:rPr>
          <w:rFonts w:hint="eastAsia" w:ascii="仿宋" w:hAnsi="仿宋" w:eastAsia="仿宋" w:cs="仿宋"/>
          <w:b/>
          <w:bCs/>
          <w:color w:val="auto"/>
          <w:sz w:val="20"/>
          <w:szCs w:val="21"/>
          <w:highlight w:val="none"/>
        </w:rPr>
      </w:pPr>
    </w:p>
    <w:p w14:paraId="34E734A8">
      <w:pPr>
        <w:spacing w:line="440" w:lineRule="exact"/>
        <w:ind w:firstLine="4860"/>
        <w:textAlignment w:val="baseline"/>
        <w:rPr>
          <w:rFonts w:hint="eastAsia" w:ascii="仿宋" w:hAnsi="仿宋" w:eastAsia="仿宋" w:cs="仿宋"/>
          <w:b/>
          <w:bCs/>
          <w:color w:val="auto"/>
          <w:sz w:val="20"/>
          <w:szCs w:val="21"/>
          <w:highlight w:val="none"/>
        </w:rPr>
      </w:pPr>
    </w:p>
    <w:p w14:paraId="1CF51DA2">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r>
        <w:rPr>
          <w:rFonts w:hint="eastAsia" w:ascii="仿宋" w:hAnsi="仿宋" w:eastAsia="仿宋" w:cs="仿宋"/>
          <w:b/>
          <w:bCs/>
          <w:color w:val="auto"/>
          <w:szCs w:val="21"/>
          <w:highlight w:val="none"/>
          <w:u w:val="single" w:color="000000"/>
        </w:rPr>
        <w:t xml:space="preserve">                               </w:t>
      </w:r>
    </w:p>
    <w:p w14:paraId="55FE9F39">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日   期：    年     月     日</w:t>
      </w:r>
      <w:r>
        <w:rPr>
          <w:rFonts w:hint="eastAsia" w:ascii="仿宋" w:hAnsi="仿宋" w:eastAsia="仿宋" w:cs="仿宋"/>
          <w:color w:val="auto"/>
          <w:szCs w:val="21"/>
          <w:highlight w:val="none"/>
        </w:rPr>
        <w:t xml:space="preserve">                            </w:t>
      </w:r>
    </w:p>
    <w:p w14:paraId="43AD6D64">
      <w:pPr>
        <w:pStyle w:val="31"/>
        <w:spacing w:line="360" w:lineRule="auto"/>
        <w:ind w:firstLine="44"/>
        <w:textAlignment w:val="baseline"/>
        <w:rPr>
          <w:rFonts w:hint="eastAsia" w:ascii="仿宋" w:hAnsi="仿宋" w:eastAsia="仿宋" w:cs="仿宋"/>
          <w:color w:val="auto"/>
          <w:sz w:val="22"/>
          <w:szCs w:val="22"/>
          <w:highlight w:val="none"/>
          <w:u w:val="single" w:color="000000"/>
        </w:rPr>
      </w:pPr>
    </w:p>
    <w:p w14:paraId="4D7FB19F">
      <w:pPr>
        <w:pStyle w:val="31"/>
        <w:spacing w:line="360" w:lineRule="auto"/>
        <w:ind w:firstLine="44"/>
        <w:textAlignment w:val="baseline"/>
        <w:rPr>
          <w:rFonts w:hint="eastAsia" w:ascii="仿宋" w:hAnsi="仿宋" w:eastAsia="仿宋" w:cs="仿宋"/>
          <w:color w:val="auto"/>
          <w:sz w:val="22"/>
          <w:szCs w:val="22"/>
          <w:highlight w:val="none"/>
          <w:u w:val="single"/>
        </w:rPr>
      </w:pPr>
    </w:p>
    <w:p w14:paraId="71F8356E">
      <w:pPr>
        <w:pStyle w:val="31"/>
        <w:spacing w:line="360" w:lineRule="auto"/>
        <w:ind w:firstLine="44"/>
        <w:textAlignment w:val="baseline"/>
        <w:rPr>
          <w:rFonts w:hint="eastAsia" w:ascii="仿宋" w:hAnsi="仿宋" w:eastAsia="仿宋" w:cs="仿宋"/>
          <w:color w:val="auto"/>
          <w:sz w:val="22"/>
          <w:szCs w:val="22"/>
          <w:highlight w:val="none"/>
          <w:u w:val="single"/>
        </w:rPr>
      </w:pPr>
    </w:p>
    <w:p w14:paraId="40E3382F">
      <w:pPr>
        <w:pStyle w:val="31"/>
        <w:spacing w:line="360" w:lineRule="auto"/>
        <w:ind w:firstLine="44"/>
        <w:textAlignment w:val="baseline"/>
        <w:rPr>
          <w:rFonts w:hint="eastAsia" w:ascii="仿宋" w:hAnsi="仿宋" w:eastAsia="仿宋" w:cs="仿宋"/>
          <w:color w:val="auto"/>
          <w:sz w:val="22"/>
          <w:szCs w:val="22"/>
          <w:highlight w:val="none"/>
          <w:u w:val="single"/>
        </w:rPr>
      </w:pPr>
    </w:p>
    <w:p w14:paraId="72FC52A3">
      <w:pPr>
        <w:pStyle w:val="31"/>
        <w:spacing w:line="360" w:lineRule="auto"/>
        <w:ind w:left="0" w:leftChars="0" w:firstLine="0" w:firstLineChars="0"/>
        <w:textAlignment w:val="baseline"/>
        <w:rPr>
          <w:rFonts w:hint="eastAsia" w:ascii="仿宋" w:hAnsi="仿宋" w:eastAsia="仿宋" w:cs="仿宋"/>
          <w:color w:val="auto"/>
          <w:sz w:val="22"/>
          <w:szCs w:val="22"/>
          <w:highlight w:val="none"/>
          <w:u w:val="single"/>
        </w:rPr>
      </w:pPr>
    </w:p>
    <w:p w14:paraId="6C09D7B3">
      <w:pPr>
        <w:spacing w:line="360" w:lineRule="auto"/>
        <w:jc w:val="left"/>
        <w:textAlignment w:val="baseline"/>
        <w:outlineLvl w:val="0"/>
        <w:rPr>
          <w:rFonts w:hint="eastAsia" w:ascii="仿宋" w:hAnsi="仿宋" w:eastAsia="仿宋" w:cs="仿宋"/>
          <w:b/>
          <w:bCs/>
          <w:color w:val="auto"/>
          <w:sz w:val="22"/>
          <w:highlight w:val="none"/>
          <w:lang w:eastAsia="zh-CN"/>
        </w:rPr>
      </w:pPr>
      <w:bookmarkStart w:id="125" w:name="_Toc19912"/>
      <w:bookmarkStart w:id="126" w:name="_Toc9861"/>
      <w:bookmarkStart w:id="127" w:name="_Toc608"/>
      <w:bookmarkStart w:id="128" w:name="_Toc28416"/>
      <w:r>
        <w:rPr>
          <w:rFonts w:hint="eastAsia" w:ascii="仿宋" w:hAnsi="仿宋" w:eastAsia="仿宋" w:cs="仿宋"/>
          <w:b/>
          <w:bCs/>
          <w:color w:val="auto"/>
          <w:sz w:val="22"/>
          <w:highlight w:val="none"/>
        </w:rPr>
        <w:t>附件</w:t>
      </w:r>
      <w:bookmarkEnd w:id="125"/>
      <w:bookmarkEnd w:id="126"/>
      <w:bookmarkEnd w:id="127"/>
      <w:bookmarkEnd w:id="128"/>
      <w:r>
        <w:rPr>
          <w:rFonts w:hint="eastAsia" w:ascii="仿宋" w:hAnsi="仿宋" w:eastAsia="仿宋" w:cs="仿宋"/>
          <w:b/>
          <w:bCs/>
          <w:color w:val="auto"/>
          <w:sz w:val="22"/>
          <w:highlight w:val="none"/>
          <w:lang w:val="en-US" w:eastAsia="zh-CN"/>
        </w:rPr>
        <w:t>4</w:t>
      </w:r>
    </w:p>
    <w:p w14:paraId="20ADE2B7">
      <w:pPr>
        <w:widowControl/>
        <w:spacing w:line="420" w:lineRule="atLeast"/>
        <w:jc w:val="center"/>
        <w:textAlignment w:val="baseline"/>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t>投标声明书</w:t>
      </w:r>
    </w:p>
    <w:p w14:paraId="065E2128">
      <w:pPr>
        <w:spacing w:line="360" w:lineRule="auto"/>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lang w:eastAsia="zh-CN"/>
        </w:rPr>
        <w:t>常山县自然资源和规划局</w:t>
      </w:r>
      <w:r>
        <w:rPr>
          <w:rFonts w:hint="eastAsia" w:ascii="仿宋" w:hAnsi="仿宋" w:eastAsia="仿宋" w:cs="仿宋"/>
          <w:color w:val="auto"/>
          <w:szCs w:val="21"/>
          <w:highlight w:val="none"/>
        </w:rPr>
        <w:t>：</w:t>
      </w:r>
    </w:p>
    <w:p w14:paraId="5FCC4D86">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根据贵方为</w:t>
      </w:r>
      <w:r>
        <w:rPr>
          <w:rFonts w:hint="eastAsia" w:ascii="仿宋" w:hAnsi="仿宋" w:eastAsia="仿宋" w:cs="仿宋"/>
          <w:color w:val="auto"/>
          <w:kern w:val="0"/>
          <w:szCs w:val="21"/>
          <w:highlight w:val="none"/>
          <w:u w:val="single"/>
        </w:rPr>
        <w:t xml:space="preserve"> </w:t>
      </w:r>
      <w:r>
        <w:rPr>
          <w:rFonts w:hint="eastAsia" w:ascii="仿宋" w:hAnsi="仿宋" w:eastAsia="仿宋" w:cs="仿宋"/>
          <w:color w:val="auto"/>
          <w:kern w:val="0"/>
          <w:szCs w:val="21"/>
          <w:highlight w:val="none"/>
          <w:u w:val="single"/>
          <w:lang w:eastAsia="zh-CN"/>
        </w:rPr>
        <w:t>常山县城东新区狮子口片区控规调整</w:t>
      </w:r>
      <w:r>
        <w:rPr>
          <w:rFonts w:hint="eastAsia" w:ascii="仿宋" w:hAnsi="仿宋" w:eastAsia="仿宋" w:cs="仿宋"/>
          <w:color w:val="auto"/>
          <w:kern w:val="0"/>
          <w:szCs w:val="21"/>
          <w:highlight w:val="none"/>
          <w:u w:val="single"/>
        </w:rPr>
        <w:t>（项目编号：</w:t>
      </w:r>
      <w:r>
        <w:rPr>
          <w:rFonts w:hint="eastAsia" w:ascii="仿宋" w:hAnsi="仿宋" w:eastAsia="仿宋" w:cs="仿宋"/>
          <w:color w:val="auto"/>
          <w:kern w:val="0"/>
          <w:szCs w:val="21"/>
          <w:highlight w:val="none"/>
          <w:u w:val="single"/>
          <w:lang w:eastAsia="zh-CN"/>
        </w:rPr>
        <w:t>GXZFCG-2025-CS003</w:t>
      </w:r>
      <w:r>
        <w:rPr>
          <w:rFonts w:hint="eastAsia" w:ascii="仿宋" w:hAnsi="仿宋" w:eastAsia="仿宋" w:cs="仿宋"/>
          <w:color w:val="auto"/>
          <w:kern w:val="0"/>
          <w:szCs w:val="21"/>
          <w:highlight w:val="none"/>
          <w:u w:val="single"/>
        </w:rPr>
        <w:t>）</w:t>
      </w:r>
      <w:r>
        <w:rPr>
          <w:rFonts w:hint="eastAsia" w:ascii="仿宋" w:hAnsi="仿宋" w:eastAsia="仿宋" w:cs="仿宋"/>
          <w:color w:val="auto"/>
          <w:szCs w:val="21"/>
          <w:highlight w:val="none"/>
        </w:rPr>
        <w:t>的招标文件，我方</w:t>
      </w:r>
      <w:r>
        <w:rPr>
          <w:rFonts w:hint="eastAsia" w:ascii="仿宋" w:hAnsi="仿宋" w:eastAsia="仿宋" w:cs="仿宋"/>
          <w:color w:val="auto"/>
          <w:szCs w:val="21"/>
          <w:highlight w:val="none"/>
          <w:u w:val="single" w:color="000000"/>
        </w:rPr>
        <w:t>　　</w:t>
      </w:r>
      <w:r>
        <w:rPr>
          <w:rFonts w:hint="eastAsia" w:ascii="仿宋" w:hAnsi="仿宋" w:eastAsia="仿宋" w:cs="仿宋"/>
          <w:color w:val="auto"/>
          <w:szCs w:val="21"/>
          <w:highlight w:val="none"/>
          <w:u w:val="single" w:color="000000"/>
          <w:lang w:val="en-US" w:eastAsia="zh-CN"/>
        </w:rPr>
        <w:t xml:space="preserve">   </w:t>
      </w:r>
      <w:r>
        <w:rPr>
          <w:rFonts w:hint="eastAsia" w:ascii="仿宋" w:hAnsi="仿宋" w:eastAsia="仿宋" w:cs="仿宋"/>
          <w:color w:val="auto"/>
          <w:szCs w:val="21"/>
          <w:highlight w:val="none"/>
        </w:rPr>
        <w:t>（投标人名称）作为投标人正式授权</w:t>
      </w:r>
      <w:r>
        <w:rPr>
          <w:rFonts w:hint="eastAsia" w:ascii="仿宋" w:hAnsi="仿宋" w:eastAsia="仿宋" w:cs="仿宋"/>
          <w:color w:val="auto"/>
          <w:szCs w:val="21"/>
          <w:highlight w:val="none"/>
          <w:u w:val="single" w:color="000000"/>
        </w:rPr>
        <w:t>　   （</w:t>
      </w:r>
      <w:r>
        <w:rPr>
          <w:rFonts w:hint="eastAsia" w:ascii="仿宋" w:hAnsi="仿宋" w:eastAsia="仿宋" w:cs="仿宋"/>
          <w:color w:val="auto"/>
          <w:szCs w:val="21"/>
          <w:highlight w:val="none"/>
        </w:rPr>
        <w:t>授权代表全名，职务）代表我方处理有关本投标的一切事宜。</w:t>
      </w:r>
    </w:p>
    <w:p w14:paraId="34143F00">
      <w:pPr>
        <w:pStyle w:val="8"/>
        <w:spacing w:line="440" w:lineRule="exact"/>
        <w:ind w:firstLine="440"/>
        <w:textAlignment w:val="baseline"/>
        <w:rPr>
          <w:rFonts w:hint="eastAsia" w:ascii="仿宋" w:hAnsi="仿宋" w:eastAsia="仿宋" w:cs="仿宋"/>
          <w:color w:val="auto"/>
          <w:szCs w:val="21"/>
          <w:highlight w:val="none"/>
        </w:rPr>
      </w:pPr>
      <w:r>
        <w:rPr>
          <w:rFonts w:hint="eastAsia" w:ascii="仿宋" w:hAnsi="仿宋" w:eastAsia="仿宋" w:cs="仿宋"/>
          <w:color w:val="auto"/>
          <w:szCs w:val="21"/>
          <w:highlight w:val="none"/>
        </w:rPr>
        <w:t>在此</w:t>
      </w:r>
      <w:r>
        <w:rPr>
          <w:rFonts w:hint="eastAsia" w:ascii="仿宋" w:hAnsi="仿宋" w:eastAsia="仿宋" w:cs="仿宋"/>
          <w:color w:val="auto"/>
          <w:spacing w:val="-3"/>
          <w:highlight w:val="none"/>
        </w:rPr>
        <w:t>提</w:t>
      </w:r>
      <w:r>
        <w:rPr>
          <w:rFonts w:hint="eastAsia" w:ascii="仿宋" w:hAnsi="仿宋" w:eastAsia="仿宋" w:cs="仿宋"/>
          <w:color w:val="auto"/>
          <w:highlight w:val="none"/>
        </w:rPr>
        <w:t>供</w:t>
      </w:r>
      <w:r>
        <w:rPr>
          <w:rFonts w:hint="eastAsia" w:ascii="仿宋" w:hAnsi="仿宋" w:eastAsia="仿宋" w:cs="仿宋"/>
          <w:color w:val="auto"/>
          <w:spacing w:val="-3"/>
          <w:highlight w:val="none"/>
        </w:rPr>
        <w:t>投</w:t>
      </w:r>
      <w:r>
        <w:rPr>
          <w:rFonts w:hint="eastAsia" w:ascii="仿宋" w:hAnsi="仿宋" w:eastAsia="仿宋" w:cs="仿宋"/>
          <w:color w:val="auto"/>
          <w:highlight w:val="none"/>
        </w:rPr>
        <w:t>标</w:t>
      </w:r>
      <w:r>
        <w:rPr>
          <w:rFonts w:hint="eastAsia" w:ascii="仿宋" w:hAnsi="仿宋" w:eastAsia="仿宋" w:cs="仿宋"/>
          <w:color w:val="auto"/>
          <w:spacing w:val="-3"/>
          <w:highlight w:val="none"/>
        </w:rPr>
        <w:t>人</w:t>
      </w:r>
      <w:r>
        <w:rPr>
          <w:rFonts w:hint="eastAsia" w:ascii="仿宋" w:hAnsi="仿宋" w:eastAsia="仿宋" w:cs="仿宋"/>
          <w:color w:val="auto"/>
          <w:highlight w:val="none"/>
        </w:rPr>
        <w:t>须知规</w:t>
      </w:r>
      <w:r>
        <w:rPr>
          <w:rFonts w:hint="eastAsia" w:ascii="仿宋" w:hAnsi="仿宋" w:eastAsia="仿宋" w:cs="仿宋"/>
          <w:color w:val="auto"/>
          <w:spacing w:val="-3"/>
          <w:highlight w:val="none"/>
        </w:rPr>
        <w:t>定的</w:t>
      </w:r>
      <w:r>
        <w:rPr>
          <w:rFonts w:hint="eastAsia" w:ascii="仿宋" w:hAnsi="仿宋" w:eastAsia="仿宋" w:cs="仿宋"/>
          <w:color w:val="auto"/>
          <w:highlight w:val="none"/>
        </w:rPr>
        <w:t>全部</w:t>
      </w:r>
      <w:r>
        <w:rPr>
          <w:rFonts w:hint="eastAsia" w:ascii="仿宋" w:hAnsi="仿宋" w:eastAsia="仿宋" w:cs="仿宋"/>
          <w:color w:val="auto"/>
          <w:spacing w:val="-3"/>
          <w:highlight w:val="none"/>
        </w:rPr>
        <w:t>投</w:t>
      </w:r>
      <w:r>
        <w:rPr>
          <w:rFonts w:hint="eastAsia" w:ascii="仿宋" w:hAnsi="仿宋" w:eastAsia="仿宋" w:cs="仿宋"/>
          <w:color w:val="auto"/>
          <w:highlight w:val="none"/>
        </w:rPr>
        <w:t>标</w:t>
      </w:r>
      <w:r>
        <w:rPr>
          <w:rFonts w:hint="eastAsia" w:ascii="仿宋" w:hAnsi="仿宋" w:eastAsia="仿宋" w:cs="仿宋"/>
          <w:color w:val="auto"/>
          <w:spacing w:val="-3"/>
          <w:highlight w:val="none"/>
        </w:rPr>
        <w:t>文</w:t>
      </w:r>
      <w:r>
        <w:rPr>
          <w:rFonts w:hint="eastAsia" w:ascii="仿宋" w:hAnsi="仿宋" w:eastAsia="仿宋" w:cs="仿宋"/>
          <w:color w:val="auto"/>
          <w:highlight w:val="none"/>
        </w:rPr>
        <w:t>件。</w:t>
      </w:r>
    </w:p>
    <w:p w14:paraId="78EB2F54">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我方己完全明白招标文件的所有条款要求，并重申以下几点：</w:t>
      </w:r>
    </w:p>
    <w:p w14:paraId="1FEBB808">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一）投标人已详细审查全部“招标文件”，包括修改、澄清文件（如有的话）以及全部参考资料和有关附件，已经了解我方对于招标文件、采购过程、采购结果有依法进行询问、质疑、投诉的权利及相关渠道和要求。</w:t>
      </w:r>
    </w:p>
    <w:p w14:paraId="7341EA85">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（二）投标人在投标之前已经与贵方进行了充分的沟通，完全理解并接受招标文件的各项规定和要求，对招标文件的合理性、合法性不再有异议。</w:t>
      </w:r>
    </w:p>
    <w:p w14:paraId="4C760078">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（三）本投标有效期自开标日起90日。</w:t>
      </w:r>
    </w:p>
    <w:p w14:paraId="03C01EF4">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（四）如中标，本投标文件至本项目合同履行完毕止均保持有效，本投标人将按“招标文件”及政府采购法律、法规的规定履行合同责任和义务。</w:t>
      </w:r>
    </w:p>
    <w:p w14:paraId="073D839A">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（五）投标人同意按照贵方要求提供与投标有关的一切数据或资料。</w:t>
      </w:r>
    </w:p>
    <w:p w14:paraId="662A3293">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（六）我方向贵方提交的所有投标文件、资料都是准确的和真实的。</w:t>
      </w:r>
    </w:p>
    <w:p w14:paraId="70C5CDE5">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（七）我方不是采购人的附属机构；在获知本项目采购信息后，与采购人聘请的为此项目提供咨询服务的公司及其附属机构没有任何联系。</w:t>
      </w:r>
    </w:p>
    <w:p w14:paraId="48DAB2F3">
      <w:pPr>
        <w:spacing w:line="440" w:lineRule="exact"/>
        <w:ind w:firstLine="420" w:firstLineChars="200"/>
        <w:textAlignment w:val="baseline"/>
        <w:rPr>
          <w:rFonts w:hint="eastAsia" w:ascii="仿宋" w:hAnsi="仿宋" w:eastAsia="仿宋" w:cs="仿宋"/>
          <w:color w:val="auto"/>
          <w:sz w:val="20"/>
          <w:szCs w:val="21"/>
          <w:highlight w:val="none"/>
          <w:u w:val="single"/>
        </w:rPr>
      </w:pPr>
      <w:r>
        <w:rPr>
          <w:rFonts w:hint="eastAsia" w:ascii="仿宋" w:hAnsi="仿宋" w:eastAsia="仿宋" w:cs="仿宋"/>
          <w:color w:val="auto"/>
          <w:szCs w:val="21"/>
          <w:highlight w:val="none"/>
        </w:rPr>
        <w:t>（八）以上事项如有虚假或隐瞒，我方愿意承担一切后果，并不再寻求任何旨在减轻或免除法律责任的辩解。</w:t>
      </w:r>
    </w:p>
    <w:p w14:paraId="61AD4758">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（九）本投标有关的一切正式往来信函请寄：</w:t>
      </w:r>
    </w:p>
    <w:p w14:paraId="34FDB634">
      <w:pPr>
        <w:spacing w:line="440" w:lineRule="exact"/>
        <w:ind w:firstLine="435"/>
        <w:textAlignment w:val="baseline"/>
        <w:rPr>
          <w:rFonts w:hint="eastAsia" w:ascii="仿宋" w:hAnsi="仿宋" w:eastAsia="仿宋" w:cs="仿宋"/>
          <w:color w:val="auto"/>
          <w:sz w:val="20"/>
          <w:szCs w:val="21"/>
          <w:highlight w:val="none"/>
          <w:u w:val="single"/>
        </w:rPr>
      </w:pPr>
      <w:r>
        <w:rPr>
          <w:rFonts w:hint="eastAsia" w:ascii="仿宋" w:hAnsi="仿宋" w:eastAsia="仿宋" w:cs="仿宋"/>
          <w:color w:val="auto"/>
          <w:szCs w:val="21"/>
          <w:highlight w:val="none"/>
        </w:rPr>
        <w:t>地址：</w:t>
      </w:r>
    </w:p>
    <w:p w14:paraId="0645C7DA">
      <w:pPr>
        <w:spacing w:line="440" w:lineRule="exact"/>
        <w:ind w:firstLine="435"/>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电话：</w:t>
      </w:r>
    </w:p>
    <w:p w14:paraId="7D94854F">
      <w:pPr>
        <w:spacing w:line="440" w:lineRule="exact"/>
        <w:ind w:firstLine="435"/>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传真：</w:t>
      </w:r>
    </w:p>
    <w:p w14:paraId="2B7DD1CF">
      <w:pPr>
        <w:spacing w:line="440" w:lineRule="exact"/>
        <w:ind w:firstLine="420" w:firstLineChars="200"/>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电子邮件：</w:t>
      </w:r>
    </w:p>
    <w:p w14:paraId="28147A16">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663477C1">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日期：</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月</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日</w:t>
      </w:r>
    </w:p>
    <w:p w14:paraId="45AA77D0">
      <w:pPr>
        <w:spacing w:line="360" w:lineRule="auto"/>
        <w:textAlignment w:val="baseline"/>
        <w:rPr>
          <w:rFonts w:hint="eastAsia" w:ascii="仿宋" w:hAnsi="仿宋" w:eastAsia="仿宋" w:cs="仿宋"/>
          <w:b/>
          <w:bCs/>
          <w:color w:val="auto"/>
          <w:sz w:val="22"/>
          <w:highlight w:val="none"/>
        </w:rPr>
      </w:pPr>
    </w:p>
    <w:p w14:paraId="79540117">
      <w:pPr>
        <w:pStyle w:val="31"/>
        <w:ind w:firstLine="44"/>
        <w:textAlignment w:val="baseline"/>
        <w:rPr>
          <w:rFonts w:hint="eastAsia" w:ascii="仿宋" w:hAnsi="仿宋" w:eastAsia="仿宋" w:cs="仿宋"/>
          <w:b/>
          <w:bCs/>
          <w:color w:val="auto"/>
          <w:sz w:val="22"/>
          <w:highlight w:val="none"/>
        </w:rPr>
      </w:pPr>
    </w:p>
    <w:p w14:paraId="1734077D">
      <w:pPr>
        <w:spacing w:line="360" w:lineRule="auto"/>
        <w:textAlignment w:val="baseline"/>
        <w:outlineLvl w:val="0"/>
        <w:rPr>
          <w:rFonts w:hint="eastAsia" w:ascii="仿宋" w:hAnsi="仿宋" w:eastAsia="仿宋" w:cs="仿宋"/>
          <w:b/>
          <w:bCs/>
          <w:color w:val="auto"/>
          <w:sz w:val="22"/>
          <w:highlight w:val="none"/>
          <w:lang w:val="en-US" w:eastAsia="zh-CN"/>
        </w:rPr>
      </w:pPr>
      <w:bookmarkStart w:id="129" w:name="_Toc19880"/>
      <w:bookmarkStart w:id="130" w:name="_Toc8140"/>
      <w:bookmarkStart w:id="131" w:name="_Toc231"/>
      <w:bookmarkStart w:id="132" w:name="_Toc7642"/>
      <w:r>
        <w:rPr>
          <w:rFonts w:hint="eastAsia" w:ascii="仿宋" w:hAnsi="仿宋" w:eastAsia="仿宋" w:cs="仿宋"/>
          <w:b/>
          <w:bCs/>
          <w:color w:val="auto"/>
          <w:sz w:val="22"/>
          <w:highlight w:val="none"/>
        </w:rPr>
        <w:t>附件</w:t>
      </w:r>
      <w:bookmarkEnd w:id="129"/>
      <w:bookmarkEnd w:id="130"/>
      <w:bookmarkEnd w:id="131"/>
      <w:bookmarkEnd w:id="132"/>
      <w:r>
        <w:rPr>
          <w:rFonts w:hint="eastAsia" w:ascii="仿宋" w:hAnsi="仿宋" w:eastAsia="仿宋" w:cs="仿宋"/>
          <w:b/>
          <w:bCs/>
          <w:color w:val="auto"/>
          <w:sz w:val="22"/>
          <w:highlight w:val="none"/>
          <w:lang w:val="en-US" w:eastAsia="zh-CN"/>
        </w:rPr>
        <w:t>5</w:t>
      </w:r>
    </w:p>
    <w:p w14:paraId="5B9CDB23">
      <w:pPr>
        <w:widowControl/>
        <w:spacing w:line="360" w:lineRule="auto"/>
        <w:jc w:val="center"/>
        <w:textAlignment w:val="baseline"/>
        <w:rPr>
          <w:rFonts w:hint="eastAsia" w:ascii="仿宋" w:hAnsi="仿宋" w:eastAsia="仿宋" w:cs="仿宋"/>
          <w:b/>
          <w:bCs/>
          <w:color w:val="auto"/>
          <w:kern w:val="0"/>
          <w:sz w:val="30"/>
          <w:szCs w:val="30"/>
          <w:highlight w:val="none"/>
        </w:rPr>
      </w:pPr>
      <w:bookmarkStart w:id="133" w:name="_Toc8847_WPSOffice_Level1"/>
      <w:bookmarkStart w:id="134" w:name="_Toc13405_WPSOffice_Level1"/>
      <w:r>
        <w:rPr>
          <w:rFonts w:hint="eastAsia" w:ascii="仿宋" w:hAnsi="仿宋" w:eastAsia="仿宋" w:cs="仿宋"/>
          <w:b/>
          <w:bCs/>
          <w:color w:val="auto"/>
          <w:kern w:val="0"/>
          <w:sz w:val="30"/>
          <w:szCs w:val="30"/>
          <w:highlight w:val="none"/>
        </w:rPr>
        <w:t>磋商供应商基本情况表</w:t>
      </w:r>
      <w:bookmarkEnd w:id="133"/>
      <w:bookmarkEnd w:id="134"/>
    </w:p>
    <w:tbl>
      <w:tblPr>
        <w:tblStyle w:val="32"/>
        <w:tblW w:w="9243"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768"/>
        <w:gridCol w:w="1209"/>
        <w:gridCol w:w="1423"/>
        <w:gridCol w:w="1431"/>
        <w:gridCol w:w="1533"/>
        <w:gridCol w:w="308"/>
        <w:gridCol w:w="1571"/>
      </w:tblGrid>
      <w:tr w14:paraId="25B78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tcBorders>
              <w:top w:val="single" w:color="auto" w:sz="4" w:space="0"/>
              <w:bottom w:val="single" w:color="auto" w:sz="4" w:space="0"/>
              <w:right w:val="single" w:color="auto" w:sz="4" w:space="0"/>
            </w:tcBorders>
            <w:vAlign w:val="center"/>
          </w:tcPr>
          <w:p w14:paraId="6FEBBF0E">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磋商供应商名称</w:t>
            </w:r>
          </w:p>
        </w:tc>
        <w:tc>
          <w:tcPr>
            <w:tcW w:w="7475" w:type="dxa"/>
            <w:gridSpan w:val="6"/>
            <w:tcBorders>
              <w:top w:val="single" w:color="auto" w:sz="4" w:space="0"/>
              <w:left w:val="single" w:color="auto" w:sz="4" w:space="0"/>
              <w:bottom w:val="single" w:color="auto" w:sz="4" w:space="0"/>
            </w:tcBorders>
            <w:vAlign w:val="center"/>
          </w:tcPr>
          <w:p w14:paraId="18FA9468">
            <w:pPr>
              <w:spacing w:line="360" w:lineRule="auto"/>
              <w:textAlignment w:val="baseline"/>
              <w:rPr>
                <w:rFonts w:hint="eastAsia" w:ascii="仿宋" w:hAnsi="仿宋" w:eastAsia="仿宋" w:cs="仿宋"/>
                <w:color w:val="auto"/>
                <w:sz w:val="20"/>
                <w:szCs w:val="21"/>
                <w:highlight w:val="none"/>
              </w:rPr>
            </w:pPr>
          </w:p>
        </w:tc>
      </w:tr>
      <w:tr w14:paraId="76C440A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tcBorders>
              <w:top w:val="single" w:color="auto" w:sz="4" w:space="0"/>
              <w:bottom w:val="single" w:color="auto" w:sz="4" w:space="0"/>
              <w:right w:val="single" w:color="auto" w:sz="4" w:space="0"/>
            </w:tcBorders>
            <w:vAlign w:val="center"/>
          </w:tcPr>
          <w:p w14:paraId="0C6C9F13">
            <w:pPr>
              <w:spacing w:line="360" w:lineRule="auto"/>
              <w:ind w:left="-38" w:leftChars="-51" w:right="-107" w:hanging="69" w:hangingChars="33"/>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法定代表人</w:t>
            </w:r>
          </w:p>
        </w:tc>
        <w:tc>
          <w:tcPr>
            <w:tcW w:w="1209" w:type="dxa"/>
            <w:tcBorders>
              <w:top w:val="single" w:color="auto" w:sz="4" w:space="0"/>
              <w:left w:val="single" w:color="auto" w:sz="4" w:space="0"/>
              <w:bottom w:val="single" w:color="auto" w:sz="4" w:space="0"/>
              <w:right w:val="single" w:color="auto" w:sz="4" w:space="0"/>
            </w:tcBorders>
            <w:vAlign w:val="center"/>
          </w:tcPr>
          <w:p w14:paraId="22BA0797">
            <w:pPr>
              <w:spacing w:line="360" w:lineRule="auto"/>
              <w:jc w:val="center"/>
              <w:textAlignment w:val="baseline"/>
              <w:rPr>
                <w:rFonts w:hint="eastAsia" w:ascii="仿宋" w:hAnsi="仿宋" w:eastAsia="仿宋" w:cs="仿宋"/>
                <w:bCs/>
                <w:color w:val="auto"/>
                <w:sz w:val="20"/>
                <w:szCs w:val="21"/>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14:paraId="30577884">
            <w:pPr>
              <w:spacing w:line="360" w:lineRule="auto"/>
              <w:ind w:left="-38" w:leftChars="-51" w:right="-107" w:hanging="69" w:hangingChars="33"/>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授权代表人</w:t>
            </w:r>
          </w:p>
        </w:tc>
        <w:tc>
          <w:tcPr>
            <w:tcW w:w="1431" w:type="dxa"/>
            <w:tcBorders>
              <w:top w:val="single" w:color="auto" w:sz="4" w:space="0"/>
              <w:left w:val="single" w:color="auto" w:sz="4" w:space="0"/>
              <w:bottom w:val="single" w:color="auto" w:sz="4" w:space="0"/>
              <w:right w:val="single" w:color="auto" w:sz="4" w:space="0"/>
            </w:tcBorders>
            <w:vAlign w:val="center"/>
          </w:tcPr>
          <w:p w14:paraId="1EE6306E">
            <w:pPr>
              <w:spacing w:line="360" w:lineRule="auto"/>
              <w:jc w:val="center"/>
              <w:textAlignment w:val="baseline"/>
              <w:rPr>
                <w:rFonts w:hint="eastAsia" w:ascii="仿宋" w:hAnsi="仿宋" w:eastAsia="仿宋" w:cs="仿宋"/>
                <w:bCs/>
                <w:color w:val="auto"/>
                <w:sz w:val="20"/>
                <w:szCs w:val="21"/>
                <w:highlight w:val="none"/>
              </w:rPr>
            </w:pPr>
          </w:p>
        </w:tc>
        <w:tc>
          <w:tcPr>
            <w:tcW w:w="1533" w:type="dxa"/>
            <w:tcBorders>
              <w:top w:val="single" w:color="auto" w:sz="4" w:space="0"/>
              <w:left w:val="single" w:color="auto" w:sz="4" w:space="0"/>
              <w:bottom w:val="single" w:color="auto" w:sz="4" w:space="0"/>
              <w:right w:val="single" w:color="auto" w:sz="4" w:space="0"/>
            </w:tcBorders>
            <w:vAlign w:val="center"/>
          </w:tcPr>
          <w:p w14:paraId="485A086E">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营业（经营）执照号码</w:t>
            </w:r>
          </w:p>
        </w:tc>
        <w:tc>
          <w:tcPr>
            <w:tcW w:w="1879" w:type="dxa"/>
            <w:gridSpan w:val="2"/>
            <w:tcBorders>
              <w:top w:val="single" w:color="auto" w:sz="4" w:space="0"/>
              <w:left w:val="single" w:color="auto" w:sz="4" w:space="0"/>
              <w:bottom w:val="single" w:color="auto" w:sz="4" w:space="0"/>
            </w:tcBorders>
            <w:vAlign w:val="center"/>
          </w:tcPr>
          <w:p w14:paraId="1479E407">
            <w:pPr>
              <w:spacing w:line="360" w:lineRule="auto"/>
              <w:textAlignment w:val="baseline"/>
              <w:rPr>
                <w:rFonts w:hint="eastAsia" w:ascii="仿宋" w:hAnsi="仿宋" w:eastAsia="仿宋" w:cs="仿宋"/>
                <w:bCs/>
                <w:color w:val="auto"/>
                <w:sz w:val="20"/>
                <w:szCs w:val="21"/>
                <w:highlight w:val="none"/>
              </w:rPr>
            </w:pPr>
          </w:p>
        </w:tc>
      </w:tr>
      <w:tr w14:paraId="6BD2CD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tcBorders>
              <w:top w:val="single" w:color="auto" w:sz="4" w:space="0"/>
              <w:bottom w:val="single" w:color="auto" w:sz="4" w:space="0"/>
              <w:right w:val="single" w:color="auto" w:sz="4" w:space="0"/>
            </w:tcBorders>
            <w:vAlign w:val="center"/>
          </w:tcPr>
          <w:p w14:paraId="5A603D09">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职工人数</w:t>
            </w:r>
          </w:p>
        </w:tc>
        <w:tc>
          <w:tcPr>
            <w:tcW w:w="1209" w:type="dxa"/>
            <w:tcBorders>
              <w:top w:val="single" w:color="auto" w:sz="4" w:space="0"/>
              <w:left w:val="single" w:color="auto" w:sz="4" w:space="0"/>
              <w:bottom w:val="single" w:color="auto" w:sz="4" w:space="0"/>
              <w:right w:val="single" w:color="auto" w:sz="4" w:space="0"/>
            </w:tcBorders>
            <w:vAlign w:val="center"/>
          </w:tcPr>
          <w:p w14:paraId="196912A7">
            <w:pPr>
              <w:spacing w:line="360" w:lineRule="auto"/>
              <w:jc w:val="center"/>
              <w:textAlignment w:val="baseline"/>
              <w:rPr>
                <w:rFonts w:hint="eastAsia" w:ascii="仿宋" w:hAnsi="仿宋" w:eastAsia="仿宋" w:cs="仿宋"/>
                <w:bCs/>
                <w:color w:val="auto"/>
                <w:sz w:val="20"/>
                <w:szCs w:val="21"/>
                <w:highlight w:val="none"/>
              </w:rPr>
            </w:pPr>
          </w:p>
        </w:tc>
        <w:tc>
          <w:tcPr>
            <w:tcW w:w="1423" w:type="dxa"/>
            <w:tcBorders>
              <w:top w:val="single" w:color="auto" w:sz="4" w:space="0"/>
              <w:left w:val="single" w:color="auto" w:sz="4" w:space="0"/>
              <w:bottom w:val="single" w:color="auto" w:sz="4" w:space="0"/>
              <w:right w:val="single" w:color="auto" w:sz="4" w:space="0"/>
            </w:tcBorders>
            <w:vAlign w:val="center"/>
          </w:tcPr>
          <w:p w14:paraId="4E581EE5">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注册时间</w:t>
            </w:r>
          </w:p>
        </w:tc>
        <w:tc>
          <w:tcPr>
            <w:tcW w:w="1431" w:type="dxa"/>
            <w:tcBorders>
              <w:top w:val="single" w:color="auto" w:sz="4" w:space="0"/>
              <w:left w:val="single" w:color="auto" w:sz="4" w:space="0"/>
              <w:bottom w:val="single" w:color="auto" w:sz="4" w:space="0"/>
              <w:right w:val="single" w:color="auto" w:sz="4" w:space="0"/>
            </w:tcBorders>
            <w:vAlign w:val="center"/>
          </w:tcPr>
          <w:p w14:paraId="3BF2062E">
            <w:pPr>
              <w:spacing w:line="360" w:lineRule="auto"/>
              <w:ind w:right="-89"/>
              <w:jc w:val="center"/>
              <w:textAlignment w:val="baseline"/>
              <w:rPr>
                <w:rFonts w:hint="eastAsia" w:ascii="仿宋" w:hAnsi="仿宋" w:eastAsia="仿宋" w:cs="仿宋"/>
                <w:bCs/>
                <w:color w:val="auto"/>
                <w:sz w:val="20"/>
                <w:szCs w:val="21"/>
                <w:highlight w:val="none"/>
              </w:rPr>
            </w:pPr>
          </w:p>
        </w:tc>
        <w:tc>
          <w:tcPr>
            <w:tcW w:w="1533" w:type="dxa"/>
            <w:tcBorders>
              <w:top w:val="single" w:color="auto" w:sz="4" w:space="0"/>
              <w:left w:val="single" w:color="auto" w:sz="4" w:space="0"/>
              <w:bottom w:val="single" w:color="auto" w:sz="4" w:space="0"/>
              <w:right w:val="single" w:color="auto" w:sz="4" w:space="0"/>
            </w:tcBorders>
            <w:vAlign w:val="center"/>
          </w:tcPr>
          <w:p w14:paraId="22191EA7">
            <w:pPr>
              <w:spacing w:line="360" w:lineRule="auto"/>
              <w:ind w:left="-38" w:leftChars="-51" w:hanging="69" w:hangingChars="33"/>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注册资金</w:t>
            </w:r>
          </w:p>
        </w:tc>
        <w:tc>
          <w:tcPr>
            <w:tcW w:w="1879" w:type="dxa"/>
            <w:gridSpan w:val="2"/>
            <w:tcBorders>
              <w:top w:val="single" w:color="auto" w:sz="4" w:space="0"/>
              <w:left w:val="single" w:color="auto" w:sz="4" w:space="0"/>
              <w:bottom w:val="single" w:color="auto" w:sz="4" w:space="0"/>
            </w:tcBorders>
            <w:vAlign w:val="center"/>
          </w:tcPr>
          <w:p w14:paraId="6D2AA1B1">
            <w:pPr>
              <w:spacing w:line="360" w:lineRule="auto"/>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万元</w:t>
            </w:r>
          </w:p>
        </w:tc>
      </w:tr>
      <w:tr w14:paraId="43ED2C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tcBorders>
              <w:top w:val="single" w:color="auto" w:sz="4" w:space="0"/>
              <w:bottom w:val="single" w:color="auto" w:sz="4" w:space="0"/>
              <w:right w:val="single" w:color="auto" w:sz="4" w:space="0"/>
            </w:tcBorders>
            <w:vAlign w:val="center"/>
          </w:tcPr>
          <w:p w14:paraId="486976B7">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地址</w:t>
            </w:r>
          </w:p>
        </w:tc>
        <w:tc>
          <w:tcPr>
            <w:tcW w:w="7475" w:type="dxa"/>
            <w:gridSpan w:val="6"/>
            <w:tcBorders>
              <w:top w:val="single" w:color="auto" w:sz="4" w:space="0"/>
              <w:left w:val="single" w:color="auto" w:sz="4" w:space="0"/>
              <w:bottom w:val="single" w:color="auto" w:sz="4" w:space="0"/>
            </w:tcBorders>
            <w:vAlign w:val="center"/>
          </w:tcPr>
          <w:p w14:paraId="3F44AF78">
            <w:pPr>
              <w:spacing w:line="360" w:lineRule="auto"/>
              <w:jc w:val="center"/>
              <w:textAlignment w:val="baseline"/>
              <w:rPr>
                <w:rFonts w:hint="eastAsia" w:ascii="仿宋" w:hAnsi="仿宋" w:eastAsia="仿宋" w:cs="仿宋"/>
                <w:bCs/>
                <w:color w:val="auto"/>
                <w:sz w:val="20"/>
                <w:szCs w:val="21"/>
                <w:highlight w:val="none"/>
              </w:rPr>
            </w:pPr>
          </w:p>
        </w:tc>
      </w:tr>
      <w:tr w14:paraId="0FD762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restart"/>
            <w:tcBorders>
              <w:top w:val="single" w:color="auto" w:sz="4" w:space="0"/>
              <w:right w:val="single" w:color="auto" w:sz="4" w:space="0"/>
            </w:tcBorders>
            <w:vAlign w:val="center"/>
          </w:tcPr>
          <w:p w14:paraId="401BB520">
            <w:pPr>
              <w:spacing w:line="360" w:lineRule="auto"/>
              <w:jc w:val="center"/>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所获资质</w:t>
            </w:r>
          </w:p>
          <w:p w14:paraId="53A90EE7">
            <w:pPr>
              <w:spacing w:line="360" w:lineRule="auto"/>
              <w:jc w:val="center"/>
              <w:textAlignment w:val="baseline"/>
              <w:rPr>
                <w:rFonts w:hint="eastAsia" w:ascii="仿宋" w:hAnsi="仿宋" w:eastAsia="仿宋" w:cs="仿宋"/>
                <w:color w:val="auto"/>
                <w:sz w:val="20"/>
                <w:szCs w:val="21"/>
                <w:highlight w:val="none"/>
              </w:rPr>
            </w:pPr>
            <w:r>
              <w:rPr>
                <w:rFonts w:hint="eastAsia" w:ascii="仿宋" w:hAnsi="仿宋" w:eastAsia="仿宋" w:cs="仿宋"/>
                <w:color w:val="auto"/>
                <w:szCs w:val="21"/>
                <w:highlight w:val="none"/>
              </w:rPr>
              <w:t>或认证</w:t>
            </w:r>
          </w:p>
        </w:tc>
        <w:tc>
          <w:tcPr>
            <w:tcW w:w="1209" w:type="dxa"/>
            <w:tcBorders>
              <w:top w:val="single" w:color="auto" w:sz="4" w:space="0"/>
              <w:left w:val="single" w:color="auto" w:sz="4" w:space="0"/>
              <w:bottom w:val="single" w:color="auto" w:sz="4" w:space="0"/>
              <w:right w:val="single" w:color="auto" w:sz="4" w:space="0"/>
            </w:tcBorders>
            <w:vAlign w:val="center"/>
          </w:tcPr>
          <w:p w14:paraId="5BACBA05">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证书或证件名称及等级</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8E30E72">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036300E2">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颁发时间</w:t>
            </w:r>
          </w:p>
        </w:tc>
        <w:tc>
          <w:tcPr>
            <w:tcW w:w="1571" w:type="dxa"/>
            <w:tcBorders>
              <w:top w:val="single" w:color="auto" w:sz="4" w:space="0"/>
              <w:left w:val="single" w:color="auto" w:sz="4" w:space="0"/>
              <w:bottom w:val="single" w:color="auto" w:sz="4" w:space="0"/>
            </w:tcBorders>
            <w:vAlign w:val="center"/>
          </w:tcPr>
          <w:p w14:paraId="0985F718">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有效期</w:t>
            </w:r>
          </w:p>
        </w:tc>
      </w:tr>
      <w:tr w14:paraId="32C575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14CD9FC2">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203A1EB7">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6A5CF273">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553A19AF">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27967BDD">
            <w:pPr>
              <w:spacing w:line="360" w:lineRule="auto"/>
              <w:textAlignment w:val="baseline"/>
              <w:rPr>
                <w:rFonts w:hint="eastAsia" w:ascii="仿宋" w:hAnsi="仿宋" w:eastAsia="仿宋" w:cs="仿宋"/>
                <w:color w:val="auto"/>
                <w:sz w:val="20"/>
                <w:szCs w:val="21"/>
                <w:highlight w:val="none"/>
                <w:u w:val="single"/>
              </w:rPr>
            </w:pPr>
          </w:p>
        </w:tc>
      </w:tr>
      <w:tr w14:paraId="0B302C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3BC7A04F">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42A13658">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73F065F1">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7E69D1C7">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43916631">
            <w:pPr>
              <w:spacing w:line="360" w:lineRule="auto"/>
              <w:textAlignment w:val="baseline"/>
              <w:rPr>
                <w:rFonts w:hint="eastAsia" w:ascii="仿宋" w:hAnsi="仿宋" w:eastAsia="仿宋" w:cs="仿宋"/>
                <w:color w:val="auto"/>
                <w:sz w:val="20"/>
                <w:szCs w:val="21"/>
                <w:highlight w:val="none"/>
                <w:u w:val="single"/>
              </w:rPr>
            </w:pPr>
          </w:p>
        </w:tc>
      </w:tr>
      <w:tr w14:paraId="66A5364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4FDF42DE">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1B5DC378">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092802A">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4865DA51">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3729E958">
            <w:pPr>
              <w:spacing w:line="360" w:lineRule="auto"/>
              <w:textAlignment w:val="baseline"/>
              <w:rPr>
                <w:rFonts w:hint="eastAsia" w:ascii="仿宋" w:hAnsi="仿宋" w:eastAsia="仿宋" w:cs="仿宋"/>
                <w:color w:val="auto"/>
                <w:sz w:val="20"/>
                <w:szCs w:val="21"/>
                <w:highlight w:val="none"/>
                <w:u w:val="single"/>
              </w:rPr>
            </w:pPr>
          </w:p>
        </w:tc>
      </w:tr>
      <w:tr w14:paraId="4CEB71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01D91004">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5A30E9D4">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73BCA67B">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1A477897">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4044B46B">
            <w:pPr>
              <w:spacing w:line="360" w:lineRule="auto"/>
              <w:textAlignment w:val="baseline"/>
              <w:rPr>
                <w:rFonts w:hint="eastAsia" w:ascii="仿宋" w:hAnsi="仿宋" w:eastAsia="仿宋" w:cs="仿宋"/>
                <w:color w:val="auto"/>
                <w:sz w:val="20"/>
                <w:szCs w:val="21"/>
                <w:highlight w:val="none"/>
                <w:u w:val="single"/>
              </w:rPr>
            </w:pPr>
          </w:p>
        </w:tc>
      </w:tr>
      <w:tr w14:paraId="6ABE91E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restart"/>
            <w:tcBorders>
              <w:top w:val="single" w:color="auto" w:sz="4" w:space="0"/>
              <w:right w:val="single" w:color="auto" w:sz="4" w:space="0"/>
            </w:tcBorders>
            <w:vAlign w:val="center"/>
          </w:tcPr>
          <w:p w14:paraId="2B490CE0">
            <w:pPr>
              <w:spacing w:line="360" w:lineRule="auto"/>
              <w:jc w:val="center"/>
              <w:textAlignment w:val="baseline"/>
              <w:rPr>
                <w:rFonts w:hint="eastAsia" w:ascii="仿宋" w:hAnsi="仿宋" w:eastAsia="仿宋" w:cs="仿宋"/>
                <w:color w:val="auto"/>
                <w:sz w:val="20"/>
                <w:szCs w:val="21"/>
                <w:highlight w:val="none"/>
              </w:rPr>
            </w:pPr>
            <w:r>
              <w:rPr>
                <w:rFonts w:hint="eastAsia" w:ascii="仿宋" w:hAnsi="仿宋" w:eastAsia="仿宋" w:cs="仿宋"/>
                <w:bCs/>
                <w:color w:val="auto"/>
                <w:szCs w:val="21"/>
                <w:highlight w:val="none"/>
              </w:rPr>
              <w:t>所获荣誉</w:t>
            </w:r>
          </w:p>
        </w:tc>
        <w:tc>
          <w:tcPr>
            <w:tcW w:w="1209" w:type="dxa"/>
            <w:tcBorders>
              <w:top w:val="single" w:color="auto" w:sz="4" w:space="0"/>
              <w:left w:val="single" w:color="auto" w:sz="4" w:space="0"/>
              <w:bottom w:val="single" w:color="auto" w:sz="4" w:space="0"/>
              <w:right w:val="single" w:color="auto" w:sz="4" w:space="0"/>
            </w:tcBorders>
            <w:vAlign w:val="center"/>
          </w:tcPr>
          <w:p w14:paraId="2261093D">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荣誉名称</w:t>
            </w: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FF5D61C">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颁发部门</w:t>
            </w: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1C668988">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颁发时间</w:t>
            </w:r>
          </w:p>
        </w:tc>
        <w:tc>
          <w:tcPr>
            <w:tcW w:w="1571" w:type="dxa"/>
            <w:tcBorders>
              <w:top w:val="single" w:color="auto" w:sz="4" w:space="0"/>
              <w:left w:val="single" w:color="auto" w:sz="4" w:space="0"/>
              <w:bottom w:val="single" w:color="auto" w:sz="4" w:space="0"/>
            </w:tcBorders>
            <w:vAlign w:val="center"/>
          </w:tcPr>
          <w:p w14:paraId="77C75C1E">
            <w:pPr>
              <w:widowControl/>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有效期</w:t>
            </w:r>
          </w:p>
        </w:tc>
      </w:tr>
      <w:tr w14:paraId="0611E1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4DBB14CB">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63B9E06A">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363C32FD">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59605C8F">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41071F24">
            <w:pPr>
              <w:spacing w:line="360" w:lineRule="auto"/>
              <w:textAlignment w:val="baseline"/>
              <w:rPr>
                <w:rFonts w:hint="eastAsia" w:ascii="仿宋" w:hAnsi="仿宋" w:eastAsia="仿宋" w:cs="仿宋"/>
                <w:color w:val="auto"/>
                <w:sz w:val="20"/>
                <w:szCs w:val="21"/>
                <w:highlight w:val="none"/>
                <w:u w:val="single"/>
              </w:rPr>
            </w:pPr>
          </w:p>
        </w:tc>
      </w:tr>
      <w:tr w14:paraId="68F4D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right w:val="single" w:color="auto" w:sz="4" w:space="0"/>
            </w:tcBorders>
            <w:vAlign w:val="center"/>
          </w:tcPr>
          <w:p w14:paraId="4D3CFD38">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74480E13">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51FEBB98">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2306FE25">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2EAEDF76">
            <w:pPr>
              <w:spacing w:line="360" w:lineRule="auto"/>
              <w:textAlignment w:val="baseline"/>
              <w:rPr>
                <w:rFonts w:hint="eastAsia" w:ascii="仿宋" w:hAnsi="仿宋" w:eastAsia="仿宋" w:cs="仿宋"/>
                <w:color w:val="auto"/>
                <w:sz w:val="20"/>
                <w:szCs w:val="21"/>
                <w:highlight w:val="none"/>
                <w:u w:val="single"/>
              </w:rPr>
            </w:pPr>
          </w:p>
        </w:tc>
      </w:tr>
      <w:tr w14:paraId="0CF3D4C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4" w:hRule="atLeast"/>
          <w:jc w:val="center"/>
        </w:trPr>
        <w:tc>
          <w:tcPr>
            <w:tcW w:w="1768" w:type="dxa"/>
            <w:vMerge w:val="continue"/>
            <w:tcBorders>
              <w:bottom w:val="single" w:color="auto" w:sz="4" w:space="0"/>
              <w:right w:val="single" w:color="auto" w:sz="4" w:space="0"/>
            </w:tcBorders>
            <w:vAlign w:val="center"/>
          </w:tcPr>
          <w:p w14:paraId="46E1FC42">
            <w:pPr>
              <w:spacing w:line="360" w:lineRule="auto"/>
              <w:jc w:val="center"/>
              <w:textAlignment w:val="baseline"/>
              <w:rPr>
                <w:rFonts w:hint="eastAsia" w:ascii="仿宋" w:hAnsi="仿宋" w:eastAsia="仿宋" w:cs="仿宋"/>
                <w:color w:val="auto"/>
                <w:sz w:val="20"/>
                <w:szCs w:val="21"/>
                <w:highlight w:val="none"/>
              </w:rPr>
            </w:pPr>
          </w:p>
        </w:tc>
        <w:tc>
          <w:tcPr>
            <w:tcW w:w="1209" w:type="dxa"/>
            <w:tcBorders>
              <w:top w:val="single" w:color="auto" w:sz="4" w:space="0"/>
              <w:left w:val="single" w:color="auto" w:sz="4" w:space="0"/>
              <w:bottom w:val="single" w:color="auto" w:sz="4" w:space="0"/>
              <w:right w:val="single" w:color="auto" w:sz="4" w:space="0"/>
            </w:tcBorders>
            <w:vAlign w:val="center"/>
          </w:tcPr>
          <w:p w14:paraId="21EDDBE5">
            <w:pPr>
              <w:spacing w:line="360" w:lineRule="auto"/>
              <w:textAlignment w:val="baseline"/>
              <w:rPr>
                <w:rFonts w:hint="eastAsia" w:ascii="仿宋" w:hAnsi="仿宋" w:eastAsia="仿宋" w:cs="仿宋"/>
                <w:color w:val="auto"/>
                <w:sz w:val="20"/>
                <w:szCs w:val="21"/>
                <w:highlight w:val="none"/>
                <w:u w:val="single"/>
              </w:rPr>
            </w:pPr>
          </w:p>
        </w:tc>
        <w:tc>
          <w:tcPr>
            <w:tcW w:w="2854" w:type="dxa"/>
            <w:gridSpan w:val="2"/>
            <w:tcBorders>
              <w:top w:val="single" w:color="auto" w:sz="4" w:space="0"/>
              <w:left w:val="single" w:color="auto" w:sz="4" w:space="0"/>
              <w:bottom w:val="single" w:color="auto" w:sz="4" w:space="0"/>
              <w:right w:val="single" w:color="auto" w:sz="4" w:space="0"/>
            </w:tcBorders>
            <w:vAlign w:val="center"/>
          </w:tcPr>
          <w:p w14:paraId="13EE2E11">
            <w:pPr>
              <w:spacing w:line="360" w:lineRule="auto"/>
              <w:textAlignment w:val="baseline"/>
              <w:rPr>
                <w:rFonts w:hint="eastAsia" w:ascii="仿宋" w:hAnsi="仿宋" w:eastAsia="仿宋" w:cs="仿宋"/>
                <w:color w:val="auto"/>
                <w:sz w:val="20"/>
                <w:szCs w:val="21"/>
                <w:highlight w:val="none"/>
                <w:u w:val="single"/>
              </w:rPr>
            </w:pPr>
          </w:p>
        </w:tc>
        <w:tc>
          <w:tcPr>
            <w:tcW w:w="1841" w:type="dxa"/>
            <w:gridSpan w:val="2"/>
            <w:tcBorders>
              <w:top w:val="single" w:color="auto" w:sz="4" w:space="0"/>
              <w:left w:val="single" w:color="auto" w:sz="4" w:space="0"/>
              <w:bottom w:val="single" w:color="auto" w:sz="4" w:space="0"/>
              <w:right w:val="single" w:color="auto" w:sz="4" w:space="0"/>
            </w:tcBorders>
            <w:vAlign w:val="center"/>
          </w:tcPr>
          <w:p w14:paraId="10B7B2E4">
            <w:pPr>
              <w:spacing w:line="360" w:lineRule="auto"/>
              <w:textAlignment w:val="baseline"/>
              <w:rPr>
                <w:rFonts w:hint="eastAsia" w:ascii="仿宋" w:hAnsi="仿宋" w:eastAsia="仿宋" w:cs="仿宋"/>
                <w:color w:val="auto"/>
                <w:sz w:val="20"/>
                <w:szCs w:val="21"/>
                <w:highlight w:val="none"/>
                <w:u w:val="single"/>
              </w:rPr>
            </w:pPr>
          </w:p>
        </w:tc>
        <w:tc>
          <w:tcPr>
            <w:tcW w:w="1571" w:type="dxa"/>
            <w:tcBorders>
              <w:top w:val="single" w:color="auto" w:sz="4" w:space="0"/>
              <w:left w:val="single" w:color="auto" w:sz="4" w:space="0"/>
              <w:bottom w:val="single" w:color="auto" w:sz="4" w:space="0"/>
            </w:tcBorders>
            <w:vAlign w:val="center"/>
          </w:tcPr>
          <w:p w14:paraId="70C2BF00">
            <w:pPr>
              <w:spacing w:line="360" w:lineRule="auto"/>
              <w:textAlignment w:val="baseline"/>
              <w:rPr>
                <w:rFonts w:hint="eastAsia" w:ascii="仿宋" w:hAnsi="仿宋" w:eastAsia="仿宋" w:cs="仿宋"/>
                <w:color w:val="auto"/>
                <w:sz w:val="20"/>
                <w:szCs w:val="21"/>
                <w:highlight w:val="none"/>
                <w:u w:val="single"/>
              </w:rPr>
            </w:pPr>
          </w:p>
        </w:tc>
      </w:tr>
      <w:tr w14:paraId="5069170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6" w:hRule="atLeast"/>
          <w:jc w:val="center"/>
        </w:trPr>
        <w:tc>
          <w:tcPr>
            <w:tcW w:w="1768" w:type="dxa"/>
            <w:tcBorders>
              <w:top w:val="single" w:color="auto" w:sz="4" w:space="0"/>
              <w:bottom w:val="single" w:color="auto" w:sz="4" w:space="0"/>
              <w:right w:val="single" w:color="auto" w:sz="4" w:space="0"/>
            </w:tcBorders>
            <w:vAlign w:val="center"/>
          </w:tcPr>
          <w:p w14:paraId="03EEDC9D">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经营范围</w:t>
            </w:r>
          </w:p>
        </w:tc>
        <w:tc>
          <w:tcPr>
            <w:tcW w:w="7475" w:type="dxa"/>
            <w:gridSpan w:val="6"/>
            <w:tcBorders>
              <w:top w:val="single" w:color="auto" w:sz="4" w:space="0"/>
              <w:left w:val="single" w:color="auto" w:sz="4" w:space="0"/>
              <w:bottom w:val="single" w:color="auto" w:sz="4" w:space="0"/>
            </w:tcBorders>
            <w:vAlign w:val="center"/>
          </w:tcPr>
          <w:p w14:paraId="611020A2">
            <w:pPr>
              <w:pStyle w:val="9"/>
              <w:tabs>
                <w:tab w:val="left" w:pos="1800"/>
                <w:tab w:val="left" w:pos="1980"/>
              </w:tabs>
              <w:spacing w:line="360" w:lineRule="auto"/>
              <w:ind w:left="420" w:firstLine="42"/>
              <w:textAlignment w:val="baseline"/>
              <w:rPr>
                <w:rFonts w:hint="eastAsia" w:ascii="仿宋" w:hAnsi="仿宋" w:eastAsia="仿宋" w:cs="仿宋"/>
                <w:color w:val="auto"/>
                <w:sz w:val="21"/>
                <w:szCs w:val="21"/>
                <w:highlight w:val="none"/>
              </w:rPr>
            </w:pPr>
          </w:p>
        </w:tc>
      </w:tr>
      <w:tr w14:paraId="3D3A87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9" w:hRule="atLeast"/>
          <w:jc w:val="center"/>
        </w:trPr>
        <w:tc>
          <w:tcPr>
            <w:tcW w:w="1768" w:type="dxa"/>
            <w:tcBorders>
              <w:top w:val="single" w:color="auto" w:sz="4" w:space="0"/>
              <w:bottom w:val="single" w:color="auto" w:sz="4" w:space="0"/>
              <w:right w:val="single" w:color="auto" w:sz="4" w:space="0"/>
            </w:tcBorders>
            <w:vAlign w:val="center"/>
          </w:tcPr>
          <w:p w14:paraId="10DB42C2">
            <w:pPr>
              <w:spacing w:line="360" w:lineRule="auto"/>
              <w:jc w:val="center"/>
              <w:textAlignment w:val="baseline"/>
              <w:rPr>
                <w:rFonts w:hint="eastAsia" w:ascii="仿宋" w:hAnsi="仿宋" w:eastAsia="仿宋" w:cs="仿宋"/>
                <w:bCs/>
                <w:color w:val="auto"/>
                <w:sz w:val="20"/>
                <w:szCs w:val="21"/>
                <w:highlight w:val="none"/>
              </w:rPr>
            </w:pPr>
            <w:r>
              <w:rPr>
                <w:rFonts w:hint="eastAsia" w:ascii="仿宋" w:hAnsi="仿宋" w:eastAsia="仿宋" w:cs="仿宋"/>
                <w:bCs/>
                <w:color w:val="auto"/>
                <w:szCs w:val="21"/>
                <w:highlight w:val="none"/>
              </w:rPr>
              <w:t>其他</w:t>
            </w:r>
          </w:p>
        </w:tc>
        <w:tc>
          <w:tcPr>
            <w:tcW w:w="7475" w:type="dxa"/>
            <w:gridSpan w:val="6"/>
            <w:tcBorders>
              <w:top w:val="single" w:color="auto" w:sz="4" w:space="0"/>
              <w:left w:val="single" w:color="auto" w:sz="4" w:space="0"/>
              <w:bottom w:val="single" w:color="auto" w:sz="4" w:space="0"/>
            </w:tcBorders>
            <w:vAlign w:val="center"/>
          </w:tcPr>
          <w:p w14:paraId="660B2C78">
            <w:pPr>
              <w:spacing w:line="360" w:lineRule="auto"/>
              <w:textAlignment w:val="baseline"/>
              <w:rPr>
                <w:rFonts w:hint="eastAsia" w:ascii="仿宋" w:hAnsi="仿宋" w:eastAsia="仿宋" w:cs="仿宋"/>
                <w:bCs/>
                <w:color w:val="auto"/>
                <w:sz w:val="20"/>
                <w:szCs w:val="21"/>
                <w:highlight w:val="none"/>
              </w:rPr>
            </w:pPr>
          </w:p>
        </w:tc>
      </w:tr>
    </w:tbl>
    <w:p w14:paraId="43BEF5A8">
      <w:pPr>
        <w:spacing w:line="360" w:lineRule="auto"/>
        <w:ind w:firstLine="90"/>
        <w:textAlignment w:val="baseline"/>
        <w:rPr>
          <w:rFonts w:hint="eastAsia" w:ascii="仿宋" w:hAnsi="仿宋" w:eastAsia="仿宋" w:cs="仿宋"/>
          <w:color w:val="auto"/>
          <w:sz w:val="18"/>
          <w:szCs w:val="18"/>
          <w:highlight w:val="none"/>
        </w:rPr>
      </w:pPr>
      <w:r>
        <w:rPr>
          <w:rFonts w:hint="eastAsia" w:ascii="仿宋" w:hAnsi="仿宋" w:eastAsia="仿宋" w:cs="仿宋"/>
          <w:color w:val="auto"/>
          <w:sz w:val="18"/>
          <w:szCs w:val="18"/>
          <w:highlight w:val="none"/>
        </w:rPr>
        <w:t>注：1、表格内容不够,可另附页。</w:t>
      </w:r>
    </w:p>
    <w:p w14:paraId="121CA005">
      <w:pPr>
        <w:spacing w:line="360" w:lineRule="auto"/>
        <w:ind w:firstLine="435"/>
        <w:textAlignment w:val="baseline"/>
        <w:rPr>
          <w:rFonts w:hint="eastAsia" w:ascii="仿宋" w:hAnsi="仿宋" w:eastAsia="仿宋" w:cs="仿宋"/>
          <w:b/>
          <w:color w:val="auto"/>
          <w:sz w:val="24"/>
          <w:highlight w:val="none"/>
        </w:rPr>
      </w:pPr>
      <w:r>
        <w:rPr>
          <w:rFonts w:hint="eastAsia" w:ascii="仿宋" w:hAnsi="仿宋" w:eastAsia="仿宋" w:cs="仿宋"/>
          <w:color w:val="auto"/>
          <w:sz w:val="18"/>
          <w:szCs w:val="18"/>
          <w:highlight w:val="none"/>
        </w:rPr>
        <w:t>2、企业营业执照、所获认证证书、荣誉资料的复印件附后。</w:t>
      </w:r>
    </w:p>
    <w:p w14:paraId="14F0CBCE">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0B969226">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日期：</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月</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日</w:t>
      </w:r>
    </w:p>
    <w:p w14:paraId="1C399A78">
      <w:pPr>
        <w:spacing w:line="460" w:lineRule="exact"/>
        <w:textAlignment w:val="baseline"/>
        <w:rPr>
          <w:rFonts w:hint="eastAsia" w:ascii="仿宋" w:hAnsi="仿宋" w:eastAsia="仿宋" w:cs="仿宋"/>
          <w:b/>
          <w:bCs/>
          <w:color w:val="auto"/>
          <w:kern w:val="0"/>
          <w:sz w:val="30"/>
          <w:szCs w:val="30"/>
          <w:highlight w:val="none"/>
        </w:rPr>
      </w:pPr>
      <w:r>
        <w:rPr>
          <w:rFonts w:hint="eastAsia" w:ascii="仿宋" w:hAnsi="仿宋" w:eastAsia="仿宋" w:cs="仿宋"/>
          <w:b/>
          <w:bCs/>
          <w:color w:val="auto"/>
          <w:kern w:val="0"/>
          <w:sz w:val="30"/>
          <w:szCs w:val="30"/>
          <w:highlight w:val="none"/>
        </w:rPr>
        <w:br w:type="page"/>
      </w:r>
    </w:p>
    <w:p w14:paraId="04191D2B">
      <w:pPr>
        <w:spacing w:line="460" w:lineRule="exact"/>
        <w:textAlignment w:val="baseline"/>
        <w:outlineLvl w:val="0"/>
        <w:rPr>
          <w:rFonts w:hint="eastAsia" w:ascii="仿宋" w:hAnsi="仿宋" w:eastAsia="仿宋" w:cs="仿宋"/>
          <w:b/>
          <w:color w:val="auto"/>
          <w:sz w:val="30"/>
          <w:highlight w:val="none"/>
          <w:lang w:eastAsia="zh-CN"/>
        </w:rPr>
      </w:pPr>
      <w:bookmarkStart w:id="135" w:name="_Toc2953"/>
      <w:bookmarkStart w:id="136" w:name="_Toc4392"/>
      <w:bookmarkStart w:id="137" w:name="_Toc13258"/>
      <w:bookmarkStart w:id="138" w:name="_Toc3763"/>
      <w:r>
        <w:rPr>
          <w:rFonts w:hint="eastAsia" w:ascii="仿宋" w:hAnsi="仿宋" w:eastAsia="仿宋" w:cs="仿宋"/>
          <w:b/>
          <w:bCs/>
          <w:color w:val="auto"/>
          <w:sz w:val="22"/>
          <w:highlight w:val="none"/>
        </w:rPr>
        <w:t>附件</w:t>
      </w:r>
      <w:bookmarkEnd w:id="135"/>
      <w:bookmarkEnd w:id="136"/>
      <w:bookmarkEnd w:id="137"/>
      <w:bookmarkEnd w:id="138"/>
      <w:r>
        <w:rPr>
          <w:rFonts w:hint="eastAsia" w:ascii="仿宋" w:hAnsi="仿宋" w:eastAsia="仿宋" w:cs="仿宋"/>
          <w:b/>
          <w:bCs/>
          <w:color w:val="auto"/>
          <w:sz w:val="22"/>
          <w:highlight w:val="none"/>
          <w:lang w:val="en-US" w:eastAsia="zh-CN"/>
        </w:rPr>
        <w:t>6</w:t>
      </w:r>
    </w:p>
    <w:p w14:paraId="45D8A854">
      <w:pPr>
        <w:widowControl/>
        <w:spacing w:line="420" w:lineRule="atLeast"/>
        <w:jc w:val="center"/>
        <w:rPr>
          <w:rFonts w:hint="eastAsia" w:ascii="仿宋" w:hAnsi="仿宋" w:eastAsia="仿宋" w:cs="仿宋"/>
          <w:b/>
          <w:bCs/>
          <w:color w:val="auto"/>
          <w:kern w:val="0"/>
          <w:sz w:val="30"/>
          <w:szCs w:val="30"/>
          <w:lang w:val="en-US" w:eastAsia="zh-CN"/>
        </w:rPr>
      </w:pPr>
      <w:r>
        <w:rPr>
          <w:rFonts w:hint="eastAsia" w:ascii="仿宋" w:hAnsi="仿宋" w:eastAsia="仿宋" w:cs="仿宋"/>
          <w:b/>
          <w:bCs/>
          <w:color w:val="auto"/>
          <w:kern w:val="0"/>
          <w:sz w:val="30"/>
          <w:szCs w:val="30"/>
          <w:lang w:val="en-US" w:eastAsia="zh-CN"/>
        </w:rPr>
        <w:t>偏离表</w:t>
      </w:r>
    </w:p>
    <w:p w14:paraId="75BA4E54">
      <w:pPr>
        <w:pStyle w:val="47"/>
        <w:rPr>
          <w:rFonts w:hint="eastAsia" w:ascii="仿宋" w:hAnsi="仿宋" w:eastAsia="仿宋" w:cs="仿宋"/>
          <w:color w:val="auto"/>
          <w:highlight w:val="none"/>
        </w:rPr>
      </w:pPr>
    </w:p>
    <w:p w14:paraId="1E7FF0BE">
      <w:pPr>
        <w:spacing w:line="360" w:lineRule="auto"/>
        <w:rPr>
          <w:rFonts w:hint="eastAsia" w:ascii="仿宋" w:hAnsi="仿宋" w:eastAsia="仿宋" w:cs="仿宋"/>
          <w:color w:val="auto"/>
          <w:highlight w:val="none"/>
          <w:lang w:eastAsia="zh-CN"/>
        </w:rPr>
      </w:pPr>
      <w:r>
        <w:rPr>
          <w:rFonts w:hint="eastAsia" w:ascii="仿宋" w:hAnsi="仿宋" w:eastAsia="仿宋" w:cs="仿宋"/>
          <w:color w:val="auto"/>
          <w:highlight w:val="none"/>
        </w:rPr>
        <w:t>项目名称：</w:t>
      </w:r>
      <w:r>
        <w:rPr>
          <w:rFonts w:hint="eastAsia" w:ascii="仿宋" w:hAnsi="仿宋" w:eastAsia="仿宋" w:cs="仿宋"/>
          <w:color w:val="auto"/>
          <w:highlight w:val="none"/>
          <w:lang w:eastAsia="zh-CN"/>
        </w:rPr>
        <w:t xml:space="preserve"> 常山县城东新区狮子口片区控规调整</w:t>
      </w:r>
    </w:p>
    <w:p w14:paraId="6755FBC6">
      <w:pPr>
        <w:spacing w:line="360" w:lineRule="auto"/>
        <w:rPr>
          <w:rFonts w:hint="eastAsia" w:ascii="仿宋" w:hAnsi="仿宋" w:eastAsia="仿宋" w:cs="仿宋"/>
          <w:color w:val="auto"/>
          <w:szCs w:val="21"/>
          <w:u w:val="single"/>
        </w:rPr>
      </w:pPr>
      <w:r>
        <w:rPr>
          <w:rFonts w:hint="eastAsia" w:ascii="仿宋" w:hAnsi="仿宋" w:eastAsia="仿宋" w:cs="仿宋"/>
          <w:color w:val="auto"/>
          <w:highlight w:val="none"/>
        </w:rPr>
        <w:t>项目编号：</w:t>
      </w:r>
      <w:r>
        <w:rPr>
          <w:rFonts w:hint="eastAsia" w:ascii="仿宋" w:hAnsi="仿宋" w:eastAsia="仿宋" w:cs="仿宋"/>
          <w:color w:val="auto"/>
          <w:highlight w:val="none"/>
          <w:lang w:eastAsia="zh-CN"/>
        </w:rPr>
        <w:t>GXZFCG-2025-CS003</w:t>
      </w:r>
    </w:p>
    <w:tbl>
      <w:tblPr>
        <w:tblStyle w:val="32"/>
        <w:tblW w:w="95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428"/>
        <w:gridCol w:w="1635"/>
        <w:gridCol w:w="2040"/>
        <w:gridCol w:w="1710"/>
        <w:gridCol w:w="2775"/>
      </w:tblGrid>
      <w:tr w14:paraId="3B1AE5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296"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center"/>
          </w:tcPr>
          <w:p w14:paraId="46AA1D30">
            <w:pPr>
              <w:spacing w:before="156" w:line="360" w:lineRule="auto"/>
              <w:jc w:val="center"/>
              <w:rPr>
                <w:rFonts w:hint="eastAsia" w:ascii="仿宋" w:hAnsi="仿宋" w:eastAsia="仿宋" w:cs="仿宋"/>
                <w:b/>
                <w:color w:val="auto"/>
                <w:szCs w:val="21"/>
              </w:rPr>
            </w:pPr>
            <w:r>
              <w:rPr>
                <w:rFonts w:hint="eastAsia" w:ascii="仿宋" w:hAnsi="仿宋" w:eastAsia="仿宋" w:cs="仿宋"/>
                <w:b/>
                <w:color w:val="auto"/>
                <w:szCs w:val="21"/>
                <w:highlight w:val="none"/>
              </w:rPr>
              <w:t>序号</w:t>
            </w:r>
          </w:p>
        </w:tc>
        <w:tc>
          <w:tcPr>
            <w:tcW w:w="1635" w:type="dxa"/>
            <w:tcBorders>
              <w:top w:val="single" w:color="auto" w:sz="4" w:space="0"/>
              <w:left w:val="single" w:color="auto" w:sz="4" w:space="0"/>
              <w:bottom w:val="single" w:color="auto" w:sz="4" w:space="0"/>
              <w:right w:val="single" w:color="auto" w:sz="4" w:space="0"/>
            </w:tcBorders>
            <w:noWrap w:val="0"/>
            <w:vAlign w:val="center"/>
          </w:tcPr>
          <w:p w14:paraId="5656B7B4">
            <w:pPr>
              <w:spacing w:before="156" w:line="360" w:lineRule="auto"/>
              <w:jc w:val="center"/>
              <w:rPr>
                <w:rFonts w:hint="eastAsia" w:ascii="仿宋" w:hAnsi="仿宋" w:eastAsia="仿宋" w:cs="仿宋"/>
                <w:b/>
                <w:color w:val="auto"/>
                <w:szCs w:val="21"/>
              </w:rPr>
            </w:pPr>
            <w:r>
              <w:rPr>
                <w:rFonts w:hint="eastAsia" w:ascii="仿宋" w:hAnsi="仿宋" w:eastAsia="仿宋" w:cs="仿宋"/>
                <w:b/>
                <w:color w:val="auto"/>
                <w:szCs w:val="21"/>
                <w:highlight w:val="none"/>
              </w:rPr>
              <w:t>内容</w:t>
            </w:r>
          </w:p>
        </w:tc>
        <w:tc>
          <w:tcPr>
            <w:tcW w:w="2040" w:type="dxa"/>
            <w:tcBorders>
              <w:top w:val="single" w:color="auto" w:sz="4" w:space="0"/>
              <w:left w:val="single" w:color="auto" w:sz="4" w:space="0"/>
              <w:bottom w:val="single" w:color="auto" w:sz="4" w:space="0"/>
              <w:right w:val="single" w:color="auto" w:sz="4" w:space="0"/>
            </w:tcBorders>
            <w:noWrap w:val="0"/>
            <w:vAlign w:val="center"/>
          </w:tcPr>
          <w:p w14:paraId="029E0DAA">
            <w:pPr>
              <w:spacing w:before="156" w:line="360" w:lineRule="auto"/>
              <w:jc w:val="center"/>
              <w:rPr>
                <w:rFonts w:hint="eastAsia" w:ascii="仿宋" w:hAnsi="仿宋" w:eastAsia="仿宋" w:cs="仿宋"/>
                <w:b/>
                <w:color w:val="auto"/>
                <w:szCs w:val="21"/>
              </w:rPr>
            </w:pPr>
            <w:r>
              <w:rPr>
                <w:rFonts w:hint="eastAsia" w:ascii="仿宋" w:hAnsi="仿宋" w:eastAsia="仿宋" w:cs="仿宋"/>
                <w:b/>
                <w:color w:val="auto"/>
                <w:szCs w:val="21"/>
                <w:highlight w:val="none"/>
              </w:rPr>
              <w:t>采购文件规范要求</w:t>
            </w:r>
          </w:p>
        </w:tc>
        <w:tc>
          <w:tcPr>
            <w:tcW w:w="1710" w:type="dxa"/>
            <w:tcBorders>
              <w:top w:val="single" w:color="auto" w:sz="4" w:space="0"/>
              <w:left w:val="single" w:color="auto" w:sz="4" w:space="0"/>
              <w:bottom w:val="single" w:color="auto" w:sz="4" w:space="0"/>
              <w:right w:val="single" w:color="auto" w:sz="4" w:space="0"/>
            </w:tcBorders>
            <w:noWrap w:val="0"/>
            <w:vAlign w:val="center"/>
          </w:tcPr>
          <w:p w14:paraId="3514E35C">
            <w:pPr>
              <w:spacing w:before="156" w:line="360" w:lineRule="auto"/>
              <w:jc w:val="center"/>
              <w:rPr>
                <w:rFonts w:hint="eastAsia" w:ascii="仿宋" w:hAnsi="仿宋" w:eastAsia="仿宋" w:cs="仿宋"/>
                <w:b/>
                <w:color w:val="auto"/>
                <w:szCs w:val="21"/>
              </w:rPr>
            </w:pPr>
            <w:r>
              <w:rPr>
                <w:rFonts w:hint="eastAsia" w:ascii="仿宋" w:hAnsi="仿宋" w:eastAsia="仿宋" w:cs="仿宋"/>
                <w:b/>
                <w:color w:val="auto"/>
                <w:szCs w:val="21"/>
                <w:highlight w:val="none"/>
              </w:rPr>
              <w:t>投标文件对应规范</w:t>
            </w:r>
          </w:p>
        </w:tc>
        <w:tc>
          <w:tcPr>
            <w:tcW w:w="2775" w:type="dxa"/>
            <w:tcBorders>
              <w:top w:val="single" w:color="auto" w:sz="4" w:space="0"/>
              <w:left w:val="single" w:color="auto" w:sz="4" w:space="0"/>
              <w:bottom w:val="single" w:color="auto" w:sz="4" w:space="0"/>
              <w:right w:val="single" w:color="auto" w:sz="4" w:space="0"/>
            </w:tcBorders>
            <w:noWrap w:val="0"/>
            <w:vAlign w:val="center"/>
          </w:tcPr>
          <w:p w14:paraId="61915CC1">
            <w:pPr>
              <w:spacing w:before="156" w:line="360" w:lineRule="auto"/>
              <w:jc w:val="center"/>
              <w:rPr>
                <w:rFonts w:hint="eastAsia" w:ascii="仿宋" w:hAnsi="仿宋" w:eastAsia="仿宋" w:cs="仿宋"/>
                <w:b/>
                <w:color w:val="auto"/>
                <w:szCs w:val="21"/>
              </w:rPr>
            </w:pPr>
            <w:r>
              <w:rPr>
                <w:rFonts w:hint="eastAsia" w:ascii="仿宋" w:hAnsi="仿宋" w:eastAsia="仿宋" w:cs="仿宋"/>
                <w:b/>
                <w:color w:val="auto"/>
                <w:szCs w:val="21"/>
                <w:highlight w:val="none"/>
              </w:rPr>
              <w:t>偏离情况</w:t>
            </w:r>
          </w:p>
        </w:tc>
      </w:tr>
      <w:tr w14:paraId="414C2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877"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top"/>
          </w:tcPr>
          <w:p w14:paraId="4D749655">
            <w:pPr>
              <w:spacing w:before="156" w:line="360" w:lineRule="auto"/>
              <w:rPr>
                <w:rFonts w:hint="eastAsia" w:ascii="仿宋" w:hAnsi="仿宋" w:eastAsia="仿宋" w:cs="仿宋"/>
                <w:color w:val="auto"/>
                <w:szCs w:val="21"/>
              </w:rPr>
            </w:pPr>
          </w:p>
        </w:tc>
        <w:tc>
          <w:tcPr>
            <w:tcW w:w="1635" w:type="dxa"/>
            <w:vMerge w:val="restart"/>
            <w:tcBorders>
              <w:top w:val="single" w:color="auto" w:sz="4" w:space="0"/>
              <w:left w:val="single" w:color="auto" w:sz="4" w:space="0"/>
              <w:bottom w:val="single" w:color="auto" w:sz="4" w:space="0"/>
              <w:right w:val="single" w:color="auto" w:sz="4" w:space="0"/>
            </w:tcBorders>
            <w:noWrap w:val="0"/>
            <w:vAlign w:val="center"/>
          </w:tcPr>
          <w:p w14:paraId="3A0C3C69">
            <w:pPr>
              <w:spacing w:before="156" w:line="360" w:lineRule="auto"/>
              <w:jc w:val="center"/>
              <w:rPr>
                <w:rFonts w:hint="eastAsia" w:ascii="仿宋" w:hAnsi="仿宋" w:eastAsia="仿宋" w:cs="仿宋"/>
                <w:color w:val="auto"/>
                <w:szCs w:val="21"/>
              </w:rPr>
            </w:pPr>
            <w:r>
              <w:rPr>
                <w:rFonts w:hint="eastAsia" w:ascii="仿宋" w:hAnsi="仿宋" w:eastAsia="仿宋" w:cs="仿宋"/>
                <w:b/>
                <w:bCs/>
                <w:color w:val="auto"/>
                <w:szCs w:val="21"/>
                <w:highlight w:val="none"/>
                <w:lang w:val="en-US" w:eastAsia="zh-CN"/>
              </w:rPr>
              <w:t>商务要求</w:t>
            </w:r>
          </w:p>
        </w:tc>
        <w:tc>
          <w:tcPr>
            <w:tcW w:w="2040" w:type="dxa"/>
            <w:tcBorders>
              <w:top w:val="single" w:color="auto" w:sz="4" w:space="0"/>
              <w:left w:val="single" w:color="auto" w:sz="4" w:space="0"/>
              <w:bottom w:val="single" w:color="auto" w:sz="4" w:space="0"/>
              <w:right w:val="single" w:color="auto" w:sz="4" w:space="0"/>
            </w:tcBorders>
            <w:noWrap w:val="0"/>
            <w:vAlign w:val="top"/>
          </w:tcPr>
          <w:p w14:paraId="349C6B8E">
            <w:pPr>
              <w:spacing w:before="156" w:line="360" w:lineRule="auto"/>
              <w:ind w:firstLine="420" w:firstLineChars="200"/>
              <w:rPr>
                <w:rFonts w:hint="eastAsia" w:ascii="仿宋" w:hAnsi="仿宋" w:eastAsia="仿宋" w:cs="仿宋"/>
                <w:color w:val="auto"/>
                <w:szCs w:val="21"/>
              </w:rPr>
            </w:pPr>
          </w:p>
        </w:tc>
        <w:tc>
          <w:tcPr>
            <w:tcW w:w="1710" w:type="dxa"/>
            <w:tcBorders>
              <w:top w:val="single" w:color="auto" w:sz="4" w:space="0"/>
              <w:left w:val="single" w:color="auto" w:sz="4" w:space="0"/>
              <w:bottom w:val="single" w:color="auto" w:sz="4" w:space="0"/>
              <w:right w:val="single" w:color="auto" w:sz="4" w:space="0"/>
            </w:tcBorders>
            <w:noWrap w:val="0"/>
            <w:vAlign w:val="top"/>
          </w:tcPr>
          <w:p w14:paraId="348DD397">
            <w:pPr>
              <w:spacing w:before="156" w:line="360" w:lineRule="auto"/>
              <w:ind w:firstLine="420" w:firstLineChars="200"/>
              <w:rPr>
                <w:rFonts w:hint="eastAsia" w:ascii="仿宋" w:hAnsi="仿宋" w:eastAsia="仿宋" w:cs="仿宋"/>
                <w:color w:val="auto"/>
                <w:szCs w:val="21"/>
              </w:rPr>
            </w:pPr>
          </w:p>
        </w:tc>
        <w:tc>
          <w:tcPr>
            <w:tcW w:w="2775" w:type="dxa"/>
            <w:tcBorders>
              <w:top w:val="single" w:color="auto" w:sz="4" w:space="0"/>
              <w:left w:val="single" w:color="auto" w:sz="4" w:space="0"/>
              <w:bottom w:val="single" w:color="auto" w:sz="4" w:space="0"/>
              <w:right w:val="single" w:color="auto" w:sz="4" w:space="0"/>
            </w:tcBorders>
            <w:noWrap w:val="0"/>
            <w:vAlign w:val="top"/>
          </w:tcPr>
          <w:p w14:paraId="4A2B0D7E">
            <w:pPr>
              <w:spacing w:before="156" w:line="360" w:lineRule="auto"/>
              <w:ind w:firstLine="420" w:firstLineChars="200"/>
              <w:rPr>
                <w:rFonts w:hint="eastAsia" w:ascii="仿宋" w:hAnsi="仿宋" w:eastAsia="仿宋" w:cs="仿宋"/>
                <w:color w:val="auto"/>
                <w:szCs w:val="21"/>
              </w:rPr>
            </w:pPr>
          </w:p>
        </w:tc>
      </w:tr>
      <w:tr w14:paraId="33ED0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top"/>
          </w:tcPr>
          <w:p w14:paraId="0B536571">
            <w:pPr>
              <w:spacing w:before="156" w:line="360" w:lineRule="auto"/>
              <w:ind w:firstLine="420" w:firstLineChars="200"/>
              <w:rPr>
                <w:rFonts w:hint="eastAsia" w:ascii="仿宋" w:hAnsi="仿宋" w:eastAsia="仿宋" w:cs="仿宋"/>
                <w:color w:val="auto"/>
                <w:szCs w:val="21"/>
              </w:rPr>
            </w:pPr>
          </w:p>
        </w:tc>
        <w:tc>
          <w:tcPr>
            <w:tcW w:w="1635" w:type="dxa"/>
            <w:vMerge w:val="continue"/>
            <w:tcBorders>
              <w:top w:val="single" w:color="auto" w:sz="4" w:space="0"/>
              <w:left w:val="single" w:color="auto" w:sz="4" w:space="0"/>
              <w:bottom w:val="single" w:color="auto" w:sz="4" w:space="0"/>
              <w:right w:val="single" w:color="auto" w:sz="4" w:space="0"/>
            </w:tcBorders>
            <w:noWrap w:val="0"/>
            <w:vAlign w:val="center"/>
          </w:tcPr>
          <w:p w14:paraId="1D365136">
            <w:pPr>
              <w:spacing w:before="156" w:line="360" w:lineRule="auto"/>
              <w:ind w:firstLine="420" w:firstLineChars="200"/>
              <w:jc w:val="center"/>
              <w:rPr>
                <w:rFonts w:hint="eastAsia" w:ascii="仿宋" w:hAnsi="仿宋" w:eastAsia="仿宋" w:cs="仿宋"/>
                <w:color w:val="auto"/>
                <w:szCs w:val="21"/>
              </w:rPr>
            </w:pPr>
          </w:p>
        </w:tc>
        <w:tc>
          <w:tcPr>
            <w:tcW w:w="2040" w:type="dxa"/>
            <w:tcBorders>
              <w:top w:val="single" w:color="auto" w:sz="4" w:space="0"/>
              <w:left w:val="single" w:color="auto" w:sz="4" w:space="0"/>
              <w:bottom w:val="single" w:color="auto" w:sz="4" w:space="0"/>
              <w:right w:val="single" w:color="auto" w:sz="4" w:space="0"/>
            </w:tcBorders>
            <w:noWrap w:val="0"/>
            <w:vAlign w:val="top"/>
          </w:tcPr>
          <w:p w14:paraId="0D2B5FD1">
            <w:pPr>
              <w:spacing w:before="156" w:line="360" w:lineRule="auto"/>
              <w:ind w:firstLine="420" w:firstLineChars="200"/>
              <w:rPr>
                <w:rFonts w:hint="eastAsia" w:ascii="仿宋" w:hAnsi="仿宋" w:eastAsia="仿宋" w:cs="仿宋"/>
                <w:color w:val="auto"/>
                <w:szCs w:val="21"/>
              </w:rPr>
            </w:pPr>
          </w:p>
        </w:tc>
        <w:tc>
          <w:tcPr>
            <w:tcW w:w="1710" w:type="dxa"/>
            <w:tcBorders>
              <w:top w:val="single" w:color="auto" w:sz="4" w:space="0"/>
              <w:left w:val="single" w:color="auto" w:sz="4" w:space="0"/>
              <w:bottom w:val="single" w:color="auto" w:sz="4" w:space="0"/>
              <w:right w:val="single" w:color="auto" w:sz="4" w:space="0"/>
            </w:tcBorders>
            <w:noWrap w:val="0"/>
            <w:vAlign w:val="top"/>
          </w:tcPr>
          <w:p w14:paraId="7F5CDE9D">
            <w:pPr>
              <w:spacing w:before="156" w:line="360" w:lineRule="auto"/>
              <w:ind w:firstLine="420" w:firstLineChars="200"/>
              <w:rPr>
                <w:rFonts w:hint="eastAsia" w:ascii="仿宋" w:hAnsi="仿宋" w:eastAsia="仿宋" w:cs="仿宋"/>
                <w:color w:val="auto"/>
                <w:szCs w:val="21"/>
              </w:rPr>
            </w:pPr>
          </w:p>
        </w:tc>
        <w:tc>
          <w:tcPr>
            <w:tcW w:w="2775" w:type="dxa"/>
            <w:tcBorders>
              <w:top w:val="single" w:color="auto" w:sz="4" w:space="0"/>
              <w:left w:val="single" w:color="auto" w:sz="4" w:space="0"/>
              <w:bottom w:val="single" w:color="auto" w:sz="4" w:space="0"/>
              <w:right w:val="single" w:color="auto" w:sz="4" w:space="0"/>
            </w:tcBorders>
            <w:noWrap w:val="0"/>
            <w:vAlign w:val="top"/>
          </w:tcPr>
          <w:p w14:paraId="14F26AA6">
            <w:pPr>
              <w:spacing w:before="156" w:line="360" w:lineRule="auto"/>
              <w:ind w:firstLine="420" w:firstLineChars="200"/>
              <w:rPr>
                <w:rFonts w:hint="eastAsia" w:ascii="仿宋" w:hAnsi="仿宋" w:eastAsia="仿宋" w:cs="仿宋"/>
                <w:color w:val="auto"/>
                <w:szCs w:val="21"/>
              </w:rPr>
            </w:pPr>
          </w:p>
        </w:tc>
      </w:tr>
      <w:tr w14:paraId="71D05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top"/>
          </w:tcPr>
          <w:p w14:paraId="0EEC490B">
            <w:pPr>
              <w:spacing w:before="156" w:line="360" w:lineRule="auto"/>
              <w:ind w:firstLine="420" w:firstLineChars="200"/>
              <w:rPr>
                <w:rFonts w:hint="eastAsia" w:ascii="仿宋" w:hAnsi="仿宋" w:eastAsia="仿宋" w:cs="仿宋"/>
                <w:color w:val="auto"/>
                <w:szCs w:val="21"/>
              </w:rPr>
            </w:pPr>
          </w:p>
        </w:tc>
        <w:tc>
          <w:tcPr>
            <w:tcW w:w="1635" w:type="dxa"/>
            <w:vMerge w:val="restart"/>
            <w:tcBorders>
              <w:top w:val="single" w:color="auto" w:sz="4" w:space="0"/>
              <w:left w:val="single" w:color="auto" w:sz="4" w:space="0"/>
              <w:bottom w:val="single" w:color="auto" w:sz="4" w:space="0"/>
              <w:right w:val="single" w:color="auto" w:sz="4" w:space="0"/>
            </w:tcBorders>
            <w:noWrap w:val="0"/>
            <w:vAlign w:val="center"/>
          </w:tcPr>
          <w:p w14:paraId="63EB3643">
            <w:pPr>
              <w:spacing w:before="156" w:line="360" w:lineRule="auto"/>
              <w:jc w:val="center"/>
              <w:rPr>
                <w:rFonts w:hint="eastAsia" w:ascii="仿宋" w:hAnsi="仿宋" w:eastAsia="仿宋" w:cs="仿宋"/>
                <w:color w:val="auto"/>
                <w:szCs w:val="21"/>
              </w:rPr>
            </w:pPr>
            <w:r>
              <w:rPr>
                <w:rFonts w:hint="eastAsia" w:ascii="仿宋" w:hAnsi="仿宋" w:eastAsia="仿宋" w:cs="仿宋"/>
                <w:b/>
                <w:bCs/>
                <w:color w:val="auto"/>
                <w:szCs w:val="21"/>
                <w:highlight w:val="none"/>
                <w:lang w:val="en-US" w:eastAsia="zh-CN"/>
              </w:rPr>
              <w:t>技术要求</w:t>
            </w:r>
          </w:p>
        </w:tc>
        <w:tc>
          <w:tcPr>
            <w:tcW w:w="2040" w:type="dxa"/>
            <w:tcBorders>
              <w:top w:val="single" w:color="auto" w:sz="4" w:space="0"/>
              <w:left w:val="single" w:color="auto" w:sz="4" w:space="0"/>
              <w:bottom w:val="single" w:color="auto" w:sz="4" w:space="0"/>
              <w:right w:val="single" w:color="auto" w:sz="4" w:space="0"/>
            </w:tcBorders>
            <w:noWrap w:val="0"/>
            <w:vAlign w:val="top"/>
          </w:tcPr>
          <w:p w14:paraId="2FAB6EB7">
            <w:pPr>
              <w:spacing w:before="156" w:line="360" w:lineRule="auto"/>
              <w:ind w:firstLine="420" w:firstLineChars="200"/>
              <w:rPr>
                <w:rFonts w:hint="eastAsia" w:ascii="仿宋" w:hAnsi="仿宋" w:eastAsia="仿宋" w:cs="仿宋"/>
                <w:color w:val="auto"/>
                <w:szCs w:val="21"/>
              </w:rPr>
            </w:pPr>
          </w:p>
        </w:tc>
        <w:tc>
          <w:tcPr>
            <w:tcW w:w="1710" w:type="dxa"/>
            <w:tcBorders>
              <w:top w:val="single" w:color="auto" w:sz="4" w:space="0"/>
              <w:left w:val="single" w:color="auto" w:sz="4" w:space="0"/>
              <w:bottom w:val="single" w:color="auto" w:sz="4" w:space="0"/>
              <w:right w:val="single" w:color="auto" w:sz="4" w:space="0"/>
            </w:tcBorders>
            <w:noWrap w:val="0"/>
            <w:vAlign w:val="top"/>
          </w:tcPr>
          <w:p w14:paraId="187BE416">
            <w:pPr>
              <w:spacing w:before="156" w:line="360" w:lineRule="auto"/>
              <w:ind w:firstLine="420" w:firstLineChars="200"/>
              <w:rPr>
                <w:rFonts w:hint="eastAsia" w:ascii="仿宋" w:hAnsi="仿宋" w:eastAsia="仿宋" w:cs="仿宋"/>
                <w:color w:val="auto"/>
                <w:szCs w:val="21"/>
              </w:rPr>
            </w:pPr>
          </w:p>
        </w:tc>
        <w:tc>
          <w:tcPr>
            <w:tcW w:w="2775" w:type="dxa"/>
            <w:tcBorders>
              <w:top w:val="single" w:color="auto" w:sz="4" w:space="0"/>
              <w:left w:val="single" w:color="auto" w:sz="4" w:space="0"/>
              <w:bottom w:val="single" w:color="auto" w:sz="4" w:space="0"/>
              <w:right w:val="single" w:color="auto" w:sz="4" w:space="0"/>
            </w:tcBorders>
            <w:noWrap w:val="0"/>
            <w:vAlign w:val="top"/>
          </w:tcPr>
          <w:p w14:paraId="4469A7A3">
            <w:pPr>
              <w:spacing w:before="156" w:line="360" w:lineRule="auto"/>
              <w:ind w:firstLine="420" w:firstLineChars="200"/>
              <w:rPr>
                <w:rFonts w:hint="eastAsia" w:ascii="仿宋" w:hAnsi="仿宋" w:eastAsia="仿宋" w:cs="仿宋"/>
                <w:color w:val="auto"/>
                <w:szCs w:val="21"/>
              </w:rPr>
            </w:pPr>
          </w:p>
        </w:tc>
      </w:tr>
      <w:tr w14:paraId="3D5F4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top"/>
          </w:tcPr>
          <w:p w14:paraId="395126F2">
            <w:pPr>
              <w:spacing w:before="156" w:line="360" w:lineRule="auto"/>
              <w:ind w:firstLine="420" w:firstLineChars="200"/>
              <w:rPr>
                <w:rFonts w:hint="eastAsia" w:ascii="仿宋" w:hAnsi="仿宋" w:eastAsia="仿宋" w:cs="仿宋"/>
                <w:color w:val="auto"/>
                <w:szCs w:val="21"/>
              </w:rPr>
            </w:pPr>
          </w:p>
        </w:tc>
        <w:tc>
          <w:tcPr>
            <w:tcW w:w="1635" w:type="dxa"/>
            <w:vMerge w:val="continue"/>
            <w:tcBorders>
              <w:top w:val="single" w:color="auto" w:sz="4" w:space="0"/>
              <w:left w:val="single" w:color="auto" w:sz="4" w:space="0"/>
              <w:bottom w:val="single" w:color="auto" w:sz="4" w:space="0"/>
              <w:right w:val="single" w:color="auto" w:sz="4" w:space="0"/>
            </w:tcBorders>
            <w:noWrap w:val="0"/>
            <w:vAlign w:val="top"/>
          </w:tcPr>
          <w:p w14:paraId="065B73C5">
            <w:pPr>
              <w:spacing w:before="156" w:line="360" w:lineRule="auto"/>
              <w:ind w:firstLine="420" w:firstLineChars="200"/>
              <w:rPr>
                <w:rFonts w:hint="eastAsia" w:ascii="仿宋" w:hAnsi="仿宋" w:eastAsia="仿宋" w:cs="仿宋"/>
                <w:color w:val="auto"/>
                <w:szCs w:val="21"/>
              </w:rPr>
            </w:pPr>
          </w:p>
        </w:tc>
        <w:tc>
          <w:tcPr>
            <w:tcW w:w="2040" w:type="dxa"/>
            <w:tcBorders>
              <w:top w:val="single" w:color="auto" w:sz="4" w:space="0"/>
              <w:left w:val="single" w:color="auto" w:sz="4" w:space="0"/>
              <w:bottom w:val="single" w:color="auto" w:sz="4" w:space="0"/>
              <w:right w:val="single" w:color="auto" w:sz="4" w:space="0"/>
            </w:tcBorders>
            <w:noWrap w:val="0"/>
            <w:vAlign w:val="top"/>
          </w:tcPr>
          <w:p w14:paraId="0D7A223E">
            <w:pPr>
              <w:spacing w:before="156" w:line="360" w:lineRule="auto"/>
              <w:ind w:firstLine="420" w:firstLineChars="200"/>
              <w:rPr>
                <w:rFonts w:hint="eastAsia" w:ascii="仿宋" w:hAnsi="仿宋" w:eastAsia="仿宋" w:cs="仿宋"/>
                <w:color w:val="auto"/>
                <w:szCs w:val="21"/>
              </w:rPr>
            </w:pPr>
          </w:p>
        </w:tc>
        <w:tc>
          <w:tcPr>
            <w:tcW w:w="1710" w:type="dxa"/>
            <w:tcBorders>
              <w:top w:val="single" w:color="auto" w:sz="4" w:space="0"/>
              <w:left w:val="single" w:color="auto" w:sz="4" w:space="0"/>
              <w:bottom w:val="single" w:color="auto" w:sz="4" w:space="0"/>
              <w:right w:val="single" w:color="auto" w:sz="4" w:space="0"/>
            </w:tcBorders>
            <w:noWrap w:val="0"/>
            <w:vAlign w:val="top"/>
          </w:tcPr>
          <w:p w14:paraId="693C83E2">
            <w:pPr>
              <w:spacing w:before="156" w:line="360" w:lineRule="auto"/>
              <w:ind w:firstLine="420" w:firstLineChars="200"/>
              <w:rPr>
                <w:rFonts w:hint="eastAsia" w:ascii="仿宋" w:hAnsi="仿宋" w:eastAsia="仿宋" w:cs="仿宋"/>
                <w:color w:val="auto"/>
                <w:szCs w:val="21"/>
              </w:rPr>
            </w:pPr>
          </w:p>
        </w:tc>
        <w:tc>
          <w:tcPr>
            <w:tcW w:w="2775" w:type="dxa"/>
            <w:tcBorders>
              <w:top w:val="single" w:color="auto" w:sz="4" w:space="0"/>
              <w:left w:val="single" w:color="auto" w:sz="4" w:space="0"/>
              <w:bottom w:val="single" w:color="auto" w:sz="4" w:space="0"/>
              <w:right w:val="single" w:color="auto" w:sz="4" w:space="0"/>
            </w:tcBorders>
            <w:noWrap w:val="0"/>
            <w:vAlign w:val="top"/>
          </w:tcPr>
          <w:p w14:paraId="28CF54F4">
            <w:pPr>
              <w:spacing w:before="156" w:line="360" w:lineRule="auto"/>
              <w:ind w:firstLine="420" w:firstLineChars="200"/>
              <w:rPr>
                <w:rFonts w:hint="eastAsia" w:ascii="仿宋" w:hAnsi="仿宋" w:eastAsia="仿宋" w:cs="仿宋"/>
                <w:color w:val="auto"/>
                <w:szCs w:val="21"/>
              </w:rPr>
            </w:pPr>
          </w:p>
        </w:tc>
      </w:tr>
      <w:tr w14:paraId="146C00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68" w:hRule="atLeast"/>
          <w:jc w:val="center"/>
        </w:trPr>
        <w:tc>
          <w:tcPr>
            <w:tcW w:w="1428" w:type="dxa"/>
            <w:tcBorders>
              <w:top w:val="single" w:color="auto" w:sz="4" w:space="0"/>
              <w:left w:val="single" w:color="auto" w:sz="4" w:space="0"/>
              <w:bottom w:val="single" w:color="auto" w:sz="4" w:space="0"/>
              <w:right w:val="single" w:color="auto" w:sz="4" w:space="0"/>
            </w:tcBorders>
            <w:noWrap w:val="0"/>
            <w:vAlign w:val="top"/>
          </w:tcPr>
          <w:p w14:paraId="0BB9262A">
            <w:pPr>
              <w:spacing w:before="156" w:line="36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highlight w:val="none"/>
              </w:rPr>
              <w:t>…</w:t>
            </w:r>
          </w:p>
        </w:tc>
        <w:tc>
          <w:tcPr>
            <w:tcW w:w="1635" w:type="dxa"/>
            <w:tcBorders>
              <w:top w:val="single" w:color="auto" w:sz="4" w:space="0"/>
              <w:left w:val="single" w:color="auto" w:sz="4" w:space="0"/>
              <w:bottom w:val="single" w:color="auto" w:sz="4" w:space="0"/>
              <w:right w:val="single" w:color="auto" w:sz="4" w:space="0"/>
            </w:tcBorders>
            <w:noWrap w:val="0"/>
            <w:vAlign w:val="top"/>
          </w:tcPr>
          <w:p w14:paraId="4BD261E4">
            <w:pPr>
              <w:spacing w:before="156" w:line="360" w:lineRule="auto"/>
              <w:ind w:firstLine="420" w:firstLineChars="200"/>
              <w:rPr>
                <w:rFonts w:hint="eastAsia" w:ascii="仿宋" w:hAnsi="仿宋" w:eastAsia="仿宋" w:cs="仿宋"/>
                <w:color w:val="auto"/>
                <w:szCs w:val="21"/>
              </w:rPr>
            </w:pPr>
          </w:p>
        </w:tc>
        <w:tc>
          <w:tcPr>
            <w:tcW w:w="2040" w:type="dxa"/>
            <w:tcBorders>
              <w:top w:val="single" w:color="auto" w:sz="4" w:space="0"/>
              <w:left w:val="single" w:color="auto" w:sz="4" w:space="0"/>
              <w:bottom w:val="single" w:color="auto" w:sz="4" w:space="0"/>
              <w:right w:val="single" w:color="auto" w:sz="4" w:space="0"/>
            </w:tcBorders>
            <w:noWrap w:val="0"/>
            <w:vAlign w:val="top"/>
          </w:tcPr>
          <w:p w14:paraId="58486F16">
            <w:pPr>
              <w:spacing w:before="156" w:line="360" w:lineRule="auto"/>
              <w:ind w:firstLine="420" w:firstLineChars="200"/>
              <w:rPr>
                <w:rFonts w:hint="eastAsia" w:ascii="仿宋" w:hAnsi="仿宋" w:eastAsia="仿宋" w:cs="仿宋"/>
                <w:color w:val="auto"/>
                <w:szCs w:val="21"/>
              </w:rPr>
            </w:pPr>
          </w:p>
        </w:tc>
        <w:tc>
          <w:tcPr>
            <w:tcW w:w="1710" w:type="dxa"/>
            <w:tcBorders>
              <w:top w:val="single" w:color="auto" w:sz="4" w:space="0"/>
              <w:left w:val="single" w:color="auto" w:sz="4" w:space="0"/>
              <w:bottom w:val="single" w:color="auto" w:sz="4" w:space="0"/>
              <w:right w:val="single" w:color="auto" w:sz="4" w:space="0"/>
            </w:tcBorders>
            <w:noWrap w:val="0"/>
            <w:vAlign w:val="top"/>
          </w:tcPr>
          <w:p w14:paraId="487EE47E">
            <w:pPr>
              <w:spacing w:before="156" w:line="360" w:lineRule="auto"/>
              <w:ind w:firstLine="420" w:firstLineChars="200"/>
              <w:rPr>
                <w:rFonts w:hint="eastAsia" w:ascii="仿宋" w:hAnsi="仿宋" w:eastAsia="仿宋" w:cs="仿宋"/>
                <w:color w:val="auto"/>
                <w:szCs w:val="21"/>
              </w:rPr>
            </w:pPr>
          </w:p>
        </w:tc>
        <w:tc>
          <w:tcPr>
            <w:tcW w:w="2775" w:type="dxa"/>
            <w:tcBorders>
              <w:top w:val="single" w:color="auto" w:sz="4" w:space="0"/>
              <w:left w:val="single" w:color="auto" w:sz="4" w:space="0"/>
              <w:bottom w:val="single" w:color="auto" w:sz="4" w:space="0"/>
              <w:right w:val="single" w:color="auto" w:sz="4" w:space="0"/>
            </w:tcBorders>
            <w:noWrap w:val="0"/>
            <w:vAlign w:val="top"/>
          </w:tcPr>
          <w:p w14:paraId="10E9E4F6">
            <w:pPr>
              <w:spacing w:before="156" w:line="360" w:lineRule="auto"/>
              <w:ind w:firstLine="420" w:firstLineChars="200"/>
              <w:rPr>
                <w:rFonts w:hint="eastAsia" w:ascii="仿宋" w:hAnsi="仿宋" w:eastAsia="仿宋" w:cs="仿宋"/>
                <w:color w:val="auto"/>
                <w:szCs w:val="21"/>
              </w:rPr>
            </w:pPr>
          </w:p>
        </w:tc>
      </w:tr>
    </w:tbl>
    <w:p w14:paraId="48BBC69F">
      <w:pPr>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注：对每个采购内容及要求的响应必须遵循如下规则：</w:t>
      </w:r>
    </w:p>
    <w:p w14:paraId="29E3602E">
      <w:pPr>
        <w:spacing w:line="50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1、投标人承诺：对采购文件有任何偏离（包括正偏离及负偏离）均已汇总并填写在此表中，除偏离表列出的偏离外，承诺响应招标文件的全部要求。</w:t>
      </w:r>
    </w:p>
    <w:p w14:paraId="1F3F9DFA">
      <w:pPr>
        <w:spacing w:line="5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 xml:space="preserve">   2、此表可在不改变格式的情况下自行制作。</w:t>
      </w:r>
    </w:p>
    <w:p w14:paraId="054C22B9">
      <w:pPr>
        <w:spacing w:line="500" w:lineRule="exact"/>
        <w:ind w:firstLine="420" w:firstLineChars="200"/>
        <w:rPr>
          <w:rFonts w:hint="eastAsia" w:ascii="仿宋" w:hAnsi="仿宋" w:eastAsia="仿宋" w:cs="仿宋"/>
          <w:b/>
          <w:color w:val="auto"/>
          <w:sz w:val="20"/>
          <w:szCs w:val="21"/>
          <w:highlight w:val="none"/>
        </w:rPr>
      </w:pPr>
      <w:r>
        <w:rPr>
          <w:rFonts w:hint="eastAsia" w:ascii="仿宋" w:hAnsi="仿宋" w:eastAsia="仿宋" w:cs="仿宋"/>
          <w:color w:val="auto"/>
          <w:szCs w:val="21"/>
          <w:highlight w:val="none"/>
        </w:rPr>
        <w:t xml:space="preserve">   3、本偏离表的正负偏离情况应与</w:t>
      </w:r>
      <w:r>
        <w:rPr>
          <w:rFonts w:hint="eastAsia" w:ascii="仿宋" w:hAnsi="仿宋" w:eastAsia="仿宋" w:cs="仿宋"/>
          <w:color w:val="auto"/>
          <w:szCs w:val="21"/>
          <w:highlight w:val="none"/>
          <w:lang w:val="en-US" w:eastAsia="zh-CN"/>
        </w:rPr>
        <w:t>采购内容要求</w:t>
      </w:r>
      <w:r>
        <w:rPr>
          <w:rFonts w:hint="eastAsia" w:ascii="仿宋" w:hAnsi="仿宋" w:eastAsia="仿宋" w:cs="仿宋"/>
          <w:color w:val="auto"/>
          <w:szCs w:val="21"/>
          <w:highlight w:val="none"/>
        </w:rPr>
        <w:t>一致。</w:t>
      </w:r>
    </w:p>
    <w:p w14:paraId="4C4A432E">
      <w:pPr>
        <w:pStyle w:val="31"/>
        <w:ind w:firstLine="42"/>
        <w:textAlignment w:val="baseline"/>
        <w:rPr>
          <w:rFonts w:hint="eastAsia" w:ascii="仿宋" w:hAnsi="仿宋" w:eastAsia="仿宋" w:cs="仿宋"/>
          <w:color w:val="auto"/>
          <w:highlight w:val="none"/>
        </w:rPr>
      </w:pPr>
    </w:p>
    <w:p w14:paraId="72C43301">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6D3A53A7">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 xml:space="preserve">日期：  </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  月  日</w:t>
      </w:r>
    </w:p>
    <w:p w14:paraId="4BEFA11E">
      <w:pPr>
        <w:spacing w:line="460" w:lineRule="exact"/>
        <w:jc w:val="center"/>
        <w:textAlignment w:val="baseline"/>
        <w:rPr>
          <w:rFonts w:hint="eastAsia" w:ascii="仿宋" w:hAnsi="仿宋" w:eastAsia="仿宋" w:cs="仿宋"/>
          <w:b/>
          <w:bCs/>
          <w:color w:val="auto"/>
          <w:sz w:val="28"/>
          <w:szCs w:val="28"/>
          <w:highlight w:val="none"/>
        </w:rPr>
      </w:pPr>
    </w:p>
    <w:p w14:paraId="7388831B">
      <w:pPr>
        <w:spacing w:line="460" w:lineRule="exact"/>
        <w:jc w:val="center"/>
        <w:textAlignment w:val="baseline"/>
        <w:rPr>
          <w:rFonts w:hint="eastAsia" w:ascii="仿宋" w:hAnsi="仿宋" w:eastAsia="仿宋" w:cs="仿宋"/>
          <w:b/>
          <w:bCs/>
          <w:color w:val="auto"/>
          <w:sz w:val="28"/>
          <w:szCs w:val="28"/>
          <w:highlight w:val="none"/>
        </w:rPr>
      </w:pPr>
    </w:p>
    <w:p w14:paraId="38A85FE9">
      <w:pPr>
        <w:spacing w:line="460" w:lineRule="exact"/>
        <w:jc w:val="center"/>
        <w:textAlignment w:val="baseline"/>
        <w:rPr>
          <w:rFonts w:hint="eastAsia" w:ascii="仿宋" w:hAnsi="仿宋" w:eastAsia="仿宋" w:cs="仿宋"/>
          <w:b/>
          <w:bCs/>
          <w:color w:val="auto"/>
          <w:sz w:val="28"/>
          <w:szCs w:val="28"/>
          <w:highlight w:val="none"/>
        </w:rPr>
      </w:pPr>
    </w:p>
    <w:p w14:paraId="08278099">
      <w:pPr>
        <w:spacing w:line="460" w:lineRule="exact"/>
        <w:jc w:val="center"/>
        <w:textAlignment w:val="baseline"/>
        <w:rPr>
          <w:rFonts w:hint="eastAsia" w:ascii="仿宋" w:hAnsi="仿宋" w:eastAsia="仿宋" w:cs="仿宋"/>
          <w:b/>
          <w:bCs/>
          <w:color w:val="auto"/>
          <w:sz w:val="28"/>
          <w:szCs w:val="28"/>
          <w:highlight w:val="none"/>
        </w:rPr>
      </w:pPr>
    </w:p>
    <w:p w14:paraId="375F714F">
      <w:pPr>
        <w:spacing w:line="460" w:lineRule="exact"/>
        <w:jc w:val="center"/>
        <w:textAlignment w:val="baseline"/>
        <w:rPr>
          <w:rFonts w:hint="eastAsia" w:ascii="仿宋" w:hAnsi="仿宋" w:eastAsia="仿宋" w:cs="仿宋"/>
          <w:b/>
          <w:bCs/>
          <w:color w:val="auto"/>
          <w:sz w:val="28"/>
          <w:szCs w:val="28"/>
          <w:highlight w:val="none"/>
        </w:rPr>
      </w:pPr>
    </w:p>
    <w:p w14:paraId="36DF760D">
      <w:pPr>
        <w:spacing w:line="460" w:lineRule="exact"/>
        <w:jc w:val="center"/>
        <w:textAlignment w:val="baseline"/>
        <w:rPr>
          <w:rFonts w:hint="eastAsia" w:ascii="仿宋" w:hAnsi="仿宋" w:eastAsia="仿宋" w:cs="仿宋"/>
          <w:b/>
          <w:bCs/>
          <w:color w:val="auto"/>
          <w:sz w:val="28"/>
          <w:szCs w:val="28"/>
          <w:highlight w:val="none"/>
        </w:rPr>
      </w:pPr>
    </w:p>
    <w:p w14:paraId="099DE674">
      <w:pPr>
        <w:spacing w:line="440" w:lineRule="exact"/>
        <w:textAlignment w:val="baseline"/>
        <w:outlineLvl w:val="0"/>
        <w:rPr>
          <w:rFonts w:hint="eastAsia" w:ascii="仿宋" w:hAnsi="仿宋" w:eastAsia="仿宋" w:cs="仿宋"/>
          <w:b/>
          <w:bCs/>
          <w:color w:val="auto"/>
          <w:sz w:val="22"/>
          <w:highlight w:val="none"/>
        </w:rPr>
      </w:pPr>
      <w:bookmarkStart w:id="139" w:name="_Toc17205"/>
      <w:bookmarkStart w:id="140" w:name="_Toc17826"/>
      <w:bookmarkStart w:id="141" w:name="_Toc14763"/>
      <w:bookmarkStart w:id="142" w:name="_Toc28890"/>
    </w:p>
    <w:p w14:paraId="4F0B3407">
      <w:pPr>
        <w:spacing w:line="440" w:lineRule="exact"/>
        <w:textAlignment w:val="baseline"/>
        <w:outlineLvl w:val="0"/>
        <w:rPr>
          <w:rFonts w:hint="eastAsia" w:ascii="仿宋" w:hAnsi="仿宋" w:eastAsia="仿宋" w:cs="仿宋"/>
          <w:b/>
          <w:bCs/>
          <w:color w:val="auto"/>
          <w:sz w:val="22"/>
          <w:highlight w:val="none"/>
          <w:lang w:val="en-US" w:eastAsia="zh-CN"/>
        </w:rPr>
      </w:pPr>
      <w:r>
        <w:rPr>
          <w:rFonts w:hint="eastAsia" w:ascii="仿宋" w:hAnsi="仿宋" w:eastAsia="仿宋" w:cs="仿宋"/>
          <w:b/>
          <w:bCs/>
          <w:color w:val="auto"/>
          <w:sz w:val="22"/>
          <w:highlight w:val="none"/>
        </w:rPr>
        <w:t>附件</w:t>
      </w:r>
      <w:bookmarkEnd w:id="139"/>
      <w:bookmarkEnd w:id="140"/>
      <w:bookmarkEnd w:id="141"/>
      <w:bookmarkEnd w:id="142"/>
      <w:r>
        <w:rPr>
          <w:rFonts w:hint="eastAsia" w:ascii="仿宋" w:hAnsi="仿宋" w:eastAsia="仿宋" w:cs="仿宋"/>
          <w:b/>
          <w:bCs/>
          <w:color w:val="auto"/>
          <w:sz w:val="22"/>
          <w:highlight w:val="none"/>
          <w:lang w:val="en-US" w:eastAsia="zh-CN"/>
        </w:rPr>
        <w:t>7</w:t>
      </w:r>
    </w:p>
    <w:p w14:paraId="598CECA0">
      <w:pPr>
        <w:pStyle w:val="31"/>
        <w:ind w:firstLine="44"/>
        <w:textAlignment w:val="baseline"/>
        <w:rPr>
          <w:rFonts w:hint="eastAsia" w:ascii="仿宋" w:hAnsi="仿宋" w:eastAsia="仿宋" w:cs="仿宋"/>
          <w:b/>
          <w:bCs/>
          <w:color w:val="auto"/>
          <w:sz w:val="22"/>
          <w:highlight w:val="none"/>
        </w:rPr>
      </w:pPr>
    </w:p>
    <w:p w14:paraId="78C2E598">
      <w:pPr>
        <w:pStyle w:val="67"/>
        <w:spacing w:line="360" w:lineRule="auto"/>
        <w:jc w:val="center"/>
        <w:textAlignment w:val="baseline"/>
        <w:rPr>
          <w:rFonts w:hint="eastAsia" w:ascii="仿宋" w:hAnsi="仿宋" w:eastAsia="仿宋" w:cs="仿宋"/>
          <w:b/>
          <w:color w:val="auto"/>
          <w:sz w:val="28"/>
          <w:szCs w:val="28"/>
          <w:highlight w:val="none"/>
        </w:rPr>
      </w:pPr>
      <w:r>
        <w:rPr>
          <w:rFonts w:hint="eastAsia" w:ascii="仿宋" w:hAnsi="仿宋" w:eastAsia="仿宋" w:cs="仿宋"/>
          <w:b/>
          <w:color w:val="auto"/>
          <w:sz w:val="28"/>
          <w:szCs w:val="28"/>
          <w:highlight w:val="none"/>
        </w:rPr>
        <w:t>类似项目业绩一览表</w:t>
      </w:r>
    </w:p>
    <w:p w14:paraId="5B97AE5B">
      <w:pPr>
        <w:pStyle w:val="41"/>
        <w:textAlignment w:val="baseline"/>
        <w:rPr>
          <w:rFonts w:hint="eastAsia" w:ascii="仿宋" w:hAnsi="仿宋" w:eastAsia="仿宋" w:cs="仿宋"/>
          <w:b/>
          <w:bCs/>
          <w:color w:val="auto"/>
          <w:sz w:val="22"/>
          <w:szCs w:val="22"/>
          <w:highlight w:val="none"/>
        </w:rPr>
      </w:pPr>
    </w:p>
    <w:p w14:paraId="7C75FF19">
      <w:pPr>
        <w:pStyle w:val="31"/>
        <w:ind w:firstLine="42"/>
        <w:rPr>
          <w:rFonts w:hint="eastAsia" w:ascii="仿宋" w:hAnsi="仿宋" w:eastAsia="仿宋" w:cs="仿宋"/>
          <w:color w:val="auto"/>
          <w:highlight w:val="none"/>
          <w:lang w:eastAsia="zh-CN"/>
        </w:rPr>
      </w:pPr>
      <w:r>
        <w:rPr>
          <w:rFonts w:hint="eastAsia" w:ascii="仿宋" w:hAnsi="仿宋" w:eastAsia="仿宋" w:cs="仿宋"/>
          <w:color w:val="auto"/>
          <w:highlight w:val="none"/>
        </w:rPr>
        <w:t>项目名称：</w:t>
      </w:r>
      <w:r>
        <w:rPr>
          <w:rFonts w:hint="eastAsia" w:ascii="仿宋" w:hAnsi="仿宋" w:eastAsia="仿宋" w:cs="仿宋"/>
          <w:color w:val="auto"/>
          <w:highlight w:val="none"/>
          <w:lang w:eastAsia="zh-CN"/>
        </w:rPr>
        <w:t xml:space="preserve"> 常山县城东新区狮子口片区控规调整</w:t>
      </w:r>
    </w:p>
    <w:p w14:paraId="5AB8F1A8">
      <w:pPr>
        <w:pStyle w:val="31"/>
        <w:ind w:firstLine="42"/>
        <w:rPr>
          <w:rFonts w:hint="eastAsia" w:ascii="仿宋" w:hAnsi="仿宋" w:eastAsia="仿宋" w:cs="仿宋"/>
          <w:color w:val="auto"/>
          <w:highlight w:val="none"/>
          <w:lang w:eastAsia="zh-CN"/>
        </w:rPr>
      </w:pPr>
      <w:r>
        <w:rPr>
          <w:rFonts w:hint="eastAsia" w:ascii="仿宋" w:hAnsi="仿宋" w:eastAsia="仿宋" w:cs="仿宋"/>
          <w:color w:val="auto"/>
          <w:highlight w:val="none"/>
        </w:rPr>
        <w:t>项目编号：</w:t>
      </w:r>
      <w:r>
        <w:rPr>
          <w:rFonts w:hint="eastAsia" w:ascii="仿宋" w:hAnsi="仿宋" w:eastAsia="仿宋" w:cs="仿宋"/>
          <w:color w:val="auto"/>
          <w:highlight w:val="none"/>
          <w:lang w:eastAsia="zh-CN"/>
        </w:rPr>
        <w:t>GXZFCG-2025-CS003</w:t>
      </w:r>
    </w:p>
    <w:p w14:paraId="06A44432">
      <w:pPr>
        <w:pStyle w:val="31"/>
        <w:ind w:firstLine="42"/>
        <w:textAlignment w:val="baseline"/>
        <w:rPr>
          <w:rFonts w:hint="eastAsia" w:ascii="仿宋" w:hAnsi="仿宋" w:eastAsia="仿宋" w:cs="仿宋"/>
          <w:color w:val="auto"/>
          <w:highlight w:val="none"/>
          <w:lang w:val="zh-CN"/>
        </w:rPr>
      </w:pPr>
    </w:p>
    <w:tbl>
      <w:tblPr>
        <w:tblStyle w:val="32"/>
        <w:tblW w:w="959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64"/>
        <w:gridCol w:w="2374"/>
        <w:gridCol w:w="3000"/>
        <w:gridCol w:w="1661"/>
        <w:gridCol w:w="1398"/>
      </w:tblGrid>
      <w:tr w14:paraId="5885E8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164" w:type="dxa"/>
            <w:tcBorders>
              <w:top w:val="single" w:color="auto" w:sz="4" w:space="0"/>
              <w:left w:val="single" w:color="auto" w:sz="4" w:space="0"/>
              <w:bottom w:val="single" w:color="auto" w:sz="4" w:space="0"/>
              <w:right w:val="single" w:color="auto" w:sz="4" w:space="0"/>
            </w:tcBorders>
            <w:vAlign w:val="center"/>
          </w:tcPr>
          <w:p w14:paraId="0478B0CA">
            <w:pPr>
              <w:jc w:val="center"/>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序号</w:t>
            </w:r>
          </w:p>
        </w:tc>
        <w:tc>
          <w:tcPr>
            <w:tcW w:w="2374" w:type="dxa"/>
            <w:tcBorders>
              <w:top w:val="single" w:color="auto" w:sz="4" w:space="0"/>
              <w:left w:val="single" w:color="auto" w:sz="4" w:space="0"/>
              <w:bottom w:val="single" w:color="auto" w:sz="4" w:space="0"/>
              <w:right w:val="single" w:color="auto" w:sz="4" w:space="0"/>
            </w:tcBorders>
            <w:vAlign w:val="center"/>
          </w:tcPr>
          <w:p w14:paraId="1B238981">
            <w:pPr>
              <w:jc w:val="center"/>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采购单位名称</w:t>
            </w:r>
          </w:p>
        </w:tc>
        <w:tc>
          <w:tcPr>
            <w:tcW w:w="3000" w:type="dxa"/>
            <w:tcBorders>
              <w:top w:val="single" w:color="auto" w:sz="4" w:space="0"/>
              <w:left w:val="single" w:color="auto" w:sz="4" w:space="0"/>
              <w:bottom w:val="single" w:color="auto" w:sz="4" w:space="0"/>
              <w:right w:val="single" w:color="auto" w:sz="4" w:space="0"/>
            </w:tcBorders>
            <w:vAlign w:val="center"/>
          </w:tcPr>
          <w:p w14:paraId="79693591">
            <w:pPr>
              <w:jc w:val="center"/>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项目名称</w:t>
            </w:r>
          </w:p>
        </w:tc>
        <w:tc>
          <w:tcPr>
            <w:tcW w:w="1661" w:type="dxa"/>
            <w:tcBorders>
              <w:top w:val="single" w:color="auto" w:sz="4" w:space="0"/>
              <w:left w:val="single" w:color="auto" w:sz="4" w:space="0"/>
              <w:bottom w:val="single" w:color="auto" w:sz="4" w:space="0"/>
              <w:right w:val="single" w:color="auto" w:sz="4" w:space="0"/>
            </w:tcBorders>
            <w:vAlign w:val="center"/>
          </w:tcPr>
          <w:p w14:paraId="4FCD321B">
            <w:pPr>
              <w:jc w:val="center"/>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采购数量</w:t>
            </w:r>
          </w:p>
        </w:tc>
        <w:tc>
          <w:tcPr>
            <w:tcW w:w="1398" w:type="dxa"/>
            <w:tcBorders>
              <w:top w:val="single" w:color="auto" w:sz="4" w:space="0"/>
              <w:left w:val="single" w:color="auto" w:sz="4" w:space="0"/>
              <w:bottom w:val="single" w:color="auto" w:sz="4" w:space="0"/>
              <w:right w:val="single" w:color="auto" w:sz="4" w:space="0"/>
            </w:tcBorders>
            <w:vAlign w:val="center"/>
          </w:tcPr>
          <w:p w14:paraId="76A1C1B4">
            <w:pPr>
              <w:jc w:val="center"/>
              <w:textAlignment w:val="baseline"/>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合同金额</w:t>
            </w:r>
          </w:p>
          <w:p w14:paraId="0742EC76">
            <w:pPr>
              <w:jc w:val="center"/>
              <w:textAlignment w:val="baseline"/>
              <w:rPr>
                <w:rFonts w:hint="eastAsia" w:ascii="仿宋" w:hAnsi="仿宋" w:eastAsia="仿宋" w:cs="仿宋"/>
                <w:b/>
                <w:color w:val="auto"/>
                <w:sz w:val="20"/>
                <w:szCs w:val="21"/>
                <w:highlight w:val="none"/>
              </w:rPr>
            </w:pPr>
            <w:r>
              <w:rPr>
                <w:rFonts w:hint="eastAsia" w:ascii="仿宋" w:hAnsi="仿宋" w:eastAsia="仿宋" w:cs="仿宋"/>
                <w:b/>
                <w:color w:val="auto"/>
                <w:szCs w:val="21"/>
                <w:highlight w:val="none"/>
              </w:rPr>
              <w:t>（万元）</w:t>
            </w:r>
          </w:p>
        </w:tc>
      </w:tr>
      <w:tr w14:paraId="51740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164" w:type="dxa"/>
            <w:tcBorders>
              <w:top w:val="single" w:color="auto" w:sz="4" w:space="0"/>
              <w:left w:val="single" w:color="auto" w:sz="4" w:space="0"/>
              <w:bottom w:val="single" w:color="auto" w:sz="4" w:space="0"/>
              <w:right w:val="single" w:color="auto" w:sz="4" w:space="0"/>
            </w:tcBorders>
          </w:tcPr>
          <w:p w14:paraId="75ED44E2">
            <w:pPr>
              <w:jc w:val="center"/>
              <w:textAlignment w:val="baseline"/>
              <w:rPr>
                <w:rFonts w:hint="eastAsia" w:ascii="仿宋" w:hAnsi="仿宋" w:eastAsia="仿宋" w:cs="仿宋"/>
                <w:color w:val="auto"/>
                <w:sz w:val="20"/>
                <w:szCs w:val="21"/>
                <w:highlight w:val="none"/>
              </w:rPr>
            </w:pPr>
          </w:p>
        </w:tc>
        <w:tc>
          <w:tcPr>
            <w:tcW w:w="2374" w:type="dxa"/>
            <w:tcBorders>
              <w:top w:val="single" w:color="auto" w:sz="4" w:space="0"/>
              <w:left w:val="single" w:color="auto" w:sz="4" w:space="0"/>
              <w:bottom w:val="single" w:color="auto" w:sz="4" w:space="0"/>
              <w:right w:val="single" w:color="auto" w:sz="4" w:space="0"/>
            </w:tcBorders>
          </w:tcPr>
          <w:p w14:paraId="174923D2">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63EEA30F">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7440E2B1">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2D045F7C">
            <w:pPr>
              <w:jc w:val="center"/>
              <w:textAlignment w:val="baseline"/>
              <w:rPr>
                <w:rFonts w:hint="eastAsia" w:ascii="仿宋" w:hAnsi="仿宋" w:eastAsia="仿宋" w:cs="仿宋"/>
                <w:color w:val="auto"/>
                <w:sz w:val="20"/>
                <w:szCs w:val="21"/>
                <w:highlight w:val="none"/>
              </w:rPr>
            </w:pPr>
          </w:p>
        </w:tc>
      </w:tr>
      <w:tr w14:paraId="00B5DF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1164" w:type="dxa"/>
            <w:tcBorders>
              <w:top w:val="single" w:color="auto" w:sz="4" w:space="0"/>
              <w:left w:val="single" w:color="auto" w:sz="4" w:space="0"/>
              <w:bottom w:val="single" w:color="auto" w:sz="4" w:space="0"/>
              <w:right w:val="single" w:color="auto" w:sz="4" w:space="0"/>
            </w:tcBorders>
          </w:tcPr>
          <w:p w14:paraId="6E95B477">
            <w:pPr>
              <w:jc w:val="center"/>
              <w:textAlignment w:val="baseline"/>
              <w:rPr>
                <w:rFonts w:hint="eastAsia" w:ascii="仿宋" w:hAnsi="仿宋" w:eastAsia="仿宋" w:cs="仿宋"/>
                <w:color w:val="auto"/>
                <w:sz w:val="20"/>
                <w:szCs w:val="21"/>
                <w:highlight w:val="none"/>
              </w:rPr>
            </w:pPr>
          </w:p>
        </w:tc>
        <w:tc>
          <w:tcPr>
            <w:tcW w:w="2374" w:type="dxa"/>
            <w:tcBorders>
              <w:top w:val="single" w:color="auto" w:sz="4" w:space="0"/>
              <w:left w:val="single" w:color="auto" w:sz="4" w:space="0"/>
              <w:bottom w:val="single" w:color="auto" w:sz="4" w:space="0"/>
              <w:right w:val="single" w:color="auto" w:sz="4" w:space="0"/>
            </w:tcBorders>
          </w:tcPr>
          <w:p w14:paraId="0CDAE4DC">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28C26CAC">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7DB90484">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50315723">
            <w:pPr>
              <w:jc w:val="center"/>
              <w:textAlignment w:val="baseline"/>
              <w:rPr>
                <w:rFonts w:hint="eastAsia" w:ascii="仿宋" w:hAnsi="仿宋" w:eastAsia="仿宋" w:cs="仿宋"/>
                <w:color w:val="auto"/>
                <w:sz w:val="20"/>
                <w:szCs w:val="21"/>
                <w:highlight w:val="none"/>
              </w:rPr>
            </w:pPr>
          </w:p>
        </w:tc>
      </w:tr>
      <w:tr w14:paraId="7E59BC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164" w:type="dxa"/>
            <w:tcBorders>
              <w:top w:val="single" w:color="auto" w:sz="4" w:space="0"/>
              <w:left w:val="single" w:color="auto" w:sz="4" w:space="0"/>
              <w:bottom w:val="single" w:color="auto" w:sz="4" w:space="0"/>
              <w:right w:val="single" w:color="auto" w:sz="4" w:space="0"/>
            </w:tcBorders>
          </w:tcPr>
          <w:p w14:paraId="78A23311">
            <w:pPr>
              <w:jc w:val="center"/>
              <w:textAlignment w:val="baseline"/>
              <w:rPr>
                <w:rFonts w:hint="eastAsia" w:ascii="仿宋" w:hAnsi="仿宋" w:eastAsia="仿宋" w:cs="仿宋"/>
                <w:color w:val="auto"/>
                <w:sz w:val="20"/>
                <w:szCs w:val="21"/>
                <w:highlight w:val="none"/>
              </w:rPr>
            </w:pPr>
          </w:p>
        </w:tc>
        <w:tc>
          <w:tcPr>
            <w:tcW w:w="2374" w:type="dxa"/>
            <w:tcBorders>
              <w:top w:val="single" w:color="auto" w:sz="4" w:space="0"/>
              <w:left w:val="single" w:color="auto" w:sz="4" w:space="0"/>
              <w:bottom w:val="single" w:color="auto" w:sz="4" w:space="0"/>
              <w:right w:val="single" w:color="auto" w:sz="4" w:space="0"/>
            </w:tcBorders>
          </w:tcPr>
          <w:p w14:paraId="7ADA342F">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41760D1D">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5FB81649">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12F39FFF">
            <w:pPr>
              <w:jc w:val="center"/>
              <w:textAlignment w:val="baseline"/>
              <w:rPr>
                <w:rFonts w:hint="eastAsia" w:ascii="仿宋" w:hAnsi="仿宋" w:eastAsia="仿宋" w:cs="仿宋"/>
                <w:color w:val="auto"/>
                <w:sz w:val="20"/>
                <w:szCs w:val="21"/>
                <w:highlight w:val="none"/>
              </w:rPr>
            </w:pPr>
          </w:p>
        </w:tc>
      </w:tr>
      <w:tr w14:paraId="3615B0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164" w:type="dxa"/>
            <w:tcBorders>
              <w:top w:val="single" w:color="auto" w:sz="4" w:space="0"/>
              <w:left w:val="single" w:color="auto" w:sz="4" w:space="0"/>
              <w:bottom w:val="single" w:color="auto" w:sz="4" w:space="0"/>
              <w:right w:val="single" w:color="auto" w:sz="4" w:space="0"/>
            </w:tcBorders>
          </w:tcPr>
          <w:p w14:paraId="0F446747">
            <w:pPr>
              <w:jc w:val="center"/>
              <w:textAlignment w:val="baseline"/>
              <w:rPr>
                <w:rFonts w:hint="eastAsia" w:ascii="仿宋" w:hAnsi="仿宋" w:eastAsia="仿宋" w:cs="仿宋"/>
                <w:color w:val="auto"/>
                <w:sz w:val="20"/>
                <w:szCs w:val="21"/>
                <w:highlight w:val="none"/>
              </w:rPr>
            </w:pPr>
          </w:p>
        </w:tc>
        <w:tc>
          <w:tcPr>
            <w:tcW w:w="2374" w:type="dxa"/>
            <w:tcBorders>
              <w:top w:val="single" w:color="auto" w:sz="4" w:space="0"/>
              <w:left w:val="single" w:color="auto" w:sz="4" w:space="0"/>
              <w:bottom w:val="single" w:color="auto" w:sz="4" w:space="0"/>
              <w:right w:val="single" w:color="auto" w:sz="4" w:space="0"/>
            </w:tcBorders>
          </w:tcPr>
          <w:p w14:paraId="71BC2B28">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1112629B">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641C59D2">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0CA9208E">
            <w:pPr>
              <w:jc w:val="center"/>
              <w:textAlignment w:val="baseline"/>
              <w:rPr>
                <w:rFonts w:hint="eastAsia" w:ascii="仿宋" w:hAnsi="仿宋" w:eastAsia="仿宋" w:cs="仿宋"/>
                <w:color w:val="auto"/>
                <w:sz w:val="20"/>
                <w:szCs w:val="21"/>
                <w:highlight w:val="none"/>
              </w:rPr>
            </w:pPr>
          </w:p>
        </w:tc>
      </w:tr>
      <w:tr w14:paraId="5C0F3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1164" w:type="dxa"/>
            <w:tcBorders>
              <w:top w:val="single" w:color="auto" w:sz="4" w:space="0"/>
              <w:left w:val="single" w:color="auto" w:sz="4" w:space="0"/>
              <w:bottom w:val="single" w:color="auto" w:sz="4" w:space="0"/>
              <w:right w:val="single" w:color="auto" w:sz="4" w:space="0"/>
            </w:tcBorders>
          </w:tcPr>
          <w:p w14:paraId="68AAA399">
            <w:pPr>
              <w:jc w:val="center"/>
              <w:textAlignment w:val="baseline"/>
              <w:rPr>
                <w:rFonts w:hint="eastAsia" w:ascii="仿宋" w:hAnsi="仿宋" w:eastAsia="仿宋" w:cs="仿宋"/>
                <w:color w:val="auto"/>
                <w:sz w:val="20"/>
                <w:szCs w:val="21"/>
                <w:highlight w:val="none"/>
              </w:rPr>
            </w:pPr>
          </w:p>
        </w:tc>
        <w:tc>
          <w:tcPr>
            <w:tcW w:w="2374" w:type="dxa"/>
            <w:tcBorders>
              <w:top w:val="single" w:color="auto" w:sz="4" w:space="0"/>
              <w:left w:val="single" w:color="auto" w:sz="4" w:space="0"/>
              <w:bottom w:val="single" w:color="auto" w:sz="4" w:space="0"/>
              <w:right w:val="single" w:color="auto" w:sz="4" w:space="0"/>
            </w:tcBorders>
          </w:tcPr>
          <w:p w14:paraId="51EAD5BD">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4B1417FE">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4CAAA869">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4F07F3C1">
            <w:pPr>
              <w:jc w:val="center"/>
              <w:textAlignment w:val="baseline"/>
              <w:rPr>
                <w:rFonts w:hint="eastAsia" w:ascii="仿宋" w:hAnsi="仿宋" w:eastAsia="仿宋" w:cs="仿宋"/>
                <w:color w:val="auto"/>
                <w:sz w:val="20"/>
                <w:szCs w:val="21"/>
                <w:highlight w:val="none"/>
              </w:rPr>
            </w:pPr>
          </w:p>
        </w:tc>
      </w:tr>
      <w:tr w14:paraId="00C4B1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5" w:hRule="atLeast"/>
          <w:jc w:val="center"/>
        </w:trPr>
        <w:tc>
          <w:tcPr>
            <w:tcW w:w="1164" w:type="dxa"/>
            <w:tcBorders>
              <w:top w:val="single" w:color="auto" w:sz="4" w:space="0"/>
              <w:left w:val="single" w:color="auto" w:sz="4" w:space="0"/>
              <w:bottom w:val="single" w:color="auto" w:sz="4" w:space="0"/>
              <w:right w:val="single" w:color="auto" w:sz="4" w:space="0"/>
            </w:tcBorders>
          </w:tcPr>
          <w:p w14:paraId="25CE52B6">
            <w:pPr>
              <w:jc w:val="center"/>
              <w:textAlignment w:val="baseline"/>
              <w:rPr>
                <w:rFonts w:hint="eastAsia" w:ascii="仿宋" w:hAnsi="仿宋" w:eastAsia="仿宋" w:cs="仿宋"/>
                <w:color w:val="auto"/>
                <w:sz w:val="20"/>
                <w:szCs w:val="21"/>
                <w:highlight w:val="none"/>
              </w:rPr>
            </w:pPr>
            <w:r>
              <w:rPr>
                <w:rFonts w:hint="eastAsia" w:ascii="仿宋" w:hAnsi="仿宋" w:eastAsia="仿宋" w:cs="仿宋"/>
                <w:color w:val="auto"/>
                <w:sz w:val="20"/>
                <w:szCs w:val="21"/>
                <w:highlight w:val="none"/>
              </w:rPr>
              <w:t>…</w:t>
            </w:r>
          </w:p>
        </w:tc>
        <w:tc>
          <w:tcPr>
            <w:tcW w:w="2374" w:type="dxa"/>
            <w:tcBorders>
              <w:top w:val="single" w:color="auto" w:sz="4" w:space="0"/>
              <w:left w:val="single" w:color="auto" w:sz="4" w:space="0"/>
              <w:bottom w:val="single" w:color="auto" w:sz="4" w:space="0"/>
              <w:right w:val="single" w:color="auto" w:sz="4" w:space="0"/>
            </w:tcBorders>
          </w:tcPr>
          <w:p w14:paraId="7F3665E2">
            <w:pPr>
              <w:jc w:val="center"/>
              <w:textAlignment w:val="baseline"/>
              <w:rPr>
                <w:rFonts w:hint="eastAsia" w:ascii="仿宋" w:hAnsi="仿宋" w:eastAsia="仿宋" w:cs="仿宋"/>
                <w:color w:val="auto"/>
                <w:sz w:val="20"/>
                <w:szCs w:val="21"/>
                <w:highlight w:val="none"/>
              </w:rPr>
            </w:pPr>
          </w:p>
        </w:tc>
        <w:tc>
          <w:tcPr>
            <w:tcW w:w="3000" w:type="dxa"/>
            <w:tcBorders>
              <w:top w:val="single" w:color="auto" w:sz="4" w:space="0"/>
              <w:left w:val="single" w:color="auto" w:sz="4" w:space="0"/>
              <w:bottom w:val="single" w:color="auto" w:sz="4" w:space="0"/>
              <w:right w:val="single" w:color="auto" w:sz="4" w:space="0"/>
            </w:tcBorders>
          </w:tcPr>
          <w:p w14:paraId="4CA3316B">
            <w:pPr>
              <w:jc w:val="center"/>
              <w:textAlignment w:val="baseline"/>
              <w:rPr>
                <w:rFonts w:hint="eastAsia" w:ascii="仿宋" w:hAnsi="仿宋" w:eastAsia="仿宋" w:cs="仿宋"/>
                <w:color w:val="auto"/>
                <w:sz w:val="20"/>
                <w:szCs w:val="21"/>
                <w:highlight w:val="none"/>
              </w:rPr>
            </w:pPr>
          </w:p>
        </w:tc>
        <w:tc>
          <w:tcPr>
            <w:tcW w:w="1661" w:type="dxa"/>
            <w:tcBorders>
              <w:top w:val="single" w:color="auto" w:sz="4" w:space="0"/>
              <w:left w:val="single" w:color="auto" w:sz="4" w:space="0"/>
              <w:bottom w:val="single" w:color="auto" w:sz="4" w:space="0"/>
              <w:right w:val="single" w:color="auto" w:sz="4" w:space="0"/>
            </w:tcBorders>
          </w:tcPr>
          <w:p w14:paraId="41A41B7C">
            <w:pPr>
              <w:jc w:val="center"/>
              <w:textAlignment w:val="baseline"/>
              <w:rPr>
                <w:rFonts w:hint="eastAsia" w:ascii="仿宋" w:hAnsi="仿宋" w:eastAsia="仿宋" w:cs="仿宋"/>
                <w:color w:val="auto"/>
                <w:sz w:val="20"/>
                <w:szCs w:val="21"/>
                <w:highlight w:val="none"/>
              </w:rPr>
            </w:pPr>
          </w:p>
        </w:tc>
        <w:tc>
          <w:tcPr>
            <w:tcW w:w="1398" w:type="dxa"/>
            <w:tcBorders>
              <w:top w:val="single" w:color="auto" w:sz="4" w:space="0"/>
              <w:left w:val="single" w:color="auto" w:sz="4" w:space="0"/>
              <w:bottom w:val="single" w:color="auto" w:sz="4" w:space="0"/>
              <w:right w:val="single" w:color="auto" w:sz="4" w:space="0"/>
            </w:tcBorders>
          </w:tcPr>
          <w:p w14:paraId="1501AC97">
            <w:pPr>
              <w:jc w:val="center"/>
              <w:textAlignment w:val="baseline"/>
              <w:rPr>
                <w:rFonts w:hint="eastAsia" w:ascii="仿宋" w:hAnsi="仿宋" w:eastAsia="仿宋" w:cs="仿宋"/>
                <w:color w:val="auto"/>
                <w:sz w:val="20"/>
                <w:szCs w:val="21"/>
                <w:highlight w:val="none"/>
              </w:rPr>
            </w:pPr>
          </w:p>
        </w:tc>
      </w:tr>
    </w:tbl>
    <w:p w14:paraId="0621550E">
      <w:pPr>
        <w:textAlignment w:val="baseline"/>
        <w:rPr>
          <w:rFonts w:hint="eastAsia" w:ascii="仿宋" w:hAnsi="仿宋" w:eastAsia="仿宋" w:cs="仿宋"/>
          <w:color w:val="auto"/>
          <w:sz w:val="20"/>
          <w:szCs w:val="21"/>
          <w:highlight w:val="none"/>
        </w:rPr>
      </w:pPr>
    </w:p>
    <w:p w14:paraId="1E705DD9">
      <w:pPr>
        <w:spacing w:line="320" w:lineRule="atLeast"/>
        <w:textAlignment w:val="baseline"/>
        <w:rPr>
          <w:rFonts w:hint="eastAsia" w:ascii="仿宋" w:hAnsi="仿宋" w:eastAsia="仿宋" w:cs="仿宋"/>
          <w:color w:val="auto"/>
          <w:spacing w:val="20"/>
          <w:sz w:val="20"/>
          <w:szCs w:val="21"/>
          <w:highlight w:val="none"/>
        </w:rPr>
      </w:pPr>
    </w:p>
    <w:p w14:paraId="34727DD3">
      <w:pPr>
        <w:snapToGrid w:val="0"/>
        <w:spacing w:before="156" w:after="156"/>
        <w:ind w:firstLine="424" w:firstLineChars="177"/>
        <w:textAlignment w:val="baseline"/>
        <w:rPr>
          <w:rFonts w:hint="eastAsia" w:ascii="仿宋" w:hAnsi="仿宋" w:eastAsia="仿宋" w:cs="仿宋"/>
          <w:color w:val="auto"/>
          <w:sz w:val="24"/>
          <w:highlight w:val="none"/>
        </w:rPr>
      </w:pPr>
    </w:p>
    <w:p w14:paraId="769AB4FC">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34E90DF2">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日期：</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月</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日</w:t>
      </w:r>
    </w:p>
    <w:p w14:paraId="47999413">
      <w:pPr>
        <w:spacing w:line="380" w:lineRule="exact"/>
        <w:ind w:left="359" w:leftChars="171"/>
        <w:textAlignment w:val="baseline"/>
        <w:rPr>
          <w:rFonts w:hint="eastAsia" w:ascii="仿宋" w:hAnsi="仿宋" w:eastAsia="仿宋" w:cs="仿宋"/>
          <w:color w:val="auto"/>
          <w:sz w:val="22"/>
          <w:highlight w:val="none"/>
        </w:rPr>
      </w:pPr>
    </w:p>
    <w:p w14:paraId="6D759508">
      <w:pPr>
        <w:widowControl/>
        <w:spacing w:line="420" w:lineRule="atLeast"/>
        <w:jc w:val="center"/>
        <w:textAlignment w:val="baseline"/>
        <w:rPr>
          <w:rFonts w:hint="eastAsia" w:ascii="仿宋" w:hAnsi="仿宋" w:eastAsia="仿宋" w:cs="仿宋"/>
          <w:b/>
          <w:bCs/>
          <w:color w:val="auto"/>
          <w:kern w:val="0"/>
          <w:sz w:val="30"/>
          <w:szCs w:val="30"/>
          <w:highlight w:val="none"/>
        </w:rPr>
      </w:pPr>
    </w:p>
    <w:p w14:paraId="1732998F">
      <w:pPr>
        <w:pStyle w:val="31"/>
        <w:ind w:firstLine="60"/>
        <w:textAlignment w:val="baseline"/>
        <w:rPr>
          <w:rFonts w:hint="eastAsia" w:ascii="仿宋" w:hAnsi="仿宋" w:eastAsia="仿宋" w:cs="仿宋"/>
          <w:b/>
          <w:bCs/>
          <w:color w:val="auto"/>
          <w:sz w:val="30"/>
          <w:szCs w:val="30"/>
          <w:highlight w:val="none"/>
        </w:rPr>
      </w:pPr>
    </w:p>
    <w:p w14:paraId="3C778A46">
      <w:pPr>
        <w:pStyle w:val="31"/>
        <w:ind w:firstLine="60"/>
        <w:textAlignment w:val="baseline"/>
        <w:rPr>
          <w:rFonts w:hint="eastAsia" w:ascii="仿宋" w:hAnsi="仿宋" w:eastAsia="仿宋" w:cs="仿宋"/>
          <w:b/>
          <w:bCs/>
          <w:color w:val="auto"/>
          <w:sz w:val="30"/>
          <w:szCs w:val="30"/>
          <w:highlight w:val="none"/>
        </w:rPr>
      </w:pPr>
    </w:p>
    <w:p w14:paraId="63A76DF4">
      <w:pPr>
        <w:pStyle w:val="12"/>
        <w:rPr>
          <w:rFonts w:hint="eastAsia" w:ascii="仿宋" w:hAnsi="仿宋" w:eastAsia="仿宋" w:cs="仿宋"/>
          <w:color w:val="auto"/>
          <w:highlight w:val="none"/>
        </w:rPr>
      </w:pPr>
      <w:bookmarkStart w:id="143" w:name="_Toc31082"/>
    </w:p>
    <w:p w14:paraId="724AB4AC">
      <w:pPr>
        <w:spacing w:line="440" w:lineRule="exact"/>
        <w:textAlignment w:val="baseline"/>
        <w:outlineLvl w:val="0"/>
        <w:rPr>
          <w:rFonts w:hint="eastAsia" w:ascii="仿宋" w:hAnsi="仿宋" w:eastAsia="仿宋" w:cs="仿宋"/>
          <w:b/>
          <w:bCs/>
          <w:color w:val="auto"/>
          <w:sz w:val="22"/>
          <w:highlight w:val="none"/>
        </w:rPr>
      </w:pPr>
      <w:bookmarkStart w:id="144" w:name="_Toc13241"/>
      <w:bookmarkStart w:id="145" w:name="_Toc7797"/>
      <w:bookmarkStart w:id="146" w:name="_Toc11151"/>
    </w:p>
    <w:p w14:paraId="045F7A22">
      <w:pPr>
        <w:spacing w:line="440" w:lineRule="exact"/>
        <w:textAlignment w:val="baseline"/>
        <w:outlineLvl w:val="0"/>
        <w:rPr>
          <w:rFonts w:hint="eastAsia" w:ascii="仿宋" w:hAnsi="仿宋" w:eastAsia="仿宋" w:cs="仿宋"/>
          <w:b/>
          <w:bCs/>
          <w:color w:val="auto"/>
          <w:sz w:val="22"/>
          <w:highlight w:val="none"/>
          <w:lang w:val="en-US" w:eastAsia="zh-CN"/>
        </w:rPr>
      </w:pPr>
      <w:r>
        <w:rPr>
          <w:rFonts w:hint="eastAsia" w:ascii="仿宋" w:hAnsi="仿宋" w:eastAsia="仿宋" w:cs="仿宋"/>
          <w:b/>
          <w:bCs/>
          <w:color w:val="auto"/>
          <w:sz w:val="22"/>
          <w:highlight w:val="none"/>
        </w:rPr>
        <w:t>附件</w:t>
      </w:r>
      <w:bookmarkEnd w:id="143"/>
      <w:bookmarkEnd w:id="144"/>
      <w:bookmarkEnd w:id="145"/>
      <w:bookmarkEnd w:id="146"/>
      <w:r>
        <w:rPr>
          <w:rFonts w:hint="eastAsia" w:ascii="仿宋" w:hAnsi="仿宋" w:eastAsia="仿宋" w:cs="仿宋"/>
          <w:b/>
          <w:bCs/>
          <w:color w:val="auto"/>
          <w:sz w:val="22"/>
          <w:highlight w:val="none"/>
          <w:lang w:val="en-US" w:eastAsia="zh-CN"/>
        </w:rPr>
        <w:t>8</w:t>
      </w:r>
    </w:p>
    <w:p w14:paraId="6463AF1C">
      <w:pPr>
        <w:widowControl/>
        <w:spacing w:line="420" w:lineRule="atLeast"/>
        <w:jc w:val="center"/>
        <w:rPr>
          <w:rFonts w:hint="eastAsia" w:ascii="仿宋" w:hAnsi="仿宋" w:eastAsia="仿宋" w:cs="仿宋"/>
          <w:b/>
          <w:bCs/>
          <w:color w:val="auto"/>
          <w:kern w:val="0"/>
          <w:sz w:val="30"/>
          <w:szCs w:val="30"/>
          <w:highlight w:val="none"/>
        </w:rPr>
      </w:pPr>
    </w:p>
    <w:p w14:paraId="5EB2002A">
      <w:pPr>
        <w:spacing w:line="380" w:lineRule="exact"/>
        <w:jc w:val="center"/>
        <w:rPr>
          <w:rFonts w:hint="eastAsia" w:ascii="仿宋" w:hAnsi="仿宋" w:eastAsia="仿宋" w:cs="仿宋"/>
          <w:b/>
          <w:bCs/>
          <w:color w:val="auto"/>
          <w:kern w:val="0"/>
          <w:sz w:val="30"/>
          <w:szCs w:val="30"/>
          <w:highlight w:val="none"/>
          <w:lang w:val="en-US" w:eastAsia="zh-CN"/>
        </w:rPr>
      </w:pPr>
      <w:r>
        <w:rPr>
          <w:rFonts w:hint="eastAsia" w:ascii="仿宋" w:hAnsi="仿宋" w:eastAsia="仿宋" w:cs="仿宋"/>
          <w:b/>
          <w:bCs/>
          <w:color w:val="auto"/>
          <w:kern w:val="0"/>
          <w:sz w:val="30"/>
          <w:szCs w:val="30"/>
          <w:highlight w:val="none"/>
          <w:lang w:val="en-US" w:eastAsia="zh-CN"/>
        </w:rPr>
        <w:t>初次报价一览表</w:t>
      </w:r>
    </w:p>
    <w:p w14:paraId="15080537">
      <w:pPr>
        <w:spacing w:line="380" w:lineRule="exact"/>
        <w:jc w:val="center"/>
        <w:rPr>
          <w:rFonts w:hint="eastAsia" w:ascii="仿宋" w:hAnsi="仿宋" w:eastAsia="仿宋" w:cs="仿宋"/>
          <w:b/>
          <w:bCs/>
          <w:color w:val="auto"/>
          <w:kern w:val="0"/>
          <w:sz w:val="30"/>
          <w:szCs w:val="30"/>
          <w:highlight w:val="none"/>
          <w:lang w:val="en-US" w:eastAsia="zh-CN"/>
        </w:rPr>
      </w:pPr>
    </w:p>
    <w:p w14:paraId="34DB6457">
      <w:pPr>
        <w:spacing w:line="380" w:lineRule="exact"/>
        <w:ind w:firstLine="420" w:firstLineChars="200"/>
        <w:jc w:val="both"/>
        <w:rPr>
          <w:rFonts w:hint="eastAsia" w:ascii="仿宋" w:hAnsi="仿宋" w:eastAsia="仿宋" w:cs="仿宋"/>
          <w:color w:val="auto"/>
          <w:highlight w:val="none"/>
          <w:u w:val="none"/>
          <w:lang w:eastAsia="zh-CN"/>
        </w:rPr>
      </w:pPr>
      <w:r>
        <w:rPr>
          <w:rFonts w:hint="eastAsia" w:ascii="仿宋" w:hAnsi="仿宋" w:eastAsia="仿宋" w:cs="仿宋"/>
          <w:color w:val="auto"/>
          <w:highlight w:val="none"/>
        </w:rPr>
        <w:t>项目名称：</w:t>
      </w:r>
      <w:r>
        <w:rPr>
          <w:rFonts w:hint="eastAsia" w:ascii="仿宋" w:hAnsi="仿宋" w:eastAsia="仿宋" w:cs="仿宋"/>
          <w:color w:val="auto"/>
          <w:highlight w:val="none"/>
          <w:u w:val="none"/>
          <w:lang w:eastAsia="zh-CN"/>
        </w:rPr>
        <w:t xml:space="preserve"> 常山县城东新区狮子口片区控规调整</w:t>
      </w:r>
    </w:p>
    <w:p w14:paraId="38D90F7D">
      <w:pPr>
        <w:spacing w:line="380" w:lineRule="exact"/>
        <w:ind w:firstLine="420" w:firstLineChars="200"/>
        <w:jc w:val="both"/>
        <w:rPr>
          <w:rFonts w:hint="eastAsia" w:ascii="仿宋" w:hAnsi="仿宋" w:eastAsia="仿宋" w:cs="仿宋"/>
          <w:b/>
          <w:bCs/>
          <w:color w:val="auto"/>
          <w:sz w:val="28"/>
          <w:highlight w:val="none"/>
        </w:rPr>
      </w:pPr>
      <w:r>
        <w:rPr>
          <w:rFonts w:hint="eastAsia" w:ascii="仿宋" w:hAnsi="仿宋" w:eastAsia="仿宋" w:cs="仿宋"/>
          <w:color w:val="auto"/>
          <w:highlight w:val="none"/>
        </w:rPr>
        <w:t>项目编号</w:t>
      </w:r>
      <w:r>
        <w:rPr>
          <w:rFonts w:hint="eastAsia" w:ascii="仿宋" w:hAnsi="仿宋" w:eastAsia="仿宋" w:cs="仿宋"/>
          <w:i w:val="0"/>
          <w:iCs w:val="0"/>
          <w:color w:val="auto"/>
          <w:highlight w:val="none"/>
          <w:u w:val="none"/>
        </w:rPr>
        <w:t>：</w:t>
      </w:r>
      <w:r>
        <w:rPr>
          <w:rFonts w:hint="eastAsia" w:ascii="仿宋" w:hAnsi="仿宋" w:eastAsia="仿宋" w:cs="仿宋"/>
          <w:i w:val="0"/>
          <w:iCs w:val="0"/>
          <w:color w:val="auto"/>
          <w:highlight w:val="none"/>
          <w:u w:val="none"/>
          <w:lang w:eastAsia="zh-CN"/>
        </w:rPr>
        <w:t>GXZFCG-2025-CS003</w:t>
      </w:r>
    </w:p>
    <w:tbl>
      <w:tblPr>
        <w:tblStyle w:val="32"/>
        <w:tblW w:w="9666"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09"/>
        <w:gridCol w:w="2520"/>
        <w:gridCol w:w="6437"/>
      </w:tblGrid>
      <w:tr w14:paraId="0412449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22" w:hRule="atLeast"/>
          <w:jc w:val="center"/>
        </w:trPr>
        <w:tc>
          <w:tcPr>
            <w:tcW w:w="709" w:type="dxa"/>
            <w:tcBorders>
              <w:top w:val="single" w:color="auto" w:sz="4" w:space="0"/>
              <w:bottom w:val="single" w:color="auto" w:sz="4" w:space="0"/>
              <w:right w:val="single" w:color="auto" w:sz="4" w:space="0"/>
            </w:tcBorders>
            <w:vAlign w:val="center"/>
          </w:tcPr>
          <w:p w14:paraId="4B949BA5">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2520" w:type="dxa"/>
            <w:tcBorders>
              <w:top w:val="single" w:color="auto" w:sz="4" w:space="0"/>
              <w:left w:val="single" w:color="auto" w:sz="4" w:space="0"/>
              <w:bottom w:val="single" w:color="auto" w:sz="4" w:space="0"/>
              <w:right w:val="single" w:color="auto" w:sz="4" w:space="0"/>
            </w:tcBorders>
            <w:vAlign w:val="center"/>
          </w:tcPr>
          <w:p w14:paraId="25C27BB7">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6437" w:type="dxa"/>
            <w:tcBorders>
              <w:top w:val="single" w:color="auto" w:sz="4" w:space="0"/>
              <w:left w:val="single" w:color="auto" w:sz="4" w:space="0"/>
              <w:bottom w:val="single" w:color="auto" w:sz="4" w:space="0"/>
              <w:right w:val="single" w:color="auto" w:sz="8" w:space="0"/>
            </w:tcBorders>
            <w:vAlign w:val="center"/>
          </w:tcPr>
          <w:p w14:paraId="5E3961E9">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内容</w:t>
            </w:r>
          </w:p>
        </w:tc>
      </w:tr>
      <w:tr w14:paraId="2377C94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jc w:val="center"/>
        </w:trPr>
        <w:tc>
          <w:tcPr>
            <w:tcW w:w="709" w:type="dxa"/>
            <w:tcBorders>
              <w:bottom w:val="single" w:color="auto" w:sz="4" w:space="0"/>
              <w:right w:val="single" w:color="auto" w:sz="4" w:space="0"/>
            </w:tcBorders>
            <w:vAlign w:val="center"/>
          </w:tcPr>
          <w:p w14:paraId="4B665562">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w:t>
            </w:r>
          </w:p>
        </w:tc>
        <w:tc>
          <w:tcPr>
            <w:tcW w:w="2520" w:type="dxa"/>
            <w:tcBorders>
              <w:left w:val="single" w:color="auto" w:sz="4" w:space="0"/>
              <w:bottom w:val="single" w:color="auto" w:sz="4" w:space="0"/>
              <w:right w:val="single" w:color="auto" w:sz="4" w:space="0"/>
            </w:tcBorders>
            <w:vAlign w:val="center"/>
          </w:tcPr>
          <w:p w14:paraId="15B4225F">
            <w:pPr>
              <w:pStyle w:val="17"/>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响应</w:t>
            </w:r>
            <w:r>
              <w:rPr>
                <w:rFonts w:hint="eastAsia" w:ascii="仿宋" w:hAnsi="仿宋" w:eastAsia="仿宋" w:cs="仿宋"/>
                <w:color w:val="auto"/>
                <w:sz w:val="24"/>
                <w:szCs w:val="24"/>
                <w:highlight w:val="none"/>
              </w:rPr>
              <w:t>总价</w:t>
            </w:r>
          </w:p>
        </w:tc>
        <w:tc>
          <w:tcPr>
            <w:tcW w:w="6437" w:type="dxa"/>
            <w:tcBorders>
              <w:top w:val="single" w:color="auto" w:sz="4" w:space="0"/>
              <w:left w:val="single" w:color="auto" w:sz="4" w:space="0"/>
              <w:bottom w:val="single" w:color="auto" w:sz="4" w:space="0"/>
            </w:tcBorders>
            <w:vAlign w:val="center"/>
          </w:tcPr>
          <w:p w14:paraId="1E3ABA75">
            <w:pPr>
              <w:pStyle w:val="17"/>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大写（人民币）：</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val="en-US" w:eastAsia="zh-CN"/>
              </w:rPr>
              <w:t xml:space="preserve">    </w:t>
            </w:r>
            <w:r>
              <w:rPr>
                <w:rFonts w:hint="eastAsia" w:ascii="仿宋" w:hAnsi="仿宋" w:eastAsia="仿宋" w:cs="仿宋"/>
                <w:color w:val="auto"/>
                <w:sz w:val="24"/>
                <w:szCs w:val="24"/>
                <w:highlight w:val="none"/>
              </w:rPr>
              <w:t>）</w:t>
            </w:r>
          </w:p>
        </w:tc>
      </w:tr>
      <w:tr w14:paraId="5AA6B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76" w:hRule="atLeast"/>
          <w:jc w:val="center"/>
        </w:trPr>
        <w:tc>
          <w:tcPr>
            <w:tcW w:w="709" w:type="dxa"/>
            <w:tcBorders>
              <w:bottom w:val="single" w:color="auto" w:sz="4" w:space="0"/>
              <w:right w:val="single" w:color="auto" w:sz="4" w:space="0"/>
            </w:tcBorders>
            <w:vAlign w:val="center"/>
          </w:tcPr>
          <w:p w14:paraId="60DBE13C">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w:t>
            </w:r>
          </w:p>
        </w:tc>
        <w:tc>
          <w:tcPr>
            <w:tcW w:w="2520" w:type="dxa"/>
            <w:tcBorders>
              <w:left w:val="single" w:color="auto" w:sz="4" w:space="0"/>
              <w:bottom w:val="single" w:color="auto" w:sz="4" w:space="0"/>
              <w:right w:val="single" w:color="auto" w:sz="4" w:space="0"/>
            </w:tcBorders>
            <w:vAlign w:val="center"/>
          </w:tcPr>
          <w:p w14:paraId="49D9EB23">
            <w:pPr>
              <w:pStyle w:val="17"/>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项目负责人</w:t>
            </w:r>
          </w:p>
        </w:tc>
        <w:tc>
          <w:tcPr>
            <w:tcW w:w="6437" w:type="dxa"/>
            <w:tcBorders>
              <w:top w:val="single" w:color="auto" w:sz="4" w:space="0"/>
              <w:left w:val="single" w:color="auto" w:sz="4" w:space="0"/>
              <w:bottom w:val="single" w:color="auto" w:sz="4" w:space="0"/>
            </w:tcBorders>
            <w:vAlign w:val="center"/>
          </w:tcPr>
          <w:p w14:paraId="52C85EEE">
            <w:pPr>
              <w:pStyle w:val="17"/>
              <w:textAlignment w:val="baseline"/>
              <w:rPr>
                <w:rFonts w:hint="eastAsia" w:ascii="仿宋" w:hAnsi="仿宋" w:eastAsia="仿宋" w:cs="仿宋"/>
                <w:color w:val="auto"/>
                <w:sz w:val="24"/>
                <w:szCs w:val="24"/>
                <w:highlight w:val="none"/>
              </w:rPr>
            </w:pPr>
          </w:p>
        </w:tc>
      </w:tr>
      <w:tr w14:paraId="7CFDF60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jc w:val="center"/>
        </w:trPr>
        <w:tc>
          <w:tcPr>
            <w:tcW w:w="3229" w:type="dxa"/>
            <w:gridSpan w:val="2"/>
            <w:tcBorders>
              <w:top w:val="single" w:color="auto" w:sz="4" w:space="0"/>
              <w:bottom w:val="single" w:color="auto" w:sz="4" w:space="0"/>
              <w:right w:val="single" w:color="auto" w:sz="4" w:space="0"/>
            </w:tcBorders>
            <w:vAlign w:val="center"/>
          </w:tcPr>
          <w:p w14:paraId="254F0FDE">
            <w:pPr>
              <w:pStyle w:val="17"/>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备注</w:t>
            </w:r>
          </w:p>
        </w:tc>
        <w:tc>
          <w:tcPr>
            <w:tcW w:w="6437" w:type="dxa"/>
            <w:tcBorders>
              <w:top w:val="single" w:color="auto" w:sz="4" w:space="0"/>
              <w:left w:val="single" w:color="auto" w:sz="4" w:space="0"/>
              <w:bottom w:val="single" w:color="auto" w:sz="4" w:space="0"/>
              <w:right w:val="single" w:color="auto" w:sz="8" w:space="0"/>
            </w:tcBorders>
            <w:vAlign w:val="center"/>
          </w:tcPr>
          <w:p w14:paraId="31ADE225">
            <w:pPr>
              <w:pStyle w:val="17"/>
              <w:keepNext w:val="0"/>
              <w:keepLines w:val="0"/>
              <w:pageBreakBefore w:val="0"/>
              <w:widowControl/>
              <w:kinsoku/>
              <w:wordWrap/>
              <w:overflowPunct w:val="0"/>
              <w:topLinePunct w:val="0"/>
              <w:autoSpaceDE w:val="0"/>
              <w:autoSpaceDN w:val="0"/>
              <w:bidi w:val="0"/>
              <w:adjustRightInd w:val="0"/>
              <w:snapToGrid/>
              <w:spacing w:line="300" w:lineRule="auto"/>
              <w:textAlignment w:val="baseline"/>
              <w:rPr>
                <w:rFonts w:hint="eastAsia" w:ascii="仿宋" w:hAnsi="仿宋" w:eastAsia="仿宋" w:cs="仿宋"/>
                <w:b/>
                <w:bCs/>
                <w:color w:val="auto"/>
                <w:szCs w:val="21"/>
                <w:highlight w:val="none"/>
                <w:lang w:val="en-US" w:eastAsia="zh-CN"/>
              </w:rPr>
            </w:pPr>
            <w:r>
              <w:rPr>
                <w:rFonts w:hint="eastAsia" w:ascii="仿宋" w:hAnsi="仿宋" w:eastAsia="仿宋" w:cs="仿宋"/>
                <w:b/>
                <w:bCs/>
                <w:color w:val="auto"/>
                <w:szCs w:val="21"/>
                <w:lang w:val="en-US" w:eastAsia="zh-CN"/>
              </w:rPr>
              <w:t>▲1.</w:t>
            </w:r>
            <w:r>
              <w:rPr>
                <w:rFonts w:hint="eastAsia" w:ascii="仿宋" w:hAnsi="仿宋" w:eastAsia="仿宋" w:cs="仿宋"/>
                <w:b/>
                <w:bCs/>
                <w:color w:val="auto"/>
                <w:kern w:val="2"/>
                <w:sz w:val="21"/>
              </w:rPr>
              <w:t>最高限</w:t>
            </w:r>
            <w:r>
              <w:rPr>
                <w:rFonts w:hint="eastAsia" w:ascii="仿宋" w:hAnsi="仿宋" w:eastAsia="仿宋" w:cs="仿宋"/>
                <w:b/>
                <w:bCs/>
                <w:color w:val="auto"/>
                <w:kern w:val="2"/>
                <w:sz w:val="21"/>
                <w:highlight w:val="none"/>
              </w:rPr>
              <w:t>价：</w:t>
            </w:r>
            <w:r>
              <w:rPr>
                <w:rFonts w:hint="eastAsia" w:ascii="仿宋" w:hAnsi="仿宋" w:eastAsia="仿宋" w:cs="仿宋"/>
                <w:b/>
                <w:bCs/>
                <w:color w:val="auto"/>
                <w:kern w:val="2"/>
                <w:sz w:val="21"/>
                <w:highlight w:val="none"/>
                <w:lang w:val="en-US" w:eastAsia="zh-CN"/>
              </w:rPr>
              <w:t>850000</w:t>
            </w:r>
            <w:r>
              <w:rPr>
                <w:rFonts w:hint="eastAsia" w:ascii="仿宋" w:hAnsi="仿宋" w:eastAsia="仿宋" w:cs="仿宋"/>
                <w:b/>
                <w:bCs/>
                <w:color w:val="auto"/>
                <w:kern w:val="2"/>
                <w:sz w:val="21"/>
                <w:highlight w:val="none"/>
              </w:rPr>
              <w:t>元，磋商报价（含初次报价和最后报价）高于最高限价的，按无效响应处理。</w:t>
            </w:r>
          </w:p>
          <w:p w14:paraId="40D01C6D">
            <w:pPr>
              <w:pStyle w:val="17"/>
              <w:textAlignment w:val="baseline"/>
              <w:rPr>
                <w:rFonts w:hint="eastAsia" w:ascii="仿宋" w:hAnsi="仿宋" w:eastAsia="仿宋" w:cs="仿宋"/>
                <w:color w:val="auto"/>
                <w:sz w:val="24"/>
                <w:szCs w:val="24"/>
                <w:highlight w:val="none"/>
              </w:rPr>
            </w:pPr>
            <w:r>
              <w:rPr>
                <w:rFonts w:hint="eastAsia" w:ascii="仿宋" w:hAnsi="仿宋" w:eastAsia="仿宋" w:cs="仿宋"/>
                <w:color w:val="auto"/>
                <w:szCs w:val="21"/>
                <w:highlight w:val="none"/>
                <w:lang w:val="en-US" w:eastAsia="zh-CN"/>
              </w:rPr>
              <w:t>2.</w:t>
            </w:r>
            <w:r>
              <w:rPr>
                <w:rFonts w:hint="eastAsia" w:ascii="仿宋" w:hAnsi="仿宋" w:eastAsia="仿宋" w:cs="仿宋"/>
                <w:color w:val="auto"/>
                <w:highlight w:val="none"/>
              </w:rPr>
              <w:t>上述报价是本项目采购文件确定的采购需求范围内全部工作内容的价格表现。完成本项目采购范围内全部工作内容所需价款、企业应缴纳的税费及合理利润、合同包含的风险等所有采购文件提及或采购文件未提及的全部开支均已计入</w:t>
            </w:r>
            <w:r>
              <w:rPr>
                <w:rFonts w:hint="eastAsia" w:ascii="仿宋" w:hAnsi="仿宋" w:eastAsia="仿宋" w:cs="仿宋"/>
                <w:color w:val="auto"/>
                <w:highlight w:val="none"/>
                <w:lang w:eastAsia="zh-CN"/>
              </w:rPr>
              <w:t>响应</w:t>
            </w:r>
            <w:r>
              <w:rPr>
                <w:rFonts w:hint="eastAsia" w:ascii="仿宋" w:hAnsi="仿宋" w:eastAsia="仿宋" w:cs="仿宋"/>
                <w:color w:val="auto"/>
                <w:highlight w:val="none"/>
              </w:rPr>
              <w:t>报价。</w:t>
            </w:r>
          </w:p>
        </w:tc>
      </w:tr>
    </w:tbl>
    <w:p w14:paraId="3A196E4B">
      <w:pPr>
        <w:spacing w:line="360" w:lineRule="auto"/>
        <w:ind w:firstLine="219" w:firstLineChars="104"/>
        <w:jc w:val="left"/>
        <w:rPr>
          <w:rFonts w:hint="eastAsia" w:ascii="仿宋" w:hAnsi="仿宋" w:eastAsia="仿宋" w:cs="仿宋"/>
          <w:b/>
          <w:bCs/>
          <w:color w:val="auto"/>
          <w:szCs w:val="21"/>
          <w:highlight w:val="none"/>
        </w:rPr>
      </w:pPr>
    </w:p>
    <w:p w14:paraId="13BD1E7B">
      <w:pPr>
        <w:spacing w:line="360" w:lineRule="auto"/>
        <w:ind w:firstLine="219" w:firstLineChars="104"/>
        <w:jc w:val="left"/>
        <w:rPr>
          <w:rFonts w:hint="eastAsia" w:ascii="仿宋" w:hAnsi="仿宋" w:eastAsia="仿宋" w:cs="仿宋"/>
          <w:b/>
          <w:bCs/>
          <w:color w:val="auto"/>
          <w:szCs w:val="21"/>
          <w:highlight w:val="none"/>
        </w:rPr>
      </w:pPr>
      <w:r>
        <w:rPr>
          <w:rFonts w:hint="eastAsia" w:ascii="仿宋" w:hAnsi="仿宋" w:eastAsia="仿宋" w:cs="仿宋"/>
          <w:b/>
          <w:bCs/>
          <w:color w:val="auto"/>
          <w:szCs w:val="21"/>
          <w:highlight w:val="none"/>
        </w:rPr>
        <w:t>注：1、报价一经涂改，应在涂改处加盖单位公章或者由法定代表人或授权委托人签字或盖章，否则其投标作无效标处理。</w:t>
      </w:r>
    </w:p>
    <w:p w14:paraId="10A02EB5">
      <w:pPr>
        <w:snapToGrid w:val="0"/>
        <w:spacing w:before="156" w:after="156"/>
        <w:ind w:firstLine="424" w:firstLineChars="177"/>
        <w:textAlignment w:val="baseline"/>
        <w:rPr>
          <w:rFonts w:hint="eastAsia" w:ascii="仿宋" w:hAnsi="仿宋" w:eastAsia="仿宋" w:cs="仿宋"/>
          <w:color w:val="auto"/>
          <w:sz w:val="24"/>
          <w:highlight w:val="none"/>
        </w:rPr>
      </w:pPr>
    </w:p>
    <w:p w14:paraId="40C5C64F">
      <w:pPr>
        <w:snapToGrid w:val="0"/>
        <w:spacing w:before="156" w:after="156"/>
        <w:ind w:firstLine="424" w:firstLineChars="177"/>
        <w:textAlignment w:val="baseline"/>
        <w:rPr>
          <w:rFonts w:hint="eastAsia" w:ascii="仿宋" w:hAnsi="仿宋" w:eastAsia="仿宋" w:cs="仿宋"/>
          <w:color w:val="auto"/>
          <w:sz w:val="24"/>
          <w:highlight w:val="none"/>
        </w:rPr>
      </w:pPr>
    </w:p>
    <w:p w14:paraId="2CB6A844">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4B101D3E">
      <w:pPr>
        <w:spacing w:line="440" w:lineRule="exact"/>
        <w:ind w:firstLine="4860"/>
        <w:jc w:val="left"/>
        <w:textAlignment w:val="baseline"/>
        <w:rPr>
          <w:rFonts w:hint="eastAsia" w:ascii="仿宋" w:hAnsi="仿宋" w:eastAsia="仿宋" w:cs="仿宋"/>
          <w:color w:val="auto"/>
          <w:sz w:val="20"/>
          <w:szCs w:val="21"/>
          <w:highlight w:val="none"/>
          <w:u w:val="single" w:color="000000"/>
        </w:rPr>
      </w:pPr>
      <w:bookmarkStart w:id="147" w:name="_Toc5875"/>
      <w:r>
        <w:rPr>
          <w:rFonts w:hint="eastAsia" w:ascii="仿宋" w:hAnsi="仿宋" w:eastAsia="仿宋" w:cs="仿宋"/>
          <w:b/>
          <w:bCs/>
          <w:color w:val="auto"/>
          <w:szCs w:val="21"/>
          <w:highlight w:val="none"/>
        </w:rPr>
        <w:t>日期：</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月</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日</w:t>
      </w:r>
    </w:p>
    <w:p w14:paraId="7D927994">
      <w:pPr>
        <w:pStyle w:val="90"/>
        <w:numPr>
          <w:ilvl w:val="0"/>
          <w:numId w:val="0"/>
        </w:numPr>
        <w:snapToGrid w:val="0"/>
        <w:ind w:left="227"/>
        <w:jc w:val="center"/>
        <w:outlineLvl w:val="9"/>
        <w:rPr>
          <w:rFonts w:hint="eastAsia" w:ascii="仿宋" w:hAnsi="仿宋" w:eastAsia="仿宋" w:cs="仿宋"/>
          <w:color w:val="auto"/>
          <w:sz w:val="32"/>
          <w:szCs w:val="32"/>
          <w:highlight w:val="none"/>
        </w:rPr>
      </w:pPr>
    </w:p>
    <w:p w14:paraId="5EE8C902">
      <w:pPr>
        <w:pStyle w:val="90"/>
        <w:numPr>
          <w:ilvl w:val="0"/>
          <w:numId w:val="0"/>
        </w:numPr>
        <w:snapToGrid w:val="0"/>
        <w:ind w:left="227"/>
        <w:jc w:val="center"/>
        <w:outlineLvl w:val="9"/>
        <w:rPr>
          <w:rFonts w:hint="eastAsia" w:ascii="仿宋" w:hAnsi="仿宋" w:eastAsia="仿宋" w:cs="仿宋"/>
          <w:color w:val="auto"/>
          <w:sz w:val="32"/>
          <w:szCs w:val="32"/>
          <w:highlight w:val="none"/>
        </w:rPr>
      </w:pPr>
      <w:bookmarkStart w:id="148" w:name="_Toc20374"/>
    </w:p>
    <w:p w14:paraId="16813596">
      <w:pPr>
        <w:pStyle w:val="90"/>
        <w:numPr>
          <w:ilvl w:val="0"/>
          <w:numId w:val="0"/>
        </w:numPr>
        <w:snapToGrid w:val="0"/>
        <w:ind w:left="227"/>
        <w:jc w:val="center"/>
        <w:outlineLvl w:val="9"/>
        <w:rPr>
          <w:rFonts w:hint="eastAsia" w:ascii="仿宋" w:hAnsi="仿宋" w:eastAsia="仿宋" w:cs="仿宋"/>
          <w:color w:val="auto"/>
          <w:sz w:val="32"/>
          <w:szCs w:val="32"/>
          <w:highlight w:val="none"/>
        </w:rPr>
      </w:pPr>
    </w:p>
    <w:p w14:paraId="17F058CA">
      <w:pPr>
        <w:pStyle w:val="90"/>
        <w:numPr>
          <w:ilvl w:val="0"/>
          <w:numId w:val="0"/>
        </w:numPr>
        <w:snapToGrid w:val="0"/>
        <w:ind w:left="227"/>
        <w:jc w:val="center"/>
        <w:outlineLvl w:val="9"/>
        <w:rPr>
          <w:rFonts w:hint="eastAsia" w:ascii="仿宋" w:hAnsi="仿宋" w:eastAsia="仿宋" w:cs="仿宋"/>
          <w:color w:val="auto"/>
          <w:sz w:val="32"/>
          <w:szCs w:val="32"/>
          <w:highlight w:val="none"/>
        </w:rPr>
      </w:pPr>
    </w:p>
    <w:p w14:paraId="7286CF3C">
      <w:pPr>
        <w:widowControl/>
        <w:spacing w:line="420" w:lineRule="atLeast"/>
        <w:jc w:val="center"/>
        <w:textAlignment w:val="baseline"/>
        <w:outlineLvl w:val="9"/>
        <w:rPr>
          <w:rFonts w:hint="eastAsia" w:ascii="仿宋" w:hAnsi="仿宋" w:eastAsia="仿宋" w:cs="仿宋"/>
          <w:b/>
          <w:bCs/>
          <w:color w:val="auto"/>
          <w:kern w:val="0"/>
          <w:sz w:val="30"/>
          <w:szCs w:val="30"/>
          <w:highlight w:val="none"/>
        </w:rPr>
      </w:pPr>
      <w:bookmarkStart w:id="149" w:name="_Toc28501"/>
    </w:p>
    <w:bookmarkEnd w:id="149"/>
    <w:p w14:paraId="53599121">
      <w:pPr>
        <w:widowControl/>
        <w:spacing w:line="420" w:lineRule="atLeast"/>
        <w:jc w:val="both"/>
        <w:rPr>
          <w:rFonts w:hint="eastAsia" w:ascii="仿宋" w:hAnsi="仿宋" w:eastAsia="仿宋" w:cs="仿宋"/>
          <w:b/>
          <w:bCs/>
          <w:color w:val="auto"/>
          <w:kern w:val="0"/>
          <w:sz w:val="30"/>
          <w:szCs w:val="30"/>
        </w:rPr>
      </w:pPr>
    </w:p>
    <w:p w14:paraId="7C296D67">
      <w:pPr>
        <w:widowControl/>
        <w:spacing w:line="420" w:lineRule="atLeast"/>
        <w:jc w:val="both"/>
        <w:rPr>
          <w:rFonts w:hint="eastAsia" w:ascii="仿宋" w:hAnsi="仿宋" w:eastAsia="仿宋" w:cs="仿宋"/>
          <w:b/>
          <w:bCs/>
          <w:color w:val="auto"/>
          <w:kern w:val="0"/>
          <w:sz w:val="30"/>
          <w:szCs w:val="30"/>
        </w:rPr>
      </w:pPr>
    </w:p>
    <w:p w14:paraId="51D48EAF">
      <w:pPr>
        <w:spacing w:line="440" w:lineRule="exact"/>
        <w:textAlignment w:val="baseline"/>
        <w:outlineLvl w:val="0"/>
        <w:rPr>
          <w:rFonts w:hint="eastAsia" w:ascii="仿宋" w:hAnsi="仿宋" w:eastAsia="仿宋" w:cs="仿宋"/>
          <w:b/>
          <w:bCs/>
          <w:color w:val="auto"/>
          <w:sz w:val="22"/>
          <w:highlight w:val="none"/>
          <w:lang w:val="en-US" w:eastAsia="zh-CN"/>
        </w:rPr>
      </w:pPr>
      <w:r>
        <w:rPr>
          <w:rFonts w:hint="eastAsia" w:ascii="仿宋" w:hAnsi="仿宋" w:eastAsia="仿宋" w:cs="仿宋"/>
          <w:b/>
          <w:bCs/>
          <w:color w:val="auto"/>
          <w:sz w:val="22"/>
          <w:highlight w:val="none"/>
        </w:rPr>
        <w:t>附件</w:t>
      </w:r>
      <w:r>
        <w:rPr>
          <w:rFonts w:hint="eastAsia" w:ascii="仿宋" w:hAnsi="仿宋" w:eastAsia="仿宋" w:cs="仿宋"/>
          <w:b/>
          <w:bCs/>
          <w:color w:val="auto"/>
          <w:sz w:val="22"/>
          <w:highlight w:val="none"/>
          <w:lang w:val="en-US" w:eastAsia="zh-CN"/>
        </w:rPr>
        <w:t>9</w:t>
      </w:r>
    </w:p>
    <w:p w14:paraId="2D32696B">
      <w:pPr>
        <w:widowControl/>
        <w:spacing w:line="420" w:lineRule="atLeast"/>
        <w:jc w:val="both"/>
        <w:rPr>
          <w:rFonts w:hint="eastAsia" w:ascii="仿宋" w:hAnsi="仿宋" w:eastAsia="仿宋" w:cs="仿宋"/>
          <w:b/>
          <w:bCs/>
          <w:color w:val="auto"/>
          <w:kern w:val="0"/>
          <w:sz w:val="30"/>
          <w:szCs w:val="30"/>
        </w:rPr>
      </w:pPr>
    </w:p>
    <w:p w14:paraId="542D3479">
      <w:pPr>
        <w:widowControl/>
        <w:spacing w:line="420" w:lineRule="atLeast"/>
        <w:jc w:val="center"/>
        <w:rPr>
          <w:rFonts w:hint="eastAsia" w:ascii="仿宋" w:hAnsi="仿宋" w:eastAsia="仿宋" w:cs="仿宋"/>
          <w:b/>
          <w:bCs/>
          <w:color w:val="auto"/>
          <w:kern w:val="0"/>
          <w:sz w:val="30"/>
          <w:szCs w:val="30"/>
        </w:rPr>
      </w:pPr>
      <w:r>
        <w:rPr>
          <w:rFonts w:hint="eastAsia" w:ascii="仿宋" w:hAnsi="仿宋" w:eastAsia="仿宋" w:cs="仿宋"/>
          <w:b/>
          <w:bCs/>
          <w:color w:val="auto"/>
          <w:kern w:val="0"/>
          <w:sz w:val="30"/>
          <w:szCs w:val="30"/>
        </w:rPr>
        <w:t>投标报价明细表</w:t>
      </w:r>
    </w:p>
    <w:p w14:paraId="7F8B19E2">
      <w:pPr>
        <w:widowControl/>
        <w:spacing w:line="420" w:lineRule="atLeast"/>
        <w:jc w:val="center"/>
        <w:rPr>
          <w:rFonts w:hint="eastAsia" w:ascii="仿宋" w:hAnsi="仿宋" w:eastAsia="仿宋" w:cs="仿宋"/>
          <w:b/>
          <w:bCs/>
          <w:color w:val="auto"/>
          <w:kern w:val="0"/>
          <w:sz w:val="30"/>
          <w:szCs w:val="30"/>
        </w:rPr>
      </w:pPr>
    </w:p>
    <w:p w14:paraId="2D8C4A7C">
      <w:pPr>
        <w:spacing w:line="380" w:lineRule="exact"/>
        <w:ind w:firstLine="840" w:firstLineChars="400"/>
        <w:jc w:val="both"/>
        <w:rPr>
          <w:rFonts w:hint="eastAsia" w:ascii="仿宋" w:hAnsi="仿宋" w:eastAsia="仿宋" w:cs="仿宋"/>
          <w:color w:val="auto"/>
          <w:highlight w:val="none"/>
          <w:u w:val="none"/>
          <w:lang w:eastAsia="zh-CN"/>
        </w:rPr>
      </w:pPr>
      <w:r>
        <w:rPr>
          <w:rFonts w:hint="eastAsia" w:ascii="仿宋" w:hAnsi="仿宋" w:eastAsia="仿宋" w:cs="仿宋"/>
          <w:color w:val="auto"/>
          <w:highlight w:val="none"/>
        </w:rPr>
        <w:t>项目名称：</w:t>
      </w:r>
      <w:r>
        <w:rPr>
          <w:rFonts w:hint="eastAsia" w:ascii="仿宋" w:hAnsi="仿宋" w:eastAsia="仿宋" w:cs="仿宋"/>
          <w:color w:val="auto"/>
          <w:highlight w:val="none"/>
          <w:u w:val="none"/>
          <w:lang w:eastAsia="zh-CN"/>
        </w:rPr>
        <w:t xml:space="preserve"> 常山县城东新区狮子口片区控规调整</w:t>
      </w:r>
    </w:p>
    <w:p w14:paraId="30AA32A6">
      <w:pPr>
        <w:spacing w:line="380" w:lineRule="exact"/>
        <w:ind w:firstLine="840" w:firstLineChars="400"/>
        <w:jc w:val="both"/>
        <w:rPr>
          <w:rFonts w:hint="eastAsia" w:ascii="仿宋" w:hAnsi="仿宋" w:eastAsia="仿宋" w:cs="仿宋"/>
          <w:b/>
          <w:bCs/>
          <w:color w:val="auto"/>
          <w:sz w:val="28"/>
          <w:highlight w:val="none"/>
        </w:rPr>
      </w:pPr>
      <w:r>
        <w:rPr>
          <w:rFonts w:hint="eastAsia" w:ascii="仿宋" w:hAnsi="仿宋" w:eastAsia="仿宋" w:cs="仿宋"/>
          <w:color w:val="auto"/>
          <w:highlight w:val="none"/>
        </w:rPr>
        <w:t>项目编号</w:t>
      </w:r>
      <w:r>
        <w:rPr>
          <w:rFonts w:hint="eastAsia" w:ascii="仿宋" w:hAnsi="仿宋" w:eastAsia="仿宋" w:cs="仿宋"/>
          <w:i w:val="0"/>
          <w:iCs w:val="0"/>
          <w:color w:val="auto"/>
          <w:highlight w:val="none"/>
          <w:u w:val="none"/>
        </w:rPr>
        <w:t>：</w:t>
      </w:r>
      <w:r>
        <w:rPr>
          <w:rFonts w:hint="eastAsia" w:ascii="仿宋" w:hAnsi="仿宋" w:eastAsia="仿宋" w:cs="仿宋"/>
          <w:i w:val="0"/>
          <w:iCs w:val="0"/>
          <w:color w:val="auto"/>
          <w:highlight w:val="none"/>
          <w:u w:val="none"/>
          <w:lang w:eastAsia="zh-CN"/>
        </w:rPr>
        <w:t>GXZFCG-2025-CS003</w:t>
      </w:r>
    </w:p>
    <w:p w14:paraId="09451FB2">
      <w:pPr>
        <w:pStyle w:val="43"/>
        <w:rPr>
          <w:rFonts w:hint="eastAsia" w:ascii="仿宋" w:hAnsi="仿宋" w:eastAsia="仿宋" w:cs="仿宋"/>
          <w:color w:val="auto"/>
        </w:rPr>
      </w:pPr>
    </w:p>
    <w:tbl>
      <w:tblPr>
        <w:tblStyle w:val="32"/>
        <w:tblW w:w="9077" w:type="dxa"/>
        <w:jc w:val="center"/>
        <w:tblLayout w:type="fixed"/>
        <w:tblCellMar>
          <w:top w:w="0" w:type="dxa"/>
          <w:left w:w="108" w:type="dxa"/>
          <w:bottom w:w="0" w:type="dxa"/>
          <w:right w:w="108" w:type="dxa"/>
        </w:tblCellMar>
      </w:tblPr>
      <w:tblGrid>
        <w:gridCol w:w="1297"/>
        <w:gridCol w:w="2528"/>
        <w:gridCol w:w="2868"/>
        <w:gridCol w:w="2377"/>
        <w:gridCol w:w="7"/>
      </w:tblGrid>
      <w:tr w14:paraId="7134ABC1">
        <w:tblPrEx>
          <w:tblCellMar>
            <w:top w:w="0" w:type="dxa"/>
            <w:left w:w="108" w:type="dxa"/>
            <w:bottom w:w="0" w:type="dxa"/>
            <w:right w:w="108" w:type="dxa"/>
          </w:tblCellMar>
        </w:tblPrEx>
        <w:trPr>
          <w:trHeight w:val="781" w:hRule="atLeas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19FA5ABA">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eastAsia" w:ascii="仿宋" w:hAnsi="仿宋" w:eastAsia="仿宋" w:cs="仿宋"/>
                <w:color w:val="auto"/>
                <w:sz w:val="21"/>
                <w:szCs w:val="21"/>
              </w:rPr>
            </w:pPr>
            <w:r>
              <w:rPr>
                <w:rFonts w:hint="eastAsia" w:ascii="仿宋" w:hAnsi="仿宋" w:eastAsia="仿宋" w:cs="仿宋"/>
                <w:color w:val="auto"/>
                <w:sz w:val="24"/>
                <w:szCs w:val="24"/>
              </w:rPr>
              <w:t>序号</w:t>
            </w:r>
          </w:p>
        </w:tc>
        <w:tc>
          <w:tcPr>
            <w:tcW w:w="2528" w:type="dxa"/>
            <w:tcBorders>
              <w:top w:val="single" w:color="000000" w:sz="4" w:space="0"/>
              <w:left w:val="single" w:color="000000" w:sz="4" w:space="0"/>
              <w:bottom w:val="single" w:color="000000" w:sz="4" w:space="0"/>
              <w:right w:val="single" w:color="000000" w:sz="4" w:space="0"/>
            </w:tcBorders>
            <w:vAlign w:val="center"/>
          </w:tcPr>
          <w:p w14:paraId="119BE41A">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eastAsia" w:ascii="仿宋" w:hAnsi="仿宋" w:eastAsia="仿宋" w:cs="仿宋"/>
                <w:color w:val="auto"/>
                <w:sz w:val="21"/>
                <w:szCs w:val="21"/>
              </w:rPr>
            </w:pPr>
            <w:r>
              <w:rPr>
                <w:rFonts w:hint="eastAsia" w:ascii="仿宋" w:hAnsi="仿宋" w:eastAsia="仿宋" w:cs="仿宋"/>
                <w:color w:val="auto"/>
                <w:sz w:val="24"/>
                <w:szCs w:val="24"/>
              </w:rPr>
              <w:t>项目</w:t>
            </w:r>
          </w:p>
        </w:tc>
        <w:tc>
          <w:tcPr>
            <w:tcW w:w="2868" w:type="dxa"/>
            <w:tcBorders>
              <w:top w:val="single" w:color="000000" w:sz="4" w:space="0"/>
              <w:left w:val="single" w:color="000000" w:sz="4" w:space="0"/>
              <w:bottom w:val="single" w:color="000000" w:sz="4" w:space="0"/>
              <w:right w:val="single" w:color="000000" w:sz="4" w:space="0"/>
            </w:tcBorders>
            <w:vAlign w:val="center"/>
          </w:tcPr>
          <w:p w14:paraId="4D8D223A">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eastAsia" w:ascii="仿宋" w:hAnsi="仿宋" w:eastAsia="仿宋" w:cs="仿宋"/>
                <w:color w:val="auto"/>
                <w:sz w:val="21"/>
                <w:szCs w:val="21"/>
              </w:rPr>
            </w:pPr>
            <w:r>
              <w:rPr>
                <w:rFonts w:hint="eastAsia" w:ascii="仿宋" w:hAnsi="仿宋" w:eastAsia="仿宋" w:cs="仿宋"/>
                <w:color w:val="auto"/>
                <w:sz w:val="24"/>
                <w:szCs w:val="24"/>
              </w:rPr>
              <w:t>综合单价（元）</w:t>
            </w: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582604B6">
            <w:pPr>
              <w:keepNext w:val="0"/>
              <w:keepLines w:val="0"/>
              <w:pageBreakBefore w:val="0"/>
              <w:widowControl w:val="0"/>
              <w:kinsoku/>
              <w:wordWrap/>
              <w:overflowPunct/>
              <w:topLinePunct w:val="0"/>
              <w:autoSpaceDE/>
              <w:autoSpaceDN/>
              <w:bidi w:val="0"/>
              <w:adjustRightInd/>
              <w:spacing w:line="240" w:lineRule="exact"/>
              <w:jc w:val="center"/>
              <w:textAlignment w:val="auto"/>
              <w:rPr>
                <w:rFonts w:hint="eastAsia" w:ascii="仿宋" w:hAnsi="仿宋" w:eastAsia="仿宋" w:cs="仿宋"/>
                <w:color w:val="auto"/>
                <w:sz w:val="21"/>
                <w:szCs w:val="21"/>
              </w:rPr>
            </w:pPr>
            <w:r>
              <w:rPr>
                <w:rFonts w:hint="eastAsia" w:ascii="仿宋" w:hAnsi="仿宋" w:eastAsia="仿宋" w:cs="仿宋"/>
                <w:color w:val="auto"/>
                <w:sz w:val="24"/>
                <w:szCs w:val="24"/>
              </w:rPr>
              <w:t>总价（元）</w:t>
            </w:r>
          </w:p>
        </w:tc>
      </w:tr>
      <w:tr w14:paraId="52777099">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6D4AD2E1">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3734E125">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70903612">
            <w:pPr>
              <w:tabs>
                <w:tab w:val="center" w:pos="351"/>
                <w:tab w:val="left" w:pos="505"/>
              </w:tabs>
              <w:spacing w:line="360" w:lineRule="auto"/>
              <w:jc w:val="left"/>
              <w:rPr>
                <w:rFonts w:hint="eastAsia" w:ascii="仿宋" w:hAnsi="仿宋" w:eastAsia="仿宋" w:cs="仿宋"/>
                <w:color w:val="auto"/>
                <w:sz w:val="21"/>
                <w:szCs w:val="21"/>
                <w:lang w:eastAsia="zh-CN"/>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4758DF2C">
            <w:pPr>
              <w:spacing w:line="360" w:lineRule="auto"/>
              <w:jc w:val="center"/>
              <w:rPr>
                <w:rFonts w:hint="eastAsia" w:ascii="仿宋" w:hAnsi="仿宋" w:eastAsia="仿宋" w:cs="仿宋"/>
                <w:color w:val="auto"/>
                <w:sz w:val="21"/>
                <w:szCs w:val="21"/>
              </w:rPr>
            </w:pPr>
          </w:p>
        </w:tc>
      </w:tr>
      <w:tr w14:paraId="2781F827">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10164C0D">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465B1790">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3DC93874">
            <w:pPr>
              <w:spacing w:line="360" w:lineRule="auto"/>
              <w:jc w:val="center"/>
              <w:rPr>
                <w:rFonts w:hint="eastAsia" w:ascii="仿宋" w:hAnsi="仿宋" w:eastAsia="仿宋" w:cs="仿宋"/>
                <w:color w:val="auto"/>
                <w:sz w:val="21"/>
                <w:szCs w:val="21"/>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4AE5923A">
            <w:pPr>
              <w:spacing w:line="360" w:lineRule="auto"/>
              <w:jc w:val="center"/>
              <w:rPr>
                <w:rFonts w:hint="eastAsia" w:ascii="仿宋" w:hAnsi="仿宋" w:eastAsia="仿宋" w:cs="仿宋"/>
                <w:color w:val="auto"/>
                <w:sz w:val="21"/>
                <w:szCs w:val="21"/>
              </w:rPr>
            </w:pPr>
          </w:p>
        </w:tc>
      </w:tr>
      <w:tr w14:paraId="28EA3B9C">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3D6A4D76">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614EE94A">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2AB8FACC">
            <w:pPr>
              <w:spacing w:line="360" w:lineRule="auto"/>
              <w:jc w:val="center"/>
              <w:rPr>
                <w:rFonts w:hint="eastAsia" w:ascii="仿宋" w:hAnsi="仿宋" w:eastAsia="仿宋" w:cs="仿宋"/>
                <w:color w:val="auto"/>
                <w:sz w:val="21"/>
                <w:szCs w:val="21"/>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030CB7FD">
            <w:pPr>
              <w:spacing w:line="360" w:lineRule="auto"/>
              <w:jc w:val="center"/>
              <w:rPr>
                <w:rFonts w:hint="eastAsia" w:ascii="仿宋" w:hAnsi="仿宋" w:eastAsia="仿宋" w:cs="仿宋"/>
                <w:color w:val="auto"/>
                <w:sz w:val="21"/>
                <w:szCs w:val="21"/>
              </w:rPr>
            </w:pPr>
          </w:p>
        </w:tc>
      </w:tr>
      <w:tr w14:paraId="76132A44">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1CB39C9C">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703BBF90">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0452E958">
            <w:pPr>
              <w:spacing w:line="360" w:lineRule="auto"/>
              <w:jc w:val="center"/>
              <w:rPr>
                <w:rFonts w:hint="eastAsia" w:ascii="仿宋" w:hAnsi="仿宋" w:eastAsia="仿宋" w:cs="仿宋"/>
                <w:color w:val="auto"/>
                <w:sz w:val="21"/>
                <w:szCs w:val="21"/>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56D28195">
            <w:pPr>
              <w:spacing w:line="360" w:lineRule="auto"/>
              <w:jc w:val="center"/>
              <w:rPr>
                <w:rFonts w:hint="eastAsia" w:ascii="仿宋" w:hAnsi="仿宋" w:eastAsia="仿宋" w:cs="仿宋"/>
                <w:color w:val="auto"/>
                <w:sz w:val="21"/>
                <w:szCs w:val="21"/>
              </w:rPr>
            </w:pPr>
          </w:p>
        </w:tc>
      </w:tr>
      <w:tr w14:paraId="43D48F44">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68283C17">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1B032248">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3CB48EEB">
            <w:pPr>
              <w:spacing w:line="360" w:lineRule="auto"/>
              <w:jc w:val="center"/>
              <w:rPr>
                <w:rFonts w:hint="eastAsia" w:ascii="仿宋" w:hAnsi="仿宋" w:eastAsia="仿宋" w:cs="仿宋"/>
                <w:color w:val="auto"/>
                <w:sz w:val="21"/>
                <w:szCs w:val="21"/>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1A6DD872">
            <w:pPr>
              <w:spacing w:line="360" w:lineRule="auto"/>
              <w:jc w:val="center"/>
              <w:rPr>
                <w:rFonts w:hint="eastAsia" w:ascii="仿宋" w:hAnsi="仿宋" w:eastAsia="仿宋" w:cs="仿宋"/>
                <w:color w:val="auto"/>
                <w:sz w:val="21"/>
                <w:szCs w:val="21"/>
              </w:rPr>
            </w:pPr>
          </w:p>
        </w:tc>
      </w:tr>
      <w:tr w14:paraId="1C566B7A">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5EB53166">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785A55FC">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1C79BE92">
            <w:pPr>
              <w:spacing w:line="360" w:lineRule="auto"/>
              <w:jc w:val="center"/>
              <w:rPr>
                <w:rFonts w:hint="eastAsia" w:ascii="仿宋" w:hAnsi="仿宋" w:eastAsia="仿宋" w:cs="仿宋"/>
                <w:color w:val="auto"/>
                <w:sz w:val="21"/>
                <w:szCs w:val="21"/>
                <w:lang w:eastAsia="zh-CN"/>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7B1EC54E">
            <w:pPr>
              <w:spacing w:line="360" w:lineRule="auto"/>
              <w:jc w:val="center"/>
              <w:rPr>
                <w:rFonts w:hint="eastAsia" w:ascii="仿宋" w:hAnsi="仿宋" w:eastAsia="仿宋" w:cs="仿宋"/>
                <w:color w:val="auto"/>
                <w:sz w:val="21"/>
                <w:szCs w:val="21"/>
              </w:rPr>
            </w:pPr>
          </w:p>
        </w:tc>
      </w:tr>
      <w:tr w14:paraId="74576F16">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478A7F6B">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79D28796">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23181A09">
            <w:pPr>
              <w:spacing w:line="360" w:lineRule="auto"/>
              <w:jc w:val="center"/>
              <w:rPr>
                <w:rFonts w:hint="eastAsia" w:ascii="仿宋" w:hAnsi="仿宋" w:eastAsia="仿宋" w:cs="仿宋"/>
                <w:color w:val="auto"/>
                <w:sz w:val="21"/>
                <w:szCs w:val="21"/>
                <w:lang w:eastAsia="zh-CN"/>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21EE70DE">
            <w:pPr>
              <w:spacing w:line="360" w:lineRule="auto"/>
              <w:jc w:val="center"/>
              <w:rPr>
                <w:rFonts w:hint="eastAsia" w:ascii="仿宋" w:hAnsi="仿宋" w:eastAsia="仿宋" w:cs="仿宋"/>
                <w:color w:val="auto"/>
                <w:sz w:val="21"/>
                <w:szCs w:val="21"/>
              </w:rPr>
            </w:pPr>
          </w:p>
        </w:tc>
      </w:tr>
      <w:tr w14:paraId="1AF1D03D">
        <w:tblPrEx>
          <w:tblCellMar>
            <w:top w:w="0" w:type="dxa"/>
            <w:left w:w="108" w:type="dxa"/>
            <w:bottom w:w="0" w:type="dxa"/>
            <w:right w:w="108" w:type="dxa"/>
          </w:tblCellMar>
        </w:tblPrEx>
        <w:trPr>
          <w:trHeight w:val="602" w:hRule="exact"/>
          <w:jc w:val="center"/>
        </w:trPr>
        <w:tc>
          <w:tcPr>
            <w:tcW w:w="1297" w:type="dxa"/>
            <w:tcBorders>
              <w:top w:val="single" w:color="000000" w:sz="4" w:space="0"/>
              <w:left w:val="single" w:color="000000" w:sz="4" w:space="0"/>
              <w:bottom w:val="single" w:color="000000" w:sz="4" w:space="0"/>
              <w:right w:val="single" w:color="000000" w:sz="4" w:space="0"/>
            </w:tcBorders>
            <w:vAlign w:val="center"/>
          </w:tcPr>
          <w:p w14:paraId="13BB6490">
            <w:pPr>
              <w:spacing w:line="360" w:lineRule="auto"/>
              <w:jc w:val="center"/>
              <w:rPr>
                <w:rFonts w:hint="eastAsia" w:ascii="仿宋" w:hAnsi="仿宋" w:eastAsia="仿宋" w:cs="仿宋"/>
                <w:color w:val="auto"/>
                <w:sz w:val="21"/>
                <w:szCs w:val="21"/>
              </w:rPr>
            </w:pPr>
          </w:p>
        </w:tc>
        <w:tc>
          <w:tcPr>
            <w:tcW w:w="2528" w:type="dxa"/>
            <w:tcBorders>
              <w:top w:val="single" w:color="000000" w:sz="4" w:space="0"/>
              <w:left w:val="single" w:color="000000" w:sz="4" w:space="0"/>
              <w:bottom w:val="single" w:color="000000" w:sz="4" w:space="0"/>
              <w:right w:val="single" w:color="000000" w:sz="4" w:space="0"/>
            </w:tcBorders>
            <w:vAlign w:val="center"/>
          </w:tcPr>
          <w:p w14:paraId="30E98B49">
            <w:pPr>
              <w:spacing w:line="360" w:lineRule="auto"/>
              <w:jc w:val="center"/>
              <w:rPr>
                <w:rFonts w:hint="eastAsia" w:ascii="仿宋" w:hAnsi="仿宋" w:eastAsia="仿宋" w:cs="仿宋"/>
                <w:color w:val="auto"/>
                <w:sz w:val="21"/>
                <w:szCs w:val="21"/>
              </w:rPr>
            </w:pPr>
          </w:p>
        </w:tc>
        <w:tc>
          <w:tcPr>
            <w:tcW w:w="2868" w:type="dxa"/>
            <w:tcBorders>
              <w:top w:val="single" w:color="000000" w:sz="4" w:space="0"/>
              <w:left w:val="single" w:color="000000" w:sz="4" w:space="0"/>
              <w:bottom w:val="single" w:color="000000" w:sz="4" w:space="0"/>
              <w:right w:val="single" w:color="000000" w:sz="4" w:space="0"/>
            </w:tcBorders>
            <w:vAlign w:val="center"/>
          </w:tcPr>
          <w:p w14:paraId="58293FBE">
            <w:pPr>
              <w:spacing w:line="360" w:lineRule="auto"/>
              <w:jc w:val="center"/>
              <w:rPr>
                <w:rFonts w:hint="eastAsia" w:ascii="仿宋" w:hAnsi="仿宋" w:eastAsia="仿宋" w:cs="仿宋"/>
                <w:color w:val="auto"/>
                <w:sz w:val="21"/>
                <w:szCs w:val="21"/>
              </w:rPr>
            </w:pPr>
          </w:p>
        </w:tc>
        <w:tc>
          <w:tcPr>
            <w:tcW w:w="2384" w:type="dxa"/>
            <w:gridSpan w:val="2"/>
            <w:tcBorders>
              <w:top w:val="single" w:color="000000" w:sz="4" w:space="0"/>
              <w:left w:val="single" w:color="000000" w:sz="4" w:space="0"/>
              <w:bottom w:val="single" w:color="000000" w:sz="4" w:space="0"/>
              <w:right w:val="single" w:color="000000" w:sz="4" w:space="0"/>
            </w:tcBorders>
            <w:vAlign w:val="center"/>
          </w:tcPr>
          <w:p w14:paraId="1AEE1DE8">
            <w:pPr>
              <w:spacing w:line="360" w:lineRule="auto"/>
              <w:jc w:val="center"/>
              <w:rPr>
                <w:rFonts w:hint="eastAsia" w:ascii="仿宋" w:hAnsi="仿宋" w:eastAsia="仿宋" w:cs="仿宋"/>
                <w:color w:val="auto"/>
                <w:sz w:val="21"/>
                <w:szCs w:val="21"/>
              </w:rPr>
            </w:pPr>
          </w:p>
        </w:tc>
      </w:tr>
      <w:tr w14:paraId="20AD8D33">
        <w:tblPrEx>
          <w:tblCellMar>
            <w:top w:w="0" w:type="dxa"/>
            <w:left w:w="108" w:type="dxa"/>
            <w:bottom w:w="0" w:type="dxa"/>
            <w:right w:w="108" w:type="dxa"/>
          </w:tblCellMar>
        </w:tblPrEx>
        <w:trPr>
          <w:gridAfter w:val="1"/>
          <w:wAfter w:w="7" w:type="dxa"/>
          <w:trHeight w:val="764" w:hRule="atLeast"/>
          <w:jc w:val="center"/>
        </w:trPr>
        <w:tc>
          <w:tcPr>
            <w:tcW w:w="3825" w:type="dxa"/>
            <w:gridSpan w:val="2"/>
            <w:tcBorders>
              <w:top w:val="single" w:color="000000" w:sz="4" w:space="0"/>
              <w:left w:val="single" w:color="000000" w:sz="4" w:space="0"/>
              <w:bottom w:val="single" w:color="000000" w:sz="4" w:space="0"/>
              <w:right w:val="single" w:color="000000" w:sz="4" w:space="0"/>
            </w:tcBorders>
            <w:vAlign w:val="bottom"/>
          </w:tcPr>
          <w:p w14:paraId="427BD45E">
            <w:pPr>
              <w:jc w:val="center"/>
              <w:rPr>
                <w:rFonts w:hint="eastAsia" w:ascii="仿宋" w:hAnsi="仿宋" w:eastAsia="仿宋" w:cs="仿宋"/>
                <w:color w:val="auto"/>
                <w:kern w:val="0"/>
                <w:szCs w:val="21"/>
                <w:lang w:bidi="ar"/>
              </w:rPr>
            </w:pPr>
            <w:r>
              <w:rPr>
                <w:rFonts w:hint="eastAsia" w:ascii="仿宋" w:hAnsi="仿宋" w:eastAsia="仿宋" w:cs="仿宋"/>
                <w:bCs/>
                <w:color w:val="auto"/>
                <w:sz w:val="22"/>
                <w:szCs w:val="22"/>
              </w:rPr>
              <w:t>合   计</w:t>
            </w:r>
          </w:p>
          <w:p w14:paraId="1F058D06">
            <w:pPr>
              <w:spacing w:line="360" w:lineRule="auto"/>
              <w:jc w:val="center"/>
              <w:rPr>
                <w:rFonts w:hint="eastAsia" w:ascii="仿宋" w:hAnsi="仿宋" w:eastAsia="仿宋" w:cs="仿宋"/>
                <w:color w:val="auto"/>
                <w:sz w:val="21"/>
                <w:szCs w:val="21"/>
              </w:rPr>
            </w:pPr>
          </w:p>
        </w:tc>
        <w:tc>
          <w:tcPr>
            <w:tcW w:w="5245" w:type="dxa"/>
            <w:gridSpan w:val="2"/>
            <w:tcBorders>
              <w:top w:val="single" w:color="000000" w:sz="4" w:space="0"/>
              <w:left w:val="single" w:color="auto" w:sz="4" w:space="0"/>
              <w:bottom w:val="single" w:color="000000" w:sz="4" w:space="0"/>
              <w:right w:val="single" w:color="000000" w:sz="4" w:space="0"/>
            </w:tcBorders>
            <w:vAlign w:val="center"/>
          </w:tcPr>
          <w:p w14:paraId="1FA03C26">
            <w:pPr>
              <w:spacing w:before="120" w:line="360" w:lineRule="auto"/>
              <w:rPr>
                <w:rFonts w:hint="eastAsia" w:ascii="仿宋" w:hAnsi="仿宋" w:eastAsia="仿宋" w:cs="仿宋"/>
                <w:color w:val="auto"/>
                <w:szCs w:val="21"/>
              </w:rPr>
            </w:pPr>
            <w:r>
              <w:rPr>
                <w:rFonts w:hint="eastAsia" w:ascii="仿宋" w:hAnsi="仿宋" w:eastAsia="仿宋" w:cs="仿宋"/>
                <w:color w:val="auto"/>
                <w:szCs w:val="21"/>
              </w:rPr>
              <w:t>￥：</w:t>
            </w:r>
            <w:r>
              <w:rPr>
                <w:rFonts w:hint="eastAsia" w:ascii="仿宋" w:hAnsi="仿宋" w:eastAsia="仿宋" w:cs="仿宋"/>
                <w:color w:val="auto"/>
                <w:szCs w:val="21"/>
                <w:u w:val="single"/>
              </w:rPr>
              <w:t xml:space="preserve">                            </w:t>
            </w:r>
            <w:r>
              <w:rPr>
                <w:rFonts w:hint="eastAsia" w:ascii="仿宋" w:hAnsi="仿宋" w:eastAsia="仿宋" w:cs="仿宋"/>
                <w:color w:val="auto"/>
                <w:sz w:val="22"/>
                <w:szCs w:val="22"/>
              </w:rPr>
              <w:t>元</w:t>
            </w:r>
          </w:p>
          <w:p w14:paraId="7C84CDC5">
            <w:pPr>
              <w:spacing w:line="360" w:lineRule="auto"/>
              <w:rPr>
                <w:rFonts w:hint="eastAsia" w:ascii="仿宋" w:hAnsi="仿宋" w:eastAsia="仿宋" w:cs="仿宋"/>
                <w:color w:val="auto"/>
                <w:sz w:val="21"/>
                <w:szCs w:val="21"/>
                <w:lang w:eastAsia="zh-CN"/>
              </w:rPr>
            </w:pPr>
            <w:r>
              <w:rPr>
                <w:rFonts w:hint="eastAsia" w:ascii="仿宋" w:hAnsi="仿宋" w:eastAsia="仿宋" w:cs="仿宋"/>
                <w:color w:val="auto"/>
                <w:szCs w:val="21"/>
              </w:rPr>
              <w:t>大写：</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元</w:t>
            </w:r>
          </w:p>
        </w:tc>
      </w:tr>
    </w:tbl>
    <w:p w14:paraId="40BA7603">
      <w:pPr>
        <w:keepNext w:val="0"/>
        <w:keepLines w:val="0"/>
        <w:pageBreakBefore w:val="0"/>
        <w:widowControl w:val="0"/>
        <w:kinsoku/>
        <w:wordWrap/>
        <w:overflowPunct/>
        <w:topLinePunct w:val="0"/>
        <w:autoSpaceDE/>
        <w:autoSpaceDN/>
        <w:bidi w:val="0"/>
        <w:adjustRightInd/>
        <w:snapToGrid/>
        <w:spacing w:line="700" w:lineRule="exact"/>
        <w:textAlignment w:val="auto"/>
        <w:rPr>
          <w:rFonts w:hint="eastAsia" w:ascii="仿宋" w:hAnsi="仿宋" w:eastAsia="仿宋" w:cs="仿宋"/>
          <w:b/>
          <w:color w:val="auto"/>
          <w:szCs w:val="21"/>
        </w:rPr>
      </w:pPr>
      <w:r>
        <w:rPr>
          <w:rFonts w:hint="eastAsia" w:ascii="仿宋" w:hAnsi="仿宋" w:eastAsia="仿宋" w:cs="仿宋"/>
          <w:b/>
          <w:color w:val="auto"/>
          <w:szCs w:val="21"/>
        </w:rPr>
        <w:t>要求：</w:t>
      </w:r>
    </w:p>
    <w:p w14:paraId="756FBBE2">
      <w:pPr>
        <w:keepNext w:val="0"/>
        <w:keepLines w:val="0"/>
        <w:pageBreakBefore w:val="0"/>
        <w:widowControl w:val="0"/>
        <w:kinsoku/>
        <w:wordWrap/>
        <w:overflowPunct/>
        <w:topLinePunct w:val="0"/>
        <w:autoSpaceDE/>
        <w:autoSpaceDN/>
        <w:bidi w:val="0"/>
        <w:adjustRightInd/>
        <w:snapToGrid/>
        <w:spacing w:line="500" w:lineRule="exact"/>
        <w:ind w:left="437"/>
        <w:textAlignment w:val="auto"/>
        <w:outlineLvl w:val="9"/>
        <w:rPr>
          <w:rFonts w:hint="eastAsia" w:ascii="仿宋" w:hAnsi="仿宋" w:eastAsia="仿宋" w:cs="仿宋"/>
          <w:color w:val="auto"/>
          <w:szCs w:val="21"/>
        </w:rPr>
      </w:pPr>
      <w:r>
        <w:rPr>
          <w:rFonts w:hint="eastAsia" w:ascii="仿宋" w:hAnsi="仿宋" w:eastAsia="仿宋" w:cs="仿宋"/>
          <w:color w:val="auto"/>
          <w:szCs w:val="21"/>
        </w:rPr>
        <w:t>1. 本表为《首次报价一览表》的报价明细表，如有缺项、漏项，视为磋商报价中已包含相关费用，采购人无需另外支付任何费用。</w:t>
      </w:r>
    </w:p>
    <w:p w14:paraId="515DCD04">
      <w:pPr>
        <w:keepNext w:val="0"/>
        <w:keepLines w:val="0"/>
        <w:pageBreakBefore w:val="0"/>
        <w:widowControl w:val="0"/>
        <w:kinsoku/>
        <w:wordWrap/>
        <w:overflowPunct/>
        <w:topLinePunct w:val="0"/>
        <w:autoSpaceDE/>
        <w:autoSpaceDN/>
        <w:bidi w:val="0"/>
        <w:adjustRightInd/>
        <w:snapToGrid/>
        <w:spacing w:line="500" w:lineRule="exact"/>
        <w:ind w:left="437"/>
        <w:textAlignment w:val="auto"/>
        <w:outlineLvl w:val="9"/>
        <w:rPr>
          <w:rFonts w:hint="eastAsia" w:ascii="仿宋" w:hAnsi="仿宋" w:eastAsia="仿宋" w:cs="仿宋"/>
          <w:color w:val="auto"/>
          <w:szCs w:val="21"/>
          <w:lang w:val="zh-CN"/>
        </w:rPr>
      </w:pPr>
      <w:r>
        <w:rPr>
          <w:rFonts w:hint="eastAsia" w:ascii="仿宋" w:hAnsi="仿宋" w:eastAsia="仿宋" w:cs="仿宋"/>
          <w:color w:val="auto"/>
          <w:szCs w:val="21"/>
        </w:rPr>
        <w:t>2.</w:t>
      </w:r>
      <w:r>
        <w:rPr>
          <w:rFonts w:hint="eastAsia" w:ascii="仿宋" w:hAnsi="仿宋" w:eastAsia="仿宋" w:cs="仿宋"/>
          <w:color w:val="auto"/>
          <w:szCs w:val="21"/>
          <w:lang w:val="zh-CN"/>
        </w:rPr>
        <w:t>“</w:t>
      </w:r>
      <w:r>
        <w:rPr>
          <w:rFonts w:hint="eastAsia" w:ascii="仿宋" w:hAnsi="仿宋" w:eastAsia="仿宋" w:cs="仿宋"/>
          <w:color w:val="auto"/>
          <w:szCs w:val="21"/>
        </w:rPr>
        <w:t>报价明细表</w:t>
      </w:r>
      <w:r>
        <w:rPr>
          <w:rFonts w:hint="eastAsia" w:ascii="仿宋" w:hAnsi="仿宋" w:eastAsia="仿宋" w:cs="仿宋"/>
          <w:color w:val="auto"/>
          <w:szCs w:val="21"/>
          <w:lang w:val="zh-CN"/>
        </w:rPr>
        <w:t>”中的报价合计应与“开标一览表”中的总报价相一致，不一致时，以开标一览表为准。</w:t>
      </w:r>
    </w:p>
    <w:p w14:paraId="194D375D">
      <w:pPr>
        <w:spacing w:line="440" w:lineRule="exact"/>
        <w:ind w:firstLine="4860"/>
        <w:jc w:val="left"/>
        <w:textAlignment w:val="baseline"/>
        <w:rPr>
          <w:rFonts w:hint="eastAsia" w:ascii="仿宋" w:hAnsi="仿宋" w:eastAsia="仿宋" w:cs="仿宋"/>
          <w:b/>
          <w:bCs/>
          <w:color w:val="auto"/>
          <w:sz w:val="20"/>
          <w:szCs w:val="21"/>
          <w:highlight w:val="none"/>
          <w:u w:val="single" w:color="000000"/>
        </w:rPr>
      </w:pPr>
      <w:r>
        <w:rPr>
          <w:rFonts w:hint="eastAsia" w:ascii="仿宋" w:hAnsi="仿宋" w:eastAsia="仿宋" w:cs="仿宋"/>
          <w:b/>
          <w:bCs/>
          <w:color w:val="auto"/>
          <w:sz w:val="24"/>
          <w:highlight w:val="none"/>
        </w:rPr>
        <w:t>磋商供应商名称（盖章）：</w:t>
      </w:r>
    </w:p>
    <w:p w14:paraId="69F25A43">
      <w:pPr>
        <w:spacing w:line="440" w:lineRule="exact"/>
        <w:ind w:firstLine="4860"/>
        <w:jc w:val="left"/>
        <w:textAlignment w:val="baseline"/>
        <w:rPr>
          <w:rFonts w:hint="eastAsia" w:ascii="仿宋" w:hAnsi="仿宋" w:eastAsia="仿宋" w:cs="仿宋"/>
          <w:color w:val="auto"/>
          <w:sz w:val="20"/>
          <w:szCs w:val="21"/>
          <w:highlight w:val="none"/>
          <w:u w:val="single" w:color="000000"/>
        </w:rPr>
      </w:pPr>
      <w:r>
        <w:rPr>
          <w:rFonts w:hint="eastAsia" w:ascii="仿宋" w:hAnsi="仿宋" w:eastAsia="仿宋" w:cs="仿宋"/>
          <w:b/>
          <w:bCs/>
          <w:color w:val="auto"/>
          <w:szCs w:val="21"/>
          <w:highlight w:val="none"/>
        </w:rPr>
        <w:t>日期：</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年</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月</w:t>
      </w:r>
      <w:r>
        <w:rPr>
          <w:rFonts w:hint="eastAsia" w:ascii="仿宋" w:hAnsi="仿宋" w:eastAsia="仿宋" w:cs="仿宋"/>
          <w:b/>
          <w:bCs/>
          <w:color w:val="auto"/>
          <w:szCs w:val="21"/>
          <w:highlight w:val="none"/>
          <w:lang w:val="en-US" w:eastAsia="zh-CN"/>
        </w:rPr>
        <w:t xml:space="preserve">   </w:t>
      </w:r>
      <w:r>
        <w:rPr>
          <w:rFonts w:hint="eastAsia" w:ascii="仿宋" w:hAnsi="仿宋" w:eastAsia="仿宋" w:cs="仿宋"/>
          <w:b/>
          <w:bCs/>
          <w:color w:val="auto"/>
          <w:szCs w:val="21"/>
          <w:highlight w:val="none"/>
        </w:rPr>
        <w:t>日</w:t>
      </w:r>
    </w:p>
    <w:p w14:paraId="2287B70C">
      <w:pPr>
        <w:textAlignment w:val="baseline"/>
        <w:rPr>
          <w:rFonts w:hint="eastAsia" w:ascii="仿宋" w:hAnsi="仿宋" w:eastAsia="仿宋" w:cs="仿宋"/>
          <w:color w:val="auto"/>
          <w:sz w:val="20"/>
          <w:highlight w:val="none"/>
        </w:rPr>
        <w:sectPr>
          <w:footerReference r:id="rId7" w:type="default"/>
          <w:pgSz w:w="11906" w:h="16838"/>
          <w:pgMar w:top="1440" w:right="1134" w:bottom="1440" w:left="1134" w:header="850" w:footer="992" w:gutter="0"/>
          <w:pgBorders>
            <w:top w:val="none" w:sz="0" w:space="0"/>
            <w:left w:val="none" w:sz="0" w:space="0"/>
            <w:bottom w:val="none" w:sz="0" w:space="0"/>
            <w:right w:val="none" w:sz="0" w:space="0"/>
          </w:pgBorders>
          <w:pgNumType w:fmt="decimal"/>
          <w:cols w:space="0" w:num="1"/>
          <w:rtlGutter w:val="0"/>
          <w:docGrid w:type="lines" w:linePitch="317" w:charSpace="0"/>
        </w:sectPr>
      </w:pPr>
    </w:p>
    <w:p w14:paraId="6FE53994">
      <w:pPr>
        <w:spacing w:line="440" w:lineRule="exact"/>
        <w:textAlignment w:val="baseline"/>
        <w:outlineLvl w:val="0"/>
        <w:rPr>
          <w:rFonts w:hint="eastAsia" w:ascii="仿宋" w:hAnsi="仿宋" w:eastAsia="仿宋" w:cs="仿宋"/>
          <w:b/>
          <w:bCs/>
          <w:color w:val="auto"/>
          <w:sz w:val="22"/>
          <w:highlight w:val="none"/>
          <w:lang w:val="en-US" w:eastAsia="zh-CN"/>
        </w:rPr>
      </w:pPr>
      <w:r>
        <w:rPr>
          <w:rFonts w:hint="eastAsia" w:ascii="仿宋" w:hAnsi="仿宋" w:eastAsia="仿宋" w:cs="仿宋"/>
          <w:b/>
          <w:bCs/>
          <w:color w:val="auto"/>
          <w:sz w:val="22"/>
          <w:highlight w:val="none"/>
        </w:rPr>
        <w:t>附件</w:t>
      </w:r>
      <w:r>
        <w:rPr>
          <w:rFonts w:hint="eastAsia" w:ascii="仿宋" w:hAnsi="仿宋" w:eastAsia="仿宋" w:cs="仿宋"/>
          <w:b/>
          <w:bCs/>
          <w:color w:val="auto"/>
          <w:sz w:val="22"/>
          <w:highlight w:val="none"/>
          <w:lang w:val="en-US" w:eastAsia="zh-CN"/>
        </w:rPr>
        <w:t>10</w:t>
      </w:r>
    </w:p>
    <w:p w14:paraId="7065DD41">
      <w:pPr>
        <w:jc w:val="both"/>
        <w:rPr>
          <w:rFonts w:hint="eastAsia" w:ascii="仿宋" w:hAnsi="仿宋" w:eastAsia="仿宋" w:cs="仿宋"/>
          <w:b/>
          <w:bCs/>
          <w:color w:val="auto"/>
          <w:sz w:val="28"/>
          <w:szCs w:val="28"/>
          <w:highlight w:val="none"/>
        </w:rPr>
      </w:pPr>
    </w:p>
    <w:p w14:paraId="362409B2">
      <w:pPr>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中小企业声明函</w:t>
      </w:r>
    </w:p>
    <w:p w14:paraId="012FD208">
      <w:pPr>
        <w:ind w:firstLine="420" w:firstLineChars="200"/>
        <w:rPr>
          <w:rFonts w:hint="eastAsia" w:ascii="仿宋" w:hAnsi="仿宋" w:eastAsia="仿宋" w:cs="仿宋"/>
          <w:color w:val="auto"/>
          <w:szCs w:val="21"/>
        </w:rPr>
      </w:pPr>
      <w:r>
        <w:rPr>
          <w:rFonts w:hint="eastAsia" w:ascii="仿宋" w:hAnsi="仿宋" w:eastAsia="仿宋" w:cs="仿宋"/>
          <w:color w:val="auto"/>
          <w:szCs w:val="21"/>
        </w:rPr>
        <w:t>本公司（联合体）郑重声明，根据《政府采购促进中小企业发展管理办法》（财库 ﹝2020﹞46号）的规定，本公司（联合体）参加</w:t>
      </w:r>
      <w:r>
        <w:rPr>
          <w:rFonts w:hint="eastAsia" w:ascii="仿宋" w:hAnsi="仿宋" w:eastAsia="仿宋" w:cs="仿宋"/>
          <w:color w:val="auto"/>
          <w:szCs w:val="21"/>
          <w:u w:val="single"/>
        </w:rPr>
        <w:t>（单位名称）</w:t>
      </w:r>
      <w:r>
        <w:rPr>
          <w:rFonts w:hint="eastAsia" w:ascii="仿宋" w:hAnsi="仿宋" w:eastAsia="仿宋" w:cs="仿宋"/>
          <w:color w:val="auto"/>
          <w:szCs w:val="21"/>
        </w:rPr>
        <w:t>的</w:t>
      </w:r>
      <w:r>
        <w:rPr>
          <w:rFonts w:hint="eastAsia" w:ascii="仿宋" w:hAnsi="仿宋" w:eastAsia="仿宋" w:cs="仿宋"/>
          <w:color w:val="auto"/>
          <w:szCs w:val="21"/>
          <w:u w:val="single"/>
        </w:rPr>
        <w:t>（项目名称）（项目编号）</w:t>
      </w:r>
      <w:r>
        <w:rPr>
          <w:rFonts w:hint="eastAsia" w:ascii="仿宋" w:hAnsi="仿宋" w:eastAsia="仿宋" w:cs="仿宋"/>
          <w:color w:val="auto"/>
          <w:szCs w:val="21"/>
        </w:rPr>
        <w:t>采购活动</w:t>
      </w:r>
      <w:r>
        <w:rPr>
          <w:rFonts w:hint="eastAsia" w:ascii="仿宋" w:hAnsi="仿宋" w:eastAsia="仿宋" w:cs="仿宋"/>
          <w:color w:val="auto"/>
          <w:szCs w:val="21"/>
          <w:lang w:eastAsia="zh-CN"/>
        </w:rPr>
        <w:t>，</w:t>
      </w:r>
      <w:r>
        <w:rPr>
          <w:rFonts w:hint="eastAsia" w:ascii="仿宋" w:hAnsi="仿宋" w:eastAsia="仿宋" w:cs="仿宋"/>
          <w:color w:val="auto"/>
          <w:szCs w:val="21"/>
        </w:rPr>
        <w:t>服务全部由符合政策要求的中小企业</w:t>
      </w:r>
      <w:r>
        <w:rPr>
          <w:rFonts w:hint="eastAsia" w:ascii="仿宋" w:hAnsi="仿宋" w:eastAsia="仿宋" w:cs="仿宋"/>
          <w:color w:val="auto"/>
          <w:szCs w:val="21"/>
          <w:lang w:val="en-US" w:eastAsia="zh-CN"/>
        </w:rPr>
        <w:t>承接</w:t>
      </w:r>
      <w:r>
        <w:rPr>
          <w:rFonts w:hint="eastAsia" w:ascii="仿宋" w:hAnsi="仿宋" w:eastAsia="仿宋" w:cs="仿宋"/>
          <w:color w:val="auto"/>
          <w:szCs w:val="21"/>
        </w:rPr>
        <w:t>。相关企业（含联合体中的中小企业、签订分包意向协议的中小企业）的具体情况如下：</w:t>
      </w:r>
    </w:p>
    <w:p w14:paraId="280B06CF">
      <w:pPr>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1.</w:t>
      </w:r>
      <w:r>
        <w:rPr>
          <w:rFonts w:hint="eastAsia" w:ascii="仿宋" w:hAnsi="仿宋" w:eastAsia="仿宋" w:cs="仿宋"/>
          <w:color w:val="auto"/>
          <w:szCs w:val="21"/>
          <w:u w:val="single"/>
        </w:rPr>
        <w:t xml:space="preserve">（标的名称） </w:t>
      </w:r>
      <w:r>
        <w:rPr>
          <w:rFonts w:hint="eastAsia" w:ascii="仿宋" w:hAnsi="仿宋" w:eastAsia="仿宋" w:cs="仿宋"/>
          <w:color w:val="auto"/>
          <w:szCs w:val="21"/>
        </w:rPr>
        <w:t>，属于</w:t>
      </w:r>
      <w:r>
        <w:rPr>
          <w:rFonts w:hint="eastAsia" w:ascii="仿宋" w:hAnsi="仿宋" w:eastAsia="仿宋" w:cs="仿宋"/>
          <w:color w:val="auto"/>
          <w:szCs w:val="21"/>
          <w:u w:val="single"/>
        </w:rPr>
        <w:t xml:space="preserve">  （采购文件中明确的所属行业）  </w:t>
      </w:r>
      <w:r>
        <w:rPr>
          <w:rFonts w:hint="eastAsia" w:ascii="仿宋" w:hAnsi="仿宋" w:eastAsia="仿宋" w:cs="仿宋"/>
          <w:color w:val="auto"/>
          <w:szCs w:val="21"/>
        </w:rPr>
        <w:t>行业；</w:t>
      </w:r>
      <w:r>
        <w:rPr>
          <w:rFonts w:hint="eastAsia" w:ascii="仿宋" w:hAnsi="仿宋" w:eastAsia="仿宋" w:cs="仿宋"/>
          <w:color w:val="auto"/>
          <w:szCs w:val="21"/>
          <w:lang w:val="en-US" w:eastAsia="zh-CN"/>
        </w:rPr>
        <w:t>承接企业</w:t>
      </w:r>
      <w:r>
        <w:rPr>
          <w:rFonts w:hint="eastAsia" w:ascii="仿宋" w:hAnsi="仿宋" w:eastAsia="仿宋" w:cs="仿宋"/>
          <w:color w:val="auto"/>
          <w:szCs w:val="21"/>
        </w:rPr>
        <w:t>为</w:t>
      </w:r>
      <w:r>
        <w:rPr>
          <w:rFonts w:hint="eastAsia" w:ascii="仿宋" w:hAnsi="仿宋" w:eastAsia="仿宋" w:cs="仿宋"/>
          <w:color w:val="auto"/>
          <w:szCs w:val="21"/>
          <w:u w:val="single"/>
        </w:rPr>
        <w:t>（企业名称）</w:t>
      </w:r>
      <w:r>
        <w:rPr>
          <w:rFonts w:hint="eastAsia" w:ascii="仿宋" w:hAnsi="仿宋" w:eastAsia="仿宋" w:cs="仿宋"/>
          <w:color w:val="auto"/>
          <w:szCs w:val="21"/>
        </w:rPr>
        <w:t>，从业人员</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人，营业收入为</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万元，资产总额为</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万元，属于</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eastAsia="zh-CN"/>
        </w:rPr>
        <w:t>（中型企业、小型企业、微型企业）</w:t>
      </w:r>
      <w:r>
        <w:rPr>
          <w:rFonts w:hint="eastAsia" w:ascii="仿宋" w:hAnsi="仿宋" w:eastAsia="仿宋" w:cs="仿宋"/>
          <w:color w:val="auto"/>
          <w:szCs w:val="21"/>
        </w:rPr>
        <w:t>；</w:t>
      </w:r>
    </w:p>
    <w:p w14:paraId="045DBFFB">
      <w:pPr>
        <w:spacing w:line="300" w:lineRule="auto"/>
        <w:ind w:firstLine="420" w:firstLineChars="200"/>
        <w:rPr>
          <w:rFonts w:hint="eastAsia" w:ascii="仿宋" w:hAnsi="仿宋" w:eastAsia="仿宋" w:cs="仿宋"/>
          <w:color w:val="auto"/>
          <w:szCs w:val="21"/>
        </w:rPr>
      </w:pPr>
      <w:r>
        <w:rPr>
          <w:rFonts w:hint="eastAsia" w:ascii="仿宋" w:hAnsi="仿宋" w:eastAsia="仿宋" w:cs="仿宋"/>
          <w:color w:val="auto"/>
          <w:szCs w:val="21"/>
        </w:rPr>
        <w:t>2.</w:t>
      </w:r>
      <w:r>
        <w:rPr>
          <w:rFonts w:hint="eastAsia" w:ascii="仿宋" w:hAnsi="仿宋" w:eastAsia="仿宋" w:cs="仿宋"/>
          <w:color w:val="auto"/>
          <w:szCs w:val="21"/>
          <w:u w:val="single"/>
        </w:rPr>
        <w:t xml:space="preserve">（标的名称） </w:t>
      </w:r>
      <w:r>
        <w:rPr>
          <w:rFonts w:hint="eastAsia" w:ascii="仿宋" w:hAnsi="仿宋" w:eastAsia="仿宋" w:cs="仿宋"/>
          <w:color w:val="auto"/>
          <w:szCs w:val="21"/>
        </w:rPr>
        <w:t>，属于</w:t>
      </w:r>
      <w:r>
        <w:rPr>
          <w:rFonts w:hint="eastAsia" w:ascii="仿宋" w:hAnsi="仿宋" w:eastAsia="仿宋" w:cs="仿宋"/>
          <w:color w:val="auto"/>
          <w:szCs w:val="21"/>
          <w:u w:val="single"/>
        </w:rPr>
        <w:t xml:space="preserve">  （采购文件中明确的所属行业）  </w:t>
      </w:r>
      <w:r>
        <w:rPr>
          <w:rFonts w:hint="eastAsia" w:ascii="仿宋" w:hAnsi="仿宋" w:eastAsia="仿宋" w:cs="仿宋"/>
          <w:color w:val="auto"/>
          <w:szCs w:val="21"/>
        </w:rPr>
        <w:t>行业；</w:t>
      </w:r>
      <w:r>
        <w:rPr>
          <w:rFonts w:hint="eastAsia" w:ascii="仿宋" w:hAnsi="仿宋" w:eastAsia="仿宋" w:cs="仿宋"/>
          <w:color w:val="auto"/>
          <w:szCs w:val="21"/>
          <w:lang w:val="en-US" w:eastAsia="zh-CN"/>
        </w:rPr>
        <w:t>承接企业</w:t>
      </w:r>
      <w:r>
        <w:rPr>
          <w:rFonts w:hint="eastAsia" w:ascii="仿宋" w:hAnsi="仿宋" w:eastAsia="仿宋" w:cs="仿宋"/>
          <w:color w:val="auto"/>
          <w:szCs w:val="21"/>
        </w:rPr>
        <w:t>为</w:t>
      </w:r>
      <w:r>
        <w:rPr>
          <w:rFonts w:hint="eastAsia" w:ascii="仿宋" w:hAnsi="仿宋" w:eastAsia="仿宋" w:cs="仿宋"/>
          <w:color w:val="auto"/>
          <w:szCs w:val="21"/>
          <w:u w:val="single"/>
        </w:rPr>
        <w:t>（企业名称）</w:t>
      </w:r>
      <w:r>
        <w:rPr>
          <w:rFonts w:hint="eastAsia" w:ascii="仿宋" w:hAnsi="仿宋" w:eastAsia="仿宋" w:cs="仿宋"/>
          <w:color w:val="auto"/>
          <w:szCs w:val="21"/>
        </w:rPr>
        <w:t>，从业人员</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人，营业收入为</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万元，资产总额为</w:t>
      </w:r>
      <w:r>
        <w:rPr>
          <w:rFonts w:hint="eastAsia" w:ascii="仿宋" w:hAnsi="仿宋" w:eastAsia="仿宋" w:cs="仿宋"/>
          <w:color w:val="auto"/>
          <w:szCs w:val="21"/>
          <w:u w:val="single"/>
        </w:rPr>
        <w:t xml:space="preserve">    </w:t>
      </w:r>
      <w:r>
        <w:rPr>
          <w:rFonts w:hint="eastAsia" w:ascii="仿宋" w:hAnsi="仿宋" w:eastAsia="仿宋" w:cs="仿宋"/>
          <w:color w:val="auto"/>
          <w:szCs w:val="21"/>
        </w:rPr>
        <w:t>万元，属于</w:t>
      </w:r>
      <w:r>
        <w:rPr>
          <w:rFonts w:hint="eastAsia" w:ascii="仿宋" w:hAnsi="仿宋" w:eastAsia="仿宋" w:cs="仿宋"/>
          <w:color w:val="auto"/>
          <w:szCs w:val="21"/>
          <w:u w:val="single"/>
        </w:rPr>
        <w:t xml:space="preserve"> </w:t>
      </w:r>
      <w:r>
        <w:rPr>
          <w:rFonts w:hint="eastAsia" w:ascii="仿宋" w:hAnsi="仿宋" w:eastAsia="仿宋" w:cs="仿宋"/>
          <w:color w:val="auto"/>
          <w:szCs w:val="21"/>
          <w:u w:val="single"/>
          <w:lang w:eastAsia="zh-CN"/>
        </w:rPr>
        <w:t>（中型企业、小型企业、微型企业）</w:t>
      </w:r>
      <w:r>
        <w:rPr>
          <w:rFonts w:hint="eastAsia" w:ascii="仿宋" w:hAnsi="仿宋" w:eastAsia="仿宋" w:cs="仿宋"/>
          <w:color w:val="auto"/>
          <w:szCs w:val="21"/>
        </w:rPr>
        <w:t>；</w:t>
      </w:r>
    </w:p>
    <w:p w14:paraId="443CD0A2">
      <w:pPr>
        <w:ind w:firstLine="420" w:firstLineChars="200"/>
        <w:rPr>
          <w:rFonts w:hint="eastAsia" w:ascii="仿宋" w:hAnsi="仿宋" w:eastAsia="仿宋" w:cs="仿宋"/>
          <w:color w:val="auto"/>
          <w:szCs w:val="21"/>
        </w:rPr>
      </w:pPr>
      <w:r>
        <w:rPr>
          <w:rFonts w:hint="eastAsia" w:ascii="仿宋" w:hAnsi="仿宋" w:eastAsia="仿宋" w:cs="仿宋"/>
          <w:color w:val="auto"/>
          <w:szCs w:val="21"/>
        </w:rPr>
        <w:t>……</w:t>
      </w:r>
    </w:p>
    <w:p w14:paraId="0AEE2C47">
      <w:pPr>
        <w:ind w:firstLine="420" w:firstLineChars="200"/>
        <w:rPr>
          <w:rFonts w:hint="eastAsia" w:ascii="仿宋" w:hAnsi="仿宋" w:eastAsia="仿宋" w:cs="仿宋"/>
          <w:color w:val="auto"/>
          <w:szCs w:val="21"/>
        </w:rPr>
      </w:pPr>
      <w:r>
        <w:rPr>
          <w:rFonts w:hint="eastAsia" w:ascii="仿宋" w:hAnsi="仿宋" w:eastAsia="仿宋" w:cs="仿宋"/>
          <w:color w:val="auto"/>
          <w:szCs w:val="21"/>
        </w:rPr>
        <w:t>以上企业，不属于大企业的分支机构，不存在控股股东为大企业的情形，也不存在与大企业的负责人为同一人的情形。</w:t>
      </w:r>
    </w:p>
    <w:p w14:paraId="2780A6F0">
      <w:pPr>
        <w:ind w:firstLine="420" w:firstLineChars="200"/>
        <w:rPr>
          <w:rFonts w:hint="eastAsia" w:ascii="仿宋" w:hAnsi="仿宋" w:eastAsia="仿宋" w:cs="仿宋"/>
          <w:color w:val="auto"/>
          <w:szCs w:val="21"/>
        </w:rPr>
      </w:pPr>
      <w:r>
        <w:rPr>
          <w:rFonts w:hint="eastAsia" w:ascii="仿宋" w:hAnsi="仿宋" w:eastAsia="仿宋" w:cs="仿宋"/>
          <w:color w:val="auto"/>
          <w:szCs w:val="21"/>
        </w:rPr>
        <w:t>本企业对上述声明内容的真实性负责。如有虚假，将依法承担相应责任。</w:t>
      </w:r>
    </w:p>
    <w:p w14:paraId="38800714">
      <w:pPr>
        <w:rPr>
          <w:rFonts w:hint="eastAsia" w:ascii="仿宋" w:hAnsi="仿宋" w:eastAsia="仿宋" w:cs="仿宋"/>
          <w:b/>
          <w:color w:val="auto"/>
          <w:szCs w:val="21"/>
        </w:rPr>
      </w:pPr>
    </w:p>
    <w:p w14:paraId="4F076538">
      <w:pPr>
        <w:spacing w:line="360" w:lineRule="auto"/>
        <w:jc w:val="left"/>
        <w:rPr>
          <w:rFonts w:hint="eastAsia" w:ascii="仿宋" w:hAnsi="仿宋" w:eastAsia="仿宋" w:cs="仿宋"/>
          <w:color w:val="auto"/>
          <w:szCs w:val="21"/>
          <w:u w:val="single"/>
        </w:rPr>
      </w:pPr>
      <w:r>
        <w:rPr>
          <w:rFonts w:hint="eastAsia" w:ascii="仿宋" w:hAnsi="仿宋" w:eastAsia="仿宋" w:cs="仿宋"/>
          <w:color w:val="auto"/>
          <w:szCs w:val="21"/>
        </w:rPr>
        <w:t xml:space="preserve">供应商名称（盖章）： </w:t>
      </w:r>
      <w:r>
        <w:rPr>
          <w:rFonts w:hint="eastAsia" w:ascii="仿宋" w:hAnsi="仿宋" w:eastAsia="仿宋" w:cs="仿宋"/>
          <w:color w:val="auto"/>
          <w:szCs w:val="21"/>
          <w:u w:val="single"/>
        </w:rPr>
        <w:t xml:space="preserve">                          </w:t>
      </w:r>
    </w:p>
    <w:p w14:paraId="66162D1B">
      <w:pPr>
        <w:spacing w:line="360" w:lineRule="auto"/>
        <w:jc w:val="left"/>
        <w:rPr>
          <w:rFonts w:hint="eastAsia" w:ascii="仿宋" w:hAnsi="仿宋" w:eastAsia="仿宋" w:cs="仿宋"/>
          <w:color w:val="auto"/>
          <w:szCs w:val="21"/>
        </w:rPr>
      </w:pPr>
      <w:r>
        <w:rPr>
          <w:rFonts w:hint="eastAsia" w:ascii="仿宋" w:hAnsi="仿宋" w:eastAsia="仿宋" w:cs="仿宋"/>
          <w:color w:val="auto"/>
          <w:szCs w:val="21"/>
        </w:rPr>
        <w:t>日期：      年   月   日</w:t>
      </w:r>
    </w:p>
    <w:p w14:paraId="60A0B4EE">
      <w:pPr>
        <w:widowControl/>
        <w:tabs>
          <w:tab w:val="left" w:pos="4860"/>
        </w:tabs>
        <w:ind w:right="-21"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说明：</w:t>
      </w:r>
    </w:p>
    <w:p w14:paraId="0A4AD5B3">
      <w:pPr>
        <w:autoSpaceDE w:val="0"/>
        <w:autoSpaceDN w:val="0"/>
        <w:adjustRightInd w:val="0"/>
        <w:spacing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★1.采购项目涉及多个采购标的的，供应商应当按照“供应商（投标人）须知前附表”明确的所有采购标的对应的中小企业划型标准所属行业，分别</w:t>
      </w:r>
      <w:r>
        <w:rPr>
          <w:rFonts w:hint="eastAsia" w:ascii="仿宋" w:hAnsi="仿宋" w:eastAsia="仿宋" w:cs="仿宋"/>
          <w:b/>
          <w:bCs/>
          <w:color w:val="auto"/>
          <w:szCs w:val="21"/>
          <w:highlight w:val="none"/>
        </w:rPr>
        <w:t>结合《关于印发中小企业划型标准规定的通知》（工信部联企业〔2011〕300号）对应的划分标准和所投产品制造商</w:t>
      </w:r>
      <w:r>
        <w:rPr>
          <w:rFonts w:hint="eastAsia" w:ascii="仿宋" w:hAnsi="仿宋" w:eastAsia="仿宋" w:cs="仿宋"/>
          <w:b/>
          <w:color w:val="auto"/>
          <w:szCs w:val="21"/>
          <w:highlight w:val="none"/>
        </w:rPr>
        <w:t>（或服务承接商或工程承建商）</w:t>
      </w:r>
      <w:r>
        <w:rPr>
          <w:rFonts w:hint="eastAsia" w:ascii="仿宋" w:hAnsi="仿宋" w:eastAsia="仿宋" w:cs="仿宋"/>
          <w:b/>
          <w:bCs/>
          <w:color w:val="auto"/>
          <w:szCs w:val="21"/>
          <w:highlight w:val="none"/>
        </w:rPr>
        <w:t>各项指标自测相关企业规模类型，</w:t>
      </w:r>
      <w:r>
        <w:rPr>
          <w:rFonts w:hint="eastAsia" w:ascii="仿宋" w:hAnsi="仿宋" w:eastAsia="仿宋" w:cs="仿宋"/>
          <w:b/>
          <w:color w:val="auto"/>
          <w:szCs w:val="21"/>
          <w:highlight w:val="none"/>
        </w:rPr>
        <w:t>逐一如实判断所投产品制造商（或服务承接商或工程承建商）是否属于小型或微型企业。</w:t>
      </w:r>
    </w:p>
    <w:p w14:paraId="1CF00007">
      <w:pPr>
        <w:autoSpaceDE w:val="0"/>
        <w:autoSpaceDN w:val="0"/>
        <w:adjustRightInd w:val="0"/>
        <w:spacing w:line="400" w:lineRule="exact"/>
        <w:ind w:firstLine="422" w:firstLineChars="200"/>
        <w:rPr>
          <w:rFonts w:hint="eastAsia" w:ascii="仿宋" w:hAnsi="仿宋" w:eastAsia="仿宋" w:cs="仿宋"/>
          <w:color w:val="auto"/>
          <w:szCs w:val="21"/>
          <w:highlight w:val="none"/>
        </w:rPr>
      </w:pPr>
      <w:r>
        <w:rPr>
          <w:rFonts w:hint="eastAsia" w:ascii="仿宋" w:hAnsi="仿宋" w:eastAsia="仿宋" w:cs="仿宋"/>
          <w:b/>
          <w:bCs w:val="0"/>
          <w:color w:val="auto"/>
          <w:szCs w:val="21"/>
          <w:highlight w:val="none"/>
        </w:rPr>
        <w:t>★</w:t>
      </w:r>
      <w:r>
        <w:rPr>
          <w:rFonts w:hint="eastAsia" w:ascii="仿宋" w:hAnsi="仿宋" w:eastAsia="仿宋" w:cs="仿宋"/>
          <w:b/>
          <w:color w:val="auto"/>
          <w:szCs w:val="21"/>
          <w:highlight w:val="none"/>
          <w:lang w:val="en-US" w:eastAsia="zh-CN"/>
        </w:rPr>
        <w:t>2.</w:t>
      </w:r>
      <w:r>
        <w:rPr>
          <w:rFonts w:hint="eastAsia" w:ascii="仿宋" w:hAnsi="仿宋" w:eastAsia="仿宋" w:cs="仿宋"/>
          <w:b/>
          <w:color w:val="auto"/>
          <w:szCs w:val="21"/>
          <w:highlight w:val="none"/>
        </w:rPr>
        <w:t>未按上述要求填写的（即未完整、如实填写的），其《中小企业声明函》不予认定，</w:t>
      </w:r>
      <w:r>
        <w:rPr>
          <w:rFonts w:hint="eastAsia" w:ascii="仿宋" w:hAnsi="仿宋" w:eastAsia="仿宋" w:cs="仿宋"/>
          <w:b/>
          <w:color w:val="auto"/>
          <w:szCs w:val="21"/>
          <w:highlight w:val="none"/>
          <w:lang w:eastAsia="zh-CN"/>
        </w:rPr>
        <w:t>即</w:t>
      </w:r>
      <w:r>
        <w:rPr>
          <w:rFonts w:hint="eastAsia" w:ascii="仿宋" w:hAnsi="仿宋" w:eastAsia="仿宋" w:cs="仿宋"/>
          <w:b/>
          <w:color w:val="auto"/>
          <w:szCs w:val="21"/>
          <w:highlight w:val="none"/>
        </w:rPr>
        <w:t>不享受价格扣除优惠政策。</w:t>
      </w:r>
    </w:p>
    <w:p w14:paraId="50FC6E31">
      <w:pPr>
        <w:widowControl/>
        <w:tabs>
          <w:tab w:val="left" w:pos="4860"/>
        </w:tabs>
        <w:ind w:firstLine="420" w:firstLineChars="200"/>
        <w:jc w:val="left"/>
        <w:rPr>
          <w:rFonts w:hint="eastAsia" w:ascii="仿宋" w:hAnsi="仿宋" w:eastAsia="仿宋" w:cs="仿宋"/>
          <w:bCs/>
          <w:color w:val="auto"/>
          <w:szCs w:val="21"/>
          <w:highlight w:val="none"/>
        </w:rPr>
      </w:pPr>
      <w:r>
        <w:rPr>
          <w:rFonts w:hint="eastAsia" w:ascii="仿宋" w:hAnsi="仿宋" w:eastAsia="仿宋" w:cs="仿宋"/>
          <w:b w:val="0"/>
          <w:bCs/>
          <w:color w:val="auto"/>
          <w:szCs w:val="21"/>
          <w:highlight w:val="none"/>
          <w:lang w:val="en-US" w:eastAsia="zh-CN"/>
        </w:rPr>
        <w:t>3</w:t>
      </w:r>
      <w:r>
        <w:rPr>
          <w:rFonts w:hint="eastAsia" w:ascii="仿宋" w:hAnsi="仿宋" w:eastAsia="仿宋" w:cs="仿宋"/>
          <w:bCs/>
          <w:color w:val="auto"/>
          <w:szCs w:val="21"/>
          <w:highlight w:val="none"/>
          <w:lang w:val="en-US" w:eastAsia="zh-CN"/>
        </w:rPr>
        <w:t>.</w:t>
      </w:r>
      <w:r>
        <w:rPr>
          <w:rFonts w:hint="eastAsia" w:ascii="仿宋" w:hAnsi="仿宋" w:eastAsia="仿宋" w:cs="仿宋"/>
          <w:bCs/>
          <w:color w:val="auto"/>
          <w:szCs w:val="21"/>
          <w:highlight w:val="none"/>
        </w:rPr>
        <w:t>从业人员、营业收入、资产总额等填报上一年度数据。新成立企业应参照</w:t>
      </w:r>
      <w:r>
        <w:rPr>
          <w:rFonts w:hint="eastAsia" w:ascii="仿宋" w:hAnsi="仿宋" w:eastAsia="仿宋" w:cs="仿宋"/>
          <w:color w:val="auto"/>
          <w:szCs w:val="21"/>
          <w:highlight w:val="none"/>
        </w:rPr>
        <w:t>《关于印发中小企业划型标准规定的通知》（工信部联企业〔2011〕300号）对应的划分标准</w:t>
      </w:r>
      <w:r>
        <w:rPr>
          <w:rFonts w:hint="eastAsia" w:ascii="仿宋" w:hAnsi="仿宋" w:eastAsia="仿宋" w:cs="仿宋"/>
          <w:bCs/>
          <w:color w:val="auto"/>
          <w:szCs w:val="21"/>
          <w:highlight w:val="none"/>
        </w:rPr>
        <w:t>，根据企业自身情况如实判断。</w:t>
      </w:r>
    </w:p>
    <w:p w14:paraId="388D1358">
      <w:pPr>
        <w:widowControl/>
        <w:tabs>
          <w:tab w:val="left" w:pos="4860"/>
        </w:tabs>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4</w:t>
      </w:r>
      <w:r>
        <w:rPr>
          <w:rFonts w:hint="eastAsia" w:ascii="仿宋" w:hAnsi="仿宋" w:eastAsia="仿宋" w:cs="仿宋"/>
          <w:bCs/>
          <w:color w:val="auto"/>
          <w:szCs w:val="21"/>
          <w:highlight w:val="none"/>
        </w:rPr>
        <w:t>.依据</w:t>
      </w:r>
      <w:r>
        <w:rPr>
          <w:rFonts w:hint="eastAsia" w:ascii="仿宋" w:hAnsi="仿宋" w:eastAsia="仿宋" w:cs="仿宋"/>
          <w:color w:val="auto"/>
          <w:szCs w:val="21"/>
          <w:highlight w:val="none"/>
        </w:rPr>
        <w:t>《政府采购促进中小企业发展管理办法》（财库﹝2020﹞46号）</w:t>
      </w:r>
      <w:r>
        <w:rPr>
          <w:rFonts w:hint="eastAsia" w:ascii="仿宋" w:hAnsi="仿宋" w:eastAsia="仿宋" w:cs="仿宋"/>
          <w:bCs/>
          <w:color w:val="auto"/>
          <w:szCs w:val="21"/>
          <w:highlight w:val="none"/>
        </w:rPr>
        <w:t>规定享受</w:t>
      </w:r>
      <w:r>
        <w:rPr>
          <w:rFonts w:hint="eastAsia" w:ascii="仿宋" w:hAnsi="仿宋" w:eastAsia="仿宋" w:cs="仿宋"/>
          <w:b/>
          <w:color w:val="auto"/>
          <w:szCs w:val="21"/>
          <w:highlight w:val="none"/>
        </w:rPr>
        <w:t>价格扣除优惠</w:t>
      </w:r>
      <w:r>
        <w:rPr>
          <w:rFonts w:hint="eastAsia" w:ascii="仿宋" w:hAnsi="仿宋" w:eastAsia="仿宋" w:cs="仿宋"/>
          <w:bCs/>
          <w:color w:val="auto"/>
          <w:szCs w:val="21"/>
          <w:highlight w:val="none"/>
        </w:rPr>
        <w:t>政策而中标（成交）的，中标（成交）人的《中小企业声明函》及相关联合体协议（如项目接受联合体）、分包协议（如项目接受分包）等将随中标（成交）结果同时公开，接受监督；</w:t>
      </w:r>
    </w:p>
    <w:p w14:paraId="26B9631A">
      <w:pPr>
        <w:widowControl/>
        <w:tabs>
          <w:tab w:val="left" w:pos="4860"/>
        </w:tabs>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5</w:t>
      </w:r>
      <w:r>
        <w:rPr>
          <w:rFonts w:hint="eastAsia" w:ascii="仿宋" w:hAnsi="仿宋" w:eastAsia="仿宋" w:cs="仿宋"/>
          <w:bCs/>
          <w:color w:val="auto"/>
          <w:szCs w:val="21"/>
          <w:highlight w:val="none"/>
        </w:rPr>
        <w:t>.供应商提供的《中小企业声明函》经审查与事实不符，或享受</w:t>
      </w:r>
      <w:r>
        <w:rPr>
          <w:rFonts w:hint="eastAsia" w:ascii="仿宋" w:hAnsi="仿宋" w:eastAsia="仿宋" w:cs="仿宋"/>
          <w:b/>
          <w:color w:val="auto"/>
          <w:szCs w:val="21"/>
          <w:highlight w:val="none"/>
        </w:rPr>
        <w:t>价格扣除优惠</w:t>
      </w:r>
      <w:r>
        <w:rPr>
          <w:rFonts w:hint="eastAsia" w:ascii="仿宋" w:hAnsi="仿宋" w:eastAsia="仿宋" w:cs="仿宋"/>
          <w:bCs/>
          <w:color w:val="auto"/>
          <w:szCs w:val="21"/>
          <w:highlight w:val="none"/>
        </w:rPr>
        <w:t>政策而中标（成交）后违反规定将合同分包给大、中型企业的，按提供虚假材料谋取中标（成交）处理，依照《</w:t>
      </w:r>
      <w:r>
        <w:rPr>
          <w:rFonts w:hint="eastAsia" w:ascii="仿宋" w:hAnsi="仿宋" w:eastAsia="仿宋" w:cs="仿宋"/>
          <w:bCs/>
          <w:color w:val="auto"/>
          <w:szCs w:val="21"/>
          <w:highlight w:val="none"/>
          <w:lang w:val="en-US" w:eastAsia="zh-CN"/>
        </w:rPr>
        <w:t>中华人民共和国</w:t>
      </w:r>
      <w:r>
        <w:rPr>
          <w:rFonts w:hint="eastAsia" w:ascii="仿宋" w:hAnsi="仿宋" w:eastAsia="仿宋" w:cs="仿宋"/>
          <w:bCs/>
          <w:color w:val="auto"/>
          <w:szCs w:val="21"/>
          <w:highlight w:val="none"/>
        </w:rPr>
        <w:t>政府采购法》及其实施条例相关规定追究法律责任。</w:t>
      </w:r>
    </w:p>
    <w:p w14:paraId="029D9E66">
      <w:pPr>
        <w:keepNext w:val="0"/>
        <w:keepLines w:val="0"/>
        <w:pageBreakBefore w:val="0"/>
        <w:widowControl/>
        <w:tabs>
          <w:tab w:val="left" w:pos="4860"/>
        </w:tabs>
        <w:kinsoku/>
        <w:wordWrap/>
        <w:overflowPunct/>
        <w:topLinePunct w:val="0"/>
        <w:autoSpaceDE/>
        <w:autoSpaceDN/>
        <w:bidi w:val="0"/>
        <w:adjustRightInd/>
        <w:snapToGrid/>
        <w:spacing w:line="288" w:lineRule="auto"/>
        <w:ind w:firstLine="420" w:firstLineChars="200"/>
        <w:jc w:val="center"/>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br w:type="page"/>
      </w:r>
    </w:p>
    <w:p w14:paraId="6EC09305">
      <w:pPr>
        <w:spacing w:line="420" w:lineRule="atLeast"/>
        <w:jc w:val="left"/>
        <w:textAlignment w:val="baseline"/>
        <w:outlineLvl w:val="0"/>
        <w:rPr>
          <w:rFonts w:hint="eastAsia" w:ascii="仿宋" w:hAnsi="仿宋" w:eastAsia="仿宋" w:cs="仿宋"/>
          <w:b/>
          <w:bCs/>
          <w:color w:val="auto"/>
          <w:sz w:val="22"/>
          <w:highlight w:val="none"/>
          <w:lang w:val="en-US" w:eastAsia="zh-CN"/>
        </w:rPr>
      </w:pPr>
      <w:r>
        <w:rPr>
          <w:rFonts w:hint="eastAsia" w:ascii="仿宋" w:hAnsi="仿宋" w:eastAsia="仿宋" w:cs="仿宋"/>
          <w:b/>
          <w:bCs/>
          <w:color w:val="auto"/>
          <w:sz w:val="22"/>
          <w:highlight w:val="none"/>
          <w:lang w:val="en-US" w:eastAsia="zh-CN"/>
        </w:rPr>
        <w:t>附件11</w:t>
      </w:r>
    </w:p>
    <w:p w14:paraId="06DBAF4B">
      <w:pPr>
        <w:keepNext w:val="0"/>
        <w:keepLines w:val="0"/>
        <w:pageBreakBefore w:val="0"/>
        <w:widowControl/>
        <w:tabs>
          <w:tab w:val="left" w:pos="4860"/>
        </w:tabs>
        <w:kinsoku/>
        <w:wordWrap/>
        <w:overflowPunct/>
        <w:topLinePunct w:val="0"/>
        <w:autoSpaceDE/>
        <w:autoSpaceDN/>
        <w:bidi w:val="0"/>
        <w:adjustRightInd/>
        <w:snapToGrid/>
        <w:spacing w:line="288" w:lineRule="auto"/>
        <w:ind w:firstLine="420" w:firstLineChars="200"/>
        <w:jc w:val="center"/>
        <w:textAlignment w:val="auto"/>
        <w:rPr>
          <w:rFonts w:hint="eastAsia" w:ascii="仿宋" w:hAnsi="仿宋" w:eastAsia="仿宋" w:cs="仿宋"/>
          <w:color w:val="auto"/>
          <w:szCs w:val="21"/>
          <w:highlight w:val="none"/>
        </w:rPr>
      </w:pPr>
    </w:p>
    <w:p w14:paraId="1E02CA30">
      <w:pPr>
        <w:keepNext w:val="0"/>
        <w:keepLines w:val="0"/>
        <w:pageBreakBefore w:val="0"/>
        <w:widowControl/>
        <w:tabs>
          <w:tab w:val="left" w:pos="4860"/>
        </w:tabs>
        <w:kinsoku/>
        <w:wordWrap/>
        <w:overflowPunct/>
        <w:topLinePunct w:val="0"/>
        <w:autoSpaceDE/>
        <w:autoSpaceDN/>
        <w:bidi w:val="0"/>
        <w:adjustRightInd/>
        <w:snapToGrid/>
        <w:spacing w:line="288" w:lineRule="auto"/>
        <w:ind w:firstLine="562" w:firstLineChars="200"/>
        <w:jc w:val="center"/>
        <w:textAlignment w:val="auto"/>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残疾人福利性单位声明函</w:t>
      </w:r>
    </w:p>
    <w:p w14:paraId="36020E98">
      <w:pPr>
        <w:pStyle w:val="20"/>
        <w:spacing w:line="360" w:lineRule="auto"/>
        <w:ind w:firstLine="2835" w:firstLineChars="1350"/>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【不属于残疾人福利性单位无需提供】</w:t>
      </w:r>
    </w:p>
    <w:p w14:paraId="2051FFD6">
      <w:pPr>
        <w:widowControl/>
        <w:wordWrap w:val="0"/>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hAnsi="仿宋" w:eastAsia="仿宋" w:cs="仿宋"/>
          <w:color w:val="auto"/>
          <w:szCs w:val="21"/>
          <w:highlight w:val="none"/>
          <w:u w:val="single"/>
        </w:rPr>
        <w:t>（单位名称）</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u w:val="single"/>
        </w:rPr>
        <w:t>（项目名称）</w:t>
      </w:r>
      <w:r>
        <w:rPr>
          <w:rFonts w:hint="eastAsia" w:ascii="仿宋" w:hAnsi="仿宋" w:eastAsia="仿宋" w:cs="仿宋"/>
          <w:color w:val="auto"/>
          <w:szCs w:val="21"/>
          <w:highlight w:val="none"/>
        </w:rPr>
        <w:t>采购活动提供本单位制造的货物（由本单位承担工程/提供服务），或者提供其他残疾人福利性单位制造的货物（不包括使用非残疾人福利性单位注册商标的货物）。</w:t>
      </w:r>
    </w:p>
    <w:p w14:paraId="68C005DE">
      <w:pPr>
        <w:widowControl/>
        <w:spacing w:line="360" w:lineRule="auto"/>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本单位对上述声明的真实性负责。如有虚假，将依法承担相应责任。</w:t>
      </w:r>
    </w:p>
    <w:p w14:paraId="54AE99F9">
      <w:pPr>
        <w:spacing w:line="360" w:lineRule="auto"/>
        <w:jc w:val="left"/>
        <w:rPr>
          <w:rFonts w:hint="eastAsia" w:ascii="仿宋" w:hAnsi="仿宋" w:eastAsia="仿宋" w:cs="仿宋"/>
          <w:color w:val="auto"/>
          <w:szCs w:val="21"/>
          <w:highlight w:val="none"/>
        </w:rPr>
      </w:pPr>
    </w:p>
    <w:p w14:paraId="54642305">
      <w:pPr>
        <w:spacing w:line="360" w:lineRule="auto"/>
        <w:jc w:val="left"/>
        <w:rPr>
          <w:rFonts w:hint="eastAsia" w:ascii="仿宋" w:hAnsi="仿宋" w:eastAsia="仿宋" w:cs="仿宋"/>
          <w:color w:val="auto"/>
          <w:szCs w:val="21"/>
          <w:highlight w:val="none"/>
        </w:rPr>
      </w:pPr>
    </w:p>
    <w:p w14:paraId="679D9CC9">
      <w:pPr>
        <w:spacing w:line="360" w:lineRule="auto"/>
        <w:jc w:val="left"/>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 xml:space="preserve">供应商名称（盖章）： </w:t>
      </w:r>
      <w:r>
        <w:rPr>
          <w:rFonts w:hint="eastAsia" w:ascii="仿宋" w:hAnsi="仿宋" w:eastAsia="仿宋" w:cs="仿宋"/>
          <w:color w:val="auto"/>
          <w:szCs w:val="21"/>
          <w:highlight w:val="none"/>
          <w:u w:val="single"/>
        </w:rPr>
        <w:t xml:space="preserve">                          </w:t>
      </w:r>
    </w:p>
    <w:p w14:paraId="5528017D">
      <w:pPr>
        <w:spacing w:line="360" w:lineRule="auto"/>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日期：      年   月   日</w:t>
      </w:r>
    </w:p>
    <w:p w14:paraId="3345CD7C">
      <w:pPr>
        <w:rPr>
          <w:rFonts w:hint="eastAsia" w:ascii="仿宋" w:hAnsi="仿宋" w:eastAsia="仿宋" w:cs="仿宋"/>
          <w:color w:val="auto"/>
          <w:highlight w:val="none"/>
        </w:rPr>
      </w:pPr>
    </w:p>
    <w:p w14:paraId="257E10A2">
      <w:pPr>
        <w:tabs>
          <w:tab w:val="left" w:pos="4860"/>
        </w:tabs>
        <w:ind w:right="1560"/>
        <w:jc w:val="left"/>
        <w:rPr>
          <w:rFonts w:hint="eastAsia" w:ascii="仿宋" w:hAnsi="仿宋" w:eastAsia="仿宋" w:cs="仿宋"/>
          <w:b/>
          <w:color w:val="auto"/>
          <w:sz w:val="22"/>
          <w:highlight w:val="none"/>
        </w:rPr>
      </w:pPr>
      <w:r>
        <w:rPr>
          <w:rFonts w:hint="eastAsia" w:ascii="仿宋" w:hAnsi="仿宋" w:eastAsia="仿宋" w:cs="仿宋"/>
          <w:b/>
          <w:color w:val="auto"/>
          <w:sz w:val="22"/>
          <w:highlight w:val="none"/>
        </w:rPr>
        <w:t>说明：</w:t>
      </w:r>
    </w:p>
    <w:p w14:paraId="0300DF5C">
      <w:pPr>
        <w:widowControl/>
        <w:tabs>
          <w:tab w:val="left" w:pos="4860"/>
        </w:tabs>
        <w:ind w:right="-21" w:firstLine="422" w:firstLineChars="200"/>
        <w:jc w:val="left"/>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1.如成交，将在成交公示中将此残疾人福利性单位声明函予以公示，接受社会监督；</w:t>
      </w:r>
    </w:p>
    <w:p w14:paraId="3481A8B3">
      <w:pPr>
        <w:widowControl/>
        <w:tabs>
          <w:tab w:val="left" w:pos="4860"/>
        </w:tabs>
        <w:ind w:right="-21" w:firstLine="422" w:firstLineChars="200"/>
        <w:jc w:val="left"/>
        <w:rPr>
          <w:rFonts w:hint="eastAsia" w:ascii="仿宋" w:hAnsi="仿宋" w:eastAsia="仿宋" w:cs="仿宋"/>
          <w:b/>
          <w:color w:val="auto"/>
          <w:spacing w:val="6"/>
          <w:szCs w:val="21"/>
          <w:highlight w:val="none"/>
        </w:rPr>
      </w:pPr>
      <w:r>
        <w:rPr>
          <w:rFonts w:hint="eastAsia" w:ascii="仿宋" w:hAnsi="仿宋" w:eastAsia="仿宋" w:cs="仿宋"/>
          <w:b/>
          <w:color w:val="auto"/>
          <w:szCs w:val="21"/>
          <w:highlight w:val="none"/>
        </w:rPr>
        <w:t>2.供应商提供的《残疾人福利性单位声明函》与事实不符的，依照《</w:t>
      </w:r>
      <w:r>
        <w:rPr>
          <w:rFonts w:hint="eastAsia" w:ascii="仿宋" w:hAnsi="仿宋" w:eastAsia="仿宋" w:cs="仿宋"/>
          <w:b/>
          <w:color w:val="auto"/>
          <w:szCs w:val="21"/>
          <w:highlight w:val="none"/>
          <w:lang w:val="en-US" w:eastAsia="zh-CN"/>
        </w:rPr>
        <w:t>中华人民共和国</w:t>
      </w:r>
      <w:r>
        <w:rPr>
          <w:rFonts w:hint="eastAsia" w:ascii="仿宋" w:hAnsi="仿宋" w:eastAsia="仿宋" w:cs="仿宋"/>
          <w:b/>
          <w:color w:val="auto"/>
          <w:szCs w:val="21"/>
          <w:highlight w:val="none"/>
        </w:rPr>
        <w:t>政府采购法》第七十七条第一款的规定追究法律责任。</w:t>
      </w:r>
    </w:p>
    <w:p w14:paraId="0983C240">
      <w:pPr>
        <w:rPr>
          <w:rFonts w:hint="eastAsia" w:ascii="仿宋" w:hAnsi="仿宋" w:eastAsia="仿宋" w:cs="仿宋"/>
          <w:b/>
          <w:bCs/>
          <w:color w:val="auto"/>
          <w:sz w:val="24"/>
          <w:szCs w:val="24"/>
          <w:highlight w:val="none"/>
        </w:rPr>
      </w:pPr>
    </w:p>
    <w:p w14:paraId="2647D940">
      <w:pPr>
        <w:rPr>
          <w:rFonts w:hint="eastAsia" w:ascii="仿宋" w:hAnsi="仿宋" w:eastAsia="仿宋" w:cs="仿宋"/>
          <w:b/>
          <w:bCs/>
          <w:color w:val="auto"/>
          <w:sz w:val="24"/>
          <w:szCs w:val="24"/>
          <w:highlight w:val="none"/>
        </w:rPr>
      </w:pPr>
    </w:p>
    <w:p w14:paraId="36F3FC12">
      <w:pPr>
        <w:rPr>
          <w:rFonts w:hint="eastAsia" w:ascii="仿宋" w:hAnsi="仿宋" w:eastAsia="仿宋" w:cs="仿宋"/>
          <w:b/>
          <w:bCs/>
          <w:color w:val="auto"/>
          <w:sz w:val="24"/>
          <w:szCs w:val="24"/>
          <w:highlight w:val="none"/>
        </w:rPr>
      </w:pPr>
    </w:p>
    <w:p w14:paraId="17CF95FA">
      <w:pPr>
        <w:rPr>
          <w:rFonts w:hint="eastAsia" w:ascii="仿宋" w:hAnsi="仿宋" w:eastAsia="仿宋" w:cs="仿宋"/>
          <w:b/>
          <w:bCs/>
          <w:color w:val="auto"/>
          <w:sz w:val="24"/>
          <w:szCs w:val="24"/>
          <w:highlight w:val="none"/>
        </w:rPr>
      </w:pPr>
    </w:p>
    <w:p w14:paraId="38CAECA4">
      <w:pPr>
        <w:rPr>
          <w:rFonts w:hint="eastAsia" w:ascii="仿宋" w:hAnsi="仿宋" w:eastAsia="仿宋" w:cs="仿宋"/>
          <w:b/>
          <w:bCs/>
          <w:color w:val="auto"/>
          <w:sz w:val="24"/>
          <w:szCs w:val="24"/>
          <w:highlight w:val="none"/>
        </w:rPr>
      </w:pPr>
    </w:p>
    <w:p w14:paraId="6F593058">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414EFBD6">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2E5888F4">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12609BB3">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3992A980">
      <w:pPr>
        <w:rPr>
          <w:rFonts w:hint="eastAsia" w:ascii="仿宋" w:hAnsi="仿宋" w:eastAsia="仿宋" w:cs="仿宋"/>
          <w:b/>
          <w:bCs/>
          <w:color w:val="auto"/>
          <w:sz w:val="24"/>
          <w:szCs w:val="24"/>
          <w:highlight w:val="none"/>
        </w:rPr>
      </w:pPr>
    </w:p>
    <w:p w14:paraId="651F96EC">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bookmarkStart w:id="150" w:name="_Toc8257"/>
      <w:bookmarkStart w:id="151" w:name="_Toc2071"/>
    </w:p>
    <w:p w14:paraId="2A3CE3E3">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69BEAC6D">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4160B88B">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p>
    <w:p w14:paraId="3D045A64">
      <w:pPr>
        <w:pStyle w:val="90"/>
        <w:numPr>
          <w:ilvl w:val="0"/>
          <w:numId w:val="0"/>
        </w:numPr>
        <w:snapToGrid w:val="0"/>
        <w:ind w:left="227"/>
        <w:jc w:val="center"/>
        <w:outlineLvl w:val="0"/>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t>政府采购活动现场确认声明书</w:t>
      </w:r>
      <w:bookmarkEnd w:id="147"/>
      <w:bookmarkEnd w:id="148"/>
      <w:bookmarkEnd w:id="150"/>
      <w:bookmarkEnd w:id="151"/>
    </w:p>
    <w:p w14:paraId="5AE15C51">
      <w:pPr>
        <w:pStyle w:val="90"/>
        <w:numPr>
          <w:ilvl w:val="0"/>
          <w:numId w:val="0"/>
        </w:numPr>
        <w:snapToGrid w:val="0"/>
        <w:spacing w:line="440" w:lineRule="exact"/>
        <w:ind w:left="227"/>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浙江衢州公信工程管理有限公司　：</w:t>
      </w:r>
    </w:p>
    <w:p w14:paraId="39103A6D">
      <w:pPr>
        <w:pStyle w:val="90"/>
        <w:numPr>
          <w:ilvl w:val="0"/>
          <w:numId w:val="0"/>
        </w:numPr>
        <w:snapToGrid w:val="0"/>
        <w:spacing w:line="440" w:lineRule="exact"/>
        <w:ind w:left="420" w:leftChars="200"/>
        <w:rPr>
          <w:rFonts w:hint="eastAsia" w:ascii="仿宋" w:hAnsi="仿宋" w:eastAsia="仿宋" w:cs="仿宋"/>
          <w:color w:val="auto"/>
          <w:spacing w:val="6"/>
          <w:sz w:val="24"/>
          <w:szCs w:val="24"/>
          <w:highlight w:val="none"/>
          <w:u w:val="single"/>
        </w:rPr>
      </w:pPr>
      <w:r>
        <w:rPr>
          <w:rFonts w:hint="eastAsia" w:ascii="仿宋" w:hAnsi="仿宋" w:eastAsia="仿宋" w:cs="仿宋"/>
          <w:color w:val="auto"/>
          <w:spacing w:val="6"/>
          <w:sz w:val="24"/>
          <w:szCs w:val="24"/>
          <w:highlight w:val="none"/>
        </w:rPr>
        <w:t>本人</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（授权代表姓名），经由</w:t>
      </w: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（单位）</w:t>
      </w:r>
      <w:r>
        <w:rPr>
          <w:rFonts w:hint="eastAsia" w:ascii="仿宋" w:hAnsi="仿宋" w:eastAsia="仿宋" w:cs="仿宋"/>
          <w:color w:val="auto"/>
          <w:spacing w:val="6"/>
          <w:sz w:val="24"/>
          <w:szCs w:val="24"/>
          <w:highlight w:val="none"/>
          <w:u w:val="single"/>
        </w:rPr>
        <w:t xml:space="preserve">         </w:t>
      </w:r>
    </w:p>
    <w:p w14:paraId="4A9A90E3">
      <w:pPr>
        <w:pStyle w:val="90"/>
        <w:numPr>
          <w:ilvl w:val="0"/>
          <w:numId w:val="0"/>
        </w:numPr>
        <w:wordWrap w:val="0"/>
        <w:snapToGrid w:val="0"/>
        <w:spacing w:line="440" w:lineRule="exact"/>
        <w:ind w:left="227"/>
        <w:rPr>
          <w:rFonts w:hint="eastAsia" w:ascii="仿宋" w:hAnsi="仿宋" w:eastAsia="仿宋" w:cs="仿宋"/>
          <w:color w:val="auto"/>
          <w:spacing w:val="6"/>
          <w:sz w:val="24"/>
          <w:szCs w:val="24"/>
          <w:highlight w:val="none"/>
        </w:rPr>
      </w:pPr>
      <w:r>
        <w:rPr>
          <w:rFonts w:hint="eastAsia" w:ascii="仿宋" w:hAnsi="仿宋" w:eastAsia="仿宋" w:cs="仿宋"/>
          <w:color w:val="auto"/>
          <w:spacing w:val="6"/>
          <w:sz w:val="24"/>
          <w:szCs w:val="24"/>
          <w:highlight w:val="none"/>
          <w:u w:val="single"/>
        </w:rPr>
        <w:t xml:space="preserve">                 </w:t>
      </w:r>
      <w:r>
        <w:rPr>
          <w:rFonts w:hint="eastAsia" w:ascii="仿宋" w:hAnsi="仿宋" w:eastAsia="仿宋" w:cs="仿宋"/>
          <w:color w:val="auto"/>
          <w:spacing w:val="6"/>
          <w:sz w:val="24"/>
          <w:szCs w:val="24"/>
          <w:highlight w:val="none"/>
        </w:rPr>
        <w:t>（法定代表人姓名）合法授权参加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u w:val="single"/>
          <w:lang w:eastAsia="zh-CN"/>
        </w:rPr>
        <w:t>常山县城东新区狮子口片区控规调整</w:t>
      </w:r>
      <w:r>
        <w:rPr>
          <w:rFonts w:hint="eastAsia" w:ascii="仿宋" w:hAnsi="仿宋" w:eastAsia="仿宋" w:cs="仿宋"/>
          <w:color w:val="auto"/>
          <w:spacing w:val="6"/>
          <w:sz w:val="24"/>
          <w:szCs w:val="24"/>
          <w:highlight w:val="none"/>
        </w:rPr>
        <w:t>（编号：</w:t>
      </w:r>
      <w:r>
        <w:rPr>
          <w:rFonts w:hint="eastAsia" w:ascii="仿宋" w:hAnsi="仿宋" w:eastAsia="仿宋" w:cs="仿宋"/>
          <w:color w:val="auto"/>
          <w:spacing w:val="6"/>
          <w:sz w:val="24"/>
          <w:szCs w:val="24"/>
          <w:highlight w:val="none"/>
          <w:u w:val="single"/>
          <w:lang w:eastAsia="zh-CN"/>
        </w:rPr>
        <w:t>GXZFCG-2025-CS003</w:t>
      </w:r>
      <w:r>
        <w:rPr>
          <w:rFonts w:hint="eastAsia" w:ascii="仿宋" w:hAnsi="仿宋" w:eastAsia="仿宋" w:cs="仿宋"/>
          <w:color w:val="auto"/>
          <w:spacing w:val="6"/>
          <w:sz w:val="24"/>
          <w:szCs w:val="24"/>
          <w:highlight w:val="none"/>
        </w:rPr>
        <w:t xml:space="preserve">）政府采购活动，经与本单位法人代表（负责人）联系确认，现就有关公平竞争事项郑重声明如下： </w:t>
      </w:r>
    </w:p>
    <w:p w14:paraId="1FCA8F55">
      <w:pPr>
        <w:pStyle w:val="48"/>
        <w:widowControl/>
        <w:numPr>
          <w:ilvl w:val="0"/>
          <w:numId w:val="8"/>
        </w:numPr>
        <w:snapToGrid w:val="0"/>
        <w:spacing w:line="440" w:lineRule="exact"/>
        <w:ind w:firstLine="453" w:firstLineChars="18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本单位与采购人之间 □不存在利害关系 □存在下列利害关系</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40D4F3D6">
      <w:pPr>
        <w:pStyle w:val="48"/>
        <w:widowControl/>
        <w:numPr>
          <w:ilvl w:val="0"/>
          <w:numId w:val="0"/>
        </w:numPr>
        <w:snapToGrid w:val="0"/>
        <w:spacing w:line="440" w:lineRule="exact"/>
        <w:ind w:left="227"/>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A.投资关系    B.行政隶属关系    C.业务指导关系</w:t>
      </w:r>
    </w:p>
    <w:p w14:paraId="547A36CF">
      <w:pPr>
        <w:pStyle w:val="48"/>
        <w:widowControl/>
        <w:numPr>
          <w:ilvl w:val="0"/>
          <w:numId w:val="0"/>
        </w:numPr>
        <w:snapToGrid w:val="0"/>
        <w:spacing w:line="440" w:lineRule="exact"/>
        <w:ind w:left="227"/>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D.其他可能</w:t>
      </w:r>
      <w:r>
        <w:rPr>
          <w:rFonts w:hint="eastAsia" w:ascii="仿宋" w:hAnsi="仿宋" w:eastAsia="仿宋" w:cs="仿宋"/>
          <w:color w:val="auto"/>
          <w:sz w:val="24"/>
          <w:highlight w:val="none"/>
        </w:rPr>
        <w:t>影响采购公正的</w:t>
      </w:r>
      <w:r>
        <w:rPr>
          <w:rFonts w:hint="eastAsia" w:ascii="仿宋" w:hAnsi="仿宋" w:eastAsia="仿宋" w:cs="仿宋"/>
          <w:color w:val="auto"/>
          <w:kern w:val="0"/>
          <w:sz w:val="24"/>
          <w:highlight w:val="none"/>
        </w:rPr>
        <w:t xml:space="preserve">利害关系（如有，请如实说明）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C235C04">
      <w:pPr>
        <w:pStyle w:val="48"/>
        <w:widowControl/>
        <w:numPr>
          <w:ilvl w:val="0"/>
          <w:numId w:val="8"/>
        </w:numPr>
        <w:snapToGrid w:val="0"/>
        <w:spacing w:line="440" w:lineRule="exact"/>
        <w:ind w:firstLine="453" w:firstLineChars="18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现已清楚知道参加本项目采购活动的其他所有供应商名称，本单位 □与其他所有供应商之间均不存在利害关系 □与 </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（供应商名称）之间存在下列利害关系</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w:t>
      </w:r>
    </w:p>
    <w:p w14:paraId="74C087DB">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A.法定代表人或负责人或实际控制人是同一人</w:t>
      </w:r>
    </w:p>
    <w:p w14:paraId="360DE1B9">
      <w:pPr>
        <w:pStyle w:val="90"/>
        <w:numPr>
          <w:ilvl w:val="0"/>
          <w:numId w:val="0"/>
        </w:numPr>
        <w:snapToGrid w:val="0"/>
        <w:spacing w:line="440" w:lineRule="exact"/>
        <w:ind w:left="227"/>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B.法定代表人或负责人或实际控制人是夫妻关系</w:t>
      </w:r>
    </w:p>
    <w:p w14:paraId="01EA9945">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C.法定代表人或负责人或实际控制人是直系血亲关系</w:t>
      </w:r>
    </w:p>
    <w:p w14:paraId="460B6920">
      <w:pPr>
        <w:pStyle w:val="90"/>
        <w:numPr>
          <w:ilvl w:val="0"/>
          <w:numId w:val="0"/>
        </w:numPr>
        <w:snapToGrid w:val="0"/>
        <w:spacing w:line="440" w:lineRule="exact"/>
        <w:ind w:firstLine="240" w:firstLineChars="100"/>
        <w:rPr>
          <w:rFonts w:hint="eastAsia" w:ascii="仿宋" w:hAnsi="仿宋" w:eastAsia="仿宋" w:cs="仿宋"/>
          <w:color w:val="auto"/>
          <w:spacing w:val="6"/>
          <w:sz w:val="24"/>
          <w:szCs w:val="24"/>
          <w:highlight w:val="none"/>
        </w:rPr>
      </w:pPr>
      <w:r>
        <w:rPr>
          <w:rFonts w:hint="eastAsia" w:ascii="仿宋" w:hAnsi="仿宋" w:eastAsia="仿宋" w:cs="仿宋"/>
          <w:color w:val="auto"/>
          <w:sz w:val="24"/>
          <w:szCs w:val="24"/>
          <w:highlight w:val="none"/>
        </w:rPr>
        <w:t>D.法定代表人或负责人或实际控制人存在三代以内旁系血亲关系</w:t>
      </w:r>
    </w:p>
    <w:p w14:paraId="6C6FA9D9">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E.法定代表人或负责人或实际控制人存在近姻亲关系</w:t>
      </w:r>
    </w:p>
    <w:p w14:paraId="60F898BB">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F.法定代表人或负责人或实际控制人存在股份控制或实际控制关系</w:t>
      </w:r>
    </w:p>
    <w:p w14:paraId="10527893">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G.存在共同直接或间接投资设立子公司、联营企业和合营企业情况</w:t>
      </w:r>
    </w:p>
    <w:p w14:paraId="7538A3AE">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H.存在分级代理或代销关系、同一生产制造商关系、管理关系、重要业务（占主营业务收入50%以上）或重要财务往来关系（如融资）等其他实质性控制关系</w:t>
      </w:r>
    </w:p>
    <w:p w14:paraId="797F0333">
      <w:pPr>
        <w:pStyle w:val="90"/>
        <w:numPr>
          <w:ilvl w:val="0"/>
          <w:numId w:val="0"/>
        </w:numPr>
        <w:snapToGrid w:val="0"/>
        <w:spacing w:line="440" w:lineRule="exact"/>
        <w:ind w:left="227"/>
        <w:outlineLvl w:val="0"/>
        <w:rPr>
          <w:rFonts w:hint="eastAsia" w:ascii="仿宋" w:hAnsi="仿宋" w:eastAsia="仿宋" w:cs="仿宋"/>
          <w:color w:val="auto"/>
          <w:spacing w:val="6"/>
          <w:sz w:val="24"/>
          <w:szCs w:val="24"/>
          <w:highlight w:val="none"/>
        </w:rPr>
      </w:pPr>
      <w:bookmarkStart w:id="152" w:name="_Toc680"/>
      <w:bookmarkStart w:id="153" w:name="_Toc30507"/>
      <w:bookmarkStart w:id="154" w:name="_Toc31574"/>
      <w:bookmarkStart w:id="155" w:name="_Toc22681"/>
      <w:bookmarkStart w:id="156" w:name="_Toc1045"/>
      <w:r>
        <w:rPr>
          <w:rFonts w:hint="eastAsia" w:ascii="仿宋" w:hAnsi="仿宋" w:eastAsia="仿宋" w:cs="仿宋"/>
          <w:color w:val="auto"/>
          <w:sz w:val="24"/>
          <w:szCs w:val="24"/>
          <w:highlight w:val="none"/>
        </w:rPr>
        <w:t>I.其他利害关系情况</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bookmarkEnd w:id="152"/>
      <w:bookmarkEnd w:id="153"/>
      <w:bookmarkEnd w:id="154"/>
      <w:bookmarkEnd w:id="155"/>
      <w:bookmarkEnd w:id="156"/>
    </w:p>
    <w:p w14:paraId="7EA6792E">
      <w:pPr>
        <w:pStyle w:val="48"/>
        <w:widowControl/>
        <w:numPr>
          <w:ilvl w:val="0"/>
          <w:numId w:val="9"/>
        </w:numPr>
        <w:snapToGrid w:val="0"/>
        <w:spacing w:line="440" w:lineRule="exact"/>
        <w:ind w:firstLine="453" w:firstLineChars="189"/>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现已清楚知道并</w:t>
      </w:r>
      <w:r>
        <w:rPr>
          <w:rFonts w:hint="eastAsia" w:ascii="仿宋" w:hAnsi="仿宋" w:eastAsia="仿宋" w:cs="仿宋"/>
          <w:color w:val="auto"/>
          <w:kern w:val="0"/>
          <w:sz w:val="24"/>
          <w:highlight w:val="none"/>
        </w:rPr>
        <w:t>严格遵守政府采购法律法规和现场纪律。</w:t>
      </w:r>
    </w:p>
    <w:p w14:paraId="49C294E3">
      <w:pPr>
        <w:pStyle w:val="48"/>
        <w:widowControl/>
        <w:numPr>
          <w:ilvl w:val="0"/>
          <w:numId w:val="9"/>
        </w:numPr>
        <w:snapToGrid w:val="0"/>
        <w:spacing w:line="440" w:lineRule="exact"/>
        <w:ind w:firstLine="453" w:firstLineChars="189"/>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我发现</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供应商之间存在或可能存在上述第二条第</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项利害关系。</w:t>
      </w:r>
    </w:p>
    <w:p w14:paraId="0460B17A">
      <w:pPr>
        <w:pStyle w:val="90"/>
        <w:numPr>
          <w:ilvl w:val="0"/>
          <w:numId w:val="0"/>
        </w:numPr>
        <w:snapToGrid w:val="0"/>
        <w:spacing w:line="440" w:lineRule="exact"/>
        <w:ind w:left="22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（供应商代表签名）：                                </w:t>
      </w:r>
    </w:p>
    <w:p w14:paraId="1765328D">
      <w:pPr>
        <w:pStyle w:val="90"/>
        <w:numPr>
          <w:ilvl w:val="0"/>
          <w:numId w:val="0"/>
        </w:numPr>
        <w:snapToGrid w:val="0"/>
        <w:spacing w:line="440" w:lineRule="exact"/>
        <w:ind w:left="5250" w:leftChars="25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202</w:t>
      </w: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lang w:eastAsia="zh-CN"/>
        </w:rPr>
        <w:t>年</w:t>
      </w:r>
      <w:r>
        <w:rPr>
          <w:rFonts w:hint="eastAsia" w:ascii="仿宋" w:hAnsi="仿宋" w:eastAsia="仿宋" w:cs="仿宋"/>
          <w:color w:val="auto"/>
          <w:sz w:val="24"/>
          <w:szCs w:val="24"/>
          <w:highlight w:val="none"/>
        </w:rPr>
        <w:t xml:space="preserve"> 月  日</w:t>
      </w:r>
    </w:p>
    <w:p w14:paraId="27358C0E">
      <w:pPr>
        <w:pStyle w:val="90"/>
        <w:numPr>
          <w:ilvl w:val="0"/>
          <w:numId w:val="0"/>
        </w:numPr>
        <w:snapToGrid w:val="0"/>
        <w:spacing w:line="440" w:lineRule="exact"/>
        <w:ind w:left="227"/>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w:t>
      </w:r>
      <w:r>
        <w:rPr>
          <w:rFonts w:hint="eastAsia" w:ascii="仿宋" w:hAnsi="仿宋" w:eastAsia="仿宋" w:cs="仿宋"/>
          <w:b/>
          <w:bCs/>
          <w:color w:val="auto"/>
          <w:sz w:val="24"/>
          <w:szCs w:val="24"/>
          <w:highlight w:val="none"/>
          <w:u w:val="none"/>
        </w:rPr>
        <w:fldChar w:fldCharType="begin"/>
      </w:r>
      <w:r>
        <w:rPr>
          <w:rFonts w:hint="eastAsia" w:ascii="仿宋" w:hAnsi="仿宋" w:eastAsia="仿宋" w:cs="仿宋"/>
          <w:b/>
          <w:bCs/>
          <w:color w:val="auto"/>
          <w:sz w:val="24"/>
          <w:szCs w:val="24"/>
          <w:highlight w:val="none"/>
          <w:u w:val="none"/>
        </w:rPr>
        <w:instrText xml:space="preserve"> HYPERLINK "mailto:待完成解密后填写本确认书再以扫描件的形式发到QQ邮箱（617535062@qq.com）内，打印时请删除此项注明。" </w:instrText>
      </w:r>
      <w:r>
        <w:rPr>
          <w:rFonts w:hint="eastAsia" w:ascii="仿宋" w:hAnsi="仿宋" w:eastAsia="仿宋" w:cs="仿宋"/>
          <w:b/>
          <w:bCs/>
          <w:color w:val="auto"/>
          <w:sz w:val="24"/>
          <w:szCs w:val="24"/>
          <w:highlight w:val="none"/>
          <w:u w:val="none"/>
        </w:rPr>
        <w:fldChar w:fldCharType="separate"/>
      </w:r>
      <w:r>
        <w:rPr>
          <w:rStyle w:val="38"/>
          <w:rFonts w:hint="eastAsia" w:ascii="仿宋" w:hAnsi="仿宋" w:eastAsia="仿宋" w:cs="仿宋"/>
          <w:b/>
          <w:bCs/>
          <w:color w:val="auto"/>
          <w:sz w:val="24"/>
          <w:szCs w:val="24"/>
          <w:highlight w:val="none"/>
          <w:u w:val="none"/>
        </w:rPr>
        <w:t>待完成解密后填写本确认书再以扫描件的形式发到QQ邮箱（617535062@qq.com）内，打印时请删除此项注明。</w:t>
      </w:r>
      <w:r>
        <w:rPr>
          <w:rFonts w:hint="eastAsia" w:ascii="仿宋" w:hAnsi="仿宋" w:eastAsia="仿宋" w:cs="仿宋"/>
          <w:b/>
          <w:bCs/>
          <w:color w:val="auto"/>
          <w:sz w:val="24"/>
          <w:szCs w:val="24"/>
          <w:highlight w:val="none"/>
          <w:u w:val="none"/>
        </w:rPr>
        <w:fldChar w:fldCharType="end"/>
      </w:r>
    </w:p>
    <w:p w14:paraId="55E3E701">
      <w:pPr>
        <w:spacing w:line="360" w:lineRule="auto"/>
        <w:jc w:val="center"/>
        <w:outlineLvl w:val="0"/>
        <w:rPr>
          <w:rFonts w:hint="eastAsia" w:ascii="仿宋" w:hAnsi="仿宋" w:eastAsia="仿宋" w:cs="仿宋"/>
          <w:b/>
          <w:bCs/>
          <w:color w:val="auto"/>
          <w:sz w:val="32"/>
          <w:szCs w:val="40"/>
        </w:rPr>
      </w:pPr>
      <w:bookmarkStart w:id="157" w:name="_Toc28838"/>
    </w:p>
    <w:p w14:paraId="176AC43B">
      <w:pPr>
        <w:spacing w:line="360" w:lineRule="auto"/>
        <w:jc w:val="center"/>
        <w:outlineLvl w:val="0"/>
        <w:rPr>
          <w:rFonts w:hint="eastAsia" w:ascii="仿宋" w:hAnsi="仿宋" w:eastAsia="仿宋" w:cs="仿宋"/>
          <w:b/>
          <w:bCs/>
          <w:color w:val="auto"/>
          <w:sz w:val="32"/>
          <w:szCs w:val="40"/>
          <w:lang w:eastAsia="zh-CN"/>
        </w:rPr>
      </w:pPr>
      <w:r>
        <w:rPr>
          <w:rFonts w:hint="eastAsia" w:ascii="仿宋" w:hAnsi="仿宋" w:eastAsia="仿宋" w:cs="仿宋"/>
          <w:b/>
          <w:bCs/>
          <w:color w:val="auto"/>
          <w:sz w:val="32"/>
          <w:szCs w:val="40"/>
        </w:rPr>
        <w:t>关于印发中小企业划型标准规定的通知</w:t>
      </w:r>
    </w:p>
    <w:p w14:paraId="726C1B49">
      <w:pPr>
        <w:spacing w:line="360" w:lineRule="auto"/>
        <w:jc w:val="center"/>
        <w:outlineLvl w:val="0"/>
        <w:rPr>
          <w:rFonts w:hint="eastAsia" w:ascii="仿宋" w:hAnsi="仿宋" w:eastAsia="仿宋" w:cs="仿宋"/>
          <w:color w:val="auto"/>
          <w:sz w:val="22"/>
          <w:szCs w:val="28"/>
        </w:rPr>
      </w:pPr>
      <w:r>
        <w:rPr>
          <w:rFonts w:hint="eastAsia" w:ascii="仿宋" w:hAnsi="仿宋" w:eastAsia="仿宋" w:cs="仿宋"/>
          <w:color w:val="auto"/>
          <w:sz w:val="22"/>
          <w:szCs w:val="28"/>
        </w:rPr>
        <w:t>工信部联企业〔2011〕300号</w:t>
      </w:r>
      <w:bookmarkEnd w:id="157"/>
    </w:p>
    <w:p w14:paraId="340284E9">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各省、自治区、直辖市人民政府，国务院各部委、各直属机构及有关单位：</w:t>
      </w:r>
    </w:p>
    <w:p w14:paraId="4A1FFF87">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023A4693">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工业和信息化部　国家统计局</w:t>
      </w:r>
    </w:p>
    <w:p w14:paraId="7940E7CC">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国家发展和改革委员会　财政部</w:t>
      </w:r>
    </w:p>
    <w:p w14:paraId="1EC8FF9B">
      <w:pPr>
        <w:spacing w:line="360" w:lineRule="auto"/>
        <w:rPr>
          <w:rFonts w:hint="eastAsia" w:ascii="仿宋" w:hAnsi="仿宋" w:eastAsia="仿宋" w:cs="仿宋"/>
          <w:color w:val="auto"/>
          <w:sz w:val="24"/>
          <w:szCs w:val="32"/>
        </w:rPr>
      </w:pPr>
      <w:r>
        <w:rPr>
          <w:rFonts w:hint="eastAsia" w:ascii="仿宋" w:hAnsi="仿宋" w:eastAsia="仿宋" w:cs="仿宋"/>
          <w:color w:val="auto"/>
          <w:sz w:val="24"/>
          <w:szCs w:val="32"/>
        </w:rPr>
        <w:t>　　　　　　　　　　　　　　　　　　　　　　　　二○一一年六月十八日</w:t>
      </w:r>
    </w:p>
    <w:p w14:paraId="16ADE0FC">
      <w:pPr>
        <w:spacing w:line="360" w:lineRule="auto"/>
        <w:rPr>
          <w:rFonts w:hint="eastAsia" w:ascii="仿宋" w:hAnsi="仿宋" w:eastAsia="仿宋" w:cs="仿宋"/>
          <w:color w:val="auto"/>
          <w:sz w:val="24"/>
          <w:szCs w:val="32"/>
        </w:rPr>
      </w:pPr>
      <w:r>
        <w:rPr>
          <w:rFonts w:hint="eastAsia" w:ascii="仿宋" w:hAnsi="仿宋" w:eastAsia="仿宋" w:cs="仿宋"/>
          <w:color w:val="auto"/>
          <w:sz w:val="24"/>
          <w:szCs w:val="32"/>
        </w:rPr>
        <w:t> </w:t>
      </w:r>
    </w:p>
    <w:p w14:paraId="3B1EC9AD">
      <w:pPr>
        <w:spacing w:line="360" w:lineRule="auto"/>
        <w:outlineLvl w:val="0"/>
        <w:rPr>
          <w:rFonts w:hint="eastAsia" w:ascii="仿宋" w:hAnsi="仿宋" w:eastAsia="仿宋" w:cs="仿宋"/>
          <w:color w:val="auto"/>
          <w:sz w:val="24"/>
          <w:szCs w:val="32"/>
        </w:rPr>
      </w:pPr>
      <w:bookmarkStart w:id="158" w:name="_Toc18295"/>
      <w:r>
        <w:rPr>
          <w:rFonts w:hint="eastAsia" w:ascii="仿宋" w:hAnsi="仿宋" w:eastAsia="仿宋" w:cs="仿宋"/>
          <w:color w:val="auto"/>
          <w:sz w:val="24"/>
          <w:szCs w:val="32"/>
        </w:rPr>
        <w:t>中小企业划型标准规定</w:t>
      </w:r>
      <w:bookmarkEnd w:id="158"/>
    </w:p>
    <w:p w14:paraId="34EED42D">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一、根据《中华人民共和国中小企业促进法》和《国务院关于进一步促进中小企业发展的若干意见》(国发〔2009〕36号)，制定本规定。</w:t>
      </w:r>
    </w:p>
    <w:p w14:paraId="7CB16290">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二、中小企业划分为中型、小型、微型三种类型，具体标准根据企业从业人员、营业收入、资产总额等指标，结合行业特点制定。</w:t>
      </w:r>
    </w:p>
    <w:p w14:paraId="1AB375EC">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2CBDD124">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四、各行业划型标准为：</w:t>
      </w:r>
    </w:p>
    <w:p w14:paraId="09D0A6CD">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（一）农、林、牧、渔业。营业收入20000万元以下的为中小微型企业。其中，营业收入500万元及以上的为中型企业，营业收入50万元及以上的为小型企业，营业收入50万元以下的为微型企业。</w:t>
      </w:r>
    </w:p>
    <w:p w14:paraId="09B739B6">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2E445AFF">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31F43340">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2F400C31">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C60E8B1">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E7B986F">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C4B7FD2">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4D0D0741">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7F169BDD">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29DB872C">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08C80267">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2CDB2FBA">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24F6020D">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3D842C41">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D2B49E7">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（十六）其他未列明行业。从业人员300人以下的为中小微型企业。其中，从业人员100人及以上的为中型企业；从业人员10人及以上的为小型企业；从业人员10人以下的为微型企业。</w:t>
      </w:r>
    </w:p>
    <w:p w14:paraId="61AAE7F2">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五、企业类型的划分以统计部门的统计数据为依据。</w:t>
      </w:r>
    </w:p>
    <w:p w14:paraId="2927F400">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六、本规定适用于在中华人民共和国境内依法设立的各类所有制和各种组织形式的企业。个体工商户和本规定以外的行业，参照本规定进行划型。</w:t>
      </w:r>
    </w:p>
    <w:p w14:paraId="1073A8C2">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七、本规定的中型企业标准上限即为大型企业标准的下限，国家统计部门据此制定大中小微型企业的统计分类。国务院有关部门据此进行相关数据分析，不得制定与本规定不一致的企业划型标准。</w:t>
      </w:r>
    </w:p>
    <w:p w14:paraId="47B04E00">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八、本规定由工业和信息化部、国家统计局会同有关部门根据《国民经济行业分类》修订情况和企业发展变化情况适时修订。</w:t>
      </w:r>
    </w:p>
    <w:p w14:paraId="557F94CA">
      <w:pPr>
        <w:spacing w:line="360" w:lineRule="auto"/>
        <w:rPr>
          <w:rFonts w:hint="eastAsia" w:ascii="仿宋" w:hAnsi="仿宋" w:eastAsia="仿宋" w:cs="仿宋"/>
          <w:color w:val="auto"/>
          <w:sz w:val="24"/>
          <w:szCs w:val="32"/>
          <w:lang w:eastAsia="zh-CN"/>
        </w:rPr>
      </w:pPr>
      <w:r>
        <w:rPr>
          <w:rFonts w:hint="eastAsia" w:ascii="仿宋" w:hAnsi="仿宋" w:eastAsia="仿宋" w:cs="仿宋"/>
          <w:color w:val="auto"/>
          <w:sz w:val="24"/>
          <w:szCs w:val="32"/>
        </w:rPr>
        <w:t>　　九、本规定由工业和信息化部、国家统计局会同有关部门负责解释。</w:t>
      </w:r>
    </w:p>
    <w:p w14:paraId="50BFFB35">
      <w:pPr>
        <w:spacing w:line="360" w:lineRule="auto"/>
        <w:rPr>
          <w:rFonts w:hint="eastAsia" w:ascii="仿宋" w:hAnsi="仿宋" w:eastAsia="仿宋" w:cs="仿宋"/>
          <w:color w:val="auto"/>
          <w:sz w:val="24"/>
          <w:szCs w:val="32"/>
        </w:rPr>
      </w:pPr>
      <w:r>
        <w:rPr>
          <w:rFonts w:hint="eastAsia" w:ascii="仿宋" w:hAnsi="仿宋" w:eastAsia="仿宋" w:cs="仿宋"/>
          <w:color w:val="auto"/>
          <w:sz w:val="24"/>
          <w:szCs w:val="32"/>
        </w:rPr>
        <w:t>　　十、本规定自发布之日起执行，原国家经贸委、原国家计委、财政部和国家统计局2003年颁布的《中小企业标准暂行规定》同时废止。</w:t>
      </w:r>
    </w:p>
    <w:p w14:paraId="153AEEFA">
      <w:pPr>
        <w:spacing w:line="360" w:lineRule="auto"/>
        <w:rPr>
          <w:rFonts w:hint="eastAsia" w:ascii="仿宋" w:hAnsi="仿宋" w:eastAsia="仿宋" w:cs="仿宋"/>
          <w:color w:val="auto"/>
          <w:sz w:val="22"/>
          <w:szCs w:val="28"/>
        </w:rPr>
      </w:pPr>
    </w:p>
    <w:p w14:paraId="28809051">
      <w:pPr>
        <w:pStyle w:val="90"/>
        <w:numPr>
          <w:ilvl w:val="0"/>
          <w:numId w:val="0"/>
        </w:numPr>
        <w:snapToGrid w:val="0"/>
        <w:spacing w:line="440" w:lineRule="exact"/>
        <w:ind w:left="227"/>
        <w:rPr>
          <w:rFonts w:hint="eastAsia" w:ascii="仿宋" w:hAnsi="仿宋" w:eastAsia="仿宋" w:cs="仿宋"/>
          <w:b/>
          <w:bCs/>
          <w:color w:val="auto"/>
          <w:sz w:val="24"/>
          <w:szCs w:val="24"/>
          <w:highlight w:val="none"/>
        </w:rPr>
      </w:pPr>
    </w:p>
    <w:sectPr>
      <w:headerReference r:id="rId8" w:type="default"/>
      <w:footerReference r:id="rId9" w:type="default"/>
      <w:pgSz w:w="11906" w:h="16838"/>
      <w:pgMar w:top="1440" w:right="1134" w:bottom="1440" w:left="1134" w:header="850" w:footer="992" w:gutter="0"/>
      <w:pgBorders>
        <w:top w:val="none" w:sz="0" w:space="0"/>
        <w:left w:val="none" w:sz="0" w:space="0"/>
        <w:bottom w:val="none" w:sz="0" w:space="0"/>
        <w:right w:val="none" w:sz="0" w:space="0"/>
      </w:pgBorders>
      <w:pgNumType w:fmt="decimal"/>
      <w:cols w:space="0" w:num="1"/>
      <w:rtlGutter w:val="0"/>
      <w:docGrid w:type="lines" w:linePitch="317"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A1"/>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modern"/>
    <w:pitch w:val="default"/>
    <w:sig w:usb0="800002BF" w:usb1="38CF7CFA" w:usb2="00000016" w:usb3="00000000" w:csb0="00040001" w:csb1="00000000"/>
  </w:font>
  <w:font w:name="CG Times">
    <w:altName w:val="Times New Roman"/>
    <w:panose1 w:val="02020603050405020304"/>
    <w:charset w:val="00"/>
    <w:family w:val="roman"/>
    <w:pitch w:val="default"/>
    <w:sig w:usb0="00000000" w:usb1="00000000" w:usb2="00000000" w:usb3="00000000" w:csb0="00000000" w:csb1="00000000"/>
  </w:font>
  <w:font w:name="Calibri Light">
    <w:panose1 w:val="020F0302020204030204"/>
    <w:charset w:val="00"/>
    <w:family w:val="swiss"/>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幼圆">
    <w:altName w:val="宋体"/>
    <w:panose1 w:val="02010509060101010101"/>
    <w:charset w:val="86"/>
    <w:family w:val="modern"/>
    <w:pitch w:val="default"/>
    <w:sig w:usb0="00000000" w:usb1="00000000" w:usb2="00000000" w:usb3="00000000" w:csb0="00040000" w:csb1="00000000"/>
  </w:font>
  <w:font w:name="Arial Unicode MS">
    <w:altName w:val="宋体"/>
    <w:panose1 w:val="020B0604020202020204"/>
    <w:charset w:val="86"/>
    <w:family w:val="swiss"/>
    <w:pitch w:val="default"/>
    <w:sig w:usb0="00000000" w:usb1="00000000" w:usb2="0000003F" w:usb3="00000000" w:csb0="603F01FF" w:csb1="FFFF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010BE7">
    <w:pPr>
      <w:pStyle w:val="21"/>
      <w:tabs>
        <w:tab w:val="center" w:pos="5103"/>
        <w:tab w:val="clear" w:pos="4153"/>
      </w:tabs>
    </w:pPr>
    <w:r>
      <mc:AlternateContent>
        <mc:Choice Requires="wps">
          <w:drawing>
            <wp:anchor distT="0" distB="0" distL="114300" distR="114300" simplePos="0" relativeHeight="251660288" behindDoc="0" locked="0" layoutInCell="1" allowOverlap="1">
              <wp:simplePos x="0" y="0"/>
              <wp:positionH relativeFrom="margin">
                <wp:posOffset>0</wp:posOffset>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1945C3F9">
                          <w:pPr>
                            <w:pStyle w:val="21"/>
                          </w:pPr>
                        </w:p>
                      </w:txbxContent>
                    </wps:txbx>
                    <wps:bodyPr wrap="none" lIns="0" tIns="0" rIns="0" bIns="0">
                      <a:spAutoFit/>
                    </wps:bodyPr>
                  </wps:wsp>
                </a:graphicData>
              </a:graphic>
            </wp:anchor>
          </w:drawing>
        </mc:Choice>
        <mc:Fallback>
          <w:pict>
            <v:shape id="_x0000_s1026" o:spid="_x0000_s1026" o:spt="202" type="#_x0000_t202" style="position:absolute;left:0pt;margin-left:0pt;margin-top:0pt;height:144pt;width:144p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HhoS99ABAACkAwAADgAAAAAAAAABACAAAAAeAQAAZHJz&#10;L2Uyb0RvYy54bWxQSwUGAAAAAAYABgBZAQAAYAUAAAAA&#10;">
              <v:fill on="f" focussize="0,0"/>
              <v:stroke on="f"/>
              <v:imagedata o:title=""/>
              <o:lock v:ext="edit" aspectratio="f"/>
              <v:textbox inset="0mm,0mm,0mm,0mm" style="mso-fit-shape-to-text:t;">
                <w:txbxContent>
                  <w:p w14:paraId="1945C3F9">
                    <w:pPr>
                      <w:pStyle w:val="21"/>
                    </w:pP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posOffset>0</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2780A695">
                          <w:pPr>
                            <w:pStyle w:val="21"/>
                          </w:pPr>
                        </w:p>
                      </w:txbxContent>
                    </wps:txbx>
                    <wps:bodyPr wrap="none" lIns="0" tIns="0" rIns="0" bIns="0">
                      <a:spAutoFit/>
                    </wps:bodyPr>
                  </wps:wsp>
                </a:graphicData>
              </a:graphic>
            </wp:anchor>
          </w:drawing>
        </mc:Choice>
        <mc:Fallback>
          <w:pict>
            <v:shape id="_x0000_s1026" o:spid="_x0000_s1026" o:spt="202" type="#_x0000_t202" style="position:absolute;left:0pt;margin-left:0pt;margin-top:0pt;height:144pt;width:144p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df4lAdABAACkAwAADgAAAAAAAAABACAAAAAeAQAAZHJz&#10;L2Uyb0RvYy54bWxQSwUGAAAAAAYABgBZAQAAYAUAAAAA&#10;">
              <v:fill on="f" focussize="0,0"/>
              <v:stroke on="f"/>
              <v:imagedata o:title=""/>
              <o:lock v:ext="edit" aspectratio="f"/>
              <v:textbox inset="0mm,0mm,0mm,0mm" style="mso-fit-shape-to-text:t;">
                <w:txbxContent>
                  <w:p w14:paraId="2780A695">
                    <w:pPr>
                      <w:pStyle w:val="21"/>
                    </w:pPr>
                  </w:p>
                </w:txbxContent>
              </v:textbox>
            </v:shape>
          </w:pict>
        </mc:Fallback>
      </mc:AlternateContent>
    </w:r>
    <w:r>
      <w:rPr>
        <w:rFonts w:hint="eastAsia"/>
      </w:rPr>
      <w:tab/>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7B7414">
    <w:pPr>
      <w:pStyle w:val="21"/>
      <w:rPr>
        <w:szCs w:val="21"/>
      </w:rPr>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AB6B730">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1AB6B730">
                    <w:pPr>
                      <w:pStyle w:val="2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98449F">
    <w:pPr>
      <w:pStyle w:val="21"/>
      <w:tabs>
        <w:tab w:val="center" w:pos="5103"/>
        <w:tab w:val="clear" w:pos="4153"/>
      </w:tabs>
    </w:pPr>
    <w:r>
      <w:rPr>
        <w:sz w:val="18"/>
      </w:rP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35E8E1E">
                          <w:pPr>
                            <w:pStyle w:val="2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335E8E1E">
                    <w:pPr>
                      <w:pStyle w:val="21"/>
                    </w:pPr>
                    <w:r>
                      <w:fldChar w:fldCharType="begin"/>
                    </w:r>
                    <w:r>
                      <w:instrText xml:space="preserve"> PAGE  \* MERGEFORMAT </w:instrText>
                    </w:r>
                    <w:r>
                      <w:fldChar w:fldCharType="separate"/>
                    </w:r>
                    <w:r>
                      <w:t>1</w:t>
                    </w:r>
                    <w:r>
                      <w:fldChar w:fldCharType="end"/>
                    </w:r>
                  </w:p>
                </w:txbxContent>
              </v:textbox>
            </v:shap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316507E5">
                          <w:pPr>
                            <w:pStyle w:val="21"/>
                          </w:pPr>
                        </w:p>
                      </w:txbxContent>
                    </wps:txbx>
                    <wps:bodyPr wrap="none" lIns="0" tIns="0" rIns="0" bIns="0">
                      <a:spAutoFit/>
                    </wps:bodyPr>
                  </wps:wsp>
                </a:graphicData>
              </a:graphic>
            </wp:anchor>
          </w:drawing>
        </mc:Choice>
        <mc:Fallback>
          <w:pict>
            <v:shape id="_x0000_s1026" o:spid="_x0000_s1026" o:spt="202" type="#_x0000_t202" style="position:absolute;left:0pt;margin-left:0pt;margin-top:0pt;height:144pt;width:144pt;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DMrQZYzwEAAKQDAAAOAAAAAAAAAAEAIAAAAB4BAABkcnMv&#10;ZTJvRG9jLnhtbFBLBQYAAAAABgAGAFkBAABfBQAAAAA=&#10;">
              <v:fill on="f" focussize="0,0"/>
              <v:stroke on="f"/>
              <v:imagedata o:title=""/>
              <o:lock v:ext="edit" aspectratio="f"/>
              <v:textbox inset="0mm,0mm,0mm,0mm" style="mso-fit-shape-to-text:t;">
                <w:txbxContent>
                  <w:p w14:paraId="316507E5">
                    <w:pPr>
                      <w:pStyle w:val="21"/>
                    </w:pP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posOffset>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9525">
                        <a:noFill/>
                      </a:ln>
                      <a:effectLst/>
                    </wps:spPr>
                    <wps:txbx>
                      <w:txbxContent>
                        <w:p w14:paraId="3C8B09BE">
                          <w:pPr>
                            <w:pStyle w:val="21"/>
                          </w:pPr>
                        </w:p>
                      </w:txbxContent>
                    </wps:txbx>
                    <wps:bodyPr wrap="none" lIns="0" tIns="0" rIns="0" bIns="0">
                      <a:spAutoFit/>
                    </wps:bodyPr>
                  </wps:wsp>
                </a:graphicData>
              </a:graphic>
            </wp:anchor>
          </w:drawing>
        </mc:Choice>
        <mc:Fallback>
          <w:pict>
            <v:shape id="_x0000_s1026" o:spid="_x0000_s1026" o:spt="202" type="#_x0000_t202" style="position:absolute;left:0pt;margin-left:0pt;margin-top:0pt;height:144pt;width:144pt;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">
              <v:fill on="f" focussize="0,0"/>
              <v:stroke on="f"/>
              <v:imagedata o:title=""/>
              <o:lock v:ext="edit" aspectratio="f"/>
              <v:textbox inset="0mm,0mm,0mm,0mm" style="mso-fit-shape-to-text:t;">
                <w:txbxContent>
                  <w:p w14:paraId="3C8B09BE">
                    <w:pPr>
                      <w:pStyle w:val="21"/>
                    </w:pP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3893DE">
    <w:pPr>
      <w:pStyle w:val="21"/>
      <w:tabs>
        <w:tab w:val="center" w:pos="5103"/>
        <w:tab w:val="clear" w:pos="4153"/>
      </w:tabs>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32292B5">
                          <w:pPr>
                            <w:pStyle w:val="21"/>
                          </w:pPr>
                          <w:r>
                            <w:fldChar w:fldCharType="begin"/>
                          </w:r>
                          <w:r>
                            <w:instrText xml:space="preserve"> PAGE  \* MERGEFORMAT </w:instrText>
                          </w:r>
                          <w:r>
                            <w:fldChar w:fldCharType="separate"/>
                          </w:r>
                          <w:r>
                            <w:t>49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32292B5">
                    <w:pPr>
                      <w:pStyle w:val="21"/>
                    </w:pPr>
                    <w:r>
                      <w:fldChar w:fldCharType="begin"/>
                    </w:r>
                    <w:r>
                      <w:instrText xml:space="preserve"> PAGE  \* MERGEFORMAT </w:instrText>
                    </w:r>
                    <w:r>
                      <w:fldChar w:fldCharType="separate"/>
                    </w:r>
                    <w:r>
                      <w:t>49</w:t>
                    </w:r>
                    <w:r>
                      <w:fldChar w:fldCharType="end"/>
                    </w:r>
                  </w:p>
                </w:txbxContent>
              </v:textbox>
            </v:shape>
          </w:pict>
        </mc:Fallback>
      </mc:AlternateContent>
    </w:r>
    <w:r>
      <w:rPr>
        <w:rFonts w:hint="eastAsia"/>
      </w:rPr>
      <w:tab/>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3936BF">
    <w:pPr>
      <w:pStyle w:val="22"/>
    </w:pPr>
    <w:r>
      <w:rPr>
        <w:rFonts w:ascii="宋体" w:hAnsi="宋体" w:cs="宋体"/>
      </w:rPr>
      <w:t>QZGX</w:t>
    </w:r>
    <w:r>
      <w:rPr>
        <w:rFonts w:hint="eastAsia" w:ascii="宋体" w:hAnsi="宋体" w:cs="宋体"/>
      </w:rPr>
      <w:t xml:space="preserve"> </w:t>
    </w:r>
    <w:r>
      <w:rPr>
        <w:rFonts w:hint="eastAsia" w:ascii="宋体" w:hAnsi="宋体" w:cs="宋体"/>
        <w:sz w:val="21"/>
        <w:szCs w:val="21"/>
      </w:rPr>
      <w:t xml:space="preserve">                    </w:t>
    </w:r>
    <w:r>
      <w:rPr>
        <w:rFonts w:hint="eastAsia" w:ascii="宋体" w:hAnsi="宋体" w:cs="宋体"/>
        <w:sz w:val="21"/>
        <w:szCs w:val="21"/>
        <w:lang w:val="en-US" w:eastAsia="zh-CN"/>
      </w:rPr>
      <w:t xml:space="preserve">                 </w:t>
    </w:r>
    <w:r>
      <w:rPr>
        <w:rFonts w:hint="eastAsia"/>
        <w:lang w:val="en-US" w:eastAsia="zh-CN"/>
      </w:rPr>
      <w:t xml:space="preserve">   常山县城东新区狮子口片区控规调整</w:t>
    </w:r>
    <w:r>
      <w:rPr>
        <w:rFonts w:hint="eastAsia"/>
      </w:rPr>
      <w:t>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A237C">
    <w:pPr>
      <w:pStyle w:val="22"/>
      <w:rPr>
        <w:rFonts w:hint="eastAsia" w:ascii="仿宋" w:hAnsi="仿宋" w:eastAsia="仿宋" w:cs="仿宋"/>
      </w:rPr>
    </w:pPr>
    <w:r>
      <w:rPr>
        <w:rFonts w:hint="eastAsia" w:ascii="仿宋" w:hAnsi="仿宋" w:eastAsia="仿宋" w:cs="仿宋"/>
      </w:rPr>
      <w:t xml:space="preserve">QZGX </w:t>
    </w:r>
    <w:r>
      <w:rPr>
        <w:rFonts w:hint="eastAsia" w:ascii="仿宋" w:hAnsi="仿宋" w:eastAsia="仿宋" w:cs="仿宋"/>
        <w:sz w:val="21"/>
        <w:szCs w:val="21"/>
      </w:rPr>
      <w:t xml:space="preserve">                    </w:t>
    </w:r>
    <w:r>
      <w:rPr>
        <w:rFonts w:hint="eastAsia" w:ascii="仿宋" w:hAnsi="仿宋" w:eastAsia="仿宋" w:cs="仿宋"/>
        <w:sz w:val="21"/>
        <w:szCs w:val="21"/>
        <w:lang w:val="en-US" w:eastAsia="zh-CN"/>
      </w:rPr>
      <w:t xml:space="preserve">                 </w:t>
    </w:r>
    <w:r>
      <w:rPr>
        <w:rFonts w:hint="eastAsia" w:ascii="仿宋" w:hAnsi="仿宋" w:eastAsia="仿宋" w:cs="仿宋"/>
        <w:lang w:val="en-US" w:eastAsia="zh-CN"/>
      </w:rPr>
      <w:t xml:space="preserve">   常山县城东新区狮子口片区控规调整</w:t>
    </w:r>
    <w:r>
      <w:rPr>
        <w:rFonts w:hint="eastAsia" w:ascii="仿宋" w:hAnsi="仿宋" w:eastAsia="仿宋" w:cs="仿宋"/>
      </w:rPr>
      <w:t>竞争性磋商文件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6BF24C">
    <w:pPr>
      <w:pStyle w:val="22"/>
    </w:pPr>
    <w:r>
      <w:rPr>
        <w:rFonts w:hint="eastAsia"/>
      </w:rPr>
      <w:t xml:space="preserve">QZGX                                       </w:t>
    </w:r>
    <w:r>
      <w:rPr>
        <w:rFonts w:hint="eastAsia"/>
        <w:lang w:val="en-US" w:eastAsia="zh-CN"/>
      </w:rPr>
      <w:t xml:space="preserve">           </w:t>
    </w:r>
    <w:r>
      <w:rPr>
        <w:rFonts w:hint="eastAsia"/>
      </w:rPr>
      <w:t xml:space="preserve"> </w:t>
    </w:r>
    <w:r>
      <w:rPr>
        <w:rFonts w:hint="eastAsia" w:ascii="宋体" w:hAnsi="宋体" w:cs="宋体"/>
      </w:rPr>
      <w:t xml:space="preserve">  </w:t>
    </w:r>
    <w:r>
      <w:rPr>
        <w:rFonts w:hint="eastAsia" w:ascii="宋体" w:hAnsi="宋体" w:cs="宋体"/>
        <w:lang w:val="en-US" w:eastAsia="zh-CN"/>
      </w:rPr>
      <w:t xml:space="preserve">                                   </w:t>
    </w:r>
    <w:r>
      <w:rPr>
        <w:rFonts w:hint="eastAsia"/>
      </w:rPr>
      <w:t>竞争性磋商文件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14589F9"/>
    <w:multiLevelType w:val="singleLevel"/>
    <w:tmpl w:val="914589F9"/>
    <w:lvl w:ilvl="0" w:tentative="0">
      <w:start w:val="5"/>
      <w:numFmt w:val="chineseCounting"/>
      <w:suff w:val="space"/>
      <w:lvlText w:val="第%1章"/>
      <w:lvlJc w:val="left"/>
      <w:rPr>
        <w:rFonts w:hint="eastAsia"/>
      </w:rPr>
    </w:lvl>
  </w:abstractNum>
  <w:abstractNum w:abstractNumId="1">
    <w:nsid w:val="9230322F"/>
    <w:multiLevelType w:val="singleLevel"/>
    <w:tmpl w:val="9230322F"/>
    <w:lvl w:ilvl="0" w:tentative="0">
      <w:start w:val="1"/>
      <w:numFmt w:val="decimal"/>
      <w:suff w:val="nothing"/>
      <w:lvlText w:val="%1)"/>
      <w:lvlJc w:val="left"/>
      <w:pPr>
        <w:tabs>
          <w:tab w:val="left" w:pos="0"/>
        </w:tabs>
        <w:ind w:left="454" w:hanging="454"/>
      </w:pPr>
      <w:rPr>
        <w:rFonts w:hint="default"/>
      </w:rPr>
    </w:lvl>
  </w:abstractNum>
  <w:abstractNum w:abstractNumId="2">
    <w:nsid w:val="FFFFFF88"/>
    <w:multiLevelType w:val="singleLevel"/>
    <w:tmpl w:val="FFFFFF88"/>
    <w:lvl w:ilvl="0" w:tentative="0">
      <w:start w:val="1"/>
      <w:numFmt w:val="decimal"/>
      <w:pStyle w:val="63"/>
      <w:lvlText w:val="%1."/>
      <w:lvlJc w:val="left"/>
      <w:pPr>
        <w:tabs>
          <w:tab w:val="left" w:pos="360"/>
        </w:tabs>
        <w:ind w:left="360" w:hanging="360"/>
      </w:pPr>
      <w:rPr>
        <w:rFonts w:cs="Times New Roman"/>
      </w:rPr>
    </w:lvl>
  </w:abstractNum>
  <w:abstractNum w:abstractNumId="3">
    <w:nsid w:val="036C06B5"/>
    <w:multiLevelType w:val="multilevel"/>
    <w:tmpl w:val="036C06B5"/>
    <w:lvl w:ilvl="0" w:tentative="0">
      <w:start w:val="1"/>
      <w:numFmt w:val="bullet"/>
      <w:pStyle w:val="48"/>
      <w:lvlText w:val=""/>
      <w:lvlJc w:val="left"/>
      <w:pPr>
        <w:tabs>
          <w:tab w:val="left" w:pos="587"/>
        </w:tabs>
        <w:ind w:left="0" w:firstLine="227"/>
      </w:pPr>
      <w:rPr>
        <w:rFonts w:hint="default" w:ascii="Wingdings" w:hAnsi="Wingdings"/>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3F5162E2"/>
    <w:multiLevelType w:val="multilevel"/>
    <w:tmpl w:val="3F5162E2"/>
    <w:lvl w:ilvl="0" w:tentative="0">
      <w:start w:val="1"/>
      <w:numFmt w:val="decimal"/>
      <w:suff w:val="space"/>
      <w:lvlText w:val="第%1章"/>
      <w:lvlJc w:val="left"/>
      <w:pPr>
        <w:ind w:left="0" w:firstLine="0"/>
      </w:pPr>
      <w:rPr>
        <w:rFonts w:hint="eastAsia" w:ascii="宋体" w:eastAsia="宋体" w:cs="Times New Roman"/>
        <w:b/>
        <w:bCs w:val="0"/>
        <w:i w:val="0"/>
        <w:iCs w:val="0"/>
        <w:caps w:val="0"/>
        <w:smallCaps w:val="0"/>
        <w:strike w:val="0"/>
        <w:dstrike w:val="0"/>
        <w:vanish w:val="0"/>
        <w:color w:val="000000"/>
        <w:spacing w:val="0"/>
        <w:kern w:val="0"/>
        <w:position w:val="0"/>
        <w:sz w:val="36"/>
        <w:u w:val="none"/>
        <w:vertAlign w:val="baseline"/>
      </w:rPr>
    </w:lvl>
    <w:lvl w:ilvl="1" w:tentative="0">
      <w:start w:val="1"/>
      <w:numFmt w:val="decimal"/>
      <w:pStyle w:val="3"/>
      <w:suff w:val="space"/>
      <w:lvlText w:val="%1.%2"/>
      <w:lvlJc w:val="left"/>
      <w:pPr>
        <w:ind w:left="0" w:firstLine="0"/>
      </w:pPr>
      <w:rPr>
        <w:rFonts w:hint="eastAsia" w:ascii="宋体" w:hAnsi="Times New Roman" w:eastAsia="宋体" w:cs="Times New Roman"/>
        <w:b/>
        <w:bCs w:val="0"/>
        <w:i w:val="0"/>
        <w:iCs w:val="0"/>
        <w:caps w:val="0"/>
        <w:smallCaps w:val="0"/>
        <w:strike w:val="0"/>
        <w:dstrike w:val="0"/>
        <w:vanish w:val="0"/>
        <w:color w:val="000000"/>
        <w:spacing w:val="0"/>
        <w:kern w:val="0"/>
        <w:position w:val="0"/>
        <w:sz w:val="32"/>
        <w:u w:val="none"/>
        <w:vertAlign w:val="baseline"/>
      </w:rPr>
    </w:lvl>
    <w:lvl w:ilvl="2" w:tentative="0">
      <w:start w:val="1"/>
      <w:numFmt w:val="decimal"/>
      <w:suff w:val="space"/>
      <w:lvlText w:val="%1.%2.%3"/>
      <w:lvlJc w:val="left"/>
      <w:pPr>
        <w:ind w:left="0" w:firstLine="0"/>
      </w:pPr>
      <w:rPr>
        <w:rFonts w:hint="eastAsia" w:ascii="宋体" w:eastAsia="宋体"/>
        <w:b/>
        <w:bCs w:val="0"/>
        <w:i w:val="0"/>
        <w:iCs w:val="0"/>
        <w:caps w:val="0"/>
        <w:smallCaps w:val="0"/>
        <w:strike w:val="0"/>
        <w:dstrike w:val="0"/>
        <w:vanish w:val="0"/>
        <w:color w:val="000000"/>
        <w:spacing w:val="0"/>
        <w:position w:val="0"/>
        <w:sz w:val="30"/>
        <w:u w:val="none"/>
        <w:vertAlign w:val="baseline"/>
      </w:rPr>
    </w:lvl>
    <w:lvl w:ilvl="3" w:tentative="0">
      <w:start w:val="1"/>
      <w:numFmt w:val="decimal"/>
      <w:pStyle w:val="5"/>
      <w:suff w:val="space"/>
      <w:lvlText w:val="%1.%2.%3.%4"/>
      <w:lvlJc w:val="left"/>
      <w:pPr>
        <w:ind w:left="0" w:firstLine="0"/>
      </w:pPr>
      <w:rPr>
        <w:b w:val="0"/>
        <w:bCs w:val="0"/>
        <w:i w:val="0"/>
        <w:iCs w:val="0"/>
        <w:caps w:val="0"/>
        <w:smallCaps w:val="0"/>
        <w:strike w:val="0"/>
        <w:dstrike w:val="0"/>
        <w:vanish w:val="0"/>
        <w:color w:val="000000"/>
        <w:spacing w:val="0"/>
        <w:position w:val="0"/>
        <w:u w:val="none"/>
        <w:vertAlign w:val="baseline"/>
      </w:rPr>
    </w:lvl>
    <w:lvl w:ilvl="4" w:tentative="0">
      <w:start w:val="1"/>
      <w:numFmt w:val="decimal"/>
      <w:pStyle w:val="6"/>
      <w:suff w:val="space"/>
      <w:lvlText w:val="%1.%2.%3.%4.%5"/>
      <w:lvlJc w:val="left"/>
      <w:pPr>
        <w:ind w:left="0" w:firstLine="0"/>
      </w:pPr>
      <w:rPr>
        <w:rFonts w:hint="eastAsia" w:ascii="宋体" w:hAnsi="Times New Roman" w:eastAsia="宋体" w:cs="Times New Roman"/>
        <w:b/>
        <w:bCs w:val="0"/>
        <w:i w:val="0"/>
        <w:iCs w:val="0"/>
        <w:caps w:val="0"/>
        <w:smallCaps w:val="0"/>
        <w:strike w:val="0"/>
        <w:dstrike w:val="0"/>
        <w:vanish w:val="0"/>
        <w:color w:val="000000"/>
        <w:spacing w:val="0"/>
        <w:position w:val="0"/>
        <w:sz w:val="24"/>
        <w:u w:val="none"/>
        <w:vertAlign w:val="baseline"/>
      </w:rPr>
    </w:lvl>
    <w:lvl w:ilvl="5" w:tentative="0">
      <w:start w:val="1"/>
      <w:numFmt w:val="decimal"/>
      <w:pStyle w:val="7"/>
      <w:lvlText w:val="%1.%2.%3.%4.%5.%6."/>
      <w:lvlJc w:val="left"/>
      <w:pPr>
        <w:tabs>
          <w:tab w:val="left" w:pos="432"/>
        </w:tabs>
        <w:ind w:left="0" w:firstLine="0"/>
      </w:pPr>
      <w:rPr>
        <w:rFonts w:hint="default" w:ascii="Arial" w:hAnsi="Arial" w:eastAsia="仿宋"/>
      </w:rPr>
    </w:lvl>
    <w:lvl w:ilvl="6" w:tentative="0">
      <w:start w:val="1"/>
      <w:numFmt w:val="decimal"/>
      <w:lvlText w:val="%1.%2.%3.%4.%5.%6.%7."/>
      <w:lvlJc w:val="left"/>
      <w:pPr>
        <w:tabs>
          <w:tab w:val="left" w:pos="432"/>
        </w:tabs>
        <w:ind w:left="0" w:firstLine="0"/>
      </w:pPr>
      <w:rPr>
        <w:rFonts w:hint="default"/>
      </w:rPr>
    </w:lvl>
    <w:lvl w:ilvl="7" w:tentative="0">
      <w:start w:val="1"/>
      <w:numFmt w:val="decimal"/>
      <w:lvlText w:val="%1.%2.%3.%4.%5.%6.%7.%8."/>
      <w:lvlJc w:val="left"/>
      <w:pPr>
        <w:tabs>
          <w:tab w:val="left" w:pos="432"/>
        </w:tabs>
        <w:ind w:left="0" w:firstLine="0"/>
      </w:pPr>
      <w:rPr>
        <w:rFonts w:hint="default"/>
      </w:rPr>
    </w:lvl>
    <w:lvl w:ilvl="8" w:tentative="0">
      <w:start w:val="1"/>
      <w:numFmt w:val="decimal"/>
      <w:lvlText w:val="%1.%2.%3.%4.%5.%6.%7.%8.%9."/>
      <w:lvlJc w:val="left"/>
      <w:pPr>
        <w:tabs>
          <w:tab w:val="left" w:pos="432"/>
        </w:tabs>
        <w:ind w:left="0" w:firstLine="0"/>
      </w:pPr>
      <w:rPr>
        <w:rFonts w:hint="default"/>
      </w:rPr>
    </w:lvl>
  </w:abstractNum>
  <w:abstractNum w:abstractNumId="5">
    <w:nsid w:val="46B96B19"/>
    <w:multiLevelType w:val="singleLevel"/>
    <w:tmpl w:val="46B96B19"/>
    <w:lvl w:ilvl="0" w:tentative="0">
      <w:start w:val="1"/>
      <w:numFmt w:val="chineseCounting"/>
      <w:suff w:val="nothing"/>
      <w:lvlText w:val="（%1）"/>
      <w:lvlJc w:val="left"/>
      <w:rPr>
        <w:rFonts w:hint="eastAsia"/>
      </w:rPr>
    </w:lvl>
  </w:abstractNum>
  <w:abstractNum w:abstractNumId="6">
    <w:nsid w:val="54F403B5"/>
    <w:multiLevelType w:val="singleLevel"/>
    <w:tmpl w:val="54F403B5"/>
    <w:lvl w:ilvl="0" w:tentative="0">
      <w:start w:val="1"/>
      <w:numFmt w:val="chineseCounting"/>
      <w:suff w:val="nothing"/>
      <w:lvlText w:val="%1、"/>
      <w:lvlJc w:val="left"/>
    </w:lvl>
  </w:abstractNum>
  <w:abstractNum w:abstractNumId="7">
    <w:nsid w:val="557FD3DA"/>
    <w:multiLevelType w:val="singleLevel"/>
    <w:tmpl w:val="557FD3DA"/>
    <w:lvl w:ilvl="0" w:tentative="0">
      <w:start w:val="3"/>
      <w:numFmt w:val="chineseCounting"/>
      <w:suff w:val="nothing"/>
      <w:lvlText w:val="%1、"/>
      <w:lvlJc w:val="left"/>
    </w:lvl>
  </w:abstractNum>
  <w:abstractNum w:abstractNumId="8">
    <w:nsid w:val="7F6053CB"/>
    <w:multiLevelType w:val="multilevel"/>
    <w:tmpl w:val="7F6053CB"/>
    <w:lvl w:ilvl="0" w:tentative="0">
      <w:start w:val="1"/>
      <w:numFmt w:val="decimal"/>
      <w:lvlText w:val="第 %1 条"/>
      <w:lvlJc w:val="center"/>
      <w:pPr>
        <w:tabs>
          <w:tab w:val="left" w:pos="3420"/>
        </w:tabs>
        <w:ind w:left="2581" w:firstLine="119"/>
      </w:pPr>
      <w:rPr>
        <w:rFonts w:hint="default" w:ascii="Times New Roman" w:hAnsi="Times New Roman" w:eastAsia="宋体" w:cs="Times New Roman"/>
        <w:b/>
        <w:i w:val="0"/>
        <w:sz w:val="30"/>
      </w:rPr>
    </w:lvl>
    <w:lvl w:ilvl="1" w:tentative="0">
      <w:start w:val="1"/>
      <w:numFmt w:val="decimal"/>
      <w:lvlText w:val="%1.%2"/>
      <w:lvlJc w:val="left"/>
      <w:pPr>
        <w:tabs>
          <w:tab w:val="left" w:pos="624"/>
        </w:tabs>
        <w:ind w:left="624" w:hanging="624"/>
      </w:pPr>
      <w:rPr>
        <w:rFonts w:hint="default" w:ascii="Times New Roman" w:hAnsi="Times New Roman" w:eastAsia="宋体" w:cs="Times New Roman"/>
        <w:b/>
        <w:i w:val="0"/>
        <w:sz w:val="28"/>
        <w:szCs w:val="28"/>
      </w:rPr>
    </w:lvl>
    <w:lvl w:ilvl="2" w:tentative="0">
      <w:start w:val="1"/>
      <w:numFmt w:val="decimal"/>
      <w:pStyle w:val="4"/>
      <w:suff w:val="space"/>
      <w:lvlText w:val="%1.%2.%3"/>
      <w:lvlJc w:val="left"/>
      <w:rPr>
        <w:rFonts w:hint="default" w:ascii="Times New Roman" w:hAnsi="Times New Roman" w:eastAsia="宋体" w:cs="Times New Roman"/>
        <w:b w:val="0"/>
        <w:i w:val="0"/>
        <w:sz w:val="24"/>
        <w:szCs w:val="24"/>
      </w:rPr>
    </w:lvl>
    <w:lvl w:ilvl="3" w:tentative="0">
      <w:start w:val="1"/>
      <w:numFmt w:val="lowerLetter"/>
      <w:lvlText w:val="（%4）"/>
      <w:lvlJc w:val="left"/>
      <w:pPr>
        <w:tabs>
          <w:tab w:val="left" w:pos="1006"/>
        </w:tabs>
        <w:ind w:left="1006" w:hanging="864"/>
      </w:pPr>
      <w:rPr>
        <w:rFonts w:hint="eastAsia" w:cs="Times New Roman"/>
      </w:rPr>
    </w:lvl>
    <w:lvl w:ilvl="4" w:tentative="0">
      <w:start w:val="1"/>
      <w:numFmt w:val="lowerRoman"/>
      <w:lvlText w:val="（%5）"/>
      <w:lvlJc w:val="left"/>
      <w:pPr>
        <w:tabs>
          <w:tab w:val="left" w:pos="720"/>
        </w:tabs>
        <w:ind w:left="720" w:hanging="1008"/>
      </w:pPr>
      <w:rPr>
        <w:rFonts w:hint="eastAsia" w:cs="Times New Roman"/>
        <w:color w:val="auto"/>
      </w:rPr>
    </w:lvl>
    <w:lvl w:ilvl="5" w:tentative="0">
      <w:start w:val="1"/>
      <w:numFmt w:val="decimal"/>
      <w:lvlText w:val="%1.%2.%3.%4.%5.%6"/>
      <w:lvlJc w:val="left"/>
      <w:pPr>
        <w:tabs>
          <w:tab w:val="left" w:pos="864"/>
        </w:tabs>
        <w:ind w:left="864" w:hanging="1152"/>
      </w:pPr>
      <w:rPr>
        <w:rFonts w:hint="eastAsia" w:cs="Times New Roman"/>
      </w:rPr>
    </w:lvl>
    <w:lvl w:ilvl="6" w:tentative="0">
      <w:start w:val="1"/>
      <w:numFmt w:val="decimal"/>
      <w:lvlText w:val="%1.%2.%3.%4.%5.%6.%7"/>
      <w:lvlJc w:val="left"/>
      <w:pPr>
        <w:tabs>
          <w:tab w:val="left" w:pos="1008"/>
        </w:tabs>
        <w:ind w:left="1008" w:hanging="1296"/>
      </w:pPr>
      <w:rPr>
        <w:rFonts w:hint="eastAsia" w:cs="Times New Roman"/>
      </w:rPr>
    </w:lvl>
    <w:lvl w:ilvl="7" w:tentative="0">
      <w:start w:val="1"/>
      <w:numFmt w:val="decimal"/>
      <w:lvlText w:val="%1.%2.%3.%4.%5.%6.%7.%8"/>
      <w:lvlJc w:val="left"/>
      <w:pPr>
        <w:tabs>
          <w:tab w:val="left" w:pos="1152"/>
        </w:tabs>
        <w:ind w:left="1152" w:hanging="1440"/>
      </w:pPr>
      <w:rPr>
        <w:rFonts w:hint="eastAsia" w:cs="Times New Roman"/>
      </w:rPr>
    </w:lvl>
    <w:lvl w:ilvl="8" w:tentative="0">
      <w:start w:val="1"/>
      <w:numFmt w:val="decimal"/>
      <w:lvlText w:val="%1.%2.%3.%4.%5.%6.%7.%8.%9"/>
      <w:lvlJc w:val="left"/>
      <w:pPr>
        <w:tabs>
          <w:tab w:val="left" w:pos="1296"/>
        </w:tabs>
        <w:ind w:left="1296" w:hanging="1584"/>
      </w:pPr>
      <w:rPr>
        <w:rFonts w:hint="eastAsia" w:cs="Times New Roman"/>
      </w:rPr>
    </w:lvl>
  </w:abstractNum>
  <w:num w:numId="1">
    <w:abstractNumId w:val="4"/>
  </w:num>
  <w:num w:numId="2">
    <w:abstractNumId w:val="8"/>
  </w:num>
  <w:num w:numId="3">
    <w:abstractNumId w:val="3"/>
  </w:num>
  <w:num w:numId="4">
    <w:abstractNumId w:val="2"/>
  </w:num>
  <w:num w:numId="5">
    <w:abstractNumId w:val="1"/>
  </w:num>
  <w:num w:numId="6">
    <w:abstractNumId w:val="5"/>
  </w:num>
  <w:num w:numId="7">
    <w:abstractNumId w:val="0"/>
  </w:num>
  <w:num w:numId="8">
    <w:abstractNumId w:val="6"/>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9"/>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WFmZDgwYTAwMmNkZTk1MDdkOTg1Y2RjZjRhZGU3ZTcifQ=="/>
  </w:docVars>
  <w:rsids>
    <w:rsidRoot w:val="353B09A0"/>
    <w:rsid w:val="00010167"/>
    <w:rsid w:val="00050887"/>
    <w:rsid w:val="000C0881"/>
    <w:rsid w:val="000D5711"/>
    <w:rsid w:val="00133793"/>
    <w:rsid w:val="001E44E9"/>
    <w:rsid w:val="001F0A21"/>
    <w:rsid w:val="002012CF"/>
    <w:rsid w:val="00220AEB"/>
    <w:rsid w:val="002F659C"/>
    <w:rsid w:val="00311BBD"/>
    <w:rsid w:val="00387A77"/>
    <w:rsid w:val="003D3AFA"/>
    <w:rsid w:val="003D7267"/>
    <w:rsid w:val="003F3B8C"/>
    <w:rsid w:val="00410745"/>
    <w:rsid w:val="00476E27"/>
    <w:rsid w:val="004953CD"/>
    <w:rsid w:val="004F7371"/>
    <w:rsid w:val="0050752C"/>
    <w:rsid w:val="005266E5"/>
    <w:rsid w:val="0053423F"/>
    <w:rsid w:val="0054401D"/>
    <w:rsid w:val="00566BDF"/>
    <w:rsid w:val="00580FE9"/>
    <w:rsid w:val="005A21F2"/>
    <w:rsid w:val="005C0C86"/>
    <w:rsid w:val="00611502"/>
    <w:rsid w:val="006554C5"/>
    <w:rsid w:val="006925B7"/>
    <w:rsid w:val="006D0562"/>
    <w:rsid w:val="006E1F52"/>
    <w:rsid w:val="007D3335"/>
    <w:rsid w:val="007F440E"/>
    <w:rsid w:val="00834467"/>
    <w:rsid w:val="008418E2"/>
    <w:rsid w:val="00853DF2"/>
    <w:rsid w:val="00877AE3"/>
    <w:rsid w:val="0088246D"/>
    <w:rsid w:val="0096056A"/>
    <w:rsid w:val="009A580A"/>
    <w:rsid w:val="009C6EFF"/>
    <w:rsid w:val="009E7CE8"/>
    <w:rsid w:val="00A27A5E"/>
    <w:rsid w:val="00AC3364"/>
    <w:rsid w:val="00AF358D"/>
    <w:rsid w:val="00B27DE6"/>
    <w:rsid w:val="00BC3906"/>
    <w:rsid w:val="00C1486D"/>
    <w:rsid w:val="00C86FB1"/>
    <w:rsid w:val="00CD1554"/>
    <w:rsid w:val="00CD299C"/>
    <w:rsid w:val="00CE027E"/>
    <w:rsid w:val="00CF26B5"/>
    <w:rsid w:val="00D47403"/>
    <w:rsid w:val="00D6253C"/>
    <w:rsid w:val="00DE6E56"/>
    <w:rsid w:val="00E54E75"/>
    <w:rsid w:val="00E96B4D"/>
    <w:rsid w:val="00EC4A63"/>
    <w:rsid w:val="00ED00F4"/>
    <w:rsid w:val="00EF4B06"/>
    <w:rsid w:val="00EF5AA6"/>
    <w:rsid w:val="00F03396"/>
    <w:rsid w:val="00F04226"/>
    <w:rsid w:val="00F61C8B"/>
    <w:rsid w:val="00F671F2"/>
    <w:rsid w:val="00F74A57"/>
    <w:rsid w:val="00F811DC"/>
    <w:rsid w:val="00FD1419"/>
    <w:rsid w:val="0114328C"/>
    <w:rsid w:val="012F43BC"/>
    <w:rsid w:val="01490498"/>
    <w:rsid w:val="014F6641"/>
    <w:rsid w:val="01505F15"/>
    <w:rsid w:val="01A26EDA"/>
    <w:rsid w:val="01AF1AAE"/>
    <w:rsid w:val="01FA65AD"/>
    <w:rsid w:val="023201E5"/>
    <w:rsid w:val="0250246E"/>
    <w:rsid w:val="026A1835"/>
    <w:rsid w:val="02A50652"/>
    <w:rsid w:val="02B363B8"/>
    <w:rsid w:val="02BA7CB2"/>
    <w:rsid w:val="035618EA"/>
    <w:rsid w:val="03922815"/>
    <w:rsid w:val="039743BD"/>
    <w:rsid w:val="03B170D7"/>
    <w:rsid w:val="03BF38F8"/>
    <w:rsid w:val="03DE5C51"/>
    <w:rsid w:val="045E782D"/>
    <w:rsid w:val="04732647"/>
    <w:rsid w:val="048246C2"/>
    <w:rsid w:val="04841266"/>
    <w:rsid w:val="0499408B"/>
    <w:rsid w:val="04D64A5B"/>
    <w:rsid w:val="04DB088C"/>
    <w:rsid w:val="05096B07"/>
    <w:rsid w:val="05191440"/>
    <w:rsid w:val="054962B1"/>
    <w:rsid w:val="054A3CDD"/>
    <w:rsid w:val="057D058F"/>
    <w:rsid w:val="059E1B13"/>
    <w:rsid w:val="05B747B5"/>
    <w:rsid w:val="05CB7098"/>
    <w:rsid w:val="05F23A3F"/>
    <w:rsid w:val="061C371F"/>
    <w:rsid w:val="063A78C0"/>
    <w:rsid w:val="06581A11"/>
    <w:rsid w:val="066C4AE8"/>
    <w:rsid w:val="06C453DB"/>
    <w:rsid w:val="06D7299F"/>
    <w:rsid w:val="06DA075B"/>
    <w:rsid w:val="06DF3856"/>
    <w:rsid w:val="070153CD"/>
    <w:rsid w:val="070F3358"/>
    <w:rsid w:val="07302512"/>
    <w:rsid w:val="074E2F45"/>
    <w:rsid w:val="07621A0E"/>
    <w:rsid w:val="076808DF"/>
    <w:rsid w:val="076B5857"/>
    <w:rsid w:val="078A79B8"/>
    <w:rsid w:val="0793589F"/>
    <w:rsid w:val="07972AF0"/>
    <w:rsid w:val="07AC659B"/>
    <w:rsid w:val="07AF2977"/>
    <w:rsid w:val="07C37441"/>
    <w:rsid w:val="07D93108"/>
    <w:rsid w:val="07E60E61"/>
    <w:rsid w:val="07E86EA8"/>
    <w:rsid w:val="08283748"/>
    <w:rsid w:val="08421E0D"/>
    <w:rsid w:val="08610AB4"/>
    <w:rsid w:val="08A45B27"/>
    <w:rsid w:val="08BA70A7"/>
    <w:rsid w:val="08BE6635"/>
    <w:rsid w:val="08CC1F74"/>
    <w:rsid w:val="08F31FA8"/>
    <w:rsid w:val="08F330C9"/>
    <w:rsid w:val="091A2635"/>
    <w:rsid w:val="092A65E7"/>
    <w:rsid w:val="092C3D9C"/>
    <w:rsid w:val="09664528"/>
    <w:rsid w:val="0971652A"/>
    <w:rsid w:val="09B21497"/>
    <w:rsid w:val="09CD0D4C"/>
    <w:rsid w:val="0A3F35A4"/>
    <w:rsid w:val="0A79472F"/>
    <w:rsid w:val="0AB1779B"/>
    <w:rsid w:val="0AB37C41"/>
    <w:rsid w:val="0B024724"/>
    <w:rsid w:val="0B0B140F"/>
    <w:rsid w:val="0B0B42CE"/>
    <w:rsid w:val="0B0B7898"/>
    <w:rsid w:val="0B1A167B"/>
    <w:rsid w:val="0B2A1463"/>
    <w:rsid w:val="0B396957"/>
    <w:rsid w:val="0B3B41AE"/>
    <w:rsid w:val="0B4B14E2"/>
    <w:rsid w:val="0B5036E2"/>
    <w:rsid w:val="0B570DC0"/>
    <w:rsid w:val="0B5E610E"/>
    <w:rsid w:val="0B756CA4"/>
    <w:rsid w:val="0B835452"/>
    <w:rsid w:val="0B9B41DC"/>
    <w:rsid w:val="0C1F2D9D"/>
    <w:rsid w:val="0C25691C"/>
    <w:rsid w:val="0C2648CE"/>
    <w:rsid w:val="0C2A7A8F"/>
    <w:rsid w:val="0C6B50AF"/>
    <w:rsid w:val="0CC06F89"/>
    <w:rsid w:val="0CCF22A8"/>
    <w:rsid w:val="0CEB422F"/>
    <w:rsid w:val="0D0E115E"/>
    <w:rsid w:val="0D392F32"/>
    <w:rsid w:val="0D907DC5"/>
    <w:rsid w:val="0DBF0046"/>
    <w:rsid w:val="0DCB329C"/>
    <w:rsid w:val="0DDD6BA5"/>
    <w:rsid w:val="0DF53397"/>
    <w:rsid w:val="0DF5347F"/>
    <w:rsid w:val="0DF74082"/>
    <w:rsid w:val="0E4479A7"/>
    <w:rsid w:val="0E5C7254"/>
    <w:rsid w:val="0EFD76DC"/>
    <w:rsid w:val="0F330759"/>
    <w:rsid w:val="0F3F5F47"/>
    <w:rsid w:val="0F4A44C1"/>
    <w:rsid w:val="0F576A5B"/>
    <w:rsid w:val="0FA37038"/>
    <w:rsid w:val="0FC14530"/>
    <w:rsid w:val="107D60E2"/>
    <w:rsid w:val="108A0770"/>
    <w:rsid w:val="10934FF1"/>
    <w:rsid w:val="10BA2DC3"/>
    <w:rsid w:val="10E5358A"/>
    <w:rsid w:val="10F62635"/>
    <w:rsid w:val="110B3FD2"/>
    <w:rsid w:val="112278CE"/>
    <w:rsid w:val="113E1C9A"/>
    <w:rsid w:val="11621A79"/>
    <w:rsid w:val="11724C1B"/>
    <w:rsid w:val="11A307CE"/>
    <w:rsid w:val="11A46535"/>
    <w:rsid w:val="11EB1677"/>
    <w:rsid w:val="120126AA"/>
    <w:rsid w:val="121527B8"/>
    <w:rsid w:val="12240651"/>
    <w:rsid w:val="122E55B0"/>
    <w:rsid w:val="12307DC9"/>
    <w:rsid w:val="123B27D1"/>
    <w:rsid w:val="12647A72"/>
    <w:rsid w:val="1265128C"/>
    <w:rsid w:val="12724F5E"/>
    <w:rsid w:val="127822B5"/>
    <w:rsid w:val="127C0BA7"/>
    <w:rsid w:val="12855389"/>
    <w:rsid w:val="12872415"/>
    <w:rsid w:val="128C7CD3"/>
    <w:rsid w:val="12E65181"/>
    <w:rsid w:val="130F1D20"/>
    <w:rsid w:val="13287D15"/>
    <w:rsid w:val="13440895"/>
    <w:rsid w:val="13477CA5"/>
    <w:rsid w:val="13482EF0"/>
    <w:rsid w:val="13B255D1"/>
    <w:rsid w:val="13C05C47"/>
    <w:rsid w:val="13DA6F8D"/>
    <w:rsid w:val="13F84916"/>
    <w:rsid w:val="14151024"/>
    <w:rsid w:val="1497412F"/>
    <w:rsid w:val="14C86499"/>
    <w:rsid w:val="14FE4E43"/>
    <w:rsid w:val="150948F0"/>
    <w:rsid w:val="15623A24"/>
    <w:rsid w:val="15BA49A3"/>
    <w:rsid w:val="15D3598F"/>
    <w:rsid w:val="15F26797"/>
    <w:rsid w:val="15F65792"/>
    <w:rsid w:val="16172D09"/>
    <w:rsid w:val="168A0ABC"/>
    <w:rsid w:val="16981347"/>
    <w:rsid w:val="16AF74D3"/>
    <w:rsid w:val="16BB5D7D"/>
    <w:rsid w:val="16E20B3E"/>
    <w:rsid w:val="16F2389F"/>
    <w:rsid w:val="170C6713"/>
    <w:rsid w:val="172A4DE7"/>
    <w:rsid w:val="17485BB5"/>
    <w:rsid w:val="176C18A3"/>
    <w:rsid w:val="176C3651"/>
    <w:rsid w:val="17740758"/>
    <w:rsid w:val="177C13BA"/>
    <w:rsid w:val="17886B7F"/>
    <w:rsid w:val="178D2675"/>
    <w:rsid w:val="17C931E2"/>
    <w:rsid w:val="17D901FF"/>
    <w:rsid w:val="17FA5F05"/>
    <w:rsid w:val="17FD46B6"/>
    <w:rsid w:val="181D494B"/>
    <w:rsid w:val="181D7068"/>
    <w:rsid w:val="18383533"/>
    <w:rsid w:val="186033AF"/>
    <w:rsid w:val="18742154"/>
    <w:rsid w:val="187E7CAF"/>
    <w:rsid w:val="189B3AC2"/>
    <w:rsid w:val="18AB5D40"/>
    <w:rsid w:val="18CE45EB"/>
    <w:rsid w:val="18DA283C"/>
    <w:rsid w:val="191331C3"/>
    <w:rsid w:val="1923590D"/>
    <w:rsid w:val="1926721A"/>
    <w:rsid w:val="192A5572"/>
    <w:rsid w:val="194D74B2"/>
    <w:rsid w:val="198804EA"/>
    <w:rsid w:val="199C7AF2"/>
    <w:rsid w:val="19A55048"/>
    <w:rsid w:val="19AE61A3"/>
    <w:rsid w:val="19B17F5E"/>
    <w:rsid w:val="19C91205"/>
    <w:rsid w:val="19DC6B1F"/>
    <w:rsid w:val="1A030941"/>
    <w:rsid w:val="1A051B3B"/>
    <w:rsid w:val="1A3537A8"/>
    <w:rsid w:val="1A475995"/>
    <w:rsid w:val="1A5C1A78"/>
    <w:rsid w:val="1A603624"/>
    <w:rsid w:val="1A9219FB"/>
    <w:rsid w:val="1AAE21D3"/>
    <w:rsid w:val="1AC403AE"/>
    <w:rsid w:val="1B001A6A"/>
    <w:rsid w:val="1B28788F"/>
    <w:rsid w:val="1B6417B0"/>
    <w:rsid w:val="1B6672B1"/>
    <w:rsid w:val="1B8B42C2"/>
    <w:rsid w:val="1B903686"/>
    <w:rsid w:val="1BB25AEF"/>
    <w:rsid w:val="1BD2433E"/>
    <w:rsid w:val="1BD25B21"/>
    <w:rsid w:val="1BD4616D"/>
    <w:rsid w:val="1BFB0E3A"/>
    <w:rsid w:val="1C1E0C92"/>
    <w:rsid w:val="1C4E37D5"/>
    <w:rsid w:val="1C6F209D"/>
    <w:rsid w:val="1C8E7BC6"/>
    <w:rsid w:val="1C940F54"/>
    <w:rsid w:val="1CCE6D50"/>
    <w:rsid w:val="1CD221A8"/>
    <w:rsid w:val="1CD42DAD"/>
    <w:rsid w:val="1D02315B"/>
    <w:rsid w:val="1D0F41FB"/>
    <w:rsid w:val="1D1642DD"/>
    <w:rsid w:val="1D263DB2"/>
    <w:rsid w:val="1D75697D"/>
    <w:rsid w:val="1D9527F4"/>
    <w:rsid w:val="1DAC3EB1"/>
    <w:rsid w:val="1DB25B36"/>
    <w:rsid w:val="1DB71E03"/>
    <w:rsid w:val="1DF01E1B"/>
    <w:rsid w:val="1E067C30"/>
    <w:rsid w:val="1E283168"/>
    <w:rsid w:val="1E5703E7"/>
    <w:rsid w:val="1E5A48B2"/>
    <w:rsid w:val="1EA02471"/>
    <w:rsid w:val="1ECE093E"/>
    <w:rsid w:val="1F06438B"/>
    <w:rsid w:val="1F207806"/>
    <w:rsid w:val="1F2E38E2"/>
    <w:rsid w:val="1F6D3C1E"/>
    <w:rsid w:val="1F6D7E0F"/>
    <w:rsid w:val="1F8239EA"/>
    <w:rsid w:val="1F88670B"/>
    <w:rsid w:val="1FA34B10"/>
    <w:rsid w:val="1FAA0D66"/>
    <w:rsid w:val="1FAB57C7"/>
    <w:rsid w:val="1FC658C9"/>
    <w:rsid w:val="1FEA15B7"/>
    <w:rsid w:val="200C7D9A"/>
    <w:rsid w:val="20954E1B"/>
    <w:rsid w:val="209D0D1F"/>
    <w:rsid w:val="20B0193D"/>
    <w:rsid w:val="20CB3C24"/>
    <w:rsid w:val="20EC75B1"/>
    <w:rsid w:val="20F63892"/>
    <w:rsid w:val="20FB2DBF"/>
    <w:rsid w:val="210C5BD6"/>
    <w:rsid w:val="212136FE"/>
    <w:rsid w:val="2129610F"/>
    <w:rsid w:val="212A5F25"/>
    <w:rsid w:val="213F21C9"/>
    <w:rsid w:val="215556D8"/>
    <w:rsid w:val="217D0754"/>
    <w:rsid w:val="21823A71"/>
    <w:rsid w:val="21F04294"/>
    <w:rsid w:val="22126005"/>
    <w:rsid w:val="22573BE0"/>
    <w:rsid w:val="22751EDA"/>
    <w:rsid w:val="22AC723B"/>
    <w:rsid w:val="22C024C9"/>
    <w:rsid w:val="22C024D6"/>
    <w:rsid w:val="22DD5403"/>
    <w:rsid w:val="22FE7A36"/>
    <w:rsid w:val="23151041"/>
    <w:rsid w:val="23180FA5"/>
    <w:rsid w:val="233D2346"/>
    <w:rsid w:val="23580EC4"/>
    <w:rsid w:val="23696198"/>
    <w:rsid w:val="236A7696"/>
    <w:rsid w:val="23765646"/>
    <w:rsid w:val="237D6BE6"/>
    <w:rsid w:val="23841267"/>
    <w:rsid w:val="23E86965"/>
    <w:rsid w:val="23EB446D"/>
    <w:rsid w:val="23ED6CA5"/>
    <w:rsid w:val="24015121"/>
    <w:rsid w:val="24194909"/>
    <w:rsid w:val="24253506"/>
    <w:rsid w:val="242916BD"/>
    <w:rsid w:val="24337DD9"/>
    <w:rsid w:val="24B16B47"/>
    <w:rsid w:val="24B44889"/>
    <w:rsid w:val="24B722DA"/>
    <w:rsid w:val="24D447A2"/>
    <w:rsid w:val="24F66F84"/>
    <w:rsid w:val="25037129"/>
    <w:rsid w:val="2510424A"/>
    <w:rsid w:val="25122F37"/>
    <w:rsid w:val="25184E18"/>
    <w:rsid w:val="253C60EE"/>
    <w:rsid w:val="25850719"/>
    <w:rsid w:val="25852A52"/>
    <w:rsid w:val="25917B1A"/>
    <w:rsid w:val="259D3570"/>
    <w:rsid w:val="25C11E0D"/>
    <w:rsid w:val="260E3F52"/>
    <w:rsid w:val="26131910"/>
    <w:rsid w:val="2634698C"/>
    <w:rsid w:val="265B023F"/>
    <w:rsid w:val="266B71CA"/>
    <w:rsid w:val="2670658E"/>
    <w:rsid w:val="267539C7"/>
    <w:rsid w:val="26A96D22"/>
    <w:rsid w:val="26C2749D"/>
    <w:rsid w:val="26EE5B38"/>
    <w:rsid w:val="27520EF9"/>
    <w:rsid w:val="275B0FEC"/>
    <w:rsid w:val="27867423"/>
    <w:rsid w:val="27BD3A55"/>
    <w:rsid w:val="27DA0525"/>
    <w:rsid w:val="27F154AD"/>
    <w:rsid w:val="27F714D0"/>
    <w:rsid w:val="27FA5B95"/>
    <w:rsid w:val="27FE6547"/>
    <w:rsid w:val="28022433"/>
    <w:rsid w:val="28116952"/>
    <w:rsid w:val="282969C9"/>
    <w:rsid w:val="282F096B"/>
    <w:rsid w:val="28350DE4"/>
    <w:rsid w:val="283A32F8"/>
    <w:rsid w:val="28B45169"/>
    <w:rsid w:val="28BB57EB"/>
    <w:rsid w:val="28D32B90"/>
    <w:rsid w:val="28E53F53"/>
    <w:rsid w:val="28F11C08"/>
    <w:rsid w:val="290A7832"/>
    <w:rsid w:val="292B19EC"/>
    <w:rsid w:val="293B74DB"/>
    <w:rsid w:val="294A30C6"/>
    <w:rsid w:val="295312BC"/>
    <w:rsid w:val="29670312"/>
    <w:rsid w:val="2967428C"/>
    <w:rsid w:val="2971553E"/>
    <w:rsid w:val="29A21154"/>
    <w:rsid w:val="29B62B95"/>
    <w:rsid w:val="29B923EA"/>
    <w:rsid w:val="29D84B76"/>
    <w:rsid w:val="2A3679BC"/>
    <w:rsid w:val="2A377AEF"/>
    <w:rsid w:val="2A4915D0"/>
    <w:rsid w:val="2AD7734B"/>
    <w:rsid w:val="2ADF1D9D"/>
    <w:rsid w:val="2B0A581E"/>
    <w:rsid w:val="2B0B1D57"/>
    <w:rsid w:val="2B1362D1"/>
    <w:rsid w:val="2B177DCE"/>
    <w:rsid w:val="2B2949B8"/>
    <w:rsid w:val="2B54647E"/>
    <w:rsid w:val="2B5920B8"/>
    <w:rsid w:val="2BCC1090"/>
    <w:rsid w:val="2BE05F64"/>
    <w:rsid w:val="2BF738BD"/>
    <w:rsid w:val="2C6D5A4A"/>
    <w:rsid w:val="2CAB2A95"/>
    <w:rsid w:val="2CB4503B"/>
    <w:rsid w:val="2CDA1D47"/>
    <w:rsid w:val="2D067C4C"/>
    <w:rsid w:val="2D4C3CE0"/>
    <w:rsid w:val="2D5770D8"/>
    <w:rsid w:val="2D5B1D46"/>
    <w:rsid w:val="2D732E94"/>
    <w:rsid w:val="2D8E211C"/>
    <w:rsid w:val="2D932376"/>
    <w:rsid w:val="2DAC25A2"/>
    <w:rsid w:val="2DB65B61"/>
    <w:rsid w:val="2DC36176"/>
    <w:rsid w:val="2E440C43"/>
    <w:rsid w:val="2E7A5E37"/>
    <w:rsid w:val="2E884DBD"/>
    <w:rsid w:val="2EBA3D78"/>
    <w:rsid w:val="2EC14403"/>
    <w:rsid w:val="2F083808"/>
    <w:rsid w:val="2F09694B"/>
    <w:rsid w:val="2F10271C"/>
    <w:rsid w:val="2F402024"/>
    <w:rsid w:val="2F61609B"/>
    <w:rsid w:val="2F923A19"/>
    <w:rsid w:val="2FBC6C5A"/>
    <w:rsid w:val="2FDE5C20"/>
    <w:rsid w:val="2FE13590"/>
    <w:rsid w:val="2FED6D35"/>
    <w:rsid w:val="3005243D"/>
    <w:rsid w:val="301A4137"/>
    <w:rsid w:val="30347D23"/>
    <w:rsid w:val="304271ED"/>
    <w:rsid w:val="3078676B"/>
    <w:rsid w:val="30EB1E14"/>
    <w:rsid w:val="311A1F18"/>
    <w:rsid w:val="314123B6"/>
    <w:rsid w:val="314A4F02"/>
    <w:rsid w:val="3160085A"/>
    <w:rsid w:val="316B1D43"/>
    <w:rsid w:val="317A53A8"/>
    <w:rsid w:val="31A31F0E"/>
    <w:rsid w:val="31B97B44"/>
    <w:rsid w:val="31CF1BE6"/>
    <w:rsid w:val="31EF6F01"/>
    <w:rsid w:val="324C48A1"/>
    <w:rsid w:val="325C0BDA"/>
    <w:rsid w:val="326A5F0A"/>
    <w:rsid w:val="326D08D9"/>
    <w:rsid w:val="3275333C"/>
    <w:rsid w:val="32A970B0"/>
    <w:rsid w:val="32D0254E"/>
    <w:rsid w:val="32F77971"/>
    <w:rsid w:val="330A79F2"/>
    <w:rsid w:val="3321758E"/>
    <w:rsid w:val="33232386"/>
    <w:rsid w:val="33297D43"/>
    <w:rsid w:val="3341251D"/>
    <w:rsid w:val="33615BDC"/>
    <w:rsid w:val="336D3397"/>
    <w:rsid w:val="33700CD4"/>
    <w:rsid w:val="33906460"/>
    <w:rsid w:val="33956A98"/>
    <w:rsid w:val="339C3875"/>
    <w:rsid w:val="33C70135"/>
    <w:rsid w:val="33D463AE"/>
    <w:rsid w:val="33E16D1D"/>
    <w:rsid w:val="33E777C8"/>
    <w:rsid w:val="340C5B48"/>
    <w:rsid w:val="34266E92"/>
    <w:rsid w:val="34324333"/>
    <w:rsid w:val="34670FD0"/>
    <w:rsid w:val="34767465"/>
    <w:rsid w:val="34795E8C"/>
    <w:rsid w:val="347C412B"/>
    <w:rsid w:val="348F05CA"/>
    <w:rsid w:val="349D07B0"/>
    <w:rsid w:val="34AE4E51"/>
    <w:rsid w:val="34AF257B"/>
    <w:rsid w:val="35007671"/>
    <w:rsid w:val="35346CAC"/>
    <w:rsid w:val="353B09A0"/>
    <w:rsid w:val="355E3AC1"/>
    <w:rsid w:val="35612DAD"/>
    <w:rsid w:val="35696FCA"/>
    <w:rsid w:val="35830745"/>
    <w:rsid w:val="35831E3A"/>
    <w:rsid w:val="35D01034"/>
    <w:rsid w:val="35FA7F90"/>
    <w:rsid w:val="36254EC5"/>
    <w:rsid w:val="365B4B65"/>
    <w:rsid w:val="366156D0"/>
    <w:rsid w:val="36685CF0"/>
    <w:rsid w:val="36743E79"/>
    <w:rsid w:val="36806E1E"/>
    <w:rsid w:val="36873BAC"/>
    <w:rsid w:val="36C7204F"/>
    <w:rsid w:val="36D05553"/>
    <w:rsid w:val="36D57603"/>
    <w:rsid w:val="36E35707"/>
    <w:rsid w:val="371B60A2"/>
    <w:rsid w:val="372C602D"/>
    <w:rsid w:val="37781C9F"/>
    <w:rsid w:val="37830680"/>
    <w:rsid w:val="37A85C85"/>
    <w:rsid w:val="37C2268E"/>
    <w:rsid w:val="380D0AFB"/>
    <w:rsid w:val="3825367C"/>
    <w:rsid w:val="383564BA"/>
    <w:rsid w:val="383B2EA0"/>
    <w:rsid w:val="38651BCF"/>
    <w:rsid w:val="386A108F"/>
    <w:rsid w:val="38997BC6"/>
    <w:rsid w:val="38D40BFF"/>
    <w:rsid w:val="38E97246"/>
    <w:rsid w:val="39136132"/>
    <w:rsid w:val="395D31FD"/>
    <w:rsid w:val="396B1830"/>
    <w:rsid w:val="39900FC9"/>
    <w:rsid w:val="39BA7022"/>
    <w:rsid w:val="39F77BE4"/>
    <w:rsid w:val="39F80C9A"/>
    <w:rsid w:val="3A176885"/>
    <w:rsid w:val="3A357E2D"/>
    <w:rsid w:val="3A425A62"/>
    <w:rsid w:val="3A555D6F"/>
    <w:rsid w:val="3A6A32F3"/>
    <w:rsid w:val="3A6C4C7F"/>
    <w:rsid w:val="3A7727CD"/>
    <w:rsid w:val="3A9E7EA3"/>
    <w:rsid w:val="3AA7737B"/>
    <w:rsid w:val="3AB26D1E"/>
    <w:rsid w:val="3AB331C1"/>
    <w:rsid w:val="3AD9449B"/>
    <w:rsid w:val="3AE01ADD"/>
    <w:rsid w:val="3B654373"/>
    <w:rsid w:val="3B6B7376"/>
    <w:rsid w:val="3B7721FE"/>
    <w:rsid w:val="3B7D3B4D"/>
    <w:rsid w:val="3B99363B"/>
    <w:rsid w:val="3BBA0580"/>
    <w:rsid w:val="3BF33A92"/>
    <w:rsid w:val="3BF51E1C"/>
    <w:rsid w:val="3C0066DF"/>
    <w:rsid w:val="3C061B78"/>
    <w:rsid w:val="3C0D4B53"/>
    <w:rsid w:val="3C194C77"/>
    <w:rsid w:val="3C1E0B0E"/>
    <w:rsid w:val="3C357E96"/>
    <w:rsid w:val="3C60135A"/>
    <w:rsid w:val="3C70098A"/>
    <w:rsid w:val="3C7A0F4B"/>
    <w:rsid w:val="3C862362"/>
    <w:rsid w:val="3CA1529C"/>
    <w:rsid w:val="3CC20A2F"/>
    <w:rsid w:val="3CC82DB1"/>
    <w:rsid w:val="3CEB2B51"/>
    <w:rsid w:val="3D3B749E"/>
    <w:rsid w:val="3D7C6A3A"/>
    <w:rsid w:val="3D8C5F4C"/>
    <w:rsid w:val="3DDA1CAE"/>
    <w:rsid w:val="3DFA2349"/>
    <w:rsid w:val="3E047CEE"/>
    <w:rsid w:val="3E294DBF"/>
    <w:rsid w:val="3E337147"/>
    <w:rsid w:val="3E6E11AD"/>
    <w:rsid w:val="3E895FE7"/>
    <w:rsid w:val="3EBB30A6"/>
    <w:rsid w:val="3EC77396"/>
    <w:rsid w:val="3ED6123E"/>
    <w:rsid w:val="3F0864A3"/>
    <w:rsid w:val="3F1B7587"/>
    <w:rsid w:val="3F3348D1"/>
    <w:rsid w:val="3F406FEE"/>
    <w:rsid w:val="3F4A1C1A"/>
    <w:rsid w:val="3F4F586A"/>
    <w:rsid w:val="3F6D7AC8"/>
    <w:rsid w:val="3F8C3FE1"/>
    <w:rsid w:val="3F9F4A2D"/>
    <w:rsid w:val="3FA45105"/>
    <w:rsid w:val="3FAD1E21"/>
    <w:rsid w:val="3FAD3F2A"/>
    <w:rsid w:val="3FBD419A"/>
    <w:rsid w:val="3FD31402"/>
    <w:rsid w:val="3FFE421B"/>
    <w:rsid w:val="40152228"/>
    <w:rsid w:val="4024246B"/>
    <w:rsid w:val="405522F8"/>
    <w:rsid w:val="405C39B3"/>
    <w:rsid w:val="40896A52"/>
    <w:rsid w:val="408F561E"/>
    <w:rsid w:val="409D0FBF"/>
    <w:rsid w:val="40C02A49"/>
    <w:rsid w:val="40F956A6"/>
    <w:rsid w:val="413D1610"/>
    <w:rsid w:val="414A7CB0"/>
    <w:rsid w:val="41666E60"/>
    <w:rsid w:val="416D012D"/>
    <w:rsid w:val="418A72CE"/>
    <w:rsid w:val="419D5840"/>
    <w:rsid w:val="41F61BE6"/>
    <w:rsid w:val="420144F6"/>
    <w:rsid w:val="424C451D"/>
    <w:rsid w:val="425C4F23"/>
    <w:rsid w:val="427C0176"/>
    <w:rsid w:val="427E2307"/>
    <w:rsid w:val="428321E8"/>
    <w:rsid w:val="429E63C6"/>
    <w:rsid w:val="42B47EAA"/>
    <w:rsid w:val="42BD5080"/>
    <w:rsid w:val="430E44A8"/>
    <w:rsid w:val="43191540"/>
    <w:rsid w:val="433B1FA6"/>
    <w:rsid w:val="43975D62"/>
    <w:rsid w:val="43A806C0"/>
    <w:rsid w:val="43B12268"/>
    <w:rsid w:val="43C17374"/>
    <w:rsid w:val="43CF26EE"/>
    <w:rsid w:val="43CF6DE7"/>
    <w:rsid w:val="43E511A3"/>
    <w:rsid w:val="43EC0FB3"/>
    <w:rsid w:val="44042918"/>
    <w:rsid w:val="44240C8C"/>
    <w:rsid w:val="44496945"/>
    <w:rsid w:val="444F05C1"/>
    <w:rsid w:val="44521FDF"/>
    <w:rsid w:val="447A1126"/>
    <w:rsid w:val="448031DF"/>
    <w:rsid w:val="449675BE"/>
    <w:rsid w:val="44982BA2"/>
    <w:rsid w:val="44F23662"/>
    <w:rsid w:val="44F57BCE"/>
    <w:rsid w:val="451203DC"/>
    <w:rsid w:val="451C58E6"/>
    <w:rsid w:val="45336CAD"/>
    <w:rsid w:val="456A0530"/>
    <w:rsid w:val="456A5961"/>
    <w:rsid w:val="45841897"/>
    <w:rsid w:val="459578A3"/>
    <w:rsid w:val="45A30F67"/>
    <w:rsid w:val="45AF27D7"/>
    <w:rsid w:val="45DA2D97"/>
    <w:rsid w:val="45E624DF"/>
    <w:rsid w:val="460D74FE"/>
    <w:rsid w:val="46347164"/>
    <w:rsid w:val="464130C1"/>
    <w:rsid w:val="464F5D68"/>
    <w:rsid w:val="46AB2F56"/>
    <w:rsid w:val="46B93068"/>
    <w:rsid w:val="46F801AE"/>
    <w:rsid w:val="47024B89"/>
    <w:rsid w:val="473B5AF9"/>
    <w:rsid w:val="4758493F"/>
    <w:rsid w:val="47AB0981"/>
    <w:rsid w:val="47BA4CFD"/>
    <w:rsid w:val="47F21E53"/>
    <w:rsid w:val="47F70466"/>
    <w:rsid w:val="482F37F3"/>
    <w:rsid w:val="484E4529"/>
    <w:rsid w:val="48570C74"/>
    <w:rsid w:val="48603B53"/>
    <w:rsid w:val="486A50DB"/>
    <w:rsid w:val="489108BA"/>
    <w:rsid w:val="48A352F2"/>
    <w:rsid w:val="48A56114"/>
    <w:rsid w:val="48A77517"/>
    <w:rsid w:val="48BC72E5"/>
    <w:rsid w:val="48C447EC"/>
    <w:rsid w:val="48C620A8"/>
    <w:rsid w:val="48F74BC1"/>
    <w:rsid w:val="48F81C9E"/>
    <w:rsid w:val="48FC4CE4"/>
    <w:rsid w:val="49082AA9"/>
    <w:rsid w:val="49236455"/>
    <w:rsid w:val="49560CAD"/>
    <w:rsid w:val="49593D2F"/>
    <w:rsid w:val="49695393"/>
    <w:rsid w:val="496D4E83"/>
    <w:rsid w:val="498E53FA"/>
    <w:rsid w:val="49A54C47"/>
    <w:rsid w:val="49AF724A"/>
    <w:rsid w:val="49B37BFD"/>
    <w:rsid w:val="49F0775D"/>
    <w:rsid w:val="4A347F90"/>
    <w:rsid w:val="4A564D3D"/>
    <w:rsid w:val="4A5A5A80"/>
    <w:rsid w:val="4A622934"/>
    <w:rsid w:val="4A74000B"/>
    <w:rsid w:val="4A9265AB"/>
    <w:rsid w:val="4AB61358"/>
    <w:rsid w:val="4AD11C6E"/>
    <w:rsid w:val="4AF13892"/>
    <w:rsid w:val="4B1C5918"/>
    <w:rsid w:val="4B2B3D1C"/>
    <w:rsid w:val="4B3475A6"/>
    <w:rsid w:val="4B452887"/>
    <w:rsid w:val="4B5160DF"/>
    <w:rsid w:val="4B63653E"/>
    <w:rsid w:val="4B667DDC"/>
    <w:rsid w:val="4B747717"/>
    <w:rsid w:val="4BB6355F"/>
    <w:rsid w:val="4BBC5403"/>
    <w:rsid w:val="4BC056F1"/>
    <w:rsid w:val="4BDA4C17"/>
    <w:rsid w:val="4BDC3BFA"/>
    <w:rsid w:val="4BDF1A98"/>
    <w:rsid w:val="4BF25F94"/>
    <w:rsid w:val="4C262242"/>
    <w:rsid w:val="4C292FB7"/>
    <w:rsid w:val="4C3063D7"/>
    <w:rsid w:val="4C410343"/>
    <w:rsid w:val="4C6068FA"/>
    <w:rsid w:val="4C7C5ED4"/>
    <w:rsid w:val="4C934C01"/>
    <w:rsid w:val="4C9B6BCF"/>
    <w:rsid w:val="4CA0731E"/>
    <w:rsid w:val="4CCB5EA5"/>
    <w:rsid w:val="4CDF6E01"/>
    <w:rsid w:val="4CE0596C"/>
    <w:rsid w:val="4D436B4E"/>
    <w:rsid w:val="4D782813"/>
    <w:rsid w:val="4D894FFF"/>
    <w:rsid w:val="4D8F21AB"/>
    <w:rsid w:val="4DA150FB"/>
    <w:rsid w:val="4E1458CD"/>
    <w:rsid w:val="4E3220B9"/>
    <w:rsid w:val="4E493012"/>
    <w:rsid w:val="4E4E31AC"/>
    <w:rsid w:val="4E534518"/>
    <w:rsid w:val="4E56283B"/>
    <w:rsid w:val="4E743E46"/>
    <w:rsid w:val="4E7B76FB"/>
    <w:rsid w:val="4E830CA5"/>
    <w:rsid w:val="4E9915B0"/>
    <w:rsid w:val="4E9A2CD0"/>
    <w:rsid w:val="4EAD187E"/>
    <w:rsid w:val="4ED80FF1"/>
    <w:rsid w:val="4ED86D93"/>
    <w:rsid w:val="4EE03A01"/>
    <w:rsid w:val="4EE43F07"/>
    <w:rsid w:val="4F2E6E63"/>
    <w:rsid w:val="4F47493D"/>
    <w:rsid w:val="4F4A32CC"/>
    <w:rsid w:val="4F4F0B87"/>
    <w:rsid w:val="4F600C2E"/>
    <w:rsid w:val="4F767BF0"/>
    <w:rsid w:val="4F980780"/>
    <w:rsid w:val="4FAF1DDA"/>
    <w:rsid w:val="502E0827"/>
    <w:rsid w:val="50324731"/>
    <w:rsid w:val="503774B9"/>
    <w:rsid w:val="50414974"/>
    <w:rsid w:val="505C7F2D"/>
    <w:rsid w:val="50641485"/>
    <w:rsid w:val="50B016FA"/>
    <w:rsid w:val="50BB4726"/>
    <w:rsid w:val="50D158C3"/>
    <w:rsid w:val="50EC4999"/>
    <w:rsid w:val="512E7A4D"/>
    <w:rsid w:val="513404CA"/>
    <w:rsid w:val="517E4793"/>
    <w:rsid w:val="519F5DF6"/>
    <w:rsid w:val="51A00668"/>
    <w:rsid w:val="51B3364F"/>
    <w:rsid w:val="51D13AD5"/>
    <w:rsid w:val="521855F1"/>
    <w:rsid w:val="521C2FA3"/>
    <w:rsid w:val="52382532"/>
    <w:rsid w:val="524C4EFE"/>
    <w:rsid w:val="52692C4E"/>
    <w:rsid w:val="527C7CEA"/>
    <w:rsid w:val="529B37EE"/>
    <w:rsid w:val="529E401E"/>
    <w:rsid w:val="52C46194"/>
    <w:rsid w:val="52E33AC0"/>
    <w:rsid w:val="533C6BFD"/>
    <w:rsid w:val="53411CCF"/>
    <w:rsid w:val="53651125"/>
    <w:rsid w:val="536D6D3B"/>
    <w:rsid w:val="53817C44"/>
    <w:rsid w:val="53B63678"/>
    <w:rsid w:val="53DD2C05"/>
    <w:rsid w:val="53EA7EAE"/>
    <w:rsid w:val="53F934C0"/>
    <w:rsid w:val="53FD32A8"/>
    <w:rsid w:val="541B7496"/>
    <w:rsid w:val="54564958"/>
    <w:rsid w:val="547B2582"/>
    <w:rsid w:val="54955FEF"/>
    <w:rsid w:val="54BE6593"/>
    <w:rsid w:val="54C47FDD"/>
    <w:rsid w:val="54D062C6"/>
    <w:rsid w:val="54E05BFB"/>
    <w:rsid w:val="552F0E9B"/>
    <w:rsid w:val="55402184"/>
    <w:rsid w:val="55492338"/>
    <w:rsid w:val="554F18E1"/>
    <w:rsid w:val="55830860"/>
    <w:rsid w:val="558E6D7E"/>
    <w:rsid w:val="55A54912"/>
    <w:rsid w:val="55D32512"/>
    <w:rsid w:val="55E64AA2"/>
    <w:rsid w:val="56355CE7"/>
    <w:rsid w:val="56452138"/>
    <w:rsid w:val="564927D4"/>
    <w:rsid w:val="5689160E"/>
    <w:rsid w:val="568A7075"/>
    <w:rsid w:val="56955C0E"/>
    <w:rsid w:val="56A42320"/>
    <w:rsid w:val="56BC618B"/>
    <w:rsid w:val="56E60023"/>
    <w:rsid w:val="56E83B25"/>
    <w:rsid w:val="5726133B"/>
    <w:rsid w:val="572C012C"/>
    <w:rsid w:val="572D7A00"/>
    <w:rsid w:val="576D6A1E"/>
    <w:rsid w:val="5806097D"/>
    <w:rsid w:val="581C3C86"/>
    <w:rsid w:val="582047FA"/>
    <w:rsid w:val="5878114F"/>
    <w:rsid w:val="587873A1"/>
    <w:rsid w:val="589D1A77"/>
    <w:rsid w:val="58B35AC8"/>
    <w:rsid w:val="58C03F2E"/>
    <w:rsid w:val="58C6010C"/>
    <w:rsid w:val="58C779E0"/>
    <w:rsid w:val="5916713A"/>
    <w:rsid w:val="59340209"/>
    <w:rsid w:val="595219A0"/>
    <w:rsid w:val="59576A84"/>
    <w:rsid w:val="596C01DD"/>
    <w:rsid w:val="597275C0"/>
    <w:rsid w:val="599A7424"/>
    <w:rsid w:val="59A11816"/>
    <w:rsid w:val="59BD32BD"/>
    <w:rsid w:val="59E76564"/>
    <w:rsid w:val="5A1334AA"/>
    <w:rsid w:val="5A274BDA"/>
    <w:rsid w:val="5A2C7950"/>
    <w:rsid w:val="5A2D00B4"/>
    <w:rsid w:val="5A355549"/>
    <w:rsid w:val="5A427C66"/>
    <w:rsid w:val="5A6D3FB0"/>
    <w:rsid w:val="5A7140A7"/>
    <w:rsid w:val="5A7B1324"/>
    <w:rsid w:val="5A90452E"/>
    <w:rsid w:val="5ACC69D3"/>
    <w:rsid w:val="5AD3594A"/>
    <w:rsid w:val="5AE058B6"/>
    <w:rsid w:val="5B013FFE"/>
    <w:rsid w:val="5B264E92"/>
    <w:rsid w:val="5B3C13B7"/>
    <w:rsid w:val="5B5774F6"/>
    <w:rsid w:val="5B712C1E"/>
    <w:rsid w:val="5B955B74"/>
    <w:rsid w:val="5BBB1A7E"/>
    <w:rsid w:val="5BC86DE0"/>
    <w:rsid w:val="5C060B77"/>
    <w:rsid w:val="5C336BC5"/>
    <w:rsid w:val="5C407EBF"/>
    <w:rsid w:val="5C757E7F"/>
    <w:rsid w:val="5C763BF7"/>
    <w:rsid w:val="5C771C2B"/>
    <w:rsid w:val="5C797D48"/>
    <w:rsid w:val="5C861640"/>
    <w:rsid w:val="5C9476E3"/>
    <w:rsid w:val="5CEC4AF6"/>
    <w:rsid w:val="5CEE1040"/>
    <w:rsid w:val="5CEE7C31"/>
    <w:rsid w:val="5D017965"/>
    <w:rsid w:val="5D036670"/>
    <w:rsid w:val="5D0F5C14"/>
    <w:rsid w:val="5D1C36CA"/>
    <w:rsid w:val="5D6808D9"/>
    <w:rsid w:val="5D8559A9"/>
    <w:rsid w:val="5DDB3802"/>
    <w:rsid w:val="5DF213F1"/>
    <w:rsid w:val="5E331DA0"/>
    <w:rsid w:val="5E945DA0"/>
    <w:rsid w:val="5E987E55"/>
    <w:rsid w:val="5EAF23C4"/>
    <w:rsid w:val="5EB933E6"/>
    <w:rsid w:val="5EBF3633"/>
    <w:rsid w:val="5EC96260"/>
    <w:rsid w:val="5EDA03DE"/>
    <w:rsid w:val="5F0609A9"/>
    <w:rsid w:val="5F2540C3"/>
    <w:rsid w:val="5F66742B"/>
    <w:rsid w:val="5F791CCC"/>
    <w:rsid w:val="5FC15189"/>
    <w:rsid w:val="5FC52ECB"/>
    <w:rsid w:val="5FD131B5"/>
    <w:rsid w:val="6035341E"/>
    <w:rsid w:val="60362E3C"/>
    <w:rsid w:val="605F3033"/>
    <w:rsid w:val="609A2DE3"/>
    <w:rsid w:val="60D3786A"/>
    <w:rsid w:val="60DE4BDB"/>
    <w:rsid w:val="60E2224F"/>
    <w:rsid w:val="60E27AAD"/>
    <w:rsid w:val="61134759"/>
    <w:rsid w:val="614405A5"/>
    <w:rsid w:val="61480611"/>
    <w:rsid w:val="61880C9C"/>
    <w:rsid w:val="61967449"/>
    <w:rsid w:val="61982D18"/>
    <w:rsid w:val="619D39D4"/>
    <w:rsid w:val="61AB2550"/>
    <w:rsid w:val="61D83398"/>
    <w:rsid w:val="62097C76"/>
    <w:rsid w:val="62214605"/>
    <w:rsid w:val="62234B37"/>
    <w:rsid w:val="625614D2"/>
    <w:rsid w:val="62601A09"/>
    <w:rsid w:val="626A7E25"/>
    <w:rsid w:val="627D3A29"/>
    <w:rsid w:val="62840A39"/>
    <w:rsid w:val="62BA5DDC"/>
    <w:rsid w:val="62CE4FB1"/>
    <w:rsid w:val="62D60F4C"/>
    <w:rsid w:val="62DF5E0C"/>
    <w:rsid w:val="62FF0C08"/>
    <w:rsid w:val="63002F69"/>
    <w:rsid w:val="6329551F"/>
    <w:rsid w:val="633C1C08"/>
    <w:rsid w:val="6343056E"/>
    <w:rsid w:val="636770E5"/>
    <w:rsid w:val="63750765"/>
    <w:rsid w:val="63A578CC"/>
    <w:rsid w:val="63B20629"/>
    <w:rsid w:val="63DD33AA"/>
    <w:rsid w:val="63F675B5"/>
    <w:rsid w:val="642A2423"/>
    <w:rsid w:val="643E149E"/>
    <w:rsid w:val="643E6BC1"/>
    <w:rsid w:val="64417DA8"/>
    <w:rsid w:val="64970BAF"/>
    <w:rsid w:val="64AB2CB8"/>
    <w:rsid w:val="650321AD"/>
    <w:rsid w:val="650C2B98"/>
    <w:rsid w:val="651144BD"/>
    <w:rsid w:val="655B1BCC"/>
    <w:rsid w:val="657555B7"/>
    <w:rsid w:val="657C582F"/>
    <w:rsid w:val="65B37F0B"/>
    <w:rsid w:val="65D87D0A"/>
    <w:rsid w:val="65E0431F"/>
    <w:rsid w:val="65F16189"/>
    <w:rsid w:val="65F22540"/>
    <w:rsid w:val="65F31E7D"/>
    <w:rsid w:val="65FA5357"/>
    <w:rsid w:val="66305655"/>
    <w:rsid w:val="66616073"/>
    <w:rsid w:val="66AD62F7"/>
    <w:rsid w:val="66C016C6"/>
    <w:rsid w:val="66EF6A80"/>
    <w:rsid w:val="67095D94"/>
    <w:rsid w:val="672C55DE"/>
    <w:rsid w:val="67317098"/>
    <w:rsid w:val="675114E9"/>
    <w:rsid w:val="675A68D3"/>
    <w:rsid w:val="676D75BE"/>
    <w:rsid w:val="678371C8"/>
    <w:rsid w:val="67C63C85"/>
    <w:rsid w:val="67E52D51"/>
    <w:rsid w:val="67EC6572"/>
    <w:rsid w:val="67F86E79"/>
    <w:rsid w:val="68254F50"/>
    <w:rsid w:val="682A4737"/>
    <w:rsid w:val="6852337A"/>
    <w:rsid w:val="68831B76"/>
    <w:rsid w:val="68A72A50"/>
    <w:rsid w:val="68D35393"/>
    <w:rsid w:val="68E36170"/>
    <w:rsid w:val="691E68CF"/>
    <w:rsid w:val="69322DA6"/>
    <w:rsid w:val="69685B5B"/>
    <w:rsid w:val="696C71F7"/>
    <w:rsid w:val="69977A9B"/>
    <w:rsid w:val="699A391B"/>
    <w:rsid w:val="69C658FC"/>
    <w:rsid w:val="69CB5582"/>
    <w:rsid w:val="69E77EE2"/>
    <w:rsid w:val="69F3799D"/>
    <w:rsid w:val="6A1F4FE5"/>
    <w:rsid w:val="6A8207A6"/>
    <w:rsid w:val="6A841BD5"/>
    <w:rsid w:val="6A963105"/>
    <w:rsid w:val="6B240DE5"/>
    <w:rsid w:val="6B4D3B92"/>
    <w:rsid w:val="6B56329B"/>
    <w:rsid w:val="6B634EB9"/>
    <w:rsid w:val="6B672451"/>
    <w:rsid w:val="6B7105BF"/>
    <w:rsid w:val="6B7B7960"/>
    <w:rsid w:val="6B7E07B9"/>
    <w:rsid w:val="6BA45610"/>
    <w:rsid w:val="6BA85E65"/>
    <w:rsid w:val="6C094140"/>
    <w:rsid w:val="6C345A2D"/>
    <w:rsid w:val="6C3E778F"/>
    <w:rsid w:val="6C427652"/>
    <w:rsid w:val="6C484E31"/>
    <w:rsid w:val="6C67544D"/>
    <w:rsid w:val="6C822881"/>
    <w:rsid w:val="6C9A5765"/>
    <w:rsid w:val="6CA51590"/>
    <w:rsid w:val="6CAE2105"/>
    <w:rsid w:val="6CAF2A23"/>
    <w:rsid w:val="6CD91ACD"/>
    <w:rsid w:val="6CE632A0"/>
    <w:rsid w:val="6CF11BC7"/>
    <w:rsid w:val="6D1C4347"/>
    <w:rsid w:val="6D203E37"/>
    <w:rsid w:val="6D372F2F"/>
    <w:rsid w:val="6D664854"/>
    <w:rsid w:val="6D777539"/>
    <w:rsid w:val="6DA46816"/>
    <w:rsid w:val="6DEE3C2C"/>
    <w:rsid w:val="6E026A1B"/>
    <w:rsid w:val="6E276AFF"/>
    <w:rsid w:val="6E371C2C"/>
    <w:rsid w:val="6E5031D3"/>
    <w:rsid w:val="6EA41261"/>
    <w:rsid w:val="6F0F6238"/>
    <w:rsid w:val="6F3E05A4"/>
    <w:rsid w:val="6F400286"/>
    <w:rsid w:val="6F5953DE"/>
    <w:rsid w:val="6F6E4AFF"/>
    <w:rsid w:val="6F916ADF"/>
    <w:rsid w:val="6F9F044F"/>
    <w:rsid w:val="6FC86076"/>
    <w:rsid w:val="70090BB2"/>
    <w:rsid w:val="700A0487"/>
    <w:rsid w:val="7017608F"/>
    <w:rsid w:val="703E1C2A"/>
    <w:rsid w:val="705A0CD1"/>
    <w:rsid w:val="709D5DCF"/>
    <w:rsid w:val="70A1100D"/>
    <w:rsid w:val="70A729E1"/>
    <w:rsid w:val="70AD2E48"/>
    <w:rsid w:val="70D52086"/>
    <w:rsid w:val="70EA10BB"/>
    <w:rsid w:val="70EC5DDE"/>
    <w:rsid w:val="7135335A"/>
    <w:rsid w:val="7164006A"/>
    <w:rsid w:val="719F1934"/>
    <w:rsid w:val="71E371E1"/>
    <w:rsid w:val="71E62D3B"/>
    <w:rsid w:val="71EE1295"/>
    <w:rsid w:val="71F83C19"/>
    <w:rsid w:val="71FD02E7"/>
    <w:rsid w:val="72023B0B"/>
    <w:rsid w:val="722E2EA9"/>
    <w:rsid w:val="729B5374"/>
    <w:rsid w:val="730715C8"/>
    <w:rsid w:val="731C29AB"/>
    <w:rsid w:val="732E26DE"/>
    <w:rsid w:val="73374B7F"/>
    <w:rsid w:val="73402BC5"/>
    <w:rsid w:val="738C2151"/>
    <w:rsid w:val="739710DE"/>
    <w:rsid w:val="739A1AFC"/>
    <w:rsid w:val="73A26DEB"/>
    <w:rsid w:val="73C13552"/>
    <w:rsid w:val="73F943BA"/>
    <w:rsid w:val="741D55BA"/>
    <w:rsid w:val="74354239"/>
    <w:rsid w:val="744D473B"/>
    <w:rsid w:val="74513AF1"/>
    <w:rsid w:val="745368A0"/>
    <w:rsid w:val="746B3CAF"/>
    <w:rsid w:val="74754750"/>
    <w:rsid w:val="748E5B2A"/>
    <w:rsid w:val="74D70265"/>
    <w:rsid w:val="74DB6895"/>
    <w:rsid w:val="74F31E31"/>
    <w:rsid w:val="754C32EF"/>
    <w:rsid w:val="757232B9"/>
    <w:rsid w:val="7580174E"/>
    <w:rsid w:val="75947170"/>
    <w:rsid w:val="75AA747B"/>
    <w:rsid w:val="75D411D5"/>
    <w:rsid w:val="75D54D59"/>
    <w:rsid w:val="75D56130"/>
    <w:rsid w:val="761C26EA"/>
    <w:rsid w:val="76396CC2"/>
    <w:rsid w:val="763C24E0"/>
    <w:rsid w:val="76541D3B"/>
    <w:rsid w:val="7654267A"/>
    <w:rsid w:val="7662793F"/>
    <w:rsid w:val="769D02A6"/>
    <w:rsid w:val="76DA3215"/>
    <w:rsid w:val="76DA5057"/>
    <w:rsid w:val="775001F8"/>
    <w:rsid w:val="77582649"/>
    <w:rsid w:val="77644784"/>
    <w:rsid w:val="77676A05"/>
    <w:rsid w:val="77853D80"/>
    <w:rsid w:val="77935205"/>
    <w:rsid w:val="779D0256"/>
    <w:rsid w:val="77BF2FA4"/>
    <w:rsid w:val="77CD6969"/>
    <w:rsid w:val="77DB4757"/>
    <w:rsid w:val="781D017E"/>
    <w:rsid w:val="7828330D"/>
    <w:rsid w:val="782F3180"/>
    <w:rsid w:val="788D3082"/>
    <w:rsid w:val="788F00C3"/>
    <w:rsid w:val="78AF42C1"/>
    <w:rsid w:val="78BA4BE3"/>
    <w:rsid w:val="78C86CD9"/>
    <w:rsid w:val="78D0322B"/>
    <w:rsid w:val="78FE2225"/>
    <w:rsid w:val="791C643F"/>
    <w:rsid w:val="79226841"/>
    <w:rsid w:val="79690914"/>
    <w:rsid w:val="7977420F"/>
    <w:rsid w:val="799D4931"/>
    <w:rsid w:val="79AE2763"/>
    <w:rsid w:val="79B325B0"/>
    <w:rsid w:val="79B7167F"/>
    <w:rsid w:val="79BF32F7"/>
    <w:rsid w:val="79CE617A"/>
    <w:rsid w:val="7A027E61"/>
    <w:rsid w:val="7A0C3669"/>
    <w:rsid w:val="7A527C0D"/>
    <w:rsid w:val="7A5B1A56"/>
    <w:rsid w:val="7A9D69F8"/>
    <w:rsid w:val="7AAB68AA"/>
    <w:rsid w:val="7AC93465"/>
    <w:rsid w:val="7ACC5AD7"/>
    <w:rsid w:val="7AF23B57"/>
    <w:rsid w:val="7AFD7566"/>
    <w:rsid w:val="7B106671"/>
    <w:rsid w:val="7B542EFE"/>
    <w:rsid w:val="7B6C6499"/>
    <w:rsid w:val="7B6F1AE6"/>
    <w:rsid w:val="7B9E40C9"/>
    <w:rsid w:val="7BA10A40"/>
    <w:rsid w:val="7BED0375"/>
    <w:rsid w:val="7BEE9ABD"/>
    <w:rsid w:val="7C2E7969"/>
    <w:rsid w:val="7C711F43"/>
    <w:rsid w:val="7C864AF6"/>
    <w:rsid w:val="7CB84E88"/>
    <w:rsid w:val="7CCF6945"/>
    <w:rsid w:val="7CE80EC9"/>
    <w:rsid w:val="7CF1325B"/>
    <w:rsid w:val="7D0D7808"/>
    <w:rsid w:val="7D1E37C3"/>
    <w:rsid w:val="7D575A72"/>
    <w:rsid w:val="7D5D1E07"/>
    <w:rsid w:val="7DAA43E4"/>
    <w:rsid w:val="7DDF7485"/>
    <w:rsid w:val="7DE1316F"/>
    <w:rsid w:val="7DFA3259"/>
    <w:rsid w:val="7DFD061C"/>
    <w:rsid w:val="7E7712C1"/>
    <w:rsid w:val="7E7E048E"/>
    <w:rsid w:val="7E903C73"/>
    <w:rsid w:val="7E9B4050"/>
    <w:rsid w:val="7EAC5AF2"/>
    <w:rsid w:val="7EB268B9"/>
    <w:rsid w:val="7EDB2536"/>
    <w:rsid w:val="7EE5287C"/>
    <w:rsid w:val="7EF6285C"/>
    <w:rsid w:val="7EFD23F7"/>
    <w:rsid w:val="7F0245CE"/>
    <w:rsid w:val="7F0A49F2"/>
    <w:rsid w:val="7F146331"/>
    <w:rsid w:val="7F2C0419"/>
    <w:rsid w:val="7F385010"/>
    <w:rsid w:val="7F53ECD1"/>
    <w:rsid w:val="7F777854"/>
    <w:rsid w:val="7F846928"/>
    <w:rsid w:val="7F8E5C58"/>
    <w:rsid w:val="7FBF27D5"/>
    <w:rsid w:val="7FD734F2"/>
    <w:rsid w:val="7FDA1469"/>
    <w:rsid w:val="7FED4E7C"/>
  </w:rsids>
  <m:mathPr>
    <m:mathFont m:val="Cambria Math"/>
    <m:brkBin m:val="before"/>
    <m:brkBinSub m:val="--"/>
    <m:smallFrac m:val="1"/>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0" w:semiHidden="0" w:name="heading 2"/>
    <w:lsdException w:qFormat="1" w:unhideWhenUsed="0" w:uiPriority="9" w:semiHidden="0" w:name="heading 3"/>
    <w:lsdException w:qFormat="1" w:uiPriority="0" w:semiHidden="0" w:name="heading 4"/>
    <w:lsdException w:qFormat="1" w:uiPriority="0"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0" w:semiHidden="0" w:name="toc 2"/>
    <w:lsdException w:qFormat="1" w:unhideWhenUsed="0" w:uiPriority="0" w:semiHidden="0" w:name="toc 3"/>
    <w:lsdException w:qFormat="1" w:unhideWhenUsed="0" w:uiPriority="39" w:semiHidden="0" w:name="toc 4"/>
    <w:lsdException w:unhideWhenUsed="0" w:uiPriority="0" w:semiHidden="0" w:name="toc 5"/>
    <w:lsdException w:qFormat="1" w:unhideWhenUsed="0" w:uiPriority="99"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qFormat="1"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qFormat="1" w:uiPriority="99"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iPriority="99"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iPriority="99"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iPriority="99" w:semiHidden="0" w:name="Table Grid"/>
    <w:lsdException w:uiPriority="0"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paragraph" w:styleId="2">
    <w:name w:val="heading 1"/>
    <w:basedOn w:val="1"/>
    <w:next w:val="1"/>
    <w:qFormat/>
    <w:uiPriority w:val="9"/>
    <w:pPr>
      <w:keepNext/>
      <w:jc w:val="center"/>
      <w:outlineLvl w:val="0"/>
    </w:pPr>
    <w:rPr>
      <w:rFonts w:ascii="楷体_GB2312" w:eastAsia="楷体_GB2312"/>
      <w:b/>
      <w:bCs/>
    </w:rPr>
  </w:style>
  <w:style w:type="paragraph" w:styleId="3">
    <w:name w:val="heading 2"/>
    <w:basedOn w:val="1"/>
    <w:next w:val="1"/>
    <w:unhideWhenUsed/>
    <w:qFormat/>
    <w:uiPriority w:val="0"/>
    <w:pPr>
      <w:keepNext/>
      <w:keepLines/>
      <w:numPr>
        <w:ilvl w:val="1"/>
        <w:numId w:val="1"/>
      </w:numPr>
      <w:jc w:val="left"/>
      <w:outlineLvl w:val="1"/>
    </w:pPr>
    <w:rPr>
      <w:rFonts w:ascii="宋体" w:hAnsi="宋体" w:cstheme="majorBidi"/>
      <w:b/>
      <w:bCs/>
      <w:sz w:val="32"/>
      <w:szCs w:val="32"/>
    </w:rPr>
  </w:style>
  <w:style w:type="paragraph" w:styleId="4">
    <w:name w:val="heading 3"/>
    <w:basedOn w:val="1"/>
    <w:next w:val="1"/>
    <w:qFormat/>
    <w:uiPriority w:val="9"/>
    <w:pPr>
      <w:widowControl/>
      <w:numPr>
        <w:ilvl w:val="2"/>
        <w:numId w:val="2"/>
      </w:numPr>
      <w:autoSpaceDE w:val="0"/>
      <w:autoSpaceDN w:val="0"/>
      <w:adjustRightInd w:val="0"/>
      <w:spacing w:beforeLines="50" w:afterLines="50" w:line="360" w:lineRule="auto"/>
      <w:outlineLvl w:val="2"/>
    </w:pPr>
    <w:rPr>
      <w:rFonts w:ascii="CG Times" w:hAnsi="CG Times"/>
      <w:color w:val="000000"/>
      <w:kern w:val="0"/>
      <w:sz w:val="24"/>
      <w:szCs w:val="20"/>
    </w:rPr>
  </w:style>
  <w:style w:type="paragraph" w:styleId="5">
    <w:name w:val="heading 4"/>
    <w:basedOn w:val="1"/>
    <w:next w:val="1"/>
    <w:unhideWhenUsed/>
    <w:qFormat/>
    <w:uiPriority w:val="0"/>
    <w:pPr>
      <w:keepNext/>
      <w:keepLines/>
      <w:numPr>
        <w:ilvl w:val="3"/>
        <w:numId w:val="1"/>
      </w:numPr>
      <w:jc w:val="left"/>
      <w:outlineLvl w:val="3"/>
    </w:pPr>
    <w:rPr>
      <w:rFonts w:ascii="宋体" w:hAnsiTheme="majorHAnsi" w:cstheme="majorBidi"/>
      <w:b/>
      <w:bCs/>
      <w:sz w:val="28"/>
      <w:szCs w:val="28"/>
    </w:rPr>
  </w:style>
  <w:style w:type="paragraph" w:styleId="6">
    <w:name w:val="heading 5"/>
    <w:basedOn w:val="1"/>
    <w:next w:val="1"/>
    <w:unhideWhenUsed/>
    <w:qFormat/>
    <w:uiPriority w:val="0"/>
    <w:pPr>
      <w:keepNext/>
      <w:keepLines/>
      <w:numPr>
        <w:ilvl w:val="4"/>
        <w:numId w:val="1"/>
      </w:numPr>
      <w:tabs>
        <w:tab w:val="left" w:pos="576"/>
      </w:tabs>
      <w:jc w:val="left"/>
      <w:outlineLvl w:val="4"/>
    </w:pPr>
    <w:rPr>
      <w:rFonts w:ascii="宋体" w:hAnsi="宋体"/>
      <w:b/>
      <w:bCs/>
      <w:szCs w:val="20"/>
    </w:rPr>
  </w:style>
  <w:style w:type="paragraph" w:styleId="7">
    <w:name w:val="heading 6"/>
    <w:basedOn w:val="1"/>
    <w:next w:val="1"/>
    <w:unhideWhenUsed/>
    <w:qFormat/>
    <w:uiPriority w:val="9"/>
    <w:pPr>
      <w:keepNext/>
      <w:keepLines/>
      <w:numPr>
        <w:ilvl w:val="5"/>
        <w:numId w:val="1"/>
      </w:numPr>
      <w:spacing w:before="240" w:after="64" w:line="320" w:lineRule="auto"/>
      <w:outlineLvl w:val="5"/>
    </w:pPr>
    <w:rPr>
      <w:rFonts w:asciiTheme="majorHAnsi" w:hAnsiTheme="majorHAnsi" w:eastAsiaTheme="majorEastAsia" w:cstheme="majorBidi"/>
      <w:b/>
      <w:bCs/>
      <w:szCs w:val="24"/>
    </w:rPr>
  </w:style>
  <w:style w:type="character" w:default="1" w:styleId="34">
    <w:name w:val="Default Paragraph Font"/>
    <w:semiHidden/>
    <w:unhideWhenUsed/>
    <w:qFormat/>
    <w:uiPriority w:val="1"/>
  </w:style>
  <w:style w:type="table" w:default="1" w:styleId="32">
    <w:name w:val="Normal Table"/>
    <w:semiHidden/>
    <w:unhideWhenUsed/>
    <w:qFormat/>
    <w:uiPriority w:val="99"/>
    <w:tblPr>
      <w:tblCellMar>
        <w:top w:w="0" w:type="dxa"/>
        <w:left w:w="108" w:type="dxa"/>
        <w:bottom w:w="0" w:type="dxa"/>
        <w:right w:w="108" w:type="dxa"/>
      </w:tblCellMar>
    </w:tblPr>
  </w:style>
  <w:style w:type="paragraph" w:styleId="8">
    <w:name w:val="Normal Indent"/>
    <w:basedOn w:val="1"/>
    <w:next w:val="9"/>
    <w:unhideWhenUsed/>
    <w:qFormat/>
    <w:uiPriority w:val="99"/>
    <w:pPr>
      <w:adjustRightInd w:val="0"/>
      <w:spacing w:line="312" w:lineRule="atLeast"/>
      <w:ind w:firstLine="420"/>
    </w:pPr>
    <w:rPr>
      <w:rFonts w:cs="黑体"/>
    </w:rPr>
  </w:style>
  <w:style w:type="paragraph" w:styleId="9">
    <w:name w:val="Body Text Indent"/>
    <w:basedOn w:val="1"/>
    <w:next w:val="1"/>
    <w:qFormat/>
    <w:uiPriority w:val="0"/>
    <w:pPr>
      <w:ind w:left="360" w:firstLine="56" w:firstLineChars="20"/>
    </w:pPr>
    <w:rPr>
      <w:rFonts w:eastAsia="仿宋_GB2312"/>
      <w:kern w:val="0"/>
      <w:sz w:val="32"/>
      <w:szCs w:val="24"/>
    </w:rPr>
  </w:style>
  <w:style w:type="paragraph" w:styleId="10">
    <w:name w:val="toa heading"/>
    <w:basedOn w:val="1"/>
    <w:next w:val="1"/>
    <w:unhideWhenUsed/>
    <w:qFormat/>
    <w:uiPriority w:val="99"/>
    <w:pPr>
      <w:spacing w:before="120"/>
    </w:pPr>
    <w:rPr>
      <w:rFonts w:ascii="Arial" w:hAnsi="Arial" w:eastAsia="仿宋_GB2312" w:cs="Arial"/>
      <w:b/>
      <w:bCs/>
      <w:color w:val="000000"/>
      <w:kern w:val="0"/>
      <w:sz w:val="24"/>
      <w:szCs w:val="21"/>
    </w:rPr>
  </w:style>
  <w:style w:type="paragraph" w:styleId="11">
    <w:name w:val="annotation text"/>
    <w:basedOn w:val="1"/>
    <w:qFormat/>
    <w:uiPriority w:val="0"/>
    <w:pPr>
      <w:jc w:val="left"/>
    </w:pPr>
  </w:style>
  <w:style w:type="paragraph" w:styleId="12">
    <w:name w:val="Body Text"/>
    <w:basedOn w:val="1"/>
    <w:next w:val="13"/>
    <w:unhideWhenUsed/>
    <w:qFormat/>
    <w:uiPriority w:val="0"/>
    <w:pPr>
      <w:spacing w:after="120"/>
    </w:pPr>
    <w:rPr>
      <w:rFonts w:ascii="Times New Roman" w:hAnsi="Times New Roman"/>
      <w:szCs w:val="24"/>
    </w:rPr>
  </w:style>
  <w:style w:type="paragraph" w:styleId="13">
    <w:name w:val="Body Text First Indent"/>
    <w:basedOn w:val="12"/>
    <w:qFormat/>
    <w:uiPriority w:val="0"/>
    <w:pPr>
      <w:autoSpaceDE w:val="0"/>
      <w:autoSpaceDN w:val="0"/>
      <w:adjustRightInd w:val="0"/>
      <w:ind w:firstLine="420" w:firstLineChars="100"/>
      <w:textAlignment w:val="baseline"/>
    </w:pPr>
    <w:rPr>
      <w:sz w:val="24"/>
      <w:szCs w:val="20"/>
    </w:rPr>
  </w:style>
  <w:style w:type="paragraph" w:styleId="14">
    <w:name w:val="List 2"/>
    <w:basedOn w:val="1"/>
    <w:unhideWhenUsed/>
    <w:qFormat/>
    <w:uiPriority w:val="99"/>
    <w:pPr>
      <w:ind w:left="100" w:leftChars="200" w:hanging="200" w:hangingChars="200"/>
      <w:contextualSpacing/>
    </w:pPr>
  </w:style>
  <w:style w:type="paragraph" w:styleId="15">
    <w:name w:val="Block Text"/>
    <w:basedOn w:val="1"/>
    <w:qFormat/>
    <w:uiPriority w:val="0"/>
    <w:pPr>
      <w:spacing w:beforeLines="50" w:afterLines="50"/>
      <w:ind w:left="426" w:right="-11" w:hanging="426" w:hangingChars="203"/>
    </w:pPr>
    <w:rPr>
      <w:rFonts w:eastAsia="楷体_GB2312"/>
    </w:rPr>
  </w:style>
  <w:style w:type="paragraph" w:styleId="16">
    <w:name w:val="toc 3"/>
    <w:basedOn w:val="1"/>
    <w:next w:val="1"/>
    <w:qFormat/>
    <w:uiPriority w:val="0"/>
    <w:pPr>
      <w:ind w:left="840" w:leftChars="400"/>
    </w:pPr>
  </w:style>
  <w:style w:type="paragraph" w:styleId="17">
    <w:name w:val="Plain Text"/>
    <w:basedOn w:val="1"/>
    <w:next w:val="1"/>
    <w:unhideWhenUsed/>
    <w:qFormat/>
    <w:uiPriority w:val="99"/>
    <w:pPr>
      <w:widowControl/>
      <w:overflowPunct w:val="0"/>
      <w:autoSpaceDE w:val="0"/>
      <w:autoSpaceDN w:val="0"/>
      <w:adjustRightInd w:val="0"/>
      <w:jc w:val="left"/>
    </w:pPr>
    <w:rPr>
      <w:rFonts w:ascii="宋体" w:hAnsi="Courier New" w:cs="黑体"/>
      <w:szCs w:val="21"/>
    </w:rPr>
  </w:style>
  <w:style w:type="paragraph" w:styleId="18">
    <w:name w:val="Date"/>
    <w:basedOn w:val="1"/>
    <w:next w:val="1"/>
    <w:qFormat/>
    <w:uiPriority w:val="0"/>
    <w:pPr>
      <w:ind w:left="100" w:leftChars="2500"/>
    </w:pPr>
    <w:rPr>
      <w:sz w:val="24"/>
    </w:rPr>
  </w:style>
  <w:style w:type="paragraph" w:styleId="19">
    <w:name w:val="Body Text Indent 2"/>
    <w:basedOn w:val="1"/>
    <w:qFormat/>
    <w:uiPriority w:val="0"/>
    <w:pPr>
      <w:spacing w:after="120" w:line="480" w:lineRule="auto"/>
      <w:ind w:left="420" w:leftChars="200"/>
    </w:pPr>
  </w:style>
  <w:style w:type="paragraph" w:styleId="20">
    <w:name w:val="Balloon Text"/>
    <w:basedOn w:val="1"/>
    <w:link w:val="68"/>
    <w:qFormat/>
    <w:uiPriority w:val="0"/>
    <w:rPr>
      <w:sz w:val="18"/>
      <w:szCs w:val="18"/>
    </w:rPr>
  </w:style>
  <w:style w:type="paragraph" w:styleId="21">
    <w:name w:val="footer"/>
    <w:basedOn w:val="1"/>
    <w:unhideWhenUsed/>
    <w:qFormat/>
    <w:uiPriority w:val="99"/>
    <w:pPr>
      <w:tabs>
        <w:tab w:val="center" w:pos="4153"/>
        <w:tab w:val="right" w:pos="8306"/>
      </w:tabs>
      <w:snapToGrid w:val="0"/>
      <w:jc w:val="left"/>
    </w:pPr>
    <w:rPr>
      <w:sz w:val="18"/>
      <w:szCs w:val="18"/>
    </w:rPr>
  </w:style>
  <w:style w:type="paragraph" w:styleId="22">
    <w:name w:val="header"/>
    <w:basedOn w:val="1"/>
    <w:unhideWhenUsed/>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unhideWhenUsed/>
    <w:qFormat/>
    <w:uiPriority w:val="39"/>
    <w:pPr>
      <w:spacing w:line="340" w:lineRule="exact"/>
    </w:pPr>
  </w:style>
  <w:style w:type="paragraph" w:styleId="24">
    <w:name w:val="toc 4"/>
    <w:basedOn w:val="1"/>
    <w:next w:val="1"/>
    <w:qFormat/>
    <w:uiPriority w:val="39"/>
    <w:pPr>
      <w:ind w:left="1260" w:leftChars="600"/>
    </w:pPr>
  </w:style>
  <w:style w:type="paragraph" w:styleId="25">
    <w:name w:val="toc 6"/>
    <w:basedOn w:val="1"/>
    <w:next w:val="1"/>
    <w:qFormat/>
    <w:uiPriority w:val="99"/>
    <w:pPr>
      <w:ind w:left="2100" w:leftChars="1000"/>
    </w:pPr>
  </w:style>
  <w:style w:type="paragraph" w:styleId="26">
    <w:name w:val="Body Text Indent 3"/>
    <w:basedOn w:val="1"/>
    <w:qFormat/>
    <w:uiPriority w:val="0"/>
    <w:pPr>
      <w:spacing w:after="120" w:line="360" w:lineRule="auto"/>
      <w:ind w:left="420" w:leftChars="200" w:firstLine="880" w:firstLineChars="200"/>
      <w:jc w:val="left"/>
    </w:pPr>
    <w:rPr>
      <w:sz w:val="16"/>
      <w:szCs w:val="16"/>
    </w:rPr>
  </w:style>
  <w:style w:type="paragraph" w:styleId="27">
    <w:name w:val="table of figures"/>
    <w:basedOn w:val="1"/>
    <w:next w:val="1"/>
    <w:unhideWhenUsed/>
    <w:qFormat/>
    <w:uiPriority w:val="99"/>
    <w:pPr>
      <w:tabs>
        <w:tab w:val="left" w:pos="1270"/>
      </w:tabs>
      <w:spacing w:line="360" w:lineRule="auto"/>
      <w:ind w:left="1270" w:hanging="420"/>
      <w:jc w:val="left"/>
    </w:pPr>
    <w:rPr>
      <w:rFonts w:ascii="Times New Roman" w:hAnsi="Times New Roman"/>
      <w:smallCaps/>
      <w:sz w:val="20"/>
      <w:szCs w:val="20"/>
    </w:rPr>
  </w:style>
  <w:style w:type="paragraph" w:styleId="28">
    <w:name w:val="toc 2"/>
    <w:basedOn w:val="1"/>
    <w:next w:val="1"/>
    <w:qFormat/>
    <w:uiPriority w:val="0"/>
    <w:pPr>
      <w:ind w:left="420" w:leftChars="200"/>
    </w:pPr>
  </w:style>
  <w:style w:type="paragraph" w:styleId="29">
    <w:name w:val="Normal (Web)"/>
    <w:basedOn w:val="1"/>
    <w:next w:val="28"/>
    <w:qFormat/>
    <w:uiPriority w:val="0"/>
    <w:pPr>
      <w:spacing w:beforeAutospacing="1" w:afterAutospacing="1"/>
      <w:jc w:val="left"/>
    </w:pPr>
    <w:rPr>
      <w:kern w:val="0"/>
      <w:sz w:val="24"/>
    </w:rPr>
  </w:style>
  <w:style w:type="paragraph" w:styleId="30">
    <w:name w:val="Title"/>
    <w:basedOn w:val="1"/>
    <w:next w:val="1"/>
    <w:qFormat/>
    <w:uiPriority w:val="10"/>
    <w:pPr>
      <w:jc w:val="center"/>
    </w:pPr>
    <w:rPr>
      <w:rFonts w:ascii="Arial" w:hAnsi="Arial"/>
      <w:b/>
      <w:kern w:val="0"/>
      <w:sz w:val="36"/>
      <w:szCs w:val="20"/>
      <w:lang w:eastAsia="en-US"/>
    </w:rPr>
  </w:style>
  <w:style w:type="paragraph" w:styleId="31">
    <w:name w:val="Body Text First Indent 2"/>
    <w:basedOn w:val="9"/>
    <w:next w:val="1"/>
    <w:unhideWhenUsed/>
    <w:qFormat/>
    <w:uiPriority w:val="99"/>
    <w:pPr>
      <w:spacing w:after="120"/>
      <w:ind w:left="420" w:leftChars="200" w:firstLine="420"/>
    </w:pPr>
    <w:rPr>
      <w:rFonts w:cs="宋体"/>
      <w:sz w:val="21"/>
      <w:szCs w:val="21"/>
    </w:rPr>
  </w:style>
  <w:style w:type="table" w:styleId="33">
    <w:name w:val="Table Grid"/>
    <w:basedOn w:val="32"/>
    <w:unhideWhenUsed/>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5">
    <w:name w:val="Strong"/>
    <w:basedOn w:val="34"/>
    <w:qFormat/>
    <w:uiPriority w:val="0"/>
    <w:rPr>
      <w:bCs/>
    </w:rPr>
  </w:style>
  <w:style w:type="character" w:styleId="36">
    <w:name w:val="page number"/>
    <w:basedOn w:val="34"/>
    <w:qFormat/>
    <w:uiPriority w:val="0"/>
  </w:style>
  <w:style w:type="character" w:styleId="37">
    <w:name w:val="FollowedHyperlink"/>
    <w:basedOn w:val="34"/>
    <w:qFormat/>
    <w:uiPriority w:val="0"/>
    <w:rPr>
      <w:color w:val="800080"/>
      <w:u w:val="none"/>
    </w:rPr>
  </w:style>
  <w:style w:type="character" w:styleId="38">
    <w:name w:val="Hyperlink"/>
    <w:basedOn w:val="34"/>
    <w:unhideWhenUsed/>
    <w:qFormat/>
    <w:uiPriority w:val="99"/>
    <w:rPr>
      <w:color w:val="0563C1"/>
      <w:u w:val="single"/>
    </w:rPr>
  </w:style>
  <w:style w:type="character" w:styleId="39">
    <w:name w:val="annotation reference"/>
    <w:basedOn w:val="34"/>
    <w:qFormat/>
    <w:uiPriority w:val="0"/>
    <w:rPr>
      <w:sz w:val="21"/>
      <w:szCs w:val="21"/>
    </w:rPr>
  </w:style>
  <w:style w:type="paragraph" w:customStyle="1" w:styleId="40">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customStyle="1" w:styleId="41">
    <w:name w:val="Default"/>
    <w:next w:val="42"/>
    <w:qFormat/>
    <w:uiPriority w:val="0"/>
    <w:pPr>
      <w:widowControl w:val="0"/>
      <w:autoSpaceDE w:val="0"/>
      <w:autoSpaceDN w:val="0"/>
      <w:adjustRightInd w:val="0"/>
      <w:spacing w:line="360" w:lineRule="auto"/>
      <w:jc w:val="both"/>
    </w:pPr>
    <w:rPr>
      <w:rFonts w:ascii="黑体" w:hAnsi="Times New Roman" w:eastAsia="黑体" w:cs="黑体"/>
      <w:color w:val="000000"/>
      <w:sz w:val="24"/>
      <w:szCs w:val="24"/>
      <w:lang w:val="en-US" w:eastAsia="zh-CN" w:bidi="ar-SA"/>
    </w:rPr>
  </w:style>
  <w:style w:type="paragraph" w:customStyle="1" w:styleId="42">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3">
    <w:name w:val="Body Text First Indent 21"/>
    <w:basedOn w:val="44"/>
    <w:qFormat/>
    <w:uiPriority w:val="0"/>
    <w:pPr>
      <w:ind w:firstLine="420"/>
    </w:pPr>
    <w:rPr>
      <w:rFonts w:ascii="Times New Roman" w:hAnsi="Times New Roman" w:cs="宋体"/>
    </w:rPr>
  </w:style>
  <w:style w:type="paragraph" w:customStyle="1" w:styleId="44">
    <w:name w:val="Body Text Indent1"/>
    <w:basedOn w:val="1"/>
    <w:next w:val="1"/>
    <w:qFormat/>
    <w:uiPriority w:val="0"/>
    <w:pPr>
      <w:ind w:left="420" w:leftChars="200"/>
    </w:pPr>
    <w:rPr>
      <w:color w:val="000000"/>
      <w:szCs w:val="21"/>
    </w:rPr>
  </w:style>
  <w:style w:type="paragraph" w:customStyle="1" w:styleId="45">
    <w:name w:val="样式1"/>
    <w:basedOn w:val="22"/>
    <w:next w:val="12"/>
    <w:qFormat/>
    <w:uiPriority w:val="0"/>
    <w:pPr>
      <w:widowControl/>
      <w:tabs>
        <w:tab w:val="left" w:pos="1212"/>
        <w:tab w:val="left" w:pos="3888"/>
        <w:tab w:val="clear" w:pos="4153"/>
        <w:tab w:val="clear" w:pos="8306"/>
      </w:tabs>
      <w:spacing w:line="336" w:lineRule="auto"/>
      <w:ind w:firstLine="432"/>
      <w:jc w:val="left"/>
    </w:pPr>
    <w:rPr>
      <w:rFonts w:ascii="宋体" w:hAnsi="宋体"/>
      <w:kern w:val="0"/>
      <w:sz w:val="24"/>
      <w:szCs w:val="20"/>
    </w:rPr>
  </w:style>
  <w:style w:type="paragraph" w:customStyle="1" w:styleId="46">
    <w:name w:val="Heading2"/>
    <w:basedOn w:val="1"/>
    <w:next w:val="1"/>
    <w:qFormat/>
    <w:uiPriority w:val="0"/>
    <w:pPr>
      <w:keepNext/>
      <w:keepLines/>
      <w:spacing w:before="260" w:after="260" w:line="416" w:lineRule="auto"/>
    </w:pPr>
    <w:rPr>
      <w:rFonts w:ascii="Cambria" w:hAnsi="Cambria"/>
      <w:sz w:val="32"/>
      <w:szCs w:val="32"/>
    </w:rPr>
  </w:style>
  <w:style w:type="paragraph" w:customStyle="1" w:styleId="47">
    <w:name w:val="样式 表格正文 + 两端对齐"/>
    <w:basedOn w:val="1"/>
    <w:next w:val="48"/>
    <w:qFormat/>
    <w:uiPriority w:val="0"/>
    <w:pPr>
      <w:spacing w:line="300" w:lineRule="auto"/>
    </w:pPr>
    <w:rPr>
      <w:rFonts w:ascii="Times New Roman"/>
      <w:sz w:val="24"/>
    </w:rPr>
  </w:style>
  <w:style w:type="paragraph" w:customStyle="1" w:styleId="48">
    <w:name w:val="正文1"/>
    <w:basedOn w:val="1"/>
    <w:next w:val="49"/>
    <w:qFormat/>
    <w:uiPriority w:val="0"/>
    <w:pPr>
      <w:numPr>
        <w:ilvl w:val="0"/>
        <w:numId w:val="3"/>
      </w:numPr>
      <w:spacing w:line="500" w:lineRule="exact"/>
    </w:pPr>
    <w:rPr>
      <w:rFonts w:ascii="黑体" w:hAnsi="宋体"/>
    </w:rPr>
  </w:style>
  <w:style w:type="paragraph" w:customStyle="1" w:styleId="49">
    <w:name w:val="自动更正"/>
    <w:next w:val="50"/>
    <w:qFormat/>
    <w:uiPriority w:val="0"/>
    <w:pPr>
      <w:widowControl w:val="0"/>
      <w:jc w:val="both"/>
    </w:pPr>
    <w:rPr>
      <w:rFonts w:ascii="Calibri" w:hAnsi="Calibri" w:eastAsia="宋体" w:cs="Times New Roman"/>
      <w:kern w:val="2"/>
      <w:sz w:val="21"/>
      <w:szCs w:val="24"/>
      <w:lang w:val="en-US" w:eastAsia="zh-CN" w:bidi="ar-SA"/>
    </w:rPr>
  </w:style>
  <w:style w:type="paragraph" w:customStyle="1" w:styleId="50">
    <w:name w:val="xl39"/>
    <w:basedOn w:val="1"/>
    <w:next w:val="51"/>
    <w:qFormat/>
    <w:uiPriority w:val="0"/>
    <w:pPr>
      <w:widowControl/>
      <w:pBdr>
        <w:top w:val="single" w:color="auto" w:sz="4" w:space="0"/>
        <w:bottom w:val="single" w:color="auto" w:sz="4" w:space="0"/>
        <w:right w:val="single" w:color="auto" w:sz="4" w:space="0"/>
      </w:pBdr>
      <w:spacing w:before="100" w:after="100"/>
      <w:jc w:val="left"/>
      <w:textAlignment w:val="center"/>
    </w:pPr>
    <w:rPr>
      <w:kern w:val="0"/>
      <w:szCs w:val="20"/>
    </w:rPr>
  </w:style>
  <w:style w:type="paragraph" w:customStyle="1" w:styleId="51">
    <w:name w:val="分手多日，近况如何？"/>
    <w:next w:val="1"/>
    <w:qFormat/>
    <w:uiPriority w:val="0"/>
    <w:pPr>
      <w:widowControl w:val="0"/>
      <w:jc w:val="both"/>
    </w:pPr>
    <w:rPr>
      <w:rFonts w:ascii="Calibri" w:hAnsi="Calibri" w:eastAsia="宋体" w:cs="Times New Roman"/>
      <w:sz w:val="21"/>
      <w:lang w:val="en-US" w:eastAsia="zh-CN" w:bidi="ar-SA"/>
    </w:rPr>
  </w:style>
  <w:style w:type="paragraph" w:customStyle="1" w:styleId="52">
    <w:name w:val="Normal Indent1"/>
    <w:basedOn w:val="1"/>
    <w:qFormat/>
    <w:uiPriority w:val="0"/>
    <w:pPr>
      <w:ind w:firstLine="420" w:firstLineChars="200"/>
    </w:pPr>
  </w:style>
  <w:style w:type="paragraph" w:customStyle="1" w:styleId="53">
    <w:name w:val="[Normal]"/>
    <w:qFormat/>
    <w:uiPriority w:val="0"/>
    <w:rPr>
      <w:rFonts w:ascii="宋体" w:hAnsi="宋体" w:eastAsia="宋体" w:cs="Times New Roman"/>
      <w:sz w:val="24"/>
      <w:szCs w:val="22"/>
      <w:lang w:val="zh-CN" w:eastAsia="zh-CN" w:bidi="ar-SA"/>
    </w:rPr>
  </w:style>
  <w:style w:type="paragraph" w:customStyle="1" w:styleId="54">
    <w:name w:val="Char"/>
    <w:basedOn w:val="1"/>
    <w:qFormat/>
    <w:uiPriority w:val="0"/>
    <w:rPr>
      <w:rFonts w:ascii="仿宋_GB2312" w:eastAsia="仿宋_GB2312"/>
      <w:b/>
      <w:sz w:val="32"/>
      <w:szCs w:val="32"/>
    </w:rPr>
  </w:style>
  <w:style w:type="paragraph" w:customStyle="1" w:styleId="55">
    <w:name w:val="列出段落1"/>
    <w:basedOn w:val="1"/>
    <w:qFormat/>
    <w:uiPriority w:val="99"/>
    <w:pPr>
      <w:ind w:firstLine="420" w:firstLineChars="200"/>
    </w:pPr>
  </w:style>
  <w:style w:type="paragraph" w:customStyle="1" w:styleId="56">
    <w:name w:val="Table Paragraph"/>
    <w:basedOn w:val="1"/>
    <w:qFormat/>
    <w:uiPriority w:val="1"/>
    <w:rPr>
      <w:rFonts w:ascii="宋体" w:hAnsi="宋体" w:cs="宋体"/>
      <w:lang w:val="zh-CN" w:bidi="zh-CN"/>
    </w:rPr>
  </w:style>
  <w:style w:type="paragraph" w:customStyle="1" w:styleId="57">
    <w:name w:val="Fließtext"/>
    <w:basedOn w:val="1"/>
    <w:qFormat/>
    <w:uiPriority w:val="0"/>
    <w:pPr>
      <w:overflowPunct w:val="0"/>
      <w:autoSpaceDE w:val="0"/>
      <w:autoSpaceDN w:val="0"/>
      <w:adjustRightInd w:val="0"/>
      <w:textAlignment w:val="baseline"/>
    </w:pPr>
    <w:rPr>
      <w:kern w:val="28"/>
      <w:szCs w:val="20"/>
    </w:rPr>
  </w:style>
  <w:style w:type="paragraph" w:customStyle="1" w:styleId="58">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9">
    <w:name w:val="List Paragraph1"/>
    <w:basedOn w:val="1"/>
    <w:qFormat/>
    <w:uiPriority w:val="0"/>
    <w:pPr>
      <w:ind w:firstLine="420" w:firstLineChars="200"/>
    </w:pPr>
    <w:rPr>
      <w:rFonts w:ascii="Times New Roman" w:hAnsi="Times New Roman"/>
      <w:szCs w:val="24"/>
    </w:rPr>
  </w:style>
  <w:style w:type="paragraph" w:styleId="60">
    <w:name w:val="No Spacing"/>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
    <w:name w:val="正常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2">
    <w:name w:val="￥正文"/>
    <w:basedOn w:val="1"/>
    <w:qFormat/>
    <w:uiPriority w:val="0"/>
    <w:rPr>
      <w:rFonts w:eastAsia="仿宋"/>
      <w:sz w:val="32"/>
    </w:rPr>
  </w:style>
  <w:style w:type="paragraph" w:customStyle="1" w:styleId="63">
    <w:name w:val="11样式2"/>
    <w:basedOn w:val="1"/>
    <w:qFormat/>
    <w:uiPriority w:val="99"/>
    <w:pPr>
      <w:numPr>
        <w:ilvl w:val="0"/>
        <w:numId w:val="4"/>
      </w:numPr>
      <w:ind w:firstLine="0"/>
    </w:pPr>
    <w:rPr>
      <w:rFonts w:ascii="Times New Roman" w:hAnsi="Times New Roman"/>
      <w:szCs w:val="24"/>
    </w:rPr>
  </w:style>
  <w:style w:type="character" w:customStyle="1" w:styleId="64">
    <w:name w:val="font21"/>
    <w:basedOn w:val="34"/>
    <w:qFormat/>
    <w:uiPriority w:val="99"/>
    <w:rPr>
      <w:rFonts w:ascii="宋体" w:hAnsi="宋体" w:eastAsia="宋体" w:cs="宋体"/>
      <w:color w:val="000000"/>
      <w:sz w:val="21"/>
      <w:szCs w:val="21"/>
      <w:u w:val="none"/>
    </w:rPr>
  </w:style>
  <w:style w:type="paragraph" w:customStyle="1" w:styleId="65">
    <w:name w:val="目录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66">
    <w:name w:val="reader-word-layer"/>
    <w:basedOn w:val="1"/>
    <w:qFormat/>
    <w:uiPriority w:val="0"/>
    <w:pPr>
      <w:widowControl/>
      <w:spacing w:before="100" w:beforeAutospacing="1" w:after="100" w:afterAutospacing="1"/>
      <w:jc w:val="left"/>
    </w:pPr>
    <w:rPr>
      <w:rFonts w:ascii="宋体" w:hAnsi="宋体" w:cs="宋体"/>
      <w:kern w:val="0"/>
      <w:sz w:val="24"/>
    </w:rPr>
  </w:style>
  <w:style w:type="paragraph" w:customStyle="1" w:styleId="67">
    <w:name w:val="正文_4"/>
    <w:qFormat/>
    <w:uiPriority w:val="0"/>
    <w:pPr>
      <w:widowControl w:val="0"/>
      <w:jc w:val="both"/>
    </w:pPr>
    <w:rPr>
      <w:rFonts w:ascii="Calibri" w:hAnsi="Calibri" w:eastAsia="宋体" w:cs="Times New Roman"/>
      <w:kern w:val="2"/>
      <w:sz w:val="21"/>
      <w:szCs w:val="24"/>
      <w:lang w:val="en-US" w:eastAsia="zh-CN" w:bidi="ar-SA"/>
    </w:rPr>
  </w:style>
  <w:style w:type="character" w:customStyle="1" w:styleId="68">
    <w:name w:val="批注框文本 字符"/>
    <w:basedOn w:val="34"/>
    <w:link w:val="20"/>
    <w:qFormat/>
    <w:uiPriority w:val="0"/>
    <w:rPr>
      <w:kern w:val="2"/>
      <w:sz w:val="18"/>
      <w:szCs w:val="18"/>
    </w:rPr>
  </w:style>
  <w:style w:type="paragraph" w:customStyle="1" w:styleId="69">
    <w:name w:val="p0"/>
    <w:basedOn w:val="1"/>
    <w:qFormat/>
    <w:uiPriority w:val="0"/>
    <w:pPr>
      <w:widowControl/>
      <w:spacing w:line="360" w:lineRule="atLeast"/>
      <w:ind w:firstLine="641"/>
    </w:pPr>
    <w:rPr>
      <w:kern w:val="0"/>
    </w:rPr>
  </w:style>
  <w:style w:type="paragraph" w:customStyle="1" w:styleId="70">
    <w:name w:val="content5"/>
    <w:basedOn w:val="1"/>
    <w:qFormat/>
    <w:uiPriority w:val="0"/>
    <w:pPr>
      <w:widowControl/>
      <w:spacing w:before="100" w:beforeAutospacing="1" w:after="100" w:afterAutospacing="1"/>
      <w:jc w:val="left"/>
    </w:pPr>
    <w:rPr>
      <w:rFonts w:ascii="幼圆" w:hAnsi="幼圆" w:eastAsia="幼圆" w:cs="幼圆"/>
      <w:b/>
      <w:color w:val="000000"/>
      <w:kern w:val="0"/>
      <w:sz w:val="84"/>
    </w:rPr>
  </w:style>
  <w:style w:type="character" w:customStyle="1" w:styleId="71">
    <w:name w:val="NormalCharacter"/>
    <w:qFormat/>
    <w:uiPriority w:val="0"/>
  </w:style>
  <w:style w:type="paragraph" w:customStyle="1" w:styleId="7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73">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74">
    <w:name w:val="表格内容"/>
    <w:basedOn w:val="12"/>
    <w:qFormat/>
    <w:uiPriority w:val="99"/>
    <w:pPr>
      <w:suppressLineNumbers/>
      <w:suppressAutoHyphens/>
    </w:pPr>
    <w:rPr>
      <w:kern w:val="1"/>
      <w:lang w:eastAsia="ar-SA"/>
    </w:rPr>
  </w:style>
  <w:style w:type="paragraph" w:customStyle="1" w:styleId="75">
    <w:name w:val="1册标题1"/>
    <w:basedOn w:val="1"/>
    <w:next w:val="1"/>
    <w:qFormat/>
    <w:uiPriority w:val="0"/>
    <w:pPr>
      <w:spacing w:beforeLines="50" w:afterLines="50" w:line="300" w:lineRule="auto"/>
      <w:jc w:val="center"/>
      <w:outlineLvl w:val="0"/>
    </w:pPr>
    <w:rPr>
      <w:rFonts w:ascii="Arial" w:hAnsi="Arial" w:eastAsia="黑体"/>
      <w:b/>
      <w:bCs/>
      <w:sz w:val="48"/>
      <w:szCs w:val="20"/>
    </w:rPr>
  </w:style>
  <w:style w:type="paragraph" w:customStyle="1" w:styleId="76">
    <w:name w:val="正文2"/>
    <w:basedOn w:val="1"/>
    <w:next w:val="23"/>
    <w:qFormat/>
    <w:uiPriority w:val="0"/>
    <w:pPr>
      <w:spacing w:before="156" w:line="360" w:lineRule="auto"/>
      <w:ind w:firstLine="510" w:firstLineChars="200"/>
    </w:pPr>
    <w:rPr>
      <w:sz w:val="24"/>
      <w:szCs w:val="20"/>
    </w:rPr>
  </w:style>
  <w:style w:type="paragraph" w:customStyle="1" w:styleId="77">
    <w:name w:val="_Style 17"/>
    <w:basedOn w:val="1"/>
    <w:next w:val="78"/>
    <w:qFormat/>
    <w:uiPriority w:val="0"/>
    <w:pPr>
      <w:ind w:firstLine="420" w:firstLineChars="200"/>
    </w:pPr>
  </w:style>
  <w:style w:type="paragraph" w:styleId="78">
    <w:name w:val="List Paragraph"/>
    <w:basedOn w:val="1"/>
    <w:qFormat/>
    <w:uiPriority w:val="0"/>
    <w:pPr>
      <w:ind w:firstLine="420" w:firstLineChars="200"/>
    </w:pPr>
    <w:rPr>
      <w:rFonts w:eastAsia="仿宋_GB2312"/>
      <w:sz w:val="24"/>
      <w:szCs w:val="21"/>
    </w:rPr>
  </w:style>
  <w:style w:type="paragraph" w:customStyle="1" w:styleId="79">
    <w:name w:val="表格文字"/>
    <w:basedOn w:val="17"/>
    <w:next w:val="12"/>
    <w:qFormat/>
    <w:uiPriority w:val="0"/>
    <w:pPr>
      <w:adjustRightInd w:val="0"/>
      <w:spacing w:line="420" w:lineRule="atLeast"/>
      <w:jc w:val="left"/>
      <w:textAlignment w:val="baseline"/>
    </w:pPr>
    <w:rPr>
      <w:rFonts w:ascii="Times New Roman" w:hAnsi="Times New Roman"/>
      <w:kern w:val="0"/>
      <w:szCs w:val="24"/>
    </w:rPr>
  </w:style>
  <w:style w:type="paragraph" w:customStyle="1" w:styleId="80">
    <w:name w:val="正文 A"/>
    <w:qFormat/>
    <w:uiPriority w:val="0"/>
    <w:pPr>
      <w:framePr w:wrap="around" w:vAnchor="margin" w:hAnchor="text" w:yAlign="top"/>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1">
    <w:name w:val="列出段落111"/>
    <w:basedOn w:val="1"/>
    <w:qFormat/>
    <w:uiPriority w:val="99"/>
    <w:pPr>
      <w:ind w:firstLine="420" w:firstLineChars="200"/>
    </w:pPr>
    <w:rPr>
      <w:rFonts w:eastAsia="仿宋_GB2312" w:cs="仿宋_GB2312"/>
      <w:b/>
      <w:spacing w:val="4"/>
      <w:sz w:val="24"/>
    </w:rPr>
  </w:style>
  <w:style w:type="paragraph" w:customStyle="1" w:styleId="82">
    <w:name w:val="DAS正文"/>
    <w:basedOn w:val="1"/>
    <w:qFormat/>
    <w:uiPriority w:val="0"/>
    <w:pPr>
      <w:spacing w:line="360" w:lineRule="auto"/>
      <w:ind w:right="181" w:firstLine="480" w:firstLineChars="200"/>
    </w:pPr>
    <w:rPr>
      <w:rFonts w:ascii="Verdana" w:hAnsi="Verdana"/>
      <w:szCs w:val="20"/>
    </w:rPr>
  </w:style>
  <w:style w:type="paragraph" w:customStyle="1" w:styleId="83">
    <w:name w:val="正文首行缩进 21"/>
    <w:basedOn w:val="84"/>
    <w:qFormat/>
    <w:uiPriority w:val="0"/>
  </w:style>
  <w:style w:type="paragraph" w:customStyle="1" w:styleId="84">
    <w:name w:val="正文文本缩进1"/>
    <w:basedOn w:val="1"/>
    <w:qFormat/>
    <w:uiPriority w:val="0"/>
    <w:pPr>
      <w:spacing w:after="120"/>
      <w:ind w:left="420" w:leftChars="200"/>
    </w:pPr>
  </w:style>
  <w:style w:type="paragraph" w:customStyle="1" w:styleId="85">
    <w:name w:val="列出段落12"/>
    <w:basedOn w:val="1"/>
    <w:qFormat/>
    <w:uiPriority w:val="34"/>
    <w:pPr>
      <w:widowControl/>
      <w:ind w:firstLine="420" w:firstLineChars="200"/>
      <w:jc w:val="left"/>
    </w:pPr>
    <w:rPr>
      <w:rFonts w:ascii="宋体" w:hAnsi="宋体" w:cs="宋体"/>
      <w:kern w:val="0"/>
      <w:sz w:val="24"/>
    </w:rPr>
  </w:style>
  <w:style w:type="paragraph" w:customStyle="1" w:styleId="86">
    <w:name w:val="Other|1"/>
    <w:basedOn w:val="1"/>
    <w:qFormat/>
    <w:uiPriority w:val="0"/>
    <w:pPr>
      <w:spacing w:line="238" w:lineRule="exact"/>
      <w:jc w:val="center"/>
    </w:pPr>
    <w:rPr>
      <w:rFonts w:ascii="宋体" w:hAnsi="宋体" w:cs="宋体"/>
      <w:sz w:val="20"/>
      <w:szCs w:val="20"/>
      <w:lang w:val="zh-TW" w:eastAsia="zh-TW" w:bidi="zh-TW"/>
    </w:rPr>
  </w:style>
  <w:style w:type="character" w:customStyle="1" w:styleId="87">
    <w:name w:val="font31"/>
    <w:basedOn w:val="34"/>
    <w:qFormat/>
    <w:uiPriority w:val="0"/>
    <w:rPr>
      <w:rFonts w:hint="eastAsia" w:ascii="宋体" w:hAnsi="宋体" w:eastAsia="宋体" w:cs="宋体"/>
      <w:color w:val="FF0000"/>
      <w:sz w:val="20"/>
      <w:szCs w:val="20"/>
      <w:u w:val="none"/>
    </w:rPr>
  </w:style>
  <w:style w:type="paragraph" w:customStyle="1" w:styleId="88">
    <w:name w:val="批注框文本1"/>
    <w:basedOn w:val="1"/>
    <w:qFormat/>
    <w:uiPriority w:val="0"/>
    <w:rPr>
      <w:sz w:val="18"/>
      <w:szCs w:val="18"/>
    </w:rPr>
  </w:style>
  <w:style w:type="character" w:customStyle="1" w:styleId="89">
    <w:name w:val="font11"/>
    <w:basedOn w:val="34"/>
    <w:qFormat/>
    <w:uiPriority w:val="0"/>
    <w:rPr>
      <w:rFonts w:hint="eastAsia" w:ascii="宋体" w:hAnsi="宋体" w:eastAsia="宋体" w:cs="宋体"/>
      <w:color w:val="000000"/>
      <w:sz w:val="21"/>
      <w:szCs w:val="21"/>
      <w:u w:val="none"/>
    </w:rPr>
  </w:style>
  <w:style w:type="paragraph" w:customStyle="1" w:styleId="90">
    <w:name w:val="纯文本1"/>
    <w:basedOn w:val="48"/>
    <w:qFormat/>
    <w:uiPriority w:val="0"/>
    <w:rPr>
      <w:rFonts w:ascii="宋体" w:hAnsi="Courier New"/>
      <w:kern w:val="0"/>
      <w:sz w:val="20"/>
      <w:szCs w:val="20"/>
    </w:rPr>
  </w:style>
  <w:style w:type="paragraph" w:customStyle="1" w:styleId="91">
    <w:name w:val="WPSOffice手动目录 1"/>
    <w:qFormat/>
    <w:uiPriority w:val="0"/>
    <w:rPr>
      <w:rFonts w:ascii="Calibri" w:hAnsi="Calibri" w:eastAsia="宋体" w:cs="Times New Roman"/>
      <w:lang w:val="en-US" w:eastAsia="zh-CN" w:bidi="ar-SA"/>
    </w:rPr>
  </w:style>
  <w:style w:type="paragraph" w:customStyle="1" w:styleId="92">
    <w:name w:val="表格1"/>
    <w:basedOn w:val="1"/>
    <w:qFormat/>
    <w:uiPriority w:val="99"/>
    <w:rPr>
      <w:rFonts w:ascii="仿宋_GB2312"/>
      <w:sz w:val="24"/>
      <w:szCs w:val="24"/>
    </w:rPr>
  </w:style>
  <w:style w:type="character" w:customStyle="1" w:styleId="93">
    <w:name w:val="font61"/>
    <w:qFormat/>
    <w:uiPriority w:val="0"/>
    <w:rPr>
      <w:rFonts w:hint="eastAsia" w:ascii="宋体" w:hAnsi="宋体" w:eastAsia="宋体"/>
      <w:b/>
      <w:bCs/>
      <w:color w:val="000000"/>
      <w:sz w:val="21"/>
      <w:szCs w:val="21"/>
      <w:u w:val="none"/>
    </w:rPr>
  </w:style>
  <w:style w:type="paragraph" w:customStyle="1" w:styleId="94">
    <w:name w:val="msolistparagraph"/>
    <w:basedOn w:val="1"/>
    <w:qFormat/>
    <w:uiPriority w:val="0"/>
    <w:pPr>
      <w:keepNext w:val="0"/>
      <w:keepLines w:val="0"/>
      <w:widowControl w:val="0"/>
      <w:suppressLineNumbers w:val="0"/>
      <w:spacing w:before="0" w:beforeAutospacing="0" w:after="0" w:afterAutospacing="0"/>
      <w:ind w:left="253" w:right="0" w:firstLine="420"/>
      <w:jc w:val="both"/>
    </w:pPr>
    <w:rPr>
      <w:rFonts w:hint="eastAsia" w:ascii="宋体" w:hAnsi="宋体" w:eastAsia="宋体" w:cs="宋体"/>
      <w:kern w:val="2"/>
      <w:sz w:val="21"/>
      <w:szCs w:val="24"/>
      <w:lang w:val="en-US" w:eastAsia="zh-CN" w:bidi="ar"/>
    </w:rPr>
  </w:style>
  <w:style w:type="paragraph" w:customStyle="1" w:styleId="95">
    <w:name w:val="表格"/>
    <w:basedOn w:val="1"/>
    <w:qFormat/>
    <w:uiPriority w:val="0"/>
    <w:pPr>
      <w:adjustRightInd w:val="0"/>
      <w:spacing w:line="240" w:lineRule="auto"/>
      <w:ind w:firstLine="0" w:firstLineChars="0"/>
    </w:pPr>
    <w:rPr>
      <w:rFonts w:hint="eastAsia" w:ascii="宋体" w:hAnsi="宋体" w:cs="宋体"/>
      <w:bCs/>
    </w:rPr>
  </w:style>
  <w:style w:type="paragraph" w:customStyle="1" w:styleId="96">
    <w:name w:val="Body text|1"/>
    <w:basedOn w:val="1"/>
    <w:qFormat/>
    <w:uiPriority w:val="0"/>
    <w:pPr>
      <w:widowControl w:val="0"/>
      <w:shd w:val="clear" w:color="auto" w:fill="auto"/>
      <w:spacing w:line="360" w:lineRule="auto"/>
      <w:ind w:firstLine="400"/>
    </w:pPr>
    <w:rPr>
      <w:rFonts w:ascii="宋体" w:hAnsi="宋体" w:eastAsia="宋体" w:cs="宋体"/>
      <w:sz w:val="28"/>
      <w:szCs w:val="28"/>
      <w:u w:val="none"/>
      <w:shd w:val="clear" w:color="auto" w:fill="auto"/>
      <w:lang w:val="zh-TW" w:eastAsia="zh-TW" w:bidi="zh-TW"/>
    </w:rPr>
  </w:style>
  <w:style w:type="paragraph" w:customStyle="1" w:styleId="97">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98">
    <w:name w:val="TOAHeading"/>
    <w:basedOn w:val="1"/>
    <w:next w:val="1"/>
    <w:qFormat/>
    <w:uiPriority w:val="99"/>
    <w:pPr>
      <w:spacing w:before="120"/>
      <w:textAlignment w:val="baseline"/>
    </w:pPr>
    <w:rPr>
      <w:rFonts w:ascii="Arial" w:hAnsi="Arial" w:eastAsia="仿宋_GB2312" w:cs="Arial"/>
      <w:b/>
      <w:bCs/>
      <w:color w:val="000000"/>
      <w:kern w:val="0"/>
      <w:sz w:val="24"/>
      <w:szCs w:val="21"/>
    </w:rPr>
  </w:style>
  <w:style w:type="paragraph" w:customStyle="1" w:styleId="99">
    <w:name w:val="HtmlNormal"/>
    <w:basedOn w:val="1"/>
    <w:qFormat/>
    <w:uiPriority w:val="99"/>
    <w:pPr>
      <w:widowControl/>
      <w:spacing w:before="100" w:beforeAutospacing="1" w:after="100" w:afterAutospacing="1"/>
      <w:jc w:val="left"/>
      <w:textAlignment w:val="baseline"/>
    </w:pPr>
    <w:rPr>
      <w:rFonts w:ascii="宋体" w:hAnsi="宋体"/>
      <w:kern w:val="0"/>
      <w:sz w:val="24"/>
    </w:rPr>
  </w:style>
  <w:style w:type="paragraph" w:customStyle="1" w:styleId="100">
    <w:name w:val="样式 宋体 行距: 固定值 20 磅 首行缩进:  2 字符"/>
    <w:basedOn w:val="1"/>
    <w:qFormat/>
    <w:uiPriority w:val="99"/>
    <w:pPr>
      <w:spacing w:line="400" w:lineRule="exact"/>
      <w:ind w:firstLine="435" w:firstLineChars="207"/>
    </w:pPr>
    <w:rPr>
      <w:rFonts w:ascii="宋体" w:hAnsi="宋体" w:cs="宋体"/>
      <w:szCs w:val="20"/>
    </w:rPr>
  </w:style>
  <w:style w:type="paragraph" w:customStyle="1" w:styleId="101">
    <w:name w:val="paragraph"/>
    <w:basedOn w:val="1"/>
    <w:semiHidden/>
    <w:qFormat/>
    <w:uiPriority w:val="0"/>
    <w:pPr>
      <w:widowControl/>
      <w:spacing w:before="100" w:beforeAutospacing="1" w:after="100" w:afterAutospacing="1"/>
      <w:jc w:val="left"/>
    </w:pPr>
    <w:rPr>
      <w:rFonts w:ascii="等线" w:hAnsi="等线" w:eastAsia="等线"/>
      <w:kern w:val="0"/>
    </w:rPr>
  </w:style>
  <w:style w:type="paragraph" w:customStyle="1" w:styleId="102">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54</Pages>
  <Words>14627</Words>
  <Characters>15918</Characters>
  <Lines>209</Lines>
  <Paragraphs>59</Paragraphs>
  <TotalTime>23</TotalTime>
  <ScaleCrop>false</ScaleCrop>
  <LinksUpToDate>false</LinksUpToDate>
  <CharactersWithSpaces>16094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2022-01-26T12:54:00Z</dcterms:created>
  <dc:creator>vicy_YY</dc:creator>
  <cp:lastModifiedBy>吴美娟</cp:lastModifiedBy>
  <cp:lastPrinted>2025-04-01T09:21:00Z</cp:lastPrinted>
  <dcterms:modified xsi:type="dcterms:W3CDTF">2025-04-02T08:43:16Z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18383CD57C6147098C7BB5885C5B7C36_13</vt:lpwstr>
  </property>
  <property fmtid="{D5CDD505-2E9C-101B-9397-08002B2CF9AE}" pid="4" name="KSOTemplateDocerSaveRecord">
    <vt:lpwstr>eyJoZGlkIjoiNWFmZDgwYTAwMmNkZTk1MDdkOTg1Y2RjZjRhZGU3ZTciLCJ1c2VySWQiOiI0MzkwMjY4MjMifQ==</vt:lpwstr>
  </property>
</Properties>
</file>