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楷体_GB2312" w:eastAsia="楷体_GB2312"/>
          <w:b/>
          <w:color w:val="auto"/>
          <w:sz w:val="52"/>
          <w:szCs w:val="52"/>
          <w:highlight w:val="none"/>
          <w:lang w:eastAsia="zh-CN"/>
        </w:rPr>
        <w:t>柯城区2024-2025年度松材线虫病疫情除治（枯死松树清理）采购项目--石梁镇标段</w:t>
      </w:r>
    </w:p>
    <w:p>
      <w:pPr>
        <w:jc w:val="center"/>
        <w:outlineLvl w:val="0"/>
        <w:rPr>
          <w:rFonts w:hint="eastAsia" w:ascii="仿宋" w:hAnsi="仿宋" w:eastAsia="仿宋" w:cs="仿宋"/>
          <w:b/>
          <w:color w:val="auto"/>
          <w:sz w:val="72"/>
          <w:szCs w:val="72"/>
          <w:highlight w:val="none"/>
        </w:rPr>
      </w:pP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ZJXSJ2024301</w:t>
      </w:r>
    </w:p>
    <w:tbl>
      <w:tblPr>
        <w:tblStyle w:val="63"/>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 xml:space="preserve">衢州市柯城区石梁镇人民政府 </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月</w:t>
            </w:r>
          </w:p>
        </w:tc>
      </w:tr>
    </w:tbl>
    <w:p>
      <w:pPr>
        <w:pStyle w:val="641"/>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pPr>
        <w:pStyle w:val="641"/>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柯城区2024-2025年度松材线虫病疫情除治（枯死松树清理）采购项目--石梁镇标段</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02</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15</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ZJXSJ2024301</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柯城区2024-2025年度松材线虫病疫情除治（枯死松树清理）采购项目--石梁镇标段</w:t>
      </w:r>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600000 </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eastAsia="zh-CN"/>
        </w:rPr>
        <w:t>600000</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柯城区2024-2025年度松材线虫病疫情除治（枯死松树清理）采购项目--石梁镇标段</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600000元</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柯城区2024-2025年度松材线虫病疫情除治（枯死松树清理）采购项目--石梁镇标段，详见招标文件</w:t>
      </w:r>
      <w:r>
        <w:rPr>
          <w:rFonts w:hint="eastAsia" w:ascii="仿宋" w:hAnsi="仿宋" w:eastAsia="仿宋" w:cs="仿宋"/>
          <w:b w:val="0"/>
          <w:bCs/>
          <w:color w:val="auto"/>
          <w:sz w:val="24"/>
          <w:highlight w:val="none"/>
        </w:rPr>
        <w:t>。</w:t>
      </w:r>
    </w:p>
    <w:p>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2025年3月底前，全面完成枯死松树清理工作。</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服务全部由符合政策要求的中小企业承接，提供中小企业声明函</w:t>
      </w: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lang w:eastAsia="zh-CN"/>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年12月02日15点00分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（浙财采监（2022）8号）已分别于2022年1月29日、2022月1日和2022年7月1日开始实施，此前有关规定与上述文件内容不一致的，按上述文件要求执行。</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28359019"/>
      <w:bookmarkStart w:id="7" w:name="_Toc35393806"/>
      <w:bookmarkStart w:id="8" w:name="_Toc2835909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 xml:space="preserve">衢州市柯城区石梁镇人民政府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址：浙江省衢州市柯城区石梁镇石梁村</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刘先生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18067897297</w:t>
      </w:r>
      <w:bookmarkStart w:id="42" w:name="_GoBack"/>
      <w:bookmarkEnd w:id="42"/>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汪先生</w:t>
      </w:r>
      <w:r>
        <w:rPr>
          <w:rFonts w:hint="eastAsia" w:ascii="仿宋" w:hAnsi="仿宋" w:eastAsia="仿宋" w:cs="仿宋"/>
          <w:color w:val="auto"/>
          <w:kern w:val="0"/>
          <w:sz w:val="24"/>
          <w:szCs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en-US" w:eastAsia="zh-CN"/>
        </w:rPr>
        <w:t>570-</w:t>
      </w:r>
      <w:r>
        <w:rPr>
          <w:rFonts w:hint="eastAsia" w:ascii="仿宋" w:hAnsi="仿宋" w:eastAsia="仿宋" w:cs="仿宋"/>
          <w:color w:val="auto"/>
          <w:sz w:val="24"/>
          <w:highlight w:val="none"/>
          <w:lang w:eastAsia="zh-CN"/>
        </w:rPr>
        <w:t xml:space="preserve">2981002 </w:t>
      </w:r>
    </w:p>
    <w:p>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35393807"/>
      <w:bookmarkStart w:id="11" w:name="_Toc35393638"/>
      <w:bookmarkStart w:id="12" w:name="_Toc28359020"/>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28359098"/>
      <w:bookmarkStart w:id="14" w:name="_Toc35393808"/>
      <w:bookmarkStart w:id="15" w:name="_Toc35393639"/>
      <w:bookmarkStart w:id="16" w:name="_Toc28359021"/>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俊</w:t>
      </w:r>
      <w:r>
        <w:rPr>
          <w:rFonts w:hint="eastAsia" w:ascii="仿宋" w:hAnsi="仿宋" w:eastAsia="仿宋" w:cs="仿宋"/>
          <w:color w:val="auto"/>
          <w:sz w:val="24"/>
          <w:highlight w:val="none"/>
          <w:lang w:eastAsia="zh-CN"/>
        </w:rPr>
        <w:t>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址：浙江省衢州市柯城区上街92号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 xml:space="preserve">3020829 </w:t>
      </w:r>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柯城区2024-2025年度松材线虫病疫情除治（枯死松树清理）采购项目--石梁镇标段</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r>
        <w:rPr>
          <w:rFonts w:hint="eastAsia" w:ascii="仿宋" w:hAnsi="仿宋" w:eastAsia="仿宋" w:cs="仿宋"/>
          <w:b/>
          <w:color w:val="auto"/>
          <w:sz w:val="32"/>
          <w:szCs w:val="32"/>
          <w:highlight w:val="none"/>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2</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.4小微企业应按照招标文件格式要求提供《中小企业声明函》。</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以联合体形式参加政府采购活动，联合体各方均为中小企业的，联合体视同中小企业。其中，联合体各方均为小微企业的，联合体视同小微企业。</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.7符合《关于促进残疾人就业政府采购政策的通知》（财库〔2017〕141号）规定的条件并提供《残疾人福利性单位声明函》的残疾人福利性单位视同小微企业；</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left"/>
        <w:textAlignment w:val="auto"/>
        <w:outlineLvl w:val="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4.4本项目招标代理相关服务费按实收取由中标单位支付，详情咨询代理机构，报价时不单列，综合考虑。</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pPr>
        <w:pStyle w:val="7"/>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pStyle w:val="26"/>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lang w:eastAsia="zh-CN"/>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技术偏离说明表。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pPr>
        <w:pStyle w:val="136"/>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pPr>
        <w:pStyle w:val="136"/>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1.6评标委员会对投标文件报价文件资料进行评审，核准投标报价及计算价格分，汇总商务技术分、价格分，根据得分排序确定一名中标候选人。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3.2评标委员会由采购人代表和有关方面的专家组成，成员人数为七人以上单数。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pPr>
        <w:pStyle w:val="35"/>
        <w:keepNext w:val="0"/>
        <w:keepLines w:val="0"/>
        <w:pageBreakBefore w:val="0"/>
        <w:widowControl w:val="0"/>
        <w:kinsoku/>
        <w:wordWrap/>
        <w:overflowPunct/>
        <w:topLinePunct w:val="0"/>
        <w:autoSpaceDE/>
        <w:autoSpaceDN/>
        <w:bidi w:val="0"/>
        <w:adjustRightInd w:val="0"/>
        <w:spacing w:line="240" w:lineRule="auto"/>
        <w:ind w:firstLine="726"/>
        <w:jc w:val="center"/>
        <w:textAlignment w:val="auto"/>
        <w:rPr>
          <w:rFonts w:hint="eastAsia" w:ascii="仿宋" w:hAnsi="仿宋" w:eastAsia="仿宋" w:cs="仿宋"/>
          <w:b/>
          <w:color w:val="auto"/>
          <w:sz w:val="32"/>
          <w:szCs w:val="32"/>
          <w:highlight w:val="none"/>
        </w:rPr>
      </w:pPr>
      <w:bookmarkStart w:id="20" w:name="_Hlt75236101"/>
      <w:bookmarkEnd w:id="20"/>
      <w:bookmarkStart w:id="21" w:name="_Hlt74714665"/>
      <w:bookmarkEnd w:id="21"/>
      <w:bookmarkStart w:id="22" w:name="_Hlt74729768"/>
      <w:bookmarkEnd w:id="22"/>
      <w:bookmarkStart w:id="23" w:name="_Hlt68057669"/>
      <w:bookmarkEnd w:id="23"/>
      <w:bookmarkStart w:id="24" w:name="_Hlt75236011"/>
      <w:bookmarkEnd w:id="24"/>
      <w:bookmarkStart w:id="25" w:name="_Hlt74707468"/>
      <w:bookmarkEnd w:id="25"/>
      <w:bookmarkStart w:id="26" w:name="_Hlt68403820"/>
      <w:bookmarkEnd w:id="26"/>
      <w:bookmarkStart w:id="27" w:name="_Hlt74730295"/>
      <w:bookmarkEnd w:id="27"/>
      <w:bookmarkStart w:id="28" w:name="_Hlt68072990"/>
      <w:bookmarkEnd w:id="28"/>
      <w:bookmarkStart w:id="29" w:name="_Hlt68072998"/>
      <w:bookmarkEnd w:id="29"/>
      <w:bookmarkStart w:id="30" w:name="_Hlt68073093"/>
      <w:bookmarkEnd w:id="30"/>
      <w:bookmarkStart w:id="31" w:name="_Hlt75236290"/>
      <w:bookmarkEnd w:id="31"/>
      <w:bookmarkStart w:id="32" w:name="_Toc81372776"/>
      <w:bookmarkStart w:id="33" w:name="_Toc81372953"/>
      <w:bookmarkStart w:id="34" w:name="_Toc84325929"/>
      <w:r>
        <w:rPr>
          <w:rFonts w:hint="eastAsia" w:ascii="仿宋" w:hAnsi="仿宋" w:eastAsia="仿宋" w:cs="仿宋"/>
          <w:b/>
          <w:color w:val="auto"/>
          <w:sz w:val="32"/>
          <w:szCs w:val="32"/>
          <w:highlight w:val="none"/>
        </w:rPr>
        <w:t>五、授予合同</w:t>
      </w:r>
    </w:p>
    <w:bookmarkEnd w:id="32"/>
    <w:bookmarkEnd w:id="33"/>
    <w:bookmarkEnd w:id="34"/>
    <w:p>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pPr>
        <w:adjustRightInd w:val="0"/>
        <w:spacing w:line="240"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仿宋" w:hAnsi="仿宋" w:eastAsia="仿宋" w:cs="仿宋"/>
          <w:b/>
          <w:bCs/>
          <w:i w:val="0"/>
          <w:iCs w:val="0"/>
          <w:color w:val="auto"/>
          <w:kern w:val="2"/>
          <w:sz w:val="24"/>
          <w:szCs w:val="20"/>
          <w:highlight w:val="none"/>
          <w:vertAlign w:val="baseline"/>
          <w:lang w:val="en-US" w:eastAsia="zh-CN" w:bidi="ar-SA"/>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pPr>
        <w:pStyle w:val="83"/>
        <w:rPr>
          <w:rFonts w:hint="default" w:ascii="仿宋" w:hAnsi="仿宋" w:eastAsia="仿宋" w:cs="仿宋"/>
          <w:b/>
          <w:bCs/>
          <w:i w:val="0"/>
          <w:iCs w:val="0"/>
          <w:color w:val="auto"/>
          <w:kern w:val="2"/>
          <w:sz w:val="24"/>
          <w:szCs w:val="20"/>
          <w:highlight w:val="none"/>
          <w:vertAlign w:val="baseline"/>
          <w:lang w:val="en-US" w:eastAsia="zh-CN" w:bidi="ar-SA"/>
        </w:rPr>
      </w:pPr>
    </w:p>
    <w:p>
      <w:pPr>
        <w:pStyle w:val="262"/>
        <w:numPr>
          <w:ilvl w:val="0"/>
          <w:numId w:val="0"/>
        </w:numPr>
        <w:autoSpaceDE w:val="0"/>
        <w:spacing w:line="560" w:lineRule="exact"/>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17"/>
    <w:bookmarkEnd w:id="18"/>
    <w:p>
      <w:pPr>
        <w:adjustRightInd/>
        <w:snapToGrid w:val="0"/>
        <w:spacing w:line="440" w:lineRule="exact"/>
        <w:ind w:firstLine="480" w:firstLineChars="200"/>
        <w:rPr>
          <w:rFonts w:hint="eastAsia" w:ascii="仿宋" w:hAnsi="仿宋" w:eastAsia="仿宋" w:cs="仿宋"/>
          <w:color w:val="auto"/>
          <w:sz w:val="24"/>
          <w:szCs w:val="24"/>
          <w:highlight w:val="none"/>
          <w:lang w:eastAsia="zh-CN"/>
        </w:rPr>
      </w:pPr>
      <w:bookmarkStart w:id="35" w:name="第五部分"/>
      <w:bookmarkStart w:id="36" w:name="_Toc86217003"/>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项目名称：柯城区2024-2025年度松材线虫病疫情除治（枯死松树清理）采购项目--石梁镇标段</w:t>
      </w:r>
    </w:p>
    <w:tbl>
      <w:tblPr>
        <w:tblStyle w:val="63"/>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66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174" w:type="dxa"/>
            <w:noWrap w:val="0"/>
            <w:vAlign w:val="center"/>
          </w:tcPr>
          <w:p>
            <w:pPr>
              <w:adjustRightInd/>
              <w:spacing w:line="400" w:lineRule="exact"/>
              <w:jc w:val="center"/>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rPr>
              <w:t>标项内容</w:t>
            </w:r>
          </w:p>
        </w:tc>
        <w:tc>
          <w:tcPr>
            <w:tcW w:w="2667" w:type="dxa"/>
            <w:noWrap w:val="0"/>
            <w:vAlign w:val="center"/>
          </w:tcPr>
          <w:p>
            <w:pPr>
              <w:adjustRightInd/>
              <w:spacing w:line="400" w:lineRule="exact"/>
              <w:jc w:val="center"/>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rPr>
              <w:t>数量</w:t>
            </w:r>
          </w:p>
        </w:tc>
        <w:tc>
          <w:tcPr>
            <w:tcW w:w="3481" w:type="dxa"/>
            <w:noWrap w:val="0"/>
            <w:vAlign w:val="center"/>
          </w:tcPr>
          <w:p>
            <w:pPr>
              <w:adjustRightInd/>
              <w:spacing w:line="400" w:lineRule="exact"/>
              <w:jc w:val="center"/>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lang w:eastAsia="zh-CN"/>
              </w:rPr>
              <w:t>最高限</w:t>
            </w:r>
            <w:r>
              <w:rPr>
                <w:rFonts w:hint="eastAsia" w:ascii="仿宋" w:hAnsi="仿宋" w:eastAsia="仿宋" w:cs="仿宋"/>
                <w:b/>
                <w:color w:val="auto"/>
                <w:w w:val="90"/>
                <w:sz w:val="24"/>
                <w:szCs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174" w:type="dxa"/>
            <w:noWrap w:val="0"/>
            <w:vAlign w:val="center"/>
          </w:tcPr>
          <w:p>
            <w:pPr>
              <w:adjustRightInd/>
              <w:spacing w:line="4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柯城区2024-2025年度松材线虫病疫情除治（枯死松树清理）采购项目--石梁镇标段</w:t>
            </w:r>
          </w:p>
        </w:tc>
        <w:tc>
          <w:tcPr>
            <w:tcW w:w="2667" w:type="dxa"/>
            <w:noWrap w:val="0"/>
            <w:vAlign w:val="center"/>
          </w:tcPr>
          <w:p>
            <w:pPr>
              <w:adjustRightInd/>
              <w:spacing w:line="400" w:lineRule="exact"/>
              <w:rPr>
                <w:rFonts w:hint="eastAsia" w:ascii="仿宋" w:hAnsi="仿宋" w:eastAsia="仿宋" w:cs="仿宋"/>
                <w:color w:val="auto"/>
                <w:highlight w:val="none"/>
              </w:rPr>
            </w:pPr>
            <w:r>
              <w:rPr>
                <w:rFonts w:hint="eastAsia" w:ascii="仿宋" w:hAnsi="仿宋" w:eastAsia="仿宋" w:cs="仿宋"/>
                <w:color w:val="auto"/>
                <w:highlight w:val="none"/>
                <w:lang w:val="zh-CN" w:eastAsia="zh-CN"/>
              </w:rPr>
              <w:t>运往定点加工企业处理</w:t>
            </w:r>
            <w:r>
              <w:rPr>
                <w:rFonts w:hint="eastAsia" w:ascii="仿宋" w:hAnsi="仿宋" w:eastAsia="仿宋" w:cs="仿宋"/>
                <w:color w:val="auto"/>
                <w:highlight w:val="none"/>
                <w:lang w:eastAsia="zh-CN"/>
              </w:rPr>
              <w:t>约</w:t>
            </w:r>
            <w:r>
              <w:rPr>
                <w:rFonts w:hint="eastAsia" w:ascii="仿宋" w:hAnsi="仿宋" w:eastAsia="仿宋" w:cs="仿宋"/>
                <w:color w:val="auto"/>
                <w:highlight w:val="none"/>
                <w:lang w:val="en-US" w:eastAsia="zh-CN"/>
              </w:rPr>
              <w:t>500</w:t>
            </w:r>
            <w:r>
              <w:rPr>
                <w:rFonts w:hint="eastAsia" w:ascii="仿宋" w:hAnsi="仿宋" w:eastAsia="仿宋" w:cs="仿宋"/>
                <w:color w:val="auto"/>
                <w:highlight w:val="none"/>
                <w:lang w:eastAsia="zh-CN"/>
              </w:rPr>
              <w:t>吨（</w:t>
            </w:r>
            <w:r>
              <w:rPr>
                <w:rFonts w:hint="eastAsia" w:ascii="仿宋" w:hAnsi="仿宋" w:eastAsia="仿宋" w:cs="仿宋"/>
                <w:color w:val="auto"/>
                <w:highlight w:val="none"/>
                <w:lang w:val="en-US" w:eastAsia="zh-CN"/>
              </w:rPr>
              <w:t>结算时</w:t>
            </w:r>
            <w:r>
              <w:rPr>
                <w:rFonts w:hint="eastAsia" w:ascii="仿宋" w:hAnsi="仿宋" w:eastAsia="仿宋" w:cs="仿宋"/>
                <w:color w:val="auto"/>
                <w:highlight w:val="none"/>
                <w:vertAlign w:val="baseline"/>
                <w:lang w:val="en-US" w:eastAsia="zh-CN"/>
              </w:rPr>
              <w:t>按实际除治重量结算</w:t>
            </w:r>
            <w:r>
              <w:rPr>
                <w:rFonts w:hint="eastAsia" w:ascii="仿宋" w:hAnsi="仿宋" w:eastAsia="仿宋" w:cs="仿宋"/>
                <w:color w:val="auto"/>
                <w:highlight w:val="none"/>
                <w:lang w:eastAsia="zh-CN"/>
              </w:rPr>
              <w:t>）</w:t>
            </w:r>
          </w:p>
        </w:tc>
        <w:tc>
          <w:tcPr>
            <w:tcW w:w="3481" w:type="dxa"/>
            <w:noWrap w:val="0"/>
            <w:vAlign w:val="center"/>
          </w:tcPr>
          <w:p>
            <w:pPr>
              <w:adjustRightInd/>
              <w:spacing w:line="400" w:lineRule="exact"/>
              <w:jc w:val="center"/>
              <w:rPr>
                <w:rFonts w:hint="eastAsia" w:ascii="仿宋" w:hAnsi="仿宋" w:eastAsia="仿宋" w:cs="仿宋"/>
                <w:color w:val="auto"/>
                <w:w w:val="90"/>
                <w:sz w:val="21"/>
                <w:szCs w:val="21"/>
                <w:highlight w:val="none"/>
              </w:rPr>
            </w:pPr>
            <w:r>
              <w:rPr>
                <w:rFonts w:hint="eastAsia" w:ascii="仿宋" w:hAnsi="仿宋" w:eastAsia="仿宋" w:cs="仿宋"/>
                <w:color w:val="auto"/>
                <w:w w:val="90"/>
                <w:sz w:val="21"/>
                <w:szCs w:val="21"/>
                <w:highlight w:val="none"/>
                <w:lang w:val="en-US" w:eastAsia="zh-CN"/>
              </w:rPr>
              <w:t>1200</w:t>
            </w:r>
            <w:r>
              <w:rPr>
                <w:rFonts w:hint="eastAsia" w:ascii="仿宋" w:hAnsi="仿宋" w:eastAsia="仿宋" w:cs="仿宋"/>
                <w:color w:val="auto"/>
                <w:w w:val="90"/>
                <w:sz w:val="21"/>
                <w:szCs w:val="21"/>
                <w:highlight w:val="none"/>
              </w:rPr>
              <w:t>元/吨</w:t>
            </w:r>
          </w:p>
          <w:p>
            <w:pPr>
              <w:adjustRightInd/>
              <w:spacing w:line="400" w:lineRule="exact"/>
              <w:jc w:val="center"/>
              <w:rPr>
                <w:rFonts w:hint="eastAsia" w:ascii="仿宋" w:hAnsi="仿宋" w:eastAsia="仿宋" w:cs="仿宋"/>
                <w:color w:val="auto"/>
                <w:w w:val="9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9322" w:type="dxa"/>
            <w:gridSpan w:val="3"/>
            <w:noWrap w:val="0"/>
            <w:vAlign w:val="center"/>
          </w:tcPr>
          <w:p>
            <w:pPr>
              <w:adjustRightInd/>
              <w:spacing w:line="400" w:lineRule="exact"/>
              <w:jc w:val="center"/>
              <w:rPr>
                <w:rFonts w:hint="eastAsia" w:ascii="仿宋" w:hAnsi="仿宋" w:eastAsia="仿宋" w:cs="仿宋"/>
                <w:color w:val="auto"/>
                <w:w w:val="90"/>
                <w:sz w:val="21"/>
                <w:szCs w:val="21"/>
                <w:highlight w:val="none"/>
                <w:lang w:val="en-US" w:eastAsia="zh-CN"/>
              </w:rPr>
            </w:pPr>
            <w:r>
              <w:rPr>
                <w:rFonts w:hint="eastAsia"/>
                <w:color w:val="auto"/>
                <w:highlight w:val="none"/>
                <w:vertAlign w:val="baseline"/>
                <w:lang w:val="en-US" w:eastAsia="zh-CN"/>
              </w:rPr>
              <w:t>注：本项目按单价报价，最终按实际除治重量结算，最终结算总价不超过60万元。</w:t>
            </w:r>
          </w:p>
        </w:tc>
      </w:tr>
    </w:tbl>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、服务内容</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采用择伐等方式，在规定期限对采购人指定区域所有病死、枯死、濒死和因干旱、风折、雪压、火烧等死亡的松树进行除治，并对伐除的松木、枝桠以及伐桩进行管理、处理。</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1、作业范围</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石梁镇镇（街道）内防治区范围(业主指定范围) </w:t>
      </w:r>
      <w:r>
        <w:rPr>
          <w:rFonts w:hint="eastAsia" w:ascii="仿宋" w:hAnsi="仿宋" w:eastAsia="仿宋" w:cs="仿宋"/>
          <w:color w:val="auto"/>
          <w:sz w:val="24"/>
          <w:szCs w:val="24"/>
          <w:highlight w:val="none"/>
        </w:rPr>
        <w:t>。</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2、清理对象</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全面清理辖区范围内的枯死松树。</w:t>
      </w:r>
      <w:r>
        <w:rPr>
          <w:rFonts w:hint="eastAsia" w:ascii="仿宋" w:hAnsi="仿宋" w:eastAsia="仿宋" w:cs="仿宋"/>
          <w:color w:val="auto"/>
          <w:sz w:val="24"/>
          <w:szCs w:val="24"/>
          <w:highlight w:val="none"/>
        </w:rPr>
        <w:t>濒死松树为50%松叶变黄红色且树干极少树脂甚至轻敲脱皮的松树或者上部枝叶50%出现红色枯死的松树。</w:t>
      </w:r>
      <w:r>
        <w:rPr>
          <w:rFonts w:hint="eastAsia" w:ascii="仿宋" w:hAnsi="仿宋" w:eastAsia="仿宋" w:cs="仿宋"/>
          <w:color w:val="auto"/>
          <w:sz w:val="24"/>
          <w:szCs w:val="24"/>
          <w:highlight w:val="none"/>
        </w:rPr>
        <w:t>不得采伐正常活松树、非松科植物、已腐烂松树或枯死两年以上的松树。清理队擅自采伐非松树、鲜活松树等，按照涉嫌盗伐、滥伐林木罪进行调查和处罚，确有清理过程中无法避免砸坏的杂木、活松树，不得混入过磅枯死松木中滥竿充数。要严格执行松疫木除治性采伐管理规定，清理前及时做好采伐作业设计，足额办理枯死松树清理采伐证。</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3、清理质量</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1伐桩处理：伐桩不高于地面5厘米。</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主干、树枝处理：主干、树枝（小头直径1厘米以上）同步下山，运至定点处理企业进行无害处理，不得遗漏山场。</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3标记处理：伐桩周边需系有红色飘带。</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4数字森防：按规定通过手机APP上传相关资料到“数字森防”。</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4、清理时间</w:t>
      </w:r>
    </w:p>
    <w:p>
      <w:p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3月31日前完成枯死松树清理工作，4月份组织开展回头看，若因极端、长时间持续下雨天气等客观因素，导致无法在规定期限内完成清理的，经同意可适当延期，最迟不得迟于4月中旬。要按照“先重点后一般、先紧后宽”的要求，合理安排清理进度</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5、疫木处置</w:t>
      </w:r>
    </w:p>
    <w:p>
      <w:pPr>
        <w:adjustRightInd/>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5.1运往定点加工企业处理：</w:t>
      </w:r>
      <w:r>
        <w:rPr>
          <w:rFonts w:hint="eastAsia" w:ascii="仿宋" w:hAnsi="仿宋" w:eastAsia="仿宋" w:cs="仿宋"/>
          <w:color w:val="auto"/>
          <w:sz w:val="24"/>
          <w:szCs w:val="24"/>
          <w:highlight w:val="none"/>
          <w:lang w:val="zh-CN"/>
        </w:rPr>
        <w:t>主干、树枝同步下山运入定点处理企业进行无害化处理，小头直径12厘米以上（含）椴木（要求按1米、2米、或3米段造材）。定点处理企业的统一收购价275元/吨（不区分椴木、枝桠价格）。</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6、疫木调运</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柯城区疫木处理联系单》由乡镇（街道）林业干部签发，村级或乡级签字盖章。建立监督群，砍伐、搬运、装车图片发群备查，严禁低价标段疫木流向高价标段、其他项目的松木混入枯死松树清理项目，一经查实，高价标段疫木全部按低价标段结算，其他项目的松木全部没收并视情节严重处以1-3倍罚款。</w:t>
      </w:r>
    </w:p>
    <w:p>
      <w:pPr>
        <w:adjustRightInd/>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7、服务质量保证期</w:t>
      </w:r>
    </w:p>
    <w:p>
      <w:pPr>
        <w:adjustRightInd/>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自清理日起至202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日。乙方要对合同清理范围内发现的枯死松树（病死）进行即时清理，发现一株，清理一株（按</w:t>
      </w:r>
      <w:r>
        <w:rPr>
          <w:rFonts w:hint="eastAsia" w:ascii="仿宋" w:hAnsi="仿宋" w:eastAsia="仿宋" w:cs="仿宋"/>
          <w:color w:val="auto"/>
          <w:sz w:val="24"/>
          <w:szCs w:val="24"/>
          <w:highlight w:val="none"/>
          <w:lang w:val="zh-CN"/>
        </w:rPr>
        <w:t>清理标准和要求处理）。</w:t>
      </w:r>
    </w:p>
    <w:p>
      <w:pPr>
        <w:adjustRightInd/>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8、除治台账</w:t>
      </w:r>
    </w:p>
    <w:p>
      <w:pPr>
        <w:adjustRightInd/>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除治</w:t>
      </w:r>
      <w:r>
        <w:rPr>
          <w:rFonts w:hint="eastAsia" w:ascii="仿宋" w:hAnsi="仿宋" w:eastAsia="仿宋" w:cs="仿宋"/>
          <w:color w:val="auto"/>
          <w:sz w:val="24"/>
          <w:szCs w:val="24"/>
          <w:highlight w:val="none"/>
          <w:lang w:val="zh-CN"/>
        </w:rPr>
        <w:t>照片。</w:t>
      </w:r>
      <w:r>
        <w:rPr>
          <w:rFonts w:hint="eastAsia" w:ascii="仿宋" w:hAnsi="仿宋" w:eastAsia="仿宋" w:cs="仿宋"/>
          <w:color w:val="auto"/>
          <w:sz w:val="24"/>
          <w:szCs w:val="24"/>
          <w:highlight w:val="none"/>
          <w:lang w:val="zh-CN"/>
        </w:rPr>
        <w:t>清理专业队伍带班人员需使用水印相机（包含时间、经纬度等）进行拍照，包括但不限于伐桩、现场装车照片、运输车辆照片等，同时要上传到监管群备查。</w:t>
      </w:r>
    </w:p>
    <w:p>
      <w:pPr>
        <w:adjustRightInd/>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zh-CN"/>
        </w:rPr>
        <w:t>除治日记。出工日详细记录清理时间、地点、人数、砍伐数量等内容，并由相关责任人员签字。</w:t>
      </w:r>
    </w:p>
    <w:p>
      <w:p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3保存凭证。保存疫木定点处理企业过磅单、销售发票、联系单等原始凭证，作为支付款项及备核查依据</w:t>
      </w:r>
    </w:p>
    <w:p>
      <w:p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9、安全保障</w:t>
      </w:r>
    </w:p>
    <w:p>
      <w:p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各清理队必须落实清理人员人身意外伤害保险，枯死松树清理前必须对所有清理人员进行技术培训，并开展安全教育，山场作业时做到安全第一</w:t>
      </w:r>
    </w:p>
    <w:p>
      <w:pPr>
        <w:numPr>
          <w:ilvl w:val="0"/>
          <w:numId w:val="1"/>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班组搭配</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要求清理单位不少于2支施工作业班组，班组人员要搭配合理。对于清理人员少、班组人员搭配不合理、进度缓慢等问题，相关乡镇要及时约谈清理队负责人，限期整改。</w:t>
      </w:r>
    </w:p>
    <w:p>
      <w:pPr>
        <w:numPr>
          <w:ilvl w:val="0"/>
          <w:numId w:val="1"/>
        </w:numPr>
        <w:adjustRightInd/>
        <w:snapToGrid w:val="0"/>
        <w:spacing w:line="440" w:lineRule="exact"/>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协调服务</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要为清理队创造良好的清理环境。在进场前要提前通知清理山场所在村，并做好农户告知与宣传工作，处理好个别农户阻碍清理等问题。</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12.深入检查</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必须深入现场检查，对于质量问题（伐桩过高、松木遗漏山场、枝桠未清理干净等)、漏清、成片未清等，要及时下发整改通知书督促除治队进行整改。</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把好普查关。要高度重视秋季疫情普查，对枯死松树普查要登记到村、到山头，定小班、定株数、定位置，严格杜绝普查工作走过场、搞形式，确保普查全覆盖、监测无死角。对普查数据出入较大的乡镇进行通报。</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14、把好监督关</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14.1设置专职监督员。每个标段必须落实1名以上专职监督员，监督清理质量和疫木运输。</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14.2疫木凭单运输。疫木运输车辆凭《柯城区疫木处理联系单》运输疫木，实行“一车一单”。</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14.3及时制止违规。对于农户将松疫木材、枝桠采运回家的，要及时制止，对于清理单位非法采伐林木、非法调运松木、非法收购松木等情况的，要及时报有关执法部门进行查处。2025年4月上旬要开展一次山区农户房前屋后松木、松柴大清除，进一步削减阻断传播源。</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14.4督促限期整改。对发现的除治质量问题（伐桩过高、松木遗漏山场、枝桠未拾捡干净等)、漏清、成片未清等，及时签发整改通知书，督促清理单位限期整改到位。</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把好收购关。建立清理单位、乡镇（街道)林业干部、专职监督员的监管工作群，清理、装车、卸车图片发群备查。严防低价标段疫木流入高价标段，一经查实，高价标段疫木全部按低价标段结算，情节严重的列入政府采购黑名单。定点处理企业凭随车同行的《柯城区疫木处理联系单》收购疫木，过磅单净重栏加盖企业收购章，禁止改动，建立收购台账。发现定点处理企业混淆清理单位、疫木类型，虚构疫木数量等行为，将报有关</w:t>
      </w:r>
    </w:p>
    <w:p>
      <w:pPr>
        <w:numPr>
          <w:ilvl w:val="0"/>
          <w:numId w:val="0"/>
        </w:numPr>
        <w:adjustRightInd/>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执法部门予以从严处理。</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把好监测关。各责任单位基本完成清理任务后，要组织乡村干部、护林员、监督员对管辖范围内枯死松树清理情况进行“回头看”，查明新枯死松树遗漏地点、数量等情况，督促清理单位进行“回头看”整改，做到发现一棵清理一棵，不留死角。</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17、把好核验关。</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17.1乡级自验。枯死松树清理完成一个村，验收一个村，由责任单位的分管领导、林业干部、护林员、监督员等相关人员进行现场验收，全面巡查。每村实地抽查不少于3块清理山场（少于等于3块山场的全部验收)，从每个点沿林内小道或清理便道从山脚到山顶，检查线路两旁是否存在应伐而漏伐的枯死松树，伐桩高度是否合格，枝桠是否全部清理干净，树梢、主干是否遗留山场，是否存在砍伐活松树现象，辖区范围内是否存在未清理的枯死松树，山下是否有堆放在路边或农户房前屋后的松木及枝桠。根据验收结果填写验收表格，经验收人员、清理单位签字确认，作为清理结果的依据。</w:t>
      </w:r>
    </w:p>
    <w:p>
      <w:pPr>
        <w:numPr>
          <w:ilvl w:val="0"/>
          <w:numId w:val="0"/>
        </w:numPr>
        <w:adjustRightInd/>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17.2区级核验。区林业局委托第三方机构对各乡镇（街道）的自查验收情况进行抽样核验，根据验收结果出具验收报告，经责任单位、主管部门、验收单位、清理单位签字确认，作为项目的最终验收结论。</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lang w:val="en-US" w:eastAsia="zh-CN"/>
        </w:rPr>
        <w:t xml:space="preserve">    18.把好采伐关。严格执行松树采伐管理规定，按规定要求履行采伐足额审批手续，如因松材线虫病疫情变化，造成审批量不足，要及时向区林业局申请增加采伐量。各乡镇(街道)要对辖区内的松木采伐加强监管，我区松林只能进行除治性采伐，原则上不进行皆伐，采伐的松科植物严格按照疫木进行处理。除征占用林地、省级以上森林抚育经营项目以及建设护林防火设施、开设防火隔离带等特殊情形，扑救森林火灾、防洪抢险等紧急情况外，只能对疫情发生小班及其周边松林中的枯死、濒死松树进行除治性采伐。</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6" w:type="first"/>
          <w:footerReference r:id="rId8" w:type="first"/>
          <w:headerReference r:id="rId5" w:type="default"/>
          <w:footerReference r:id="rId7" w:type="default"/>
          <w:pgSz w:w="11906" w:h="16838"/>
          <w:pgMar w:top="1276" w:right="1648" w:bottom="1247" w:left="1238"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pPr>
        <w:adjustRightInd w:val="0"/>
        <w:ind w:firstLine="480" w:firstLineChars="200"/>
        <w:contextualSpacing/>
        <w:rPr>
          <w:rFonts w:hint="eastAsia"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项目名称：柯城区2024-2025年度松材线虫病疫情除治（枯死松树清理）采购项目---</w:t>
      </w:r>
      <w:r>
        <w:rPr>
          <w:rFonts w:hint="eastAsia" w:ascii="仿宋_GB2312" w:hAnsi="宋体" w:eastAsia="仿宋_GB2312" w:cs="仿宋_GB2312"/>
          <w:color w:val="auto"/>
          <w:sz w:val="24"/>
          <w:szCs w:val="24"/>
          <w:highlight w:val="none"/>
          <w:u w:val="single"/>
          <w:lang w:val="en-US" w:eastAsia="zh-CN"/>
        </w:rPr>
        <w:t>石梁镇</w:t>
      </w:r>
      <w:r>
        <w:rPr>
          <w:rFonts w:hint="eastAsia" w:ascii="仿宋_GB2312" w:hAnsi="宋体" w:eastAsia="仿宋_GB2312" w:cs="仿宋_GB2312"/>
          <w:color w:val="auto"/>
          <w:sz w:val="24"/>
          <w:szCs w:val="24"/>
          <w:highlight w:val="none"/>
        </w:rPr>
        <w:t>标段</w:t>
      </w:r>
    </w:p>
    <w:p>
      <w:pPr>
        <w:adjustRightInd w:val="0"/>
        <w:ind w:firstLine="480" w:firstLineChars="200"/>
        <w:contextualSpacing/>
        <w:rPr>
          <w:rFonts w:hint="eastAsia"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 xml:space="preserve">甲方： </w:t>
      </w:r>
      <w:r>
        <w:rPr>
          <w:rFonts w:hint="eastAsia" w:ascii="仿宋_GB2312" w:hAnsi="宋体" w:eastAsia="仿宋_GB2312" w:cs="仿宋_GB2312"/>
          <w:color w:val="auto"/>
          <w:sz w:val="24"/>
          <w:szCs w:val="24"/>
          <w:highlight w:val="none"/>
          <w:u w:val="single"/>
        </w:rPr>
        <w:t xml:space="preserve">　　　　　　  </w:t>
      </w:r>
    </w:p>
    <w:p>
      <w:pPr>
        <w:adjustRightInd w:val="0"/>
        <w:ind w:firstLine="480" w:firstLineChars="200"/>
        <w:contextualSpacing/>
        <w:rPr>
          <w:rFonts w:hint="eastAsia" w:ascii="仿宋_GB2312" w:hAnsi="宋体" w:eastAsia="仿宋_GB2312" w:cs="仿宋_GB2312"/>
          <w:color w:val="auto"/>
          <w:sz w:val="24"/>
          <w:szCs w:val="24"/>
          <w:highlight w:val="none"/>
          <w:u w:val="single"/>
        </w:rPr>
      </w:pPr>
      <w:r>
        <w:rPr>
          <w:rFonts w:hint="eastAsia" w:ascii="仿宋_GB2312" w:hAnsi="宋体" w:eastAsia="仿宋_GB2312" w:cs="仿宋_GB2312"/>
          <w:color w:val="auto"/>
          <w:sz w:val="24"/>
          <w:szCs w:val="24"/>
          <w:highlight w:val="none"/>
        </w:rPr>
        <w:t xml:space="preserve">乙方： </w:t>
      </w:r>
      <w:r>
        <w:rPr>
          <w:rFonts w:hint="eastAsia" w:ascii="仿宋_GB2312" w:hAnsi="宋体" w:eastAsia="仿宋_GB2312" w:cs="仿宋_GB2312"/>
          <w:color w:val="auto"/>
          <w:sz w:val="24"/>
          <w:szCs w:val="24"/>
          <w:highlight w:val="none"/>
          <w:u w:val="single"/>
        </w:rPr>
        <w:t xml:space="preserve"> </w:t>
      </w:r>
      <w:r>
        <w:rPr>
          <w:rFonts w:ascii="仿宋_GB2312" w:hAnsi="宋体" w:eastAsia="仿宋_GB2312" w:cs="仿宋_GB2312"/>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 xml:space="preserve"> 　</w:t>
      </w:r>
    </w:p>
    <w:p>
      <w:pPr>
        <w:adjustRightInd/>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    为有效开展松材线虫病防治工作，根据《中华人民共和国</w:t>
      </w:r>
      <w:r>
        <w:rPr>
          <w:rFonts w:hint="eastAsia" w:ascii="仿宋_GB2312" w:hAnsi="Times New Roman" w:eastAsia="仿宋_GB2312" w:cs="Times New Roman"/>
          <w:color w:val="auto"/>
          <w:sz w:val="24"/>
          <w:szCs w:val="24"/>
          <w:highlight w:val="none"/>
          <w:lang w:val="en-US" w:eastAsia="zh-CN"/>
        </w:rPr>
        <w:t>民法典</w:t>
      </w:r>
      <w:r>
        <w:rPr>
          <w:rFonts w:hint="eastAsia" w:ascii="仿宋_GB2312" w:hAnsi="Times New Roman" w:eastAsia="仿宋_GB2312" w:cs="Times New Roman"/>
          <w:color w:val="auto"/>
          <w:sz w:val="24"/>
          <w:szCs w:val="24"/>
          <w:highlight w:val="none"/>
        </w:rPr>
        <w:t xml:space="preserve">》、《松材线虫病疫区和疫木管理办法》、《松材线虫病防治技术方案（2022年版）》、《浙江省松材线虫病防治条例》等有关规定，双方秉持自愿平等、公平守信原则，就松材线虫病枯死树除治工程施工有关事项协商一致，订立本合同，具体内容如下： </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一、服务内容</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采用择伐等方式，在规定期限对采购人指定区域所有病死（枯死、濒死）和其他原因致死（干旱、风折、雪压、火烧）的松树进行除治，并对伐除的松木、清理的枝桠及伐桩进行管理、处理。</w:t>
      </w:r>
    </w:p>
    <w:p>
      <w:pPr>
        <w:adjustRightInd/>
        <w:ind w:firstLine="480" w:firstLineChars="200"/>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1、作业范围</w:t>
      </w:r>
    </w:p>
    <w:p>
      <w:pPr>
        <w:adjustRightInd/>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w:t>
      </w:r>
      <w:r>
        <w:rPr>
          <w:rFonts w:hint="eastAsia" w:ascii="仿宋_GB2312" w:hAnsi="宋体" w:eastAsia="仿宋_GB2312" w:cs="仿宋_GB2312"/>
          <w:color w:val="auto"/>
          <w:sz w:val="24"/>
          <w:szCs w:val="24"/>
          <w:highlight w:val="none"/>
          <w:u w:val="single"/>
        </w:rPr>
        <w:t xml:space="preserve">石梁镇镇（街道）内防治区范围(业主指定范围) </w:t>
      </w:r>
      <w:r>
        <w:rPr>
          <w:rFonts w:hint="eastAsia" w:ascii="仿宋_GB2312" w:hAnsi="宋体" w:eastAsia="仿宋_GB2312" w:cs="仿宋_GB2312"/>
          <w:color w:val="auto"/>
          <w:sz w:val="24"/>
          <w:szCs w:val="24"/>
          <w:highlight w:val="none"/>
        </w:rPr>
        <w:t>。</w:t>
      </w:r>
    </w:p>
    <w:p>
      <w:pPr>
        <w:adjustRightInd/>
        <w:ind w:firstLine="480" w:firstLineChars="200"/>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2、除治对象</w:t>
      </w:r>
    </w:p>
    <w:p>
      <w:pPr>
        <w:adjustRightInd/>
        <w:ind w:firstLine="480" w:firstLineChars="200"/>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辖区范围内的所有枯死、濒死松树。濒死松树为50%松叶变黄红色且树干极少树脂甚至轻敲脱皮的松树或者上部枝叶50%出现红色枯死的松树。不得采伐正常活松树、非松棵植物、已腐烂或者枯死两年以上松树。清理队擅自采伐杂木、鲜活松树等，按照涉嫌盗伐、滥伐树木罪进行调查和处罚，确有清理过程中无法避免砸坏的杂木、活松树，不得混入过磅枯死松木中滥竽充数。要严格执行松疫木除治性采伐管理规定，清理前及时做好采伐作业设计，足额审批枯死松树清理采伐证。</w:t>
      </w:r>
    </w:p>
    <w:p>
      <w:pPr>
        <w:adjustRightInd/>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3、清理质量</w:t>
      </w:r>
    </w:p>
    <w:p>
      <w:pPr>
        <w:adjustRightInd/>
        <w:spacing w:line="24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3.1 伐桩处理：伐桩高度不高于地面5厘米。</w:t>
      </w:r>
    </w:p>
    <w:p>
      <w:pPr>
        <w:adjustRightInd/>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3.2 主干、树枝处理：主干、树枝（小头直径1厘米以上）同步下山，运至定点处理企业进行无害处理，不得遗漏山场。</w:t>
      </w:r>
    </w:p>
    <w:p>
      <w:pPr>
        <w:adjustRightInd/>
        <w:spacing w:line="24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3.3伐桩周边需系有红色飘带。</w:t>
      </w:r>
    </w:p>
    <w:p>
      <w:pPr>
        <w:adjustRightInd/>
        <w:spacing w:line="24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3.4 按规定上传相关资料到“数字森防”APP。</w:t>
      </w:r>
    </w:p>
    <w:p>
      <w:pPr>
        <w:adjustRightInd/>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4、清理时间</w:t>
      </w:r>
    </w:p>
    <w:p>
      <w:pPr>
        <w:adjustRightInd/>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2025年3月31日前完成枯死松树清理工作，4月份组织开展回头看，若因极端、长时间持续下雨天气等客观因素，导致无法在规定期限内完成清理的，经同意可适当延期，最迟不得迟于4月中旬。要按照“先重点后一般、先紧后宽”的要求，合理安排清理进度</w:t>
      </w:r>
    </w:p>
    <w:p>
      <w:pPr>
        <w:autoSpaceDE w:val="0"/>
        <w:adjustRightInd/>
        <w:spacing w:line="240" w:lineRule="auto"/>
        <w:ind w:firstLine="512" w:firstLineChars="200"/>
        <w:contextualSpacing/>
        <w:jc w:val="left"/>
        <w:rPr>
          <w:rFonts w:hint="eastAsia" w:ascii="仿宋_GB2312" w:hAnsi="宋体" w:eastAsia="仿宋_GB2312" w:cs="宋体"/>
          <w:color w:val="auto"/>
          <w:spacing w:val="8"/>
          <w:kern w:val="0"/>
          <w:sz w:val="24"/>
          <w:szCs w:val="24"/>
          <w:highlight w:val="none"/>
        </w:rPr>
      </w:pPr>
      <w:r>
        <w:rPr>
          <w:rFonts w:hint="eastAsia" w:ascii="仿宋_GB2312" w:hAnsi="宋体" w:eastAsia="仿宋_GB2312" w:cs="宋体"/>
          <w:color w:val="auto"/>
          <w:spacing w:val="8"/>
          <w:kern w:val="0"/>
          <w:sz w:val="24"/>
          <w:szCs w:val="24"/>
          <w:highlight w:val="none"/>
        </w:rPr>
        <w:t>5、疫木处置</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shd w:val="clear" w:color="auto" w:fill="auto"/>
          <w:lang w:val="zh-CN"/>
        </w:rPr>
        <w:t>运往定点加工企业</w:t>
      </w:r>
      <w:r>
        <w:rPr>
          <w:rFonts w:hint="eastAsia" w:ascii="仿宋_GB2312" w:hAnsi="宋体" w:eastAsia="仿宋_GB2312" w:cs="仿宋_GB2312"/>
          <w:color w:val="auto"/>
          <w:sz w:val="24"/>
          <w:szCs w:val="24"/>
          <w:highlight w:val="none"/>
          <w:lang w:val="zh-CN"/>
        </w:rPr>
        <w:t>处理：</w:t>
      </w:r>
      <w:r>
        <w:rPr>
          <w:rFonts w:hint="eastAsia" w:ascii="仿宋_GB2312" w:hAnsi="宋体" w:eastAsia="仿宋_GB2312" w:cs="仿宋_GB2312"/>
          <w:color w:val="auto"/>
          <w:sz w:val="24"/>
          <w:szCs w:val="24"/>
          <w:highlight w:val="none"/>
        </w:rPr>
        <w:t>主干、树枝同步下山运入定点处理企业进行无害化处理，小头直径12厘米以上（含）</w:t>
      </w:r>
      <w:r>
        <w:rPr>
          <w:rFonts w:hint="eastAsia" w:ascii="仿宋_GB2312" w:hAnsi="宋体" w:eastAsia="仿宋_GB2312" w:cs="仿宋_GB2312"/>
          <w:color w:val="auto"/>
          <w:sz w:val="24"/>
          <w:szCs w:val="24"/>
          <w:highlight w:val="none"/>
          <w:lang w:val="zh-CN"/>
        </w:rPr>
        <w:t>椴木</w:t>
      </w:r>
      <w:r>
        <w:rPr>
          <w:rFonts w:hint="eastAsia" w:ascii="仿宋_GB2312" w:hAnsi="宋体" w:eastAsia="仿宋_GB2312" w:cs="仿宋_GB2312"/>
          <w:color w:val="auto"/>
          <w:sz w:val="24"/>
          <w:szCs w:val="24"/>
          <w:highlight w:val="none"/>
        </w:rPr>
        <w:t>（要求按1米、2米、或3米段造材）。</w:t>
      </w:r>
      <w:r>
        <w:rPr>
          <w:rFonts w:hint="eastAsia" w:ascii="仿宋_GB2312" w:hAnsi="宋体" w:eastAsia="仿宋_GB2312" w:cs="仿宋_GB2312"/>
          <w:color w:val="auto"/>
          <w:sz w:val="24"/>
          <w:szCs w:val="24"/>
          <w:highlight w:val="none"/>
          <w:lang w:val="zh-CN"/>
        </w:rPr>
        <w:t>定点处理企业的统一</w:t>
      </w:r>
      <w:r>
        <w:rPr>
          <w:rFonts w:hint="eastAsia" w:ascii="仿宋_GB2312" w:hAnsi="宋体" w:eastAsia="仿宋_GB2312" w:cs="仿宋_GB2312"/>
          <w:color w:val="auto"/>
          <w:sz w:val="24"/>
          <w:szCs w:val="24"/>
          <w:highlight w:val="none"/>
          <w:lang w:val="zh-CN"/>
        </w:rPr>
        <w:t>收购价</w:t>
      </w:r>
      <w:r>
        <w:rPr>
          <w:rFonts w:hint="eastAsia" w:ascii="仿宋_GB2312" w:hAnsi="宋体" w:eastAsia="仿宋_GB2312" w:cs="仿宋_GB2312"/>
          <w:color w:val="auto"/>
          <w:sz w:val="24"/>
          <w:szCs w:val="24"/>
          <w:highlight w:val="none"/>
        </w:rPr>
        <w:t>275</w:t>
      </w:r>
      <w:r>
        <w:rPr>
          <w:rFonts w:hint="eastAsia" w:ascii="仿宋_GB2312" w:hAnsi="宋体" w:eastAsia="仿宋_GB2312" w:cs="仿宋_GB2312"/>
          <w:color w:val="auto"/>
          <w:sz w:val="24"/>
          <w:szCs w:val="24"/>
          <w:highlight w:val="none"/>
        </w:rPr>
        <w:t>元/吨</w:t>
      </w:r>
      <w:r>
        <w:rPr>
          <w:rFonts w:hint="eastAsia" w:ascii="仿宋_GB2312" w:hAnsi="宋体" w:eastAsia="仿宋_GB2312" w:cs="仿宋_GB2312"/>
          <w:color w:val="auto"/>
          <w:sz w:val="24"/>
          <w:szCs w:val="24"/>
          <w:highlight w:val="none"/>
        </w:rPr>
        <w:t>（不区分椴木、枝桠价格）</w:t>
      </w:r>
      <w:r>
        <w:rPr>
          <w:rFonts w:hint="eastAsia" w:ascii="仿宋_GB2312" w:hAnsi="宋体" w:eastAsia="仿宋_GB2312" w:cs="宋体"/>
          <w:color w:val="auto"/>
          <w:spacing w:val="8"/>
          <w:kern w:val="0"/>
          <w:sz w:val="24"/>
          <w:szCs w:val="24"/>
          <w:highlight w:val="none"/>
        </w:rPr>
        <w:t>。</w:t>
      </w:r>
    </w:p>
    <w:p>
      <w:pPr>
        <w:autoSpaceDE w:val="0"/>
        <w:adjustRightInd/>
        <w:spacing w:line="240" w:lineRule="auto"/>
        <w:ind w:firstLine="512" w:firstLineChars="200"/>
        <w:contextualSpacing/>
        <w:jc w:val="left"/>
        <w:rPr>
          <w:rFonts w:hint="eastAsia" w:ascii="仿宋_GB2312" w:hAnsi="宋体" w:eastAsia="仿宋_GB2312" w:cs="宋体"/>
          <w:color w:val="auto"/>
          <w:spacing w:val="8"/>
          <w:kern w:val="0"/>
          <w:sz w:val="24"/>
          <w:szCs w:val="24"/>
          <w:highlight w:val="none"/>
        </w:rPr>
      </w:pPr>
      <w:r>
        <w:rPr>
          <w:rFonts w:hint="eastAsia" w:ascii="仿宋_GB2312" w:hAnsi="宋体" w:eastAsia="仿宋_GB2312" w:cs="宋体"/>
          <w:color w:val="auto"/>
          <w:spacing w:val="8"/>
          <w:kern w:val="0"/>
          <w:sz w:val="24"/>
          <w:szCs w:val="24"/>
          <w:highlight w:val="none"/>
        </w:rPr>
        <w:t>6、疫木调运</w:t>
      </w:r>
    </w:p>
    <w:p>
      <w:pPr>
        <w:adjustRightInd/>
        <w:spacing w:line="240" w:lineRule="auto"/>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《柯城区</w:t>
      </w:r>
      <w:r>
        <w:rPr>
          <w:rFonts w:ascii="仿宋_GB2312" w:hAnsi="宋体" w:eastAsia="仿宋_GB2312" w:cs="仿宋_GB2312"/>
          <w:color w:val="auto"/>
          <w:sz w:val="24"/>
          <w:szCs w:val="24"/>
          <w:highlight w:val="none"/>
        </w:rPr>
        <w:t>疫木</w:t>
      </w:r>
      <w:r>
        <w:rPr>
          <w:rFonts w:hint="eastAsia" w:ascii="仿宋_GB2312" w:hAnsi="宋体" w:eastAsia="仿宋_GB2312" w:cs="仿宋_GB2312"/>
          <w:color w:val="auto"/>
          <w:sz w:val="24"/>
          <w:szCs w:val="24"/>
          <w:highlight w:val="none"/>
        </w:rPr>
        <w:t>处理</w:t>
      </w:r>
      <w:r>
        <w:rPr>
          <w:rFonts w:ascii="仿宋_GB2312" w:hAnsi="宋体" w:eastAsia="仿宋_GB2312" w:cs="仿宋_GB2312"/>
          <w:color w:val="auto"/>
          <w:sz w:val="24"/>
          <w:szCs w:val="24"/>
          <w:highlight w:val="none"/>
        </w:rPr>
        <w:t>联系单</w:t>
      </w:r>
      <w:r>
        <w:rPr>
          <w:rFonts w:hint="eastAsia" w:ascii="仿宋_GB2312" w:hAnsi="宋体" w:eastAsia="仿宋_GB2312" w:cs="仿宋_GB2312"/>
          <w:color w:val="auto"/>
          <w:sz w:val="24"/>
          <w:szCs w:val="24"/>
          <w:highlight w:val="none"/>
        </w:rPr>
        <w:t>》由乡镇（街道）林业干部签发，村级或乡级签字盖章。建立监督</w:t>
      </w:r>
      <w:r>
        <w:rPr>
          <w:rFonts w:hint="eastAsia" w:ascii="仿宋_GB2312" w:hAnsi="宋体" w:eastAsia="仿宋_GB2312" w:cs="仿宋_GB2312"/>
          <w:b w:val="0"/>
          <w:bCs w:val="0"/>
          <w:color w:val="auto"/>
          <w:sz w:val="24"/>
          <w:szCs w:val="24"/>
          <w:highlight w:val="none"/>
        </w:rPr>
        <w:t>群</w:t>
      </w:r>
      <w:r>
        <w:rPr>
          <w:rFonts w:hint="eastAsia" w:ascii="仿宋_GB2312" w:hAnsi="宋体" w:eastAsia="仿宋_GB2312" w:cs="仿宋_GB2312"/>
          <w:color w:val="auto"/>
          <w:sz w:val="24"/>
          <w:szCs w:val="24"/>
          <w:highlight w:val="none"/>
        </w:rPr>
        <w:t>，砍伐、搬运、装车图片发群备查，严禁低价标段疫木流向高价标段、其他项目的松木混入枯死松树清理项目，一经查实，高价标段疫木全部按低价标段结算，其他项目的松木全部没收并视情节严重处以1-3倍罚款。</w:t>
      </w:r>
    </w:p>
    <w:p>
      <w:pPr>
        <w:adjustRightInd w:val="0"/>
        <w:ind w:firstLine="480" w:firstLineChars="200"/>
        <w:contextualSpacing/>
        <w:rPr>
          <w:rFonts w:hint="eastAsia" w:ascii="仿宋_GB2312" w:hAnsi="宋体" w:eastAsia="仿宋_GB2312" w:cs="仿宋_GB2312"/>
          <w:b w:val="0"/>
          <w:bCs w:val="0"/>
          <w:color w:val="auto"/>
          <w:sz w:val="24"/>
          <w:szCs w:val="24"/>
          <w:highlight w:val="none"/>
          <w:lang w:val="zh-CN"/>
        </w:rPr>
      </w:pPr>
      <w:r>
        <w:rPr>
          <w:rFonts w:hint="eastAsia" w:ascii="仿宋_GB2312" w:hAnsi="宋体" w:eastAsia="仿宋_GB2312" w:cs="仿宋_GB2312"/>
          <w:color w:val="auto"/>
          <w:sz w:val="24"/>
          <w:szCs w:val="24"/>
          <w:highlight w:val="none"/>
        </w:rPr>
        <w:t>7、</w:t>
      </w:r>
      <w:r>
        <w:rPr>
          <w:rFonts w:hint="eastAsia" w:ascii="仿宋_GB2312" w:hAnsi="宋体" w:eastAsia="仿宋_GB2312" w:cs="仿宋_GB2312"/>
          <w:color w:val="auto"/>
          <w:sz w:val="24"/>
          <w:szCs w:val="24"/>
          <w:highlight w:val="none"/>
          <w:lang w:val="zh-CN"/>
        </w:rPr>
        <w:t>除治台账</w:t>
      </w:r>
    </w:p>
    <w:p>
      <w:pPr>
        <w:adjustRightInd w:val="0"/>
        <w:ind w:left="559" w:leftChars="266"/>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7.1除治照片：清理专业队伍带班人员需使用水印相机（包含时</w:t>
      </w:r>
    </w:p>
    <w:p>
      <w:pPr>
        <w:adjustRightInd w:val="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间、经纬度等）进行拍照，包括但不限于伐桩、现场装车照片、运输车辆照片等，同时要上传到监管群备查。</w:t>
      </w:r>
    </w:p>
    <w:p>
      <w:pPr>
        <w:adjustRightInd w:val="0"/>
        <w:ind w:left="0" w:leftChars="0" w:firstLine="638" w:firstLineChars="266"/>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7.2 除治日记。出工日详细记录清理时间、地点、人数、砍伐数量等内容，并由相关责任人员签字</w:t>
      </w:r>
    </w:p>
    <w:p>
      <w:pPr>
        <w:adjustRightInd w:val="0"/>
        <w:ind w:left="0" w:leftChars="0" w:firstLine="638" w:firstLineChars="266"/>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7.3 保存凭证。保存疫木定点处理企业过磅单、联系单等原始凭证，作为支付款项及核查依据。</w:t>
      </w:r>
    </w:p>
    <w:p>
      <w:pPr>
        <w:adjustRightInd w:val="0"/>
        <w:snapToGrid/>
        <w:spacing w:line="240" w:lineRule="auto"/>
        <w:ind w:left="559" w:leftChars="266" w:firstLine="0" w:firstLineChars="0"/>
        <w:contextualSpacing/>
        <w:rPr>
          <w:rFonts w:hint="eastAsia" w:ascii="仿宋_GB2312" w:hAnsi="宋体" w:eastAsia="仿宋_GB2312" w:cs="仿宋_GB2312"/>
          <w:color w:val="auto"/>
          <w:sz w:val="24"/>
          <w:szCs w:val="24"/>
          <w:highlight w:val="none"/>
          <w:shd w:val="clear" w:color="auto" w:fill="auto"/>
          <w:lang w:val="zh-CN"/>
        </w:rPr>
      </w:pPr>
      <w:r>
        <w:rPr>
          <w:rFonts w:hint="eastAsia" w:ascii="仿宋_GB2312" w:hAnsi="宋体" w:eastAsia="仿宋_GB2312" w:cs="仿宋_GB2312"/>
          <w:color w:val="auto"/>
          <w:sz w:val="24"/>
          <w:szCs w:val="24"/>
          <w:highlight w:val="none"/>
          <w:lang w:val="zh-CN"/>
        </w:rPr>
        <w:t>二</w:t>
      </w:r>
      <w:r>
        <w:rPr>
          <w:rFonts w:hint="eastAsia" w:ascii="仿宋_GB2312" w:hAnsi="宋体" w:eastAsia="仿宋_GB2312" w:cs="仿宋_GB2312"/>
          <w:color w:val="auto"/>
          <w:sz w:val="24"/>
          <w:szCs w:val="24"/>
          <w:highlight w:val="none"/>
          <w:shd w:val="clear" w:color="auto" w:fill="auto"/>
          <w:lang w:val="zh-CN"/>
        </w:rPr>
        <w:t>、合同</w:t>
      </w:r>
      <w:r>
        <w:rPr>
          <w:rFonts w:hint="eastAsia" w:ascii="仿宋_GB2312" w:hAnsi="宋体" w:eastAsia="仿宋_GB2312" w:cs="仿宋_GB2312"/>
          <w:color w:val="auto"/>
          <w:sz w:val="24"/>
          <w:szCs w:val="24"/>
          <w:highlight w:val="none"/>
          <w:lang w:val="zh-CN"/>
        </w:rPr>
        <w:t>金额</w:t>
      </w:r>
      <w:r>
        <w:rPr>
          <w:rFonts w:hint="eastAsia" w:ascii="仿宋_GB2312" w:hAnsi="宋体" w:eastAsia="仿宋_GB2312" w:cs="仿宋_GB2312"/>
          <w:color w:val="auto"/>
          <w:sz w:val="24"/>
          <w:szCs w:val="24"/>
          <w:highlight w:val="none"/>
          <w:shd w:val="clear" w:color="auto" w:fill="auto"/>
          <w:lang w:val="zh-CN"/>
        </w:rPr>
        <w:t>、结算、支付方式</w:t>
      </w:r>
    </w:p>
    <w:p>
      <w:pPr>
        <w:adjustRightInd w:val="0"/>
        <w:snapToGrid/>
        <w:spacing w:line="240" w:lineRule="auto"/>
        <w:ind w:left="559" w:leftChars="266" w:firstLine="0" w:firstLineChars="0"/>
        <w:contextualSpacing/>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shd w:val="clear" w:color="auto" w:fill="auto"/>
          <w:lang w:val="zh-CN"/>
        </w:rPr>
        <w:t>1</w:t>
      </w:r>
      <w:r>
        <w:rPr>
          <w:rFonts w:hint="eastAsia" w:ascii="仿宋_GB2312" w:hAnsi="宋体" w:eastAsia="仿宋_GB2312" w:cs="仿宋_GB2312"/>
          <w:color w:val="auto"/>
          <w:sz w:val="24"/>
          <w:szCs w:val="24"/>
          <w:highlight w:val="none"/>
          <w:lang w:val="zh-CN"/>
        </w:rPr>
        <w:t>、</w:t>
      </w:r>
      <w:r>
        <w:rPr>
          <w:rFonts w:hint="eastAsia" w:ascii="仿宋_GB2312" w:hAnsi="宋体" w:eastAsia="仿宋_GB2312" w:cs="仿宋_GB2312"/>
          <w:color w:val="auto"/>
          <w:sz w:val="24"/>
          <w:szCs w:val="24"/>
          <w:highlight w:val="none"/>
          <w:shd w:val="clear" w:color="auto" w:fill="auto"/>
          <w:lang w:val="zh-CN"/>
        </w:rPr>
        <w:t>合同</w:t>
      </w:r>
      <w:r>
        <w:rPr>
          <w:rFonts w:hint="eastAsia" w:ascii="仿宋_GB2312" w:hAnsi="宋体" w:eastAsia="仿宋_GB2312" w:cs="仿宋_GB2312"/>
          <w:color w:val="auto"/>
          <w:sz w:val="24"/>
          <w:szCs w:val="24"/>
          <w:highlight w:val="none"/>
          <w:lang w:val="zh-CN"/>
        </w:rPr>
        <w:t>金额</w:t>
      </w:r>
    </w:p>
    <w:p>
      <w:pPr>
        <w:adjustRightInd w:val="0"/>
        <w:snapToGrid/>
        <w:spacing w:line="240" w:lineRule="auto"/>
        <w:ind w:firstLine="480" w:firstLineChars="200"/>
        <w:contextualSpacing/>
        <w:rPr>
          <w:rFonts w:hint="eastAsia" w:ascii="仿宋_GB2312" w:hAnsi="宋体" w:eastAsia="仿宋_GB2312" w:cs="仿宋_GB2312"/>
          <w:color w:val="auto"/>
          <w:sz w:val="24"/>
          <w:szCs w:val="24"/>
          <w:highlight w:val="none"/>
          <w:shd w:val="clear" w:color="auto" w:fill="auto"/>
          <w:lang w:val="zh-CN"/>
        </w:rPr>
      </w:pPr>
      <w:r>
        <w:rPr>
          <w:rFonts w:hint="eastAsia" w:ascii="仿宋_GB2312" w:hAnsi="宋体" w:eastAsia="仿宋_GB2312" w:cs="仿宋_GB2312"/>
          <w:color w:val="auto"/>
          <w:sz w:val="24"/>
          <w:szCs w:val="24"/>
          <w:highlight w:val="none"/>
          <w:lang w:val="zh-CN"/>
        </w:rPr>
        <w:t>本合同金额</w:t>
      </w:r>
      <w:r>
        <w:rPr>
          <w:rFonts w:hint="eastAsia" w:ascii="仿宋_GB2312" w:hAnsi="宋体" w:eastAsia="仿宋_GB2312" w:cs="仿宋_GB2312"/>
          <w:color w:val="auto"/>
          <w:sz w:val="24"/>
          <w:szCs w:val="24"/>
          <w:highlight w:val="none"/>
          <w:shd w:val="clear" w:color="auto" w:fill="auto"/>
          <w:lang w:val="zh-CN"/>
        </w:rPr>
        <w:t>暂</w:t>
      </w:r>
      <w:r>
        <w:rPr>
          <w:rFonts w:hint="eastAsia" w:ascii="仿宋_GB2312" w:hAnsi="宋体" w:eastAsia="仿宋_GB2312" w:cs="仿宋_GB2312"/>
          <w:color w:val="auto"/>
          <w:sz w:val="24"/>
          <w:szCs w:val="24"/>
          <w:highlight w:val="none"/>
          <w:lang w:val="zh-CN"/>
        </w:rPr>
        <w:t>定</w:t>
      </w:r>
      <w:r>
        <w:rPr>
          <w:rFonts w:hint="eastAsia" w:ascii="仿宋_GB2312" w:hAnsi="宋体" w:eastAsia="仿宋_GB2312" w:cs="仿宋_GB2312"/>
          <w:color w:val="auto"/>
          <w:sz w:val="24"/>
          <w:szCs w:val="24"/>
          <w:highlight w:val="none"/>
          <w:u w:val="single"/>
        </w:rPr>
        <w:t>　　</w:t>
      </w:r>
      <w:r>
        <w:rPr>
          <w:rFonts w:hint="eastAsia" w:ascii="仿宋_GB2312" w:hAnsi="宋体" w:eastAsia="仿宋_GB2312" w:cs="仿宋_GB2312"/>
          <w:color w:val="auto"/>
          <w:sz w:val="24"/>
          <w:szCs w:val="24"/>
          <w:highlight w:val="none"/>
          <w:shd w:val="clear" w:color="auto" w:fill="auto"/>
          <w:lang w:val="zh-CN"/>
        </w:rPr>
        <w:t>万元，无需预付款，</w:t>
      </w:r>
      <w:r>
        <w:rPr>
          <w:rFonts w:hint="eastAsia" w:ascii="仿宋_GB2312" w:hAnsi="宋体" w:eastAsia="仿宋_GB2312" w:cs="仿宋_GB2312"/>
          <w:color w:val="auto"/>
          <w:sz w:val="24"/>
          <w:szCs w:val="24"/>
          <w:highlight w:val="none"/>
        </w:rPr>
        <w:t>柯城区2023-2024年度松材线虫病疫情除治（枯死松树清理）采购项目---</w:t>
      </w:r>
      <w:r>
        <w:rPr>
          <w:rFonts w:hint="eastAsia" w:ascii="仿宋_GB2312" w:hAnsi="宋体" w:eastAsia="仿宋_GB2312" w:cs="仿宋_GB2312"/>
          <w:color w:val="auto"/>
          <w:sz w:val="24"/>
          <w:szCs w:val="24"/>
          <w:highlight w:val="none"/>
          <w:u w:val="single"/>
          <w:lang w:val="en-US" w:eastAsia="zh-CN"/>
        </w:rPr>
        <w:t>石梁镇</w:t>
      </w:r>
      <w:r>
        <w:rPr>
          <w:rFonts w:hint="eastAsia" w:ascii="仿宋_GB2312" w:hAnsi="宋体" w:eastAsia="仿宋_GB2312" w:cs="仿宋_GB2312"/>
          <w:color w:val="auto"/>
          <w:sz w:val="24"/>
          <w:szCs w:val="24"/>
          <w:highlight w:val="none"/>
        </w:rPr>
        <w:t>标段，运往定点加工企业处理综合单价</w:t>
      </w:r>
      <w:r>
        <w:rPr>
          <w:rFonts w:hint="eastAsia" w:ascii="仿宋_GB2312" w:hAnsi="宋体" w:eastAsia="仿宋_GB2312" w:cs="仿宋_GB2312"/>
          <w:color w:val="auto"/>
          <w:sz w:val="24"/>
          <w:szCs w:val="24"/>
          <w:highlight w:val="none"/>
          <w:u w:val="single"/>
        </w:rPr>
        <w:t>　　</w:t>
      </w:r>
      <w:r>
        <w:rPr>
          <w:rFonts w:hint="eastAsia" w:ascii="仿宋_GB2312" w:hAnsi="宋体" w:eastAsia="仿宋_GB2312" w:cs="仿宋_GB2312"/>
          <w:color w:val="auto"/>
          <w:sz w:val="24"/>
          <w:szCs w:val="24"/>
          <w:highlight w:val="none"/>
        </w:rPr>
        <w:t>元/吨。</w:t>
      </w:r>
      <w:r>
        <w:rPr>
          <w:rFonts w:hint="eastAsia" w:ascii="仿宋_GB2312" w:hAnsi="宋体" w:eastAsia="仿宋_GB2312" w:cs="仿宋_GB2312"/>
          <w:color w:val="auto"/>
          <w:sz w:val="24"/>
          <w:szCs w:val="24"/>
          <w:highlight w:val="none"/>
          <w:shd w:val="clear" w:color="auto" w:fill="auto"/>
          <w:lang w:val="zh-CN"/>
        </w:rPr>
        <w:t>最终</w:t>
      </w:r>
      <w:r>
        <w:rPr>
          <w:rFonts w:hint="eastAsia" w:ascii="仿宋_GB2312" w:hAnsi="宋体" w:eastAsia="仿宋_GB2312" w:cs="仿宋_GB2312"/>
          <w:color w:val="auto"/>
          <w:sz w:val="24"/>
          <w:szCs w:val="24"/>
          <w:highlight w:val="none"/>
          <w:lang w:val="zh-CN"/>
        </w:rPr>
        <w:t>结算</w:t>
      </w:r>
      <w:r>
        <w:rPr>
          <w:rFonts w:hint="eastAsia" w:ascii="仿宋_GB2312" w:hAnsi="宋体" w:eastAsia="仿宋_GB2312" w:cs="仿宋_GB2312"/>
          <w:color w:val="auto"/>
          <w:sz w:val="24"/>
          <w:szCs w:val="24"/>
          <w:highlight w:val="none"/>
          <w:shd w:val="clear" w:color="auto" w:fill="auto"/>
          <w:lang w:val="zh-CN"/>
        </w:rPr>
        <w:t>金额</w:t>
      </w:r>
      <w:r>
        <w:rPr>
          <w:rFonts w:hint="eastAsia" w:ascii="仿宋_GB2312" w:hAnsi="宋体" w:eastAsia="仿宋_GB2312" w:cs="仿宋_GB2312"/>
          <w:color w:val="auto"/>
          <w:sz w:val="24"/>
          <w:szCs w:val="24"/>
          <w:highlight w:val="none"/>
          <w:lang w:val="zh-CN"/>
        </w:rPr>
        <w:t>为</w:t>
      </w:r>
      <w:r>
        <w:rPr>
          <w:rFonts w:hint="eastAsia" w:ascii="仿宋_GB2312" w:hAnsi="宋体" w:eastAsia="仿宋_GB2312" w:cs="仿宋_GB2312"/>
          <w:color w:val="auto"/>
          <w:sz w:val="24"/>
          <w:szCs w:val="24"/>
          <w:highlight w:val="none"/>
          <w:shd w:val="clear" w:color="auto" w:fill="auto"/>
          <w:lang w:val="zh-CN"/>
        </w:rPr>
        <w:t>结算费用</w:t>
      </w:r>
      <w:r>
        <w:rPr>
          <w:rFonts w:hint="eastAsia" w:ascii="仿宋_GB2312" w:hAnsi="宋体" w:eastAsia="仿宋_GB2312" w:cs="仿宋_GB2312"/>
          <w:color w:val="auto"/>
          <w:sz w:val="24"/>
          <w:szCs w:val="24"/>
          <w:highlight w:val="none"/>
          <w:lang w:val="zh-CN"/>
        </w:rPr>
        <w:t>减去扣款</w:t>
      </w:r>
      <w:r>
        <w:rPr>
          <w:rFonts w:hint="eastAsia" w:ascii="仿宋_GB2312" w:hAnsi="宋体" w:eastAsia="仿宋_GB2312" w:cs="仿宋_GB2312"/>
          <w:color w:val="auto"/>
          <w:sz w:val="24"/>
          <w:szCs w:val="24"/>
          <w:highlight w:val="none"/>
          <w:shd w:val="clear" w:color="auto" w:fill="auto"/>
          <w:lang w:val="zh-CN"/>
        </w:rPr>
        <w:t>。</w:t>
      </w:r>
    </w:p>
    <w:p>
      <w:pPr>
        <w:adjustRightInd w:val="0"/>
        <w:snapToGrid/>
        <w:spacing w:line="240" w:lineRule="auto"/>
        <w:ind w:firstLine="480" w:firstLineChars="200"/>
        <w:contextualSpacing/>
        <w:rPr>
          <w:rFonts w:hint="eastAsia" w:ascii="仿宋_GB2312" w:hAnsi="宋体" w:eastAsia="仿宋_GB2312" w:cs="仿宋_GB2312"/>
          <w:color w:val="auto"/>
          <w:sz w:val="24"/>
          <w:szCs w:val="24"/>
          <w:highlight w:val="none"/>
          <w:shd w:val="clear" w:color="auto" w:fill="auto"/>
          <w:lang w:val="zh-CN"/>
        </w:rPr>
      </w:pPr>
      <w:r>
        <w:rPr>
          <w:rFonts w:hint="eastAsia"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shd w:val="clear" w:color="auto" w:fill="auto"/>
          <w:lang w:val="zh-CN"/>
        </w:rPr>
        <w:t>2</w:t>
      </w:r>
      <w:r>
        <w:rPr>
          <w:rFonts w:hint="eastAsia" w:ascii="仿宋_GB2312" w:hAnsi="宋体" w:eastAsia="仿宋_GB2312" w:cs="仿宋_GB2312"/>
          <w:color w:val="auto"/>
          <w:sz w:val="24"/>
          <w:szCs w:val="24"/>
          <w:highlight w:val="none"/>
          <w:lang w:val="zh-CN"/>
        </w:rPr>
        <w:t>、结算费用</w:t>
      </w:r>
    </w:p>
    <w:p>
      <w:pPr>
        <w:adjustRightInd w:val="0"/>
        <w:snapToGrid/>
        <w:spacing w:line="240" w:lineRule="auto"/>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lang w:val="zh-CN"/>
        </w:rPr>
        <w:t>结算费用</w:t>
      </w:r>
      <w:r>
        <w:rPr>
          <w:rFonts w:hint="eastAsia" w:ascii="仿宋_GB2312" w:hAnsi="宋体" w:eastAsia="仿宋_GB2312" w:cs="仿宋_GB2312"/>
          <w:color w:val="auto"/>
          <w:sz w:val="24"/>
          <w:szCs w:val="24"/>
          <w:highlight w:val="none"/>
        </w:rPr>
        <w:t>=运往定点加工企业处理</w:t>
      </w:r>
      <w:r>
        <w:rPr>
          <w:rFonts w:hint="eastAsia" w:ascii="仿宋_GB2312" w:hAnsi="宋体" w:eastAsia="仿宋_GB2312" w:cs="仿宋_GB2312"/>
          <w:color w:val="auto"/>
          <w:sz w:val="24"/>
          <w:szCs w:val="24"/>
          <w:highlight w:val="none"/>
          <w:lang w:val="zh-CN"/>
        </w:rPr>
        <w:t>中标单价*过磅核准重量。</w:t>
      </w:r>
    </w:p>
    <w:p>
      <w:pPr>
        <w:adjustRightInd w:val="0"/>
        <w:snapToGrid/>
        <w:spacing w:line="240" w:lineRule="auto"/>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lang w:val="zh-CN"/>
        </w:rPr>
        <w:t>过磅核准重量：以甲方抽查和区级核查后认定重量为准。</w:t>
      </w:r>
    </w:p>
    <w:p>
      <w:pPr>
        <w:adjustRightInd w:val="0"/>
        <w:snapToGrid/>
        <w:spacing w:line="240" w:lineRule="auto"/>
        <w:ind w:firstLine="480" w:firstLineChars="200"/>
        <w:contextualSpacing/>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rPr>
        <w:t xml:space="preserve">    </w:t>
      </w:r>
      <w:r>
        <w:rPr>
          <w:rFonts w:hint="eastAsia" w:ascii="仿宋_GB2312" w:hAnsi="宋体" w:eastAsia="仿宋_GB2312" w:cs="仿宋_GB2312"/>
          <w:color w:val="auto"/>
          <w:sz w:val="24"/>
          <w:szCs w:val="24"/>
          <w:highlight w:val="none"/>
          <w:shd w:val="clear" w:color="auto" w:fill="auto"/>
          <w:lang w:val="zh-CN"/>
        </w:rPr>
        <w:t>3</w:t>
      </w:r>
      <w:r>
        <w:rPr>
          <w:rFonts w:hint="eastAsia" w:ascii="仿宋_GB2312" w:hAnsi="宋体" w:eastAsia="仿宋_GB2312" w:cs="仿宋_GB2312"/>
          <w:color w:val="auto"/>
          <w:sz w:val="24"/>
          <w:szCs w:val="24"/>
          <w:highlight w:val="none"/>
          <w:lang w:val="zh-CN"/>
        </w:rPr>
        <w:t>、支付方式</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按项目清理进度和质量分次</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预付款：根据项目的合同金额、财政情况和补充协议在春节前预拨一定的预付款用于支付保障农民工过节。</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第一次付款：完成集中除治工作，验收通过后，支付至项目合同价的8</w:t>
      </w:r>
      <w:r>
        <w:rPr>
          <w:rFonts w:ascii="仿宋_GB2312" w:hAnsi="宋体" w:eastAsia="仿宋_GB2312" w:cs="仿宋_GB2312"/>
          <w:color w:val="auto"/>
          <w:sz w:val="24"/>
          <w:szCs w:val="24"/>
          <w:highlight w:val="none"/>
          <w:lang w:val="zh-CN"/>
        </w:rPr>
        <w:t>0</w:t>
      </w:r>
      <w:r>
        <w:rPr>
          <w:rFonts w:hint="eastAsia" w:ascii="仿宋_GB2312" w:hAnsi="宋体" w:eastAsia="仿宋_GB2312" w:cs="仿宋_GB2312"/>
          <w:color w:val="auto"/>
          <w:sz w:val="24"/>
          <w:szCs w:val="24"/>
          <w:highlight w:val="none"/>
          <w:lang w:val="zh-CN"/>
        </w:rPr>
        <w:t>%。</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第二次付款：</w:t>
      </w:r>
      <w:r>
        <w:rPr>
          <w:rFonts w:ascii="仿宋_GB2312" w:hAnsi="宋体" w:eastAsia="仿宋_GB2312" w:cs="仿宋_GB2312"/>
          <w:color w:val="auto"/>
          <w:sz w:val="24"/>
          <w:szCs w:val="24"/>
          <w:highlight w:val="none"/>
          <w:lang w:val="zh-CN"/>
        </w:rPr>
        <w:t>9</w:t>
      </w:r>
      <w:r>
        <w:rPr>
          <w:rFonts w:hint="eastAsia" w:ascii="仿宋_GB2312" w:hAnsi="宋体" w:eastAsia="仿宋_GB2312" w:cs="仿宋_GB2312"/>
          <w:color w:val="auto"/>
          <w:sz w:val="24"/>
          <w:szCs w:val="24"/>
          <w:highlight w:val="none"/>
          <w:lang w:val="zh-CN"/>
        </w:rPr>
        <w:t>月底，开展并完成即现即清除治工作，经验收通过（若开展），支付剩余合同价的2</w:t>
      </w:r>
      <w:r>
        <w:rPr>
          <w:rFonts w:ascii="仿宋_GB2312" w:hAnsi="宋体" w:eastAsia="仿宋_GB2312" w:cs="仿宋_GB2312"/>
          <w:color w:val="auto"/>
          <w:sz w:val="24"/>
          <w:szCs w:val="24"/>
          <w:highlight w:val="none"/>
          <w:lang w:val="zh-CN"/>
        </w:rPr>
        <w:t>0</w:t>
      </w:r>
      <w:r>
        <w:rPr>
          <w:rFonts w:hint="eastAsia" w:ascii="仿宋_GB2312" w:hAnsi="宋体" w:eastAsia="仿宋_GB2312" w:cs="仿宋_GB2312"/>
          <w:color w:val="auto"/>
          <w:sz w:val="24"/>
          <w:szCs w:val="24"/>
          <w:highlight w:val="none"/>
          <w:lang w:val="zh-CN"/>
        </w:rPr>
        <w:t>%。</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上述除治工作量（过磅单和联系单）均需甲方或其委托的第三方确认。</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三、履约保证金</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乙方应在合同签订之日交纳人民币</w:t>
      </w:r>
      <w:r>
        <w:rPr>
          <w:rFonts w:hint="eastAsia" w:ascii="仿宋_GB2312" w:hAnsi="宋体" w:eastAsia="仿宋_GB2312" w:cs="仿宋_GB2312"/>
          <w:color w:val="auto"/>
          <w:sz w:val="24"/>
          <w:szCs w:val="24"/>
          <w:highlight w:val="none"/>
          <w:u w:val="single"/>
        </w:rPr>
        <w:t>　　　　元</w:t>
      </w:r>
      <w:r>
        <w:rPr>
          <w:rFonts w:hint="eastAsia" w:ascii="仿宋_GB2312" w:hAnsi="宋体" w:eastAsia="仿宋_GB2312" w:cs="仿宋_GB2312"/>
          <w:color w:val="auto"/>
          <w:sz w:val="24"/>
          <w:szCs w:val="24"/>
          <w:highlight w:val="none"/>
        </w:rPr>
        <w:t>（中标金额的1%）作为本合同的履约保证金（逾期按总额每日千分之三向甲方支付违约金）,合同签订后，履约保证金自动转为质量保证金。</w:t>
      </w:r>
    </w:p>
    <w:p>
      <w:pPr>
        <w:adjustRightInd w:val="0"/>
        <w:ind w:firstLine="480" w:firstLineChars="200"/>
        <w:contextualSpacing/>
        <w:rPr>
          <w:rFonts w:hint="eastAsia" w:ascii="仿宋_GB2312" w:hAnsi="宋体" w:eastAsia="仿宋_GB2312" w:cs="仿宋_GB2312"/>
          <w:color w:val="auto"/>
          <w:sz w:val="24"/>
          <w:szCs w:val="24"/>
          <w:highlight w:val="none"/>
          <w:lang w:val="zh-CN"/>
        </w:rPr>
      </w:pPr>
      <w:r>
        <w:rPr>
          <w:rFonts w:hint="eastAsia" w:ascii="仿宋_GB2312" w:hAnsi="宋体" w:eastAsia="仿宋_GB2312" w:cs="仿宋_GB2312"/>
          <w:color w:val="auto"/>
          <w:sz w:val="24"/>
          <w:szCs w:val="24"/>
          <w:highlight w:val="none"/>
          <w:lang w:val="zh-CN"/>
        </w:rPr>
        <w:t>四、转包或分包</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1.本合同范围的服务，应由乙方直接供应，不得转让他人供应；</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2.除非得到甲方的书面同意，乙方不得将本合同范围的服务全部或部分分包给他人供应；</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3.如有转让和未经甲方同意的分包行为，甲方有权直接解除合同，没收履约保证金并追究乙方的违约责任。</w:t>
      </w:r>
    </w:p>
    <w:p>
      <w:pPr>
        <w:widowControl w:val="0"/>
        <w:spacing w:after="120"/>
        <w:ind w:left="420" w:left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五、疫木收购和林农返还</w:t>
      </w:r>
    </w:p>
    <w:p>
      <w:pPr>
        <w:widowControl w:val="0"/>
        <w:spacing w:after="120"/>
        <w:ind w:left="0" w:leftChars="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 xml:space="preserve">    定点处理企业以固定价收购，不随行就市。统一收购价275元/吨（不区分椴木和枝桠），衢州市巨豪木业有限公司（位于柯城区衢化街道上祝村）负责收购松疫木材、松疫枝桠。小头直径1</w:t>
      </w:r>
      <w:r>
        <w:rPr>
          <w:rFonts w:ascii="仿宋_GB2312" w:hAnsi="宋体" w:eastAsia="仿宋_GB2312" w:cs="仿宋_GB2312"/>
          <w:color w:val="auto"/>
          <w:kern w:val="2"/>
          <w:sz w:val="24"/>
          <w:szCs w:val="24"/>
          <w:highlight w:val="none"/>
          <w:lang w:val="en-US" w:eastAsia="zh-CN" w:bidi="ar-SA"/>
        </w:rPr>
        <w:t>2</w:t>
      </w:r>
      <w:r>
        <w:rPr>
          <w:rFonts w:hint="eastAsia" w:ascii="仿宋_GB2312" w:hAnsi="宋体" w:eastAsia="仿宋_GB2312" w:cs="仿宋_GB2312"/>
          <w:color w:val="auto"/>
          <w:kern w:val="2"/>
          <w:sz w:val="24"/>
          <w:szCs w:val="24"/>
          <w:highlight w:val="none"/>
          <w:lang w:val="en-US" w:eastAsia="zh-CN" w:bidi="ar-SA"/>
        </w:rPr>
        <w:t>厘米以上（含）椴木要求按1米、2米或者3米段造材。定点处理企业的收购价款全部返还到村（组）。</w:t>
      </w:r>
    </w:p>
    <w:p>
      <w:pPr>
        <w:widowControl w:val="0"/>
        <w:spacing w:after="0"/>
        <w:ind w:left="0" w:leftChars="0" w:firstLine="480" w:firstLine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六、监管与验收</w:t>
      </w:r>
    </w:p>
    <w:p>
      <w:pPr>
        <w:adjustRightInd/>
        <w:ind w:firstLine="480" w:firstLineChars="200"/>
        <w:contextualSpacing/>
        <w:outlineLvl w:val="1"/>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(1)监管：乙方的除治质量要接受乡、村二级的监督、检查，同时也要接受由区林业局及其聘请的第三方人员监督，不得阻碍工作。</w:t>
      </w:r>
    </w:p>
    <w:p>
      <w:pPr>
        <w:adjustRightInd/>
        <w:ind w:firstLine="480" w:firstLineChars="200"/>
        <w:contextualSpacing/>
        <w:outlineLvl w:val="1"/>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（2）验收：服务完成后对约定的清理范围进行验收，在乡镇组织初验合格的基础上由区林业局组织有关人员进行验收。</w:t>
      </w:r>
    </w:p>
    <w:p>
      <w:pPr>
        <w:widowControl w:val="0"/>
        <w:spacing w:line="240" w:lineRule="auto"/>
        <w:ind w:firstLine="480" w:firstLine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（3）扣款标准。须按规定的清理标准进行验收。如发现整株死松树未清理或采伐后未下山的，每株扣</w:t>
      </w:r>
      <w:r>
        <w:rPr>
          <w:rFonts w:ascii="仿宋_GB2312" w:hAnsi="宋体" w:eastAsia="仿宋_GB2312" w:cs="仿宋_GB2312"/>
          <w:color w:val="auto"/>
          <w:kern w:val="2"/>
          <w:sz w:val="24"/>
          <w:szCs w:val="24"/>
          <w:highlight w:val="none"/>
          <w:lang w:val="en-US" w:eastAsia="zh-CN" w:bidi="ar-SA"/>
        </w:rPr>
        <w:t>500</w:t>
      </w:r>
      <w:r>
        <w:rPr>
          <w:rFonts w:hint="eastAsia" w:ascii="仿宋_GB2312" w:hAnsi="宋体" w:eastAsia="仿宋_GB2312" w:cs="仿宋_GB2312"/>
          <w:color w:val="auto"/>
          <w:kern w:val="2"/>
          <w:sz w:val="24"/>
          <w:szCs w:val="24"/>
          <w:highlight w:val="none"/>
          <w:lang w:val="en-US" w:eastAsia="zh-CN" w:bidi="ar-SA"/>
        </w:rPr>
        <w:t>元；主干、树梢未带下山的，每处扣</w:t>
      </w:r>
      <w:r>
        <w:rPr>
          <w:rFonts w:ascii="仿宋_GB2312" w:hAnsi="宋体" w:eastAsia="仿宋_GB2312" w:cs="仿宋_GB2312"/>
          <w:color w:val="auto"/>
          <w:kern w:val="2"/>
          <w:sz w:val="24"/>
          <w:szCs w:val="24"/>
          <w:highlight w:val="none"/>
          <w:lang w:val="en-US" w:eastAsia="zh-CN" w:bidi="ar-SA"/>
        </w:rPr>
        <w:t>400</w:t>
      </w:r>
      <w:r>
        <w:rPr>
          <w:rFonts w:hint="eastAsia" w:ascii="仿宋_GB2312" w:hAnsi="宋体" w:eastAsia="仿宋_GB2312" w:cs="仿宋_GB2312"/>
          <w:color w:val="auto"/>
          <w:kern w:val="2"/>
          <w:sz w:val="24"/>
          <w:szCs w:val="24"/>
          <w:highlight w:val="none"/>
          <w:lang w:val="en-US" w:eastAsia="zh-CN" w:bidi="ar-SA"/>
        </w:rPr>
        <w:t>元；直径1公分以上的枝桠未清理干净的，每处扣</w:t>
      </w:r>
      <w:r>
        <w:rPr>
          <w:rFonts w:ascii="仿宋_GB2312" w:hAnsi="宋体" w:eastAsia="仿宋_GB2312" w:cs="仿宋_GB2312"/>
          <w:color w:val="auto"/>
          <w:kern w:val="2"/>
          <w:sz w:val="24"/>
          <w:szCs w:val="24"/>
          <w:highlight w:val="none"/>
          <w:lang w:val="en-US" w:eastAsia="zh-CN" w:bidi="ar-SA"/>
        </w:rPr>
        <w:t>200</w:t>
      </w:r>
      <w:r>
        <w:rPr>
          <w:rFonts w:hint="eastAsia" w:ascii="仿宋_GB2312" w:hAnsi="宋体" w:eastAsia="仿宋_GB2312" w:cs="仿宋_GB2312"/>
          <w:color w:val="auto"/>
          <w:kern w:val="2"/>
          <w:sz w:val="24"/>
          <w:szCs w:val="24"/>
          <w:highlight w:val="none"/>
          <w:lang w:val="en-US" w:eastAsia="zh-CN" w:bidi="ar-SA"/>
        </w:rPr>
        <w:t>元；伐桩高于5厘米的，每个扣</w:t>
      </w:r>
      <w:r>
        <w:rPr>
          <w:rFonts w:ascii="仿宋_GB2312" w:hAnsi="宋体" w:eastAsia="仿宋_GB2312" w:cs="仿宋_GB2312"/>
          <w:color w:val="auto"/>
          <w:kern w:val="2"/>
          <w:sz w:val="24"/>
          <w:szCs w:val="24"/>
          <w:highlight w:val="none"/>
          <w:lang w:val="en-US" w:eastAsia="zh-CN" w:bidi="ar-SA"/>
        </w:rPr>
        <w:t>200</w:t>
      </w:r>
      <w:r>
        <w:rPr>
          <w:rFonts w:hint="eastAsia" w:ascii="仿宋_GB2312" w:hAnsi="宋体" w:eastAsia="仿宋_GB2312" w:cs="仿宋_GB2312"/>
          <w:color w:val="auto"/>
          <w:kern w:val="2"/>
          <w:sz w:val="24"/>
          <w:szCs w:val="24"/>
          <w:highlight w:val="none"/>
          <w:lang w:val="en-US" w:eastAsia="zh-CN" w:bidi="ar-SA"/>
        </w:rPr>
        <w:t>元。对有意砍伐活松树的，发现一株扣款</w:t>
      </w:r>
      <w:r>
        <w:rPr>
          <w:rFonts w:ascii="仿宋_GB2312" w:hAnsi="宋体" w:eastAsia="仿宋_GB2312" w:cs="仿宋_GB2312"/>
          <w:color w:val="auto"/>
          <w:kern w:val="2"/>
          <w:sz w:val="24"/>
          <w:szCs w:val="24"/>
          <w:highlight w:val="none"/>
          <w:lang w:val="en-US" w:eastAsia="zh-CN" w:bidi="ar-SA"/>
        </w:rPr>
        <w:t>500</w:t>
      </w:r>
      <w:r>
        <w:rPr>
          <w:rFonts w:hint="eastAsia" w:ascii="仿宋_GB2312" w:hAnsi="宋体" w:eastAsia="仿宋_GB2312" w:cs="仿宋_GB2312"/>
          <w:color w:val="auto"/>
          <w:kern w:val="2"/>
          <w:sz w:val="24"/>
          <w:szCs w:val="24"/>
          <w:highlight w:val="none"/>
          <w:lang w:val="en-US" w:eastAsia="zh-CN" w:bidi="ar-SA"/>
        </w:rPr>
        <w:t>元（按照伐桩数计）；被省级、市级抽检问题局拒不整改的，每一个问题扣款200元；对以阔叶树、杂木冒充疫木等违法行为不计其重量，且视情从除治费用中扣除相应款项的</w:t>
      </w:r>
      <w:r>
        <w:rPr>
          <w:rFonts w:ascii="仿宋_GB2312" w:hAnsi="宋体" w:eastAsia="仿宋_GB2312" w:cs="仿宋_GB2312"/>
          <w:color w:val="auto"/>
          <w:kern w:val="2"/>
          <w:sz w:val="24"/>
          <w:szCs w:val="24"/>
          <w:highlight w:val="none"/>
          <w:lang w:val="en-US" w:eastAsia="zh-CN" w:bidi="ar-SA"/>
        </w:rPr>
        <w:t>1</w:t>
      </w:r>
      <w:r>
        <w:rPr>
          <w:rFonts w:hint="eastAsia" w:ascii="仿宋_GB2312" w:hAnsi="宋体" w:eastAsia="仿宋_GB2312" w:cs="仿宋_GB2312"/>
          <w:color w:val="auto"/>
          <w:kern w:val="2"/>
          <w:sz w:val="24"/>
          <w:szCs w:val="24"/>
          <w:highlight w:val="none"/>
          <w:lang w:val="en-US" w:eastAsia="zh-CN" w:bidi="ar-SA"/>
        </w:rPr>
        <w:t>-</w:t>
      </w:r>
      <w:r>
        <w:rPr>
          <w:rFonts w:ascii="仿宋_GB2312" w:hAnsi="宋体" w:eastAsia="仿宋_GB2312" w:cs="仿宋_GB2312"/>
          <w:color w:val="auto"/>
          <w:kern w:val="2"/>
          <w:sz w:val="24"/>
          <w:szCs w:val="24"/>
          <w:highlight w:val="none"/>
          <w:lang w:val="en-US" w:eastAsia="zh-CN" w:bidi="ar-SA"/>
        </w:rPr>
        <w:t>3</w:t>
      </w:r>
      <w:r>
        <w:rPr>
          <w:rFonts w:hint="eastAsia" w:ascii="仿宋_GB2312" w:hAnsi="宋体" w:eastAsia="仿宋_GB2312" w:cs="仿宋_GB2312"/>
          <w:color w:val="auto"/>
          <w:kern w:val="2"/>
          <w:sz w:val="24"/>
          <w:szCs w:val="24"/>
          <w:highlight w:val="none"/>
          <w:lang w:val="en-US" w:eastAsia="zh-CN" w:bidi="ar-SA"/>
        </w:rPr>
        <w:t>倍。</w:t>
      </w:r>
    </w:p>
    <w:p>
      <w:pPr>
        <w:adjustRightInd/>
        <w:ind w:firstLine="480" w:firstLineChars="200"/>
        <w:contextualSpacing/>
        <w:jc w:val="left"/>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对没有在伐桩周边按要求系红色飘带的，每缺失一条扣除10元。</w:t>
      </w:r>
      <w:r>
        <w:rPr>
          <w:rFonts w:hint="eastAsia" w:ascii="仿宋_GB2312" w:hAnsi="宋体" w:eastAsia="仿宋_GB2312" w:cs="Times New Roman"/>
          <w:color w:val="auto"/>
          <w:sz w:val="24"/>
          <w:szCs w:val="24"/>
          <w:highlight w:val="none"/>
        </w:rPr>
        <w:t>对没有按要求用</w:t>
      </w:r>
      <w:r>
        <w:rPr>
          <w:rFonts w:hint="eastAsia" w:ascii="仿宋_GB2312" w:hAnsi="宋体" w:eastAsia="仿宋_GB2312" w:cs="仿宋_GB2312"/>
          <w:color w:val="auto"/>
          <w:sz w:val="24"/>
          <w:szCs w:val="24"/>
          <w:highlight w:val="none"/>
        </w:rPr>
        <w:t>数字森防APP上传资料，每一条不合格记录扣除20元/条。</w:t>
      </w:r>
    </w:p>
    <w:p>
      <w:pPr>
        <w:widowControl w:val="0"/>
        <w:spacing w:after="0"/>
        <w:ind w:left="0" w:leftChars="0" w:firstLine="480" w:firstLine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七、安全责任</w:t>
      </w:r>
    </w:p>
    <w:p>
      <w:pPr>
        <w:widowControl w:val="0"/>
        <w:spacing w:after="0"/>
        <w:ind w:left="0" w:leftChars="0" w:firstLine="480" w:firstLine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中标单位对清理工作的安全负全责，必须落实清理作业人员的意外伤害保险（先保险后出工），枯死松树清理前必须对所有清理人员进行技术培训，并开展安全教育，山场作业时做到安全第一。</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八、税费</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本合同执行中相关的一切税费均由乙方负担。</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九、质量保证及后续服务</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1.乙方应按采购文件规定向甲方提供服务。</w:t>
      </w:r>
    </w:p>
    <w:p>
      <w:pPr>
        <w:widowControl w:val="0"/>
        <w:spacing w:after="0"/>
        <w:ind w:left="0" w:leftChars="0" w:firstLine="480" w:firstLineChars="200"/>
        <w:contextualSpacing/>
        <w:jc w:val="both"/>
        <w:rPr>
          <w:rFonts w:hint="eastAsia"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en-US" w:eastAsia="zh-CN" w:bidi="ar-SA"/>
        </w:rPr>
        <w:t>2.服务质量保证期：自清理日起至次年秋季疫情普查结束，一般到2024年9月30日。</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3.乙方提供的服务成果在服务质量保证期内发生问题，乙方应负责免费提供后续服务。对达不到要求者，根据实际情况，经双方协商，可按以下办法处理：</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3.1重做：由乙方承担所发生的全部费用。</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3.2贬值处理：由甲乙双方合议定价。</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3.3解除合同。</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4.如在服务过程中发生问题，乙方在接到甲方通知后在8小时内到达甲方现场。</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5.在服务质量保证期内，乙方应对出现的质量及安全问题负责处理解决并承担一切费用。</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6.质量验收合格后，甲方无息退还乙方剩余质保金。</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十、违约责任</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1.乙方未完成清理任务中止合同，已实施未结算的清理款全部不予支付，并没收履约保证金。</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2.由于乙方原因（除不可抗力外）不能按期完成集中除治的，对超出交付的每一天，乙方按合同总价款的千分之三承担违约金，在合同款项支付时一次性扣除。</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3、乙方因未能如期提供服务或因其他违约行为导致甲方解除合同的，甲方没收乙方交纳的履约保证金，如造成甲方损失超过履约保证金违约金的，超出部分由乙方继续承担赔偿责任。</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十一、不可抗力事件处理</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1.在合同有效期内，任何一方因不可抗力事件导致不能履行合同，则合同履行期可延长，其延长期与不可抗力影响期相同。</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2.不可抗力事件延续120天以上，双方应通过友好协商，确定是否继续履行合同。</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十二、诉讼</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 双方在执行合同中所发生的一切争议，应通过协商解决。如协商不成，可向甲方所在地法院起诉。</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十三、合同生效及其它</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1.合同经双方法定代表人或授权代表签字并加盖单位公章后生效。</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2.本合同未尽事宜，遵照</w:t>
      </w:r>
      <w:r>
        <w:rPr>
          <w:rFonts w:hint="eastAsia" w:ascii="仿宋_GB2312" w:hAnsi="宋体" w:eastAsia="仿宋_GB2312" w:cs="仿宋_GB2312"/>
          <w:color w:val="auto"/>
          <w:sz w:val="24"/>
          <w:szCs w:val="24"/>
          <w:highlight w:val="none"/>
        </w:rPr>
        <w:t>《</w:t>
      </w:r>
      <w:r>
        <w:rPr>
          <w:rFonts w:hint="eastAsia" w:ascii="仿宋_GB2312" w:hAnsi="宋体" w:eastAsia="仿宋_GB2312" w:cs="仿宋_GB2312"/>
          <w:color w:val="auto"/>
          <w:sz w:val="24"/>
          <w:szCs w:val="24"/>
          <w:highlight w:val="none"/>
          <w:lang w:val="en-US" w:eastAsia="zh-CN"/>
        </w:rPr>
        <w:t>民法典</w:t>
      </w:r>
      <w:r>
        <w:rPr>
          <w:rFonts w:hint="eastAsia" w:ascii="仿宋_GB2312" w:hAnsi="宋体" w:eastAsia="仿宋_GB2312" w:cs="仿宋_GB2312"/>
          <w:color w:val="auto"/>
          <w:sz w:val="24"/>
          <w:szCs w:val="24"/>
          <w:highlight w:val="none"/>
        </w:rPr>
        <w:t>》</w:t>
      </w:r>
      <w:r>
        <w:rPr>
          <w:rFonts w:hint="eastAsia" w:ascii="仿宋_GB2312" w:hAnsi="宋体" w:eastAsia="仿宋_GB2312" w:cs="仿宋_GB2312"/>
          <w:color w:val="auto"/>
          <w:sz w:val="24"/>
          <w:szCs w:val="24"/>
          <w:highlight w:val="none"/>
        </w:rPr>
        <w:t>有关条文执行。</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3.本合同一式伍份，具有同等法律效力，双方各执二份，区林业局一份。</w:t>
      </w:r>
    </w:p>
    <w:tbl>
      <w:tblPr>
        <w:tblStyle w:val="63"/>
        <w:tblpPr w:leftFromText="180" w:rightFromText="180" w:vertAnchor="text" w:horzAnchor="margin" w:tblpY="854"/>
        <w:tblOverlap w:val="never"/>
        <w:tblW w:w="9260" w:type="dxa"/>
        <w:tblInd w:w="0" w:type="dxa"/>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1123" w:hRule="atLeast"/>
        </w:trPr>
        <w:tc>
          <w:tcPr>
            <w:tcW w:w="4630" w:type="dxa"/>
            <w:tcBorders>
              <w:top w:val="nil"/>
              <w:left w:val="nil"/>
              <w:bottom w:val="nil"/>
              <w:right w:val="nil"/>
              <w:tl2br w:val="nil"/>
              <w:tr2bl w:val="nil"/>
            </w:tcBorders>
          </w:tcPr>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甲方： </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地址：</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法定（授权）代表人：</w:t>
            </w:r>
          </w:p>
          <w:p>
            <w:pPr>
              <w:adjustRightInd w:val="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签字日期：    年  月  日</w:t>
            </w:r>
          </w:p>
        </w:tc>
        <w:tc>
          <w:tcPr>
            <w:tcW w:w="4630" w:type="dxa"/>
            <w:tcBorders>
              <w:top w:val="nil"/>
              <w:left w:val="nil"/>
              <w:bottom w:val="nil"/>
              <w:right w:val="nil"/>
              <w:tl2br w:val="nil"/>
              <w:tr2bl w:val="nil"/>
            </w:tcBorders>
          </w:tcPr>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乙方： </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 xml:space="preserve">地址： </w:t>
            </w:r>
          </w:p>
          <w:p>
            <w:pPr>
              <w:adjustRightInd w:val="0"/>
              <w:ind w:firstLine="480" w:firstLineChars="20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法定（授权）代表人：</w:t>
            </w:r>
          </w:p>
          <w:p>
            <w:pPr>
              <w:adjustRightInd w:val="0"/>
              <w:contextualSpacing/>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签字日期：    年  月  日</w:t>
            </w:r>
          </w:p>
        </w:tc>
      </w:tr>
    </w:tbl>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pStyle w:val="35"/>
        <w:rPr>
          <w:rFonts w:hint="eastAsia" w:ascii="仿宋" w:hAnsi="仿宋" w:eastAsia="仿宋" w:cs="仿宋"/>
          <w:b/>
          <w:color w:val="auto"/>
          <w:sz w:val="36"/>
          <w:szCs w:val="36"/>
          <w:highlight w:val="none"/>
        </w:rPr>
      </w:pPr>
    </w:p>
    <w:p>
      <w:pPr>
        <w:pStyle w:val="3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pStyle w:val="81"/>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得分</w:t>
      </w:r>
      <w:r>
        <w:rPr>
          <w:rFonts w:hint="eastAsia" w:ascii="仿宋" w:hAnsi="仿宋" w:eastAsia="仿宋" w:cs="仿宋"/>
          <w:color w:val="auto"/>
          <w:sz w:val="24"/>
          <w:highlight w:val="none"/>
        </w:rPr>
        <w:t>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90</w:t>
      </w:r>
      <w:r>
        <w:rPr>
          <w:rFonts w:hint="eastAsia" w:ascii="仿宋" w:hAnsi="仿宋" w:eastAsia="仿宋" w:cs="仿宋"/>
          <w:b/>
          <w:bCs/>
          <w:iCs/>
          <w:color w:val="auto"/>
          <w:sz w:val="24"/>
          <w:highlight w:val="none"/>
        </w:rPr>
        <w:t>分）</w:t>
      </w:r>
    </w:p>
    <w:tbl>
      <w:tblPr>
        <w:tblStyle w:val="63"/>
        <w:tblW w:w="5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6"/>
        <w:gridCol w:w="105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8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评分内容</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服务商同类业绩</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投标人自 </w:t>
            </w:r>
            <w:r>
              <w:rPr>
                <w:rFonts w:hint="eastAsia" w:ascii="仿宋" w:hAnsi="仿宋" w:eastAsia="仿宋" w:cs="仿宋"/>
                <w:color w:val="auto"/>
                <w:sz w:val="24"/>
                <w:highlight w:val="none"/>
                <w:lang w:val="en-US" w:eastAsia="zh-CN"/>
              </w:rPr>
              <w:t>2021</w:t>
            </w:r>
            <w:r>
              <w:rPr>
                <w:rFonts w:hint="eastAsia" w:ascii="仿宋" w:hAnsi="仿宋" w:eastAsia="仿宋" w:cs="仿宋"/>
                <w:color w:val="auto"/>
                <w:sz w:val="24"/>
                <w:highlight w:val="none"/>
              </w:rPr>
              <w:t xml:space="preserve"> 年以来类似项目业绩，每个得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分，最高得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pacing w:line="2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提供合同</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中标（成交）通知书原件扫描件上传核查，否则不得分；（有效同类项目案例以评审专家集体认定为准）。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85"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对本项目的理解和总体思路</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w:t>
            </w:r>
            <w:r>
              <w:rPr>
                <w:rFonts w:hint="eastAsia" w:ascii="仿宋" w:hAnsi="仿宋" w:eastAsia="仿宋" w:cs="仿宋"/>
                <w:color w:val="auto"/>
                <w:sz w:val="24"/>
                <w:highlight w:val="none"/>
                <w:lang w:val="zh-TW" w:eastAsia="zh-CN"/>
              </w:rPr>
              <w:t>根据供应商对本项目现状、存在的问题和服务的难点、要点等问题进行分析，并针对性的提出克服难点和要点技术措施的阐述</w:t>
            </w:r>
            <w:r>
              <w:rPr>
                <w:rFonts w:hint="eastAsia" w:ascii="仿宋" w:hAnsi="仿宋" w:eastAsia="仿宋" w:cs="仿宋"/>
                <w:color w:val="auto"/>
                <w:sz w:val="24"/>
                <w:highlight w:val="none"/>
              </w:rPr>
              <w:t>综合打分，内容全面合理可行，针对性强得 7.1-10 分；内容基本全面合理可行，有一定针对性得4.1-7分；内容有缺漏、方案欠合理，无针对性得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5"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总体服务方案</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小组根据供应商总体服务方案（包括但不限于组织实施方案的科学性、合理性、规范性和可操作性程度等）综合打分。</w:t>
            </w:r>
          </w:p>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内容全面合理可行，针对性强得 7.1-10 分；内容基本全面合理可行，有一定针对性得 4.1-7 分；内容有缺漏、方案欠合理，无针对性得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5"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项目组织机构</w:t>
            </w:r>
            <w:r>
              <w:rPr>
                <w:rFonts w:hint="eastAsia" w:ascii="仿宋" w:hAnsi="仿宋" w:eastAsia="仿宋" w:cs="仿宋"/>
                <w:color w:val="auto"/>
                <w:sz w:val="24"/>
                <w:highlight w:val="none"/>
                <w:lang w:eastAsia="zh-CN"/>
              </w:rPr>
              <w:t>及人员配备</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w:t>
            </w:r>
            <w:r>
              <w:rPr>
                <w:rFonts w:hint="eastAsia" w:ascii="仿宋" w:hAnsi="仿宋" w:eastAsia="仿宋" w:cs="仿宋"/>
                <w:color w:val="auto"/>
                <w:sz w:val="24"/>
                <w:highlight w:val="none"/>
                <w:lang w:val="en-US" w:eastAsia="zh-CN"/>
              </w:rPr>
              <w:t>针对本项目项目组织机构及人员配备的合理性，可行性</w:t>
            </w:r>
            <w:r>
              <w:rPr>
                <w:rFonts w:hint="eastAsia" w:ascii="仿宋" w:hAnsi="仿宋" w:eastAsia="仿宋" w:cs="仿宋"/>
                <w:color w:val="auto"/>
                <w:sz w:val="24"/>
                <w:highlight w:val="none"/>
              </w:rPr>
              <w:t>综合打分</w:t>
            </w:r>
            <w:r>
              <w:rPr>
                <w:rFonts w:hint="eastAsia" w:ascii="仿宋" w:hAnsi="仿宋" w:eastAsia="仿宋" w:cs="仿宋"/>
                <w:color w:val="auto"/>
                <w:sz w:val="24"/>
                <w:highlight w:val="none"/>
                <w:lang w:eastAsia="zh-CN"/>
              </w:rPr>
              <w:t>。</w:t>
            </w:r>
          </w:p>
          <w:p>
            <w:pPr>
              <w:pStyle w:val="81"/>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 xml:space="preserve">内容全面合理可行，针对性强得 </w:t>
            </w:r>
            <w:r>
              <w:rPr>
                <w:rFonts w:hint="eastAsia" w:ascii="仿宋" w:hAnsi="仿宋" w:eastAsia="仿宋" w:cs="仿宋"/>
                <w:color w:val="auto"/>
                <w:sz w:val="24"/>
                <w:highlight w:val="none"/>
              </w:rPr>
              <w:t>5.1-8</w:t>
            </w:r>
            <w:r>
              <w:rPr>
                <w:rFonts w:hint="eastAsia" w:ascii="仿宋" w:hAnsi="仿宋" w:eastAsia="仿宋" w:cs="仿宋"/>
                <w:color w:val="auto"/>
                <w:kern w:val="2"/>
                <w:sz w:val="24"/>
                <w:szCs w:val="24"/>
                <w:highlight w:val="none"/>
                <w:lang w:val="en-US" w:eastAsia="zh-CN" w:bidi="ar-SA"/>
              </w:rPr>
              <w:t xml:space="preserve"> 分；内容基本全面合理可行，有一定针对性得 </w:t>
            </w:r>
            <w:r>
              <w:rPr>
                <w:rFonts w:hint="eastAsia" w:ascii="仿宋" w:hAnsi="仿宋" w:eastAsia="仿宋" w:cs="仿宋"/>
                <w:color w:val="auto"/>
                <w:sz w:val="24"/>
                <w:highlight w:val="none"/>
              </w:rPr>
              <w:t xml:space="preserve">3.1-5 </w:t>
            </w:r>
            <w:r>
              <w:rPr>
                <w:rFonts w:hint="eastAsia" w:ascii="仿宋" w:hAnsi="仿宋" w:eastAsia="仿宋" w:cs="仿宋"/>
                <w:color w:val="auto"/>
                <w:kern w:val="2"/>
                <w:sz w:val="24"/>
                <w:szCs w:val="24"/>
                <w:highlight w:val="none"/>
                <w:lang w:val="en-US" w:eastAsia="zh-CN" w:bidi="ar-SA"/>
              </w:rPr>
              <w:t xml:space="preserve">分；内容有缺漏、欠合理，无针对性得 </w:t>
            </w:r>
            <w:r>
              <w:rPr>
                <w:rFonts w:hint="eastAsia" w:ascii="仿宋" w:hAnsi="仿宋" w:eastAsia="仿宋" w:cs="仿宋"/>
                <w:color w:val="auto"/>
                <w:sz w:val="24"/>
                <w:highlight w:val="none"/>
              </w:rPr>
              <w:t xml:space="preserve">0-3 </w:t>
            </w:r>
            <w:r>
              <w:rPr>
                <w:rFonts w:hint="eastAsia" w:ascii="仿宋" w:hAnsi="仿宋" w:eastAsia="仿宋" w:cs="仿宋"/>
                <w:color w:val="auto"/>
                <w:kern w:val="2"/>
                <w:sz w:val="24"/>
                <w:szCs w:val="24"/>
                <w:highlight w:val="none"/>
                <w:lang w:val="en-US" w:eastAsia="zh-CN" w:bidi="ar-SA"/>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工期进度及保障措施</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w:t>
            </w:r>
            <w:r>
              <w:rPr>
                <w:rFonts w:hint="eastAsia" w:ascii="仿宋" w:hAnsi="仿宋" w:eastAsia="仿宋" w:cs="仿宋"/>
                <w:color w:val="auto"/>
                <w:sz w:val="24"/>
                <w:highlight w:val="none"/>
                <w:lang w:eastAsia="zh-CN"/>
              </w:rPr>
              <w:t>对工期</w:t>
            </w:r>
            <w:r>
              <w:rPr>
                <w:rFonts w:hint="eastAsia" w:ascii="仿宋" w:hAnsi="仿宋" w:eastAsia="仿宋" w:cs="仿宋"/>
                <w:color w:val="auto"/>
                <w:sz w:val="24"/>
                <w:highlight w:val="none"/>
              </w:rPr>
              <w:t>进度安排实施方案（包括但不限于各阶段工作计划安排内容是否充实、进度是否合理、科学等）综合打分。</w:t>
            </w:r>
          </w:p>
          <w:p>
            <w:pPr>
              <w:spacing w:line="2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内容全面合理可行，针对性强得 7.1-10 分；内容基本全面合理可行，有一定针对性得 4.1-7 分；内容有缺漏、方案欠合理，无针对性得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质量保障措施</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小组根据供应商质量保障措施实施方案（包括但不限于①质量保证措施是否符合项目实际，切实可行②质量监督管理机构是否健全、制度是否完善、服务质量能否符合采购人规定等）综合打分。</w:t>
            </w:r>
          </w:p>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内容全面合理可行，针对性强得 7.1-10 分；内容基本全面合理可行，有一定针对性得 4.1-7 分；内容有缺漏、方案欠合理，无针对性得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安全保障措施</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小组根据供应商安全保障措施的描述：（包括但不限于①</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实施过程中的安全保障措施是否合理；②是否制定安全管理制度和操作规程，建立预防机制，符合有关安全生产法标准规范的要求等）综合打分。</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内容全面合理可行，针对性强得 7.1-10 分；内容基本全面合理</w:t>
            </w:r>
          </w:p>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可行，有一定针对性得 4.1-7 分；内容有缺漏、方案欠合理，无针对性得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管理单位反馈问题的处理措施</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0-6分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接到管理单位巡查中发现的问题的处理措施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4"/>
                <w:sz w:val="24"/>
                <w:szCs w:val="24"/>
                <w:highlight w:val="none"/>
              </w:rPr>
              <w:t>由评委横向比较进行打分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内容全面合理可行，针对性强得 4.1-6 分；内容基本全面合理可行，有一定针对性得 2.1-4 分；内容有缺漏、方案欠合理，无针对性得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服务配合及合理化建议</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0-6分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小组根据供应商针对采购人如何做好配合采购人完成服务内容、针对验收后续工作提出建议或整改措施，并作出各项服务承诺综合打分。</w:t>
            </w:r>
          </w:p>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内容全面合理可行，针对性强得 4.1-6 分；内容基本全面合理可行，有一定针对性得 2.1-4 分；内容有缺漏、方案欠合理，无针对性得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应急预案 </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小组根据供应商的应急预案全面性、可行性、合理性进行评定。</w:t>
            </w:r>
          </w:p>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内容全面合理可行，针对性强得 5.1-8 分；应急预案内容基本全面合理可行，有一定针对性得 3.1-5 分；应急预案内容有缺漏、方案欠合理，无针对性得 0-3 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创新方案</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0-6分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小组根据供应商</w:t>
            </w:r>
            <w:r>
              <w:rPr>
                <w:rFonts w:hint="eastAsia" w:ascii="仿宋" w:hAnsi="仿宋" w:eastAsia="仿宋" w:cs="仿宋"/>
                <w:color w:val="auto"/>
                <w:sz w:val="24"/>
                <w:highlight w:val="none"/>
                <w:lang w:val="en-US" w:eastAsia="zh-CN"/>
              </w:rPr>
              <w:t>突破传统运行模式，分析创新型技术方案：使用的设施设备、防治措施等创新方案</w:t>
            </w:r>
            <w:r>
              <w:rPr>
                <w:rFonts w:hint="eastAsia" w:ascii="仿宋" w:hAnsi="仿宋" w:eastAsia="仿宋" w:cs="仿宋"/>
                <w:color w:val="auto"/>
                <w:sz w:val="24"/>
                <w:highlight w:val="none"/>
              </w:rPr>
              <w:t>综合打分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内容全面合理可行，针对性强得 4.1-6 分；内容基本全面合理可行，有一定针对性得 2.1-4 分；内容有缺漏、方案欠合理，无针对性得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83" w:type="pct"/>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售后服务</w:t>
            </w:r>
          </w:p>
        </w:tc>
        <w:tc>
          <w:tcPr>
            <w:tcW w:w="53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349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本地化售后服务：</w:t>
            </w:r>
            <w:r>
              <w:rPr>
                <w:rFonts w:hint="eastAsia" w:ascii="仿宋" w:hAnsi="仿宋" w:eastAsia="仿宋" w:cs="仿宋"/>
                <w:color w:val="auto"/>
                <w:sz w:val="24"/>
                <w:szCs w:val="24"/>
                <w:highlight w:val="none"/>
                <w:lang w:eastAsia="zh-CN"/>
              </w:rPr>
              <w:t>承诺</w:t>
            </w:r>
            <w:r>
              <w:rPr>
                <w:rFonts w:hint="eastAsia" w:ascii="仿宋" w:hAnsi="仿宋" w:eastAsia="仿宋" w:cs="仿宋"/>
                <w:color w:val="auto"/>
                <w:sz w:val="24"/>
                <w:szCs w:val="24"/>
                <w:highlight w:val="none"/>
              </w:rPr>
              <w:t>接到采购人通知（电话、电传等）后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w:t>
            </w:r>
            <w:r>
              <w:rPr>
                <w:rFonts w:hint="eastAsia" w:ascii="仿宋" w:hAnsi="仿宋" w:eastAsia="仿宋" w:cs="仿宋"/>
                <w:color w:val="auto"/>
                <w:sz w:val="24"/>
                <w:szCs w:val="24"/>
                <w:highlight w:val="none"/>
                <w:lang w:eastAsia="zh-CN"/>
              </w:rPr>
              <w:t>内到达</w:t>
            </w:r>
            <w:r>
              <w:rPr>
                <w:rFonts w:hint="eastAsia" w:ascii="仿宋" w:hAnsi="仿宋" w:eastAsia="仿宋" w:cs="仿宋"/>
                <w:color w:val="auto"/>
                <w:sz w:val="24"/>
                <w:szCs w:val="24"/>
                <w:highlight w:val="none"/>
              </w:rPr>
              <w:t>现场</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小时</w:t>
            </w:r>
            <w:r>
              <w:rPr>
                <w:rFonts w:hint="eastAsia" w:ascii="仿宋" w:hAnsi="仿宋" w:eastAsia="仿宋" w:cs="仿宋"/>
                <w:color w:val="auto"/>
                <w:sz w:val="24"/>
                <w:szCs w:val="24"/>
                <w:highlight w:val="none"/>
                <w:lang w:eastAsia="zh-CN"/>
              </w:rPr>
              <w:t>内到达</w:t>
            </w:r>
            <w:r>
              <w:rPr>
                <w:rFonts w:hint="eastAsia" w:ascii="仿宋" w:hAnsi="仿宋" w:eastAsia="仿宋" w:cs="仿宋"/>
                <w:color w:val="auto"/>
                <w:sz w:val="24"/>
                <w:szCs w:val="24"/>
                <w:highlight w:val="none"/>
              </w:rPr>
              <w:t>现场</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小时</w:t>
            </w:r>
            <w:r>
              <w:rPr>
                <w:rFonts w:hint="eastAsia" w:ascii="仿宋" w:hAnsi="仿宋" w:eastAsia="仿宋" w:cs="仿宋"/>
                <w:color w:val="auto"/>
                <w:sz w:val="24"/>
                <w:szCs w:val="24"/>
                <w:highlight w:val="none"/>
                <w:lang w:eastAsia="zh-CN"/>
              </w:rPr>
              <w:t>内到达</w:t>
            </w:r>
            <w:r>
              <w:rPr>
                <w:rFonts w:hint="eastAsia" w:ascii="仿宋" w:hAnsi="仿宋" w:eastAsia="仿宋" w:cs="仿宋"/>
                <w:color w:val="auto"/>
                <w:sz w:val="24"/>
                <w:szCs w:val="24"/>
                <w:highlight w:val="none"/>
              </w:rPr>
              <w:t>现场</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，其余不得分。</w:t>
            </w:r>
          </w:p>
        </w:tc>
      </w:tr>
    </w:tbl>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10</w:t>
      </w:r>
      <w:r>
        <w:rPr>
          <w:rFonts w:hint="eastAsia" w:ascii="仿宋" w:hAnsi="仿宋" w:eastAsia="仿宋" w:cs="仿宋"/>
          <w:b/>
          <w:bCs/>
          <w:iCs/>
          <w:color w:val="auto"/>
          <w:sz w:val="24"/>
          <w:highlight w:val="none"/>
        </w:rPr>
        <w:t>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10</w:t>
      </w:r>
    </w:p>
    <w:p>
      <w:pPr>
        <w:pStyle w:val="2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7"/>
        <w:rPr>
          <w:rFonts w:hint="eastAsia" w:ascii="仿宋" w:hAnsi="仿宋" w:eastAsia="仿宋" w:cs="仿宋"/>
          <w:color w:val="auto"/>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5"/>
      <w:r>
        <w:rPr>
          <w:rFonts w:hint="eastAsia" w:ascii="仿宋" w:hAnsi="仿宋" w:eastAsia="仿宋" w:cs="仿宋"/>
          <w:b/>
          <w:color w:val="auto"/>
          <w:sz w:val="36"/>
          <w:szCs w:val="20"/>
          <w:highlight w:val="none"/>
        </w:rPr>
        <w:t xml:space="preserve"> </w:t>
      </w:r>
      <w:bookmarkEnd w:id="36"/>
      <w:r>
        <w:rPr>
          <w:rFonts w:hint="eastAsia" w:ascii="仿宋" w:hAnsi="仿宋" w:eastAsia="仿宋" w:cs="仿宋"/>
          <w:b/>
          <w:color w:val="auto"/>
          <w:sz w:val="36"/>
          <w:szCs w:val="20"/>
          <w:highlight w:val="none"/>
        </w:rPr>
        <w:t>投标文件及其附件格式</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pStyle w:val="26"/>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sz w:val="24"/>
          <w:highlight w:val="none"/>
        </w:rPr>
      </w:pPr>
    </w:p>
    <w:p>
      <w:pPr>
        <w:pStyle w:val="27"/>
        <w:rPr>
          <w:rFonts w:hint="eastAsia"/>
          <w:color w:val="auto"/>
          <w:highlight w:val="none"/>
        </w:rPr>
      </w:pPr>
    </w:p>
    <w:p>
      <w:pPr>
        <w:rPr>
          <w:rFonts w:hint="eastAsia"/>
          <w:color w:val="auto"/>
          <w:highlight w:val="none"/>
        </w:rPr>
      </w:pPr>
    </w:p>
    <w:p>
      <w:pPr>
        <w:pStyle w:val="27"/>
        <w:rPr>
          <w:rFonts w:hint="eastAsia"/>
          <w:color w:val="auto"/>
          <w:highlight w:val="none"/>
        </w:rPr>
      </w:pPr>
    </w:p>
    <w:p>
      <w:pPr>
        <w:rPr>
          <w:rFonts w:hint="eastAsia"/>
          <w:color w:val="auto"/>
          <w:highlight w:val="none"/>
        </w:rPr>
      </w:pPr>
    </w:p>
    <w:p>
      <w:pPr>
        <w:pStyle w:val="27"/>
        <w:rPr>
          <w:rFonts w:hint="eastAsia"/>
          <w:color w:val="auto"/>
          <w:highlight w:val="none"/>
        </w:rPr>
      </w:pPr>
    </w:p>
    <w:p>
      <w:pPr>
        <w:rPr>
          <w:rFonts w:hint="eastAsia"/>
          <w:color w:val="auto"/>
          <w:highlight w:val="none"/>
        </w:rPr>
      </w:pPr>
    </w:p>
    <w:p>
      <w:pPr>
        <w:spacing w:line="360" w:lineRule="auto"/>
        <w:jc w:val="center"/>
        <w:outlineLvl w:val="0"/>
        <w:rPr>
          <w:rFonts w:hint="eastAsia" w:ascii="仿宋" w:hAnsi="仿宋" w:eastAsia="仿宋" w:cs="仿宋"/>
          <w:b/>
          <w:color w:val="auto"/>
          <w:kern w:val="0"/>
          <w:sz w:val="24"/>
          <w:highlight w:val="none"/>
        </w:rPr>
      </w:pPr>
    </w:p>
    <w:p>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36" w:lineRule="auto"/>
        <w:jc w:val="center"/>
        <w:outlineLvl w:val="0"/>
        <w:rPr>
          <w:rFonts w:ascii="仿宋" w:hAnsi="仿宋" w:eastAsia="仿宋" w:cs="仿宋"/>
          <w:b/>
          <w:color w:val="auto"/>
          <w:kern w:val="0"/>
          <w:sz w:val="24"/>
          <w:highlight w:val="none"/>
        </w:rPr>
      </w:pPr>
    </w:p>
    <w:p>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pPr>
        <w:pStyle w:val="911"/>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both"/>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pStyle w:val="401"/>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pPr>
        <w:pStyle w:val="401"/>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920" w:firstLineChars="2050"/>
        <w:jc w:val="left"/>
        <w:rPr>
          <w:rFonts w:hint="eastAsia" w:ascii="仿宋" w:hAnsi="仿宋" w:eastAsia="仿宋" w:cs="仿宋"/>
          <w:color w:val="auto"/>
          <w:sz w:val="24"/>
          <w:highlight w:val="none"/>
        </w:rPr>
      </w:pPr>
    </w:p>
    <w:p>
      <w:pPr>
        <w:spacing w:line="800" w:lineRule="exact"/>
        <w:rPr>
          <w:rFonts w:hint="eastAsia" w:ascii="仿宋" w:hAnsi="仿宋" w:eastAsia="仿宋" w:cs="仿宋"/>
          <w:b/>
          <w:color w:val="auto"/>
          <w:sz w:val="24"/>
          <w:highlight w:val="none"/>
        </w:rPr>
      </w:pPr>
    </w:p>
    <w:p>
      <w:pPr>
        <w:spacing w:line="800" w:lineRule="exact"/>
        <w:rPr>
          <w:rFonts w:hint="eastAsia" w:ascii="仿宋" w:hAnsi="仿宋" w:eastAsia="仿宋" w:cs="仿宋"/>
          <w:b/>
          <w:color w:val="auto"/>
          <w:sz w:val="24"/>
          <w:highlight w:val="none"/>
        </w:rPr>
      </w:pPr>
    </w:p>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spacing w:line="800" w:lineRule="exact"/>
        <w:rPr>
          <w:rFonts w:hint="eastAsia" w:ascii="仿宋" w:hAnsi="仿宋" w:eastAsia="仿宋" w:cs="仿宋"/>
          <w:b/>
          <w:color w:val="auto"/>
          <w:sz w:val="24"/>
          <w:highlight w:val="none"/>
        </w:rPr>
      </w:pP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pPr>
        <w:spacing w:line="800" w:lineRule="exact"/>
        <w:rPr>
          <w:rFonts w:hint="eastAsia" w:ascii="仿宋" w:hAnsi="仿宋" w:eastAsia="仿宋" w:cs="仿宋"/>
          <w:b/>
          <w:color w:val="auto"/>
          <w:sz w:val="24"/>
          <w:highlight w:val="none"/>
        </w:rPr>
      </w:pPr>
    </w:p>
    <w:p>
      <w:pPr>
        <w:spacing w:line="800" w:lineRule="exact"/>
        <w:rPr>
          <w:rFonts w:hint="eastAsia" w:ascii="仿宋" w:hAnsi="仿宋" w:eastAsia="仿宋" w:cs="仿宋"/>
          <w:b/>
          <w:color w:val="auto"/>
          <w:sz w:val="24"/>
          <w:highlight w:val="none"/>
        </w:rPr>
      </w:pP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pPr>
        <w:spacing w:line="440" w:lineRule="exact"/>
        <w:ind w:right="480"/>
        <w:rPr>
          <w:rFonts w:hint="eastAsia" w:ascii="仿宋" w:hAnsi="仿宋" w:eastAsia="仿宋" w:cs="仿宋"/>
          <w:color w:val="auto"/>
          <w:sz w:val="24"/>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7"/>
        <w:rPr>
          <w:rFonts w:hint="eastAsia"/>
          <w:color w:val="auto"/>
          <w:highlight w:val="none"/>
        </w:rPr>
      </w:pP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pPr>
        <w:widowControl/>
        <w:adjustRightInd/>
        <w:jc w:val="left"/>
        <w:rPr>
          <w:rFonts w:hint="eastAsia" w:ascii="仿宋" w:hAnsi="仿宋" w:eastAsia="仿宋" w:cs="仿宋"/>
          <w:b/>
          <w:bCs/>
          <w:color w:val="auto"/>
          <w:sz w:val="32"/>
          <w:szCs w:val="32"/>
          <w:highlight w:val="none"/>
          <w:lang w:eastAsia="zh-CN"/>
        </w:rPr>
      </w:pPr>
    </w:p>
    <w:p>
      <w:pPr>
        <w:pStyle w:val="27"/>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pStyle w:val="27"/>
        <w:rPr>
          <w:rFonts w:hint="eastAsia"/>
          <w:color w:val="auto"/>
          <w:highlight w:val="none"/>
          <w:lang w:eastAsia="zh-CN"/>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pStyle w:val="27"/>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247" w:left="123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pPr w:leftFromText="180" w:rightFromText="180" w:vertAnchor="text" w:horzAnchor="page" w:tblpX="1551"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873"/>
        <w:gridCol w:w="4414"/>
        <w:gridCol w:w="1572"/>
        <w:gridCol w:w="2084"/>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7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序号</w:t>
            </w:r>
          </w:p>
        </w:tc>
        <w:tc>
          <w:tcPr>
            <w:tcW w:w="1873" w:type="dxa"/>
            <w:vAlign w:val="center"/>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名称</w:t>
            </w:r>
          </w:p>
        </w:tc>
        <w:tc>
          <w:tcPr>
            <w:tcW w:w="4414" w:type="dxa"/>
            <w:vAlign w:val="center"/>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服务内容</w:t>
            </w:r>
          </w:p>
        </w:tc>
        <w:tc>
          <w:tcPr>
            <w:tcW w:w="157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单价</w:t>
            </w:r>
          </w:p>
        </w:tc>
        <w:tc>
          <w:tcPr>
            <w:tcW w:w="2084"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服务期限</w:t>
            </w:r>
          </w:p>
        </w:tc>
        <w:tc>
          <w:tcPr>
            <w:tcW w:w="246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873"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XX</w:t>
            </w:r>
          </w:p>
        </w:tc>
        <w:tc>
          <w:tcPr>
            <w:tcW w:w="4414" w:type="dxa"/>
          </w:tcPr>
          <w:p>
            <w:pPr>
              <w:jc w:val="center"/>
              <w:rPr>
                <w:color w:val="auto"/>
                <w:highlight w:val="none"/>
                <w:vertAlign w:val="baseline"/>
              </w:rPr>
            </w:pPr>
          </w:p>
        </w:tc>
        <w:tc>
          <w:tcPr>
            <w:tcW w:w="1572" w:type="dxa"/>
          </w:tcPr>
          <w:p>
            <w:pPr>
              <w:jc w:val="center"/>
              <w:rPr>
                <w:color w:val="auto"/>
                <w:highlight w:val="none"/>
                <w:vertAlign w:val="baseline"/>
              </w:rPr>
            </w:pPr>
          </w:p>
        </w:tc>
        <w:tc>
          <w:tcPr>
            <w:tcW w:w="2084" w:type="dxa"/>
          </w:tcPr>
          <w:p>
            <w:pPr>
              <w:jc w:val="center"/>
              <w:rPr>
                <w:rFonts w:hint="default" w:eastAsia="宋体"/>
                <w:color w:val="auto"/>
                <w:highlight w:val="none"/>
                <w:vertAlign w:val="baseline"/>
                <w:lang w:val="en-US" w:eastAsia="zh-CN"/>
              </w:rPr>
            </w:pPr>
          </w:p>
        </w:tc>
        <w:tc>
          <w:tcPr>
            <w:tcW w:w="2462" w:type="dxa"/>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873"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XX</w:t>
            </w:r>
          </w:p>
        </w:tc>
        <w:tc>
          <w:tcPr>
            <w:tcW w:w="4414" w:type="dxa"/>
          </w:tcPr>
          <w:p>
            <w:pPr>
              <w:jc w:val="center"/>
              <w:rPr>
                <w:color w:val="auto"/>
                <w:highlight w:val="none"/>
                <w:vertAlign w:val="baseline"/>
              </w:rPr>
            </w:pPr>
          </w:p>
        </w:tc>
        <w:tc>
          <w:tcPr>
            <w:tcW w:w="1572" w:type="dxa"/>
          </w:tcPr>
          <w:p>
            <w:pPr>
              <w:jc w:val="center"/>
              <w:rPr>
                <w:color w:val="auto"/>
                <w:highlight w:val="none"/>
                <w:vertAlign w:val="baseline"/>
              </w:rPr>
            </w:pPr>
          </w:p>
        </w:tc>
        <w:tc>
          <w:tcPr>
            <w:tcW w:w="2084" w:type="dxa"/>
          </w:tcPr>
          <w:p>
            <w:pPr>
              <w:jc w:val="center"/>
              <w:rPr>
                <w:color w:val="auto"/>
                <w:highlight w:val="none"/>
                <w:vertAlign w:val="baseline"/>
              </w:rPr>
            </w:pPr>
          </w:p>
        </w:tc>
        <w:tc>
          <w:tcPr>
            <w:tcW w:w="2462" w:type="dxa"/>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72"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w:t>
            </w:r>
          </w:p>
        </w:tc>
        <w:tc>
          <w:tcPr>
            <w:tcW w:w="1873" w:type="dxa"/>
          </w:tcPr>
          <w:p>
            <w:pPr>
              <w:jc w:val="center"/>
              <w:rPr>
                <w:color w:val="auto"/>
                <w:highlight w:val="none"/>
                <w:vertAlign w:val="baseline"/>
              </w:rPr>
            </w:pPr>
          </w:p>
        </w:tc>
        <w:tc>
          <w:tcPr>
            <w:tcW w:w="4414" w:type="dxa"/>
          </w:tcPr>
          <w:p>
            <w:pPr>
              <w:jc w:val="center"/>
              <w:rPr>
                <w:color w:val="auto"/>
                <w:highlight w:val="none"/>
                <w:vertAlign w:val="baseline"/>
              </w:rPr>
            </w:pPr>
          </w:p>
        </w:tc>
        <w:tc>
          <w:tcPr>
            <w:tcW w:w="1572" w:type="dxa"/>
          </w:tcPr>
          <w:p>
            <w:pPr>
              <w:jc w:val="center"/>
              <w:rPr>
                <w:color w:val="auto"/>
                <w:highlight w:val="none"/>
                <w:vertAlign w:val="baseline"/>
              </w:rPr>
            </w:pPr>
          </w:p>
        </w:tc>
        <w:tc>
          <w:tcPr>
            <w:tcW w:w="2084" w:type="dxa"/>
          </w:tcPr>
          <w:p>
            <w:pPr>
              <w:jc w:val="center"/>
              <w:rPr>
                <w:color w:val="auto"/>
                <w:highlight w:val="none"/>
                <w:vertAlign w:val="baseline"/>
              </w:rPr>
            </w:pPr>
          </w:p>
        </w:tc>
        <w:tc>
          <w:tcPr>
            <w:tcW w:w="2462" w:type="dxa"/>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977" w:type="dxa"/>
            <w:gridSpan w:val="6"/>
          </w:tcPr>
          <w:p>
            <w:pPr>
              <w:jc w:val="both"/>
              <w:rPr>
                <w:color w:val="auto"/>
                <w:highlight w:val="none"/>
                <w:vertAlign w:val="baseline"/>
              </w:rPr>
            </w:pPr>
            <w:r>
              <w:rPr>
                <w:rFonts w:hint="eastAsia"/>
                <w:color w:val="auto"/>
                <w:highlight w:val="none"/>
                <w:vertAlign w:val="baseline"/>
                <w:lang w:val="en-US" w:eastAsia="zh-CN"/>
              </w:rPr>
              <w:t>注：本项目按单价报价，最终按实际除治重量结算，最终结算总价不超过60万元。</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pStyle w:val="27"/>
        <w:rPr>
          <w:rFonts w:hint="eastAsia"/>
          <w:color w:val="auto"/>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7" w:name="_Hlk101131882"/>
      <w:r>
        <w:rPr>
          <w:rFonts w:hint="eastAsia" w:ascii="仿宋" w:hAnsi="仿宋" w:eastAsia="仿宋" w:cs="仿宋"/>
          <w:color w:val="auto"/>
          <w:kern w:val="0"/>
          <w:sz w:val="24"/>
          <w:highlight w:val="none"/>
          <w:u w:val="single"/>
        </w:rPr>
        <w:t>联合体成员X,……</w:t>
      </w:r>
      <w:bookmarkEnd w:id="3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8"/>
      <w:r>
        <w:rPr>
          <w:rFonts w:hint="eastAsia" w:ascii="仿宋" w:hAnsi="仿宋" w:eastAsia="仿宋" w:cs="仿宋"/>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7"/>
        <w:rPr>
          <w:rFonts w:hint="eastAsia"/>
          <w:color w:val="auto"/>
          <w:highlight w:val="none"/>
        </w:rPr>
      </w:pPr>
    </w:p>
    <w:p>
      <w:pPr>
        <w:rPr>
          <w:rFonts w:hint="eastAsia"/>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0" w:name="OLE_LINK13"/>
      <w:bookmarkStart w:id="41" w:name="OLE_LINK14"/>
      <w:r>
        <w:rPr>
          <w:rFonts w:hint="eastAsia" w:ascii="仿宋" w:hAnsi="仿宋" w:eastAsia="仿宋" w:cs="仿宋"/>
          <w:b/>
          <w:color w:val="auto"/>
          <w:spacing w:val="6"/>
          <w:sz w:val="32"/>
          <w:szCs w:val="32"/>
          <w:highlight w:val="none"/>
        </w:rPr>
        <w:t>残疾人福利性单位声明函</w:t>
      </w:r>
    </w:p>
    <w:bookmarkEnd w:id="40"/>
    <w:bookmarkEnd w:id="4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6"/>
        <w:rPr>
          <w:rFonts w:hint="eastAsia" w:ascii="仿宋" w:hAnsi="仿宋" w:eastAsia="仿宋" w:cs="仿宋"/>
          <w:color w:val="auto"/>
          <w:highlight w:val="none"/>
        </w:rPr>
      </w:pPr>
    </w:p>
    <w:p>
      <w:pPr>
        <w:pStyle w:val="2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7"/>
        <w:rPr>
          <w:rFonts w:hint="eastAsia"/>
          <w:color w:val="auto"/>
          <w:highlight w:val="none"/>
        </w:rPr>
      </w:pPr>
    </w:p>
    <w:p>
      <w:pPr>
        <w:pStyle w:val="2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7"/>
        <w:rPr>
          <w:rFonts w:hint="eastAsia"/>
          <w:color w:val="auto"/>
          <w:highlight w:val="none"/>
        </w:rPr>
      </w:pP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pPr>
        <w:pStyle w:val="26"/>
        <w:rPr>
          <w:rFonts w:hint="eastAsia"/>
          <w:color w:val="auto"/>
          <w:highlight w:val="none"/>
          <w:lang w:val="en-US" w:eastAsia="zh-CN"/>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pPr>
        <w:widowControl/>
        <w:jc w:val="left"/>
        <w:rPr>
          <w:rFonts w:hint="eastAsia" w:ascii="仿宋" w:hAnsi="仿宋" w:eastAsia="仿宋" w:cs="仿宋"/>
          <w:color w:val="auto"/>
          <w:kern w:val="0"/>
          <w:sz w:val="24"/>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pPr>
        <w:widowControl/>
        <w:jc w:val="left"/>
        <w:rPr>
          <w:rFonts w:hint="eastAsia" w:ascii="仿宋" w:hAnsi="仿宋" w:eastAsia="仿宋" w:cs="仿宋"/>
          <w:color w:val="auto"/>
          <w:kern w:val="0"/>
          <w:sz w:val="24"/>
          <w:highlight w:val="none"/>
        </w:rPr>
      </w:pPr>
    </w:p>
    <w:p>
      <w:pPr>
        <w:widowControl/>
        <w:jc w:val="left"/>
        <w:rPr>
          <w:rFonts w:hint="eastAsia" w:ascii="仿宋" w:hAnsi="仿宋" w:eastAsia="仿宋" w:cs="仿宋"/>
          <w:color w:val="auto"/>
          <w:kern w:val="0"/>
          <w:sz w:val="24"/>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pPr>
        <w:rPr>
          <w:rFonts w:hint="eastAsia" w:ascii="仿宋" w:hAnsi="仿宋" w:eastAsia="仿宋" w:cs="仿宋"/>
          <w:color w:val="auto"/>
          <w:sz w:val="24"/>
          <w:highlight w:val="none"/>
        </w:rPr>
      </w:pPr>
    </w:p>
    <w:p>
      <w:pPr>
        <w:ind w:firstLine="420" w:firstLineChars="20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p>
    <w:p>
      <w:pPr>
        <w:spacing w:line="360" w:lineRule="auto"/>
        <w:rPr>
          <w:rFonts w:ascii="宋体" w:hAnsi="宋体" w:cs="宋体"/>
          <w:bCs/>
          <w:color w:val="auto"/>
          <w:sz w:val="24"/>
          <w:highlight w:val="none"/>
        </w:rPr>
      </w:pP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eastAsia="仿宋_GB2312"/>
        <w:b w:val="0"/>
        <w:i/>
        <w:sz w:val="18"/>
        <w:u w:val="single"/>
        <w:lang w:val="en-US"/>
      </w:rPr>
    </w:pPr>
  </w:p>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7F794DDC"/>
    <w:multiLevelType w:val="singleLevel"/>
    <w:tmpl w:val="7F794DDC"/>
    <w:lvl w:ilvl="0" w:tentative="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172A27"/>
    <w:rsid w:val="00B34AC1"/>
    <w:rsid w:val="00FF47C1"/>
    <w:rsid w:val="01731936"/>
    <w:rsid w:val="026B74AB"/>
    <w:rsid w:val="02D011E6"/>
    <w:rsid w:val="033176C9"/>
    <w:rsid w:val="03910FD6"/>
    <w:rsid w:val="03A43768"/>
    <w:rsid w:val="03C267A2"/>
    <w:rsid w:val="04B0621C"/>
    <w:rsid w:val="066C57D4"/>
    <w:rsid w:val="06B21FAE"/>
    <w:rsid w:val="07074D4B"/>
    <w:rsid w:val="07470F48"/>
    <w:rsid w:val="07645999"/>
    <w:rsid w:val="077C1E70"/>
    <w:rsid w:val="079554EC"/>
    <w:rsid w:val="082320BB"/>
    <w:rsid w:val="084367D4"/>
    <w:rsid w:val="08471E20"/>
    <w:rsid w:val="09D32D2B"/>
    <w:rsid w:val="0A950E17"/>
    <w:rsid w:val="0B666A61"/>
    <w:rsid w:val="0D411534"/>
    <w:rsid w:val="0E7C79F0"/>
    <w:rsid w:val="0F096B8F"/>
    <w:rsid w:val="0F3A02DE"/>
    <w:rsid w:val="0F63063F"/>
    <w:rsid w:val="0FF64531"/>
    <w:rsid w:val="12274A70"/>
    <w:rsid w:val="147C5547"/>
    <w:rsid w:val="158E3DE7"/>
    <w:rsid w:val="17070FBA"/>
    <w:rsid w:val="18E60774"/>
    <w:rsid w:val="193471C9"/>
    <w:rsid w:val="19726F19"/>
    <w:rsid w:val="19803DDB"/>
    <w:rsid w:val="19BD7FA9"/>
    <w:rsid w:val="1A3E71E0"/>
    <w:rsid w:val="1A4833E8"/>
    <w:rsid w:val="1B0A1052"/>
    <w:rsid w:val="1CAB579F"/>
    <w:rsid w:val="1D2F1C3B"/>
    <w:rsid w:val="1E9D3052"/>
    <w:rsid w:val="204643F8"/>
    <w:rsid w:val="20CB0BD0"/>
    <w:rsid w:val="22C82B96"/>
    <w:rsid w:val="24432E15"/>
    <w:rsid w:val="24F61A6A"/>
    <w:rsid w:val="25C9131B"/>
    <w:rsid w:val="261C656D"/>
    <w:rsid w:val="27551F4C"/>
    <w:rsid w:val="27895E51"/>
    <w:rsid w:val="2798746D"/>
    <w:rsid w:val="27A31E9C"/>
    <w:rsid w:val="28911331"/>
    <w:rsid w:val="294D7EAC"/>
    <w:rsid w:val="2A587E6A"/>
    <w:rsid w:val="2AC95D2C"/>
    <w:rsid w:val="2BB745DB"/>
    <w:rsid w:val="2BFA48EE"/>
    <w:rsid w:val="2C054218"/>
    <w:rsid w:val="2DCE3898"/>
    <w:rsid w:val="2DEF41AB"/>
    <w:rsid w:val="2E846E3C"/>
    <w:rsid w:val="2F051FC5"/>
    <w:rsid w:val="2FFD4A0C"/>
    <w:rsid w:val="30CD01D9"/>
    <w:rsid w:val="30D758A6"/>
    <w:rsid w:val="31301F8B"/>
    <w:rsid w:val="32A87D40"/>
    <w:rsid w:val="32C330EE"/>
    <w:rsid w:val="350D32F3"/>
    <w:rsid w:val="35187000"/>
    <w:rsid w:val="37443B2D"/>
    <w:rsid w:val="37DC00A4"/>
    <w:rsid w:val="38AE355A"/>
    <w:rsid w:val="38E2085E"/>
    <w:rsid w:val="3B516536"/>
    <w:rsid w:val="3C574020"/>
    <w:rsid w:val="3D01041E"/>
    <w:rsid w:val="3D031AB2"/>
    <w:rsid w:val="3D5B369C"/>
    <w:rsid w:val="3D7306E9"/>
    <w:rsid w:val="3E956359"/>
    <w:rsid w:val="3E9C59B1"/>
    <w:rsid w:val="3F0B7643"/>
    <w:rsid w:val="3F3B5D44"/>
    <w:rsid w:val="400766F2"/>
    <w:rsid w:val="411575E1"/>
    <w:rsid w:val="41AC4782"/>
    <w:rsid w:val="427E60E8"/>
    <w:rsid w:val="43C23BF4"/>
    <w:rsid w:val="46B341C0"/>
    <w:rsid w:val="475C79A2"/>
    <w:rsid w:val="47D06CCE"/>
    <w:rsid w:val="49610C37"/>
    <w:rsid w:val="4B9756AD"/>
    <w:rsid w:val="4BC35604"/>
    <w:rsid w:val="4D106251"/>
    <w:rsid w:val="4D8101C6"/>
    <w:rsid w:val="4DAB514A"/>
    <w:rsid w:val="4F3B26EA"/>
    <w:rsid w:val="4F4B3D85"/>
    <w:rsid w:val="4FF5172F"/>
    <w:rsid w:val="50451354"/>
    <w:rsid w:val="505C768D"/>
    <w:rsid w:val="5122646C"/>
    <w:rsid w:val="51257DF2"/>
    <w:rsid w:val="51B6513A"/>
    <w:rsid w:val="51BE40A2"/>
    <w:rsid w:val="52D153E1"/>
    <w:rsid w:val="531603B6"/>
    <w:rsid w:val="534E02B7"/>
    <w:rsid w:val="538A1F90"/>
    <w:rsid w:val="53B107DB"/>
    <w:rsid w:val="54190C85"/>
    <w:rsid w:val="54F5478A"/>
    <w:rsid w:val="585103F5"/>
    <w:rsid w:val="59770627"/>
    <w:rsid w:val="5982104A"/>
    <w:rsid w:val="5A130056"/>
    <w:rsid w:val="5A9E28C7"/>
    <w:rsid w:val="5AF775C5"/>
    <w:rsid w:val="5DAC0E28"/>
    <w:rsid w:val="5E24275D"/>
    <w:rsid w:val="5F447FDD"/>
    <w:rsid w:val="5F561B6F"/>
    <w:rsid w:val="5F57E5CA"/>
    <w:rsid w:val="5FB5358F"/>
    <w:rsid w:val="5FCA2158"/>
    <w:rsid w:val="60514698"/>
    <w:rsid w:val="627C7262"/>
    <w:rsid w:val="62B4458F"/>
    <w:rsid w:val="62F13654"/>
    <w:rsid w:val="669C35D3"/>
    <w:rsid w:val="68332888"/>
    <w:rsid w:val="685C1EF3"/>
    <w:rsid w:val="6AB25720"/>
    <w:rsid w:val="6AEA7541"/>
    <w:rsid w:val="6D0446EE"/>
    <w:rsid w:val="6E4B1911"/>
    <w:rsid w:val="6F78274D"/>
    <w:rsid w:val="6FB919A4"/>
    <w:rsid w:val="6FC37AD4"/>
    <w:rsid w:val="713B2574"/>
    <w:rsid w:val="718F0D51"/>
    <w:rsid w:val="719F4271"/>
    <w:rsid w:val="726B771C"/>
    <w:rsid w:val="7728448C"/>
    <w:rsid w:val="77E6160F"/>
    <w:rsid w:val="780E4365"/>
    <w:rsid w:val="7895177E"/>
    <w:rsid w:val="78AD1F79"/>
    <w:rsid w:val="79536535"/>
    <w:rsid w:val="795626C6"/>
    <w:rsid w:val="7AD27B38"/>
    <w:rsid w:val="7C715C64"/>
    <w:rsid w:val="7DFF3A1B"/>
    <w:rsid w:val="7FCE9F2A"/>
    <w:rsid w:val="7FDF3E4D"/>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6"/>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2" w:lineRule="auto"/>
      <w:textAlignment w:val="baseline"/>
    </w:pPr>
    <w:rPr>
      <w:b/>
      <w:bCs/>
      <w:sz w:val="32"/>
      <w:szCs w:val="32"/>
    </w:rPr>
  </w:style>
  <w:style w:type="paragraph" w:styleId="6">
    <w:name w:val="Body Text First Indent 2"/>
    <w:basedOn w:val="7"/>
    <w:link w:val="126"/>
    <w:autoRedefine/>
    <w:qFormat/>
    <w:uiPriority w:val="0"/>
    <w:pPr>
      <w:adjustRightInd/>
      <w:spacing w:after="120" w:line="240" w:lineRule="auto"/>
      <w:ind w:left="420" w:leftChars="200" w:firstLine="210"/>
    </w:pPr>
    <w:rPr>
      <w:sz w:val="21"/>
    </w:rPr>
  </w:style>
  <w:style w:type="paragraph" w:styleId="7">
    <w:name w:val="Body Text Indent"/>
    <w:basedOn w:val="1"/>
    <w:link w:val="269"/>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7"/>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7"/>
    <w:autoRedefine/>
    <w:qFormat/>
    <w:uiPriority w:val="0"/>
    <w:pPr>
      <w:shd w:val="clear" w:color="auto" w:fill="000080"/>
    </w:pPr>
  </w:style>
  <w:style w:type="paragraph" w:styleId="22">
    <w:name w:val="annotation text"/>
    <w:basedOn w:val="1"/>
    <w:link w:val="348"/>
    <w:autoRedefine/>
    <w:qFormat/>
    <w:uiPriority w:val="99"/>
    <w:pPr>
      <w:jc w:val="left"/>
    </w:pPr>
  </w:style>
  <w:style w:type="paragraph" w:styleId="23">
    <w:name w:val="Salutation"/>
    <w:basedOn w:val="1"/>
    <w:next w:val="1"/>
    <w:link w:val="302"/>
    <w:autoRedefine/>
    <w:qFormat/>
    <w:uiPriority w:val="0"/>
    <w:rPr>
      <w:rFonts w:ascii="仿宋_GB2312" w:eastAsia="仿宋_GB2312"/>
      <w:sz w:val="28"/>
      <w:szCs w:val="20"/>
    </w:rPr>
  </w:style>
  <w:style w:type="paragraph" w:styleId="24">
    <w:name w:val="Body Text 3"/>
    <w:basedOn w:val="1"/>
    <w:link w:val="334"/>
    <w:autoRedefine/>
    <w:qFormat/>
    <w:uiPriority w:val="0"/>
    <w:pPr>
      <w:jc w:val="center"/>
    </w:pPr>
    <w:rPr>
      <w:szCs w:val="20"/>
    </w:rPr>
  </w:style>
  <w:style w:type="paragraph" w:styleId="25">
    <w:name w:val="List Bullet 3"/>
    <w:basedOn w:val="1"/>
    <w:autoRedefine/>
    <w:qFormat/>
    <w:uiPriority w:val="0"/>
    <w:pPr>
      <w:snapToGrid w:val="0"/>
      <w:spacing w:line="360" w:lineRule="auto"/>
      <w:ind w:left="360" w:right="238" w:hanging="360"/>
      <w:contextualSpacing/>
    </w:pPr>
    <w:rPr>
      <w:sz w:val="24"/>
    </w:rPr>
  </w:style>
  <w:style w:type="paragraph" w:styleId="26">
    <w:name w:val="Body Text"/>
    <w:basedOn w:val="1"/>
    <w:next w:val="27"/>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5"/>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30"/>
    <w:autoRedefine/>
    <w:qFormat/>
    <w:uiPriority w:val="0"/>
    <w:rPr>
      <w:rFonts w:ascii="宋体" w:hAnsi="Courier New" w:cs="Arial"/>
      <w:snapToGrid w:val="0"/>
      <w:szCs w:val="21"/>
    </w:r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7"/>
    <w:autoRedefine/>
    <w:qFormat/>
    <w:uiPriority w:val="0"/>
    <w:rPr>
      <w:lang w:val="zh-CN"/>
    </w:rPr>
  </w:style>
  <w:style w:type="paragraph" w:styleId="41">
    <w:name w:val="Balloon Text"/>
    <w:basedOn w:val="1"/>
    <w:next w:val="1"/>
    <w:link w:val="193"/>
    <w:autoRedefine/>
    <w:qFormat/>
    <w:uiPriority w:val="0"/>
    <w:rPr>
      <w:sz w:val="18"/>
      <w:szCs w:val="18"/>
    </w:rPr>
  </w:style>
  <w:style w:type="paragraph" w:styleId="42">
    <w:name w:val="footer"/>
    <w:basedOn w:val="1"/>
    <w:link w:val="387"/>
    <w:autoRedefine/>
    <w:qFormat/>
    <w:uiPriority w:val="99"/>
    <w:pPr>
      <w:tabs>
        <w:tab w:val="center" w:pos="4153"/>
        <w:tab w:val="right" w:pos="8306"/>
      </w:tabs>
      <w:snapToGrid w:val="0"/>
      <w:jc w:val="left"/>
    </w:pPr>
    <w:rPr>
      <w:sz w:val="18"/>
      <w:szCs w:val="18"/>
    </w:rPr>
  </w:style>
  <w:style w:type="paragraph" w:styleId="43">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2"/>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3 字符"/>
    <w:autoRedefine/>
    <w:qFormat/>
    <w:uiPriority w:val="9"/>
    <w:rPr>
      <w:b/>
      <w:bCs/>
      <w:kern w:val="2"/>
      <w:sz w:val="32"/>
      <w:szCs w:val="32"/>
    </w:rPr>
  </w:style>
  <w:style w:type="paragraph" w:customStyle="1" w:styleId="83">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84">
    <w:name w:val="文章正文"/>
    <w:basedOn w:val="1"/>
    <w:next w:val="85"/>
    <w:autoRedefine/>
    <w:qFormat/>
    <w:uiPriority w:val="0"/>
    <w:pPr>
      <w:spacing w:line="360" w:lineRule="auto"/>
      <w:ind w:firstLine="200" w:firstLineChars="200"/>
    </w:pPr>
    <w:rPr>
      <w:rFonts w:ascii="Times New Roman" w:hAnsi="Times New Roman" w:cs="Times New Roman"/>
      <w:snapToGrid/>
      <w:sz w:val="24"/>
      <w:szCs w:val="24"/>
    </w:rPr>
  </w:style>
  <w:style w:type="paragraph" w:customStyle="1" w:styleId="85">
    <w:name w:val="公式样式 变量"/>
    <w:autoRedefine/>
    <w:qFormat/>
    <w:uiPriority w:val="0"/>
    <w:rPr>
      <w:rFonts w:ascii="Times New Roman" w:hAnsi="Times New Roman" w:eastAsia="宋体" w:cs="Times New Roman"/>
      <w:i/>
      <w:lang w:val="en-US" w:eastAsia="zh-CN" w:bidi="ar-SA"/>
    </w:rPr>
  </w:style>
  <w:style w:type="paragraph" w:customStyle="1" w:styleId="8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_29dca83e-cfa0-4d29-9006-28a1b752e563"/>
    <w:autoRedefine/>
    <w:qFormat/>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next w:val="45"/>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10"/>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6"/>
    <w:autoRedefine/>
    <w:qFormat/>
    <w:uiPriority w:val="0"/>
    <w:rPr>
      <w:rFonts w:ascii="宋体"/>
      <w:kern w:val="2"/>
      <w:sz w:val="24"/>
      <w:szCs w:val="21"/>
      <w:lang w:val="zh-CN"/>
    </w:rPr>
  </w:style>
  <w:style w:type="character" w:customStyle="1" w:styleId="187">
    <w:name w:val="标题 9 Char"/>
    <w:link w:val="13"/>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qFormat/>
    <w:uiPriority w:val="99"/>
    <w:rPr>
      <w:rFonts w:ascii="Times New Roman" w:hAnsi="Times New Roman" w:eastAsia="宋体" w:cs="Times New Roman"/>
      <w:szCs w:val="24"/>
    </w:rPr>
  </w:style>
  <w:style w:type="character" w:customStyle="1" w:styleId="193">
    <w:name w:val="批注框文本 Char"/>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1"/>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2"/>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8"/>
    <w:link w:val="227"/>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_b6bb7154-40a1-4532-be09-cdbace51fda5"/>
    <w:autoRedefine/>
    <w:qFormat/>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9"/>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7"/>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3"/>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1"/>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9"/>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3"/>
    <w:autoRedefine/>
    <w:qFormat/>
    <w:uiPriority w:val="0"/>
    <w:rPr>
      <w:rFonts w:ascii="仿宋_GB2312" w:eastAsia="仿宋_GB2312"/>
      <w:kern w:val="2"/>
      <w:sz w:val="28"/>
    </w:rPr>
  </w:style>
  <w:style w:type="character" w:customStyle="1" w:styleId="303">
    <w:name w:val="文本正文 Char Char"/>
    <w:autoRedefine/>
    <w:qFormat/>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9"/>
    <w:autoRedefine/>
    <w:qFormat/>
    <w:uiPriority w:val="0"/>
    <w:rPr>
      <w:rFonts w:ascii="黑体" w:hAnsi="Courier New" w:eastAsia="黑体"/>
    </w:rPr>
  </w:style>
  <w:style w:type="character" w:customStyle="1" w:styleId="306">
    <w:name w:val="正文文本 2 Char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8"/>
    <w:link w:val="417"/>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1"/>
    <w:autoRedefine/>
    <w:qFormat/>
    <w:uiPriority w:val="0"/>
    <w:rPr>
      <w:b/>
      <w:bCs/>
      <w:kern w:val="2"/>
      <w:sz w:val="24"/>
      <w:szCs w:val="24"/>
    </w:rPr>
  </w:style>
  <w:style w:type="character" w:customStyle="1" w:styleId="312">
    <w:name w:val="正文文本缩进 2 Char"/>
    <w:link w:val="39"/>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0"/>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7"/>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8"/>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4"/>
    <w:autoRedefine/>
    <w:qFormat/>
    <w:uiPriority w:val="0"/>
    <w:rPr>
      <w:kern w:val="2"/>
      <w:sz w:val="21"/>
    </w:rPr>
  </w:style>
  <w:style w:type="character" w:customStyle="1" w:styleId="335">
    <w:name w:val="font31"/>
    <w:basedOn w:val="70"/>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autoRedefine/>
    <w:qFormat/>
    <w:uiPriority w:val="99"/>
    <w:rPr>
      <w:kern w:val="2"/>
      <w:sz w:val="21"/>
      <w:szCs w:val="24"/>
    </w:rPr>
  </w:style>
  <w:style w:type="character" w:customStyle="1" w:styleId="349">
    <w:name w:val="签名 Char"/>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5"/>
    <w:autoRedefine/>
    <w:qFormat/>
    <w:uiPriority w:val="0"/>
    <w:rPr>
      <w:kern w:val="2"/>
      <w:sz w:val="24"/>
    </w:rPr>
  </w:style>
  <w:style w:type="character" w:customStyle="1" w:styleId="380">
    <w:name w:val="日期 Char1"/>
    <w:autoRedefine/>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2"/>
    <w:autoRedefine/>
    <w:qFormat/>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8"/>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8"/>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9"/>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next w:val="526"/>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27">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after="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4"/>
    <w:next w:val="845"/>
    <w:autoRedefine/>
    <w:qFormat/>
    <w:uiPriority w:val="0"/>
    <w:pPr>
      <w:ind w:left="0" w:leftChars="0" w:firstLine="480" w:firstLineChars="200"/>
    </w:pPr>
    <w:rPr>
      <w:rFonts w:ascii="仿宋_GB2312" w:hAnsi="Courier New" w:eastAsia="仿宋_GB2312"/>
      <w:kern w:val="28"/>
      <w:sz w:val="24"/>
    </w:rPr>
  </w:style>
  <w:style w:type="paragraph" w:customStyle="1" w:styleId="845">
    <w:name w:val="自动更正"/>
    <w:next w:val="5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6"/>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2"/>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3"/>
    <w:autoRedefine/>
    <w:qFormat/>
    <w:uiPriority w:val="0"/>
    <w:rPr>
      <w:b w:val="0"/>
      <w:sz w:val="20"/>
    </w:rPr>
  </w:style>
  <w:style w:type="paragraph" w:customStyle="1" w:styleId="899">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autoRedefine/>
    <w:qFormat/>
    <w:uiPriority w:val="0"/>
    <w:pPr>
      <w:tabs>
        <w:tab w:val="left" w:pos="1080"/>
      </w:tabs>
      <w:ind w:left="1080" w:hanging="1080"/>
    </w:pPr>
  </w:style>
  <w:style w:type="paragraph" w:customStyle="1" w:styleId="902">
    <w:name w:val="数字标题1"/>
    <w:basedOn w:val="3"/>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7"/>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6"/>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0"/>
    <w:autoRedefine/>
    <w:qFormat/>
    <w:uiPriority w:val="0"/>
    <w:rPr>
      <w:kern w:val="2"/>
      <w:sz w:val="21"/>
      <w:szCs w:val="24"/>
      <w:lang w:val="zh-CN"/>
    </w:rPr>
  </w:style>
  <w:style w:type="character" w:customStyle="1" w:styleId="938">
    <w:name w:val="无间隔 Char"/>
    <w:link w:val="487"/>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2"/>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70">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71">
    <w:name w:val="无"/>
    <w:autoRedefine/>
    <w:qFormat/>
    <w:uiPriority w:val="99"/>
  </w:style>
  <w:style w:type="character" w:customStyle="1" w:styleId="972">
    <w:name w:val="bookmark-item"/>
    <w:basedOn w:val="70"/>
    <w:qFormat/>
    <w:uiPriority w:val="0"/>
  </w:style>
  <w:style w:type="character" w:customStyle="1" w:styleId="973">
    <w:name w:val="font101"/>
    <w:basedOn w:val="70"/>
    <w:qFormat/>
    <w:uiPriority w:val="0"/>
    <w:rPr>
      <w:rFonts w:hint="default" w:ascii="Calibri" w:hAnsi="Calibri" w:cs="Calibri"/>
      <w:color w:val="000000"/>
      <w:sz w:val="21"/>
      <w:szCs w:val="21"/>
      <w:u w:val="none"/>
    </w:rPr>
  </w:style>
  <w:style w:type="paragraph" w:customStyle="1" w:styleId="974">
    <w:name w:val="公文模板"/>
    <w:basedOn w:val="1"/>
    <w:qFormat/>
    <w:uiPriority w:val="0"/>
    <w:pPr>
      <w:spacing w:line="560" w:lineRule="exact"/>
      <w:ind w:firstLine="420" w:firstLineChars="20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36004</Words>
  <Characters>38505</Characters>
  <Paragraphs>1943</Paragraphs>
  <TotalTime>12</TotalTime>
  <ScaleCrop>false</ScaleCrop>
  <LinksUpToDate>false</LinksUpToDate>
  <CharactersWithSpaces>44115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徐俊</cp:lastModifiedBy>
  <cp:lastPrinted>2024-10-22T08:26:00Z</cp:lastPrinted>
  <dcterms:modified xsi:type="dcterms:W3CDTF">2024-11-11T10:24:55Z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44D566538C9E4F2D8D7B94DB9DBFB6C0_13</vt:lpwstr>
  </property>
</Properties>
</file>