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仿宋_GB2312" w:asciiTheme="minorEastAsia" w:hAnsiTheme="minorEastAsia" w:eastAsiaTheme="minorEastAsia"/>
          <w:b/>
          <w:sz w:val="44"/>
          <w:szCs w:val="44"/>
          <w:lang w:eastAsia="zh-CN"/>
        </w:rPr>
      </w:pPr>
    </w:p>
    <w:p>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杭州市临安区人民政府锦城街道办事处食材供货配送服务项目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bookmarkStart w:id="0" w:name="OLE_LINK1"/>
      <w:r>
        <w:rPr>
          <w:rFonts w:hint="eastAsia" w:cs="仿宋_GB2312" w:asciiTheme="minorEastAsia" w:hAnsiTheme="minorEastAsia" w:eastAsiaTheme="minorEastAsia"/>
          <w:sz w:val="30"/>
          <w:szCs w:val="30"/>
        </w:rPr>
        <w:t>[2024]2831号</w:t>
      </w:r>
      <w:bookmarkEnd w:id="0"/>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p>
      <w:pPr>
        <w:spacing w:line="360" w:lineRule="auto"/>
        <w:rPr>
          <w:rFonts w:hint="eastAsia" w:cs="仿宋_GB2312" w:asciiTheme="minorEastAsia" w:hAnsiTheme="minorEastAsia" w:eastAsiaTheme="minorEastAsia"/>
          <w:sz w:val="24"/>
        </w:rPr>
      </w:pPr>
    </w:p>
    <w:p>
      <w:pPr>
        <w:spacing w:line="360" w:lineRule="auto"/>
        <w:rPr>
          <w:rFonts w:hint="eastAsia" w:cs="仿宋_GB2312" w:asciiTheme="minorEastAsia" w:hAnsiTheme="minorEastAsia" w:eastAsiaTheme="minorEastAsia"/>
          <w:sz w:val="24"/>
        </w:rPr>
      </w:pPr>
    </w:p>
    <w:p>
      <w:pPr>
        <w:spacing w:line="360" w:lineRule="auto"/>
        <w:rPr>
          <w:rFonts w:hint="eastAsia" w:cs="仿宋_GB2312" w:asciiTheme="minorEastAsia" w:hAnsiTheme="minorEastAsia" w:eastAsiaTheme="minorEastAsia"/>
          <w:sz w:val="24"/>
        </w:rPr>
      </w:pPr>
    </w:p>
    <w:p>
      <w:pPr>
        <w:spacing w:line="360" w:lineRule="auto"/>
        <w:rPr>
          <w:rFonts w:hint="eastAsia" w:cs="仿宋_GB2312" w:asciiTheme="minorEastAsia" w:hAnsiTheme="minorEastAsia" w:eastAsiaTheme="minorEastAsia"/>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adjustRightInd/>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采购人：杭州市临安区人民政府锦城街道办事处</w:t>
      </w:r>
    </w:p>
    <w:p>
      <w:pPr>
        <w:adjustRightInd/>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采购代理机构：浙江中正工程项目管理有限公司</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十</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sz w:val="24"/>
        </w:rPr>
        <w:br w:type="page"/>
      </w:r>
      <w:bookmarkStart w:id="1" w:name="_Hlt67893495"/>
      <w:bookmarkEnd w:id="1"/>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4" w:name="第一部分"/>
      <w:r>
        <w:rPr>
          <w:rFonts w:hint="eastAsia" w:cs="仿宋_GB2312" w:asciiTheme="minorEastAsia" w:hAnsiTheme="minorEastAsia" w:eastAsiaTheme="minorEastAsia"/>
          <w:b/>
          <w:sz w:val="36"/>
          <w:szCs w:val="36"/>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b w:val="0"/>
          <w:bCs/>
          <w:sz w:val="24"/>
          <w:u w:val="single"/>
          <w:lang w:eastAsia="zh-CN"/>
        </w:rPr>
        <w:t>杭州市临安区人民政府锦城街道办事处食材供货配送服务项目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10</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 xml:space="preserve"> 点 </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4"/>
        <w:numPr>
          <w:ilvl w:val="0"/>
          <w:numId w:val="0"/>
        </w:numPr>
        <w:ind w:left="432" w:hanging="432"/>
        <w:rPr>
          <w:rFonts w:cs="宋体" w:asciiTheme="minorEastAsia" w:hAnsiTheme="minorEastAsia" w:eastAsiaTheme="minorEastAsia"/>
          <w:sz w:val="24"/>
          <w:szCs w:val="24"/>
        </w:rPr>
      </w:pPr>
      <w:bookmarkStart w:id="12" w:name="_Toc28359012"/>
      <w:bookmarkStart w:id="13" w:name="_Toc28359089"/>
      <w:bookmarkStart w:id="14" w:name="_Toc35393629"/>
      <w:bookmarkStart w:id="15" w:name="_Toc35393798"/>
      <w:r>
        <w:rPr>
          <w:rFonts w:hint="eastAsia" w:cs="宋体" w:asciiTheme="minorEastAsia" w:hAnsiTheme="minorEastAsia" w:eastAsiaTheme="minorEastAsia"/>
          <w:sz w:val="24"/>
          <w:szCs w:val="24"/>
        </w:rPr>
        <w:t>一、项目基本情况</w:t>
      </w:r>
      <w:bookmarkEnd w:id="12"/>
      <w:bookmarkEnd w:id="13"/>
      <w:bookmarkEnd w:id="14"/>
      <w:bookmarkEnd w:id="15"/>
    </w:p>
    <w:p>
      <w:pPr>
        <w:spacing w:line="360" w:lineRule="auto"/>
        <w:ind w:firstLine="482" w:firstLineChars="200"/>
        <w:rPr>
          <w:rFonts w:hint="eastAsia" w:asciiTheme="minorEastAsia" w:hAnsiTheme="minorEastAsia" w:eastAsiaTheme="minorEastAsia"/>
          <w:b w:val="0"/>
          <w:bCs/>
          <w:sz w:val="24"/>
          <w:lang w:eastAsia="zh-CN"/>
        </w:rPr>
      </w:pPr>
      <w:r>
        <w:rPr>
          <w:rFonts w:hint="eastAsia" w:asciiTheme="minorEastAsia" w:hAnsiTheme="minorEastAsia" w:eastAsiaTheme="minorEastAsia"/>
          <w:b/>
          <w:sz w:val="24"/>
        </w:rPr>
        <w:t>项目编号：[2024]2831号</w:t>
      </w:r>
      <w:r>
        <w:rPr>
          <w:rFonts w:hint="eastAsia" w:asciiTheme="minorEastAsia" w:hAnsiTheme="minorEastAsia" w:eastAsiaTheme="minorEastAsia"/>
          <w:b w:val="0"/>
          <w:bCs/>
          <w:sz w:val="24"/>
          <w:lang w:val="en-US" w:eastAsia="zh-CN"/>
        </w:rPr>
        <w:t xml:space="preserve"> </w:t>
      </w:r>
    </w:p>
    <w:p>
      <w:pPr>
        <w:spacing w:line="360" w:lineRule="auto"/>
        <w:ind w:left="1684" w:leftChars="228" w:hanging="1205" w:hangingChars="500"/>
        <w:rPr>
          <w:rFonts w:hint="eastAsia" w:asciiTheme="minorEastAsia" w:hAnsiTheme="minorEastAsia" w:eastAsiaTheme="minorEastAsia"/>
          <w:b w:val="0"/>
          <w:bCs/>
          <w:sz w:val="24"/>
        </w:rPr>
      </w:pPr>
      <w:r>
        <w:rPr>
          <w:rFonts w:hint="eastAsia" w:asciiTheme="minorEastAsia" w:hAnsiTheme="minorEastAsia" w:eastAsiaTheme="minorEastAsia"/>
          <w:b/>
          <w:sz w:val="24"/>
        </w:rPr>
        <w:t>项目</w:t>
      </w:r>
      <w:r>
        <w:rPr>
          <w:rFonts w:hint="eastAsia" w:asciiTheme="minorEastAsia" w:hAnsiTheme="minorEastAsia" w:eastAsiaTheme="minorEastAsia"/>
          <w:b/>
          <w:sz w:val="24"/>
          <w:lang w:val="en-US" w:eastAsia="zh-CN"/>
        </w:rPr>
        <w:t>名称</w:t>
      </w:r>
      <w:r>
        <w:rPr>
          <w:rFonts w:hint="eastAsia" w:asciiTheme="minorEastAsia" w:hAnsiTheme="minorEastAsia" w:eastAsiaTheme="minorEastAsia"/>
          <w:b/>
          <w:sz w:val="24"/>
        </w:rPr>
        <w:t>：</w:t>
      </w:r>
      <w:r>
        <w:rPr>
          <w:rFonts w:hint="eastAsia" w:asciiTheme="minorEastAsia" w:hAnsiTheme="minorEastAsia" w:eastAsiaTheme="minorEastAsia"/>
          <w:b w:val="0"/>
          <w:bCs/>
          <w:sz w:val="24"/>
          <w:lang w:eastAsia="zh-CN"/>
        </w:rPr>
        <w:t>杭州市临安区人民政府锦城街道办事处食材供货配送服务项目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hint="default" w:asciiTheme="minorEastAsia" w:hAnsiTheme="minorEastAsia" w:eastAsiaTheme="minorEastAsia"/>
          <w:b w:val="0"/>
          <w:bCs/>
          <w:sz w:val="24"/>
          <w:lang w:val="en-US" w:eastAsia="zh-CN"/>
        </w:rPr>
      </w:pPr>
      <w:r>
        <w:rPr>
          <w:rFonts w:hint="eastAsia" w:asciiTheme="minorEastAsia" w:hAnsiTheme="minorEastAsia" w:eastAsiaTheme="minorEastAsia"/>
          <w:b/>
          <w:sz w:val="24"/>
        </w:rPr>
        <w:t>预算金额（元）：</w:t>
      </w:r>
      <w:r>
        <w:rPr>
          <w:rFonts w:asciiTheme="minorEastAsia" w:hAnsiTheme="minorEastAsia" w:eastAsiaTheme="minorEastAsia"/>
          <w:b/>
          <w:sz w:val="24"/>
        </w:rPr>
        <w:t xml:space="preserve"> </w:t>
      </w:r>
      <w:r>
        <w:rPr>
          <w:rFonts w:hint="eastAsia" w:asciiTheme="minorEastAsia" w:hAnsiTheme="minorEastAsia" w:eastAsiaTheme="minorEastAsia"/>
          <w:b w:val="0"/>
          <w:bCs/>
          <w:sz w:val="24"/>
          <w:lang w:val="en-US" w:eastAsia="zh-CN"/>
        </w:rPr>
        <w:t>2500000</w:t>
      </w:r>
    </w:p>
    <w:p>
      <w:pPr>
        <w:spacing w:line="360" w:lineRule="auto"/>
        <w:ind w:firstLine="482" w:firstLineChars="200"/>
        <w:rPr>
          <w:rFonts w:asciiTheme="minorEastAsia" w:hAnsiTheme="minorEastAsia" w:eastAsiaTheme="minorEastAsia"/>
          <w:b w:val="0"/>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val="0"/>
          <w:bCs/>
          <w:sz w:val="24"/>
          <w:lang w:val="en-US" w:eastAsia="zh-CN"/>
        </w:rPr>
        <w:t>2500000</w:t>
      </w:r>
    </w:p>
    <w:p>
      <w:pPr>
        <w:spacing w:line="360" w:lineRule="auto"/>
        <w:ind w:left="1684" w:leftChars="228" w:hanging="1205" w:hangingChars="5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bCs/>
          <w:sz w:val="24"/>
          <w:lang w:eastAsia="zh-CN"/>
        </w:rPr>
        <w:t>杭州市临安区人民政府锦城街道办事处食材供货配送服务项目；</w:t>
      </w:r>
      <w:r>
        <w:rPr>
          <w:rFonts w:hint="eastAsia" w:hAnsi="宋体" w:cs="宋体"/>
          <w:bCs/>
          <w:sz w:val="24"/>
        </w:rPr>
        <w:t xml:space="preserve">主要内容： </w:t>
      </w:r>
      <w:r>
        <w:rPr>
          <w:rFonts w:hint="eastAsia" w:cs="仿宋_GB2312" w:asciiTheme="minorEastAsia" w:hAnsiTheme="minorEastAsia" w:eastAsiaTheme="minorEastAsia"/>
          <w:b/>
          <w:sz w:val="24"/>
        </w:rPr>
        <w:t>详见磋商文件。</w:t>
      </w:r>
    </w:p>
    <w:p>
      <w:pPr>
        <w:spacing w:line="360" w:lineRule="auto"/>
        <w:ind w:firstLine="482" w:firstLineChars="200"/>
        <w:rPr>
          <w:rFonts w:hint="eastAsia" w:asciiTheme="minorEastAsia" w:hAnsiTheme="minorEastAsia" w:eastAsiaTheme="minorEastAsia"/>
          <w:color w:val="auto"/>
          <w:sz w:val="24"/>
          <w:u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：合同签订之日起一年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6" w:name="_Toc35393630"/>
      <w:bookmarkStart w:id="17" w:name="_Toc28359090"/>
      <w:bookmarkStart w:id="18" w:name="_Toc28359013"/>
      <w:bookmarkStart w:id="19" w:name="_Toc35393799"/>
      <w:r>
        <w:rPr>
          <w:rFonts w:hint="eastAsia" w:cs="宋体" w:asciiTheme="minorEastAsia" w:hAnsiTheme="minorEastAsia" w:eastAsiaTheme="minorEastAsia"/>
          <w:sz w:val="24"/>
        </w:rPr>
        <w:t>二、申请人的资格要求：</w:t>
      </w:r>
      <w:bookmarkEnd w:id="16"/>
      <w:bookmarkEnd w:id="17"/>
      <w:bookmarkEnd w:id="18"/>
      <w:bookmarkEnd w:id="19"/>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hint="eastAsia" w:ascii="宋体" w:hAnsi="宋体" w:cs="宋体"/>
          <w:snapToGrid w:val="0"/>
          <w:color w:val="auto"/>
          <w:kern w:val="28"/>
          <w:sz w:val="24"/>
          <w:szCs w:val="20"/>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color w:val="auto"/>
          <w:sz w:val="24"/>
          <w:lang w:eastAsia="zh-CN"/>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20"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20"/>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lang w:val="en-US" w:eastAsia="zh-CN"/>
        </w:rPr>
        <w:t>无</w:t>
      </w:r>
      <w:r>
        <w:rPr>
          <w:rFonts w:hint="eastAsia" w:ascii="宋体" w:hAnsi="宋体" w:eastAsia="宋体" w:cs="宋体"/>
          <w:b/>
          <w:color w:val="auto"/>
          <w:sz w:val="24"/>
          <w:szCs w:val="24"/>
          <w:highlight w:val="none"/>
          <w:u w:val="single"/>
          <w:lang w:val="en-US" w:eastAsia="zh-CN"/>
        </w:rPr>
        <w:t>；</w:t>
      </w:r>
    </w:p>
    <w:p>
      <w:pPr>
        <w:snapToGrid w:val="0"/>
        <w:spacing w:line="360" w:lineRule="auto"/>
        <w:ind w:firstLine="480" w:firstLineChars="200"/>
        <w:rPr>
          <w:rFonts w:cs="宋体" w:asciiTheme="minorEastAsia" w:hAnsiTheme="minorEastAsia" w:eastAsiaTheme="minorEastAsia"/>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bookmarkStart w:id="21" w:name="_Toc28359091"/>
      <w:bookmarkStart w:id="22" w:name="_Toc35393631"/>
      <w:bookmarkStart w:id="23" w:name="_Toc28359014"/>
      <w:bookmarkStart w:id="24" w:name="_Toc35393800"/>
      <w:r>
        <w:rPr>
          <w:rFonts w:hint="eastAsia" w:cs="宋体" w:asciiTheme="minorEastAsia" w:hAnsiTheme="minorEastAsia" w:eastAsiaTheme="minorEastAsia"/>
          <w:sz w:val="24"/>
        </w:rPr>
        <w:t>三、获取（下载）采购文件</w:t>
      </w:r>
      <w:bookmarkEnd w:id="21"/>
      <w:bookmarkEnd w:id="22"/>
      <w:bookmarkEnd w:id="23"/>
      <w:bookmarkEnd w:id="24"/>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 xml:space="preserve"> 年</w:t>
      </w:r>
      <w:r>
        <w:rPr>
          <w:rFonts w:hint="eastAsia" w:cs="宋体" w:asciiTheme="minorEastAsia" w:hAnsiTheme="minorEastAsia" w:eastAsiaTheme="minorEastAsia"/>
          <w:sz w:val="24"/>
          <w:lang w:val="en-US" w:eastAsia="zh-CN"/>
        </w:rPr>
        <w:t>10</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30</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4"/>
        <w:numPr>
          <w:ilvl w:val="0"/>
          <w:numId w:val="0"/>
        </w:numPr>
        <w:ind w:left="432" w:hanging="432"/>
        <w:rPr>
          <w:rFonts w:cs="宋体" w:asciiTheme="minorEastAsia" w:hAnsiTheme="minorEastAsia" w:eastAsiaTheme="minorEastAsia"/>
          <w:sz w:val="24"/>
          <w:szCs w:val="24"/>
        </w:rPr>
      </w:pPr>
      <w:bookmarkStart w:id="25" w:name="_Toc28359092"/>
      <w:bookmarkStart w:id="26" w:name="_Toc35393801"/>
      <w:bookmarkStart w:id="27" w:name="_Toc35393632"/>
      <w:bookmarkStart w:id="28" w:name="_Toc28359015"/>
      <w:r>
        <w:rPr>
          <w:rFonts w:hint="eastAsia" w:cs="宋体" w:asciiTheme="minorEastAsia" w:hAnsiTheme="minorEastAsia" w:eastAsiaTheme="minorEastAsia"/>
          <w:sz w:val="24"/>
          <w:szCs w:val="24"/>
        </w:rPr>
        <w:t>四、响应文件提交</w:t>
      </w:r>
      <w:bookmarkEnd w:id="25"/>
      <w:bookmarkEnd w:id="26"/>
      <w:bookmarkEnd w:id="27"/>
      <w:bookmarkEnd w:id="28"/>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10</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 xml:space="preserve">日 </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 xml:space="preserve">点 </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 xml:space="preserve"> 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4"/>
        <w:numPr>
          <w:ilvl w:val="0"/>
          <w:numId w:val="0"/>
        </w:numPr>
        <w:ind w:left="432" w:hanging="432"/>
        <w:rPr>
          <w:rFonts w:cs="宋体" w:asciiTheme="minorEastAsia" w:hAnsiTheme="minorEastAsia" w:eastAsiaTheme="minorEastAsia"/>
          <w:sz w:val="24"/>
          <w:szCs w:val="24"/>
        </w:rPr>
      </w:pPr>
      <w:bookmarkStart w:id="29" w:name="_Toc28359093"/>
      <w:bookmarkStart w:id="30" w:name="_Toc35393802"/>
      <w:bookmarkStart w:id="31" w:name="_Toc28359016"/>
      <w:bookmarkStart w:id="32" w:name="_Toc35393633"/>
      <w:r>
        <w:rPr>
          <w:rFonts w:hint="eastAsia" w:cs="宋体" w:asciiTheme="minorEastAsia" w:hAnsiTheme="minorEastAsia" w:eastAsiaTheme="minorEastAsia"/>
          <w:sz w:val="24"/>
          <w:szCs w:val="24"/>
        </w:rPr>
        <w:t>五、响应文件开启</w:t>
      </w:r>
      <w:bookmarkEnd w:id="29"/>
      <w:bookmarkEnd w:id="30"/>
      <w:bookmarkEnd w:id="31"/>
      <w:bookmarkEnd w:id="32"/>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 xml:space="preserve"> 分0</w:t>
      </w:r>
      <w:r>
        <w:rPr>
          <w:rFonts w:hint="eastAsia" w:asciiTheme="minorEastAsia" w:hAnsiTheme="minorEastAsia" w:eastAsiaTheme="minorEastAsia"/>
          <w:bCs/>
          <w:sz w:val="24"/>
          <w:u w:val="single"/>
        </w:rPr>
        <w:t>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4"/>
        <w:numPr>
          <w:ilvl w:val="0"/>
          <w:numId w:val="0"/>
        </w:numPr>
        <w:ind w:left="432" w:hanging="432"/>
        <w:rPr>
          <w:rFonts w:cs="宋体" w:asciiTheme="minorEastAsia" w:hAnsiTheme="minorEastAsia" w:eastAsiaTheme="minorEastAsia"/>
          <w:sz w:val="24"/>
          <w:szCs w:val="24"/>
        </w:rPr>
      </w:pPr>
      <w:bookmarkStart w:id="33" w:name="_Toc28359094"/>
      <w:bookmarkStart w:id="34" w:name="_Toc35393803"/>
      <w:bookmarkStart w:id="35" w:name="_Toc35393634"/>
      <w:bookmarkStart w:id="36" w:name="_Toc28359017"/>
      <w:r>
        <w:rPr>
          <w:rFonts w:hint="eastAsia" w:cs="宋体" w:asciiTheme="minorEastAsia" w:hAnsiTheme="minorEastAsia" w:eastAsiaTheme="minorEastAsia"/>
          <w:sz w:val="24"/>
          <w:szCs w:val="24"/>
        </w:rPr>
        <w:t>六、公告期限</w:t>
      </w:r>
      <w:bookmarkEnd w:id="33"/>
      <w:bookmarkEnd w:id="34"/>
      <w:bookmarkEnd w:id="35"/>
      <w:bookmarkEnd w:id="36"/>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4"/>
        <w:numPr>
          <w:ilvl w:val="0"/>
          <w:numId w:val="0"/>
        </w:numPr>
        <w:ind w:left="432" w:hanging="432"/>
        <w:rPr>
          <w:rFonts w:cs="宋体" w:asciiTheme="minorEastAsia" w:hAnsiTheme="minorEastAsia" w:eastAsiaTheme="minorEastAsia"/>
          <w:sz w:val="24"/>
          <w:szCs w:val="24"/>
        </w:rPr>
      </w:pPr>
      <w:bookmarkStart w:id="37" w:name="_Toc35393804"/>
      <w:bookmarkStart w:id="38" w:name="_Toc35393635"/>
      <w:r>
        <w:rPr>
          <w:rFonts w:hint="eastAsia" w:cs="宋体" w:asciiTheme="minorEastAsia" w:hAnsiTheme="minorEastAsia" w:eastAsiaTheme="minorEastAsia"/>
          <w:sz w:val="24"/>
          <w:szCs w:val="24"/>
        </w:rPr>
        <w:t>七、其他补充事宜</w:t>
      </w:r>
      <w:bookmarkEnd w:id="37"/>
      <w:bookmarkEnd w:id="38"/>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4"/>
        <w:numPr>
          <w:ilvl w:val="0"/>
          <w:numId w:val="0"/>
        </w:numPr>
        <w:ind w:left="432" w:hanging="432"/>
        <w:rPr>
          <w:rFonts w:cs="宋体" w:asciiTheme="minorEastAsia" w:hAnsiTheme="minorEastAsia" w:eastAsiaTheme="minorEastAsia"/>
          <w:sz w:val="24"/>
          <w:szCs w:val="24"/>
        </w:rPr>
      </w:pPr>
      <w:bookmarkStart w:id="39" w:name="_Toc35393636"/>
      <w:bookmarkStart w:id="40" w:name="_Toc35393805"/>
      <w:bookmarkStart w:id="41" w:name="_Toc28359095"/>
      <w:bookmarkStart w:id="42"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9"/>
      <w:bookmarkEnd w:id="40"/>
      <w:bookmarkEnd w:id="41"/>
      <w:bookmarkEnd w:id="42"/>
    </w:p>
    <w:p>
      <w:pPr>
        <w:pStyle w:val="4"/>
        <w:numPr>
          <w:ilvl w:val="0"/>
          <w:numId w:val="0"/>
        </w:numPr>
        <w:rPr>
          <w:rFonts w:cs="宋体" w:asciiTheme="minorEastAsia" w:hAnsiTheme="minorEastAsia" w:eastAsiaTheme="minorEastAsia"/>
          <w:sz w:val="24"/>
          <w:szCs w:val="24"/>
        </w:rPr>
      </w:pPr>
      <w:bookmarkStart w:id="43" w:name="_Toc35393806"/>
      <w:bookmarkStart w:id="44" w:name="_Toc28359096"/>
      <w:bookmarkStart w:id="45" w:name="_Toc28359019"/>
      <w:bookmarkStart w:id="46" w:name="_Toc35393637"/>
      <w:r>
        <w:rPr>
          <w:rFonts w:hint="eastAsia" w:cs="宋体" w:asciiTheme="minorEastAsia" w:hAnsiTheme="minorEastAsia" w:eastAsiaTheme="minorEastAsia"/>
          <w:sz w:val="24"/>
          <w:szCs w:val="24"/>
        </w:rPr>
        <w:t>1.采购人信息</w:t>
      </w:r>
      <w:bookmarkEnd w:id="43"/>
      <w:bookmarkEnd w:id="44"/>
      <w:bookmarkEnd w:id="45"/>
      <w:bookmarkEnd w:id="46"/>
      <w:r>
        <w:rPr>
          <w:rFonts w:hint="eastAsia" w:cs="宋体" w:asciiTheme="minorEastAsia" w:hAnsiTheme="minorEastAsia" w:eastAsiaTheme="minorEastAsia"/>
          <w:sz w:val="24"/>
          <w:szCs w:val="24"/>
        </w:rPr>
        <w:t>：</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Theme="minorEastAsia" w:hAnsiTheme="minorEastAsia" w:eastAsiaTheme="minorEastAsia"/>
          <w:sz w:val="24"/>
          <w:lang w:val="en-US" w:eastAsia="zh-CN"/>
        </w:rPr>
        <w:t>杭州市临安区人民政府锦城街道办事处</w:t>
      </w:r>
    </w:p>
    <w:p>
      <w:pPr>
        <w:spacing w:line="360" w:lineRule="auto"/>
        <w:rPr>
          <w:rFonts w:hint="eastAsia" w:ascii="宋体" w:hAnsi="宋体" w:cs="宋体" w:eastAsiaTheme="minorEastAsia"/>
          <w:sz w:val="24"/>
          <w:lang w:val="en-US" w:eastAsia="zh-CN"/>
        </w:rPr>
      </w:pPr>
      <w:r>
        <w:rPr>
          <w:rFonts w:hint="eastAsia" w:asciiTheme="minorEastAsia" w:hAnsiTheme="minorEastAsia" w:eastAsiaTheme="minorEastAsia"/>
          <w:sz w:val="24"/>
        </w:rPr>
        <w:t xml:space="preserve">    地    址：杭州市临安区</w:t>
      </w:r>
      <w:r>
        <w:rPr>
          <w:rFonts w:hint="eastAsia" w:asciiTheme="minorEastAsia" w:hAnsiTheme="minorEastAsia" w:eastAsiaTheme="minorEastAsia"/>
          <w:sz w:val="24"/>
          <w:lang w:val="en-US" w:eastAsia="zh-CN"/>
        </w:rPr>
        <w:t>锦城街道</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项目联系人（询问）：  陈勇</w:t>
      </w:r>
    </w:p>
    <w:p>
      <w:pPr>
        <w:spacing w:line="360" w:lineRule="auto"/>
        <w:ind w:firstLine="480"/>
        <w:rPr>
          <w:rFonts w:hint="eastAsia" w:ascii="宋体" w:hAnsi="宋体" w:cs="宋体"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0571-89543911</w:t>
      </w:r>
      <w:r>
        <w:rPr>
          <w:rFonts w:hint="eastAsia" w:ascii="宋体" w:hAnsi="宋体" w:cs="宋体" w:eastAsiaTheme="minorEastAsia"/>
          <w:sz w:val="24"/>
          <w:lang w:val="en-US" w:eastAsia="zh-CN"/>
        </w:rPr>
        <w:t xml:space="preserve"> </w:t>
      </w:r>
    </w:p>
    <w:p>
      <w:pPr>
        <w:spacing w:line="360" w:lineRule="auto"/>
        <w:ind w:firstLine="480"/>
        <w:rPr>
          <w:rFonts w:hint="eastAsia" w:ascii="宋体" w:hAnsi="宋体" w:cs="宋体" w:eastAsiaTheme="minorEastAsia"/>
          <w:sz w:val="24"/>
          <w:lang w:val="en-US" w:eastAsia="zh-CN"/>
        </w:rPr>
      </w:pPr>
      <w:r>
        <w:rPr>
          <w:rFonts w:hint="eastAsia" w:asciiTheme="minorEastAsia" w:hAnsiTheme="minorEastAsia" w:eastAsiaTheme="minorEastAsia"/>
          <w:sz w:val="24"/>
        </w:rPr>
        <w:t>质疑联系人：张叶儿</w:t>
      </w:r>
      <w:r>
        <w:rPr>
          <w:rFonts w:hint="eastAsia" w:asciiTheme="minorEastAsia" w:hAnsiTheme="minorEastAsia" w:eastAsiaTheme="minorEastAsia"/>
          <w:sz w:val="24"/>
          <w:lang w:val="en-US" w:eastAsia="zh-CN"/>
        </w:rPr>
        <w:t xml:space="preserve"> </w:t>
      </w:r>
    </w:p>
    <w:p>
      <w:pPr>
        <w:spacing w:line="360" w:lineRule="auto"/>
        <w:ind w:firstLine="480"/>
        <w:rPr>
          <w:rFonts w:hint="eastAsia" w:ascii="宋体" w:hAnsi="宋体" w:cs="宋体" w:eastAsiaTheme="minorEastAsia"/>
          <w:sz w:val="24"/>
          <w:lang w:val="en-US" w:eastAsia="zh-CN"/>
        </w:rPr>
      </w:pPr>
      <w:r>
        <w:rPr>
          <w:rFonts w:hint="eastAsia" w:asciiTheme="minorEastAsia" w:hAnsiTheme="minorEastAsia" w:eastAsiaTheme="minorEastAsia"/>
          <w:sz w:val="24"/>
        </w:rPr>
        <w:t>质疑联系方式：0571-63724894</w:t>
      </w:r>
      <w:r>
        <w:rPr>
          <w:rFonts w:hint="eastAsia" w:ascii="宋体" w:hAnsi="宋体" w:cs="宋体" w:eastAsiaTheme="minorEastAsia"/>
          <w:sz w:val="24"/>
          <w:lang w:val="en-US" w:eastAsia="zh-CN"/>
        </w:rPr>
        <w:t xml:space="preserve"> </w:t>
      </w:r>
    </w:p>
    <w:p>
      <w:pPr>
        <w:spacing w:line="360" w:lineRule="auto"/>
        <w:ind w:firstLine="480"/>
        <w:rPr>
          <w:rFonts w:hint="eastAsia" w:ascii="宋体" w:hAnsi="宋体" w:eastAsia="宋体" w:cs="宋体"/>
          <w:b/>
          <w:bCs/>
          <w:sz w:val="24"/>
          <w:lang w:val="en-US" w:eastAsia="zh-CN"/>
        </w:rPr>
      </w:pPr>
      <w:r>
        <w:rPr>
          <w:rFonts w:hint="eastAsia" w:ascii="宋体" w:hAnsi="宋体" w:eastAsia="宋体" w:cs="宋体"/>
          <w:b/>
          <w:bCs/>
          <w:sz w:val="24"/>
          <w:lang w:val="en-US" w:eastAsia="zh-CN"/>
        </w:rPr>
        <w:t>2</w:t>
      </w:r>
      <w:r>
        <w:rPr>
          <w:rFonts w:hint="eastAsia" w:ascii="宋体" w:hAnsi="宋体" w:eastAsia="宋体" w:cs="宋体"/>
          <w:sz w:val="24"/>
          <w:lang w:val="en-US" w:eastAsia="zh-CN"/>
        </w:rPr>
        <w:t>、</w:t>
      </w:r>
      <w:r>
        <w:rPr>
          <w:rFonts w:hint="eastAsia" w:ascii="宋体" w:hAnsi="宋体" w:eastAsia="宋体" w:cs="宋体"/>
          <w:b/>
          <w:bCs/>
          <w:sz w:val="24"/>
          <w:lang w:val="en-US" w:eastAsia="zh-CN"/>
        </w:rPr>
        <w:t>采购机构：浙江中正工程项目管理有限公司</w:t>
      </w:r>
    </w:p>
    <w:p>
      <w:pPr>
        <w:spacing w:line="360" w:lineRule="auto"/>
        <w:ind w:left="0" w:leftChars="0" w:firstLine="420" w:firstLineChars="175"/>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经办联系人（询问）：金工     </w:t>
      </w:r>
    </w:p>
    <w:p>
      <w:pPr>
        <w:spacing w:line="360" w:lineRule="auto"/>
        <w:ind w:left="0" w:leftChars="0" w:firstLine="420" w:firstLineChars="175"/>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联系电话（询问）：15906619998  </w:t>
      </w:r>
    </w:p>
    <w:p>
      <w:pPr>
        <w:spacing w:line="360" w:lineRule="auto"/>
        <w:ind w:left="0" w:leftChars="0" w:firstLine="420" w:firstLineChars="175"/>
        <w:jc w:val="left"/>
        <w:rPr>
          <w:rFonts w:hint="eastAsia" w:ascii="宋体" w:hAnsi="宋体" w:eastAsia="宋体" w:cs="宋体"/>
          <w:sz w:val="24"/>
          <w:lang w:val="en-US" w:eastAsia="zh-CN"/>
        </w:rPr>
      </w:pPr>
      <w:r>
        <w:rPr>
          <w:rFonts w:hint="eastAsia" w:ascii="宋体" w:hAnsi="宋体" w:eastAsia="宋体" w:cs="宋体"/>
          <w:sz w:val="24"/>
          <w:lang w:val="en-US" w:eastAsia="zh-CN"/>
        </w:rPr>
        <w:t>质疑答复联系人：</w:t>
      </w:r>
      <w:r>
        <w:rPr>
          <w:rFonts w:hint="eastAsia" w:ascii="宋体" w:hAnsi="宋体" w:cs="宋体"/>
          <w:sz w:val="24"/>
          <w:lang w:val="en-US" w:eastAsia="zh-CN"/>
        </w:rPr>
        <w:t>何</w:t>
      </w:r>
      <w:r>
        <w:rPr>
          <w:rFonts w:hint="eastAsia" w:ascii="宋体" w:hAnsi="宋体" w:eastAsia="宋体" w:cs="宋体"/>
          <w:sz w:val="24"/>
          <w:lang w:val="en-US" w:eastAsia="zh-CN"/>
        </w:rPr>
        <w:t xml:space="preserve">工       </w:t>
      </w:r>
    </w:p>
    <w:p>
      <w:pPr>
        <w:spacing w:line="360" w:lineRule="auto"/>
        <w:ind w:left="0" w:leftChars="0" w:firstLine="420" w:firstLineChars="175"/>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联系电话：13758196112    </w:t>
      </w:r>
    </w:p>
    <w:p>
      <w:pPr>
        <w:spacing w:line="360" w:lineRule="auto"/>
        <w:ind w:left="0" w:leftChars="0" w:firstLine="420" w:firstLineChars="175"/>
        <w:jc w:val="left"/>
        <w:rPr>
          <w:rFonts w:hint="default" w:ascii="宋体" w:hAnsi="宋体" w:eastAsia="宋体" w:cs="宋体"/>
          <w:sz w:val="24"/>
          <w:lang w:val="en-US" w:eastAsia="zh-CN"/>
        </w:rPr>
      </w:pPr>
      <w:r>
        <w:rPr>
          <w:rFonts w:hint="eastAsia" w:ascii="宋体" w:hAnsi="宋体" w:eastAsia="宋体" w:cs="宋体"/>
          <w:sz w:val="24"/>
          <w:lang w:val="en-US" w:eastAsia="zh-CN"/>
        </w:rPr>
        <w:t>地址：</w:t>
      </w:r>
      <w:r>
        <w:rPr>
          <w:rFonts w:hint="eastAsia" w:ascii="宋体" w:hAnsi="宋体" w:eastAsia="宋体" w:cs="宋体"/>
          <w:sz w:val="24"/>
          <w:lang w:eastAsia="zh-CN"/>
        </w:rPr>
        <w:t>杭州市</w:t>
      </w:r>
      <w:r>
        <w:rPr>
          <w:rFonts w:hint="eastAsia" w:ascii="宋体" w:hAnsi="宋体" w:eastAsia="宋体" w:cs="宋体"/>
          <w:sz w:val="24"/>
          <w:lang w:val="en-US" w:eastAsia="zh-CN"/>
        </w:rPr>
        <w:t>临安区</w:t>
      </w:r>
      <w:r>
        <w:rPr>
          <w:rFonts w:hint="eastAsia" w:ascii="宋体" w:hAnsi="宋体" w:cs="宋体"/>
          <w:sz w:val="24"/>
          <w:lang w:val="en-US" w:eastAsia="zh-CN"/>
        </w:rPr>
        <w:t>锦北街道西墅街562号</w:t>
      </w:r>
    </w:p>
    <w:p>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b/>
          <w:bCs/>
          <w:sz w:val="24"/>
          <w:lang w:val="en-US" w:eastAsia="zh-CN"/>
        </w:rPr>
        <w:t>3、同级政府采购监督管理部门名称：杭州市临安区财政局政府采购监督管理科</w:t>
      </w:r>
    </w:p>
    <w:p>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赵女士</w:t>
      </w:r>
      <w:r>
        <w:rPr>
          <w:rFonts w:hint="eastAsia" w:ascii="宋体" w:hAnsi="宋体" w:eastAsia="宋体" w:cs="宋体"/>
          <w:sz w:val="24"/>
          <w:lang w:val="en-US" w:eastAsia="zh-CN"/>
        </w:rPr>
        <w:t xml:space="preserve">      </w:t>
      </w:r>
    </w:p>
    <w:p>
      <w:pPr>
        <w:spacing w:line="360" w:lineRule="auto"/>
        <w:ind w:firstLine="240" w:firstLineChars="100"/>
        <w:rPr>
          <w:rFonts w:hint="default" w:ascii="宋体" w:hAnsi="宋体" w:cs="宋体"/>
          <w:sz w:val="24"/>
          <w:lang w:val="en-US" w:eastAsia="zh-CN"/>
        </w:rPr>
      </w:pPr>
      <w:r>
        <w:rPr>
          <w:rFonts w:hint="eastAsia" w:ascii="宋体" w:hAnsi="宋体" w:eastAsia="宋体" w:cs="宋体"/>
          <w:sz w:val="24"/>
          <w:lang w:val="en-US" w:eastAsia="zh-CN"/>
        </w:rPr>
        <w:t>监督投诉电话：0571-</w:t>
      </w:r>
      <w:r>
        <w:rPr>
          <w:rFonts w:hint="eastAsia" w:ascii="宋体" w:hAnsi="宋体" w:cs="宋体"/>
          <w:sz w:val="24"/>
          <w:lang w:val="en-US" w:eastAsia="zh-CN"/>
        </w:rPr>
        <w:t>89541692、89541691、89541697</w:t>
      </w:r>
    </w:p>
    <w:p>
      <w:pPr>
        <w:spacing w:line="360" w:lineRule="auto"/>
        <w:ind w:firstLine="240" w:firstLineChars="100"/>
        <w:rPr>
          <w:rFonts w:hint="default" w:ascii="宋体" w:hAnsi="宋体" w:eastAsia="宋体" w:cs="宋体"/>
          <w:sz w:val="24"/>
          <w:lang w:val="en-US" w:eastAsia="zh-CN"/>
        </w:rPr>
      </w:pPr>
      <w:r>
        <w:rPr>
          <w:rFonts w:hint="eastAsia" w:ascii="宋体" w:hAnsi="宋体" w:eastAsia="宋体" w:cs="宋体"/>
          <w:sz w:val="24"/>
          <w:lang w:val="en-US" w:eastAsia="zh-CN"/>
        </w:rPr>
        <w:t>传真：0571-</w:t>
      </w:r>
      <w:r>
        <w:rPr>
          <w:rFonts w:hint="eastAsia" w:ascii="宋体" w:hAnsi="宋体" w:cs="宋体"/>
          <w:sz w:val="24"/>
          <w:lang w:val="en-US" w:eastAsia="zh-CN"/>
        </w:rPr>
        <w:t>89541600</w:t>
      </w:r>
    </w:p>
    <w:p>
      <w:pPr>
        <w:spacing w:line="360" w:lineRule="auto"/>
        <w:ind w:firstLine="480"/>
        <w:rPr>
          <w:rFonts w:hint="default" w:ascii="宋体" w:hAnsi="宋体" w:cs="宋体"/>
          <w:sz w:val="24"/>
          <w:lang w:val="en-US" w:eastAsia="zh-CN"/>
        </w:rPr>
      </w:pPr>
      <w:r>
        <w:rPr>
          <w:rFonts w:hint="eastAsia" w:ascii="宋体" w:hAnsi="宋体" w:eastAsia="宋体" w:cs="宋体"/>
          <w:sz w:val="24"/>
          <w:lang w:val="en-US" w:eastAsia="zh-CN"/>
        </w:rPr>
        <w:t>地址：</w:t>
      </w:r>
      <w:bookmarkStart w:id="47" w:name="OLE_LINK2"/>
      <w:r>
        <w:rPr>
          <w:rFonts w:hint="eastAsia" w:ascii="宋体" w:hAnsi="宋体" w:eastAsia="宋体" w:cs="宋体"/>
          <w:sz w:val="24"/>
          <w:lang w:val="en-US" w:eastAsia="zh-CN"/>
        </w:rPr>
        <w:t>杭州市临安区</w:t>
      </w:r>
      <w:r>
        <w:rPr>
          <w:rFonts w:hint="eastAsia" w:ascii="宋体" w:hAnsi="宋体" w:cs="宋体"/>
          <w:sz w:val="24"/>
          <w:lang w:val="en-US" w:eastAsia="zh-CN"/>
        </w:rPr>
        <w:t>锦城</w:t>
      </w:r>
      <w:r>
        <w:rPr>
          <w:rFonts w:hint="eastAsia" w:ascii="宋体" w:hAnsi="宋体" w:eastAsia="宋体" w:cs="宋体"/>
          <w:sz w:val="24"/>
          <w:lang w:val="en-US" w:eastAsia="zh-CN"/>
        </w:rPr>
        <w:t>街</w:t>
      </w:r>
      <w:r>
        <w:rPr>
          <w:rFonts w:hint="eastAsia" w:ascii="宋体" w:hAnsi="宋体" w:cs="宋体"/>
          <w:sz w:val="24"/>
          <w:lang w:val="en-US" w:eastAsia="zh-CN"/>
        </w:rPr>
        <w:t>道临天路1950号财政大楼411室</w:t>
      </w:r>
      <w:bookmarkEnd w:id="47"/>
    </w:p>
    <w:p>
      <w:pPr>
        <w:spacing w:line="360" w:lineRule="auto"/>
        <w:ind w:firstLine="480" w:firstLineChars="200"/>
        <w:rPr>
          <w:rFonts w:asciiTheme="minorEastAsia" w:hAnsiTheme="minorEastAsia" w:eastAsiaTheme="minorEastAsia"/>
          <w:sz w:val="24"/>
        </w:rPr>
      </w:pPr>
      <w:r>
        <w:rPr>
          <w:rFonts w:hint="eastAsia" w:ascii="宋体" w:hAnsi="宋体" w:eastAsia="宋体" w:cs="宋体"/>
          <w:sz w:val="24"/>
          <w:lang w:val="en-US" w:eastAsia="zh-CN"/>
        </w:rPr>
        <w:t xml:space="preserve"> </w:t>
      </w: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3"/>
        <w:spacing w:line="360" w:lineRule="auto"/>
        <w:ind w:firstLine="480" w:firstLineChars="200"/>
        <w:jc w:val="right"/>
        <w:rPr>
          <w:rFonts w:cs="仿宋_GB2312" w:asciiTheme="minorEastAsia" w:hAnsiTheme="minorEastAsia" w:eastAsiaTheme="minorEastAsia"/>
          <w:sz w:val="24"/>
          <w:szCs w:val="24"/>
        </w:rPr>
      </w:pPr>
    </w:p>
    <w:p>
      <w:pPr>
        <w:pStyle w:val="33"/>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9"/>
      <w:r>
        <w:rPr>
          <w:rFonts w:hint="eastAsia" w:cs="仿宋_GB2312" w:asciiTheme="minorEastAsia" w:hAnsiTheme="minorEastAsia" w:eastAsiaTheme="minorEastAsia"/>
          <w:b/>
          <w:sz w:val="36"/>
          <w:szCs w:val="20"/>
        </w:rPr>
        <w:t xml:space="preserve">  供应商须知</w:t>
      </w:r>
      <w:bookmarkEnd w:id="10"/>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rPr>
                <w:rFonts w:cs="宋体" w:asciiTheme="minorEastAsia" w:hAnsiTheme="minorEastAsia" w:eastAsiaTheme="minorEastAsia"/>
                <w:b/>
                <w:kern w:val="0"/>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（1）</w:t>
            </w: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u w:val="single"/>
                <w:lang w:val="en-US" w:eastAsia="zh-CN"/>
              </w:rPr>
              <w:t>食材供货配送，</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lang w:val="en-US" w:eastAsia="zh-CN"/>
              </w:rPr>
              <w:t xml:space="preserve"> 其他</w:t>
            </w:r>
            <w:bookmarkStart w:id="233" w:name="_GoBack"/>
            <w:bookmarkEnd w:id="233"/>
            <w:r>
              <w:rPr>
                <w:rFonts w:hint="eastAsia" w:cs="宋体" w:asciiTheme="minorEastAsia" w:hAnsiTheme="minorEastAsia" w:eastAsiaTheme="minorEastAsia"/>
                <w:kern w:val="0"/>
                <w:sz w:val="24"/>
                <w:u w:val="single"/>
                <w:lang w:val="en-US" w:eastAsia="zh-CN"/>
              </w:rPr>
              <w:t>未列明</w:t>
            </w:r>
            <w:r>
              <w:rPr>
                <w:rFonts w:hint="eastAsia" w:cs="宋体" w:asciiTheme="minorEastAsia" w:hAnsiTheme="minorEastAsia" w:eastAsiaTheme="minorEastAsia"/>
                <w:kern w:val="0"/>
                <w:sz w:val="24"/>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24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24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24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24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24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24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24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pPr>
              <w:spacing w:line="24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供应商应当提供的特定资格证明材料、资信证明文件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特定资格证明文件：</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0"/>
                <w:szCs w:val="21"/>
              </w:rPr>
            </w:pPr>
            <w:r>
              <w:rPr>
                <w:rFonts w:hint="eastAsia" w:ascii="仿宋" w:hAnsi="仿宋" w:eastAsia="仿宋" w:cs="仿宋"/>
                <w:sz w:val="24"/>
              </w:rPr>
              <w:t>▲</w:t>
            </w:r>
            <w:r>
              <w:rPr>
                <w:rFonts w:hint="eastAsia" w:ascii="仿宋" w:hAnsi="仿宋" w:eastAsia="仿宋" w:cs="仿宋"/>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0</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ascii="宋体" w:hAnsi="宋体" w:eastAsia="宋体" w:cs="宋体"/>
                <w:sz w:val="24"/>
                <w:u w:val="single"/>
                <w:lang w:eastAsia="zh-CN"/>
              </w:rPr>
              <w:t>杭州市</w:t>
            </w:r>
            <w:r>
              <w:rPr>
                <w:rFonts w:hint="eastAsia" w:ascii="宋体" w:hAnsi="宋体" w:eastAsia="宋体" w:cs="宋体"/>
                <w:sz w:val="24"/>
                <w:u w:val="single"/>
                <w:lang w:val="en-US" w:eastAsia="zh-CN"/>
              </w:rPr>
              <w:t>临安区</w:t>
            </w:r>
            <w:r>
              <w:rPr>
                <w:rFonts w:hint="eastAsia" w:hAnsi="宋体" w:cs="宋体"/>
                <w:sz w:val="24"/>
                <w:u w:val="single"/>
                <w:lang w:val="en-US" w:eastAsia="zh-CN"/>
              </w:rPr>
              <w:t>锦北街道西墅街562号</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lang w:val="en-US" w:eastAsia="zh-CN"/>
              </w:rPr>
              <w:t>金工15906619998/18267184377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b/>
                <w:bCs/>
                <w:snapToGrid w:val="0"/>
                <w:kern w:val="28"/>
                <w:sz w:val="24"/>
              </w:rPr>
              <w:t>解密</w:t>
            </w:r>
            <w:r>
              <w:rPr>
                <w:rFonts w:hint="eastAsia" w:ascii="宋体" w:hAnsi="宋体" w:cs="宋体"/>
                <w:b/>
                <w:bCs/>
                <w:snapToGrid w:val="0"/>
                <w:kern w:val="28"/>
                <w:sz w:val="24"/>
                <w:lang w:eastAsia="zh-CN"/>
              </w:rPr>
              <w:t>开启</w:t>
            </w:r>
            <w:r>
              <w:rPr>
                <w:rFonts w:hint="eastAsia" w:ascii="宋体" w:hAnsi="宋体" w:cs="宋体"/>
                <w:b/>
                <w:bCs/>
                <w:snapToGrid w:val="0"/>
                <w:kern w:val="28"/>
                <w:sz w:val="24"/>
              </w:rPr>
              <w:t>后</w:t>
            </w:r>
            <w:r>
              <w:rPr>
                <w:rFonts w:hint="eastAsia" w:ascii="宋体" w:hAnsi="宋体" w:cs="宋体"/>
                <w:b/>
                <w:bCs/>
                <w:snapToGrid w:val="0"/>
                <w:kern w:val="28"/>
                <w:sz w:val="24"/>
                <w:lang w:val="en-US" w:eastAsia="zh-CN"/>
              </w:rPr>
              <w:t>30分钟内</w:t>
            </w:r>
            <w:r>
              <w:rPr>
                <w:rFonts w:hint="eastAsia" w:ascii="宋体" w:hAnsi="宋体" w:cs="宋体"/>
                <w:b/>
                <w:bCs/>
                <w:snapToGrid w:val="0"/>
                <w:kern w:val="28"/>
                <w:sz w:val="24"/>
              </w:rPr>
              <w:t>，投标供应商将填写完整且经授权代表签署的《政府采购活动现场确认声明书》原件扫描件发送至邮箱：</w:t>
            </w:r>
            <w:r>
              <w:rPr>
                <w:rFonts w:hint="eastAsia" w:hAnsi="宋体" w:cs="宋体"/>
                <w:sz w:val="24"/>
                <w:u w:val="single"/>
                <w:lang w:val="en-US" w:eastAsia="zh-CN"/>
              </w:rPr>
              <w:t>541983336</w:t>
            </w:r>
            <w:r>
              <w:rPr>
                <w:rFonts w:hint="eastAsia" w:ascii="宋体" w:hAnsi="宋体" w:cs="宋体"/>
                <w:b/>
                <w:bCs/>
                <w:snapToGrid w:val="0"/>
                <w:kern w:val="28"/>
                <w:sz w:val="24"/>
              </w:rPr>
              <w:t>@qq.com（格式见附件</w:t>
            </w:r>
            <w:r>
              <w:rPr>
                <w:rFonts w:hint="eastAsia" w:ascii="宋体" w:hAnsi="宋体" w:cs="宋体"/>
                <w:b/>
                <w:bCs/>
                <w:snapToGrid w:val="0"/>
                <w:kern w:val="28"/>
                <w:sz w:val="24"/>
                <w:lang w:val="en-US" w:eastAsia="zh-CN"/>
              </w:rPr>
              <w:t>6</w:t>
            </w:r>
            <w:r>
              <w:rPr>
                <w:rFonts w:hint="eastAsia" w:ascii="宋体" w:hAnsi="宋体" w:cs="宋体"/>
                <w:b/>
                <w:bCs/>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 xml:space="preserve"> 13</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 xml:space="preserve">代理服务费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lang w:val="en-US" w:eastAsia="zh-CN"/>
              </w:rPr>
              <w:t>代</w:t>
            </w:r>
            <w:r>
              <w:rPr>
                <w:rFonts w:hint="eastAsia" w:ascii="宋体" w:hAnsi="宋体" w:eastAsia="宋体" w:cs="宋体"/>
                <w:snapToGrid w:val="0"/>
                <w:kern w:val="28"/>
                <w:sz w:val="24"/>
              </w:rPr>
              <w:t>理服务费参照发改价格〔2011〕534号文件、国家发改委计价格〔2002〕1980号文件规定收费,单个采购项目代理服务费不足肆仟元可按肆仟元收取，代理服务收费按差额定率累进法计算。</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drawing>
                <wp:inline distT="0" distB="0" distL="114300" distR="114300">
                  <wp:extent cx="3412490" cy="1605280"/>
                  <wp:effectExtent l="0" t="0" r="16510" b="13970"/>
                  <wp:docPr id="20" name="图片 20"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收费标准"/>
                          <pic:cNvPicPr>
                            <a:picLocks noChangeAspect="1"/>
                          </pic:cNvPicPr>
                        </pic:nvPicPr>
                        <pic:blipFill>
                          <a:blip r:embed="rId14"/>
                          <a:stretch>
                            <a:fillRect/>
                          </a:stretch>
                        </pic:blipFill>
                        <pic:spPr>
                          <a:xfrm>
                            <a:off x="0" y="0"/>
                            <a:ext cx="3412490" cy="1605280"/>
                          </a:xfrm>
                          <a:prstGeom prst="rect">
                            <a:avLst/>
                          </a:prstGeom>
                          <a:noFill/>
                          <a:ln>
                            <a:noFill/>
                          </a:ln>
                        </pic:spPr>
                      </pic:pic>
                    </a:graphicData>
                  </a:graphic>
                </wp:inline>
              </w:drawing>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收费对象：本项目代理服务费向成交供应商收取</w:t>
            </w:r>
          </w:p>
          <w:p>
            <w:pPr>
              <w:spacing w:line="360" w:lineRule="auto"/>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缴纳时间：</w:t>
            </w:r>
            <w:r>
              <w:rPr>
                <w:rFonts w:hint="eastAsia" w:ascii="宋体" w:hAnsi="宋体" w:eastAsia="宋体" w:cs="宋体"/>
                <w:snapToGrid w:val="0"/>
                <w:kern w:val="28"/>
                <w:sz w:val="24"/>
                <w:lang w:val="en-US" w:eastAsia="zh-CN"/>
              </w:rPr>
              <w:t>领取中标通知书前支付。</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缴纳形式：汇票/支票/电汇/现金</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收款单位：浙江中正工程项目管理有限公司</w:t>
            </w:r>
            <w:r>
              <w:rPr>
                <w:rFonts w:hint="eastAsia" w:ascii="宋体" w:hAnsi="宋体" w:eastAsia="宋体" w:cs="宋体"/>
                <w:snapToGrid w:val="0"/>
                <w:kern w:val="28"/>
                <w:sz w:val="24"/>
                <w:lang w:val="en-US" w:eastAsia="zh-CN"/>
              </w:rPr>
              <w:t>临安区</w:t>
            </w:r>
            <w:r>
              <w:rPr>
                <w:rFonts w:hint="eastAsia" w:ascii="宋体" w:hAnsi="宋体" w:eastAsia="宋体" w:cs="宋体"/>
                <w:snapToGrid w:val="0"/>
                <w:kern w:val="28"/>
                <w:sz w:val="24"/>
              </w:rPr>
              <w:t>分公司</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 xml:space="preserve">开户银行： </w:t>
            </w:r>
            <w:r>
              <w:rPr>
                <w:rFonts w:hint="eastAsia" w:ascii="宋体" w:hAnsi="宋体" w:eastAsia="宋体" w:cs="宋体"/>
                <w:snapToGrid w:val="0"/>
                <w:kern w:val="28"/>
                <w:sz w:val="24"/>
                <w:lang w:val="en-US" w:eastAsia="zh-CN"/>
              </w:rPr>
              <w:t>杭州银行临安支行</w:t>
            </w:r>
          </w:p>
          <w:p>
            <w:pPr>
              <w:spacing w:line="360" w:lineRule="auto"/>
              <w:rPr>
                <w:rFonts w:hint="default" w:ascii="宋体" w:hAnsi="宋体" w:eastAsia="宋体" w:cs="宋体"/>
                <w:snapToGrid w:val="0"/>
                <w:kern w:val="28"/>
                <w:sz w:val="24"/>
                <w:lang w:val="en-US" w:eastAsia="zh-CN"/>
              </w:rPr>
            </w:pPr>
            <w:r>
              <w:rPr>
                <w:rFonts w:hint="eastAsia" w:ascii="宋体" w:hAnsi="宋体" w:eastAsia="宋体" w:cs="宋体"/>
                <w:snapToGrid w:val="0"/>
                <w:kern w:val="28"/>
                <w:sz w:val="24"/>
              </w:rPr>
              <w:t>银行账号：</w:t>
            </w:r>
            <w:r>
              <w:rPr>
                <w:rFonts w:hint="eastAsia" w:ascii="宋体" w:hAnsi="宋体" w:eastAsia="宋体" w:cs="宋体"/>
                <w:snapToGrid w:val="0"/>
                <w:kern w:val="28"/>
                <w:sz w:val="24"/>
                <w:lang w:val="en-US" w:eastAsia="zh-CN"/>
              </w:rPr>
              <w:t>3301040160022461126</w:t>
            </w:r>
          </w:p>
          <w:p>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lang w:val="en-US" w:eastAsia="zh-CN"/>
              </w:rPr>
              <w:t>备注：放弃中标（成交）资格的供应商，须承担本项目招标代理费和专家评审费等费用。</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rPr>
            </w:pP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rPr>
            </w:pP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4"/>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w:t>
      </w:r>
      <w:r>
        <w:rPr>
          <w:rFonts w:hint="eastAsia" w:cs="仿宋_GB2312" w:asciiTheme="minorEastAsia" w:hAnsiTheme="minorEastAsia" w:eastAsiaTheme="minorEastAsia"/>
          <w:sz w:val="24"/>
          <w:szCs w:val="24"/>
          <w:lang w:eastAsia="zh-CN"/>
        </w:rPr>
        <w:t>杭州市临安区人民政府锦城街道办事处食材供货配送服务项目</w:t>
      </w:r>
      <w:r>
        <w:rPr>
          <w:rFonts w:hint="eastAsia" w:cs="仿宋_GB2312" w:asciiTheme="minorEastAsia" w:hAnsiTheme="minorEastAsia" w:eastAsiaTheme="minorEastAsia"/>
          <w:sz w:val="24"/>
          <w:szCs w:val="24"/>
        </w:rPr>
        <w:t>，供应商名称(联合体响应的，包装物封面需注明联合体响应，并注明联合体成员各方的名称和联合体协议中约定的牵头人的名称)。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48" w:name="_Hlk101184471"/>
      <w:r>
        <w:rPr>
          <w:rFonts w:hint="eastAsia" w:cs="宋体" w:asciiTheme="minorEastAsia" w:hAnsiTheme="minorEastAsia" w:eastAsiaTheme="minorEastAsia"/>
          <w:sz w:val="24"/>
        </w:rPr>
        <w:t>资格审查情况、评审专家抽取规则、符合性审查情况、</w:t>
      </w:r>
      <w:bookmarkEnd w:id="48"/>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9" w:name="_Hlt75236011"/>
      <w:bookmarkEnd w:id="49"/>
      <w:bookmarkStart w:id="50" w:name="_Hlt74729768"/>
      <w:bookmarkEnd w:id="50"/>
      <w:bookmarkStart w:id="51" w:name="_Hlt68072990"/>
      <w:bookmarkEnd w:id="51"/>
      <w:bookmarkStart w:id="52" w:name="_Hlt75236290"/>
      <w:bookmarkEnd w:id="52"/>
      <w:bookmarkStart w:id="53" w:name="_Hlt68057669"/>
      <w:bookmarkEnd w:id="53"/>
      <w:bookmarkStart w:id="54" w:name="_Hlt74707468"/>
      <w:bookmarkEnd w:id="54"/>
      <w:bookmarkStart w:id="55" w:name="_Hlt75236101"/>
      <w:bookmarkEnd w:id="55"/>
      <w:bookmarkStart w:id="56" w:name="_Hlt74714665"/>
      <w:bookmarkEnd w:id="56"/>
      <w:bookmarkStart w:id="57" w:name="_Hlt74730295"/>
      <w:bookmarkEnd w:id="57"/>
      <w:bookmarkStart w:id="58" w:name="_Toc164416483"/>
      <w:bookmarkStart w:id="59"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utoSpaceDE w:val="0"/>
        <w:autoSpaceDN w:val="0"/>
        <w:adjustRightInd w:val="0"/>
        <w:spacing w:line="400" w:lineRule="exact"/>
        <w:rPr>
          <w:rFonts w:ascii="宋体" w:hAnsi="宋体" w:cs="宋体"/>
          <w:b/>
          <w:sz w:val="24"/>
          <w:szCs w:val="24"/>
        </w:rPr>
      </w:pPr>
      <w:r>
        <w:rPr>
          <w:rFonts w:hint="eastAsia" w:ascii="宋体" w:hAnsi="宋体" w:cs="宋体"/>
          <w:b/>
          <w:sz w:val="24"/>
          <w:szCs w:val="24"/>
        </w:rPr>
        <w:t>一、项目概况</w:t>
      </w:r>
    </w:p>
    <w:p>
      <w:pPr>
        <w:tabs>
          <w:tab w:val="left" w:pos="993"/>
          <w:tab w:val="left" w:pos="1134"/>
          <w:tab w:val="left" w:pos="1418"/>
        </w:tabs>
        <w:spacing w:line="400" w:lineRule="exact"/>
        <w:ind w:firstLine="480" w:firstLineChars="200"/>
        <w:rPr>
          <w:rFonts w:ascii="宋体" w:hAnsi="宋体" w:cs="宋体"/>
          <w:sz w:val="24"/>
          <w:szCs w:val="24"/>
          <w:highlight w:val="none"/>
        </w:rPr>
      </w:pPr>
      <w:r>
        <w:rPr>
          <w:rFonts w:hint="eastAsia" w:ascii="宋体" w:hAnsi="宋体" w:cs="宋体"/>
          <w:sz w:val="24"/>
          <w:szCs w:val="24"/>
        </w:rPr>
        <w:t>本项目为确定杭州市临安区人民政府锦城街道办事处食材供货配送</w:t>
      </w:r>
      <w:r>
        <w:rPr>
          <w:rFonts w:hint="eastAsia" w:ascii="宋体" w:hAnsi="宋体" w:cs="宋体"/>
          <w:sz w:val="24"/>
          <w:szCs w:val="24"/>
          <w:highlight w:val="none"/>
        </w:rPr>
        <w:t>服务商，为</w:t>
      </w:r>
      <w:r>
        <w:rPr>
          <w:rFonts w:hint="eastAsia" w:ascii="宋体" w:hAnsi="宋体" w:cs="宋体"/>
          <w:sz w:val="24"/>
          <w:szCs w:val="24"/>
          <w:highlight w:val="none"/>
          <w:lang w:val="en-US" w:eastAsia="zh-CN"/>
        </w:rPr>
        <w:t>锦城街道办事处</w:t>
      </w:r>
      <w:r>
        <w:rPr>
          <w:rFonts w:hint="eastAsia" w:ascii="宋体" w:hAnsi="宋体" w:cs="宋体"/>
          <w:sz w:val="24"/>
          <w:szCs w:val="24"/>
          <w:highlight w:val="none"/>
        </w:rPr>
        <w:t>配送所需的粮油类、蔬菜类、冷冻品类、调味品类、其他类(水产类、禽肉类、干货类、豆制品类、禽蛋类、鲜猪肉类、水果类、点心饮品类、厨房用品类等)共</w:t>
      </w:r>
      <w:r>
        <w:rPr>
          <w:rFonts w:hint="eastAsia" w:ascii="宋体" w:hAnsi="宋体" w:cs="宋体"/>
          <w:sz w:val="24"/>
          <w:szCs w:val="24"/>
          <w:highlight w:val="none"/>
          <w:lang w:val="en-US" w:eastAsia="zh-CN"/>
        </w:rPr>
        <w:t>五</w:t>
      </w:r>
      <w:r>
        <w:rPr>
          <w:rFonts w:hint="eastAsia" w:ascii="宋体" w:hAnsi="宋体" w:cs="宋体"/>
          <w:sz w:val="24"/>
          <w:szCs w:val="24"/>
          <w:highlight w:val="none"/>
        </w:rPr>
        <w:t>大类主副食品原材料提供配送服务，从而提高食品质量和安全保障。</w:t>
      </w:r>
    </w:p>
    <w:p>
      <w:pPr>
        <w:autoSpaceDE w:val="0"/>
        <w:autoSpaceDN w:val="0"/>
        <w:adjustRightInd w:val="0"/>
        <w:spacing w:line="400" w:lineRule="exact"/>
        <w:rPr>
          <w:rFonts w:ascii="宋体" w:hAnsi="宋体" w:cs="宋体"/>
          <w:b/>
          <w:sz w:val="24"/>
          <w:szCs w:val="24"/>
        </w:rPr>
      </w:pPr>
      <w:r>
        <w:rPr>
          <w:rFonts w:hint="eastAsia" w:ascii="宋体" w:hAnsi="宋体" w:cs="宋体"/>
          <w:b/>
          <w:sz w:val="24"/>
          <w:szCs w:val="24"/>
        </w:rPr>
        <w:t>二、招标项目内容:</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1．采购项目名称：</w:t>
      </w:r>
      <w:r>
        <w:rPr>
          <w:rFonts w:hint="eastAsia" w:ascii="宋体" w:hAnsi="宋体" w:cs="宋体"/>
          <w:sz w:val="24"/>
          <w:szCs w:val="24"/>
          <w:lang w:eastAsia="zh-CN"/>
        </w:rPr>
        <w:t>杭州市临安区人民政府锦城街道办事处食材供货配送服务项目</w:t>
      </w:r>
    </w:p>
    <w:p>
      <w:pPr>
        <w:spacing w:line="400" w:lineRule="exact"/>
        <w:ind w:firstLine="480" w:firstLineChars="200"/>
        <w:rPr>
          <w:rFonts w:ascii="宋体" w:hAnsi="宋体" w:cs="宋体"/>
          <w:sz w:val="24"/>
          <w:szCs w:val="24"/>
        </w:rPr>
      </w:pPr>
      <w:r>
        <w:rPr>
          <w:rFonts w:hint="eastAsia" w:ascii="宋体" w:hAnsi="宋体" w:cs="宋体"/>
          <w:sz w:val="24"/>
          <w:szCs w:val="24"/>
        </w:rPr>
        <w:t>2．采购项目内容：</w:t>
      </w:r>
    </w:p>
    <w:tbl>
      <w:tblPr>
        <w:tblStyle w:val="6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2"/>
        <w:gridCol w:w="1373"/>
        <w:gridCol w:w="3119"/>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712"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采购内容</w:t>
            </w:r>
          </w:p>
        </w:tc>
        <w:tc>
          <w:tcPr>
            <w:tcW w:w="1373"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单位及数量</w:t>
            </w:r>
          </w:p>
        </w:tc>
        <w:tc>
          <w:tcPr>
            <w:tcW w:w="3119" w:type="dxa"/>
            <w:tcBorders>
              <w:right w:val="single" w:color="auto" w:sz="4"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rPr>
              <w:t>配送范围</w:t>
            </w:r>
          </w:p>
        </w:tc>
        <w:tc>
          <w:tcPr>
            <w:tcW w:w="3402" w:type="dxa"/>
            <w:tcBorders>
              <w:left w:val="single" w:color="auto" w:sz="4" w:space="0"/>
            </w:tcBorders>
            <w:noWrap w:val="0"/>
            <w:vAlign w:val="center"/>
          </w:tcPr>
          <w:p>
            <w:pPr>
              <w:spacing w:line="400" w:lineRule="exact"/>
              <w:jc w:val="center"/>
              <w:rPr>
                <w:rFonts w:ascii="宋体" w:hAnsi="宋体" w:cs="宋体"/>
                <w:sz w:val="24"/>
                <w:szCs w:val="24"/>
              </w:rPr>
            </w:pPr>
            <w:r>
              <w:rPr>
                <w:rFonts w:hint="eastAsia" w:ascii="宋体" w:hAnsi="宋体" w:cs="宋体"/>
                <w:sz w:val="24"/>
                <w:szCs w:val="24"/>
              </w:rPr>
              <w:t>配送材料内容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712" w:type="dxa"/>
            <w:noWrap w:val="0"/>
            <w:vAlign w:val="center"/>
          </w:tcPr>
          <w:p>
            <w:pPr>
              <w:spacing w:line="40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杭州市临安区人民政府锦城街道办事处食材供货配送服务项目</w:t>
            </w:r>
          </w:p>
        </w:tc>
        <w:tc>
          <w:tcPr>
            <w:tcW w:w="1373"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1项</w:t>
            </w:r>
          </w:p>
        </w:tc>
        <w:tc>
          <w:tcPr>
            <w:tcW w:w="3119" w:type="dxa"/>
            <w:tcBorders>
              <w:right w:val="single" w:color="auto" w:sz="4" w:space="0"/>
            </w:tcBorders>
            <w:noWrap w:val="0"/>
            <w:vAlign w:val="center"/>
          </w:tcPr>
          <w:p>
            <w:pPr>
              <w:snapToGrid w:val="0"/>
              <w:spacing w:line="400" w:lineRule="exact"/>
              <w:rPr>
                <w:rFonts w:ascii="宋体" w:hAnsi="宋体" w:cs="宋体"/>
                <w:sz w:val="24"/>
                <w:szCs w:val="24"/>
              </w:rPr>
            </w:pPr>
            <w:r>
              <w:rPr>
                <w:rFonts w:hint="eastAsia" w:ascii="宋体" w:hAnsi="宋体" w:cs="宋体"/>
                <w:sz w:val="24"/>
                <w:szCs w:val="24"/>
              </w:rPr>
              <w:t>杭州市临安区</w:t>
            </w:r>
            <w:r>
              <w:rPr>
                <w:rFonts w:hint="eastAsia" w:ascii="宋体" w:hAnsi="宋体" w:cs="宋体"/>
                <w:sz w:val="24"/>
                <w:szCs w:val="24"/>
                <w:lang w:val="en-US" w:eastAsia="zh-CN"/>
              </w:rPr>
              <w:t>人民政府锦城街道办事处</w:t>
            </w:r>
          </w:p>
        </w:tc>
        <w:tc>
          <w:tcPr>
            <w:tcW w:w="3402" w:type="dxa"/>
            <w:tcBorders>
              <w:left w:val="single" w:color="auto" w:sz="4" w:space="0"/>
            </w:tcBorders>
            <w:noWrap w:val="0"/>
            <w:vAlign w:val="center"/>
          </w:tcPr>
          <w:p>
            <w:pPr>
              <w:snapToGrid w:val="0"/>
              <w:spacing w:line="400" w:lineRule="exact"/>
              <w:jc w:val="left"/>
              <w:rPr>
                <w:rFonts w:ascii="宋体" w:hAnsi="宋体" w:cs="宋体"/>
                <w:sz w:val="24"/>
                <w:szCs w:val="24"/>
              </w:rPr>
            </w:pPr>
            <w:r>
              <w:rPr>
                <w:rFonts w:hint="eastAsia" w:ascii="宋体" w:hAnsi="宋体" w:cs="宋体"/>
                <w:sz w:val="24"/>
                <w:szCs w:val="24"/>
                <w:highlight w:val="none"/>
              </w:rPr>
              <w:t>粮油类、蔬菜类、冷冻品类、调味品类、其他类(水产类、禽肉类、干货类、豆制品类、禽蛋类、鲜猪肉类、水果类、点心饮品类、厨房用品类等)共</w:t>
            </w:r>
            <w:r>
              <w:rPr>
                <w:rFonts w:hint="eastAsia" w:ascii="宋体" w:hAnsi="宋体" w:cs="宋体"/>
                <w:sz w:val="24"/>
                <w:szCs w:val="24"/>
                <w:highlight w:val="none"/>
                <w:lang w:val="en-US" w:eastAsia="zh-CN"/>
              </w:rPr>
              <w:t>五</w:t>
            </w:r>
            <w:r>
              <w:rPr>
                <w:rFonts w:hint="eastAsia" w:ascii="宋体" w:hAnsi="宋体" w:cs="宋体"/>
                <w:sz w:val="24"/>
                <w:szCs w:val="24"/>
                <w:highlight w:val="none"/>
              </w:rPr>
              <w:t>大类</w:t>
            </w:r>
            <w:r>
              <w:rPr>
                <w:rFonts w:hint="eastAsia" w:ascii="宋体" w:hAnsi="宋体" w:cs="宋体"/>
                <w:sz w:val="24"/>
                <w:szCs w:val="24"/>
              </w:rPr>
              <w:t>主副食品原材料。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9606" w:type="dxa"/>
            <w:gridSpan w:val="4"/>
            <w:noWrap w:val="0"/>
            <w:vAlign w:val="top"/>
          </w:tcPr>
          <w:p>
            <w:pPr>
              <w:autoSpaceDE w:val="0"/>
              <w:autoSpaceDN w:val="0"/>
              <w:adjustRightInd w:val="0"/>
              <w:spacing w:line="400" w:lineRule="exact"/>
              <w:jc w:val="left"/>
              <w:rPr>
                <w:rFonts w:hint="eastAsia" w:ascii="宋体" w:hAnsi="宋体" w:eastAsia="宋体" w:cs="宋体"/>
                <w:sz w:val="24"/>
                <w:szCs w:val="24"/>
                <w:highlight w:val="none"/>
                <w:lang w:eastAsia="zh-CN"/>
              </w:rPr>
            </w:pPr>
            <w:r>
              <w:rPr>
                <w:rFonts w:hint="eastAsia" w:ascii="宋体" w:hAnsi="宋体" w:cs="宋体"/>
                <w:sz w:val="24"/>
                <w:szCs w:val="24"/>
              </w:rPr>
              <w:t>配送时间：</w:t>
            </w:r>
            <w:r>
              <w:rPr>
                <w:rFonts w:hint="default" w:ascii="宋体" w:hAnsi="宋体" w:eastAsia="宋体" w:cs="宋体"/>
                <w:color w:val="auto"/>
                <w:sz w:val="24"/>
                <w:szCs w:val="24"/>
                <w:highlight w:val="none"/>
                <w:lang w:val="en-US" w:eastAsia="zh-CN"/>
              </w:rPr>
              <w:t>合同签订之日起一年</w:t>
            </w:r>
          </w:p>
          <w:p>
            <w:pPr>
              <w:autoSpaceDE w:val="0"/>
              <w:autoSpaceDN w:val="0"/>
              <w:adjustRightInd w:val="0"/>
              <w:spacing w:line="400" w:lineRule="exact"/>
              <w:jc w:val="left"/>
              <w:rPr>
                <w:rFonts w:ascii="宋体" w:hAnsi="宋体" w:cs="宋体"/>
                <w:kern w:val="0"/>
                <w:sz w:val="24"/>
                <w:szCs w:val="24"/>
              </w:rPr>
            </w:pPr>
            <w:r>
              <w:rPr>
                <w:rFonts w:hint="eastAsia" w:ascii="宋体" w:hAnsi="宋体" w:cs="宋体"/>
                <w:sz w:val="24"/>
                <w:szCs w:val="24"/>
              </w:rPr>
              <w:t>供货品种、数量以杭州市临安区</w:t>
            </w:r>
            <w:r>
              <w:rPr>
                <w:rFonts w:hint="eastAsia" w:ascii="宋体" w:hAnsi="宋体" w:cs="宋体"/>
                <w:sz w:val="24"/>
                <w:szCs w:val="24"/>
                <w:lang w:val="en-US" w:eastAsia="zh-CN"/>
              </w:rPr>
              <w:t>人民政府锦城街道办事处</w:t>
            </w:r>
            <w:r>
              <w:rPr>
                <w:rFonts w:hint="eastAsia" w:ascii="宋体" w:hAnsi="宋体" w:cs="宋体"/>
                <w:sz w:val="24"/>
                <w:szCs w:val="24"/>
              </w:rPr>
              <w:t>实际采购为准。</w:t>
            </w:r>
          </w:p>
        </w:tc>
      </w:tr>
    </w:tbl>
    <w:p>
      <w:pPr>
        <w:autoSpaceDE w:val="0"/>
        <w:autoSpaceDN w:val="0"/>
        <w:adjustRightInd w:val="0"/>
        <w:spacing w:line="400" w:lineRule="exact"/>
        <w:rPr>
          <w:rFonts w:ascii="宋体" w:hAnsi="宋体" w:cs="宋体"/>
          <w:b/>
          <w:sz w:val="24"/>
          <w:szCs w:val="24"/>
        </w:rPr>
      </w:pPr>
      <w:r>
        <w:rPr>
          <w:rFonts w:hint="eastAsia" w:ascii="宋体" w:hAnsi="宋体" w:cs="宋体"/>
          <w:b/>
          <w:sz w:val="24"/>
          <w:szCs w:val="24"/>
        </w:rPr>
        <w:t>三、招标项目要求：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rPr>
        <w:t>1．</w:t>
      </w:r>
      <w:r>
        <w:rPr>
          <w:rFonts w:hint="eastAsia"/>
          <w:b/>
          <w:bCs/>
          <w:sz w:val="24"/>
          <w:szCs w:val="24"/>
          <w:lang w:eastAsia="zh-CN"/>
        </w:rPr>
        <w:t>服务</w:t>
      </w:r>
      <w:r>
        <w:rPr>
          <w:rFonts w:hint="eastAsia"/>
          <w:b/>
          <w:bCs/>
          <w:sz w:val="24"/>
          <w:szCs w:val="24"/>
        </w:rPr>
        <w:t>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default" w:ascii="宋体" w:hAnsi="宋体" w:eastAsia="宋体" w:cs="宋体"/>
          <w:color w:val="auto"/>
          <w:sz w:val="24"/>
          <w:szCs w:val="24"/>
          <w:highlight w:val="none"/>
          <w:lang w:val="en-US" w:eastAsia="zh-CN"/>
        </w:rPr>
        <w:t>合同签订之日起一年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i w:val="0"/>
          <w:iCs w:val="0"/>
          <w:sz w:val="24"/>
          <w:szCs w:val="24"/>
        </w:rPr>
      </w:pPr>
      <w:r>
        <w:rPr>
          <w:rFonts w:hint="eastAsia"/>
          <w:b/>
          <w:bCs/>
          <w:i w:val="0"/>
          <w:iCs w:val="0"/>
          <w:sz w:val="24"/>
          <w:szCs w:val="24"/>
        </w:rPr>
        <w:t>2．</w:t>
      </w:r>
      <w:r>
        <w:rPr>
          <w:rFonts w:hint="eastAsia"/>
          <w:b/>
          <w:bCs/>
          <w:i w:val="0"/>
          <w:iCs w:val="0"/>
          <w:sz w:val="24"/>
          <w:szCs w:val="24"/>
          <w:lang w:eastAsia="zh-CN"/>
        </w:rPr>
        <w:t>供货</w:t>
      </w:r>
      <w:r>
        <w:rPr>
          <w:rFonts w:hint="eastAsia"/>
          <w:b/>
          <w:bCs/>
          <w:i w:val="0"/>
          <w:iCs w:val="0"/>
          <w:sz w:val="24"/>
          <w:szCs w:val="24"/>
        </w:rPr>
        <w:t>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供货地点：杭州市临安区人民政府锦城街道办事处相应配送点。</w:t>
      </w:r>
    </w:p>
    <w:p>
      <w:pPr>
        <w:pStyle w:val="24"/>
        <w:ind w:firstLine="482" w:firstLineChars="200"/>
        <w:rPr>
          <w:rFonts w:hint="eastAsia"/>
          <w:b/>
          <w:bCs/>
          <w:sz w:val="24"/>
          <w:szCs w:val="24"/>
        </w:rPr>
      </w:pPr>
      <w:r>
        <w:rPr>
          <w:rFonts w:hint="eastAsia"/>
          <w:b/>
          <w:bCs/>
          <w:sz w:val="24"/>
          <w:szCs w:val="24"/>
          <w:lang w:val="en-US" w:eastAsia="zh-CN"/>
        </w:rPr>
        <w:t>3、供货</w:t>
      </w:r>
      <w:r>
        <w:rPr>
          <w:rFonts w:hint="eastAsia"/>
          <w:b/>
          <w:bCs/>
          <w:sz w:val="24"/>
          <w:szCs w:val="24"/>
        </w:rPr>
        <w:t>方式：</w:t>
      </w:r>
    </w:p>
    <w:p>
      <w:pPr>
        <w:pStyle w:val="24"/>
        <w:ind w:firstLine="480" w:firstLineChars="200"/>
        <w:rPr>
          <w:rFonts w:hint="eastAsia" w:ascii="宋体" w:hAnsi="宋体" w:eastAsia="宋体" w:cs="宋体"/>
          <w:kern w:val="0"/>
          <w:sz w:val="24"/>
          <w:szCs w:val="24"/>
          <w:highlight w:val="none"/>
          <w:lang w:val="en-US" w:eastAsia="zh-CN" w:bidi="ar-SA"/>
        </w:rPr>
      </w:pPr>
      <w:r>
        <w:rPr>
          <w:rFonts w:hint="eastAsia"/>
          <w:sz w:val="24"/>
          <w:szCs w:val="24"/>
        </w:rPr>
        <w:t>采购人指定方式。</w:t>
      </w:r>
    </w:p>
    <w:p>
      <w:pPr>
        <w:pStyle w:val="105"/>
        <w:numPr>
          <w:ilvl w:val="0"/>
          <w:numId w:val="0"/>
        </w:numPr>
        <w:spacing w:line="400" w:lineRule="exact"/>
        <w:ind w:firstLine="482" w:firstLineChars="200"/>
        <w:rPr>
          <w:rFonts w:hint="eastAsia" w:ascii="宋体" w:hAnsi="Times New Roman" w:eastAsia="宋体" w:cs="Times New Roman"/>
          <w:b/>
          <w:bCs/>
          <w:kern w:val="2"/>
          <w:sz w:val="24"/>
          <w:szCs w:val="24"/>
          <w:lang w:val="en-US" w:eastAsia="zh-CN" w:bidi="ar-SA"/>
        </w:rPr>
      </w:pPr>
      <w:r>
        <w:rPr>
          <w:rFonts w:hint="eastAsia" w:ascii="宋体" w:hAnsi="Times New Roman" w:eastAsia="宋体" w:cs="Times New Roman"/>
          <w:b/>
          <w:bCs/>
          <w:kern w:val="2"/>
          <w:sz w:val="24"/>
          <w:szCs w:val="24"/>
          <w:lang w:val="en-US" w:eastAsia="zh-CN" w:bidi="ar-SA"/>
        </w:rPr>
        <w:t>4.供货产品技术指标和质量要求：</w:t>
      </w:r>
    </w:p>
    <w:p>
      <w:pPr>
        <w:pStyle w:val="105"/>
        <w:spacing w:line="400" w:lineRule="exact"/>
        <w:ind w:left="420" w:firstLine="0" w:firstLineChars="0"/>
        <w:rPr>
          <w:rFonts w:hint="eastAsia" w:ascii="宋体" w:hAnsi="Times New Roman" w:eastAsia="宋体" w:cs="Times New Roman"/>
          <w:b/>
          <w:bCs/>
          <w:kern w:val="2"/>
          <w:sz w:val="24"/>
          <w:szCs w:val="24"/>
          <w:lang w:val="en-US" w:eastAsia="zh-CN" w:bidi="ar-SA"/>
        </w:rPr>
      </w:pPr>
      <w:r>
        <w:rPr>
          <w:rFonts w:hint="eastAsia" w:ascii="宋体" w:hAnsi="Times New Roman" w:eastAsia="宋体" w:cs="Times New Roman"/>
          <w:b/>
          <w:bCs/>
          <w:kern w:val="2"/>
          <w:sz w:val="24"/>
          <w:szCs w:val="24"/>
          <w:lang w:val="en-US" w:eastAsia="zh-CN" w:bidi="ar-SA"/>
        </w:rPr>
        <w:t>4.1总体要求：安全、质优、卫生、健康、及时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4.1.1配送供应商不得采购配送《食品安全法》、《</w:t>
      </w:r>
      <w:r>
        <w:rPr>
          <w:rFonts w:hint="eastAsia" w:ascii="宋体" w:hAnsi="宋体" w:cs="宋体"/>
          <w:sz w:val="24"/>
          <w:szCs w:val="24"/>
          <w:lang w:eastAsia="zh-CN"/>
        </w:rPr>
        <w:t>食堂</w:t>
      </w:r>
      <w:r>
        <w:rPr>
          <w:rFonts w:hint="eastAsia" w:ascii="宋体" w:hAnsi="宋体" w:cs="宋体"/>
          <w:sz w:val="24"/>
          <w:szCs w:val="24"/>
        </w:rPr>
        <w:t>食品安全与营养健康管理规定》禁止生产和经营的食品；不得采购无证加工小作坊或流动摊贩生产加工的预包装食品或散装食品；严禁配送“三无”食品和有毒有害、过期变质、假冒伪劣等不合格食品。</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4.1.2配送供应商所配送的食品属工业化生产的，均应按规定索取生产企业的营业执照、食品生产许可证、食品质量检验报告、食品包装上所明示的荣誉证书等各种有效的证明，索证有效率应达到100%；属农贸市场上采购的，均应向供货商索取相关的有效凭证；属从农户中采购的农产品，必须经检测合格后方可配送，并向</w:t>
      </w:r>
      <w:r>
        <w:rPr>
          <w:rFonts w:hint="eastAsia" w:ascii="宋体" w:hAnsi="宋体" w:cs="宋体"/>
          <w:sz w:val="24"/>
          <w:szCs w:val="24"/>
          <w:lang w:val="en-US" w:eastAsia="zh-CN"/>
        </w:rPr>
        <w:t>业主</w:t>
      </w:r>
      <w:r>
        <w:rPr>
          <w:rFonts w:hint="eastAsia" w:ascii="宋体" w:hAnsi="宋体" w:cs="宋体"/>
          <w:sz w:val="24"/>
          <w:szCs w:val="24"/>
        </w:rPr>
        <w:t>提供有效检测报告。</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4.1.3配送供应商所提供的食材均应符合浙食链及市场监管局的要求。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4.1.4畜禽肉类的分割均在临安配送供应商分割间内监控视频下完成。</w:t>
      </w:r>
    </w:p>
    <w:p>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4.1.5根据</w:t>
      </w:r>
      <w:r>
        <w:rPr>
          <w:rFonts w:hint="eastAsia" w:ascii="宋体" w:hAnsi="宋体" w:cs="宋体"/>
          <w:sz w:val="24"/>
          <w:szCs w:val="24"/>
          <w:lang w:eastAsia="zh-CN"/>
        </w:rPr>
        <w:t>食堂</w:t>
      </w:r>
      <w:r>
        <w:rPr>
          <w:rFonts w:hint="eastAsia" w:ascii="宋体" w:hAnsi="宋体" w:cs="宋体"/>
          <w:sz w:val="24"/>
          <w:szCs w:val="24"/>
        </w:rPr>
        <w:t>实际要求及时将食材送到指定位置。</w:t>
      </w:r>
      <w:r>
        <w:rPr>
          <w:rFonts w:hint="eastAsia" w:ascii="宋体" w:hAnsi="宋体" w:cs="宋体"/>
          <w:sz w:val="24"/>
          <w:szCs w:val="24"/>
          <w:lang w:eastAsia="zh-CN"/>
        </w:rPr>
        <w:t>临时、紧急类采购许根据食堂实际要求在规定时间内保质保量将食材送到指定地点。</w:t>
      </w:r>
    </w:p>
    <w:p>
      <w:pPr>
        <w:pStyle w:val="105"/>
        <w:spacing w:line="400" w:lineRule="exact"/>
        <w:ind w:left="420" w:firstLine="0" w:firstLineChars="0"/>
        <w:rPr>
          <w:rFonts w:hint="eastAsia" w:ascii="宋体" w:hAnsi="宋体" w:cs="宋体"/>
          <w:b/>
          <w:sz w:val="24"/>
          <w:szCs w:val="24"/>
          <w:lang w:val="en-US" w:eastAsia="zh-CN"/>
        </w:rPr>
      </w:pPr>
      <w:r>
        <w:rPr>
          <w:rFonts w:hint="eastAsia" w:ascii="宋体" w:hAnsi="宋体" w:cs="宋体"/>
          <w:b/>
          <w:sz w:val="24"/>
          <w:szCs w:val="24"/>
          <w:lang w:val="en-US" w:eastAsia="zh-CN"/>
        </w:rPr>
        <w:t>4.2具体要求</w:t>
      </w:r>
    </w:p>
    <w:p>
      <w:pPr>
        <w:pStyle w:val="105"/>
        <w:spacing w:line="400" w:lineRule="exact"/>
        <w:ind w:left="42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4.2.1蔬菜类：</w:t>
      </w:r>
    </w:p>
    <w:p>
      <w:pPr>
        <w:pStyle w:val="105"/>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外观应新鲜、无变质、不腐烂，做到去根、去菜帮、去粗垃圾。品质应符合GB2762《食品安全国家标准 食品中污染物限量》、GB2763《食品安全国家标准 食品农药最大残留限量》的规定，每批次应随批附有合格证明文件及产地或者来源证明。</w:t>
      </w:r>
    </w:p>
    <w:p>
      <w:pPr>
        <w:spacing w:line="400" w:lineRule="exact"/>
        <w:ind w:firstLine="480" w:firstLineChars="200"/>
        <w:rPr>
          <w:rFonts w:ascii="宋体" w:hAnsi="宋体" w:cs="宋体"/>
          <w:sz w:val="24"/>
          <w:szCs w:val="24"/>
        </w:rPr>
      </w:pPr>
      <w:r>
        <w:rPr>
          <w:rFonts w:hint="eastAsia" w:ascii="宋体" w:hAnsi="宋体" w:cs="宋体"/>
          <w:sz w:val="24"/>
          <w:szCs w:val="24"/>
        </w:rPr>
        <w:t>4.2</w:t>
      </w:r>
      <w:r>
        <w:rPr>
          <w:rFonts w:hint="eastAsia" w:ascii="宋体" w:hAnsi="宋体" w:cs="宋体"/>
          <w:sz w:val="24"/>
          <w:szCs w:val="24"/>
          <w:lang w:val="en-US" w:eastAsia="zh-CN"/>
        </w:rPr>
        <w:t>.</w:t>
      </w:r>
      <w:r>
        <w:rPr>
          <w:rFonts w:hint="eastAsia" w:ascii="宋体" w:hAnsi="宋体" w:cs="宋体"/>
          <w:sz w:val="24"/>
          <w:szCs w:val="24"/>
        </w:rPr>
        <w:t>2鲜蛋类：</w:t>
      </w:r>
    </w:p>
    <w:p>
      <w:pPr>
        <w:spacing w:line="400" w:lineRule="exact"/>
        <w:ind w:firstLine="480" w:firstLineChars="200"/>
        <w:rPr>
          <w:rFonts w:ascii="宋体" w:hAnsi="宋体" w:cs="宋体"/>
          <w:sz w:val="24"/>
          <w:szCs w:val="24"/>
        </w:rPr>
      </w:pPr>
      <w:r>
        <w:rPr>
          <w:rFonts w:hint="eastAsia" w:ascii="宋体" w:hAnsi="宋体" w:cs="宋体"/>
          <w:sz w:val="24"/>
          <w:szCs w:val="24"/>
        </w:rPr>
        <w:t>鲜蛋类产品外壳应有光泽，用光照,能透光,呈桔红色,气室小而透亮,蛋黄轮廓完整清晰,无斑点；用鼻闻,清新、无异味；将蛋轻轻摇动,听不到声音或感觉不到振动。品质应符合GB274</w:t>
      </w:r>
      <w:r>
        <w:rPr>
          <w:rFonts w:hint="eastAsia" w:ascii="宋体" w:hAnsi="宋体" w:cs="宋体"/>
          <w:sz w:val="24"/>
          <w:szCs w:val="24"/>
          <w:lang w:val="en-US" w:eastAsia="zh-CN"/>
        </w:rPr>
        <w:t>9</w:t>
      </w:r>
      <w:r>
        <w:rPr>
          <w:rFonts w:hint="eastAsia" w:ascii="宋体" w:hAnsi="宋体" w:cs="宋体"/>
          <w:sz w:val="24"/>
          <w:szCs w:val="24"/>
        </w:rPr>
        <w:t>《食品安全国家标准</w:t>
      </w:r>
      <w:r>
        <w:rPr>
          <w:rFonts w:hint="eastAsia" w:ascii="宋体" w:hAnsi="宋体" w:cs="宋体"/>
          <w:sz w:val="24"/>
          <w:szCs w:val="24"/>
          <w:lang w:val="en-US" w:eastAsia="zh-CN"/>
        </w:rPr>
        <w:t>蛋与蛋制品</w:t>
      </w:r>
      <w:r>
        <w:rPr>
          <w:rFonts w:hint="eastAsia" w:ascii="宋体" w:hAnsi="宋体" w:cs="宋体"/>
          <w:sz w:val="24"/>
          <w:szCs w:val="24"/>
        </w:rPr>
        <w:t>》的要求。每批次应随批附有合格证明文件及产地或者来源证明。</w:t>
      </w:r>
    </w:p>
    <w:p>
      <w:pPr>
        <w:spacing w:line="400" w:lineRule="exact"/>
        <w:ind w:firstLine="480" w:firstLineChars="200"/>
        <w:rPr>
          <w:rFonts w:ascii="宋体" w:hAnsi="宋体" w:cs="宋体"/>
          <w:sz w:val="24"/>
          <w:szCs w:val="24"/>
        </w:rPr>
      </w:pPr>
      <w:r>
        <w:rPr>
          <w:rFonts w:hint="eastAsia" w:ascii="宋体" w:hAnsi="宋体" w:cs="宋体"/>
          <w:sz w:val="24"/>
          <w:szCs w:val="24"/>
        </w:rPr>
        <w:t>4.2.3河鲜类：</w:t>
      </w:r>
    </w:p>
    <w:p>
      <w:pPr>
        <w:spacing w:line="400" w:lineRule="exact"/>
        <w:ind w:firstLine="480" w:firstLineChars="200"/>
        <w:rPr>
          <w:rFonts w:ascii="宋体" w:hAnsi="宋体" w:cs="宋体"/>
          <w:sz w:val="24"/>
          <w:szCs w:val="24"/>
        </w:rPr>
      </w:pPr>
      <w:r>
        <w:rPr>
          <w:rFonts w:hint="eastAsia" w:ascii="宋体" w:hAnsi="宋体" w:cs="宋体"/>
          <w:sz w:val="24"/>
          <w:szCs w:val="24"/>
        </w:rPr>
        <w:t>应鲜活、无变质、无异味，符合国家相关食品卫生要求的产品，每批次应随批附有合格证明文件及产地或者来源证明。</w:t>
      </w:r>
    </w:p>
    <w:p>
      <w:pPr>
        <w:spacing w:line="400" w:lineRule="exact"/>
        <w:ind w:firstLine="480" w:firstLineChars="200"/>
        <w:rPr>
          <w:rFonts w:ascii="宋体" w:hAnsi="宋体" w:cs="宋体"/>
          <w:sz w:val="24"/>
          <w:szCs w:val="24"/>
        </w:rPr>
      </w:pPr>
      <w:r>
        <w:rPr>
          <w:rFonts w:hint="eastAsia" w:ascii="宋体" w:hAnsi="宋体" w:cs="宋体"/>
          <w:sz w:val="24"/>
          <w:szCs w:val="24"/>
        </w:rPr>
        <w:t>4.2.4畜禽肉及副产品：</w:t>
      </w:r>
    </w:p>
    <w:p>
      <w:pPr>
        <w:spacing w:line="400" w:lineRule="exact"/>
        <w:ind w:firstLine="480" w:firstLineChars="200"/>
        <w:rPr>
          <w:rFonts w:ascii="宋体" w:hAnsi="宋体" w:cs="宋体"/>
          <w:sz w:val="24"/>
          <w:szCs w:val="24"/>
        </w:rPr>
      </w:pPr>
      <w:r>
        <w:rPr>
          <w:rFonts w:hint="eastAsia" w:ascii="宋体" w:hAnsi="宋体" w:cs="宋体"/>
          <w:sz w:val="24"/>
          <w:szCs w:val="24"/>
        </w:rPr>
        <w:t>应符合GB2707《食品安全国家标准  鲜（冻）畜、禽产品》，并具有动物检验检疫合格证明或分销凭证。鸡鸭等禽类必须去内脏，脱毛应符合规定，运输须使用符合国家卫生标准的运载工具，运输冷鲜（冻）肉应当使用具有保温措施的车辆，车辆必须要保持清洁、卫生，使用前后要清洗消毒。</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4.2.5水果类：  </w:t>
      </w:r>
    </w:p>
    <w:p>
      <w:pPr>
        <w:spacing w:line="400" w:lineRule="exact"/>
        <w:ind w:firstLine="480" w:firstLineChars="200"/>
        <w:rPr>
          <w:rFonts w:ascii="宋体" w:hAnsi="宋体" w:cs="宋体"/>
          <w:sz w:val="24"/>
          <w:szCs w:val="24"/>
        </w:rPr>
      </w:pPr>
      <w:r>
        <w:rPr>
          <w:rFonts w:hint="eastAsia" w:ascii="宋体" w:hAnsi="宋体" w:cs="宋体"/>
          <w:sz w:val="24"/>
          <w:szCs w:val="24"/>
        </w:rPr>
        <w:t>必须保证新鲜，大小均匀。品质应符合GB2762《食品安全国家标准</w:t>
      </w:r>
      <w:r>
        <w:rPr>
          <w:rFonts w:hint="eastAsia" w:ascii="宋体" w:hAnsi="宋体" w:cs="宋体"/>
          <w:sz w:val="24"/>
          <w:szCs w:val="24"/>
          <w:lang w:val="en-US" w:eastAsia="zh-CN"/>
        </w:rPr>
        <w:t xml:space="preserve"> </w:t>
      </w:r>
      <w:r>
        <w:rPr>
          <w:rFonts w:hint="eastAsia" w:ascii="宋体" w:hAnsi="宋体" w:cs="宋体"/>
          <w:sz w:val="24"/>
          <w:szCs w:val="24"/>
        </w:rPr>
        <w:t>食品中污染物限量》、GB2763《食品安全国家标准 食品农药最大残留限量》的规定，每批次应随批附有合格证明文件及产地或者来源证明。</w:t>
      </w:r>
    </w:p>
    <w:p>
      <w:pPr>
        <w:spacing w:line="400" w:lineRule="exact"/>
        <w:ind w:firstLine="480" w:firstLineChars="200"/>
        <w:rPr>
          <w:rFonts w:ascii="宋体" w:hAnsi="宋体" w:cs="宋体"/>
          <w:sz w:val="24"/>
          <w:szCs w:val="24"/>
        </w:rPr>
      </w:pPr>
      <w:r>
        <w:rPr>
          <w:rFonts w:hint="eastAsia" w:ascii="宋体" w:hAnsi="宋体" w:cs="宋体"/>
          <w:sz w:val="24"/>
          <w:szCs w:val="24"/>
        </w:rPr>
        <w:t>4.2.6进口食用农产品应当提供入境货物检验检疫证明、</w:t>
      </w:r>
      <w:r>
        <w:rPr>
          <w:rFonts w:hint="eastAsia" w:ascii="宋体" w:hAnsi="宋体" w:cs="宋体"/>
          <w:sz w:val="24"/>
          <w:szCs w:val="24"/>
          <w:lang w:val="en-US" w:eastAsia="zh-CN"/>
        </w:rPr>
        <w:t>报关</w:t>
      </w:r>
      <w:r>
        <w:rPr>
          <w:rFonts w:hint="eastAsia" w:ascii="宋体" w:hAnsi="宋体" w:cs="宋体"/>
          <w:sz w:val="24"/>
          <w:szCs w:val="24"/>
        </w:rPr>
        <w:t>单据等证明文件。</w:t>
      </w:r>
    </w:p>
    <w:p>
      <w:pPr>
        <w:spacing w:line="400" w:lineRule="exact"/>
        <w:ind w:firstLine="480" w:firstLineChars="200"/>
        <w:rPr>
          <w:rFonts w:ascii="宋体" w:hAnsi="宋体" w:cs="宋体"/>
          <w:sz w:val="24"/>
          <w:szCs w:val="24"/>
        </w:rPr>
      </w:pPr>
      <w:r>
        <w:rPr>
          <w:rFonts w:hint="eastAsia" w:ascii="宋体" w:hAnsi="宋体" w:cs="宋体"/>
          <w:sz w:val="24"/>
          <w:szCs w:val="24"/>
        </w:rPr>
        <w:t>4.2.7豆制品类：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4.2.8干货类：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4.2.9调味品类：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4.2.10冷冻食品类：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4.2.11腌腊制品类：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4.2.12年糕、米面类：</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4.2.13大米：</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质量等级应达到或超过国家标准GB1354《大米》中质量等级为“一级”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4.2.14面粉:</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生产企业应具有该品种有效期内的《食品生产许可证》或《食品加工小作坊登记证》，产品各项标准应符合GB/T 1355-2021《小麦粉》中质量等级为“一级”的要求,每批次应提供该批次产品的质量合格证明文件。产品包装、标签标识应符合相关食品安全国家标准的要求。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4.2.15食用植物油（菜籽油、大豆油、葵花籽油、玉米油、米糠油、棉籽油、油茶籽油、花生油等）：</w:t>
      </w:r>
    </w:p>
    <w:p>
      <w:pPr>
        <w:spacing w:line="400" w:lineRule="exact"/>
        <w:ind w:firstLine="480" w:firstLineChars="200"/>
        <w:rPr>
          <w:rFonts w:ascii="宋体" w:hAnsi="宋体" w:cs="宋体"/>
          <w:sz w:val="24"/>
          <w:szCs w:val="24"/>
        </w:rPr>
      </w:pPr>
      <w:r>
        <w:rPr>
          <w:rFonts w:hint="eastAsia" w:ascii="宋体" w:hAnsi="宋体" w:cs="宋体"/>
          <w:sz w:val="24"/>
          <w:szCs w:val="24"/>
        </w:rPr>
        <w:t>生产企业应具有该品种有效期内的《食品生产许可证》或《食品加工小作坊登记证》，每批次应提供该批次产品的质量合格证明文件。产品包装、标签标识应符合相关食品安全国家标准的要求。</w:t>
      </w:r>
    </w:p>
    <w:p>
      <w:pPr>
        <w:spacing w:line="400" w:lineRule="exact"/>
        <w:ind w:firstLine="480" w:firstLineChars="200"/>
        <w:rPr>
          <w:rFonts w:ascii="宋体" w:hAnsi="宋体" w:cs="宋体"/>
          <w:sz w:val="24"/>
          <w:szCs w:val="24"/>
        </w:rPr>
      </w:pPr>
      <w:r>
        <w:rPr>
          <w:rFonts w:hint="eastAsia" w:ascii="宋体" w:hAnsi="宋体" w:cs="宋体"/>
          <w:sz w:val="24"/>
          <w:szCs w:val="24"/>
        </w:rPr>
        <w:t>其中大豆油、玉米油、菜籽油原料应为非转基因产品，产品质量应符合其包装上明示的产品标准要求及相应的国家食品安全标准要求，如果标准中有质量等级规定的，质量等级应达到或超过该品种食用植物油标准中最高等级的要求。</w:t>
      </w:r>
    </w:p>
    <w:p>
      <w:pPr>
        <w:spacing w:line="400" w:lineRule="exact"/>
        <w:ind w:firstLine="480" w:firstLineChars="200"/>
        <w:rPr>
          <w:rFonts w:ascii="宋体" w:hAnsi="宋体" w:cs="宋体"/>
          <w:sz w:val="24"/>
          <w:szCs w:val="24"/>
        </w:rPr>
      </w:pPr>
      <w:r>
        <w:rPr>
          <w:rFonts w:hint="eastAsia" w:ascii="宋体" w:hAnsi="宋体" w:cs="宋体"/>
          <w:sz w:val="24"/>
          <w:szCs w:val="24"/>
        </w:rPr>
        <w:t>4.2.16乳制品类：</w:t>
      </w:r>
    </w:p>
    <w:p>
      <w:pPr>
        <w:spacing w:line="400" w:lineRule="exact"/>
        <w:ind w:firstLine="480" w:firstLineChars="200"/>
        <w:rPr>
          <w:rFonts w:ascii="宋体" w:hAnsi="宋体" w:cs="宋体"/>
          <w:sz w:val="24"/>
          <w:szCs w:val="24"/>
        </w:rPr>
      </w:pPr>
      <w:r>
        <w:rPr>
          <w:rFonts w:hint="eastAsia" w:ascii="宋体" w:hAnsi="宋体" w:cs="宋体"/>
          <w:sz w:val="24"/>
          <w:szCs w:val="24"/>
        </w:rPr>
        <w:t>指乳制品中的液体乳。生产企业应具有该品种有效期内的生产许可证，每批次应提供该批次产品的质量合格证明文件。产品包装、标签、标识应符合相关食品安全国家标准的要求。</w:t>
      </w:r>
    </w:p>
    <w:p>
      <w:pPr>
        <w:spacing w:line="400" w:lineRule="exact"/>
        <w:ind w:firstLine="482" w:firstLineChars="200"/>
        <w:rPr>
          <w:rFonts w:ascii="宋体" w:hAnsi="宋体" w:cs="宋体"/>
          <w:sz w:val="24"/>
          <w:szCs w:val="24"/>
        </w:rPr>
      </w:pPr>
      <w:r>
        <w:rPr>
          <w:rFonts w:hint="eastAsia" w:ascii="宋体" w:hAnsi="宋体" w:cs="宋体"/>
          <w:b/>
          <w:bCs/>
          <w:sz w:val="24"/>
          <w:szCs w:val="24"/>
        </w:rPr>
        <w:t>5．质保期：</w:t>
      </w:r>
      <w:r>
        <w:rPr>
          <w:rFonts w:hint="eastAsia" w:ascii="宋体" w:hAnsi="宋体" w:cs="宋体"/>
          <w:sz w:val="24"/>
          <w:szCs w:val="24"/>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rPr>
        <w:t>5.1 中标人提供的服务质量保证期自合同签订之日起至合同履行完毕止。</w:t>
      </w:r>
    </w:p>
    <w:p>
      <w:pPr>
        <w:spacing w:line="400" w:lineRule="exact"/>
        <w:ind w:firstLine="480" w:firstLineChars="200"/>
        <w:rPr>
          <w:rFonts w:ascii="宋体" w:hAnsi="宋体" w:cs="宋体"/>
          <w:sz w:val="24"/>
          <w:szCs w:val="24"/>
        </w:rPr>
      </w:pPr>
      <w:r>
        <w:rPr>
          <w:rFonts w:hint="eastAsia" w:ascii="宋体" w:hAnsi="宋体" w:cs="宋体"/>
          <w:sz w:val="24"/>
          <w:szCs w:val="24"/>
        </w:rPr>
        <w:t>5.2为保障产品质量，中标人应提供生产合格的产品，</w:t>
      </w:r>
      <w:r>
        <w:rPr>
          <w:rFonts w:hint="eastAsia" w:ascii="宋体" w:hAnsi="宋体" w:eastAsia="宋体" w:cs="宋体"/>
          <w:color w:val="auto"/>
          <w:kern w:val="2"/>
          <w:sz w:val="24"/>
          <w:szCs w:val="24"/>
          <w:lang w:val="zh-CN" w:eastAsia="zh-CN" w:bidi="ar-SA"/>
        </w:rPr>
        <w:t>配送到食堂时食品有效期在该食品保质期限的</w:t>
      </w:r>
      <w:r>
        <w:rPr>
          <w:rFonts w:hint="eastAsia" w:ascii="宋体" w:hAnsi="宋体" w:cs="宋体"/>
          <w:color w:val="auto"/>
          <w:kern w:val="2"/>
          <w:sz w:val="24"/>
          <w:szCs w:val="24"/>
          <w:lang w:val="en-US" w:eastAsia="zh-CN" w:bidi="ar-SA"/>
        </w:rPr>
        <w:t>三分之一之前</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5.3 鲜活类蔬菜、水产类产品必须是当天新鲜产品。</w:t>
      </w:r>
    </w:p>
    <w:p>
      <w:pPr>
        <w:spacing w:line="400" w:lineRule="exact"/>
        <w:ind w:firstLine="482" w:firstLineChars="200"/>
        <w:rPr>
          <w:rFonts w:ascii="宋体" w:hAnsi="宋体" w:cs="宋体"/>
          <w:b/>
          <w:sz w:val="24"/>
          <w:szCs w:val="24"/>
        </w:rPr>
      </w:pPr>
      <w:r>
        <w:rPr>
          <w:rFonts w:hint="eastAsia" w:ascii="宋体" w:hAnsi="宋体" w:cs="宋体"/>
          <w:b/>
          <w:sz w:val="24"/>
          <w:szCs w:val="24"/>
        </w:rPr>
        <w:t>6．服务要求：</w:t>
      </w:r>
    </w:p>
    <w:p>
      <w:pPr>
        <w:spacing w:line="400" w:lineRule="exact"/>
        <w:ind w:firstLine="480" w:firstLineChars="200"/>
        <w:rPr>
          <w:rFonts w:ascii="宋体" w:hAnsi="宋体" w:cs="宋体"/>
          <w:sz w:val="24"/>
          <w:szCs w:val="24"/>
        </w:rPr>
      </w:pPr>
      <w:r>
        <w:rPr>
          <w:rFonts w:hint="eastAsia" w:ascii="宋体" w:hAnsi="宋体" w:cs="宋体"/>
          <w:sz w:val="24"/>
          <w:szCs w:val="24"/>
        </w:rPr>
        <w:t>6.1 投标人应严把食品进货关，严格执行食品经营操作规范，不采购、不使用、不制售有毒有害食品、假冒伪劣食品以及其它国家明令禁止生产经营的食品，及时清理过期、变质及其他不符合食品安全标准的食品，保障食品质量安全。并制订、实施具体的质量保证措施及相关服务的承诺。</w:t>
      </w:r>
    </w:p>
    <w:p>
      <w:pPr>
        <w:spacing w:line="400" w:lineRule="exact"/>
        <w:ind w:firstLine="480" w:firstLineChars="200"/>
        <w:rPr>
          <w:rFonts w:ascii="宋体" w:hAnsi="宋体" w:cs="宋体"/>
          <w:sz w:val="24"/>
          <w:szCs w:val="24"/>
        </w:rPr>
      </w:pPr>
      <w:r>
        <w:rPr>
          <w:rFonts w:hint="eastAsia" w:ascii="宋体" w:hAnsi="宋体" w:cs="宋体"/>
          <w:sz w:val="24"/>
          <w:szCs w:val="24"/>
        </w:rPr>
        <w:t>6.2 持有有效期内的食品经营许可证、厂家的代理授权书，具备较强的供货能力、良好的企业信誉及售后服务能力。</w:t>
      </w:r>
    </w:p>
    <w:p>
      <w:pPr>
        <w:spacing w:line="400" w:lineRule="exact"/>
        <w:ind w:firstLine="480" w:firstLineChars="200"/>
        <w:rPr>
          <w:rFonts w:ascii="宋体" w:hAnsi="宋体" w:cs="宋体"/>
          <w:sz w:val="24"/>
          <w:szCs w:val="24"/>
        </w:rPr>
      </w:pPr>
      <w:r>
        <w:rPr>
          <w:rFonts w:hint="eastAsia" w:ascii="宋体" w:hAnsi="宋体" w:cs="宋体"/>
          <w:sz w:val="24"/>
          <w:szCs w:val="24"/>
        </w:rPr>
        <w:t>6.3食品贮存、运输有温度、湿度等控制要求的，应当具备保温、冷藏或者冷冻等设备设施，并保持有效运行。食品贮存、运输过程中，不得非法添加非食用化学物质和其他可能危害人体健康的物质。</w:t>
      </w:r>
    </w:p>
    <w:p>
      <w:pPr>
        <w:pStyle w:val="58"/>
        <w:ind w:firstLineChars="200"/>
        <w:rPr>
          <w:sz w:val="24"/>
          <w:szCs w:val="24"/>
        </w:rPr>
      </w:pPr>
      <w:r>
        <w:rPr>
          <w:rFonts w:hint="eastAsia" w:ascii="宋体" w:hAnsi="宋体" w:eastAsia="宋体" w:cs="宋体"/>
          <w:kern w:val="2"/>
          <w:sz w:val="24"/>
          <w:szCs w:val="24"/>
          <w:lang w:val="en-US" w:eastAsia="zh-CN" w:bidi="ar-SA"/>
        </w:rPr>
        <w:t>6.4</w:t>
      </w:r>
      <w:r>
        <w:rPr>
          <w:rFonts w:hint="eastAsia" w:ascii="宋体" w:hAnsi="宋体" w:cs="宋体"/>
          <w:bCs/>
          <w:sz w:val="24"/>
          <w:szCs w:val="24"/>
        </w:rPr>
        <w:t>冷藏专用厢式货车</w:t>
      </w:r>
      <w:r>
        <w:rPr>
          <w:rFonts w:hint="eastAsia"/>
          <w:sz w:val="24"/>
          <w:szCs w:val="24"/>
        </w:rPr>
        <w:t>的配备必须按照招标文件的要求（制冷要求、外观要求等）以</w:t>
      </w:r>
      <w:r>
        <w:rPr>
          <w:rFonts w:hint="eastAsia" w:ascii="宋体" w:hAnsi="宋体" w:cs="宋体"/>
          <w:bCs/>
          <w:sz w:val="24"/>
          <w:szCs w:val="24"/>
        </w:rPr>
        <w:t>满足配送的实际需求为准。</w:t>
      </w:r>
    </w:p>
    <w:p>
      <w:pPr>
        <w:spacing w:line="400" w:lineRule="exact"/>
        <w:ind w:firstLine="480" w:firstLineChars="200"/>
        <w:rPr>
          <w:rFonts w:ascii="宋体" w:hAnsi="宋体" w:cs="宋体"/>
          <w:sz w:val="24"/>
          <w:szCs w:val="24"/>
        </w:rPr>
      </w:pPr>
      <w:r>
        <w:rPr>
          <w:rFonts w:hint="eastAsia" w:ascii="宋体" w:hAnsi="宋体" w:cs="宋体"/>
          <w:sz w:val="24"/>
          <w:szCs w:val="24"/>
        </w:rPr>
        <w:t>6.5 能提供配送食品的检测报告或食品检验合格证。</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6.6 </w:t>
      </w:r>
      <w:r>
        <w:rPr>
          <w:rFonts w:hint="eastAsia" w:ascii="宋体" w:hAnsi="宋体" w:cs="宋体"/>
          <w:sz w:val="24"/>
          <w:szCs w:val="24"/>
          <w:lang w:eastAsia="zh-CN"/>
        </w:rPr>
        <w:t>采购人员、配送人员等持健康证上岗</w:t>
      </w:r>
      <w:r>
        <w:rPr>
          <w:rFonts w:hint="eastAsia" w:ascii="宋体" w:hAnsi="宋体" w:cs="宋体"/>
          <w:sz w:val="24"/>
          <w:szCs w:val="24"/>
        </w:rPr>
        <w:t>。</w:t>
      </w:r>
    </w:p>
    <w:p>
      <w:pPr>
        <w:spacing w:line="400" w:lineRule="exact"/>
        <w:ind w:firstLine="480" w:firstLineChars="200"/>
        <w:rPr>
          <w:rFonts w:ascii="宋体" w:hAnsi="宋体" w:cs="宋体"/>
          <w:sz w:val="24"/>
          <w:szCs w:val="24"/>
          <w:highlight w:val="cyan"/>
        </w:rPr>
      </w:pPr>
      <w:r>
        <w:rPr>
          <w:rFonts w:hint="eastAsia" w:ascii="宋体" w:hAnsi="宋体" w:cs="宋体"/>
          <w:sz w:val="24"/>
          <w:szCs w:val="24"/>
        </w:rPr>
        <w:t>6.7 严格遵守《食品安全法》、《</w:t>
      </w:r>
      <w:r>
        <w:rPr>
          <w:rFonts w:hint="eastAsia" w:ascii="宋体" w:hAnsi="宋体" w:cs="宋体"/>
          <w:sz w:val="24"/>
          <w:szCs w:val="24"/>
          <w:lang w:eastAsia="zh-CN"/>
        </w:rPr>
        <w:t>食堂</w:t>
      </w:r>
      <w:r>
        <w:rPr>
          <w:rFonts w:hint="eastAsia" w:ascii="宋体" w:hAnsi="宋体" w:cs="宋体"/>
          <w:sz w:val="24"/>
          <w:szCs w:val="24"/>
        </w:rPr>
        <w:t>食品安全与营养健康管理规定》等相关法律法规的规定，</w:t>
      </w:r>
      <w:r>
        <w:rPr>
          <w:rFonts w:hint="eastAsia" w:ascii="宋体" w:hAnsi="宋体"/>
          <w:bCs/>
          <w:sz w:val="24"/>
          <w:szCs w:val="24"/>
        </w:rPr>
        <w:t>禁止采购配送下列食材进入</w:t>
      </w:r>
      <w:r>
        <w:rPr>
          <w:rFonts w:hint="eastAsia" w:ascii="宋体" w:hAnsi="宋体"/>
          <w:bCs/>
          <w:sz w:val="24"/>
          <w:szCs w:val="24"/>
          <w:lang w:eastAsia="zh-CN"/>
        </w:rPr>
        <w:t>食</w:t>
      </w:r>
      <w:r>
        <w:rPr>
          <w:rFonts w:hint="eastAsia" w:ascii="宋体" w:hAnsi="宋体"/>
          <w:bCs/>
          <w:sz w:val="24"/>
          <w:szCs w:val="24"/>
          <w:highlight w:val="none"/>
          <w:lang w:eastAsia="zh-CN"/>
        </w:rPr>
        <w:t>堂</w:t>
      </w:r>
      <w:r>
        <w:rPr>
          <w:rFonts w:hint="eastAsia" w:ascii="宋体" w:hAnsi="宋体" w:cs="宋体"/>
          <w:sz w:val="24"/>
          <w:szCs w:val="24"/>
          <w:highlight w:val="none"/>
        </w:rPr>
        <w:t>：</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00" w:lineRule="exact"/>
        <w:ind w:firstLine="480" w:firstLineChars="200"/>
        <w:rPr>
          <w:rFonts w:ascii="宋体" w:hAnsi="宋体" w:cs="宋体"/>
          <w:sz w:val="24"/>
          <w:szCs w:val="24"/>
        </w:rPr>
      </w:pPr>
      <w:r>
        <w:rPr>
          <w:rFonts w:hint="eastAsia" w:ascii="宋体" w:hAnsi="宋体" w:cs="宋体"/>
          <w:sz w:val="24"/>
          <w:szCs w:val="24"/>
        </w:rPr>
        <w:t>（3）含有致病性寄生虫、微生物或者微生物含量超过国家限定标准的。</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（4）未经动物检疫部门检疫、检验或者检疫、检验不合格的肉类及其制品。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（5）病死、毒死或者死因不明的禽、畜、兽、水产动物等及其制品。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（6）掺假、掺杂、伪造，影响营养、卫生的。 </w:t>
      </w:r>
    </w:p>
    <w:p>
      <w:pPr>
        <w:spacing w:line="400" w:lineRule="exact"/>
        <w:ind w:firstLine="480" w:firstLineChars="200"/>
        <w:rPr>
          <w:rFonts w:ascii="宋体" w:hAnsi="宋体" w:cs="宋体"/>
          <w:sz w:val="24"/>
          <w:szCs w:val="24"/>
        </w:rPr>
      </w:pPr>
      <w:r>
        <w:rPr>
          <w:rFonts w:hint="eastAsia" w:ascii="宋体" w:hAnsi="宋体" w:cs="宋体"/>
          <w:sz w:val="24"/>
          <w:szCs w:val="24"/>
        </w:rPr>
        <w:t>（7）用非食品原料加工的，加入非食用物质或者将非食品当作食品的。</w:t>
      </w:r>
    </w:p>
    <w:p>
      <w:pPr>
        <w:spacing w:line="400" w:lineRule="exact"/>
        <w:ind w:firstLine="480" w:firstLineChars="200"/>
        <w:rPr>
          <w:rFonts w:ascii="宋体" w:hAnsi="宋体" w:cs="宋体"/>
          <w:sz w:val="24"/>
          <w:szCs w:val="24"/>
        </w:rPr>
      </w:pPr>
      <w:r>
        <w:rPr>
          <w:rFonts w:hint="eastAsia" w:ascii="宋体" w:hAnsi="宋体" w:cs="宋体"/>
          <w:sz w:val="24"/>
          <w:szCs w:val="24"/>
        </w:rPr>
        <w:t>（8）超过保质期限的。</w:t>
      </w:r>
    </w:p>
    <w:p>
      <w:pPr>
        <w:spacing w:line="400" w:lineRule="exact"/>
        <w:ind w:firstLine="480" w:firstLineChars="200"/>
        <w:rPr>
          <w:rFonts w:ascii="宋体" w:hAnsi="宋体" w:cs="宋体"/>
          <w:sz w:val="24"/>
          <w:szCs w:val="24"/>
        </w:rPr>
      </w:pPr>
      <w:r>
        <w:rPr>
          <w:rFonts w:hint="eastAsia" w:ascii="宋体" w:hAnsi="宋体" w:cs="宋体"/>
          <w:sz w:val="24"/>
          <w:szCs w:val="24"/>
        </w:rPr>
        <w:t>（9）其他违反法律法规的。</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6.8 </w:t>
      </w:r>
      <w:r>
        <w:rPr>
          <w:rFonts w:hint="eastAsia" w:ascii="宋体" w:hAnsi="宋体" w:cs="宋体"/>
          <w:kern w:val="0"/>
          <w:sz w:val="24"/>
          <w:szCs w:val="24"/>
          <w:lang w:val="zh-CN"/>
        </w:rPr>
        <w:t>其他服务内容包括：</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）服务的应急措施及其他特殊服务。</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）优惠承诺和特色服务等。</w:t>
      </w:r>
    </w:p>
    <w:p>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）无条件响应采购单位提出的补货、退货、换货要求。</w:t>
      </w:r>
    </w:p>
    <w:p>
      <w:pPr>
        <w:tabs>
          <w:tab w:val="left" w:pos="9751"/>
        </w:tabs>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6.9</w:t>
      </w:r>
      <w:r>
        <w:rPr>
          <w:rFonts w:hint="eastAsia" w:ascii="宋体" w:hAnsi="宋体" w:cs="宋体"/>
          <w:sz w:val="24"/>
          <w:szCs w:val="24"/>
          <w:highlight w:val="none"/>
          <w:lang w:eastAsia="zh-CN"/>
        </w:rPr>
        <w:t>中标人</w:t>
      </w:r>
      <w:r>
        <w:rPr>
          <w:rFonts w:hint="eastAsia" w:ascii="宋体" w:hAnsi="宋体" w:eastAsia="宋体" w:cs="宋体"/>
          <w:color w:val="auto"/>
          <w:kern w:val="2"/>
          <w:sz w:val="24"/>
          <w:szCs w:val="24"/>
          <w:highlight w:val="none"/>
          <w:lang w:val="zh-CN" w:eastAsia="zh-CN" w:bidi="ar-SA"/>
        </w:rPr>
        <w:t>必须按照</w:t>
      </w:r>
      <w:r>
        <w:rPr>
          <w:rFonts w:hint="eastAsia" w:ascii="宋体" w:hAnsi="宋体" w:eastAsia="宋体" w:cs="宋体"/>
          <w:color w:val="auto"/>
          <w:kern w:val="2"/>
          <w:sz w:val="24"/>
          <w:szCs w:val="24"/>
          <w:highlight w:val="none"/>
          <w:lang w:val="en-US" w:eastAsia="zh-CN" w:bidi="ar-SA"/>
        </w:rPr>
        <w:t>杭州市临安区人民政府锦城街道办事处</w:t>
      </w:r>
      <w:r>
        <w:rPr>
          <w:rFonts w:hint="eastAsia" w:ascii="宋体" w:hAnsi="宋体" w:eastAsia="宋体" w:cs="宋体"/>
          <w:color w:val="auto"/>
          <w:kern w:val="2"/>
          <w:sz w:val="24"/>
          <w:szCs w:val="24"/>
          <w:highlight w:val="none"/>
          <w:lang w:val="zh-CN" w:eastAsia="zh-CN" w:bidi="ar-SA"/>
        </w:rPr>
        <w:t>食堂管理人员提供的菜单按时配送，供应商不得更改菜单和配送数量。</w:t>
      </w:r>
    </w:p>
    <w:p>
      <w:pPr>
        <w:spacing w:line="400" w:lineRule="exact"/>
        <w:ind w:firstLine="480" w:firstLineChars="200"/>
        <w:rPr>
          <w:rFonts w:ascii="宋体" w:hAnsi="宋体" w:cs="宋体"/>
          <w:sz w:val="24"/>
          <w:szCs w:val="24"/>
        </w:rPr>
      </w:pPr>
      <w:r>
        <w:rPr>
          <w:rFonts w:hint="eastAsia" w:ascii="宋体" w:hAnsi="宋体" w:cs="宋体"/>
          <w:sz w:val="24"/>
          <w:szCs w:val="24"/>
          <w:highlight w:val="none"/>
        </w:rPr>
        <w:t>6.10中标人对所有配送的原材料均有详细的进销存</w:t>
      </w:r>
      <w:r>
        <w:rPr>
          <w:rFonts w:hint="eastAsia" w:ascii="宋体" w:hAnsi="宋体" w:cs="宋体"/>
          <w:sz w:val="24"/>
          <w:szCs w:val="24"/>
        </w:rPr>
        <w:t>帐，且能够提供完善的食品质量追溯机制。</w:t>
      </w:r>
    </w:p>
    <w:p>
      <w:pPr>
        <w:spacing w:line="400" w:lineRule="exact"/>
        <w:ind w:firstLine="480" w:firstLineChars="200"/>
        <w:rPr>
          <w:rFonts w:ascii="宋体" w:hAnsi="宋体" w:cs="宋体"/>
          <w:sz w:val="24"/>
          <w:szCs w:val="24"/>
        </w:rPr>
      </w:pPr>
      <w:r>
        <w:rPr>
          <w:rFonts w:hint="eastAsia" w:ascii="宋体" w:hAnsi="宋体" w:cs="宋体"/>
          <w:sz w:val="24"/>
          <w:szCs w:val="24"/>
        </w:rPr>
        <w:t>6.11 中标人应协助有关部门做好对采购方经办人的廉政工作，防止腐败现象的出现。</w:t>
      </w:r>
    </w:p>
    <w:p>
      <w:pPr>
        <w:spacing w:line="400" w:lineRule="exact"/>
        <w:ind w:firstLine="480" w:firstLineChars="200"/>
        <w:rPr>
          <w:rFonts w:ascii="宋体" w:hAnsi="宋体" w:cs="宋体"/>
          <w:sz w:val="24"/>
          <w:szCs w:val="24"/>
        </w:rPr>
      </w:pPr>
      <w:r>
        <w:rPr>
          <w:rFonts w:hint="eastAsia" w:ascii="宋体" w:hAnsi="宋体" w:cs="宋体"/>
          <w:sz w:val="24"/>
          <w:szCs w:val="24"/>
        </w:rPr>
        <w:t>6.12 若因中标人原因，造成公共性食品安全危机的，中标人应负经济和法律上的全部责任。</w:t>
      </w:r>
    </w:p>
    <w:p>
      <w:pPr>
        <w:spacing w:line="400" w:lineRule="exact"/>
        <w:ind w:firstLine="480" w:firstLineChars="200"/>
        <w:rPr>
          <w:rFonts w:ascii="宋体" w:hAnsi="宋体" w:cs="宋体"/>
          <w:sz w:val="24"/>
          <w:szCs w:val="24"/>
        </w:rPr>
      </w:pPr>
      <w:r>
        <w:rPr>
          <w:rFonts w:hint="eastAsia" w:ascii="宋体" w:hAnsi="宋体" w:cs="宋体"/>
          <w:sz w:val="24"/>
          <w:szCs w:val="24"/>
        </w:rPr>
        <w:t>6.1</w:t>
      </w:r>
      <w:r>
        <w:rPr>
          <w:rFonts w:hint="eastAsia" w:ascii="宋体" w:hAnsi="宋体" w:cs="宋体"/>
          <w:sz w:val="24"/>
          <w:szCs w:val="24"/>
          <w:lang w:val="en-US" w:eastAsia="zh-CN"/>
        </w:rPr>
        <w:t>3</w:t>
      </w:r>
      <w:r>
        <w:rPr>
          <w:rFonts w:hint="eastAsia" w:ascii="宋体" w:hAnsi="宋体" w:cs="宋体"/>
          <w:sz w:val="24"/>
          <w:szCs w:val="24"/>
        </w:rPr>
        <w:t>中标人在供货期间，如发生质量纠纷时采购人须对被投诉产品质量进行检测的，不论检测结果如何，因检测产生的相关费用须由中标人承担。</w:t>
      </w:r>
    </w:p>
    <w:p>
      <w:pPr>
        <w:spacing w:line="450" w:lineRule="exact"/>
        <w:ind w:left="4" w:firstLine="525" w:firstLineChars="219"/>
        <w:rPr>
          <w:rFonts w:hint="eastAsia" w:ascii="宋体" w:hAnsi="宋体" w:cs="宋体"/>
          <w:sz w:val="24"/>
          <w:szCs w:val="24"/>
          <w:highlight w:val="none"/>
        </w:rPr>
      </w:pPr>
      <w:r>
        <w:rPr>
          <w:rFonts w:hint="eastAsia" w:ascii="宋体" w:hAnsi="宋体" w:cs="宋体"/>
          <w:sz w:val="24"/>
          <w:szCs w:val="24"/>
          <w:highlight w:val="none"/>
        </w:rPr>
        <w:t>6.1</w:t>
      </w:r>
      <w:r>
        <w:rPr>
          <w:rFonts w:hint="eastAsia" w:ascii="宋体" w:hAnsi="宋体" w:cs="宋体"/>
          <w:sz w:val="24"/>
          <w:szCs w:val="24"/>
          <w:highlight w:val="none"/>
          <w:lang w:val="en-US" w:eastAsia="zh-CN"/>
        </w:rPr>
        <w:t>4</w:t>
      </w:r>
      <w:r>
        <w:rPr>
          <w:rFonts w:hint="eastAsia" w:ascii="宋体" w:hAnsi="宋体" w:cs="宋体"/>
          <w:sz w:val="24"/>
          <w:szCs w:val="24"/>
          <w:highlight w:val="none"/>
        </w:rPr>
        <w:t>为确保</w:t>
      </w:r>
      <w:r>
        <w:rPr>
          <w:rFonts w:hint="eastAsia" w:ascii="宋体" w:hAnsi="宋体" w:cs="宋体"/>
          <w:sz w:val="24"/>
          <w:szCs w:val="24"/>
          <w:highlight w:val="none"/>
          <w:lang w:eastAsia="zh-CN"/>
        </w:rPr>
        <w:t>用餐人员</w:t>
      </w:r>
      <w:r>
        <w:rPr>
          <w:rFonts w:hint="eastAsia" w:ascii="宋体" w:hAnsi="宋体" w:cs="宋体"/>
          <w:sz w:val="24"/>
          <w:szCs w:val="24"/>
          <w:highlight w:val="none"/>
        </w:rPr>
        <w:t>食品安全，中标</w:t>
      </w:r>
      <w:r>
        <w:rPr>
          <w:rFonts w:hint="eastAsia" w:ascii="宋体" w:hAnsi="宋体" w:cs="宋体"/>
          <w:sz w:val="24"/>
          <w:szCs w:val="24"/>
          <w:highlight w:val="none"/>
          <w:lang w:eastAsia="zh-CN"/>
        </w:rPr>
        <w:t>人</w:t>
      </w:r>
      <w:r>
        <w:rPr>
          <w:rFonts w:hint="eastAsia" w:ascii="宋体" w:hAnsi="宋体" w:cs="宋体"/>
          <w:sz w:val="24"/>
          <w:szCs w:val="24"/>
          <w:highlight w:val="none"/>
        </w:rPr>
        <w:t>必须</w:t>
      </w:r>
      <w:r>
        <w:rPr>
          <w:rFonts w:hint="eastAsia" w:ascii="宋体" w:hAnsi="宋体" w:cs="宋体"/>
          <w:sz w:val="24"/>
          <w:szCs w:val="24"/>
          <w:highlight w:val="none"/>
          <w:lang w:eastAsia="zh-CN"/>
        </w:rPr>
        <w:t>在服务期内</w:t>
      </w:r>
      <w:r>
        <w:rPr>
          <w:rFonts w:hint="eastAsia" w:ascii="宋体" w:hAnsi="宋体" w:cs="宋体"/>
          <w:sz w:val="24"/>
          <w:szCs w:val="24"/>
          <w:highlight w:val="none"/>
        </w:rPr>
        <w:t>参投食品安全保险；配送场地安装有监控并具备接入区监控网的条件，便于监督部门实时查看及历史回放一月。</w:t>
      </w:r>
    </w:p>
    <w:p>
      <w:pPr>
        <w:spacing w:line="450" w:lineRule="exact"/>
        <w:ind w:left="4" w:firstLine="525" w:firstLineChars="219"/>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6.15 </w:t>
      </w:r>
      <w:r>
        <w:rPr>
          <w:rFonts w:hint="eastAsia" w:ascii="宋体" w:hAnsi="宋体" w:eastAsia="宋体" w:cs="宋体"/>
          <w:color w:val="auto"/>
          <w:kern w:val="2"/>
          <w:sz w:val="24"/>
          <w:szCs w:val="24"/>
          <w:highlight w:val="none"/>
          <w:lang w:val="zh-CN" w:eastAsia="zh-CN" w:bidi="ar-SA"/>
        </w:rPr>
        <w:t>如出现投诉服务，中标人保证一天内处理好釆购人投诉服务；保证每月1-2次进行回访工作并及时整改。</w:t>
      </w:r>
    </w:p>
    <w:p>
      <w:pPr>
        <w:spacing w:line="400" w:lineRule="exact"/>
        <w:ind w:firstLine="482" w:firstLineChars="200"/>
        <w:rPr>
          <w:rFonts w:ascii="宋体" w:hAnsi="宋体" w:cs="宋体"/>
          <w:b/>
          <w:sz w:val="24"/>
          <w:szCs w:val="24"/>
        </w:rPr>
      </w:pPr>
      <w:r>
        <w:rPr>
          <w:rFonts w:hint="eastAsia" w:ascii="宋体" w:hAnsi="宋体" w:cs="宋体"/>
          <w:b/>
          <w:sz w:val="24"/>
          <w:szCs w:val="24"/>
        </w:rPr>
        <w:t>四、中标人和使用单位（</w:t>
      </w:r>
      <w:r>
        <w:rPr>
          <w:rFonts w:hint="eastAsia" w:ascii="宋体" w:hAnsi="宋体" w:cs="宋体"/>
          <w:b/>
          <w:sz w:val="24"/>
          <w:szCs w:val="24"/>
          <w:lang w:eastAsia="zh-CN"/>
        </w:rPr>
        <w:t>食堂</w:t>
      </w:r>
      <w:r>
        <w:rPr>
          <w:rFonts w:hint="eastAsia" w:ascii="宋体" w:hAnsi="宋体" w:cs="宋体"/>
          <w:b/>
          <w:sz w:val="24"/>
          <w:szCs w:val="24"/>
        </w:rPr>
        <w:t>）工作职责</w:t>
      </w:r>
    </w:p>
    <w:p>
      <w:pPr>
        <w:autoSpaceDE w:val="0"/>
        <w:autoSpaceDN w:val="0"/>
        <w:adjustRightInd w:val="0"/>
        <w:spacing w:line="40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中标人所配送的食品原料不符合招标质量约定要求的，</w:t>
      </w:r>
      <w:r>
        <w:rPr>
          <w:rFonts w:hint="eastAsia" w:ascii="宋体" w:hAnsi="宋体" w:cs="宋体"/>
          <w:kern w:val="0"/>
          <w:sz w:val="24"/>
          <w:szCs w:val="24"/>
          <w:lang w:val="en-US" w:eastAsia="zh-CN"/>
        </w:rPr>
        <w:t>业主</w:t>
      </w:r>
      <w:r>
        <w:rPr>
          <w:rFonts w:hint="eastAsia" w:ascii="宋体" w:hAnsi="宋体" w:cs="宋体"/>
          <w:kern w:val="0"/>
          <w:sz w:val="24"/>
          <w:szCs w:val="24"/>
        </w:rPr>
        <w:t>一经查实，要求中标人及时退换；在储存、</w:t>
      </w:r>
      <w:r>
        <w:rPr>
          <w:rFonts w:hint="eastAsia" w:ascii="宋体" w:hAnsi="宋体" w:cs="宋体"/>
          <w:kern w:val="0"/>
          <w:sz w:val="24"/>
          <w:szCs w:val="24"/>
          <w:highlight w:val="none"/>
        </w:rPr>
        <w:t>运输、销售过程中中标人必须严格按照相关规定程序规范实施，保证不出任何安全问题，否则中标人负全部经济责任和法律责任。造成不良后果的取消配送资格，并把该企业不良行为上报市场监管部门或向公安部门报案。</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中标人履约过程中服务差，送货、退换货不及时的，一经查实，</w:t>
      </w:r>
      <w:r>
        <w:rPr>
          <w:rFonts w:hint="eastAsia" w:ascii="宋体" w:hAnsi="宋体" w:cs="宋体"/>
          <w:kern w:val="0"/>
          <w:sz w:val="24"/>
          <w:szCs w:val="24"/>
          <w:highlight w:val="none"/>
          <w:lang w:val="en-US" w:eastAsia="zh-CN"/>
        </w:rPr>
        <w:t>办事处</w:t>
      </w:r>
      <w:r>
        <w:rPr>
          <w:rFonts w:hint="eastAsia" w:ascii="宋体" w:hAnsi="宋体" w:cs="宋体"/>
          <w:kern w:val="0"/>
          <w:sz w:val="24"/>
          <w:szCs w:val="24"/>
          <w:highlight w:val="none"/>
          <w:lang w:val="zh-CN"/>
        </w:rPr>
        <w:t>事务服务中心有权从履约保证金中扣除因此造成的经济损失，并勒令其整改，整改不及时到位或恶意串通扰乱配送秩序的，将取消其配送资格，并扣除履约保证金。</w:t>
      </w:r>
    </w:p>
    <w:p>
      <w:pPr>
        <w:autoSpaceDE w:val="0"/>
        <w:autoSpaceDN w:val="0"/>
        <w:adjustRightInd w:val="0"/>
        <w:spacing w:line="40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价格约定中最终确定的结算价包含货品及运输、装卸、服务在内的所有费用，在配送过程中发生安全事故，中标人承担一切责任。</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中标人要提高质量意识和服务水平。每次配送，必须</w:t>
      </w:r>
      <w:r>
        <w:rPr>
          <w:rFonts w:hint="eastAsia" w:ascii="宋体" w:hAnsi="宋体" w:cs="宋体"/>
          <w:kern w:val="0"/>
          <w:sz w:val="24"/>
          <w:szCs w:val="24"/>
          <w:highlight w:val="none"/>
          <w:lang w:val="en-US" w:eastAsia="zh-CN"/>
        </w:rPr>
        <w:t>业主</w:t>
      </w:r>
      <w:r>
        <w:rPr>
          <w:rFonts w:hint="eastAsia" w:ascii="宋体" w:hAnsi="宋体" w:cs="宋体"/>
          <w:kern w:val="0"/>
          <w:sz w:val="24"/>
          <w:szCs w:val="24"/>
          <w:highlight w:val="none"/>
        </w:rPr>
        <w:t>提供《配送单》（《配送单》上注明供货日期、食品名称、规格、生产批号、保质期、供货者名称、质量等级、数量、单价、金额等情况）。配送企业要做到分类仓储保鲜、</w:t>
      </w:r>
      <w:r>
        <w:rPr>
          <w:rFonts w:hint="eastAsia" w:ascii="宋体" w:hAnsi="宋体" w:cs="宋体"/>
          <w:kern w:val="0"/>
          <w:sz w:val="24"/>
          <w:szCs w:val="24"/>
          <w:highlight w:val="none"/>
          <w:lang w:eastAsia="zh-CN"/>
        </w:rPr>
        <w:t>合理</w:t>
      </w:r>
      <w:r>
        <w:rPr>
          <w:rFonts w:hint="eastAsia" w:ascii="宋体" w:hAnsi="宋体" w:cs="宋体"/>
          <w:kern w:val="0"/>
          <w:sz w:val="24"/>
          <w:szCs w:val="24"/>
          <w:highlight w:val="none"/>
        </w:rPr>
        <w:t>包装运输，48小时留样备查。</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中标人在</w:t>
      </w:r>
      <w:r>
        <w:rPr>
          <w:rFonts w:hint="eastAsia" w:ascii="宋体" w:hAnsi="宋体" w:cs="宋体"/>
          <w:kern w:val="0"/>
          <w:sz w:val="24"/>
          <w:szCs w:val="24"/>
          <w:highlight w:val="none"/>
          <w:lang w:eastAsia="zh-CN"/>
        </w:rPr>
        <w:t>办事处</w:t>
      </w:r>
      <w:r>
        <w:rPr>
          <w:rFonts w:hint="eastAsia" w:ascii="宋体" w:hAnsi="宋体" w:cs="宋体"/>
          <w:kern w:val="0"/>
          <w:sz w:val="24"/>
          <w:szCs w:val="24"/>
          <w:highlight w:val="none"/>
        </w:rPr>
        <w:t>内运输物品，应遵循</w:t>
      </w:r>
      <w:r>
        <w:rPr>
          <w:rFonts w:hint="eastAsia" w:ascii="宋体" w:hAnsi="宋体" w:cs="宋体"/>
          <w:kern w:val="0"/>
          <w:sz w:val="24"/>
          <w:szCs w:val="24"/>
          <w:highlight w:val="none"/>
          <w:lang w:eastAsia="zh-CN"/>
        </w:rPr>
        <w:t>办事处及食堂</w:t>
      </w:r>
      <w:r>
        <w:rPr>
          <w:rFonts w:hint="eastAsia" w:ascii="宋体" w:hAnsi="宋体" w:cs="宋体"/>
          <w:kern w:val="0"/>
          <w:sz w:val="24"/>
          <w:szCs w:val="24"/>
          <w:highlight w:val="none"/>
        </w:rPr>
        <w:t>规章制度，服从指挥，确保安全。由此造成的安全事故，中标人独立承担一切刑事、民事责任。</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严肃财经纪律，加强廉政建设，经查实发现有受贿、行贿现象，取消配送资格，触犯刑律的，依法追究法律责任。</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w:t>
      </w:r>
      <w:r>
        <w:rPr>
          <w:rFonts w:hint="eastAsia" w:ascii="宋体" w:hAnsi="宋体" w:cs="宋体"/>
          <w:kern w:val="0"/>
          <w:sz w:val="24"/>
          <w:szCs w:val="24"/>
          <w:highlight w:val="none"/>
          <w:lang w:val="en-US" w:eastAsia="zh-CN"/>
        </w:rPr>
        <w:t>.</w:t>
      </w:r>
      <w:r>
        <w:rPr>
          <w:rFonts w:hint="eastAsia" w:ascii="宋体" w:hAnsi="宋体" w:cs="宋体"/>
          <w:color w:val="FF0000"/>
          <w:kern w:val="0"/>
          <w:sz w:val="24"/>
          <w:szCs w:val="24"/>
          <w:highlight w:val="none"/>
        </w:rPr>
        <w:t>提交一定金额的履约保证金（人民币</w:t>
      </w:r>
      <w:r>
        <w:rPr>
          <w:rFonts w:hint="eastAsia" w:ascii="宋体" w:hAnsi="宋体" w:cs="宋体"/>
          <w:color w:val="FF0000"/>
          <w:kern w:val="0"/>
          <w:sz w:val="24"/>
          <w:szCs w:val="24"/>
          <w:highlight w:val="none"/>
          <w:lang w:val="en-US" w:eastAsia="zh-CN"/>
        </w:rPr>
        <w:t>5</w:t>
      </w:r>
      <w:r>
        <w:rPr>
          <w:rFonts w:hint="eastAsia" w:ascii="宋体" w:hAnsi="宋体" w:cs="宋体"/>
          <w:color w:val="FF0000"/>
          <w:kern w:val="0"/>
          <w:sz w:val="24"/>
          <w:szCs w:val="24"/>
          <w:highlight w:val="none"/>
        </w:rPr>
        <w:t>万元）</w:t>
      </w:r>
      <w:r>
        <w:rPr>
          <w:rFonts w:hint="eastAsia" w:ascii="宋体" w:hAnsi="宋体" w:cs="宋体"/>
          <w:kern w:val="0"/>
          <w:sz w:val="24"/>
          <w:szCs w:val="24"/>
          <w:highlight w:val="none"/>
        </w:rPr>
        <w:t>。中标人因提供不合格产品或不按要求配送，影响</w:t>
      </w:r>
      <w:r>
        <w:rPr>
          <w:rFonts w:hint="eastAsia" w:ascii="宋体" w:hAnsi="宋体" w:cs="宋体"/>
          <w:kern w:val="0"/>
          <w:sz w:val="24"/>
          <w:szCs w:val="24"/>
          <w:highlight w:val="none"/>
          <w:lang w:eastAsia="zh-CN"/>
        </w:rPr>
        <w:t>员工</w:t>
      </w:r>
      <w:r>
        <w:rPr>
          <w:rFonts w:hint="eastAsia" w:ascii="宋体" w:hAnsi="宋体" w:cs="宋体"/>
          <w:kern w:val="0"/>
          <w:sz w:val="24"/>
          <w:szCs w:val="24"/>
          <w:highlight w:val="none"/>
        </w:rPr>
        <w:t>正常就餐的，按合同约定扣罚履约保证金（具体见责任追究制度）；造成责任事故的将追究其法律责任。</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8．食堂负责人是食品安全工作直接责任人，对食堂食品安全工作负直接责任。</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如遇食堂不配合配送工作、不讲原则克扣斤两、恶意刁难等不当行为时，中标人有权向</w:t>
      </w:r>
      <w:r>
        <w:rPr>
          <w:rFonts w:hint="eastAsia" w:ascii="宋体" w:hAnsi="宋体" w:cs="宋体"/>
          <w:kern w:val="0"/>
          <w:sz w:val="24"/>
          <w:szCs w:val="24"/>
          <w:highlight w:val="none"/>
          <w:lang w:val="en-US" w:eastAsia="zh-CN"/>
        </w:rPr>
        <w:t>办事处</w:t>
      </w:r>
      <w:r>
        <w:rPr>
          <w:rFonts w:hint="eastAsia" w:ascii="宋体" w:hAnsi="宋体" w:cs="宋体"/>
          <w:kern w:val="0"/>
          <w:sz w:val="24"/>
          <w:szCs w:val="24"/>
          <w:highlight w:val="none"/>
          <w:lang w:val="zh-CN"/>
        </w:rPr>
        <w:t>事务服务中心投诉，一经查实，报</w:t>
      </w:r>
      <w:r>
        <w:rPr>
          <w:rFonts w:hint="eastAsia" w:ascii="宋体" w:hAnsi="宋体" w:cs="宋体"/>
          <w:kern w:val="0"/>
          <w:sz w:val="24"/>
          <w:szCs w:val="24"/>
          <w:highlight w:val="none"/>
          <w:lang w:val="en-US" w:eastAsia="zh-CN"/>
        </w:rPr>
        <w:t>办事处</w:t>
      </w:r>
      <w:r>
        <w:rPr>
          <w:rFonts w:hint="eastAsia" w:ascii="宋体" w:hAnsi="宋体" w:cs="宋体"/>
          <w:kern w:val="0"/>
          <w:sz w:val="24"/>
          <w:szCs w:val="24"/>
          <w:highlight w:val="none"/>
          <w:lang w:val="zh-CN"/>
        </w:rPr>
        <w:t>事务服务中心视情对食堂方做出处理。</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食堂须遵守食堂主副食品原材料配送合同规定，不得在非统一中标人中自行采购；落实人员负责，严把质量关，严格执行验货、出入库和索证索票制度，建好相关台账。</w:t>
      </w:r>
    </w:p>
    <w:p>
      <w:pPr>
        <w:autoSpaceDE w:val="0"/>
        <w:autoSpaceDN w:val="0"/>
        <w:adjustRightInd w:val="0"/>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11.</w:t>
      </w:r>
      <w:r>
        <w:rPr>
          <w:rFonts w:hint="eastAsia" w:ascii="宋体" w:hAnsi="宋体" w:cs="宋体"/>
          <w:kern w:val="0"/>
          <w:sz w:val="24"/>
          <w:szCs w:val="24"/>
          <w:highlight w:val="none"/>
          <w:lang w:val="zh-CN"/>
        </w:rPr>
        <w:t>食堂须建立食堂财务管理制度。认真审核食品价格，控制成本利润。在接收中标人货物时，应认真对食材质量、数量进行验收，验收无误后，</w:t>
      </w:r>
      <w:r>
        <w:rPr>
          <w:rFonts w:hint="eastAsia" w:ascii="宋体" w:hAnsi="宋体" w:cs="宋体"/>
          <w:kern w:val="0"/>
          <w:sz w:val="24"/>
          <w:szCs w:val="24"/>
          <w:highlight w:val="none"/>
        </w:rPr>
        <w:t>在中标人的《配送单》上签收并留一份存档。</w:t>
      </w:r>
    </w:p>
    <w:p>
      <w:pPr>
        <w:autoSpaceDE w:val="0"/>
        <w:autoSpaceDN w:val="0"/>
        <w:adjustRightInd w:val="0"/>
        <w:spacing w:line="40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12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lang w:val="zh-CN"/>
        </w:rPr>
        <w:t>食堂须建好库存日记账。制定每日进货计划，明确送货时间、物品品名及数量。</w:t>
      </w:r>
    </w:p>
    <w:p>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加强食堂员工管理，</w:t>
      </w:r>
      <w:r>
        <w:rPr>
          <w:rFonts w:hint="eastAsia" w:ascii="宋体" w:hAnsi="宋体" w:cs="宋体"/>
          <w:kern w:val="0"/>
          <w:sz w:val="24"/>
          <w:szCs w:val="24"/>
          <w:highlight w:val="none"/>
          <w:lang w:val="zh-CN"/>
        </w:rPr>
        <w:t>中标人应配合食堂</w:t>
      </w:r>
      <w:r>
        <w:rPr>
          <w:rFonts w:hint="eastAsia" w:ascii="宋体" w:hAnsi="宋体" w:cs="宋体"/>
          <w:kern w:val="0"/>
          <w:sz w:val="24"/>
          <w:szCs w:val="24"/>
          <w:highlight w:val="none"/>
        </w:rPr>
        <w:t>做好下单、验收、索票存档等从业人员教育培训工作，提高服务水平。</w:t>
      </w:r>
      <w:r>
        <w:rPr>
          <w:rFonts w:hint="eastAsia" w:ascii="宋体" w:hAnsi="宋体" w:cs="宋体"/>
          <w:kern w:val="0"/>
          <w:sz w:val="24"/>
          <w:szCs w:val="24"/>
          <w:highlight w:val="none"/>
          <w:lang w:val="zh-CN"/>
        </w:rPr>
        <w:t>食堂应妥</w:t>
      </w:r>
      <w:r>
        <w:rPr>
          <w:rFonts w:hint="eastAsia" w:ascii="宋体" w:hAnsi="宋体" w:cs="宋体"/>
          <w:kern w:val="0"/>
          <w:sz w:val="24"/>
          <w:szCs w:val="24"/>
          <w:highlight w:val="none"/>
        </w:rPr>
        <w:t>善处理工作中出现的问题，并及时反馈、汇报。</w:t>
      </w:r>
    </w:p>
    <w:p>
      <w:pPr>
        <w:pStyle w:val="105"/>
        <w:numPr>
          <w:ilvl w:val="0"/>
          <w:numId w:val="0"/>
        </w:numPr>
        <w:autoSpaceDE w:val="0"/>
        <w:autoSpaceDN w:val="0"/>
        <w:adjustRightInd w:val="0"/>
        <w:spacing w:line="400" w:lineRule="exact"/>
        <w:ind w:left="420" w:leftChars="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 xml:space="preserve">五、定价机制： </w:t>
      </w:r>
    </w:p>
    <w:p>
      <w:pPr>
        <w:autoSpaceDE w:val="0"/>
        <w:autoSpaceDN w:val="0"/>
        <w:adjustRightInd w:val="0"/>
        <w:spacing w:line="400" w:lineRule="exact"/>
        <w:ind w:firstLine="480" w:firstLineChars="200"/>
        <w:rPr>
          <w:rFonts w:hint="eastAsia"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1</w:t>
      </w:r>
      <w:r>
        <w:rPr>
          <w:rFonts w:hint="eastAsia" w:ascii="宋体" w:hAnsi="宋体" w:cs="宋体"/>
          <w:color w:val="FF0000"/>
          <w:kern w:val="0"/>
          <w:sz w:val="24"/>
          <w:szCs w:val="24"/>
          <w:highlight w:val="none"/>
          <w:lang w:val="zh-CN" w:eastAsia="zh-CN"/>
        </w:rPr>
        <w:t>.</w:t>
      </w:r>
      <w:r>
        <w:rPr>
          <w:rFonts w:hint="eastAsia" w:ascii="宋体" w:hAnsi="宋体" w:cs="宋体"/>
          <w:color w:val="FF0000"/>
          <w:kern w:val="0"/>
          <w:sz w:val="24"/>
          <w:szCs w:val="24"/>
          <w:highlight w:val="none"/>
          <w:lang w:val="en-US" w:eastAsia="zh-CN"/>
        </w:rPr>
        <w:t>定价：</w:t>
      </w:r>
    </w:p>
    <w:p>
      <w:pPr>
        <w:autoSpaceDE w:val="0"/>
        <w:autoSpaceDN w:val="0"/>
        <w:adjustRightInd w:val="0"/>
        <w:spacing w:line="400" w:lineRule="exact"/>
        <w:ind w:firstLine="480" w:firstLineChars="200"/>
        <w:rPr>
          <w:rFonts w:hint="eastAsia" w:ascii="宋体" w:hAnsi="宋体" w:cs="宋体"/>
          <w:color w:val="FF0000"/>
          <w:kern w:val="0"/>
          <w:sz w:val="24"/>
          <w:szCs w:val="24"/>
          <w:highlight w:val="none"/>
          <w:lang w:eastAsia="zh-CN"/>
        </w:rPr>
      </w:pP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1</w:t>
      </w: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每半年</w:t>
      </w:r>
      <w:r>
        <w:rPr>
          <w:rFonts w:hint="eastAsia" w:ascii="宋体" w:hAnsi="宋体" w:cs="宋体"/>
          <w:color w:val="FF0000"/>
          <w:kern w:val="0"/>
          <w:sz w:val="24"/>
          <w:szCs w:val="24"/>
          <w:highlight w:val="none"/>
        </w:rPr>
        <w:t>统一定价：</w:t>
      </w:r>
      <w:r>
        <w:rPr>
          <w:rFonts w:hint="eastAsia" w:ascii="宋体" w:hAnsi="宋体" w:cs="宋体"/>
          <w:color w:val="FF0000"/>
          <w:kern w:val="0"/>
          <w:sz w:val="24"/>
          <w:szCs w:val="24"/>
          <w:highlight w:val="none"/>
          <w:lang w:eastAsia="zh-CN"/>
        </w:rPr>
        <w:t>粮油类、</w:t>
      </w:r>
      <w:r>
        <w:rPr>
          <w:rFonts w:hint="eastAsia" w:ascii="宋体" w:hAnsi="宋体" w:cs="宋体"/>
          <w:color w:val="FF0000"/>
          <w:kern w:val="0"/>
          <w:sz w:val="24"/>
          <w:szCs w:val="24"/>
          <w:highlight w:val="none"/>
        </w:rPr>
        <w:t>冷冻品、调味品、</w:t>
      </w:r>
      <w:r>
        <w:rPr>
          <w:rFonts w:hint="eastAsia" w:ascii="宋体" w:hAnsi="宋体" w:cs="宋体"/>
          <w:color w:val="FF0000"/>
          <w:kern w:val="0"/>
          <w:sz w:val="24"/>
          <w:szCs w:val="24"/>
          <w:highlight w:val="none"/>
          <w:lang w:val="en-US" w:eastAsia="zh-CN"/>
        </w:rPr>
        <w:t>其它</w:t>
      </w:r>
      <w:r>
        <w:rPr>
          <w:rFonts w:hint="eastAsia" w:ascii="宋体" w:hAnsi="宋体" w:cs="宋体"/>
          <w:color w:val="FF0000"/>
          <w:kern w:val="0"/>
          <w:sz w:val="24"/>
          <w:szCs w:val="24"/>
          <w:highlight w:val="none"/>
        </w:rPr>
        <w:t>类，以</w:t>
      </w:r>
      <w:r>
        <w:rPr>
          <w:rFonts w:hint="eastAsia" w:ascii="宋体" w:hAnsi="宋体" w:cs="宋体"/>
          <w:color w:val="FF0000"/>
          <w:kern w:val="0"/>
          <w:sz w:val="24"/>
          <w:szCs w:val="24"/>
          <w:highlight w:val="none"/>
          <w:lang w:eastAsia="zh-CN"/>
        </w:rPr>
        <w:t>临安浙皖农贸城、天工商厦农贸市场、锦天农贸市场等农贸市场及联华等大型商超的零售价作为基准价。</w:t>
      </w:r>
    </w:p>
    <w:p>
      <w:pPr>
        <w:autoSpaceDE w:val="0"/>
        <w:autoSpaceDN w:val="0"/>
        <w:adjustRightInd w:val="0"/>
        <w:spacing w:line="400" w:lineRule="exact"/>
        <w:ind w:firstLine="480" w:firstLineChars="200"/>
        <w:rPr>
          <w:rFonts w:hint="eastAsia" w:ascii="宋体" w:hAnsi="宋体" w:cs="宋体"/>
          <w:color w:val="FF0000"/>
          <w:kern w:val="0"/>
          <w:sz w:val="24"/>
          <w:szCs w:val="24"/>
          <w:highlight w:val="none"/>
          <w:lang w:eastAsia="zh-CN"/>
        </w:rPr>
      </w:pP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2</w:t>
      </w: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rPr>
        <w:t>每</w:t>
      </w:r>
      <w:r>
        <w:rPr>
          <w:rFonts w:hint="eastAsia" w:ascii="宋体" w:hAnsi="宋体" w:cs="宋体"/>
          <w:color w:val="FF0000"/>
          <w:kern w:val="0"/>
          <w:sz w:val="24"/>
          <w:szCs w:val="24"/>
          <w:highlight w:val="none"/>
          <w:lang w:val="en-US" w:eastAsia="zh-CN"/>
        </w:rPr>
        <w:t>半月</w:t>
      </w:r>
      <w:r>
        <w:rPr>
          <w:rFonts w:hint="eastAsia" w:ascii="宋体" w:hAnsi="宋体" w:cs="宋体"/>
          <w:color w:val="FF0000"/>
          <w:kern w:val="0"/>
          <w:sz w:val="24"/>
          <w:szCs w:val="24"/>
          <w:highlight w:val="none"/>
        </w:rPr>
        <w:t>统一定价：</w:t>
      </w:r>
      <w:r>
        <w:rPr>
          <w:rFonts w:hint="eastAsia" w:ascii="宋体" w:hAnsi="宋体" w:cs="宋体"/>
          <w:color w:val="FF0000"/>
          <w:kern w:val="0"/>
          <w:sz w:val="24"/>
          <w:szCs w:val="24"/>
          <w:highlight w:val="none"/>
          <w:lang w:val="en-US" w:eastAsia="zh-CN"/>
        </w:rPr>
        <w:t>荤菜类、</w:t>
      </w:r>
      <w:r>
        <w:rPr>
          <w:rFonts w:hint="eastAsia" w:ascii="宋体" w:hAnsi="宋体" w:cs="宋体"/>
          <w:color w:val="FF0000"/>
          <w:kern w:val="0"/>
          <w:sz w:val="24"/>
          <w:szCs w:val="24"/>
          <w:highlight w:val="none"/>
        </w:rPr>
        <w:t>蔬</w:t>
      </w:r>
      <w:r>
        <w:rPr>
          <w:rFonts w:hint="eastAsia" w:ascii="宋体" w:hAnsi="宋体" w:cs="宋体"/>
          <w:color w:val="FF0000"/>
          <w:kern w:val="0"/>
          <w:sz w:val="24"/>
          <w:szCs w:val="24"/>
          <w:highlight w:val="none"/>
          <w:lang w:val="en-US" w:eastAsia="zh-CN"/>
        </w:rPr>
        <w:t>果</w:t>
      </w:r>
      <w:r>
        <w:rPr>
          <w:rFonts w:hint="eastAsia" w:ascii="宋体" w:hAnsi="宋体" w:cs="宋体"/>
          <w:color w:val="FF0000"/>
          <w:kern w:val="0"/>
          <w:sz w:val="24"/>
          <w:szCs w:val="24"/>
          <w:highlight w:val="none"/>
        </w:rPr>
        <w:t>类、禽蛋类，以</w:t>
      </w:r>
      <w:r>
        <w:rPr>
          <w:rFonts w:hint="eastAsia" w:ascii="宋体" w:hAnsi="宋体" w:cs="宋体"/>
          <w:color w:val="FF0000"/>
          <w:kern w:val="0"/>
          <w:sz w:val="24"/>
          <w:szCs w:val="24"/>
          <w:highlight w:val="none"/>
          <w:lang w:eastAsia="zh-CN"/>
        </w:rPr>
        <w:t>临安浙皖农贸城、临安天工农贸市场、锦天农贸市场等周边农贸市场及联华等大型商超的零售价作为基准价。</w:t>
      </w:r>
    </w:p>
    <w:p>
      <w:pPr>
        <w:autoSpaceDE w:val="0"/>
        <w:autoSpaceDN w:val="0"/>
        <w:adjustRightInd w:val="0"/>
        <w:spacing w:line="400" w:lineRule="exact"/>
        <w:ind w:firstLine="480" w:firstLineChars="200"/>
        <w:rPr>
          <w:rFonts w:hint="eastAsia"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3</w:t>
      </w: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临时（紧急）配送以及未进入上述农贸市场、大型商超的食堂主副食品原材料的定价：以中标人定价为准，但不得明显高于市场零售价。</w:t>
      </w:r>
    </w:p>
    <w:p>
      <w:pPr>
        <w:autoSpaceDE w:val="0"/>
        <w:autoSpaceDN w:val="0"/>
        <w:adjustRightInd w:val="0"/>
        <w:spacing w:line="400" w:lineRule="exact"/>
        <w:ind w:firstLine="480" w:firstLineChars="200"/>
        <w:rPr>
          <w:rFonts w:hint="eastAsia"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2.调价：保持供货价格相对稳定，相应定价期间内价格不作调整，互相承担风险。</w:t>
      </w:r>
    </w:p>
    <w:p>
      <w:pPr>
        <w:autoSpaceDE w:val="0"/>
        <w:autoSpaceDN w:val="0"/>
        <w:adjustRightInd w:val="0"/>
        <w:spacing w:line="400" w:lineRule="exact"/>
        <w:ind w:firstLine="480" w:firstLineChars="200"/>
        <w:rPr>
          <w:rFonts w:hint="eastAsia" w:ascii="宋体" w:hAnsi="宋体" w:eastAsia="宋体" w:cs="宋体"/>
          <w:color w:val="FF0000"/>
          <w:kern w:val="0"/>
          <w:sz w:val="24"/>
          <w:szCs w:val="24"/>
          <w:highlight w:val="none"/>
          <w:lang w:val="zh-CN"/>
        </w:rPr>
      </w:pPr>
      <w:r>
        <w:rPr>
          <w:rFonts w:hint="eastAsia" w:ascii="宋体" w:hAnsi="宋体" w:cs="宋体"/>
          <w:color w:val="FF0000"/>
          <w:kern w:val="0"/>
          <w:sz w:val="24"/>
          <w:szCs w:val="24"/>
          <w:highlight w:val="none"/>
          <w:lang w:val="en-US" w:eastAsia="zh-CN"/>
        </w:rPr>
        <w:t>3</w:t>
      </w:r>
      <w:r>
        <w:rPr>
          <w:rFonts w:hint="eastAsia" w:ascii="宋体" w:hAnsi="宋体" w:cs="宋体"/>
          <w:color w:val="FF0000"/>
          <w:kern w:val="0"/>
          <w:sz w:val="24"/>
          <w:szCs w:val="24"/>
          <w:highlight w:val="none"/>
          <w:lang w:val="zh-CN"/>
        </w:rPr>
        <w:t>.结算：</w:t>
      </w:r>
      <w:r>
        <w:rPr>
          <w:rFonts w:hint="eastAsia" w:ascii="宋体" w:hAnsi="宋体" w:cs="宋体"/>
          <w:color w:val="FF0000"/>
          <w:kern w:val="0"/>
          <w:sz w:val="24"/>
          <w:szCs w:val="24"/>
          <w:highlight w:val="none"/>
          <w:lang w:val="en-US" w:eastAsia="zh-CN"/>
        </w:rPr>
        <w:t>结算价</w:t>
      </w:r>
      <w:r>
        <w:rPr>
          <w:rFonts w:hint="eastAsia" w:ascii="宋体" w:hAnsi="宋体" w:cs="宋体"/>
          <w:color w:val="FF0000"/>
          <w:kern w:val="0"/>
          <w:sz w:val="24"/>
          <w:szCs w:val="24"/>
          <w:highlight w:val="none"/>
          <w:lang w:val="zh-CN"/>
        </w:rPr>
        <w:t>=</w:t>
      </w:r>
      <w:r>
        <w:rPr>
          <w:rFonts w:hint="eastAsia" w:ascii="宋体" w:hAnsi="宋体" w:cs="宋体"/>
          <w:color w:val="FF0000"/>
          <w:kern w:val="0"/>
          <w:sz w:val="24"/>
          <w:szCs w:val="24"/>
          <w:highlight w:val="none"/>
          <w:lang w:val="zh-CN" w:eastAsia="zh-CN"/>
        </w:rPr>
        <w:t>基准价</w:t>
      </w:r>
      <w:r>
        <w:rPr>
          <w:rFonts w:hint="eastAsia" w:ascii="宋体" w:hAnsi="宋体" w:cs="宋体"/>
          <w:color w:val="FF0000"/>
          <w:kern w:val="0"/>
          <w:sz w:val="24"/>
          <w:szCs w:val="24"/>
          <w:highlight w:val="none"/>
          <w:lang w:val="zh-CN"/>
        </w:rPr>
        <w:t>×投标</w:t>
      </w:r>
      <w:r>
        <w:rPr>
          <w:rFonts w:hint="eastAsia" w:ascii="宋体" w:hAnsi="宋体" w:cs="宋体"/>
          <w:color w:val="FF0000"/>
          <w:kern w:val="0"/>
          <w:sz w:val="24"/>
          <w:szCs w:val="24"/>
          <w:highlight w:val="none"/>
          <w:lang w:val="zh-CN" w:eastAsia="zh-CN"/>
        </w:rPr>
        <w:t>折扣</w:t>
      </w:r>
      <w:r>
        <w:rPr>
          <w:rFonts w:hint="eastAsia" w:ascii="宋体" w:hAnsi="宋体" w:cs="宋体"/>
          <w:color w:val="FF0000"/>
          <w:kern w:val="0"/>
          <w:sz w:val="24"/>
          <w:szCs w:val="24"/>
          <w:highlight w:val="none"/>
          <w:lang w:val="zh-CN"/>
        </w:rPr>
        <w:t>率。</w:t>
      </w:r>
    </w:p>
    <w:p>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六、商务要求</w:t>
      </w:r>
    </w:p>
    <w:tbl>
      <w:tblPr>
        <w:tblStyle w:val="60"/>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3"/>
        <w:gridCol w:w="8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313" w:type="dxa"/>
            <w:noWrap w:val="0"/>
            <w:vAlign w:val="center"/>
          </w:tcPr>
          <w:p>
            <w:pPr>
              <w:spacing w:line="400" w:lineRule="exact"/>
              <w:jc w:val="left"/>
              <w:rPr>
                <w:rFonts w:ascii="宋体" w:hAnsi="宋体" w:cs="宋体"/>
                <w:sz w:val="24"/>
                <w:szCs w:val="24"/>
                <w:highlight w:val="none"/>
              </w:rPr>
            </w:pPr>
            <w:r>
              <w:rPr>
                <w:rFonts w:hint="eastAsia" w:ascii="宋体" w:hAnsi="宋体" w:cs="宋体"/>
                <w:b/>
                <w:sz w:val="24"/>
                <w:szCs w:val="24"/>
                <w:highlight w:val="none"/>
              </w:rPr>
              <w:t>货款支付</w:t>
            </w:r>
          </w:p>
        </w:tc>
        <w:tc>
          <w:tcPr>
            <w:tcW w:w="8042" w:type="dxa"/>
            <w:noWrap w:val="0"/>
            <w:vAlign w:val="center"/>
          </w:tcPr>
          <w:p>
            <w:pPr>
              <w:spacing w:line="400" w:lineRule="exact"/>
              <w:rPr>
                <w:rFonts w:ascii="宋体" w:hAnsi="宋体" w:cs="宋体"/>
                <w:sz w:val="24"/>
                <w:szCs w:val="24"/>
                <w:highlight w:val="none"/>
              </w:rPr>
            </w:pPr>
            <w:r>
              <w:rPr>
                <w:rFonts w:hint="eastAsia" w:ascii="宋体" w:hAnsi="宋体" w:cs="宋体"/>
                <w:kern w:val="0"/>
                <w:sz w:val="24"/>
                <w:szCs w:val="24"/>
                <w:highlight w:val="none"/>
                <w:lang w:val="zh-CN"/>
              </w:rPr>
              <w:t>每月凭结算单（验收人员签字）和每月汇总单，结算一次（节假日顺延），中标人提供与货款等额的正规发票。</w:t>
            </w:r>
            <w:r>
              <w:rPr>
                <w:rFonts w:hint="eastAsia" w:ascii="宋体" w:hAnsi="宋体" w:cs="宋体"/>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3" w:type="dxa"/>
            <w:noWrap w:val="0"/>
            <w:vAlign w:val="center"/>
          </w:tcPr>
          <w:p>
            <w:pPr>
              <w:spacing w:line="400" w:lineRule="exact"/>
              <w:rPr>
                <w:rFonts w:ascii="宋体" w:hAnsi="宋体" w:cs="宋体"/>
                <w:sz w:val="24"/>
                <w:szCs w:val="24"/>
                <w:highlight w:val="none"/>
              </w:rPr>
            </w:pPr>
            <w:r>
              <w:rPr>
                <w:rFonts w:hint="eastAsia" w:ascii="宋体" w:hAnsi="宋体" w:cs="宋体"/>
                <w:b/>
                <w:sz w:val="24"/>
                <w:szCs w:val="24"/>
                <w:highlight w:val="none"/>
              </w:rPr>
              <w:t>履约保证金缴纳和退款</w:t>
            </w:r>
          </w:p>
        </w:tc>
        <w:tc>
          <w:tcPr>
            <w:tcW w:w="8042" w:type="dxa"/>
            <w:noWrap w:val="0"/>
            <w:vAlign w:val="top"/>
          </w:tcPr>
          <w:p>
            <w:pPr>
              <w:numPr>
                <w:ilvl w:val="0"/>
                <w:numId w:val="0"/>
              </w:numPr>
              <w:spacing w:line="400" w:lineRule="exact"/>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中标供应商须在合同签订前向</w:t>
            </w:r>
            <w:r>
              <w:rPr>
                <w:rFonts w:hint="eastAsia" w:ascii="宋体" w:hAnsi="宋体" w:cs="宋体"/>
                <w:sz w:val="24"/>
                <w:szCs w:val="24"/>
                <w:highlight w:val="none"/>
                <w:lang w:eastAsia="zh-CN"/>
              </w:rPr>
              <w:t>杭州市临安区人民政府锦城街道办事处</w:t>
            </w:r>
            <w:r>
              <w:rPr>
                <w:rFonts w:hint="eastAsia" w:ascii="宋体" w:hAnsi="宋体" w:cs="宋体"/>
                <w:sz w:val="24"/>
                <w:szCs w:val="24"/>
                <w:highlight w:val="none"/>
              </w:rPr>
              <w:t>交纳履约保证金，供应商缴纳人民币</w:t>
            </w:r>
            <w:r>
              <w:rPr>
                <w:rFonts w:hint="eastAsia" w:ascii="宋体" w:hAnsi="宋体" w:cs="宋体"/>
                <w:sz w:val="24"/>
                <w:szCs w:val="24"/>
                <w:highlight w:val="none"/>
                <w:lang w:val="en-US" w:eastAsia="zh-CN"/>
              </w:rPr>
              <w:t>5</w:t>
            </w:r>
            <w:r>
              <w:rPr>
                <w:rFonts w:hint="eastAsia" w:ascii="宋体" w:hAnsi="宋体" w:cs="宋体"/>
                <w:sz w:val="24"/>
                <w:szCs w:val="24"/>
                <w:highlight w:val="none"/>
              </w:rPr>
              <w:t>万元整。</w:t>
            </w:r>
          </w:p>
          <w:p>
            <w:pPr>
              <w:spacing w:line="400" w:lineRule="exac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履约期满后根据合同期内考核情况办理退款手续，相关款项5个工作日内无息退还。</w:t>
            </w:r>
          </w:p>
        </w:tc>
      </w:tr>
    </w:tbl>
    <w:p>
      <w:pPr>
        <w:spacing w:line="400" w:lineRule="exact"/>
        <w:ind w:firstLine="482" w:firstLineChars="200"/>
        <w:rPr>
          <w:rFonts w:ascii="宋体" w:hAnsi="宋体" w:cs="宋体"/>
          <w:b/>
          <w:sz w:val="24"/>
          <w:szCs w:val="24"/>
        </w:rPr>
      </w:pPr>
      <w:r>
        <w:rPr>
          <w:rFonts w:hint="eastAsia" w:ascii="宋体" w:hAnsi="宋体" w:cs="宋体"/>
          <w:b/>
          <w:sz w:val="24"/>
          <w:szCs w:val="24"/>
        </w:rPr>
        <w:t xml:space="preserve"> 七、相关制度</w:t>
      </w:r>
    </w:p>
    <w:p>
      <w:pPr>
        <w:spacing w:line="360" w:lineRule="exact"/>
        <w:ind w:left="17" w:leftChars="8" w:firstLine="231" w:firstLineChars="96"/>
        <w:rPr>
          <w:rFonts w:ascii="宋体" w:hAnsi="宋体" w:cs="宋体"/>
          <w:sz w:val="24"/>
          <w:szCs w:val="24"/>
          <w:highlight w:val="none"/>
        </w:rPr>
      </w:pPr>
      <w:r>
        <w:rPr>
          <w:rFonts w:hint="eastAsia" w:ascii="宋体" w:hAnsi="宋体" w:cs="宋体"/>
          <w:b/>
          <w:sz w:val="24"/>
          <w:szCs w:val="24"/>
          <w:highlight w:val="none"/>
        </w:rPr>
        <w:t xml:space="preserve">  1.建立年度食材配送</w:t>
      </w:r>
      <w:r>
        <w:rPr>
          <w:rFonts w:hint="eastAsia" w:ascii="宋体" w:hAnsi="宋体" w:cs="宋体"/>
          <w:b/>
          <w:sz w:val="24"/>
          <w:szCs w:val="24"/>
          <w:highlight w:val="none"/>
          <w:lang w:eastAsia="zh-CN"/>
        </w:rPr>
        <w:t>评价</w:t>
      </w:r>
      <w:r>
        <w:rPr>
          <w:rFonts w:hint="eastAsia" w:ascii="宋体" w:hAnsi="宋体" w:cs="宋体"/>
          <w:b/>
          <w:sz w:val="24"/>
          <w:szCs w:val="24"/>
          <w:highlight w:val="none"/>
        </w:rPr>
        <w:t>制度。</w:t>
      </w:r>
      <w:r>
        <w:rPr>
          <w:rFonts w:hint="eastAsia" w:ascii="宋体" w:hAnsi="宋体" w:cs="宋体"/>
          <w:sz w:val="24"/>
          <w:szCs w:val="24"/>
          <w:highlight w:val="none"/>
        </w:rPr>
        <w:t>杭州市临安区</w:t>
      </w:r>
      <w:r>
        <w:rPr>
          <w:rFonts w:hint="eastAsia" w:ascii="宋体" w:hAnsi="宋体" w:cs="宋体"/>
          <w:sz w:val="24"/>
          <w:szCs w:val="24"/>
          <w:highlight w:val="none"/>
          <w:lang w:val="en-US" w:eastAsia="zh-CN"/>
        </w:rPr>
        <w:t>人民政府锦城街道办事处</w:t>
      </w:r>
      <w:r>
        <w:rPr>
          <w:rFonts w:hint="eastAsia" w:ascii="宋体" w:hAnsi="宋体" w:cs="宋体"/>
          <w:sz w:val="24"/>
          <w:szCs w:val="24"/>
          <w:highlight w:val="none"/>
        </w:rPr>
        <w:t>建立</w:t>
      </w:r>
      <w:r>
        <w:rPr>
          <w:rFonts w:hint="eastAsia" w:ascii="宋体" w:hAnsi="宋体" w:cs="宋体"/>
          <w:sz w:val="24"/>
          <w:szCs w:val="24"/>
          <w:highlight w:val="none"/>
          <w:lang w:eastAsia="zh-CN"/>
        </w:rPr>
        <w:t>年度评价机制</w:t>
      </w:r>
      <w:r>
        <w:rPr>
          <w:rFonts w:hint="eastAsia" w:ascii="宋体" w:hAnsi="宋体" w:cs="宋体"/>
          <w:sz w:val="24"/>
          <w:szCs w:val="24"/>
          <w:highlight w:val="none"/>
        </w:rPr>
        <w:t>，对配送企业</w:t>
      </w:r>
      <w:r>
        <w:rPr>
          <w:rFonts w:hint="eastAsia" w:ascii="宋体" w:hAnsi="宋体" w:cs="宋体"/>
          <w:sz w:val="24"/>
          <w:szCs w:val="24"/>
          <w:highlight w:val="none"/>
          <w:lang w:eastAsia="zh-CN"/>
        </w:rPr>
        <w:t>食材品质、是否按时送达、服务态度等方面进行全面评价</w:t>
      </w:r>
      <w:r>
        <w:rPr>
          <w:rFonts w:hint="eastAsia" w:ascii="宋体" w:hAnsi="宋体" w:cs="宋体"/>
          <w:sz w:val="24"/>
          <w:szCs w:val="24"/>
          <w:highlight w:val="none"/>
        </w:rPr>
        <w:t>。</w:t>
      </w:r>
    </w:p>
    <w:p>
      <w:pPr>
        <w:spacing w:line="400" w:lineRule="exact"/>
        <w:ind w:left="0" w:leftChars="0" w:firstLine="482" w:firstLineChars="200"/>
        <w:rPr>
          <w:rFonts w:ascii="宋体" w:hAnsi="宋体" w:cs="宋体"/>
          <w:b/>
          <w:sz w:val="24"/>
          <w:szCs w:val="24"/>
          <w:highlight w:val="none"/>
        </w:rPr>
      </w:pPr>
      <w:r>
        <w:rPr>
          <w:rFonts w:hint="eastAsia" w:ascii="宋体" w:hAnsi="宋体" w:cs="宋体"/>
          <w:b/>
          <w:sz w:val="24"/>
          <w:szCs w:val="24"/>
          <w:highlight w:val="none"/>
        </w:rPr>
        <w:t>2.建立责任追究制度。</w:t>
      </w:r>
      <w:r>
        <w:rPr>
          <w:rFonts w:hint="eastAsia" w:ascii="宋体" w:hAnsi="宋体" w:cs="宋体"/>
          <w:sz w:val="24"/>
          <w:szCs w:val="24"/>
          <w:highlight w:val="none"/>
          <w:lang w:eastAsia="zh-CN"/>
        </w:rPr>
        <w:t>杭州市临安区人民政府锦城街道办事处食堂</w:t>
      </w:r>
      <w:r>
        <w:rPr>
          <w:rFonts w:hint="eastAsia" w:ascii="宋体" w:hAnsi="宋体" w:cs="宋体"/>
          <w:sz w:val="24"/>
          <w:szCs w:val="24"/>
          <w:highlight w:val="none"/>
          <w:lang w:val="en-US" w:eastAsia="zh-CN"/>
        </w:rPr>
        <w:t>主副</w:t>
      </w:r>
      <w:r>
        <w:rPr>
          <w:rFonts w:hint="eastAsia" w:ascii="宋体" w:hAnsi="宋体" w:cs="宋体"/>
          <w:sz w:val="24"/>
          <w:szCs w:val="24"/>
          <w:highlight w:val="none"/>
        </w:rPr>
        <w:t>食品</w:t>
      </w:r>
      <w:r>
        <w:rPr>
          <w:rFonts w:hint="eastAsia" w:ascii="宋体" w:hAnsi="宋体" w:cs="宋体"/>
          <w:sz w:val="24"/>
          <w:szCs w:val="24"/>
          <w:highlight w:val="none"/>
          <w:lang w:val="en-US" w:eastAsia="zh-CN"/>
        </w:rPr>
        <w:t>统一</w:t>
      </w:r>
      <w:r>
        <w:rPr>
          <w:rFonts w:hint="eastAsia" w:ascii="宋体" w:hAnsi="宋体" w:cs="宋体"/>
          <w:sz w:val="24"/>
          <w:szCs w:val="24"/>
          <w:highlight w:val="none"/>
        </w:rPr>
        <w:t>配送工作领导小组</w:t>
      </w:r>
      <w:r>
        <w:rPr>
          <w:rFonts w:hint="eastAsia" w:ascii="宋体" w:hAnsi="宋体" w:cs="宋体"/>
          <w:sz w:val="24"/>
          <w:szCs w:val="24"/>
          <w:highlight w:val="none"/>
          <w:lang w:eastAsia="zh-CN"/>
        </w:rPr>
        <w:t>将</w:t>
      </w:r>
      <w:r>
        <w:rPr>
          <w:rFonts w:hint="eastAsia" w:ascii="宋体" w:hAnsi="宋体" w:cs="宋体"/>
          <w:sz w:val="24"/>
          <w:szCs w:val="24"/>
          <w:highlight w:val="none"/>
        </w:rPr>
        <w:t>对食堂食品配送工作进行督查。对中标人提供不合格产品或不按要求配送的，按合同约定扣除履约保证金。即：</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①</w:t>
      </w:r>
      <w:r>
        <w:rPr>
          <w:rFonts w:hint="eastAsia" w:ascii="宋体" w:hAnsi="宋体" w:cs="宋体"/>
          <w:sz w:val="24"/>
          <w:szCs w:val="24"/>
          <w:highlight w:val="none"/>
          <w:lang w:eastAsia="zh-CN"/>
        </w:rPr>
        <w:t>中标人主观</w:t>
      </w:r>
      <w:r>
        <w:rPr>
          <w:rFonts w:hint="eastAsia" w:ascii="宋体" w:hAnsi="宋体" w:cs="宋体"/>
          <w:sz w:val="24"/>
          <w:szCs w:val="24"/>
          <w:highlight w:val="none"/>
        </w:rPr>
        <w:t>配送食品质量低于国家标准或招标文件要求的，经查实后每次罚没履约保证金人民币</w:t>
      </w:r>
      <w:r>
        <w:rPr>
          <w:rFonts w:hint="eastAsia" w:ascii="宋体" w:hAnsi="宋体" w:cs="宋体"/>
          <w:sz w:val="24"/>
          <w:szCs w:val="24"/>
          <w:highlight w:val="none"/>
          <w:lang w:val="en-US" w:eastAsia="zh-CN"/>
        </w:rPr>
        <w:t>50</w:t>
      </w:r>
      <w:r>
        <w:rPr>
          <w:rFonts w:hint="eastAsia" w:ascii="宋体" w:hAnsi="宋体" w:cs="宋体"/>
          <w:sz w:val="24"/>
          <w:szCs w:val="24"/>
          <w:highlight w:val="none"/>
        </w:rPr>
        <w:t xml:space="preserve">00元。 </w:t>
      </w:r>
    </w:p>
    <w:p>
      <w:pPr>
        <w:spacing w:line="400" w:lineRule="exact"/>
        <w:rPr>
          <w:rFonts w:ascii="宋体" w:hAnsi="宋体" w:cs="宋体"/>
          <w:sz w:val="24"/>
          <w:szCs w:val="24"/>
          <w:highlight w:val="none"/>
        </w:rPr>
      </w:pPr>
      <w:r>
        <w:rPr>
          <w:rFonts w:hint="eastAsia" w:ascii="宋体" w:hAnsi="宋体" w:cs="宋体"/>
          <w:sz w:val="24"/>
          <w:szCs w:val="24"/>
          <w:highlight w:val="none"/>
        </w:rPr>
        <w:t xml:space="preserve">    ②</w:t>
      </w:r>
      <w:r>
        <w:rPr>
          <w:rFonts w:hint="eastAsia" w:ascii="宋体" w:hAnsi="宋体" w:cs="宋体"/>
          <w:sz w:val="24"/>
          <w:szCs w:val="24"/>
          <w:highlight w:val="none"/>
          <w:lang w:eastAsia="zh-CN"/>
        </w:rPr>
        <w:t>中标人配送至临安区</w:t>
      </w:r>
      <w:r>
        <w:rPr>
          <w:rFonts w:hint="eastAsia" w:ascii="宋体" w:hAnsi="宋体" w:cs="宋体"/>
          <w:sz w:val="24"/>
          <w:szCs w:val="24"/>
          <w:highlight w:val="none"/>
          <w:lang w:val="en-US" w:eastAsia="zh-CN"/>
        </w:rPr>
        <w:t>人民政府锦城街道办事处</w:t>
      </w:r>
      <w:r>
        <w:rPr>
          <w:rFonts w:hint="eastAsia" w:ascii="宋体" w:hAnsi="宋体" w:cs="宋体"/>
          <w:sz w:val="24"/>
          <w:szCs w:val="24"/>
          <w:highlight w:val="none"/>
          <w:lang w:eastAsia="zh-CN"/>
        </w:rPr>
        <w:t>食堂的食材被相关职能部门查验有质量问题的，</w:t>
      </w:r>
      <w:r>
        <w:rPr>
          <w:rFonts w:hint="eastAsia" w:ascii="宋体" w:hAnsi="宋体" w:cs="宋体"/>
          <w:sz w:val="24"/>
          <w:szCs w:val="24"/>
          <w:highlight w:val="none"/>
        </w:rPr>
        <w:t>每次罚没履约保证金人民币</w:t>
      </w:r>
      <w:r>
        <w:rPr>
          <w:rFonts w:hint="eastAsia" w:ascii="宋体" w:hAnsi="宋体" w:cs="宋体"/>
          <w:sz w:val="24"/>
          <w:szCs w:val="24"/>
          <w:highlight w:val="none"/>
          <w:lang w:val="en-US" w:eastAsia="zh-CN"/>
        </w:rPr>
        <w:t>50</w:t>
      </w:r>
      <w:r>
        <w:rPr>
          <w:rFonts w:hint="eastAsia" w:ascii="宋体" w:hAnsi="宋体" w:cs="宋体"/>
          <w:sz w:val="24"/>
          <w:szCs w:val="24"/>
          <w:highlight w:val="none"/>
        </w:rPr>
        <w:t xml:space="preserve">00元。 </w:t>
      </w:r>
    </w:p>
    <w:p>
      <w:pPr>
        <w:spacing w:line="400" w:lineRule="exact"/>
        <w:rPr>
          <w:rFonts w:ascii="宋体" w:hAnsi="宋体" w:cs="宋体"/>
          <w:sz w:val="24"/>
          <w:szCs w:val="24"/>
          <w:highlight w:val="none"/>
        </w:rPr>
      </w:pPr>
      <w:r>
        <w:rPr>
          <w:rFonts w:hint="eastAsia" w:ascii="宋体" w:hAnsi="宋体" w:cs="宋体"/>
          <w:sz w:val="24"/>
          <w:szCs w:val="24"/>
          <w:highlight w:val="none"/>
        </w:rPr>
        <w:t xml:space="preserve">    ③除不可抗力外发生，延误配送时间，造成食堂不能正常供应伙食，第一次罚没履约保证金人民币</w:t>
      </w:r>
      <w:r>
        <w:rPr>
          <w:rFonts w:hint="eastAsia" w:ascii="宋体" w:hAnsi="宋体" w:cs="宋体"/>
          <w:sz w:val="24"/>
          <w:szCs w:val="24"/>
          <w:highlight w:val="none"/>
          <w:lang w:val="en-US" w:eastAsia="zh-CN"/>
        </w:rPr>
        <w:t>2</w:t>
      </w:r>
      <w:r>
        <w:rPr>
          <w:rFonts w:hint="eastAsia" w:ascii="宋体" w:hAnsi="宋体" w:cs="宋体"/>
          <w:sz w:val="24"/>
          <w:szCs w:val="24"/>
          <w:highlight w:val="none"/>
        </w:rPr>
        <w:t>000元</w:t>
      </w:r>
      <w:r>
        <w:rPr>
          <w:rFonts w:hint="eastAsia" w:ascii="宋体" w:hAnsi="宋体" w:cs="宋体"/>
          <w:sz w:val="24"/>
          <w:szCs w:val="24"/>
          <w:highlight w:val="none"/>
          <w:lang w:eastAsia="zh-CN"/>
        </w:rPr>
        <w:t>；</w:t>
      </w:r>
      <w:r>
        <w:rPr>
          <w:rFonts w:hint="eastAsia" w:ascii="宋体" w:hAnsi="宋体" w:cs="宋体"/>
          <w:sz w:val="24"/>
          <w:szCs w:val="24"/>
          <w:highlight w:val="none"/>
        </w:rPr>
        <w:t>第二次罚没履约保证金人民币</w:t>
      </w:r>
      <w:r>
        <w:rPr>
          <w:rFonts w:hint="eastAsia" w:ascii="宋体" w:hAnsi="宋体" w:cs="宋体"/>
          <w:sz w:val="24"/>
          <w:szCs w:val="24"/>
          <w:highlight w:val="none"/>
          <w:lang w:val="en-US" w:eastAsia="zh-CN"/>
        </w:rPr>
        <w:t>5</w:t>
      </w:r>
      <w:r>
        <w:rPr>
          <w:rFonts w:hint="eastAsia" w:ascii="宋体" w:hAnsi="宋体" w:cs="宋体"/>
          <w:sz w:val="24"/>
          <w:szCs w:val="24"/>
          <w:highlight w:val="none"/>
        </w:rPr>
        <w:t>000元。</w:t>
      </w:r>
    </w:p>
    <w:p>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4"/>
          <w:szCs w:val="24"/>
          <w:highlight w:val="none"/>
        </w:rPr>
        <w:t>3.建立中标人退出制度</w:t>
      </w:r>
      <w:r>
        <w:rPr>
          <w:rFonts w:hint="eastAsia" w:ascii="宋体" w:hAnsi="宋体" w:cs="宋体"/>
          <w:sz w:val="24"/>
          <w:szCs w:val="24"/>
          <w:highlight w:val="none"/>
        </w:rPr>
        <w:t>。凡有下列情况之一的，报</w:t>
      </w:r>
      <w:r>
        <w:rPr>
          <w:rFonts w:hint="eastAsia" w:ascii="宋体" w:hAnsi="宋体" w:cs="宋体"/>
          <w:sz w:val="24"/>
          <w:szCs w:val="24"/>
          <w:highlight w:val="none"/>
          <w:lang w:eastAsia="zh-CN"/>
        </w:rPr>
        <w:t>杭州市临安区人民政府锦城街道办事处</w:t>
      </w:r>
      <w:r>
        <w:rPr>
          <w:rFonts w:hint="eastAsia" w:ascii="宋体" w:hAnsi="宋体" w:cs="宋体"/>
          <w:sz w:val="24"/>
          <w:szCs w:val="24"/>
          <w:highlight w:val="none"/>
        </w:rPr>
        <w:t>食堂主副食品统一配送工作领导小组，经会议决定可取消该中标人食堂食品配送资格执行</w:t>
      </w:r>
      <w:r>
        <w:rPr>
          <w:rFonts w:hint="eastAsia" w:ascii="宋体" w:hAnsi="宋体" w:cs="宋体"/>
          <w:sz w:val="24"/>
          <w:szCs w:val="24"/>
          <w:highlight w:val="none"/>
          <w:lang w:eastAsia="zh-CN"/>
        </w:rPr>
        <w:t>，</w:t>
      </w:r>
      <w:r>
        <w:rPr>
          <w:rFonts w:hint="eastAsia" w:ascii="宋体" w:hAnsi="宋体" w:cs="宋体"/>
          <w:sz w:val="24"/>
          <w:szCs w:val="24"/>
          <w:highlight w:val="none"/>
        </w:rPr>
        <w:t>同时罚没全部履约保证金:</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①</w:t>
      </w:r>
      <w:r>
        <w:rPr>
          <w:rFonts w:hint="eastAsia" w:ascii="宋体" w:hAnsi="宋体"/>
          <w:bCs/>
          <w:sz w:val="24"/>
          <w:szCs w:val="24"/>
          <w:highlight w:val="none"/>
        </w:rPr>
        <w:t>因配送食品质量问题引发重大食品安全事故</w:t>
      </w:r>
      <w:r>
        <w:rPr>
          <w:rFonts w:hint="eastAsia" w:ascii="宋体" w:hAnsi="宋体" w:cs="宋体"/>
          <w:sz w:val="24"/>
          <w:szCs w:val="24"/>
          <w:highlight w:val="none"/>
        </w:rPr>
        <w:t>。</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②</w:t>
      </w:r>
      <w:r>
        <w:rPr>
          <w:rFonts w:hint="eastAsia" w:ascii="宋体" w:hAnsi="宋体"/>
          <w:bCs/>
          <w:sz w:val="24"/>
          <w:szCs w:val="24"/>
          <w:highlight w:val="none"/>
        </w:rPr>
        <w:t>配送企业</w:t>
      </w:r>
      <w:r>
        <w:rPr>
          <w:rFonts w:hint="eastAsia" w:ascii="宋体" w:hAnsi="宋体" w:cs="宋体"/>
          <w:sz w:val="24"/>
          <w:szCs w:val="24"/>
          <w:highlight w:val="none"/>
        </w:rPr>
        <w:t>除不可抗力外三次及以上延误配送时间，造成食堂不能正常供应伙食。</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③</w:t>
      </w:r>
      <w:r>
        <w:rPr>
          <w:rFonts w:hint="eastAsia" w:ascii="宋体" w:hAnsi="宋体"/>
          <w:bCs/>
          <w:sz w:val="24"/>
          <w:szCs w:val="24"/>
          <w:highlight w:val="none"/>
        </w:rPr>
        <w:t>因配送企业主观原因配送</w:t>
      </w:r>
      <w:r>
        <w:rPr>
          <w:rFonts w:hint="eastAsia" w:ascii="宋体" w:hAnsi="宋体" w:cs="宋体"/>
          <w:sz w:val="24"/>
          <w:szCs w:val="24"/>
          <w:highlight w:val="none"/>
        </w:rPr>
        <w:t>三无和</w:t>
      </w:r>
      <w:r>
        <w:rPr>
          <w:rFonts w:hint="eastAsia" w:ascii="宋体" w:hAnsi="宋体"/>
          <w:bCs/>
          <w:sz w:val="24"/>
          <w:szCs w:val="24"/>
          <w:highlight w:val="none"/>
        </w:rPr>
        <w:t>假冒伪劣食品行为</w:t>
      </w:r>
      <w:r>
        <w:rPr>
          <w:rFonts w:hint="eastAsia" w:ascii="宋体" w:hAnsi="宋体" w:cs="宋体"/>
          <w:sz w:val="24"/>
          <w:szCs w:val="24"/>
          <w:highlight w:val="none"/>
        </w:rPr>
        <w:t>的</w:t>
      </w:r>
      <w:r>
        <w:rPr>
          <w:rFonts w:hint="eastAsia" w:ascii="宋体" w:hAnsi="宋体" w:cs="宋体"/>
          <w:sz w:val="24"/>
          <w:szCs w:val="24"/>
          <w:highlight w:val="none"/>
          <w:lang w:eastAsia="zh-CN"/>
        </w:rPr>
        <w:t>。</w:t>
      </w:r>
    </w:p>
    <w:p>
      <w:pPr>
        <w:adjustRightInd/>
        <w:spacing w:line="360" w:lineRule="auto"/>
        <w:jc w:val="center"/>
        <w:outlineLvl w:val="0"/>
        <w:rPr>
          <w:color w:val="FF0000"/>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8"/>
      <w:bookmarkEnd w:id="59"/>
      <w:bookmarkStart w:id="60" w:name="第四部分"/>
      <w:r>
        <w:rPr>
          <w:rFonts w:hint="eastAsia" w:cs="仿宋_GB2312" w:asciiTheme="minorEastAsia" w:hAnsiTheme="minorEastAsia" w:eastAsiaTheme="minorEastAsia"/>
          <w:b/>
          <w:sz w:val="36"/>
          <w:szCs w:val="36"/>
        </w:rPr>
        <w:t>评审方法及评审标准</w:t>
      </w:r>
    </w:p>
    <w:tbl>
      <w:tblPr>
        <w:tblStyle w:val="61"/>
        <w:tblpPr w:leftFromText="180" w:rightFromText="180" w:vertAnchor="text" w:horzAnchor="page" w:tblpX="1273" w:tblpY="615"/>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070"/>
        <w:gridCol w:w="696"/>
        <w:gridCol w:w="128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07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9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281"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773"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070" w:type="dxa"/>
            <w:vAlign w:val="center"/>
          </w:tcPr>
          <w:p>
            <w:pPr>
              <w:spacing w:line="360" w:lineRule="auto"/>
              <w:outlineLvl w:val="0"/>
              <w:rPr>
                <w:rFonts w:hint="eastAsia" w:asciiTheme="majorEastAsia" w:hAnsiTheme="majorEastAsia" w:eastAsiaTheme="majorEastAsia" w:cstheme="majorEastAsia"/>
                <w:color w:val="auto"/>
                <w:sz w:val="24"/>
                <w:lang w:val="en-US" w:eastAsia="zh-CN"/>
              </w:rPr>
            </w:pPr>
            <w:bookmarkStart w:id="61" w:name="OLE_LINK3"/>
            <w:r>
              <w:rPr>
                <w:rFonts w:hint="eastAsia" w:asciiTheme="majorEastAsia" w:hAnsiTheme="majorEastAsia" w:eastAsiaTheme="majorEastAsia" w:cstheme="majorEastAsia"/>
                <w:color w:val="auto"/>
                <w:sz w:val="24"/>
                <w:lang w:val="en-US" w:eastAsia="zh-CN"/>
              </w:rPr>
              <w:t>投标人具有有效期内的质量管理体系认证、环境管理体系认证、职业健康安全管理体系认证、食品安全管理体系认证、HACCP体系认证的，食品相关内容的，每提供一个认证证书得1分，本项最高5分</w:t>
            </w:r>
          </w:p>
          <w:p>
            <w:pPr>
              <w:pStyle w:val="58"/>
              <w:ind w:left="0" w:leftChars="0" w:firstLine="0" w:firstLineChars="0"/>
              <w:rPr>
                <w:rFonts w:hint="default" w:ascii="宋体" w:hAnsi="Calibri" w:eastAsia="宋体" w:cs="Times New Roman"/>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（提供证书原件扫面件并加盖公章）</w:t>
            </w:r>
            <w:bookmarkEnd w:id="61"/>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5</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2" w:name="OLE_LINK4"/>
            <w:r>
              <w:rPr>
                <w:rFonts w:hint="eastAsia" w:asciiTheme="majorEastAsia" w:hAnsiTheme="majorEastAsia" w:eastAsiaTheme="majorEastAsia" w:cstheme="majorEastAsia"/>
                <w:color w:val="auto"/>
                <w:sz w:val="24"/>
                <w:lang w:val="en-US" w:eastAsia="zh-CN"/>
              </w:rPr>
              <w:t>投标人自2021年1月1日以来（以合同签订日期为准）完成过类似食材配送供应项目业绩的，每提供一个得0.2分，本项最高1分。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（提供合同原件扫描件及供货发票）</w:t>
            </w:r>
            <w:bookmarkEnd w:id="62"/>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3" w:name="OLE_LINK5"/>
            <w:r>
              <w:rPr>
                <w:rFonts w:hint="eastAsia" w:asciiTheme="majorEastAsia" w:hAnsiTheme="majorEastAsia" w:eastAsiaTheme="majorEastAsia" w:cstheme="majorEastAsia"/>
                <w:color w:val="auto"/>
                <w:sz w:val="24"/>
                <w:lang w:val="en-US" w:eastAsia="zh-CN"/>
              </w:rPr>
              <w:t>投标人有食堂管理和食材配送一体化经营业绩的得1分。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（提供合同原件扫描件及供货发票）</w:t>
            </w:r>
            <w:bookmarkEnd w:id="63"/>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4" w:name="OLE_LINK6"/>
            <w:r>
              <w:rPr>
                <w:rFonts w:hint="eastAsia" w:asciiTheme="majorEastAsia" w:hAnsiTheme="majorEastAsia" w:eastAsiaTheme="majorEastAsia" w:cstheme="majorEastAsia"/>
                <w:color w:val="auto"/>
                <w:sz w:val="24"/>
                <w:lang w:val="en-US" w:eastAsia="zh-CN"/>
              </w:rPr>
              <w:t>投标人具有符合食材配送服务的专业场地，场地面积在1000㎡及以上的得1分，1100㎡及以上的得2分，1200㎡及以上的得3分，本项最高3分。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（提供场地现场照片、产权证明或租赁合同）</w:t>
            </w:r>
            <w:bookmarkEnd w:id="64"/>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5</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5" w:name="OLE_LINK7"/>
            <w:r>
              <w:rPr>
                <w:rFonts w:hint="eastAsia" w:asciiTheme="majorEastAsia" w:hAnsiTheme="majorEastAsia" w:eastAsiaTheme="majorEastAsia" w:cstheme="majorEastAsia"/>
                <w:color w:val="auto"/>
                <w:sz w:val="24"/>
                <w:lang w:val="en-US" w:eastAsia="zh-CN"/>
              </w:rPr>
              <w:t>配送企业产品采购来源含“三品一标”认证基地产品的，每有1个得1分，本项最高2分；</w:t>
            </w:r>
          </w:p>
          <w:p>
            <w:pPr>
              <w:pStyle w:val="58"/>
              <w:ind w:left="0" w:leftChars="0" w:firstLine="0" w:firstLineChars="0"/>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提供供货合同、认证证书及采购发票。</w:t>
            </w:r>
            <w:bookmarkEnd w:id="65"/>
          </w:p>
        </w:tc>
        <w:tc>
          <w:tcPr>
            <w:tcW w:w="696" w:type="dxa"/>
            <w:vAlign w:val="center"/>
          </w:tcPr>
          <w:p>
            <w:pPr>
              <w:spacing w:line="360" w:lineRule="auto"/>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6" w:name="OLE_LINK8"/>
            <w:r>
              <w:rPr>
                <w:rFonts w:hint="eastAsia" w:asciiTheme="majorEastAsia" w:hAnsiTheme="majorEastAsia" w:eastAsiaTheme="majorEastAsia" w:cstheme="majorEastAsia"/>
                <w:color w:val="auto"/>
                <w:sz w:val="24"/>
                <w:lang w:val="en-US" w:eastAsia="zh-CN"/>
              </w:rPr>
              <w:t>配送场地内设有冷库，冷藏库容积达150m³的得1分，冷冻库容积达150m³的得1分。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（提供现场照片、采购发票、合同或其他自有证明材料）</w:t>
            </w:r>
            <w:bookmarkEnd w:id="66"/>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7</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7" w:name="OLE_LINK9"/>
            <w:r>
              <w:rPr>
                <w:rFonts w:hint="eastAsia" w:asciiTheme="majorEastAsia" w:hAnsiTheme="majorEastAsia" w:eastAsiaTheme="majorEastAsia" w:cstheme="majorEastAsia"/>
                <w:color w:val="auto"/>
                <w:sz w:val="24"/>
                <w:lang w:val="en-US" w:eastAsia="zh-CN"/>
              </w:rPr>
              <w:t>1.投标人配送场地内设粮油仓库、干货辅料仓库、肉类、禽类加工车间、水产加工车间、水果分拣车间的得1分；</w:t>
            </w:r>
          </w:p>
          <w:p>
            <w:pPr>
              <w:pStyle w:val="58"/>
              <w:ind w:left="0" w:leftChars="0" w:firstLine="0" w:firstLineChars="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highlight w:val="none"/>
                <w:lang w:val="en-US" w:eastAsia="zh-CN"/>
              </w:rPr>
              <w:t>.发货区面积在300㎡及以上的得1分；</w:t>
            </w:r>
          </w:p>
          <w:p>
            <w:pPr>
              <w:pStyle w:val="58"/>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3.各功能区具备满足配送所需的清洗、切配、分拣、加工、仓储等设施设备齐全的得1分；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w:t>
            </w:r>
            <w:bookmarkEnd w:id="67"/>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8</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8" w:name="OLE_LINK10"/>
            <w:r>
              <w:rPr>
                <w:rFonts w:hint="eastAsia" w:asciiTheme="majorEastAsia" w:hAnsiTheme="majorEastAsia" w:eastAsiaTheme="majorEastAsia" w:cstheme="majorEastAsia"/>
                <w:color w:val="auto"/>
                <w:sz w:val="24"/>
                <w:lang w:val="en-US" w:eastAsia="zh-CN"/>
              </w:rPr>
              <w:t>1.投标人具有冷藏厢式货车，每辆得1分，最高2分；</w:t>
            </w:r>
          </w:p>
          <w:p>
            <w:pPr>
              <w:pStyle w:val="58"/>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2.车辆全部安装车载监控和卫星定位的得1分；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（提供车辆行驶证、保险单、监控及定位照片）</w:t>
            </w:r>
            <w:bookmarkEnd w:id="68"/>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9</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69" w:name="OLE_LINK11"/>
            <w:r>
              <w:rPr>
                <w:rFonts w:hint="eastAsia" w:asciiTheme="majorEastAsia" w:hAnsiTheme="majorEastAsia" w:eastAsiaTheme="majorEastAsia" w:cstheme="majorEastAsia"/>
                <w:color w:val="auto"/>
                <w:sz w:val="24"/>
                <w:lang w:val="en-US" w:eastAsia="zh-CN"/>
              </w:rPr>
              <w:t>1.配送场地内设有单独检测室、留样室的得1分；</w:t>
            </w:r>
          </w:p>
          <w:p>
            <w:pPr>
              <w:pStyle w:val="58"/>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2.有农残等食品安全检测设备的，每台得1分，最高3分；</w:t>
            </w:r>
          </w:p>
          <w:p>
            <w:pPr>
              <w:pStyle w:val="58"/>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3.有留样冰箱、留样设备的得1分；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（提供现场照片、设备采购发票或其他自有证明材料）</w:t>
            </w:r>
            <w:bookmarkEnd w:id="69"/>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5</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5070" w:type="dxa"/>
            <w:vAlign w:val="center"/>
          </w:tcPr>
          <w:p>
            <w:pPr>
              <w:pStyle w:val="58"/>
              <w:ind w:left="0" w:leftChars="0" w:firstLine="0" w:firstLineChars="0"/>
              <w:rPr>
                <w:rFonts w:hint="eastAsia" w:asciiTheme="majorEastAsia" w:hAnsiTheme="majorEastAsia" w:eastAsiaTheme="majorEastAsia" w:cstheme="majorEastAsia"/>
                <w:color w:val="auto"/>
                <w:sz w:val="24"/>
                <w:lang w:val="en-US" w:eastAsia="zh-CN"/>
              </w:rPr>
            </w:pPr>
            <w:bookmarkStart w:id="70" w:name="OLE_LINK12"/>
            <w:r>
              <w:rPr>
                <w:rFonts w:hint="eastAsia" w:asciiTheme="majorEastAsia" w:hAnsiTheme="majorEastAsia" w:eastAsiaTheme="majorEastAsia" w:cstheme="majorEastAsia"/>
                <w:color w:val="auto"/>
                <w:sz w:val="24"/>
                <w:lang w:val="en-US" w:eastAsia="zh-CN"/>
              </w:rPr>
              <w:t>拟投入本项目的人员在10人及以上的得2分，15人及以上的得3分。</w:t>
            </w:r>
          </w:p>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（提供有效的健康证及本单位的近三个月社保缴纳证明）</w:t>
            </w:r>
            <w:bookmarkEnd w:id="70"/>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5070" w:type="dxa"/>
            <w:vAlign w:val="center"/>
          </w:tcPr>
          <w:p>
            <w:pPr>
              <w:pStyle w:val="58"/>
              <w:ind w:left="0" w:leftChars="0" w:firstLine="0" w:firstLineChars="0"/>
              <w:rPr>
                <w:rFonts w:hint="eastAsia"/>
                <w:lang w:val="en-US" w:eastAsia="zh-CN"/>
              </w:rPr>
            </w:pPr>
            <w:bookmarkStart w:id="71" w:name="OLE_LINK13"/>
            <w:r>
              <w:rPr>
                <w:rFonts w:hint="eastAsia"/>
                <w:lang w:val="en-US" w:eastAsia="zh-CN"/>
              </w:rPr>
              <w:t>投标人具有食品安全员2人及以上的得2分。</w:t>
            </w:r>
          </w:p>
          <w:p>
            <w:pPr>
              <w:rPr>
                <w:rFonts w:hint="default"/>
                <w:lang w:val="en-US" w:eastAsia="zh-CN"/>
              </w:rPr>
            </w:pPr>
            <w:r>
              <w:rPr>
                <w:rFonts w:hint="eastAsia" w:asciiTheme="majorEastAsia" w:hAnsiTheme="majorEastAsia" w:eastAsiaTheme="majorEastAsia" w:cstheme="majorEastAsia"/>
                <w:color w:val="auto"/>
                <w:sz w:val="24"/>
                <w:lang w:val="en-US" w:eastAsia="zh-CN"/>
              </w:rPr>
              <w:t>（提供有效的食品安全员证书及本单位的近三个月社保缴纳证明）</w:t>
            </w:r>
            <w:bookmarkEnd w:id="71"/>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12</w:t>
            </w:r>
          </w:p>
        </w:tc>
        <w:tc>
          <w:tcPr>
            <w:tcW w:w="5070" w:type="dxa"/>
            <w:vAlign w:val="center"/>
          </w:tcPr>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bookmarkStart w:id="72" w:name="OLE_LINK14"/>
            <w:r>
              <w:rPr>
                <w:rFonts w:hint="eastAsia" w:asciiTheme="majorEastAsia" w:hAnsiTheme="majorEastAsia" w:eastAsiaTheme="majorEastAsia" w:cstheme="majorEastAsia"/>
                <w:color w:val="auto"/>
                <w:sz w:val="24"/>
                <w:lang w:val="en-US" w:eastAsia="zh-CN"/>
              </w:rPr>
              <w:t>拟投入本项目的驾驶员具有C1照及以上并具有2年以上驾龄的，每人得1分，最高2分。(提供驾驶证及本单位的近三个月社保缴纳证明)</w:t>
            </w:r>
            <w:bookmarkEnd w:id="72"/>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13</w:t>
            </w:r>
          </w:p>
        </w:tc>
        <w:tc>
          <w:tcPr>
            <w:tcW w:w="5070" w:type="dxa"/>
            <w:vAlign w:val="center"/>
          </w:tcPr>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bookmarkStart w:id="73" w:name="OLE_LINK15"/>
            <w:r>
              <w:rPr>
                <w:rFonts w:hint="eastAsia" w:asciiTheme="majorEastAsia" w:hAnsiTheme="majorEastAsia" w:eastAsiaTheme="majorEastAsia" w:cstheme="majorEastAsia"/>
                <w:color w:val="auto"/>
                <w:sz w:val="24"/>
                <w:lang w:val="en-US" w:eastAsia="zh-CN"/>
              </w:rPr>
              <w:t>配送实施方案：包括</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总体部署、</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供货措施、</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运输方案、</w:t>
            </w:r>
            <w:r>
              <w:rPr>
                <w:rFonts w:hint="eastAsia" w:ascii="仿宋" w:hAnsi="仿宋" w:eastAsia="仿宋" w:cs="仿宋"/>
                <w:color w:val="auto"/>
                <w:sz w:val="24"/>
                <w:lang w:val="en-US" w:eastAsia="zh-CN"/>
              </w:rPr>
              <w:t>④</w:t>
            </w:r>
            <w:r>
              <w:rPr>
                <w:rFonts w:hint="eastAsia" w:asciiTheme="majorEastAsia" w:hAnsiTheme="majorEastAsia" w:eastAsiaTheme="majorEastAsia" w:cstheme="majorEastAsia"/>
                <w:color w:val="auto"/>
                <w:sz w:val="24"/>
                <w:lang w:val="en-US" w:eastAsia="zh-CN"/>
              </w:rPr>
              <w:t>现场管理计划等完善、科学、合理、切合度高的视为符合，完全符合的每项得3分，基本符合的每项得2分，部分符合的得1分，不符合或未提供的不得分，本项最高12分</w:t>
            </w:r>
            <w:bookmarkEnd w:id="73"/>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12</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14</w:t>
            </w:r>
          </w:p>
        </w:tc>
        <w:tc>
          <w:tcPr>
            <w:tcW w:w="5070" w:type="dxa"/>
            <w:vAlign w:val="center"/>
          </w:tcPr>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bookmarkStart w:id="74" w:name="OLE_LINK16"/>
            <w:r>
              <w:rPr>
                <w:rFonts w:hint="eastAsia" w:asciiTheme="majorEastAsia" w:hAnsiTheme="majorEastAsia" w:eastAsiaTheme="majorEastAsia" w:cstheme="majorEastAsia"/>
                <w:color w:val="auto"/>
                <w:sz w:val="24"/>
                <w:lang w:val="en-US" w:eastAsia="zh-CN"/>
              </w:rPr>
              <w:t>投标人的</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食品安全管理制度、</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财务制度、</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供货质量控制制度合理科学完善的视为符合，完全符合的每项得3分，基本符合的每项得2分，部分符合的得1分，不符合或未提供的不得分，本项最高9分</w:t>
            </w:r>
            <w:bookmarkEnd w:id="74"/>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9</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15</w:t>
            </w:r>
          </w:p>
        </w:tc>
        <w:tc>
          <w:tcPr>
            <w:tcW w:w="5070" w:type="dxa"/>
            <w:vAlign w:val="center"/>
          </w:tcPr>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bookmarkStart w:id="75" w:name="OLE_LINK17"/>
            <w:r>
              <w:rPr>
                <w:rFonts w:hint="eastAsia" w:asciiTheme="majorEastAsia" w:hAnsiTheme="majorEastAsia" w:eastAsiaTheme="majorEastAsia" w:cstheme="majorEastAsia"/>
                <w:color w:val="auto"/>
                <w:sz w:val="24"/>
                <w:lang w:val="en-US" w:eastAsia="zh-CN"/>
              </w:rPr>
              <w:t>根据投标人对供货中突发事件的解决措施，急件采购的应急方案科学、完善、合理的视为符合，完全符合的每项得3分，基本符合的每项得2分，部分符合的得1分，不符合或未提供的不得分，本项最高6分</w:t>
            </w:r>
            <w:bookmarkEnd w:id="75"/>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16</w:t>
            </w:r>
          </w:p>
        </w:tc>
        <w:tc>
          <w:tcPr>
            <w:tcW w:w="5070" w:type="dxa"/>
            <w:vAlign w:val="center"/>
          </w:tcPr>
          <w:p>
            <w:pPr>
              <w:pStyle w:val="58"/>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bookmarkStart w:id="76" w:name="OLE_LINK18"/>
            <w:r>
              <w:rPr>
                <w:rFonts w:hint="eastAsia" w:asciiTheme="majorEastAsia" w:hAnsiTheme="majorEastAsia" w:eastAsiaTheme="majorEastAsia" w:cstheme="majorEastAsia"/>
                <w:color w:val="auto"/>
                <w:sz w:val="24"/>
                <w:lang w:val="en-US" w:eastAsia="zh-CN"/>
              </w:rPr>
              <w:t>根据投标人提供的售后服务方案完善合理的视为符合，完全符合的得3分，基本符合的得2分，部分符合的得1分，不符合或者未提供的不得分。</w:t>
            </w:r>
            <w:bookmarkEnd w:id="76"/>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17</w:t>
            </w:r>
          </w:p>
        </w:tc>
        <w:tc>
          <w:tcPr>
            <w:tcW w:w="5070" w:type="dxa"/>
            <w:vAlign w:val="center"/>
          </w:tcPr>
          <w:p>
            <w:pPr>
              <w:spacing w:line="360" w:lineRule="auto"/>
              <w:outlineLvl w:val="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0"/>
              </w:rPr>
              <w:t>卫生管理控制方案（食品卫生、</w:t>
            </w:r>
            <w:r>
              <w:rPr>
                <w:rFonts w:hint="eastAsia" w:asciiTheme="majorEastAsia" w:hAnsiTheme="majorEastAsia" w:eastAsiaTheme="majorEastAsia" w:cstheme="majorEastAsia"/>
                <w:color w:val="auto"/>
                <w:sz w:val="24"/>
                <w:szCs w:val="20"/>
                <w:lang w:val="en-US" w:eastAsia="zh-CN"/>
              </w:rPr>
              <w:t>送货</w:t>
            </w:r>
            <w:r>
              <w:rPr>
                <w:rFonts w:hint="eastAsia" w:asciiTheme="majorEastAsia" w:hAnsiTheme="majorEastAsia" w:eastAsiaTheme="majorEastAsia" w:cstheme="majorEastAsia"/>
                <w:color w:val="auto"/>
                <w:sz w:val="24"/>
                <w:szCs w:val="20"/>
              </w:rPr>
              <w:t>人员卫生等），方案的完整、科学、合理</w:t>
            </w:r>
            <w:r>
              <w:rPr>
                <w:rFonts w:hint="eastAsia" w:asciiTheme="majorEastAsia" w:hAnsiTheme="majorEastAsia" w:eastAsiaTheme="majorEastAsia" w:cstheme="majorEastAsia"/>
                <w:color w:val="auto"/>
                <w:sz w:val="24"/>
                <w:szCs w:val="20"/>
                <w:lang w:val="en-US" w:eastAsia="zh-CN"/>
              </w:rPr>
              <w:t>的视为符合</w:t>
            </w:r>
            <w:r>
              <w:rPr>
                <w:rFonts w:hint="eastAsia" w:asciiTheme="majorEastAsia" w:hAnsiTheme="majorEastAsia" w:eastAsiaTheme="majorEastAsia" w:cstheme="majorEastAsia"/>
                <w:color w:val="auto"/>
                <w:sz w:val="24"/>
                <w:szCs w:val="20"/>
                <w:lang w:eastAsia="zh-CN"/>
              </w:rPr>
              <w:t>，</w:t>
            </w:r>
            <w:r>
              <w:rPr>
                <w:rFonts w:hint="eastAsia" w:asciiTheme="majorEastAsia" w:hAnsiTheme="majorEastAsia" w:eastAsiaTheme="majorEastAsia" w:cstheme="majorEastAsia"/>
                <w:color w:val="auto"/>
                <w:sz w:val="24"/>
                <w:szCs w:val="20"/>
                <w:lang w:val="en-US" w:eastAsia="zh-CN"/>
              </w:rPr>
              <w:t>完全符合的得3分，基本符合的得1分，不符合或者未提供的不得分</w:t>
            </w:r>
            <w:r>
              <w:rPr>
                <w:rFonts w:hint="eastAsia" w:asciiTheme="majorEastAsia" w:hAnsiTheme="majorEastAsia" w:eastAsiaTheme="majorEastAsia" w:cstheme="majorEastAsia"/>
                <w:color w:val="auto"/>
                <w:sz w:val="24"/>
                <w:szCs w:val="20"/>
              </w:rPr>
              <w:t>。</w:t>
            </w:r>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18</w:t>
            </w:r>
          </w:p>
        </w:tc>
        <w:tc>
          <w:tcPr>
            <w:tcW w:w="5070" w:type="dxa"/>
            <w:vAlign w:val="center"/>
          </w:tcPr>
          <w:p>
            <w:pPr>
              <w:widowControl/>
              <w:spacing w:line="380" w:lineRule="exact"/>
              <w:jc w:val="left"/>
              <w:rPr>
                <w:rFonts w:hint="default" w:asciiTheme="majorEastAsia" w:hAnsiTheme="majorEastAsia" w:eastAsiaTheme="majorEastAsia" w:cstheme="majorEastAsia"/>
                <w:color w:val="auto"/>
                <w:kern w:val="2"/>
                <w:sz w:val="24"/>
                <w:szCs w:val="24"/>
                <w:highlight w:val="none"/>
                <w:lang w:val="en-US" w:eastAsia="zh-CN" w:bidi="ar-SA"/>
              </w:rPr>
            </w:pPr>
            <w:bookmarkStart w:id="77" w:name="OLE_LINK19"/>
            <w:r>
              <w:rPr>
                <w:rFonts w:hint="eastAsia" w:asciiTheme="majorEastAsia" w:hAnsiTheme="majorEastAsia" w:eastAsiaTheme="majorEastAsia" w:cstheme="majorEastAsia"/>
                <w:color w:val="auto"/>
                <w:spacing w:val="-10"/>
                <w:sz w:val="24"/>
                <w:highlight w:val="none"/>
              </w:rPr>
              <w:t>评委根据投标人针对本项目提交的合理化建议</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每提供一条得1分，本项最高2分。</w:t>
            </w:r>
            <w:bookmarkEnd w:id="77"/>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19</w:t>
            </w:r>
          </w:p>
        </w:tc>
        <w:tc>
          <w:tcPr>
            <w:tcW w:w="5070" w:type="dxa"/>
            <w:vAlign w:val="center"/>
          </w:tcPr>
          <w:p>
            <w:pPr>
              <w:widowControl/>
              <w:spacing w:line="380" w:lineRule="exact"/>
              <w:jc w:val="left"/>
              <w:rPr>
                <w:rFonts w:hint="default" w:asciiTheme="majorEastAsia" w:hAnsiTheme="majorEastAsia" w:eastAsiaTheme="majorEastAsia" w:cstheme="majorEastAsia"/>
                <w:color w:val="auto"/>
                <w:spacing w:val="-10"/>
                <w:kern w:val="2"/>
                <w:sz w:val="24"/>
                <w:szCs w:val="24"/>
                <w:lang w:val="en-US" w:eastAsia="zh-CN" w:bidi="ar-SA"/>
              </w:rPr>
            </w:pPr>
            <w:r>
              <w:rPr>
                <w:rFonts w:hint="eastAsia" w:asciiTheme="majorEastAsia" w:hAnsiTheme="majorEastAsia" w:eastAsiaTheme="majorEastAsia" w:cstheme="majorEastAsia"/>
                <w:color w:val="auto"/>
                <w:spacing w:val="-10"/>
                <w:sz w:val="24"/>
                <w:lang w:val="en-US" w:eastAsia="zh-CN"/>
              </w:rPr>
              <w:t>根据投标人针对本项目提供的特色服务进行打分，每提供一条得1分，本项最高3分。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5070" w:type="dxa"/>
          </w:tcPr>
          <w:p>
            <w:pPr>
              <w:pStyle w:val="24"/>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eastAsia="zh-CN"/>
              </w:rPr>
              <w:t>①</w:t>
            </w:r>
            <w:r>
              <w:rPr>
                <w:rFonts w:hint="eastAsia" w:hAnsi="宋体" w:cs="宋体"/>
                <w:b/>
                <w:bCs/>
                <w:color w:val="auto"/>
                <w:sz w:val="24"/>
                <w:szCs w:val="24"/>
                <w:highlight w:val="none"/>
                <w:lang w:val="en-US" w:eastAsia="zh-CN"/>
              </w:rPr>
              <w:t>食材</w:t>
            </w:r>
            <w:r>
              <w:rPr>
                <w:rFonts w:hint="eastAsia" w:ascii="宋体" w:hAnsi="宋体" w:eastAsia="宋体" w:cs="宋体"/>
                <w:b/>
                <w:bCs/>
                <w:color w:val="auto"/>
                <w:sz w:val="24"/>
                <w:szCs w:val="24"/>
                <w:highlight w:val="none"/>
                <w:lang w:val="en-US" w:eastAsia="zh-CN"/>
              </w:rPr>
              <w:t>配送</w:t>
            </w:r>
            <w:r>
              <w:rPr>
                <w:rFonts w:hint="eastAsia" w:ascii="宋体" w:hAnsi="宋体" w:eastAsia="宋体" w:cs="宋体"/>
                <w:b/>
                <w:bCs/>
                <w:color w:val="auto"/>
                <w:sz w:val="24"/>
                <w:szCs w:val="24"/>
                <w:highlight w:val="none"/>
                <w:lang w:val="zh-CN" w:eastAsia="zh-CN"/>
              </w:rPr>
              <w:t>有效投标报价的最低价作为评标基准价，其最低报价为满分；按［</w:t>
            </w:r>
            <w:r>
              <w:rPr>
                <w:rFonts w:hint="eastAsia" w:ascii="宋体" w:hAnsi="宋体" w:eastAsia="宋体" w:cs="宋体"/>
                <w:b/>
                <w:bCs/>
                <w:color w:val="auto"/>
                <w:sz w:val="24"/>
                <w:szCs w:val="24"/>
                <w:highlight w:val="none"/>
              </w:rPr>
              <w:t>（蔬菜类评标基准折扣/蔬菜类投标人投标折扣）×</w:t>
            </w: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评标基准折扣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投标人投标折扣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包括水产类、禽肉类、干货类、豆制品类、禽蛋类、鲜猪肉类、水果类、点心饮品类、厨房用品类等</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类投标人投标折扣）×</w:t>
            </w: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（四舍五入后保留小数2位）</w:t>
            </w:r>
            <w:r>
              <w:rPr>
                <w:rFonts w:hint="eastAsia" w:ascii="宋体" w:hAnsi="宋体" w:eastAsia="宋体" w:cs="宋体"/>
                <w:b/>
                <w:bCs/>
                <w:color w:val="auto"/>
                <w:kern w:val="2"/>
                <w:sz w:val="24"/>
                <w:szCs w:val="24"/>
                <w:highlight w:val="none"/>
                <w:lang w:val="zh-CN" w:eastAsia="zh-CN" w:bidi="ar-SA"/>
              </w:rPr>
              <w:t>］的计算公式计算。</w:t>
            </w:r>
          </w:p>
          <w:p>
            <w:pPr>
              <w:pStyle w:val="24"/>
              <w:rPr>
                <w:rFonts w:hint="eastAsia"/>
                <w:color w:val="FF0000"/>
                <w:lang w:val="zh-CN" w:eastAsia="zh-CN"/>
              </w:rPr>
            </w:pPr>
            <w:r>
              <w:rPr>
                <w:rFonts w:hint="eastAsia" w:hAnsi="宋体" w:cs="宋体"/>
                <w:b/>
                <w:bCs/>
                <w:color w:val="FF0000"/>
                <w:kern w:val="2"/>
                <w:sz w:val="24"/>
                <w:szCs w:val="24"/>
                <w:highlight w:val="none"/>
                <w:lang w:val="zh-CN" w:eastAsia="zh-CN" w:bidi="ar-SA"/>
              </w:rPr>
              <w:t>（</w:t>
            </w:r>
            <w:r>
              <w:rPr>
                <w:rFonts w:hint="eastAsia" w:hAnsi="宋体" w:cs="宋体"/>
                <w:b/>
                <w:bCs/>
                <w:color w:val="FF0000"/>
                <w:kern w:val="2"/>
                <w:sz w:val="24"/>
                <w:szCs w:val="24"/>
                <w:highlight w:val="none"/>
                <w:lang w:val="en-US" w:eastAsia="zh-CN" w:bidi="ar-SA"/>
              </w:rPr>
              <w:t>注：其中蔬菜类</w:t>
            </w:r>
            <w:r>
              <w:rPr>
                <w:rFonts w:hint="eastAsia" w:asciiTheme="majorEastAsia" w:hAnsiTheme="majorEastAsia" w:eastAsiaTheme="majorEastAsia" w:cstheme="majorEastAsia"/>
                <w:color w:val="FF0000"/>
                <w:sz w:val="24"/>
                <w:szCs w:val="20"/>
              </w:rPr>
              <w:t>、</w:t>
            </w:r>
            <w:r>
              <w:rPr>
                <w:rFonts w:hint="eastAsia" w:hAnsi="宋体" w:cs="宋体"/>
                <w:b/>
                <w:bCs/>
                <w:color w:val="FF0000"/>
                <w:kern w:val="2"/>
                <w:sz w:val="24"/>
                <w:szCs w:val="24"/>
                <w:highlight w:val="none"/>
                <w:lang w:val="en-US" w:eastAsia="zh-CN" w:bidi="ar-SA"/>
              </w:rPr>
              <w:t>其他类最高折扣为80%，粮油类</w:t>
            </w:r>
            <w:r>
              <w:rPr>
                <w:rFonts w:hint="eastAsia" w:asciiTheme="majorEastAsia" w:hAnsiTheme="majorEastAsia" w:eastAsiaTheme="majorEastAsia" w:cstheme="majorEastAsia"/>
                <w:color w:val="FF0000"/>
                <w:sz w:val="24"/>
                <w:szCs w:val="20"/>
              </w:rPr>
              <w:t>、</w:t>
            </w:r>
            <w:r>
              <w:rPr>
                <w:rFonts w:hint="eastAsia" w:hAnsi="宋体" w:cs="宋体"/>
                <w:b/>
                <w:bCs/>
                <w:color w:val="FF0000"/>
                <w:kern w:val="2"/>
                <w:sz w:val="24"/>
                <w:szCs w:val="24"/>
                <w:highlight w:val="none"/>
                <w:lang w:val="en-US" w:eastAsia="zh-CN" w:bidi="ar-SA"/>
              </w:rPr>
              <w:t>冷冻食品类最高折扣为85%，调味品类最高折扣为90%，高于此报价的为无效标</w:t>
            </w:r>
            <w:r>
              <w:rPr>
                <w:rFonts w:hint="eastAsia" w:hAnsi="宋体" w:cs="宋体"/>
                <w:b/>
                <w:bCs/>
                <w:color w:val="FF0000"/>
                <w:kern w:val="2"/>
                <w:sz w:val="24"/>
                <w:szCs w:val="24"/>
                <w:highlight w:val="none"/>
                <w:lang w:val="zh-CN" w:eastAsia="zh-CN" w:bidi="ar-SA"/>
              </w:rPr>
              <w:t>）</w:t>
            </w:r>
          </w:p>
          <w:p>
            <w:pPr>
              <w:pStyle w:val="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（例如：投标报价为：8折和7折时，则7折为评标基准价。在政采云平台制作投标文件，录入相应产品的投标报价（折扣）时）：</w:t>
            </w:r>
          </w:p>
          <w:p>
            <w:pPr>
              <w:pStyle w:val="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8折对应80%，即为单类货物实际结算价=单类货物零售结算单价×80%（折扣）；</w:t>
            </w:r>
          </w:p>
          <w:p>
            <w:pPr>
              <w:pStyle w:val="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7折对应70%，即为单类货物实际结算价=单类货物零售结算单价×70%（折扣）</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696"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1281" w:type="dxa"/>
            <w:vAlign w:val="center"/>
          </w:tcPr>
          <w:p>
            <w:pPr>
              <w:spacing w:line="360" w:lineRule="auto"/>
              <w:jc w:val="center"/>
              <w:outlineLvl w:val="0"/>
              <w:rPr>
                <w:rFonts w:cs="仿宋_GB2312" w:asciiTheme="minorEastAsia" w:hAnsiTheme="minorEastAsia" w:eastAsiaTheme="minorEastAsia"/>
                <w:color w:val="auto"/>
                <w:sz w:val="24"/>
              </w:rPr>
            </w:pPr>
          </w:p>
        </w:tc>
        <w:tc>
          <w:tcPr>
            <w:tcW w:w="1773"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0"/>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78" w:name="第五部分"/>
      <w:bookmarkStart w:id="79"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7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71"/>
        <w:rPr>
          <w:rFonts w:asciiTheme="minorEastAsia" w:hAnsiTheme="minorEastAsia" w:eastAsiaTheme="minorEastAsia"/>
          <w:szCs w:val="24"/>
        </w:rPr>
      </w:pPr>
    </w:p>
    <w:p>
      <w:pPr>
        <w:pStyle w:val="71"/>
        <w:rPr>
          <w:rFonts w:asciiTheme="minorEastAsia" w:hAnsiTheme="minorEastAsia" w:eastAsiaTheme="minorEastAsia"/>
          <w:szCs w:val="24"/>
        </w:rPr>
      </w:pPr>
    </w:p>
    <w:p>
      <w:pPr>
        <w:spacing w:before="120" w:line="360" w:lineRule="auto"/>
        <w:ind w:left="960"/>
        <w:rPr>
          <w:rFonts w:hint="eastAsia"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杭州市临安区人民政府锦城街道办事处食材供货配送服务项目</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lang w:eastAsia="zh-CN"/>
        </w:rPr>
        <w:t>杭州市临安区人民政府锦城街道办事处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sz w:val="24"/>
          <w:u w:val="single"/>
          <w:lang w:eastAsia="zh-CN"/>
        </w:rPr>
        <w:t>杭州市临安区人民政府锦城街道办事处食材供货配送服务项目</w:t>
      </w:r>
      <w:r>
        <w:rPr>
          <w:rFonts w:hint="eastAsia" w:ascii="宋体" w:hAnsi="宋体"/>
          <w:sz w:val="24"/>
        </w:rPr>
        <w:t>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olor w:val="0000FF"/>
          <w:sz w:val="24"/>
          <w:u w:val="single"/>
          <w:lang w:eastAsia="zh-CN"/>
        </w:rPr>
        <w:t>杭州市临安区人民政府锦城街道办事处</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80" w:name="_Toc20421"/>
      <w:bookmarkStart w:id="81" w:name="_Toc19273"/>
      <w:bookmarkStart w:id="82" w:name="_Toc15367"/>
      <w:bookmarkStart w:id="83" w:name="_Toc22967"/>
      <w:bookmarkStart w:id="84" w:name="_Toc28855"/>
      <w:r>
        <w:rPr>
          <w:rFonts w:ascii="宋体" w:hAnsi="宋体"/>
          <w:b/>
          <w:sz w:val="24"/>
        </w:rPr>
        <w:t xml:space="preserve">1.1 </w:t>
      </w:r>
      <w:r>
        <w:rPr>
          <w:rFonts w:hint="eastAsia" w:ascii="宋体" w:hAnsi="宋体"/>
          <w:b/>
          <w:sz w:val="24"/>
        </w:rPr>
        <w:t>合同组成部分</w:t>
      </w:r>
      <w:bookmarkEnd w:id="80"/>
      <w:bookmarkEnd w:id="81"/>
      <w:bookmarkEnd w:id="82"/>
      <w:bookmarkEnd w:id="83"/>
      <w:bookmarkEnd w:id="84"/>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cs="宋体"/>
          <w:b/>
          <w:color w:val="auto"/>
          <w:sz w:val="24"/>
          <w:highlight w:val="none"/>
        </w:rPr>
      </w:pPr>
      <w:bookmarkStart w:id="85" w:name="_Toc27126"/>
      <w:bookmarkStart w:id="86" w:name="_Toc21295"/>
      <w:bookmarkStart w:id="87" w:name="_Toc24300"/>
      <w:bookmarkStart w:id="88" w:name="_Toc21124"/>
      <w:bookmarkStart w:id="89" w:name="_Toc1386"/>
      <w:bookmarkStart w:id="90" w:name="_Toc4929"/>
      <w:bookmarkStart w:id="91" w:name="_Toc13918"/>
      <w:bookmarkStart w:id="92" w:name="_Toc5635"/>
      <w:r>
        <w:rPr>
          <w:rFonts w:hint="eastAsia" w:ascii="宋体" w:hAnsi="宋体" w:cs="宋体"/>
          <w:b/>
          <w:color w:val="auto"/>
          <w:sz w:val="24"/>
          <w:highlight w:val="none"/>
        </w:rPr>
        <w:t>1.2 货物</w:t>
      </w:r>
      <w:bookmarkEnd w:id="85"/>
      <w:bookmarkEnd w:id="86"/>
      <w:bookmarkEnd w:id="87"/>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b/>
          <w:sz w:val="24"/>
        </w:rPr>
      </w:pPr>
      <w:r>
        <w:rPr>
          <w:rFonts w:ascii="宋体" w:hAnsi="宋体"/>
          <w:b/>
          <w:sz w:val="24"/>
        </w:rPr>
        <w:t>1.3 价款</w:t>
      </w:r>
      <w:bookmarkEnd w:id="88"/>
      <w:bookmarkEnd w:id="89"/>
      <w:bookmarkEnd w:id="90"/>
      <w:bookmarkEnd w:id="91"/>
      <w:bookmarkEnd w:id="92"/>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93" w:name="_Toc3654"/>
      <w:bookmarkStart w:id="94" w:name="_Toc30158"/>
      <w:bookmarkStart w:id="95" w:name="_Toc30506"/>
      <w:bookmarkStart w:id="96" w:name="_Toc14993"/>
      <w:bookmarkStart w:id="97"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93"/>
    <w:bookmarkEnd w:id="94"/>
    <w:bookmarkEnd w:id="95"/>
    <w:bookmarkEnd w:id="96"/>
    <w:bookmarkEnd w:id="97"/>
    <w:p>
      <w:pPr>
        <w:pStyle w:val="629"/>
        <w:spacing w:before="0" w:beforeAutospacing="0" w:after="0" w:afterAutospacing="0" w:line="360" w:lineRule="auto"/>
        <w:ind w:firstLine="480"/>
        <w:rPr>
          <w:b/>
        </w:rPr>
      </w:pPr>
      <w:bookmarkStart w:id="98" w:name="_Toc22618"/>
      <w:bookmarkStart w:id="99" w:name="_Toc1814"/>
      <w:bookmarkStart w:id="100" w:name="_Toc10340"/>
      <w:bookmarkStart w:id="101" w:name="_Toc31421"/>
      <w:bookmarkStart w:id="102" w:name="_Toc3625"/>
      <w:bookmarkStart w:id="103" w:name="_Toc11108"/>
      <w:bookmarkStart w:id="104" w:name="_Toc4760"/>
      <w:bookmarkStart w:id="105" w:name="_Toc8772"/>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98"/>
      <w:bookmarkEnd w:id="99"/>
      <w:bookmarkEnd w:id="100"/>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w:t>
      </w:r>
      <w:bookmarkEnd w:id="101"/>
      <w:bookmarkEnd w:id="102"/>
      <w:bookmarkEnd w:id="103"/>
      <w:bookmarkEnd w:id="104"/>
      <w:bookmarkEnd w:id="105"/>
      <w:r>
        <w:rPr>
          <w:rFonts w:hint="eastAsia" w:ascii="宋体" w:hAnsi="宋体" w:cs="宋体"/>
          <w:b/>
          <w:color w:val="auto"/>
          <w:sz w:val="24"/>
          <w:highlight w:val="none"/>
        </w:rPr>
        <w:t>货物交付期限、地点和方式</w:t>
      </w:r>
    </w:p>
    <w:p>
      <w:pPr>
        <w:spacing w:line="560" w:lineRule="exact"/>
        <w:ind w:firstLine="480" w:firstLineChars="200"/>
        <w:rPr>
          <w:rFonts w:ascii="宋体" w:hAnsi="宋体" w:cs="宋体"/>
          <w:color w:val="auto"/>
          <w:sz w:val="24"/>
          <w:highlight w:val="none"/>
          <w:u w:val="single"/>
        </w:rPr>
      </w:pPr>
      <w:bookmarkStart w:id="106" w:name="_Toc5698"/>
      <w:bookmarkStart w:id="107" w:name="_Toc3079"/>
      <w:bookmarkStart w:id="108" w:name="_Toc2375"/>
      <w:bookmarkStart w:id="109" w:name="_Toc8586"/>
      <w:bookmarkStart w:id="110" w:name="_Toc24662"/>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sz w:val="24"/>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106"/>
      <w:bookmarkEnd w:id="107"/>
      <w:bookmarkEnd w:id="108"/>
      <w:bookmarkEnd w:id="109"/>
      <w:bookmarkEnd w:id="110"/>
    </w:p>
    <w:p>
      <w:pPr>
        <w:spacing w:line="560" w:lineRule="exact"/>
        <w:ind w:firstLine="480" w:firstLineChars="200"/>
        <w:rPr>
          <w:rFonts w:ascii="宋体" w:hAnsi="宋体" w:cs="宋体"/>
          <w:color w:val="auto"/>
          <w:sz w:val="24"/>
          <w:highlight w:val="none"/>
        </w:rPr>
      </w:pPr>
      <w:bookmarkStart w:id="111" w:name="_Toc26807"/>
      <w:bookmarkStart w:id="112" w:name="_Toc30329"/>
      <w:bookmarkStart w:id="113" w:name="_Toc9497"/>
      <w:bookmarkStart w:id="114" w:name="_Toc32454"/>
      <w:bookmarkStart w:id="115" w:name="_Toc18683"/>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r>
        <w:rPr>
          <w:rFonts w:hint="eastAsia" w:ascii="宋体" w:hAnsi="宋体" w:cs="宋体"/>
          <w:sz w:val="24"/>
        </w:rPr>
        <w:t>。</w:t>
      </w:r>
    </w:p>
    <w:bookmarkEnd w:id="111"/>
    <w:bookmarkEnd w:id="112"/>
    <w:bookmarkEnd w:id="113"/>
    <w:bookmarkEnd w:id="114"/>
    <w:bookmarkEnd w:id="115"/>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16" w:name="_Toc31297"/>
      <w:bookmarkStart w:id="117" w:name="_Toc5228"/>
      <w:bookmarkStart w:id="118" w:name="_Toc14021"/>
      <w:bookmarkStart w:id="119" w:name="_Toc25079"/>
      <w:bookmarkStart w:id="120" w:name="_Toc19680"/>
      <w:r>
        <w:rPr>
          <w:rFonts w:ascii="宋体" w:hAnsi="宋体"/>
          <w:b/>
          <w:sz w:val="24"/>
        </w:rPr>
        <w:t>2.1 定义</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 xml:space="preserve">2.1.3 </w:t>
      </w:r>
      <w:r>
        <w:rPr>
          <w:rFonts w:hint="eastAsia" w:ascii="宋体" w:hAnsi="宋体" w:cs="宋体"/>
          <w:color w:val="auto"/>
          <w:sz w:val="24"/>
          <w:highlight w:val="none"/>
        </w:rPr>
        <w:t>“货物”系指中标或成交供应商根据合同约定应向采购人交付的一切各种形态和种类的物品，包括原材料、燃料、设备、机械、仪表、备件、计算机软件、产品等，并包括工具、手册等其他相关资料</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 xml:space="preserve">2.1.5 </w:t>
      </w:r>
      <w:r>
        <w:rPr>
          <w:rFonts w:hint="eastAsia" w:ascii="宋体" w:hAnsi="宋体" w:cs="宋体"/>
          <w:color w:val="auto"/>
          <w:sz w:val="24"/>
          <w:highlight w:val="none"/>
        </w:rPr>
        <w:t>“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2.1.6 </w:t>
      </w:r>
      <w:r>
        <w:rPr>
          <w:rFonts w:hint="eastAsia" w:ascii="宋体" w:hAnsi="宋体" w:cs="宋体"/>
          <w:color w:val="auto"/>
          <w:sz w:val="24"/>
          <w:highlight w:val="none"/>
        </w:rPr>
        <w:t>“现场”系指合同约定货物将要运至或者安装的地点</w:t>
      </w:r>
      <w:r>
        <w:rPr>
          <w:rFonts w:ascii="宋体" w:hAnsi="宋体"/>
          <w:sz w:val="24"/>
        </w:rPr>
        <w:t>。</w:t>
      </w:r>
    </w:p>
    <w:p>
      <w:pPr>
        <w:spacing w:line="560" w:lineRule="exact"/>
        <w:ind w:firstLine="482" w:firstLineChars="200"/>
        <w:outlineLvl w:val="0"/>
        <w:rPr>
          <w:rFonts w:ascii="宋体" w:hAnsi="宋体"/>
          <w:b/>
          <w:sz w:val="24"/>
        </w:rPr>
      </w:pPr>
      <w:bookmarkStart w:id="121" w:name="_Toc31402"/>
      <w:bookmarkStart w:id="122" w:name="_Toc19539"/>
      <w:bookmarkStart w:id="123" w:name="_Toc16752"/>
      <w:bookmarkStart w:id="124" w:name="_Toc23289"/>
      <w:bookmarkStart w:id="125" w:name="_Toc3769"/>
      <w:r>
        <w:rPr>
          <w:rFonts w:ascii="宋体" w:hAnsi="宋体"/>
          <w:b/>
          <w:sz w:val="24"/>
        </w:rPr>
        <w:t>2.2 技术规范</w:t>
      </w:r>
      <w:bookmarkEnd w:id="121"/>
      <w:bookmarkEnd w:id="122"/>
      <w:bookmarkEnd w:id="123"/>
      <w:bookmarkEnd w:id="124"/>
      <w:bookmarkEnd w:id="125"/>
    </w:p>
    <w:p>
      <w:pPr>
        <w:spacing w:line="560" w:lineRule="exact"/>
        <w:ind w:firstLine="480" w:firstLineChars="200"/>
        <w:rPr>
          <w:rFonts w:ascii="宋体" w:hAnsi="宋体"/>
          <w:sz w:val="24"/>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宋体" w:hAnsi="宋体"/>
          <w:sz w:val="24"/>
        </w:rPr>
        <w:t>。</w:t>
      </w:r>
    </w:p>
    <w:p>
      <w:pPr>
        <w:spacing w:line="560" w:lineRule="exact"/>
        <w:ind w:firstLine="482" w:firstLineChars="200"/>
        <w:outlineLvl w:val="0"/>
        <w:rPr>
          <w:rFonts w:ascii="宋体" w:hAnsi="宋体"/>
          <w:b/>
          <w:sz w:val="24"/>
        </w:rPr>
      </w:pPr>
      <w:bookmarkStart w:id="126" w:name="_Toc9161"/>
      <w:bookmarkStart w:id="127" w:name="_Toc4133"/>
      <w:bookmarkStart w:id="128" w:name="_Toc12412"/>
      <w:bookmarkStart w:id="129" w:name="_Toc27945"/>
      <w:bookmarkStart w:id="130" w:name="_Toc13673"/>
      <w:r>
        <w:rPr>
          <w:rFonts w:ascii="宋体" w:hAnsi="宋体"/>
          <w:b/>
          <w:sz w:val="24"/>
        </w:rPr>
        <w:t>2.3 知识产权</w:t>
      </w:r>
      <w:bookmarkEnd w:id="126"/>
      <w:bookmarkEnd w:id="127"/>
      <w:bookmarkEnd w:id="128"/>
      <w:bookmarkEnd w:id="129"/>
      <w:bookmarkEnd w:id="13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sz w:val="24"/>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ascii="宋体" w:hAnsi="宋体"/>
          <w:sz w:val="24"/>
        </w:rPr>
        <w:t>。</w:t>
      </w:r>
    </w:p>
    <w:p>
      <w:pPr>
        <w:spacing w:line="560" w:lineRule="exact"/>
        <w:ind w:firstLine="482" w:firstLineChars="200"/>
        <w:outlineLvl w:val="0"/>
        <w:rPr>
          <w:rFonts w:ascii="宋体" w:hAnsi="宋体" w:cs="宋体"/>
          <w:b/>
          <w:color w:val="auto"/>
          <w:sz w:val="24"/>
          <w:highlight w:val="none"/>
        </w:rPr>
      </w:pPr>
      <w:bookmarkStart w:id="131" w:name="_Toc11932"/>
      <w:bookmarkStart w:id="132" w:name="_Toc4194"/>
      <w:bookmarkStart w:id="133" w:name="_Toc29149"/>
      <w:r>
        <w:rPr>
          <w:rFonts w:hint="eastAsia" w:ascii="宋体" w:hAnsi="宋体" w:cs="宋体"/>
          <w:b/>
          <w:color w:val="auto"/>
          <w:sz w:val="24"/>
          <w:highlight w:val="none"/>
        </w:rPr>
        <w:t>2.4 包装和装运</w:t>
      </w:r>
      <w:bookmarkEnd w:id="131"/>
      <w:bookmarkEnd w:id="132"/>
      <w:bookmarkEnd w:id="13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134" w:name="_Ref467378591"/>
      <w:bookmarkStart w:id="135" w:name="_Ref467378541"/>
      <w:bookmarkStart w:id="136" w:name="_Ref467379542"/>
      <w:bookmarkStart w:id="137" w:name="_Toc487900354"/>
      <w:bookmarkStart w:id="138" w:name="_Toc279701245"/>
      <w:bookmarkStart w:id="139" w:name="_Ref467379536"/>
      <w:bookmarkStart w:id="140" w:name="_Ref467379527"/>
      <w:bookmarkStart w:id="141" w:name="_Toc259093674"/>
      <w:bookmarkStart w:id="142" w:name="_Toc26182"/>
      <w:bookmarkStart w:id="143" w:name="_Toc19074"/>
      <w:bookmarkStart w:id="144" w:name="_Toc30272"/>
      <w:r>
        <w:rPr>
          <w:rFonts w:hint="eastAsia" w:ascii="宋体" w:hAnsi="宋体" w:cs="宋体"/>
          <w:b/>
          <w:color w:val="auto"/>
          <w:sz w:val="24"/>
          <w:highlight w:val="none"/>
        </w:rPr>
        <w:t>2.</w:t>
      </w:r>
      <w:bookmarkEnd w:id="134"/>
      <w:bookmarkEnd w:id="135"/>
      <w:bookmarkEnd w:id="136"/>
      <w:bookmarkEnd w:id="137"/>
      <w:bookmarkEnd w:id="138"/>
      <w:bookmarkEnd w:id="139"/>
      <w:bookmarkEnd w:id="140"/>
      <w:bookmarkEnd w:id="141"/>
      <w:r>
        <w:rPr>
          <w:rFonts w:hint="eastAsia" w:ascii="宋体" w:hAnsi="宋体" w:cs="宋体"/>
          <w:b/>
          <w:color w:val="auto"/>
          <w:sz w:val="24"/>
          <w:highlight w:val="none"/>
        </w:rPr>
        <w:t>5 履约检查和问题反馈</w:t>
      </w:r>
      <w:bookmarkEnd w:id="142"/>
      <w:bookmarkEnd w:id="143"/>
      <w:bookmarkEnd w:id="144"/>
    </w:p>
    <w:p>
      <w:pPr>
        <w:spacing w:line="560" w:lineRule="exact"/>
        <w:ind w:firstLine="480" w:firstLineChars="200"/>
        <w:rPr>
          <w:rFonts w:ascii="宋体" w:hAnsi="宋体" w:cs="宋体"/>
          <w:color w:val="auto"/>
          <w:sz w:val="24"/>
          <w:highlight w:val="none"/>
        </w:rPr>
      </w:pPr>
      <w:bookmarkStart w:id="145" w:name="_Ref467379657"/>
      <w:r>
        <w:rPr>
          <w:rFonts w:hint="eastAsia" w:ascii="宋体" w:hAnsi="宋体" w:cs="宋体"/>
          <w:color w:val="auto"/>
          <w:sz w:val="24"/>
          <w:highlight w:val="none"/>
        </w:rPr>
        <w:t>2.5.1</w:t>
      </w:r>
      <w:bookmarkEnd w:id="145"/>
      <w:bookmarkStart w:id="146" w:name="_Toc186431854"/>
      <w:bookmarkStart w:id="147" w:name="_Ref467379793"/>
      <w:bookmarkStart w:id="148" w:name="_Toc259093676"/>
      <w:bookmarkStart w:id="149" w:name="_Toc487900357"/>
      <w:bookmarkStart w:id="150" w:name="_Toc279701247"/>
      <w:bookmarkStart w:id="151"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46"/>
      <w:bookmarkStart w:id="152" w:name="_Toc186431855"/>
      <w:r>
        <w:rPr>
          <w:rFonts w:hint="eastAsia" w:ascii="宋体" w:hAnsi="宋体" w:cs="宋体"/>
          <w:color w:val="auto"/>
          <w:sz w:val="24"/>
          <w:highlight w:val="none"/>
        </w:rPr>
        <w:t>。</w:t>
      </w:r>
    </w:p>
    <w:bookmarkEnd w:id="147"/>
    <w:bookmarkEnd w:id="148"/>
    <w:bookmarkEnd w:id="149"/>
    <w:bookmarkEnd w:id="150"/>
    <w:bookmarkEnd w:id="151"/>
    <w:bookmarkEnd w:id="152"/>
    <w:p>
      <w:pPr>
        <w:spacing w:line="560" w:lineRule="exact"/>
        <w:ind w:firstLine="482" w:firstLineChars="200"/>
        <w:outlineLvl w:val="0"/>
        <w:rPr>
          <w:rFonts w:ascii="宋体" w:hAnsi="宋体" w:cs="宋体"/>
          <w:b/>
          <w:color w:val="auto"/>
          <w:sz w:val="24"/>
          <w:highlight w:val="none"/>
        </w:rPr>
      </w:pPr>
      <w:bookmarkStart w:id="153" w:name="_Ref467379852"/>
      <w:bookmarkStart w:id="154" w:name="_Toc487900358"/>
      <w:bookmarkStart w:id="155" w:name="_Ref467379923"/>
      <w:bookmarkStart w:id="156" w:name="_Toc259093677"/>
      <w:bookmarkStart w:id="157" w:name="_Ref467379863"/>
      <w:bookmarkStart w:id="158" w:name="_Toc279701248"/>
      <w:bookmarkStart w:id="159" w:name="_Toc16110"/>
      <w:bookmarkStart w:id="160" w:name="_Toc774"/>
      <w:bookmarkStart w:id="161" w:name="_Toc3225"/>
      <w:r>
        <w:rPr>
          <w:rFonts w:hint="eastAsia" w:ascii="宋体" w:hAnsi="宋体" w:cs="宋体"/>
          <w:b/>
          <w:color w:val="auto"/>
          <w:sz w:val="24"/>
          <w:highlight w:val="none"/>
        </w:rPr>
        <w:t>2.6 技术资料</w:t>
      </w:r>
      <w:bookmarkEnd w:id="153"/>
      <w:bookmarkEnd w:id="154"/>
      <w:bookmarkEnd w:id="155"/>
      <w:bookmarkEnd w:id="156"/>
      <w:bookmarkEnd w:id="157"/>
      <w:bookmarkEnd w:id="158"/>
      <w:r>
        <w:rPr>
          <w:rFonts w:hint="eastAsia" w:ascii="宋体" w:hAnsi="宋体" w:cs="宋体"/>
          <w:b/>
          <w:color w:val="auto"/>
          <w:sz w:val="24"/>
          <w:highlight w:val="none"/>
        </w:rPr>
        <w:t>和保密义务</w:t>
      </w:r>
      <w:bookmarkEnd w:id="159"/>
      <w:bookmarkEnd w:id="160"/>
      <w:bookmarkEnd w:id="16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162" w:name="_Toc7860"/>
      <w:r>
        <w:rPr>
          <w:rFonts w:hint="eastAsia" w:ascii="宋体" w:hAnsi="宋体" w:cs="宋体"/>
          <w:b/>
          <w:color w:val="auto"/>
          <w:sz w:val="24"/>
          <w:highlight w:val="none"/>
        </w:rPr>
        <w:t>2.7 质量保证</w:t>
      </w:r>
      <w:bookmarkEnd w:id="1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163" w:name="_Toc17244"/>
      <w:bookmarkStart w:id="164" w:name="_Toc279701252"/>
      <w:bookmarkStart w:id="165" w:name="_Toc259093681"/>
      <w:bookmarkStart w:id="166" w:name="_Toc487900362"/>
      <w:r>
        <w:rPr>
          <w:rFonts w:hint="eastAsia" w:ascii="宋体" w:hAnsi="宋体" w:cs="宋体"/>
          <w:b/>
          <w:color w:val="auto"/>
          <w:sz w:val="24"/>
          <w:highlight w:val="none"/>
        </w:rPr>
        <w:t>2.8 货物的风险负担</w:t>
      </w:r>
      <w:bookmarkEnd w:id="16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167" w:name="_Toc14055"/>
      <w:r>
        <w:rPr>
          <w:rFonts w:hint="eastAsia" w:ascii="宋体" w:hAnsi="宋体" w:cs="宋体"/>
          <w:b/>
          <w:color w:val="auto"/>
          <w:sz w:val="24"/>
          <w:highlight w:val="none"/>
        </w:rPr>
        <w:t>2.9 延迟交货</w:t>
      </w:r>
      <w:bookmarkEnd w:id="164"/>
      <w:bookmarkEnd w:id="165"/>
      <w:bookmarkEnd w:id="166"/>
      <w:bookmarkEnd w:id="167"/>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168" w:name="_Toc7502"/>
      <w:bookmarkStart w:id="169" w:name="_Toc279701254"/>
      <w:bookmarkStart w:id="170" w:name="_Toc487900364"/>
      <w:bookmarkStart w:id="171" w:name="_Ref467378121"/>
      <w:bookmarkStart w:id="172" w:name="_Toc259093683"/>
      <w:r>
        <w:rPr>
          <w:rFonts w:hint="eastAsia" w:ascii="宋体" w:hAnsi="宋体" w:cs="宋体"/>
          <w:b/>
          <w:color w:val="auto"/>
          <w:sz w:val="24"/>
          <w:highlight w:val="none"/>
        </w:rPr>
        <w:t>2.10 合同变更</w:t>
      </w:r>
      <w:bookmarkEnd w:id="16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73" w:name="_Toc487900369"/>
      <w:bookmarkStart w:id="174" w:name="_Toc259093688"/>
      <w:bookmarkStart w:id="175" w:name="_Toc279701259"/>
    </w:p>
    <w:p>
      <w:pPr>
        <w:spacing w:line="560" w:lineRule="exact"/>
        <w:ind w:firstLine="482" w:firstLineChars="200"/>
        <w:outlineLvl w:val="0"/>
        <w:rPr>
          <w:rFonts w:ascii="宋体" w:hAnsi="宋体" w:cs="宋体"/>
          <w:b/>
          <w:color w:val="auto"/>
          <w:sz w:val="24"/>
          <w:highlight w:val="none"/>
        </w:rPr>
      </w:pPr>
      <w:bookmarkStart w:id="176" w:name="_Toc15237"/>
      <w:bookmarkStart w:id="177" w:name="_Toc10366"/>
      <w:bookmarkStart w:id="178" w:name="_Toc22955"/>
      <w:r>
        <w:rPr>
          <w:rFonts w:hint="eastAsia" w:ascii="宋体" w:hAnsi="宋体" w:cs="宋体"/>
          <w:b/>
          <w:color w:val="auto"/>
          <w:sz w:val="24"/>
          <w:highlight w:val="none"/>
        </w:rPr>
        <w:t>2.11 合同转让</w:t>
      </w:r>
      <w:bookmarkEnd w:id="173"/>
      <w:bookmarkEnd w:id="174"/>
      <w:bookmarkEnd w:id="175"/>
      <w:r>
        <w:rPr>
          <w:rFonts w:hint="eastAsia" w:ascii="宋体" w:hAnsi="宋体" w:cs="宋体"/>
          <w:b/>
          <w:color w:val="auto"/>
          <w:sz w:val="24"/>
          <w:highlight w:val="none"/>
        </w:rPr>
        <w:t>和分包</w:t>
      </w:r>
      <w:bookmarkEnd w:id="176"/>
      <w:bookmarkEnd w:id="177"/>
      <w:bookmarkEnd w:id="17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179" w:name="_Toc14066"/>
      <w:bookmarkStart w:id="180" w:name="_Toc13566"/>
      <w:bookmarkStart w:id="181" w:name="_Toc16508"/>
      <w:r>
        <w:rPr>
          <w:rFonts w:hint="eastAsia" w:ascii="宋体" w:hAnsi="宋体" w:cs="宋体"/>
          <w:b/>
          <w:color w:val="auto"/>
          <w:sz w:val="24"/>
          <w:highlight w:val="none"/>
        </w:rPr>
        <w:t>2.12 不可抗力</w:t>
      </w:r>
      <w:bookmarkEnd w:id="179"/>
      <w:bookmarkEnd w:id="180"/>
      <w:bookmarkEnd w:id="1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182" w:name="_Toc259093684"/>
      <w:bookmarkStart w:id="183" w:name="_Toc689"/>
      <w:bookmarkStart w:id="184" w:name="_Toc30676"/>
      <w:bookmarkStart w:id="185" w:name="_Toc487900365"/>
      <w:bookmarkStart w:id="186" w:name="_Toc279701255"/>
      <w:bookmarkStart w:id="187" w:name="_Toc6969"/>
      <w:r>
        <w:rPr>
          <w:rFonts w:hint="eastAsia" w:ascii="宋体" w:hAnsi="宋体" w:cs="宋体"/>
          <w:b/>
          <w:color w:val="auto"/>
          <w:sz w:val="24"/>
          <w:highlight w:val="none"/>
        </w:rPr>
        <w:t>2.13 税费</w:t>
      </w:r>
      <w:bookmarkEnd w:id="182"/>
      <w:bookmarkEnd w:id="183"/>
      <w:bookmarkEnd w:id="184"/>
      <w:bookmarkEnd w:id="185"/>
      <w:bookmarkEnd w:id="186"/>
      <w:bookmarkEnd w:id="1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188" w:name="_Toc16959"/>
      <w:bookmarkStart w:id="189" w:name="_Toc259093687"/>
      <w:bookmarkStart w:id="190" w:name="_Toc279701258"/>
      <w:bookmarkStart w:id="191" w:name="_Toc487900368"/>
      <w:bookmarkStart w:id="192" w:name="_Toc8298"/>
      <w:bookmarkStart w:id="193" w:name="_Toc7102"/>
      <w:r>
        <w:rPr>
          <w:rFonts w:hint="eastAsia" w:ascii="宋体" w:hAnsi="宋体" w:cs="宋体"/>
          <w:b/>
          <w:color w:val="auto"/>
          <w:sz w:val="24"/>
          <w:highlight w:val="none"/>
        </w:rPr>
        <w:t>2.14乙方破产</w:t>
      </w:r>
      <w:bookmarkEnd w:id="188"/>
      <w:bookmarkEnd w:id="189"/>
      <w:bookmarkEnd w:id="190"/>
      <w:bookmarkEnd w:id="191"/>
      <w:bookmarkEnd w:id="192"/>
      <w:bookmarkEnd w:id="19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194" w:name="_Toc15387"/>
      <w:bookmarkStart w:id="195" w:name="_Toc29333"/>
      <w:bookmarkStart w:id="196" w:name="_Toc6134"/>
      <w:r>
        <w:rPr>
          <w:rFonts w:hint="eastAsia" w:ascii="宋体" w:hAnsi="宋体" w:cs="宋体"/>
          <w:b/>
          <w:color w:val="auto"/>
          <w:sz w:val="24"/>
          <w:highlight w:val="none"/>
        </w:rPr>
        <w:t>2.15 合同中止、终止</w:t>
      </w:r>
      <w:bookmarkEnd w:id="194"/>
      <w:bookmarkEnd w:id="195"/>
      <w:bookmarkEnd w:id="19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197" w:name="_Toc14563"/>
      <w:bookmarkStart w:id="198" w:name="_Toc6596"/>
      <w:bookmarkStart w:id="199" w:name="_Toc1125"/>
      <w:r>
        <w:rPr>
          <w:rFonts w:hint="eastAsia" w:ascii="宋体" w:hAnsi="宋体" w:cs="宋体"/>
          <w:b/>
          <w:color w:val="auto"/>
          <w:sz w:val="24"/>
          <w:highlight w:val="none"/>
        </w:rPr>
        <w:t>2.16检验和验收</w:t>
      </w:r>
      <w:bookmarkEnd w:id="197"/>
      <w:bookmarkEnd w:id="198"/>
      <w:bookmarkEnd w:id="199"/>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69"/>
    <w:bookmarkEnd w:id="170"/>
    <w:bookmarkEnd w:id="171"/>
    <w:bookmarkEnd w:id="172"/>
    <w:p>
      <w:pPr>
        <w:spacing w:line="560" w:lineRule="exact"/>
        <w:ind w:firstLine="482" w:firstLineChars="200"/>
        <w:outlineLvl w:val="0"/>
        <w:rPr>
          <w:rFonts w:ascii="宋体" w:hAnsi="宋体" w:cs="宋体"/>
          <w:b/>
          <w:color w:val="auto"/>
          <w:sz w:val="24"/>
          <w:highlight w:val="none"/>
        </w:rPr>
      </w:pPr>
      <w:bookmarkStart w:id="200" w:name="_Toc259093690"/>
      <w:bookmarkStart w:id="201" w:name="_Toc279701261"/>
      <w:bookmarkStart w:id="202" w:name="_Toc487900371"/>
      <w:bookmarkStart w:id="203" w:name="_Toc19604"/>
      <w:bookmarkStart w:id="204" w:name="_Toc11284"/>
      <w:bookmarkStart w:id="205" w:name="_Toc25182"/>
      <w:r>
        <w:rPr>
          <w:rFonts w:hint="eastAsia" w:ascii="宋体" w:hAnsi="宋体" w:cs="宋体"/>
          <w:b/>
          <w:color w:val="auto"/>
          <w:sz w:val="24"/>
          <w:highlight w:val="none"/>
        </w:rPr>
        <w:t>2.17 通知</w:t>
      </w:r>
      <w:bookmarkEnd w:id="200"/>
      <w:bookmarkEnd w:id="201"/>
      <w:bookmarkEnd w:id="202"/>
      <w:r>
        <w:rPr>
          <w:rFonts w:hint="eastAsia" w:ascii="宋体" w:hAnsi="宋体" w:cs="宋体"/>
          <w:b/>
          <w:color w:val="auto"/>
          <w:sz w:val="24"/>
          <w:highlight w:val="none"/>
        </w:rPr>
        <w:t>和送达</w:t>
      </w:r>
      <w:bookmarkEnd w:id="203"/>
      <w:bookmarkEnd w:id="204"/>
      <w:bookmarkEnd w:id="205"/>
    </w:p>
    <w:p>
      <w:pPr>
        <w:spacing w:line="560" w:lineRule="exact"/>
        <w:ind w:firstLine="480" w:firstLineChars="200"/>
        <w:rPr>
          <w:rFonts w:ascii="宋体" w:hAnsi="宋体" w:cs="宋体"/>
          <w:color w:val="auto"/>
          <w:sz w:val="24"/>
          <w:highlight w:val="none"/>
        </w:rPr>
      </w:pPr>
      <w:bookmarkStart w:id="206" w:name="_Toc3135"/>
      <w:bookmarkStart w:id="207" w:name="_Toc6698"/>
      <w:bookmarkStart w:id="208" w:name="_Toc487900372"/>
      <w:bookmarkStart w:id="209" w:name="_Toc279701262"/>
      <w:bookmarkStart w:id="210"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206"/>
      <w:bookmarkEnd w:id="207"/>
    </w:p>
    <w:p>
      <w:pPr>
        <w:spacing w:line="560" w:lineRule="exact"/>
        <w:ind w:firstLine="480" w:firstLineChars="200"/>
        <w:rPr>
          <w:rFonts w:ascii="宋体" w:hAnsi="宋体" w:cs="宋体"/>
          <w:color w:val="auto"/>
          <w:sz w:val="24"/>
          <w:highlight w:val="none"/>
        </w:rPr>
      </w:pPr>
      <w:bookmarkStart w:id="211" w:name="_Toc23128"/>
      <w:bookmarkStart w:id="212"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1"/>
      <w:bookmarkEnd w:id="212"/>
    </w:p>
    <w:p>
      <w:pPr>
        <w:spacing w:line="560" w:lineRule="exact"/>
        <w:ind w:firstLine="482" w:firstLineChars="200"/>
        <w:outlineLvl w:val="0"/>
        <w:rPr>
          <w:rFonts w:ascii="宋体" w:hAnsi="宋体" w:cs="宋体"/>
          <w:b/>
          <w:color w:val="auto"/>
          <w:sz w:val="24"/>
          <w:highlight w:val="none"/>
        </w:rPr>
      </w:pPr>
      <w:bookmarkStart w:id="213" w:name="_Toc4355"/>
      <w:bookmarkStart w:id="214" w:name="_Toc30599"/>
      <w:bookmarkStart w:id="215" w:name="_Toc18540"/>
      <w:r>
        <w:rPr>
          <w:rFonts w:hint="eastAsia" w:ascii="宋体" w:hAnsi="宋体" w:cs="宋体"/>
          <w:b/>
          <w:color w:val="auto"/>
          <w:sz w:val="24"/>
          <w:highlight w:val="none"/>
        </w:rPr>
        <w:t>2.18 计量单位</w:t>
      </w:r>
      <w:bookmarkEnd w:id="208"/>
      <w:bookmarkEnd w:id="209"/>
      <w:bookmarkEnd w:id="210"/>
      <w:bookmarkEnd w:id="213"/>
      <w:bookmarkEnd w:id="214"/>
      <w:bookmarkEnd w:id="2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216" w:name="_Toc12773"/>
      <w:bookmarkStart w:id="217" w:name="_Toc487900373"/>
      <w:bookmarkStart w:id="218" w:name="_Toc10330"/>
      <w:bookmarkStart w:id="219" w:name="_Toc279701263"/>
      <w:bookmarkStart w:id="220" w:name="_Toc18567"/>
      <w:bookmarkStart w:id="221" w:name="_Toc259093692"/>
      <w:r>
        <w:rPr>
          <w:rFonts w:hint="eastAsia" w:ascii="宋体" w:hAnsi="宋体" w:cs="宋体"/>
          <w:b/>
          <w:color w:val="auto"/>
          <w:sz w:val="24"/>
          <w:highlight w:val="none"/>
        </w:rPr>
        <w:t>2.19 合同使用的文字和适用的法律</w:t>
      </w:r>
      <w:bookmarkEnd w:id="216"/>
      <w:bookmarkEnd w:id="217"/>
      <w:bookmarkEnd w:id="218"/>
      <w:bookmarkEnd w:id="219"/>
      <w:bookmarkEnd w:id="220"/>
      <w:bookmarkEnd w:id="22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222" w:name="_Toc14001"/>
      <w:bookmarkStart w:id="223" w:name="_Toc6885"/>
      <w:bookmarkStart w:id="224" w:name="_Toc19890"/>
      <w:r>
        <w:rPr>
          <w:rFonts w:hint="eastAsia" w:ascii="宋体" w:hAnsi="宋体" w:cs="宋体"/>
          <w:b/>
          <w:color w:val="auto"/>
          <w:sz w:val="24"/>
          <w:highlight w:val="none"/>
        </w:rPr>
        <w:t>2.20 合同份数</w:t>
      </w:r>
      <w:bookmarkEnd w:id="222"/>
      <w:bookmarkEnd w:id="223"/>
      <w:bookmarkEnd w:id="224"/>
    </w:p>
    <w:p>
      <w:pPr>
        <w:spacing w:line="560" w:lineRule="exact"/>
        <w:ind w:firstLine="480" w:firstLineChars="200"/>
        <w:rPr>
          <w:rFonts w:ascii="宋体" w:hAnsi="宋体"/>
          <w:sz w:val="24"/>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8"/>
      <w:r>
        <w:rPr>
          <w:rFonts w:hint="eastAsia" w:cs="仿宋_GB2312" w:asciiTheme="minorEastAsia" w:hAnsiTheme="minorEastAsia" w:eastAsiaTheme="minorEastAsia"/>
          <w:b/>
          <w:sz w:val="36"/>
          <w:szCs w:val="20"/>
        </w:rPr>
        <w:t xml:space="preserve">  </w:t>
      </w:r>
      <w:bookmarkEnd w:id="79"/>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】的有关活动，并对此项目进行响应。为此：</w:t>
      </w:r>
    </w:p>
    <w:p>
      <w:pPr>
        <w:pStyle w:val="105"/>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5"/>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25"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25"/>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26"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26"/>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27"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27"/>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杭州市临安区人民政府锦城街道办事处食材供货配送服务项目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rPr>
            </w:pPr>
          </w:p>
        </w:tc>
        <w:tc>
          <w:tcPr>
            <w:tcW w:w="1900" w:type="dxa"/>
          </w:tcPr>
          <w:p>
            <w:pPr>
              <w:pStyle w:val="33"/>
              <w:spacing w:line="360" w:lineRule="auto"/>
              <w:jc w:val="center"/>
              <w:rPr>
                <w:rFonts w:cs="仿宋_GB2312" w:asciiTheme="minorEastAsia" w:hAnsiTheme="minorEastAsia" w:eastAsiaTheme="minorEastAsia"/>
                <w:sz w:val="24"/>
              </w:rPr>
            </w:pPr>
          </w:p>
        </w:tc>
        <w:tc>
          <w:tcPr>
            <w:tcW w:w="1800" w:type="dxa"/>
          </w:tcPr>
          <w:p>
            <w:pPr>
              <w:pStyle w:val="33"/>
              <w:spacing w:line="360" w:lineRule="auto"/>
              <w:jc w:val="center"/>
              <w:rPr>
                <w:rFonts w:cs="仿宋_GB2312" w:asciiTheme="minorEastAsia" w:hAnsiTheme="minorEastAsia" w:eastAsiaTheme="minorEastAsia"/>
                <w:sz w:val="24"/>
              </w:rPr>
            </w:pPr>
          </w:p>
        </w:tc>
        <w:tc>
          <w:tcPr>
            <w:tcW w:w="2880" w:type="dxa"/>
          </w:tcPr>
          <w:p>
            <w:pPr>
              <w:pStyle w:val="33"/>
              <w:spacing w:line="360" w:lineRule="auto"/>
              <w:jc w:val="center"/>
              <w:rPr>
                <w:rFonts w:cs="仿宋_GB2312" w:asciiTheme="minorEastAsia" w:hAnsiTheme="minorEastAsia" w:eastAsiaTheme="minorEastAsia"/>
                <w:sz w:val="24"/>
              </w:rPr>
            </w:pPr>
          </w:p>
        </w:tc>
        <w:tc>
          <w:tcPr>
            <w:tcW w:w="1332" w:type="dxa"/>
          </w:tcPr>
          <w:p>
            <w:pPr>
              <w:pStyle w:val="33"/>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w:t>
      </w:r>
      <w:r>
        <w:rPr>
          <w:rFonts w:hint="eastAsia" w:cs="仿宋_GB2312" w:asciiTheme="minorEastAsia" w:hAnsiTheme="minorEastAsia" w:eastAsiaTheme="minorEastAsia"/>
          <w:kern w:val="2"/>
          <w:sz w:val="32"/>
          <w:szCs w:val="32"/>
          <w:lang w:val="en-US" w:eastAsia="zh-CN"/>
        </w:rPr>
        <w:t>开标</w:t>
      </w:r>
      <w:r>
        <w:rPr>
          <w:rFonts w:hint="eastAsia" w:cs="仿宋_GB2312" w:asciiTheme="minorEastAsia" w:hAnsiTheme="minorEastAsia" w:eastAsiaTheme="minorEastAsia"/>
          <w:kern w:val="2"/>
          <w:sz w:val="32"/>
          <w:szCs w:val="32"/>
        </w:rPr>
        <w:t>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w:t>
      </w:r>
      <w:r>
        <w:rPr>
          <w:rFonts w:hint="eastAsia" w:cs="仿宋_GB2312" w:asciiTheme="minorEastAsia" w:hAnsiTheme="minorEastAsia" w:eastAsiaTheme="minorEastAsia"/>
          <w:kern w:val="0"/>
          <w:sz w:val="24"/>
          <w:lang w:val="en-US" w:eastAsia="zh-CN"/>
        </w:rPr>
        <w:t>开标</w:t>
      </w:r>
      <w:r>
        <w:rPr>
          <w:rFonts w:hint="eastAsia" w:cs="仿宋_GB2312" w:asciiTheme="minorEastAsia" w:hAnsiTheme="minorEastAsia" w:eastAsiaTheme="minorEastAsia"/>
          <w:kern w:val="0"/>
          <w:sz w:val="24"/>
          <w:lang w:val="zh-CN"/>
        </w:rPr>
        <w:t>一览表的价格完成</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en-US" w:eastAsia="zh-CN"/>
        </w:rPr>
        <w:t>开标</w:t>
      </w:r>
      <w:r>
        <w:rPr>
          <w:rFonts w:hint="eastAsia" w:cs="仿宋_GB2312" w:asciiTheme="minorEastAsia" w:hAnsiTheme="minorEastAsia" w:eastAsiaTheme="minorEastAsia"/>
          <w:b/>
          <w:kern w:val="0"/>
          <w:sz w:val="24"/>
          <w:lang w:val="zh-CN"/>
        </w:rPr>
        <w:t>一览表(</w:t>
      </w:r>
      <w:r>
        <w:rPr>
          <w:rFonts w:hint="eastAsia" w:cs="仿宋_GB2312" w:asciiTheme="minorEastAsia" w:hAnsiTheme="minorEastAsia" w:eastAsiaTheme="minorEastAsia"/>
          <w:b/>
          <w:kern w:val="0"/>
          <w:sz w:val="24"/>
          <w:lang w:val="en-US" w:eastAsia="zh-CN"/>
        </w:rPr>
        <w:t>报价表</w:t>
      </w:r>
      <w:r>
        <w:rPr>
          <w:rFonts w:hint="eastAsia" w:cs="仿宋_GB2312" w:asciiTheme="minorEastAsia" w:hAnsiTheme="minorEastAsia" w:eastAsiaTheme="minorEastAsia"/>
          <w:b/>
          <w:kern w:val="0"/>
          <w:sz w:val="24"/>
          <w:lang w:val="zh-CN"/>
        </w:rPr>
        <w:t>)</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0"/>
        <w:gridCol w:w="4200"/>
        <w:gridCol w:w="1590"/>
        <w:gridCol w:w="2325"/>
        <w:gridCol w:w="2145"/>
        <w:gridCol w:w="15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84" w:type="dxa"/>
            <w:vAlign w:val="center"/>
          </w:tcPr>
          <w:p>
            <w:pPr>
              <w:spacing w:line="360" w:lineRule="auto"/>
              <w:jc w:val="center"/>
              <w:rPr>
                <w:rFonts w:ascii="宋体" w:hAnsi="宋体" w:cs="宋体"/>
                <w:b/>
                <w:color w:val="auto"/>
                <w:sz w:val="24"/>
              </w:rPr>
            </w:pPr>
            <w:r>
              <w:rPr>
                <w:rFonts w:hint="eastAsia" w:ascii="仿宋" w:hAnsi="仿宋" w:eastAsia="仿宋" w:cs="仿宋"/>
                <w:b/>
                <w:sz w:val="24"/>
              </w:rPr>
              <w:t>序号</w:t>
            </w:r>
          </w:p>
        </w:tc>
        <w:tc>
          <w:tcPr>
            <w:tcW w:w="660" w:type="dxa"/>
            <w:vAlign w:val="center"/>
          </w:tcPr>
          <w:p>
            <w:pPr>
              <w:spacing w:line="360" w:lineRule="auto"/>
              <w:jc w:val="center"/>
              <w:rPr>
                <w:rFonts w:ascii="宋体" w:hAnsi="宋体" w:cs="宋体"/>
                <w:b/>
                <w:color w:val="auto"/>
                <w:sz w:val="24"/>
              </w:rPr>
            </w:pPr>
            <w:r>
              <w:rPr>
                <w:rFonts w:hint="eastAsia" w:ascii="仿宋" w:hAnsi="仿宋" w:eastAsia="仿宋" w:cs="仿宋"/>
                <w:b/>
                <w:sz w:val="24"/>
              </w:rPr>
              <w:t>名称</w:t>
            </w:r>
          </w:p>
        </w:tc>
        <w:tc>
          <w:tcPr>
            <w:tcW w:w="4200" w:type="dxa"/>
            <w:vAlign w:val="top"/>
          </w:tcPr>
          <w:p>
            <w:pPr>
              <w:spacing w:line="360" w:lineRule="auto"/>
              <w:jc w:val="center"/>
              <w:rPr>
                <w:rFonts w:hint="eastAsia" w:ascii="仿宋" w:hAnsi="仿宋" w:eastAsia="仿宋" w:cs="仿宋"/>
                <w:b/>
                <w:sz w:val="24"/>
              </w:rPr>
            </w:pPr>
          </w:p>
          <w:p>
            <w:pPr>
              <w:spacing w:line="360" w:lineRule="auto"/>
              <w:jc w:val="center"/>
              <w:rPr>
                <w:rFonts w:ascii="宋体" w:hAnsi="宋体" w:cs="宋体"/>
                <w:b/>
                <w:color w:val="auto"/>
                <w:sz w:val="24"/>
              </w:rPr>
            </w:pPr>
            <w:r>
              <w:rPr>
                <w:rFonts w:hint="eastAsia" w:ascii="仿宋" w:hAnsi="仿宋" w:eastAsia="仿宋" w:cs="仿宋"/>
                <w:b/>
                <w:sz w:val="24"/>
              </w:rPr>
              <w:t>品牌（如果有）</w:t>
            </w:r>
          </w:p>
        </w:tc>
        <w:tc>
          <w:tcPr>
            <w:tcW w:w="1590" w:type="dxa"/>
            <w:vAlign w:val="center"/>
          </w:tcPr>
          <w:p>
            <w:pPr>
              <w:spacing w:line="360" w:lineRule="auto"/>
              <w:jc w:val="center"/>
              <w:rPr>
                <w:rFonts w:ascii="宋体" w:hAnsi="宋体" w:cs="宋体"/>
                <w:b/>
                <w:color w:val="auto"/>
                <w:sz w:val="24"/>
              </w:rPr>
            </w:pPr>
            <w:r>
              <w:rPr>
                <w:rFonts w:hint="eastAsia" w:ascii="仿宋" w:hAnsi="仿宋" w:eastAsia="仿宋" w:cs="仿宋"/>
                <w:b/>
                <w:sz w:val="24"/>
              </w:rPr>
              <w:t>规格型号</w:t>
            </w:r>
          </w:p>
        </w:tc>
        <w:tc>
          <w:tcPr>
            <w:tcW w:w="2325" w:type="dxa"/>
            <w:vAlign w:val="center"/>
          </w:tcPr>
          <w:p>
            <w:pPr>
              <w:spacing w:line="360" w:lineRule="auto"/>
              <w:jc w:val="center"/>
              <w:rPr>
                <w:rFonts w:ascii="宋体" w:hAnsi="宋体" w:cs="宋体"/>
                <w:b/>
                <w:color w:val="auto"/>
                <w:sz w:val="24"/>
              </w:rPr>
            </w:pPr>
            <w:r>
              <w:rPr>
                <w:rFonts w:hint="eastAsia" w:ascii="仿宋" w:hAnsi="仿宋" w:eastAsia="仿宋" w:cs="仿宋"/>
                <w:b/>
                <w:sz w:val="24"/>
              </w:rPr>
              <w:t>数量</w:t>
            </w:r>
          </w:p>
        </w:tc>
        <w:tc>
          <w:tcPr>
            <w:tcW w:w="2145" w:type="dxa"/>
            <w:vAlign w:val="center"/>
          </w:tcPr>
          <w:p>
            <w:pPr>
              <w:spacing w:line="360" w:lineRule="auto"/>
              <w:jc w:val="center"/>
              <w:rPr>
                <w:rFonts w:hint="default" w:ascii="宋体" w:hAnsi="宋体" w:eastAsia="宋体" w:cs="宋体"/>
                <w:b/>
                <w:color w:val="auto"/>
                <w:sz w:val="24"/>
                <w:lang w:val="en-US" w:eastAsia="zh-CN"/>
              </w:rPr>
            </w:pPr>
            <w:r>
              <w:rPr>
                <w:rFonts w:hint="eastAsia" w:ascii="仿宋" w:hAnsi="仿宋" w:eastAsia="仿宋" w:cs="仿宋"/>
                <w:b/>
                <w:sz w:val="24"/>
                <w:lang w:val="en-US" w:eastAsia="zh-CN"/>
              </w:rPr>
              <w:t>投标折扣率（%）</w:t>
            </w:r>
          </w:p>
        </w:tc>
        <w:tc>
          <w:tcPr>
            <w:tcW w:w="1504" w:type="dxa"/>
            <w:vAlign w:val="center"/>
          </w:tcPr>
          <w:p>
            <w:pPr>
              <w:spacing w:line="360" w:lineRule="auto"/>
              <w:jc w:val="center"/>
              <w:rPr>
                <w:rFonts w:ascii="宋体" w:hAnsi="宋体" w:cs="宋体"/>
                <w:b/>
                <w:color w:val="auto"/>
                <w:sz w:val="24"/>
              </w:rPr>
            </w:pPr>
            <w:r>
              <w:rPr>
                <w:rFonts w:hint="eastAsia" w:ascii="仿宋" w:hAnsi="仿宋" w:eastAsia="仿宋" w:cs="仿宋"/>
                <w:b/>
                <w:sz w:val="24"/>
              </w:rPr>
              <w:t>合计</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84" w:type="dxa"/>
            <w:vMerge w:val="restart"/>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660" w:type="dxa"/>
            <w:vMerge w:val="restart"/>
            <w:vAlign w:val="center"/>
          </w:tcPr>
          <w:p>
            <w:pPr>
              <w:snapToGrid w:val="0"/>
              <w:spacing w:line="360" w:lineRule="auto"/>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食材配送</w:t>
            </w:r>
          </w:p>
        </w:tc>
        <w:tc>
          <w:tcPr>
            <w:tcW w:w="4200"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蔬菜类</w:t>
            </w:r>
          </w:p>
        </w:tc>
        <w:tc>
          <w:tcPr>
            <w:tcW w:w="1590" w:type="dxa"/>
            <w:vAlign w:val="center"/>
          </w:tcPr>
          <w:p>
            <w:pPr>
              <w:snapToGrid w:val="0"/>
              <w:spacing w:line="360" w:lineRule="auto"/>
              <w:jc w:val="both"/>
              <w:rPr>
                <w:rFonts w:hint="eastAsia" w:ascii="宋体" w:hAnsi="宋体" w:cs="宋体"/>
                <w:color w:val="auto"/>
                <w:sz w:val="24"/>
                <w:lang w:val="en-US" w:eastAsia="zh-CN"/>
              </w:rPr>
            </w:pPr>
          </w:p>
        </w:tc>
        <w:tc>
          <w:tcPr>
            <w:tcW w:w="2325" w:type="dxa"/>
            <w:vAlign w:val="center"/>
          </w:tcPr>
          <w:p>
            <w:pPr>
              <w:snapToGrid w:val="0"/>
              <w:spacing w:line="360" w:lineRule="auto"/>
              <w:jc w:val="both"/>
              <w:rPr>
                <w:rFonts w:hint="eastAsia" w:ascii="宋体" w:hAnsi="宋体" w:cs="宋体"/>
                <w:color w:val="auto"/>
                <w:sz w:val="24"/>
                <w:lang w:val="en-US" w:eastAsia="zh-CN"/>
              </w:rPr>
            </w:pPr>
          </w:p>
        </w:tc>
        <w:tc>
          <w:tcPr>
            <w:tcW w:w="2145" w:type="dxa"/>
            <w:vAlign w:val="center"/>
          </w:tcPr>
          <w:p>
            <w:pPr>
              <w:snapToGrid w:val="0"/>
              <w:spacing w:line="360" w:lineRule="auto"/>
              <w:jc w:val="both"/>
              <w:rPr>
                <w:rFonts w:hint="eastAsia" w:ascii="宋体" w:hAnsi="宋体" w:cs="宋体"/>
                <w:color w:val="auto"/>
                <w:sz w:val="24"/>
                <w:lang w:val="en-US" w:eastAsia="zh-CN"/>
              </w:rPr>
            </w:pPr>
          </w:p>
        </w:tc>
        <w:tc>
          <w:tcPr>
            <w:tcW w:w="1504"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4" w:type="dxa"/>
            <w:vMerge w:val="continue"/>
            <w:vAlign w:val="center"/>
          </w:tcPr>
          <w:p>
            <w:pPr>
              <w:spacing w:line="360" w:lineRule="auto"/>
              <w:jc w:val="center"/>
              <w:rPr>
                <w:rFonts w:ascii="宋体" w:hAnsi="宋体" w:cs="宋体"/>
                <w:color w:val="auto"/>
                <w:sz w:val="24"/>
              </w:rPr>
            </w:pPr>
          </w:p>
        </w:tc>
        <w:tc>
          <w:tcPr>
            <w:tcW w:w="660" w:type="dxa"/>
            <w:vMerge w:val="continue"/>
            <w:vAlign w:val="center"/>
          </w:tcPr>
          <w:p>
            <w:pPr>
              <w:snapToGrid w:val="0"/>
              <w:spacing w:line="360" w:lineRule="auto"/>
              <w:jc w:val="center"/>
              <w:rPr>
                <w:rFonts w:ascii="宋体" w:hAnsi="宋体" w:cs="宋体"/>
                <w:color w:val="auto"/>
                <w:sz w:val="24"/>
              </w:rPr>
            </w:pPr>
          </w:p>
        </w:tc>
        <w:tc>
          <w:tcPr>
            <w:tcW w:w="4200"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粮油类</w:t>
            </w:r>
          </w:p>
        </w:tc>
        <w:tc>
          <w:tcPr>
            <w:tcW w:w="1590" w:type="dxa"/>
            <w:vAlign w:val="center"/>
          </w:tcPr>
          <w:p>
            <w:pPr>
              <w:snapToGrid w:val="0"/>
              <w:spacing w:line="360" w:lineRule="auto"/>
              <w:jc w:val="both"/>
              <w:rPr>
                <w:rFonts w:hint="eastAsia" w:ascii="宋体" w:hAnsi="宋体" w:cs="宋体"/>
                <w:color w:val="auto"/>
                <w:sz w:val="24"/>
                <w:lang w:val="en-US" w:eastAsia="zh-CN"/>
              </w:rPr>
            </w:pPr>
          </w:p>
        </w:tc>
        <w:tc>
          <w:tcPr>
            <w:tcW w:w="2325" w:type="dxa"/>
            <w:vAlign w:val="center"/>
          </w:tcPr>
          <w:p>
            <w:pPr>
              <w:snapToGrid w:val="0"/>
              <w:spacing w:line="360" w:lineRule="auto"/>
              <w:jc w:val="both"/>
              <w:rPr>
                <w:rFonts w:hint="eastAsia" w:ascii="宋体" w:hAnsi="宋体" w:cs="宋体"/>
                <w:color w:val="auto"/>
                <w:sz w:val="24"/>
                <w:lang w:val="en-US" w:eastAsia="zh-CN"/>
              </w:rPr>
            </w:pPr>
          </w:p>
        </w:tc>
        <w:tc>
          <w:tcPr>
            <w:tcW w:w="2145" w:type="dxa"/>
            <w:vAlign w:val="center"/>
          </w:tcPr>
          <w:p>
            <w:pPr>
              <w:snapToGrid w:val="0"/>
              <w:spacing w:line="360" w:lineRule="auto"/>
              <w:jc w:val="both"/>
              <w:rPr>
                <w:rFonts w:hint="eastAsia" w:ascii="宋体" w:hAnsi="宋体" w:cs="宋体"/>
                <w:color w:val="auto"/>
                <w:sz w:val="24"/>
                <w:lang w:val="en-US" w:eastAsia="zh-CN"/>
              </w:rPr>
            </w:pPr>
          </w:p>
        </w:tc>
        <w:tc>
          <w:tcPr>
            <w:tcW w:w="1504"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4" w:type="dxa"/>
            <w:vMerge w:val="continue"/>
            <w:vAlign w:val="center"/>
          </w:tcPr>
          <w:p>
            <w:pPr>
              <w:spacing w:line="360" w:lineRule="auto"/>
              <w:jc w:val="center"/>
              <w:rPr>
                <w:rFonts w:ascii="宋体" w:hAnsi="宋体" w:cs="宋体"/>
                <w:color w:val="auto"/>
                <w:sz w:val="24"/>
              </w:rPr>
            </w:pPr>
          </w:p>
        </w:tc>
        <w:tc>
          <w:tcPr>
            <w:tcW w:w="660" w:type="dxa"/>
            <w:vMerge w:val="continue"/>
            <w:vAlign w:val="center"/>
          </w:tcPr>
          <w:p>
            <w:pPr>
              <w:snapToGrid w:val="0"/>
              <w:spacing w:line="360" w:lineRule="auto"/>
              <w:jc w:val="center"/>
              <w:rPr>
                <w:rFonts w:ascii="宋体" w:hAnsi="宋体" w:cs="宋体"/>
                <w:color w:val="auto"/>
                <w:sz w:val="24"/>
              </w:rPr>
            </w:pPr>
          </w:p>
        </w:tc>
        <w:tc>
          <w:tcPr>
            <w:tcW w:w="4200"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冷冻品类</w:t>
            </w:r>
          </w:p>
        </w:tc>
        <w:tc>
          <w:tcPr>
            <w:tcW w:w="1590" w:type="dxa"/>
            <w:vAlign w:val="center"/>
          </w:tcPr>
          <w:p>
            <w:pPr>
              <w:snapToGrid w:val="0"/>
              <w:spacing w:line="360" w:lineRule="auto"/>
              <w:jc w:val="both"/>
              <w:rPr>
                <w:rFonts w:hint="eastAsia" w:ascii="宋体" w:hAnsi="宋体" w:cs="宋体"/>
                <w:color w:val="auto"/>
                <w:sz w:val="24"/>
                <w:lang w:val="en-US" w:eastAsia="zh-CN"/>
              </w:rPr>
            </w:pPr>
          </w:p>
        </w:tc>
        <w:tc>
          <w:tcPr>
            <w:tcW w:w="2325" w:type="dxa"/>
            <w:vAlign w:val="center"/>
          </w:tcPr>
          <w:p>
            <w:pPr>
              <w:snapToGrid w:val="0"/>
              <w:spacing w:line="360" w:lineRule="auto"/>
              <w:jc w:val="both"/>
              <w:rPr>
                <w:rFonts w:hint="eastAsia" w:ascii="宋体" w:hAnsi="宋体" w:cs="宋体"/>
                <w:color w:val="auto"/>
                <w:sz w:val="24"/>
                <w:lang w:val="en-US" w:eastAsia="zh-CN"/>
              </w:rPr>
            </w:pPr>
          </w:p>
        </w:tc>
        <w:tc>
          <w:tcPr>
            <w:tcW w:w="2145" w:type="dxa"/>
            <w:vAlign w:val="center"/>
          </w:tcPr>
          <w:p>
            <w:pPr>
              <w:snapToGrid w:val="0"/>
              <w:spacing w:line="360" w:lineRule="auto"/>
              <w:jc w:val="both"/>
              <w:rPr>
                <w:rFonts w:hint="eastAsia" w:ascii="宋体" w:hAnsi="宋体" w:cs="宋体"/>
                <w:color w:val="auto"/>
                <w:sz w:val="24"/>
                <w:lang w:val="en-US" w:eastAsia="zh-CN"/>
              </w:rPr>
            </w:pPr>
          </w:p>
        </w:tc>
        <w:tc>
          <w:tcPr>
            <w:tcW w:w="1504"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4" w:type="dxa"/>
            <w:vMerge w:val="continue"/>
            <w:vAlign w:val="center"/>
          </w:tcPr>
          <w:p>
            <w:pPr>
              <w:spacing w:line="360" w:lineRule="auto"/>
              <w:jc w:val="center"/>
              <w:rPr>
                <w:rFonts w:ascii="宋体" w:hAnsi="宋体" w:cs="宋体"/>
                <w:color w:val="auto"/>
                <w:sz w:val="24"/>
              </w:rPr>
            </w:pPr>
          </w:p>
        </w:tc>
        <w:tc>
          <w:tcPr>
            <w:tcW w:w="660" w:type="dxa"/>
            <w:vMerge w:val="continue"/>
            <w:vAlign w:val="center"/>
          </w:tcPr>
          <w:p>
            <w:pPr>
              <w:snapToGrid w:val="0"/>
              <w:spacing w:line="360" w:lineRule="auto"/>
              <w:jc w:val="center"/>
              <w:rPr>
                <w:rFonts w:ascii="宋体" w:hAnsi="宋体" w:cs="宋体"/>
                <w:color w:val="auto"/>
                <w:sz w:val="24"/>
              </w:rPr>
            </w:pPr>
          </w:p>
        </w:tc>
        <w:tc>
          <w:tcPr>
            <w:tcW w:w="4200"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调味品类</w:t>
            </w:r>
          </w:p>
        </w:tc>
        <w:tc>
          <w:tcPr>
            <w:tcW w:w="1590" w:type="dxa"/>
            <w:vAlign w:val="center"/>
          </w:tcPr>
          <w:p>
            <w:pPr>
              <w:snapToGrid w:val="0"/>
              <w:spacing w:line="360" w:lineRule="auto"/>
              <w:jc w:val="both"/>
              <w:rPr>
                <w:rFonts w:hint="eastAsia" w:ascii="宋体" w:hAnsi="宋体" w:cs="宋体"/>
                <w:color w:val="auto"/>
                <w:sz w:val="24"/>
                <w:lang w:val="en-US" w:eastAsia="zh-CN"/>
              </w:rPr>
            </w:pPr>
          </w:p>
        </w:tc>
        <w:tc>
          <w:tcPr>
            <w:tcW w:w="2325" w:type="dxa"/>
            <w:vAlign w:val="center"/>
          </w:tcPr>
          <w:p>
            <w:pPr>
              <w:snapToGrid w:val="0"/>
              <w:spacing w:line="360" w:lineRule="auto"/>
              <w:jc w:val="both"/>
              <w:rPr>
                <w:rFonts w:hint="eastAsia" w:ascii="宋体" w:hAnsi="宋体" w:cs="宋体"/>
                <w:color w:val="auto"/>
                <w:sz w:val="24"/>
                <w:lang w:val="en-US" w:eastAsia="zh-CN"/>
              </w:rPr>
            </w:pPr>
          </w:p>
        </w:tc>
        <w:tc>
          <w:tcPr>
            <w:tcW w:w="2145" w:type="dxa"/>
            <w:vAlign w:val="center"/>
          </w:tcPr>
          <w:p>
            <w:pPr>
              <w:snapToGrid w:val="0"/>
              <w:spacing w:line="360" w:lineRule="auto"/>
              <w:jc w:val="both"/>
              <w:rPr>
                <w:rFonts w:hint="eastAsia" w:ascii="宋体" w:hAnsi="宋体" w:cs="宋体"/>
                <w:color w:val="auto"/>
                <w:sz w:val="24"/>
                <w:lang w:val="en-US" w:eastAsia="zh-CN"/>
              </w:rPr>
            </w:pPr>
          </w:p>
        </w:tc>
        <w:tc>
          <w:tcPr>
            <w:tcW w:w="1504"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4" w:type="dxa"/>
            <w:vMerge w:val="continue"/>
            <w:vAlign w:val="center"/>
          </w:tcPr>
          <w:p>
            <w:pPr>
              <w:spacing w:line="360" w:lineRule="auto"/>
              <w:jc w:val="center"/>
              <w:rPr>
                <w:rFonts w:ascii="宋体" w:hAnsi="宋体" w:cs="宋体"/>
                <w:color w:val="auto"/>
                <w:sz w:val="24"/>
              </w:rPr>
            </w:pPr>
          </w:p>
        </w:tc>
        <w:tc>
          <w:tcPr>
            <w:tcW w:w="660" w:type="dxa"/>
            <w:vMerge w:val="continue"/>
            <w:vAlign w:val="center"/>
          </w:tcPr>
          <w:p>
            <w:pPr>
              <w:snapToGrid w:val="0"/>
              <w:spacing w:line="360" w:lineRule="auto"/>
              <w:jc w:val="center"/>
              <w:rPr>
                <w:rFonts w:ascii="宋体" w:hAnsi="宋体" w:cs="宋体"/>
                <w:color w:val="auto"/>
                <w:sz w:val="24"/>
              </w:rPr>
            </w:pPr>
          </w:p>
        </w:tc>
        <w:tc>
          <w:tcPr>
            <w:tcW w:w="4200"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其他类（包括水产类、禽肉类、干货类、豆制品类、禽蛋类、鲜猪肉类、水果类、点心饮品类、厨房用品类等</w:t>
            </w:r>
          </w:p>
        </w:tc>
        <w:tc>
          <w:tcPr>
            <w:tcW w:w="1590" w:type="dxa"/>
            <w:vAlign w:val="center"/>
          </w:tcPr>
          <w:p>
            <w:pPr>
              <w:snapToGrid w:val="0"/>
              <w:spacing w:line="360" w:lineRule="auto"/>
              <w:jc w:val="both"/>
              <w:rPr>
                <w:rFonts w:hint="eastAsia" w:ascii="宋体" w:hAnsi="宋体" w:cs="宋体"/>
                <w:color w:val="auto"/>
                <w:sz w:val="24"/>
                <w:lang w:val="en-US" w:eastAsia="zh-CN"/>
              </w:rPr>
            </w:pPr>
          </w:p>
        </w:tc>
        <w:tc>
          <w:tcPr>
            <w:tcW w:w="2325" w:type="dxa"/>
            <w:vAlign w:val="center"/>
          </w:tcPr>
          <w:p>
            <w:pPr>
              <w:snapToGrid w:val="0"/>
              <w:spacing w:line="360" w:lineRule="auto"/>
              <w:jc w:val="both"/>
              <w:rPr>
                <w:rFonts w:hint="eastAsia" w:ascii="宋体" w:hAnsi="宋体" w:cs="宋体"/>
                <w:color w:val="auto"/>
                <w:sz w:val="24"/>
                <w:lang w:val="en-US" w:eastAsia="zh-CN"/>
              </w:rPr>
            </w:pPr>
          </w:p>
        </w:tc>
        <w:tc>
          <w:tcPr>
            <w:tcW w:w="2145" w:type="dxa"/>
            <w:vAlign w:val="center"/>
          </w:tcPr>
          <w:p>
            <w:pPr>
              <w:snapToGrid w:val="0"/>
              <w:spacing w:line="360" w:lineRule="auto"/>
              <w:jc w:val="both"/>
              <w:rPr>
                <w:rFonts w:hint="eastAsia" w:ascii="宋体" w:hAnsi="宋体" w:cs="宋体"/>
                <w:color w:val="auto"/>
                <w:sz w:val="24"/>
                <w:lang w:val="en-US" w:eastAsia="zh-CN"/>
              </w:rPr>
            </w:pPr>
          </w:p>
        </w:tc>
        <w:tc>
          <w:tcPr>
            <w:tcW w:w="1504"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tc>
        <w:tc>
          <w:tcPr>
            <w:tcW w:w="2126" w:type="dxa"/>
            <w:vAlign w:val="center"/>
          </w:tcPr>
          <w:p>
            <w:pPr>
              <w:spacing w:line="360" w:lineRule="auto"/>
              <w:jc w:val="center"/>
              <w:rPr>
                <w:rFonts w:ascii="宋体" w:hAnsi="宋体" w:cs="宋体"/>
                <w:color w:val="auto"/>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3、特别提示：采购代理机构将对杭州市临安区人民政府锦城街道办事处食材供货配送服务项目和项目编号，成交供应商名称、地址和成交金额，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pStyle w:val="115"/>
        <w:keepNext w:val="0"/>
        <w:pageBreakBefore/>
        <w:numPr>
          <w:ilvl w:val="0"/>
          <w:numId w:val="0"/>
        </w:numPr>
        <w:tabs>
          <w:tab w:val="clear" w:pos="720"/>
        </w:tabs>
        <w:snapToGrid w:val="0"/>
        <w:spacing w:before="120" w:after="12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rPr>
        <w:t>中小企业声明函</w:t>
      </w:r>
      <w:bookmarkStart w:id="228"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228"/>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杭州市临安区人民政府锦城街道办事处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杭州市临安区人民政府锦城街道办事处食材供货配送服务项目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杭州市临安区人民政府锦城街道办事处</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浙江中正工程项目管理有限公司</w:t>
      </w:r>
      <w:r>
        <w:rPr>
          <w:rFonts w:hint="eastAsia" w:cs="仿宋_GB2312"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杭州市临安区人民政府锦城街道办事处食材供货配送服务项目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杭州市临安区人民政府锦城街道办事处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杭州市临安区人民政府锦城街道办事处食材供货配送服务项目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4"/>
        <w:numPr>
          <w:ilvl w:val="0"/>
          <w:numId w:val="0"/>
        </w:numPr>
        <w:ind w:leftChars="0"/>
      </w:pPr>
    </w:p>
    <w:p/>
    <w:p>
      <w:pPr>
        <w:pStyle w:val="24"/>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6</w:t>
      </w:r>
      <w:r>
        <w:rPr>
          <w:rFonts w:hint="eastAsia" w:asciiTheme="minorEastAsia" w:hAnsiTheme="minorEastAsia" w:eastAsiaTheme="minorEastAsia" w:cstheme="minorEastAsia"/>
          <w:b/>
          <w:sz w:val="32"/>
          <w:szCs w:val="32"/>
          <w:lang w:val="en-US"/>
        </w:rPr>
        <w:t>:</w:t>
      </w:r>
      <w:r>
        <w:rPr>
          <w:rFonts w:hint="eastAsia" w:asciiTheme="minorEastAsia" w:hAnsiTheme="minorEastAsia" w:eastAsiaTheme="minorEastAsia" w:cstheme="minorEastAsia"/>
          <w:b/>
          <w:bCs/>
          <w:sz w:val="32"/>
          <w:szCs w:val="32"/>
          <w:lang w:val="en-US"/>
        </w:rPr>
        <w:t>（开标记录开启后，请将此附件填写完整发送至邮箱：</w:t>
      </w:r>
      <w:r>
        <w:rPr>
          <w:rFonts w:hint="eastAsia" w:asciiTheme="minorEastAsia" w:hAnsiTheme="minorEastAsia" w:eastAsiaTheme="minorEastAsia" w:cstheme="minorEastAsia"/>
          <w:b/>
          <w:bCs/>
          <w:sz w:val="32"/>
          <w:szCs w:val="32"/>
          <w:lang w:val="en-US" w:eastAsia="zh-CN"/>
        </w:rPr>
        <w:t>541983336</w:t>
      </w:r>
      <w:r>
        <w:rPr>
          <w:rFonts w:asciiTheme="minorEastAsia" w:hAnsiTheme="minorEastAsia" w:eastAsiaTheme="minorEastAsia" w:cstheme="minorEastAsia"/>
          <w:b/>
          <w:bCs/>
          <w:sz w:val="32"/>
          <w:szCs w:val="32"/>
          <w:lang w:val="en-US"/>
        </w:rPr>
        <w:t>@qq.com</w:t>
      </w:r>
      <w:r>
        <w:rPr>
          <w:rFonts w:hint="eastAsia" w:asciiTheme="minorEastAsia" w:hAnsiTheme="minorEastAsia" w:eastAsiaTheme="minorEastAsia" w:cstheme="minorEastAsia"/>
          <w:b/>
          <w:bCs/>
          <w:sz w:val="32"/>
          <w:szCs w:val="32"/>
          <w:lang w:val="en-US"/>
        </w:rPr>
        <w:t>）</w:t>
      </w:r>
    </w:p>
    <w:p>
      <w:pPr>
        <w:pStyle w:val="24"/>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浙江中正工程项目管理有限公司</w:t>
      </w:r>
      <w:r>
        <w:rPr>
          <w:rFonts w:hint="eastAsia" w:asciiTheme="minorEastAsia" w:hAnsiTheme="minorEastAsia" w:eastAsiaTheme="minorEastAsia" w:cstheme="minorEastAsia"/>
          <w:szCs w:val="24"/>
        </w:rPr>
        <w:t xml:space="preserve">： </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 xml:space="preserve">）政府采购活动。经与本单位法人代表（负责人）联系确认，现就有关公平竞争事项郑重声明如下: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一、本单位与采购人之间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不存在利害关系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存在下列利害关系:</w:t>
      </w:r>
    </w:p>
    <w:p>
      <w:pPr>
        <w:pStyle w:val="24"/>
        <w:numPr>
          <w:ilvl w:val="0"/>
          <w:numId w:val="12"/>
        </w:numPr>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投资关系 B．行政隶属关系 C．业务指导关系</w:t>
      </w:r>
    </w:p>
    <w:p>
      <w:pPr>
        <w:pStyle w:val="24"/>
        <w:spacing w:line="400" w:lineRule="exact"/>
        <w:ind w:left="1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D．其他可能影响采购公正的利害关系（如有，请如实说明）。</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二、现己清楚知道参加本项目采购活动的其他所有供应商名称，本单位</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与其他所有供应商之间均不存在利害关系</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与______________（供应商名称）之间存在下列利害关系: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A．法定代表人或负责人或实际控制人是同一人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B．法定代表人或负责人或实际控制人是夫妻关系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C．法定代表人或负责人或实际控制人是直系血亲关系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D．法定代表人或负责人或实际控制人存在三代以内旁系血亲关系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E．法定代表人或负责人或实际控制人存在近姻亲关系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F．法定代表人或负责人或实际控制人存在股份控制或实际控制关系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G．存在共同直接或间接投资设立子公司、联营企业和合营企业情况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H．存在分级代理或代销关系、同一生产制造商关系、管理关系、重要业务（占主营业务收入 50 ％以上）或重要财务 往来关系（如融资）等其他实质性控制关系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I．其他利害关系情况 ________________________________________。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三、现己清楚知道并严格遵守政府采购法律法规。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四、我发现 ____________________供应商之间存在或可能存在上述第二条第 ____________项利害关系。 </w:t>
      </w:r>
    </w:p>
    <w:p>
      <w:pPr>
        <w:pStyle w:val="24"/>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w:t>
      </w:r>
      <w:r>
        <w:rPr>
          <w:rFonts w:hint="eastAsia" w:asciiTheme="minorEastAsia" w:hAnsiTheme="minorEastAsia" w:eastAsiaTheme="minorEastAsia" w:cstheme="minorEastAsia"/>
          <w:kern w:val="0"/>
        </w:rPr>
        <w:t>名称（签章）：</w:t>
      </w:r>
    </w:p>
    <w:p>
      <w:pPr>
        <w:pStyle w:val="24"/>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供应商代表</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签名</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 xml:space="preserve">: </w:t>
      </w:r>
    </w:p>
    <w:p>
      <w:pPr>
        <w:pStyle w:val="24"/>
        <w:spacing w:line="400" w:lineRule="exact"/>
        <w:ind w:firstLine="5760" w:firstLineChars="2400"/>
        <w:rPr>
          <w:rFonts w:ascii="宋体" w:hAnsi="宋体" w:cs="宋体"/>
          <w:b/>
          <w:sz w:val="32"/>
          <w:szCs w:val="32"/>
        </w:rPr>
      </w:pP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日</w:t>
      </w:r>
    </w:p>
    <w:p>
      <w:pPr>
        <w:spacing w:line="360" w:lineRule="auto"/>
        <w:jc w:val="center"/>
        <w:rPr>
          <w:rFonts w:ascii="宋体" w:hAnsi="宋体" w:cs="宋体"/>
          <w:b/>
          <w:sz w:val="32"/>
          <w:szCs w:val="32"/>
        </w:rPr>
      </w:pPr>
    </w:p>
    <w:p>
      <w:pPr>
        <w:pStyle w:val="4"/>
        <w:numPr>
          <w:ilvl w:val="0"/>
          <w:numId w:val="0"/>
        </w:numPr>
        <w:ind w:leftChars="0"/>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ksdb"/>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ksdb">
    <w:panose1 w:val="02000500000000000000"/>
    <w:charset w:val="00"/>
    <w:family w:val="auto"/>
    <w:pitch w:val="default"/>
    <w:sig w:usb0="00000001"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29" w:name="_Toc164085800"/>
    <w:bookmarkStart w:id="230" w:name="_Toc131845147"/>
    <w:bookmarkStart w:id="231" w:name="_Toc36110187"/>
    <w:bookmarkStart w:id="232" w:name="_Toc91899912"/>
    <w:r>
      <w:rPr>
        <w:rFonts w:hint="eastAsia" w:ascii="仿宋_GB2312" w:eastAsia="仿宋_GB2312"/>
        <w:kern w:val="0"/>
        <w:szCs w:val="21"/>
      </w:rPr>
      <w:t xml:space="preserve"> 页</w:t>
    </w:r>
    <w:bookmarkEnd w:id="229"/>
    <w:bookmarkEnd w:id="230"/>
    <w:bookmarkEnd w:id="231"/>
    <w:bookmarkEnd w:id="23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A060BBE"/>
    <w:multiLevelType w:val="singleLevel"/>
    <w:tmpl w:val="0A060BBE"/>
    <w:lvl w:ilvl="0" w:tentative="0">
      <w:start w:val="1"/>
      <w:numFmt w:val="upperLetter"/>
      <w:suff w:val="nothing"/>
      <w:lvlText w:val="%1．"/>
      <w:lvlJc w:val="left"/>
      <w:pPr>
        <w:ind w:left="120" w:firstLine="0"/>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6"/>
  </w:num>
  <w:num w:numId="9">
    <w:abstractNumId w:val="9"/>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mFhM2Q1NTViYzM2YmU5ZGNiYmFkNWRhZTJiNz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0F70DB"/>
    <w:rsid w:val="04892BD4"/>
    <w:rsid w:val="04996406"/>
    <w:rsid w:val="05BC27E9"/>
    <w:rsid w:val="065A6178"/>
    <w:rsid w:val="075562B7"/>
    <w:rsid w:val="07A963E1"/>
    <w:rsid w:val="07F6164B"/>
    <w:rsid w:val="087A1B7A"/>
    <w:rsid w:val="096B2097"/>
    <w:rsid w:val="0A5B7E63"/>
    <w:rsid w:val="0C87121B"/>
    <w:rsid w:val="0DF702FE"/>
    <w:rsid w:val="0E172951"/>
    <w:rsid w:val="0E3F698B"/>
    <w:rsid w:val="0F21508F"/>
    <w:rsid w:val="0F816ACD"/>
    <w:rsid w:val="0FB94501"/>
    <w:rsid w:val="10B047CF"/>
    <w:rsid w:val="10FC16EA"/>
    <w:rsid w:val="118963A1"/>
    <w:rsid w:val="11FE154D"/>
    <w:rsid w:val="12691F7E"/>
    <w:rsid w:val="127723A9"/>
    <w:rsid w:val="13072A44"/>
    <w:rsid w:val="13973F3F"/>
    <w:rsid w:val="145044FA"/>
    <w:rsid w:val="156A5B42"/>
    <w:rsid w:val="186742B0"/>
    <w:rsid w:val="1B2A271F"/>
    <w:rsid w:val="1B890139"/>
    <w:rsid w:val="1CF45487"/>
    <w:rsid w:val="1D266CE1"/>
    <w:rsid w:val="1D3963AF"/>
    <w:rsid w:val="1E714A66"/>
    <w:rsid w:val="1F165493"/>
    <w:rsid w:val="1F7354C3"/>
    <w:rsid w:val="1FE868A9"/>
    <w:rsid w:val="211E26D6"/>
    <w:rsid w:val="21283D08"/>
    <w:rsid w:val="214A1903"/>
    <w:rsid w:val="24EB1800"/>
    <w:rsid w:val="24F25D4F"/>
    <w:rsid w:val="25B440B3"/>
    <w:rsid w:val="25E847EB"/>
    <w:rsid w:val="2A6560EF"/>
    <w:rsid w:val="2AA1365A"/>
    <w:rsid w:val="2B2C069B"/>
    <w:rsid w:val="2BD126FB"/>
    <w:rsid w:val="2DA8183C"/>
    <w:rsid w:val="2DD15014"/>
    <w:rsid w:val="2EAD4823"/>
    <w:rsid w:val="2FD25781"/>
    <w:rsid w:val="319C6071"/>
    <w:rsid w:val="32DB72BE"/>
    <w:rsid w:val="342E63AB"/>
    <w:rsid w:val="345D260B"/>
    <w:rsid w:val="3510116A"/>
    <w:rsid w:val="353247D6"/>
    <w:rsid w:val="365302AE"/>
    <w:rsid w:val="37F142D2"/>
    <w:rsid w:val="390B0608"/>
    <w:rsid w:val="39624151"/>
    <w:rsid w:val="39A13F14"/>
    <w:rsid w:val="3B940C9A"/>
    <w:rsid w:val="3C5F759A"/>
    <w:rsid w:val="3D5C78D4"/>
    <w:rsid w:val="3F2E4C04"/>
    <w:rsid w:val="3FFF72A6"/>
    <w:rsid w:val="424C35D3"/>
    <w:rsid w:val="424C3ACC"/>
    <w:rsid w:val="42E1381E"/>
    <w:rsid w:val="43FB717C"/>
    <w:rsid w:val="451E447A"/>
    <w:rsid w:val="45345B76"/>
    <w:rsid w:val="45582CFF"/>
    <w:rsid w:val="46897001"/>
    <w:rsid w:val="47307808"/>
    <w:rsid w:val="486F747C"/>
    <w:rsid w:val="495B1E4C"/>
    <w:rsid w:val="4BC9607A"/>
    <w:rsid w:val="4D861CF6"/>
    <w:rsid w:val="51A0432A"/>
    <w:rsid w:val="52022D5F"/>
    <w:rsid w:val="527140E5"/>
    <w:rsid w:val="5292508F"/>
    <w:rsid w:val="52A96B6F"/>
    <w:rsid w:val="550764A4"/>
    <w:rsid w:val="551926E0"/>
    <w:rsid w:val="561279B9"/>
    <w:rsid w:val="56515F3B"/>
    <w:rsid w:val="572B71CA"/>
    <w:rsid w:val="58AE4F0C"/>
    <w:rsid w:val="5A2A7C7B"/>
    <w:rsid w:val="5AE23578"/>
    <w:rsid w:val="5C80234E"/>
    <w:rsid w:val="5E261785"/>
    <w:rsid w:val="5ED12741"/>
    <w:rsid w:val="5FCC5339"/>
    <w:rsid w:val="5FE70807"/>
    <w:rsid w:val="603B3542"/>
    <w:rsid w:val="60E53485"/>
    <w:rsid w:val="61054A27"/>
    <w:rsid w:val="611D2366"/>
    <w:rsid w:val="61302CF8"/>
    <w:rsid w:val="62885958"/>
    <w:rsid w:val="62E14AF9"/>
    <w:rsid w:val="634225E4"/>
    <w:rsid w:val="64CE2EAA"/>
    <w:rsid w:val="662E75B1"/>
    <w:rsid w:val="66342C2E"/>
    <w:rsid w:val="663E784C"/>
    <w:rsid w:val="685867EC"/>
    <w:rsid w:val="6C7A0E96"/>
    <w:rsid w:val="6D2F60F4"/>
    <w:rsid w:val="6E8E12EF"/>
    <w:rsid w:val="71D43752"/>
    <w:rsid w:val="73536ED8"/>
    <w:rsid w:val="73DD6243"/>
    <w:rsid w:val="749C4185"/>
    <w:rsid w:val="75257D88"/>
    <w:rsid w:val="75DA2C18"/>
    <w:rsid w:val="775319EF"/>
    <w:rsid w:val="783E5392"/>
    <w:rsid w:val="790F1C77"/>
    <w:rsid w:val="79D30109"/>
    <w:rsid w:val="7A67303B"/>
    <w:rsid w:val="7AAB1D04"/>
    <w:rsid w:val="7ABA4368"/>
    <w:rsid w:val="7B257FFD"/>
    <w:rsid w:val="7C2B1DA5"/>
    <w:rsid w:val="7C5C3C5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501"/>
    <w:qFormat/>
    <w:uiPriority w:val="0"/>
    <w:pPr>
      <w:spacing w:line="360" w:lineRule="auto"/>
      <w:ind w:firstLine="601"/>
      <w:textAlignment w:val="baseline"/>
    </w:pPr>
    <w:rPr>
      <w:rFonts w:ascii="宋体"/>
      <w:kern w:val="0"/>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link w:val="613"/>
    <w:semiHidden/>
    <w:qFormat/>
    <w:uiPriority w:val="0"/>
    <w:rPr>
      <w:sz w:val="18"/>
      <w:szCs w:val="18"/>
    </w:rPr>
  </w:style>
  <w:style w:type="paragraph" w:styleId="17">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w:basedOn w:val="1"/>
    <w:next w:val="1"/>
    <w:link w:val="510"/>
    <w:qFormat/>
    <w:uiPriority w:val="0"/>
    <w:pPr>
      <w:autoSpaceDE w:val="0"/>
      <w:autoSpaceDN w:val="0"/>
      <w:spacing w:line="360" w:lineRule="auto"/>
    </w:pPr>
    <w:rPr>
      <w:rFonts w:ascii="宋体"/>
      <w:sz w:val="24"/>
      <w:szCs w:val="21"/>
      <w:lang w:val="zh-CN"/>
    </w:rPr>
  </w:style>
  <w:style w:type="paragraph" w:styleId="25">
    <w:name w:val="Body Text Indent"/>
    <w:basedOn w:val="1"/>
    <w:next w:val="15"/>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1"/>
    <w:next w:val="21"/>
    <w:semiHidden/>
    <w:qFormat/>
    <w:uiPriority w:val="0"/>
    <w:rPr>
      <w:b/>
      <w:bCs/>
    </w:rPr>
  </w:style>
  <w:style w:type="paragraph" w:styleId="58">
    <w:name w:val="Body Text First Indent"/>
    <w:basedOn w:val="24"/>
    <w:next w:val="1"/>
    <w:link w:val="543"/>
    <w:qFormat/>
    <w:uiPriority w:val="0"/>
    <w:pPr>
      <w:ind w:firstLine="420"/>
    </w:pPr>
    <w:rPr>
      <w:szCs w:val="20"/>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2"/>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2"/>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1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NormalCharacter"/>
    <w:qFormat/>
    <w:uiPriority w:val="0"/>
  </w:style>
  <w:style w:type="paragraph" w:customStyle="1" w:styleId="631">
    <w:name w:val="Normal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44765</Words>
  <Characters>46947</Characters>
  <Lines>379</Lines>
  <Paragraphs>106</Paragraphs>
  <TotalTime>17</TotalTime>
  <ScaleCrop>false</ScaleCrop>
  <LinksUpToDate>false</LinksUpToDate>
  <CharactersWithSpaces>53136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若溪</cp:lastModifiedBy>
  <cp:lastPrinted>2021-10-22T18:37:00Z</cp:lastPrinted>
  <dcterms:modified xsi:type="dcterms:W3CDTF">2024-10-18T02:57:53Z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D8B644B8C5514E16B1B3F89F06D70FB8</vt:lpwstr>
  </property>
</Properties>
</file>