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2670C">
      <w:pPr>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p>
    <w:p w14:paraId="70F1A00A">
      <w:pPr>
        <w:pStyle w:val="41"/>
        <w:rPr>
          <w:rFonts w:hint="eastAsia" w:ascii="宋体" w:hAnsi="宋体" w:eastAsia="宋体" w:cs="宋体"/>
          <w:color w:val="000000" w:themeColor="text1"/>
          <w:highlight w:val="none"/>
          <w:lang w:eastAsia="zh-CN"/>
          <w14:textFill>
            <w14:solidFill>
              <w14:schemeClr w14:val="tx1"/>
            </w14:solidFill>
          </w14:textFill>
        </w:rPr>
      </w:pPr>
    </w:p>
    <w:p w14:paraId="3528A114">
      <w:pPr>
        <w:pStyle w:val="11"/>
        <w:rPr>
          <w:rFonts w:hint="eastAsia" w:ascii="宋体" w:hAnsi="宋体" w:eastAsia="宋体" w:cs="宋体"/>
          <w:color w:val="000000" w:themeColor="text1"/>
          <w:highlight w:val="none"/>
          <w:lang w:eastAsia="zh-CN"/>
          <w14:textFill>
            <w14:solidFill>
              <w14:schemeClr w14:val="tx1"/>
            </w14:solidFill>
          </w14:textFill>
        </w:rPr>
      </w:pPr>
    </w:p>
    <w:p w14:paraId="49B3963A">
      <w:pPr>
        <w:bidi w:val="0"/>
        <w:jc w:val="center"/>
        <w:rPr>
          <w:rFonts w:hint="eastAsia" w:ascii="仿宋" w:hAnsi="仿宋" w:eastAsia="仿宋" w:cs="仿宋"/>
          <w:sz w:val="52"/>
          <w:szCs w:val="52"/>
        </w:rPr>
      </w:pPr>
      <w:r>
        <w:rPr>
          <w:rFonts w:hint="eastAsia" w:ascii="仿宋" w:hAnsi="仿宋" w:eastAsia="仿宋" w:cs="仿宋"/>
          <w:sz w:val="52"/>
          <w:szCs w:val="52"/>
          <w:lang w:eastAsia="zh-CN"/>
        </w:rPr>
        <w:t>2024-2025年特邀调解员服务项目</w:t>
      </w:r>
    </w:p>
    <w:p w14:paraId="0A18F174">
      <w:pPr>
        <w:pStyle w:val="29"/>
        <w:rPr>
          <w:rFonts w:hint="eastAsia" w:ascii="仿宋" w:hAnsi="仿宋" w:eastAsia="仿宋" w:cs="仿宋"/>
          <w:color w:val="000000" w:themeColor="text1"/>
          <w:highlight w:val="none"/>
          <w14:textFill>
            <w14:solidFill>
              <w14:schemeClr w14:val="tx1"/>
            </w14:solidFill>
          </w14:textFill>
        </w:rPr>
      </w:pPr>
    </w:p>
    <w:p w14:paraId="0887CD34">
      <w:pPr>
        <w:jc w:val="center"/>
        <w:rPr>
          <w:rFonts w:hint="eastAsia" w:ascii="仿宋" w:hAnsi="仿宋" w:eastAsia="仿宋" w:cs="仿宋"/>
          <w:b/>
          <w:bCs/>
          <w:color w:val="000000" w:themeColor="text1"/>
          <w:sz w:val="44"/>
          <w:szCs w:val="44"/>
          <w:highlight w:val="none"/>
          <w14:textFill>
            <w14:solidFill>
              <w14:schemeClr w14:val="tx1"/>
            </w14:solidFill>
          </w14:textFill>
        </w:rPr>
      </w:pPr>
    </w:p>
    <w:p w14:paraId="0F7F8B1C">
      <w:pPr>
        <w:jc w:val="center"/>
        <w:rPr>
          <w:rFonts w:hint="eastAsia" w:ascii="仿宋" w:hAnsi="仿宋" w:eastAsia="仿宋" w:cs="仿宋"/>
          <w:b/>
          <w:bCs/>
          <w:color w:val="000000" w:themeColor="text1"/>
          <w:sz w:val="44"/>
          <w:szCs w:val="44"/>
          <w:highlight w:val="none"/>
          <w14:textFill>
            <w14:solidFill>
              <w14:schemeClr w14:val="tx1"/>
            </w14:solidFill>
          </w14:textFill>
        </w:rPr>
      </w:pPr>
    </w:p>
    <w:p w14:paraId="116DF13A">
      <w:pPr>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公开招标采购文件</w:t>
      </w:r>
    </w:p>
    <w:p w14:paraId="13E9211F">
      <w:pPr>
        <w:rPr>
          <w:rFonts w:hint="eastAsia" w:ascii="仿宋" w:hAnsi="仿宋" w:eastAsia="仿宋" w:cs="仿宋"/>
          <w:color w:val="000000" w:themeColor="text1"/>
          <w:highlight w:val="none"/>
          <w14:textFill>
            <w14:solidFill>
              <w14:schemeClr w14:val="tx1"/>
            </w14:solidFill>
          </w14:textFill>
        </w:rPr>
      </w:pPr>
    </w:p>
    <w:p w14:paraId="7F35470A">
      <w:pPr>
        <w:tabs>
          <w:tab w:val="left" w:pos="0"/>
        </w:tabs>
        <w:adjustRightInd w:val="0"/>
        <w:snapToGrid w:val="0"/>
        <w:spacing w:line="360" w:lineRule="auto"/>
        <w:ind w:firstLine="64" w:firstLineChars="20"/>
        <w:jc w:val="center"/>
        <w:rPr>
          <w:rFonts w:hint="eastAsia" w:ascii="仿宋" w:hAnsi="仿宋" w:eastAsia="仿宋" w:cs="仿宋"/>
          <w:b/>
          <w:color w:val="000000" w:themeColor="text1"/>
          <w:sz w:val="100"/>
          <w:szCs w:val="100"/>
          <w:highlight w:val="none"/>
          <w14:textFill>
            <w14:solidFill>
              <w14:schemeClr w14:val="tx1"/>
            </w14:solidFill>
          </w14:textFill>
        </w:rPr>
      </w:pPr>
      <w:r>
        <w:rPr>
          <w:rFonts w:hint="eastAsia" w:ascii="仿宋" w:hAnsi="仿宋" w:eastAsia="仿宋" w:cs="仿宋"/>
          <w:b/>
          <w:color w:val="000000" w:themeColor="text1"/>
          <w:kern w:val="0"/>
          <w:sz w:val="32"/>
          <w:highlight w:val="none"/>
          <w14:textFill>
            <w14:solidFill>
              <w14:schemeClr w14:val="tx1"/>
            </w14:solidFill>
          </w14:textFill>
        </w:rPr>
        <w:t>（线上电子招投标）</w:t>
      </w:r>
    </w:p>
    <w:p w14:paraId="428F2E86">
      <w:pPr>
        <w:rPr>
          <w:rFonts w:hint="eastAsia" w:ascii="仿宋" w:hAnsi="仿宋" w:eastAsia="仿宋" w:cs="仿宋"/>
          <w:color w:val="000000" w:themeColor="text1"/>
          <w:sz w:val="28"/>
          <w:szCs w:val="28"/>
          <w:highlight w:val="none"/>
          <w14:textFill>
            <w14:solidFill>
              <w14:schemeClr w14:val="tx1"/>
            </w14:solidFill>
          </w14:textFill>
        </w:rPr>
      </w:pPr>
    </w:p>
    <w:p w14:paraId="644ED30D">
      <w:pPr>
        <w:rPr>
          <w:rFonts w:hint="eastAsia" w:ascii="仿宋" w:hAnsi="仿宋" w:eastAsia="仿宋" w:cs="仿宋"/>
          <w:color w:val="000000" w:themeColor="text1"/>
          <w:sz w:val="28"/>
          <w:szCs w:val="28"/>
          <w:highlight w:val="none"/>
          <w14:textFill>
            <w14:solidFill>
              <w14:schemeClr w14:val="tx1"/>
            </w14:solidFill>
          </w14:textFill>
        </w:rPr>
      </w:pPr>
    </w:p>
    <w:p w14:paraId="3B8948BC">
      <w:pPr>
        <w:ind w:firstLine="2642" w:firstLineChars="940"/>
        <w:rPr>
          <w:rFonts w:hint="eastAsia" w:ascii="仿宋" w:hAnsi="仿宋" w:eastAsia="仿宋" w:cs="仿宋"/>
          <w:b/>
          <w:color w:val="000000" w:themeColor="text1"/>
          <w:sz w:val="28"/>
          <w:szCs w:val="28"/>
          <w:highlight w:val="none"/>
          <w14:textFill>
            <w14:solidFill>
              <w14:schemeClr w14:val="tx1"/>
            </w14:solidFill>
          </w14:textFill>
        </w:rPr>
      </w:pPr>
    </w:p>
    <w:p w14:paraId="28807C47">
      <w:pPr>
        <w:rPr>
          <w:rFonts w:hint="eastAsia" w:ascii="仿宋" w:hAnsi="仿宋" w:eastAsia="仿宋" w:cs="仿宋"/>
          <w:b/>
          <w:color w:val="000000" w:themeColor="text1"/>
          <w:sz w:val="28"/>
          <w:szCs w:val="28"/>
          <w:highlight w:val="none"/>
          <w14:textFill>
            <w14:solidFill>
              <w14:schemeClr w14:val="tx1"/>
            </w14:solidFill>
          </w14:textFill>
        </w:rPr>
      </w:pPr>
    </w:p>
    <w:p w14:paraId="0EA25065">
      <w:pPr>
        <w:spacing w:line="480" w:lineRule="auto"/>
        <w:rPr>
          <w:rFonts w:hint="eastAsia" w:ascii="仿宋" w:hAnsi="仿宋" w:eastAsia="仿宋" w:cs="仿宋"/>
          <w:b w:val="0"/>
          <w:color w:val="000000" w:themeColor="text1"/>
          <w:sz w:val="28"/>
          <w:szCs w:val="28"/>
          <w:highlight w:val="none"/>
          <w14:textFill>
            <w14:solidFill>
              <w14:schemeClr w14:val="tx1"/>
            </w14:solidFill>
          </w14:textFill>
        </w:rPr>
      </w:pPr>
    </w:p>
    <w:p w14:paraId="4D4F04DC">
      <w:pPr>
        <w:spacing w:line="480" w:lineRule="auto"/>
        <w:rPr>
          <w:rFonts w:hint="eastAsia"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b/>
          <w:bCs/>
          <w:color w:val="000000" w:themeColor="text1"/>
          <w:sz w:val="30"/>
          <w:szCs w:val="30"/>
          <w:highlight w:val="none"/>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 xml:space="preserve"> </w:t>
      </w:r>
    </w:p>
    <w:p w14:paraId="077407AA">
      <w:pPr>
        <w:spacing w:line="480" w:lineRule="auto"/>
        <w:rPr>
          <w:rFonts w:hint="eastAsia" w:ascii="仿宋" w:hAnsi="仿宋" w:eastAsia="仿宋" w:cs="仿宋"/>
          <w:b/>
          <w:bCs/>
          <w:color w:val="000000" w:themeColor="text1"/>
          <w:sz w:val="30"/>
          <w:szCs w:val="30"/>
          <w:highlight w:val="none"/>
          <w:lang w:val="en-US" w:eastAsia="zh-CN"/>
          <w14:textFill>
            <w14:solidFill>
              <w14:schemeClr w14:val="tx1"/>
            </w14:solidFill>
          </w14:textFill>
        </w:rPr>
      </w:pPr>
    </w:p>
    <w:p w14:paraId="3885887F">
      <w:pPr>
        <w:spacing w:line="480" w:lineRule="auto"/>
        <w:ind w:firstLine="2108" w:firstLineChars="700"/>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采购编号：</w:t>
      </w:r>
      <w:r>
        <w:rPr>
          <w:rFonts w:hint="eastAsia" w:ascii="仿宋" w:hAnsi="仿宋" w:eastAsia="仿宋" w:cs="仿宋"/>
          <w:b/>
          <w:bCs/>
          <w:color w:val="000000" w:themeColor="text1"/>
          <w:sz w:val="30"/>
          <w:szCs w:val="30"/>
          <w:highlight w:val="none"/>
          <w:lang w:eastAsia="zh-CN"/>
          <w14:textFill>
            <w14:solidFill>
              <w14:schemeClr w14:val="tx1"/>
            </w14:solidFill>
          </w14:textFill>
        </w:rPr>
        <w:t>CSZZ-GK-2024013</w:t>
      </w:r>
    </w:p>
    <w:p w14:paraId="741B214F">
      <w:pPr>
        <w:spacing w:line="480" w:lineRule="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 xml:space="preserve">              采购单位：</w:t>
      </w:r>
      <w:r>
        <w:rPr>
          <w:rFonts w:hint="eastAsia" w:ascii="仿宋" w:hAnsi="仿宋" w:eastAsia="仿宋" w:cs="仿宋"/>
          <w:b/>
          <w:bCs/>
          <w:color w:val="000000" w:themeColor="text1"/>
          <w:sz w:val="30"/>
          <w:szCs w:val="30"/>
          <w:highlight w:val="none"/>
          <w:lang w:eastAsia="zh-CN"/>
          <w14:textFill>
            <w14:solidFill>
              <w14:schemeClr w14:val="tx1"/>
            </w14:solidFill>
          </w14:textFill>
        </w:rPr>
        <w:t>常山县人民法院</w:t>
      </w:r>
    </w:p>
    <w:p w14:paraId="0D1E9433">
      <w:pPr>
        <w:spacing w:line="480" w:lineRule="auto"/>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highlight w:val="none"/>
          <w14:textFill>
            <w14:solidFill>
              <w14:schemeClr w14:val="tx1"/>
            </w14:solidFill>
          </w14:textFill>
        </w:rPr>
        <w:t xml:space="preserve"> 采购代理机构：</w:t>
      </w:r>
      <w:r>
        <w:rPr>
          <w:rFonts w:hint="eastAsia" w:ascii="仿宋" w:hAnsi="仿宋" w:eastAsia="仿宋" w:cs="仿宋"/>
          <w:b/>
          <w:bCs/>
          <w:color w:val="000000" w:themeColor="text1"/>
          <w:sz w:val="30"/>
          <w:szCs w:val="30"/>
          <w:highlight w:val="none"/>
          <w:lang w:eastAsia="zh-CN"/>
          <w14:textFill>
            <w14:solidFill>
              <w14:schemeClr w14:val="tx1"/>
            </w14:solidFill>
          </w14:textFill>
        </w:rPr>
        <w:t>浙江中正工程项目管理有限公司</w:t>
      </w:r>
    </w:p>
    <w:p w14:paraId="06DB237C">
      <w:pPr>
        <w:spacing w:line="480" w:lineRule="auto"/>
        <w:jc w:val="center"/>
        <w:outlineLvl w:val="9"/>
        <w:rPr>
          <w:rFonts w:hint="eastAsia" w:ascii="仿宋" w:hAnsi="仿宋" w:eastAsia="仿宋" w:cs="仿宋"/>
          <w:b/>
          <w:bCs/>
          <w:color w:val="000000" w:themeColor="text1"/>
          <w:sz w:val="30"/>
          <w:szCs w:val="30"/>
          <w:highlight w:val="none"/>
          <w14:textFill>
            <w14:solidFill>
              <w14:schemeClr w14:val="tx1"/>
            </w14:solidFill>
          </w14:textFill>
        </w:rPr>
      </w:pPr>
      <w:bookmarkStart w:id="0" w:name="_Toc12603"/>
    </w:p>
    <w:p w14:paraId="50137287">
      <w:pPr>
        <w:spacing w:line="480" w:lineRule="auto"/>
        <w:ind w:firstLine="3614" w:firstLineChars="1200"/>
        <w:jc w:val="both"/>
        <w:outlineLvl w:val="9"/>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二〇二</w:t>
      </w:r>
      <w:r>
        <w:rPr>
          <w:rFonts w:hint="eastAsia" w:ascii="仿宋" w:hAnsi="仿宋" w:eastAsia="仿宋" w:cs="仿宋"/>
          <w:b/>
          <w:bCs/>
          <w:color w:val="000000" w:themeColor="text1"/>
          <w:sz w:val="30"/>
          <w:szCs w:val="30"/>
          <w:highlight w:val="none"/>
          <w:lang w:eastAsia="zh-CN"/>
          <w14:textFill>
            <w14:solidFill>
              <w14:schemeClr w14:val="tx1"/>
            </w14:solidFill>
          </w14:textFill>
        </w:rPr>
        <w:t>四</w:t>
      </w:r>
      <w:r>
        <w:rPr>
          <w:rFonts w:hint="eastAsia" w:ascii="仿宋" w:hAnsi="仿宋" w:eastAsia="仿宋" w:cs="仿宋"/>
          <w:b/>
          <w:bCs/>
          <w:color w:val="000000" w:themeColor="text1"/>
          <w:sz w:val="30"/>
          <w:szCs w:val="30"/>
          <w:highlight w:val="none"/>
          <w14:textFill>
            <w14:solidFill>
              <w14:schemeClr w14:val="tx1"/>
            </w14:solidFill>
          </w14:textFill>
        </w:rPr>
        <w:t>年</w:t>
      </w:r>
      <w:r>
        <w:rPr>
          <w:rFonts w:hint="eastAsia" w:ascii="仿宋" w:hAnsi="仿宋" w:eastAsia="仿宋" w:cs="仿宋"/>
          <w:b/>
          <w:bCs/>
          <w:color w:val="000000" w:themeColor="text1"/>
          <w:sz w:val="30"/>
          <w:szCs w:val="30"/>
          <w:highlight w:val="none"/>
          <w:lang w:eastAsia="zh-CN"/>
          <w14:textFill>
            <w14:solidFill>
              <w14:schemeClr w14:val="tx1"/>
            </w14:solidFill>
          </w14:textFill>
        </w:rPr>
        <w:t>九</w:t>
      </w:r>
      <w:r>
        <w:rPr>
          <w:rFonts w:hint="eastAsia" w:ascii="仿宋" w:hAnsi="仿宋" w:eastAsia="仿宋" w:cs="仿宋"/>
          <w:b/>
          <w:bCs/>
          <w:color w:val="000000" w:themeColor="text1"/>
          <w:sz w:val="30"/>
          <w:szCs w:val="30"/>
          <w:highlight w:val="none"/>
          <w14:textFill>
            <w14:solidFill>
              <w14:schemeClr w14:val="tx1"/>
            </w14:solidFill>
          </w14:textFill>
        </w:rPr>
        <w:t>月</w:t>
      </w:r>
    </w:p>
    <w:p w14:paraId="3487F360">
      <w:pPr>
        <w:spacing w:line="600" w:lineRule="exact"/>
        <w:jc w:val="center"/>
        <w:outlineLvl w:val="0"/>
        <w:rPr>
          <w:rFonts w:hint="eastAsia" w:ascii="仿宋" w:hAnsi="仿宋" w:eastAsia="仿宋" w:cs="仿宋"/>
          <w:b/>
          <w:bCs/>
          <w:color w:val="000000" w:themeColor="text1"/>
          <w:sz w:val="44"/>
          <w:szCs w:val="44"/>
          <w:highlight w:val="none"/>
          <w14:textFill>
            <w14:solidFill>
              <w14:schemeClr w14:val="tx1"/>
            </w14:solidFill>
          </w14:textFill>
        </w:rPr>
        <w:sectPr>
          <w:headerReference r:id="rId4" w:type="default"/>
          <w:footerReference r:id="rId5" w:type="default"/>
          <w:pgSz w:w="11900" w:h="16840"/>
          <w:pgMar w:top="1310" w:right="1117" w:bottom="1170" w:left="1153" w:header="1134" w:footer="567" w:gutter="0"/>
          <w:pgNumType w:fmt="numberInDash" w:start="1"/>
          <w:cols w:space="720" w:num="1"/>
          <w:docGrid w:linePitch="360" w:charSpace="0"/>
        </w:sectPr>
      </w:pPr>
    </w:p>
    <w:p w14:paraId="4DE22B96">
      <w:pPr>
        <w:pStyle w:val="6"/>
        <w:numPr>
          <w:ilvl w:val="0"/>
          <w:numId w:val="0"/>
        </w:numPr>
        <w:ind w:leftChars="0"/>
        <w:rPr>
          <w:rFonts w:hint="eastAsia" w:ascii="仿宋" w:hAnsi="仿宋" w:eastAsia="仿宋" w:cs="仿宋"/>
          <w:color w:val="000000" w:themeColor="text1"/>
          <w:highlight w:val="none"/>
          <w14:textFill>
            <w14:solidFill>
              <w14:schemeClr w14:val="tx1"/>
            </w14:solidFill>
          </w14:textFill>
        </w:rPr>
      </w:pPr>
    </w:p>
    <w:p w14:paraId="3098E2CC">
      <w:pPr>
        <w:spacing w:line="600" w:lineRule="exact"/>
        <w:jc w:val="both"/>
        <w:outlineLvl w:val="0"/>
        <w:rPr>
          <w:rFonts w:hint="eastAsia" w:ascii="仿宋" w:hAnsi="仿宋" w:eastAsia="仿宋" w:cs="仿宋"/>
          <w:b/>
          <w:bCs/>
          <w:color w:val="000000" w:themeColor="text1"/>
          <w:sz w:val="44"/>
          <w:szCs w:val="44"/>
          <w:highlight w:val="none"/>
          <w14:textFill>
            <w14:solidFill>
              <w14:schemeClr w14:val="tx1"/>
            </w14:solidFill>
          </w14:textFill>
        </w:rPr>
      </w:pPr>
    </w:p>
    <w:p w14:paraId="2DBD5C03">
      <w:pPr>
        <w:bidi w:val="0"/>
        <w:jc w:val="center"/>
        <w:rPr>
          <w:rFonts w:hint="eastAsia" w:ascii="仿宋" w:hAnsi="仿宋" w:eastAsia="仿宋" w:cs="仿宋"/>
          <w:sz w:val="28"/>
          <w:szCs w:val="28"/>
        </w:rPr>
      </w:pPr>
      <w:r>
        <w:rPr>
          <w:rFonts w:hint="eastAsia" w:ascii="仿宋" w:hAnsi="仿宋" w:eastAsia="仿宋" w:cs="仿宋"/>
          <w:sz w:val="28"/>
          <w:szCs w:val="28"/>
        </w:rPr>
        <w:t>目    录</w:t>
      </w:r>
      <w:bookmarkEnd w:id="0"/>
    </w:p>
    <w:p w14:paraId="012D490E">
      <w:pPr>
        <w:spacing w:line="6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p w14:paraId="0657B4CF">
      <w:pPr>
        <w:pStyle w:val="22"/>
        <w:tabs>
          <w:tab w:val="right" w:leader="dot" w:pos="9630"/>
        </w:tabs>
        <w:spacing w:line="480" w:lineRule="auto"/>
      </w:pPr>
      <w:r>
        <w:rPr>
          <w:rFonts w:hint="eastAsia" w:ascii="仿宋" w:hAnsi="仿宋" w:eastAsia="仿宋" w:cs="仿宋"/>
          <w:color w:val="000000" w:themeColor="text1"/>
          <w:sz w:val="21"/>
          <w:szCs w:val="21"/>
          <w:highlight w:val="none"/>
          <w14:textFill>
            <w14:solidFill>
              <w14:schemeClr w14:val="tx1"/>
            </w14:solidFill>
          </w14:textFill>
        </w:rPr>
        <w:fldChar w:fldCharType="begin"/>
      </w:r>
      <w:r>
        <w:rPr>
          <w:rFonts w:hint="eastAsia" w:ascii="仿宋" w:hAnsi="仿宋" w:eastAsia="仿宋" w:cs="仿宋"/>
          <w:color w:val="000000" w:themeColor="text1"/>
          <w:sz w:val="21"/>
          <w:szCs w:val="21"/>
          <w:highlight w:val="none"/>
          <w14:textFill>
            <w14:solidFill>
              <w14:schemeClr w14:val="tx1"/>
            </w14:solidFill>
          </w14:textFill>
        </w:rPr>
        <w:instrText xml:space="preserve">TOC \o "1-1" \h \u </w:instrText>
      </w:r>
      <w:r>
        <w:rPr>
          <w:rFonts w:hint="eastAsia" w:ascii="仿宋" w:hAnsi="仿宋" w:eastAsia="仿宋" w:cs="仿宋"/>
          <w:color w:val="000000" w:themeColor="text1"/>
          <w:sz w:val="21"/>
          <w:szCs w:val="21"/>
          <w:highlight w:val="none"/>
          <w14:textFill>
            <w14:solidFill>
              <w14:schemeClr w14:val="tx1"/>
            </w14:solidFill>
          </w14:textFill>
        </w:rPr>
        <w:fldChar w:fldCharType="separate"/>
      </w: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_Toc13615 </w:instrText>
      </w:r>
      <w:r>
        <w:rPr>
          <w:rFonts w:hint="eastAsia" w:ascii="仿宋" w:hAnsi="仿宋" w:eastAsia="仿宋" w:cs="仿宋"/>
          <w:szCs w:val="21"/>
          <w:highlight w:val="none"/>
        </w:rPr>
        <w:fldChar w:fldCharType="separate"/>
      </w:r>
      <w:r>
        <w:rPr>
          <w:rFonts w:hint="eastAsia" w:ascii="仿宋" w:hAnsi="仿宋" w:eastAsia="仿宋" w:cs="仿宋"/>
          <w:szCs w:val="44"/>
          <w:lang w:eastAsia="zh-CN"/>
        </w:rPr>
        <w:t>第一章</w:t>
      </w:r>
      <w:r>
        <w:rPr>
          <w:rFonts w:hint="eastAsia" w:ascii="仿宋" w:hAnsi="仿宋" w:eastAsia="仿宋" w:cs="仿宋"/>
          <w:szCs w:val="44"/>
          <w:lang w:val="en-US" w:eastAsia="zh-CN"/>
        </w:rPr>
        <w:t xml:space="preserve">  </w:t>
      </w:r>
      <w:r>
        <w:rPr>
          <w:rFonts w:hint="eastAsia" w:ascii="仿宋" w:hAnsi="仿宋" w:eastAsia="仿宋" w:cs="仿宋"/>
          <w:szCs w:val="44"/>
        </w:rPr>
        <w:t>招标公告</w:t>
      </w:r>
      <w:r>
        <w:tab/>
      </w:r>
      <w:r>
        <w:fldChar w:fldCharType="begin"/>
      </w:r>
      <w:r>
        <w:instrText xml:space="preserve"> PAGEREF _Toc13615 \h </w:instrText>
      </w:r>
      <w:r>
        <w:fldChar w:fldCharType="separate"/>
      </w:r>
      <w:r>
        <w:t>- 2 -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74702D94">
      <w:pPr>
        <w:pStyle w:val="22"/>
        <w:tabs>
          <w:tab w:val="right" w:leader="dot" w:pos="9630"/>
        </w:tabs>
        <w:spacing w:line="480" w:lineRule="auto"/>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_Toc27060 </w:instrText>
      </w:r>
      <w:r>
        <w:rPr>
          <w:rFonts w:hint="eastAsia" w:ascii="仿宋" w:hAnsi="仿宋" w:eastAsia="仿宋" w:cs="仿宋"/>
          <w:szCs w:val="21"/>
          <w:highlight w:val="none"/>
        </w:rPr>
        <w:fldChar w:fldCharType="separate"/>
      </w:r>
      <w:r>
        <w:rPr>
          <w:rFonts w:hint="eastAsia" w:ascii="仿宋" w:hAnsi="仿宋" w:eastAsia="仿宋" w:cs="仿宋"/>
          <w:szCs w:val="36"/>
        </w:rPr>
        <w:t>第二章</w:t>
      </w:r>
      <w:r>
        <w:rPr>
          <w:rFonts w:hint="eastAsia" w:ascii="仿宋" w:hAnsi="仿宋" w:eastAsia="仿宋" w:cs="仿宋"/>
          <w:szCs w:val="36"/>
          <w:lang w:val="en-US" w:eastAsia="zh-CN"/>
        </w:rPr>
        <w:t xml:space="preserve">  </w:t>
      </w:r>
      <w:r>
        <w:rPr>
          <w:rFonts w:hint="eastAsia" w:ascii="仿宋" w:hAnsi="仿宋" w:eastAsia="仿宋" w:cs="仿宋"/>
          <w:szCs w:val="36"/>
        </w:rPr>
        <w:t>投标人须知</w:t>
      </w:r>
      <w:r>
        <w:tab/>
      </w:r>
      <w:r>
        <w:fldChar w:fldCharType="begin"/>
      </w:r>
      <w:r>
        <w:instrText xml:space="preserve"> PAGEREF _Toc27060 \h </w:instrText>
      </w:r>
      <w:r>
        <w:fldChar w:fldCharType="separate"/>
      </w:r>
      <w:r>
        <w:t>- 6 -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1DE84ACF">
      <w:pPr>
        <w:pStyle w:val="22"/>
        <w:tabs>
          <w:tab w:val="right" w:leader="dot" w:pos="9630"/>
        </w:tabs>
        <w:spacing w:line="480" w:lineRule="auto"/>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_Toc7193 </w:instrText>
      </w:r>
      <w:r>
        <w:rPr>
          <w:rFonts w:hint="eastAsia" w:ascii="仿宋" w:hAnsi="仿宋" w:eastAsia="仿宋" w:cs="仿宋"/>
          <w:szCs w:val="21"/>
          <w:highlight w:val="none"/>
        </w:rPr>
        <w:fldChar w:fldCharType="separate"/>
      </w:r>
      <w:r>
        <w:rPr>
          <w:rFonts w:hint="eastAsia" w:ascii="仿宋" w:hAnsi="仿宋" w:eastAsia="仿宋" w:cs="仿宋"/>
          <w:szCs w:val="32"/>
          <w:highlight w:val="none"/>
        </w:rPr>
        <w:t>第三章  招标内容及要求</w:t>
      </w:r>
      <w:r>
        <w:tab/>
      </w:r>
      <w:r>
        <w:fldChar w:fldCharType="begin"/>
      </w:r>
      <w:r>
        <w:instrText xml:space="preserve"> PAGEREF _Toc7193 \h </w:instrText>
      </w:r>
      <w:r>
        <w:fldChar w:fldCharType="separate"/>
      </w:r>
      <w:r>
        <w:t>- 23 -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E0CF4A3">
      <w:pPr>
        <w:pStyle w:val="22"/>
        <w:tabs>
          <w:tab w:val="right" w:leader="dot" w:pos="9630"/>
        </w:tabs>
        <w:spacing w:line="480" w:lineRule="auto"/>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_Toc26500 </w:instrText>
      </w:r>
      <w:r>
        <w:rPr>
          <w:rFonts w:hint="eastAsia" w:ascii="仿宋" w:hAnsi="仿宋" w:eastAsia="仿宋" w:cs="仿宋"/>
          <w:szCs w:val="21"/>
          <w:highlight w:val="none"/>
        </w:rPr>
        <w:fldChar w:fldCharType="separate"/>
      </w:r>
      <w:r>
        <w:rPr>
          <w:rFonts w:hint="eastAsia" w:ascii="仿宋" w:hAnsi="仿宋" w:eastAsia="仿宋" w:cs="仿宋"/>
          <w:bCs/>
          <w:kern w:val="0"/>
          <w:szCs w:val="32"/>
          <w:highlight w:val="none"/>
        </w:rPr>
        <w:t>第四章</w:t>
      </w:r>
      <w:r>
        <w:rPr>
          <w:rFonts w:hint="eastAsia" w:ascii="仿宋" w:hAnsi="仿宋" w:eastAsia="仿宋" w:cs="仿宋"/>
          <w:bCs/>
          <w:kern w:val="0"/>
          <w:szCs w:val="32"/>
          <w:highlight w:val="none"/>
          <w:lang w:val="en-US" w:eastAsia="zh-CN"/>
        </w:rPr>
        <w:t xml:space="preserve">  </w:t>
      </w:r>
      <w:r>
        <w:rPr>
          <w:rFonts w:hint="eastAsia" w:ascii="仿宋" w:hAnsi="仿宋" w:eastAsia="仿宋" w:cs="仿宋"/>
          <w:bCs/>
          <w:szCs w:val="32"/>
          <w:highlight w:val="none"/>
        </w:rPr>
        <w:t>合同主要条款</w:t>
      </w:r>
      <w:r>
        <w:tab/>
      </w:r>
      <w:r>
        <w:fldChar w:fldCharType="begin"/>
      </w:r>
      <w:r>
        <w:instrText xml:space="preserve"> PAGEREF _Toc26500 \h </w:instrText>
      </w:r>
      <w:r>
        <w:fldChar w:fldCharType="separate"/>
      </w:r>
      <w:r>
        <w:t>- 26 -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58C5D559">
      <w:pPr>
        <w:pStyle w:val="22"/>
        <w:tabs>
          <w:tab w:val="right" w:leader="dot" w:pos="9630"/>
        </w:tabs>
        <w:spacing w:line="480" w:lineRule="auto"/>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_Toc9764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lang w:eastAsia="zh-CN"/>
        </w:rPr>
        <w:t>第五章</w:t>
      </w:r>
      <w:r>
        <w:rPr>
          <w:rFonts w:hint="eastAsia" w:ascii="仿宋" w:hAnsi="仿宋" w:eastAsia="仿宋" w:cs="仿宋"/>
          <w:bCs/>
          <w:szCs w:val="32"/>
          <w:highlight w:val="none"/>
        </w:rPr>
        <w:t xml:space="preserve">  评标原则及方法</w:t>
      </w:r>
      <w:r>
        <w:tab/>
      </w:r>
      <w:r>
        <w:fldChar w:fldCharType="begin"/>
      </w:r>
      <w:r>
        <w:instrText xml:space="preserve"> PAGEREF _Toc9764 \h </w:instrText>
      </w:r>
      <w:r>
        <w:fldChar w:fldCharType="separate"/>
      </w:r>
      <w:r>
        <w:t>- 29 -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964CAE9">
      <w:pPr>
        <w:pStyle w:val="22"/>
        <w:tabs>
          <w:tab w:val="right" w:leader="dot" w:pos="9630"/>
        </w:tabs>
        <w:spacing w:line="480" w:lineRule="auto"/>
      </w:pPr>
      <w:r>
        <w:rPr>
          <w:rFonts w:hint="eastAsia" w:ascii="仿宋" w:hAnsi="仿宋" w:eastAsia="仿宋" w:cs="仿宋"/>
          <w:color w:val="000000" w:themeColor="text1"/>
          <w:szCs w:val="21"/>
          <w:highlight w:val="none"/>
          <w14:textFill>
            <w14:solidFill>
              <w14:schemeClr w14:val="tx1"/>
            </w14:solidFill>
          </w14:textFill>
        </w:rPr>
        <w:fldChar w:fldCharType="begin"/>
      </w:r>
      <w:r>
        <w:rPr>
          <w:rFonts w:hint="eastAsia" w:ascii="仿宋" w:hAnsi="仿宋" w:eastAsia="仿宋" w:cs="仿宋"/>
          <w:szCs w:val="21"/>
          <w:highlight w:val="none"/>
        </w:rPr>
        <w:instrText xml:space="preserve"> HYPERLINK \l _Toc28049 </w:instrText>
      </w:r>
      <w:r>
        <w:rPr>
          <w:rFonts w:hint="eastAsia" w:ascii="仿宋" w:hAnsi="仿宋" w:eastAsia="仿宋" w:cs="仿宋"/>
          <w:szCs w:val="21"/>
          <w:highlight w:val="none"/>
        </w:rPr>
        <w:fldChar w:fldCharType="separate"/>
      </w:r>
      <w:r>
        <w:rPr>
          <w:rFonts w:hint="eastAsia" w:ascii="仿宋" w:hAnsi="仿宋" w:eastAsia="仿宋" w:cs="仿宋"/>
          <w:szCs w:val="32"/>
          <w:highlight w:val="none"/>
        </w:rPr>
        <w:t>第六章   投标文件格式</w:t>
      </w:r>
      <w:r>
        <w:tab/>
      </w:r>
      <w:r>
        <w:fldChar w:fldCharType="begin"/>
      </w:r>
      <w:r>
        <w:instrText xml:space="preserve"> PAGEREF _Toc28049 \h </w:instrText>
      </w:r>
      <w:r>
        <w:fldChar w:fldCharType="separate"/>
      </w:r>
      <w:r>
        <w:t>- 33 -</w:t>
      </w:r>
      <w:r>
        <w:fldChar w:fldCharType="end"/>
      </w:r>
      <w:r>
        <w:rPr>
          <w:rFonts w:hint="eastAsia" w:ascii="仿宋" w:hAnsi="仿宋" w:eastAsia="仿宋" w:cs="仿宋"/>
          <w:color w:val="000000" w:themeColor="text1"/>
          <w:szCs w:val="21"/>
          <w:highlight w:val="none"/>
          <w14:textFill>
            <w14:solidFill>
              <w14:schemeClr w14:val="tx1"/>
            </w14:solidFill>
          </w14:textFill>
        </w:rPr>
        <w:fldChar w:fldCharType="end"/>
      </w:r>
    </w:p>
    <w:p w14:paraId="3E5090C8">
      <w:pPr>
        <w:pStyle w:val="41"/>
        <w:spacing w:line="48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fldChar w:fldCharType="end"/>
      </w:r>
    </w:p>
    <w:p w14:paraId="35749D34">
      <w:pPr>
        <w:pStyle w:val="45"/>
        <w:tabs>
          <w:tab w:val="right" w:leader="dot" w:pos="10206"/>
        </w:tabs>
        <w:rPr>
          <w:rFonts w:hint="eastAsia" w:ascii="仿宋" w:hAnsi="仿宋" w:eastAsia="仿宋" w:cs="仿宋"/>
          <w:color w:val="000000" w:themeColor="text1"/>
          <w:highlight w:val="none"/>
          <w14:textFill>
            <w14:solidFill>
              <w14:schemeClr w14:val="tx1"/>
            </w14:solidFill>
          </w14:textFill>
        </w:rPr>
      </w:pPr>
    </w:p>
    <w:p w14:paraId="7D0586EE">
      <w:pPr>
        <w:pStyle w:val="30"/>
        <w:ind w:left="840" w:hanging="420"/>
        <w:rPr>
          <w:rFonts w:hint="eastAsia" w:ascii="仿宋" w:hAnsi="仿宋" w:eastAsia="仿宋" w:cs="仿宋"/>
          <w:color w:val="000000" w:themeColor="text1"/>
          <w:highlight w:val="none"/>
          <w14:textFill>
            <w14:solidFill>
              <w14:schemeClr w14:val="tx1"/>
            </w14:solidFill>
          </w14:textFill>
        </w:rPr>
      </w:pPr>
    </w:p>
    <w:p w14:paraId="696C3320">
      <w:pPr>
        <w:pStyle w:val="2"/>
        <w:jc w:val="both"/>
        <w:outlineLvl w:val="9"/>
        <w:rPr>
          <w:rFonts w:hint="eastAsia" w:ascii="仿宋" w:hAnsi="仿宋" w:eastAsia="仿宋" w:cs="仿宋"/>
          <w:color w:val="000000" w:themeColor="text1"/>
          <w:sz w:val="22"/>
          <w:szCs w:val="22"/>
          <w:highlight w:val="none"/>
          <w14:textFill>
            <w14:solidFill>
              <w14:schemeClr w14:val="tx1"/>
            </w14:solidFill>
          </w14:textFill>
        </w:rPr>
      </w:pPr>
    </w:p>
    <w:p w14:paraId="5536653F">
      <w:pPr>
        <w:rPr>
          <w:rFonts w:hint="eastAsia" w:ascii="仿宋" w:hAnsi="仿宋" w:eastAsia="仿宋" w:cs="仿宋"/>
          <w:color w:val="000000" w:themeColor="text1"/>
          <w:sz w:val="22"/>
          <w:szCs w:val="22"/>
          <w:highlight w:val="none"/>
          <w14:textFill>
            <w14:solidFill>
              <w14:schemeClr w14:val="tx1"/>
            </w14:solidFill>
          </w14:textFill>
        </w:rPr>
      </w:pPr>
    </w:p>
    <w:p w14:paraId="45949AB4">
      <w:pPr>
        <w:rPr>
          <w:rFonts w:hint="eastAsia" w:ascii="仿宋" w:hAnsi="仿宋" w:eastAsia="仿宋" w:cs="仿宋"/>
          <w:color w:val="000000" w:themeColor="text1"/>
          <w:sz w:val="22"/>
          <w:szCs w:val="22"/>
          <w:highlight w:val="none"/>
          <w14:textFill>
            <w14:solidFill>
              <w14:schemeClr w14:val="tx1"/>
            </w14:solidFill>
          </w14:textFill>
        </w:rPr>
      </w:pPr>
    </w:p>
    <w:p w14:paraId="59E8B2FC">
      <w:pPr>
        <w:rPr>
          <w:rFonts w:hint="eastAsia" w:ascii="仿宋" w:hAnsi="仿宋" w:eastAsia="仿宋" w:cs="仿宋"/>
          <w:color w:val="000000" w:themeColor="text1"/>
          <w:sz w:val="22"/>
          <w:szCs w:val="22"/>
          <w:highlight w:val="none"/>
          <w14:textFill>
            <w14:solidFill>
              <w14:schemeClr w14:val="tx1"/>
            </w14:solidFill>
          </w14:textFill>
        </w:rPr>
      </w:pPr>
    </w:p>
    <w:p w14:paraId="7EEB4F74">
      <w:pPr>
        <w:tabs>
          <w:tab w:val="left" w:pos="8894"/>
        </w:tabs>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ab/>
      </w:r>
    </w:p>
    <w:p w14:paraId="549D4BD1">
      <w:pPr>
        <w:rPr>
          <w:rFonts w:hint="eastAsia" w:ascii="仿宋" w:hAnsi="仿宋" w:eastAsia="仿宋" w:cs="仿宋"/>
          <w:color w:val="000000" w:themeColor="text1"/>
          <w:sz w:val="22"/>
          <w:szCs w:val="22"/>
          <w:highlight w:val="none"/>
          <w14:textFill>
            <w14:solidFill>
              <w14:schemeClr w14:val="tx1"/>
            </w14:solidFill>
          </w14:textFill>
        </w:rPr>
      </w:pPr>
    </w:p>
    <w:p w14:paraId="422C2088">
      <w:pPr>
        <w:rPr>
          <w:rFonts w:hint="eastAsia" w:ascii="仿宋" w:hAnsi="仿宋" w:eastAsia="仿宋" w:cs="仿宋"/>
          <w:color w:val="000000" w:themeColor="text1"/>
          <w:sz w:val="22"/>
          <w:szCs w:val="22"/>
          <w:highlight w:val="none"/>
          <w14:textFill>
            <w14:solidFill>
              <w14:schemeClr w14:val="tx1"/>
            </w14:solidFill>
          </w14:textFill>
        </w:rPr>
      </w:pPr>
    </w:p>
    <w:p w14:paraId="45077F62">
      <w:pPr>
        <w:rPr>
          <w:rFonts w:hint="eastAsia" w:ascii="仿宋" w:hAnsi="仿宋" w:eastAsia="仿宋" w:cs="仿宋"/>
          <w:color w:val="000000" w:themeColor="text1"/>
          <w:sz w:val="22"/>
          <w:szCs w:val="22"/>
          <w:highlight w:val="none"/>
          <w14:textFill>
            <w14:solidFill>
              <w14:schemeClr w14:val="tx1"/>
            </w14:solidFill>
          </w14:textFill>
        </w:rPr>
      </w:pPr>
    </w:p>
    <w:p w14:paraId="02F66BC3">
      <w:pPr>
        <w:rPr>
          <w:rFonts w:hint="eastAsia" w:ascii="仿宋" w:hAnsi="仿宋" w:eastAsia="仿宋" w:cs="仿宋"/>
          <w:color w:val="000000" w:themeColor="text1"/>
          <w:sz w:val="22"/>
          <w:szCs w:val="22"/>
          <w:highlight w:val="none"/>
          <w14:textFill>
            <w14:solidFill>
              <w14:schemeClr w14:val="tx1"/>
            </w14:solidFill>
          </w14:textFill>
        </w:rPr>
      </w:pPr>
    </w:p>
    <w:p w14:paraId="5BAD78C0">
      <w:pPr>
        <w:rPr>
          <w:rFonts w:hint="eastAsia" w:ascii="仿宋" w:hAnsi="仿宋" w:eastAsia="仿宋" w:cs="仿宋"/>
          <w:color w:val="000000" w:themeColor="text1"/>
          <w:sz w:val="22"/>
          <w:szCs w:val="22"/>
          <w:highlight w:val="none"/>
          <w14:textFill>
            <w14:solidFill>
              <w14:schemeClr w14:val="tx1"/>
            </w14:solidFill>
          </w14:textFill>
        </w:rPr>
      </w:pPr>
    </w:p>
    <w:p w14:paraId="6BE28A2D">
      <w:pPr>
        <w:rPr>
          <w:rFonts w:hint="eastAsia" w:ascii="仿宋" w:hAnsi="仿宋" w:eastAsia="仿宋" w:cs="仿宋"/>
          <w:color w:val="000000" w:themeColor="text1"/>
          <w:sz w:val="22"/>
          <w:szCs w:val="22"/>
          <w:highlight w:val="none"/>
          <w14:textFill>
            <w14:solidFill>
              <w14:schemeClr w14:val="tx1"/>
            </w14:solidFill>
          </w14:textFill>
        </w:rPr>
      </w:pPr>
    </w:p>
    <w:p w14:paraId="4AD8C0BD">
      <w:pPr>
        <w:rPr>
          <w:rFonts w:hint="eastAsia" w:ascii="仿宋" w:hAnsi="仿宋" w:eastAsia="仿宋" w:cs="仿宋"/>
          <w:color w:val="000000" w:themeColor="text1"/>
          <w:sz w:val="22"/>
          <w:szCs w:val="22"/>
          <w:highlight w:val="none"/>
          <w14:textFill>
            <w14:solidFill>
              <w14:schemeClr w14:val="tx1"/>
            </w14:solidFill>
          </w14:textFill>
        </w:rPr>
      </w:pPr>
    </w:p>
    <w:p w14:paraId="39FD608B">
      <w:pPr>
        <w:rPr>
          <w:rFonts w:hint="eastAsia" w:ascii="仿宋" w:hAnsi="仿宋" w:eastAsia="仿宋" w:cs="仿宋"/>
          <w:color w:val="000000" w:themeColor="text1"/>
          <w:sz w:val="22"/>
          <w:szCs w:val="22"/>
          <w:highlight w:val="none"/>
          <w14:textFill>
            <w14:solidFill>
              <w14:schemeClr w14:val="tx1"/>
            </w14:solidFill>
          </w14:textFill>
        </w:rPr>
      </w:pPr>
    </w:p>
    <w:p w14:paraId="61F160D4">
      <w:pPr>
        <w:rPr>
          <w:rFonts w:hint="eastAsia" w:ascii="仿宋" w:hAnsi="仿宋" w:eastAsia="仿宋" w:cs="仿宋"/>
          <w:color w:val="000000" w:themeColor="text1"/>
          <w:sz w:val="22"/>
          <w:szCs w:val="22"/>
          <w:highlight w:val="none"/>
          <w14:textFill>
            <w14:solidFill>
              <w14:schemeClr w14:val="tx1"/>
            </w14:solidFill>
          </w14:textFill>
        </w:rPr>
      </w:pPr>
    </w:p>
    <w:p w14:paraId="04FC7CED">
      <w:pPr>
        <w:rPr>
          <w:rFonts w:hint="eastAsia" w:ascii="仿宋" w:hAnsi="仿宋" w:eastAsia="仿宋" w:cs="仿宋"/>
          <w:color w:val="000000" w:themeColor="text1"/>
          <w:sz w:val="22"/>
          <w:szCs w:val="22"/>
          <w:highlight w:val="none"/>
          <w14:textFill>
            <w14:solidFill>
              <w14:schemeClr w14:val="tx1"/>
            </w14:solidFill>
          </w14:textFill>
        </w:rPr>
      </w:pPr>
    </w:p>
    <w:p w14:paraId="6C70F2F1">
      <w:pPr>
        <w:rPr>
          <w:rFonts w:hint="eastAsia" w:ascii="仿宋" w:hAnsi="仿宋" w:eastAsia="仿宋" w:cs="仿宋"/>
          <w:color w:val="000000" w:themeColor="text1"/>
          <w:sz w:val="22"/>
          <w:szCs w:val="22"/>
          <w:highlight w:val="none"/>
          <w14:textFill>
            <w14:solidFill>
              <w14:schemeClr w14:val="tx1"/>
            </w14:solidFill>
          </w14:textFill>
        </w:rPr>
      </w:pPr>
    </w:p>
    <w:p w14:paraId="79819EBD">
      <w:pPr>
        <w:rPr>
          <w:rFonts w:hint="eastAsia" w:ascii="仿宋" w:hAnsi="仿宋" w:eastAsia="仿宋" w:cs="仿宋"/>
          <w:color w:val="000000" w:themeColor="text1"/>
          <w:sz w:val="22"/>
          <w:szCs w:val="22"/>
          <w:highlight w:val="none"/>
          <w14:textFill>
            <w14:solidFill>
              <w14:schemeClr w14:val="tx1"/>
            </w14:solidFill>
          </w14:textFill>
        </w:rPr>
      </w:pPr>
    </w:p>
    <w:p w14:paraId="60439991">
      <w:pPr>
        <w:rPr>
          <w:rFonts w:hint="eastAsia" w:ascii="仿宋" w:hAnsi="仿宋" w:eastAsia="仿宋" w:cs="仿宋"/>
          <w:color w:val="000000" w:themeColor="text1"/>
          <w:sz w:val="22"/>
          <w:szCs w:val="22"/>
          <w:highlight w:val="none"/>
          <w14:textFill>
            <w14:solidFill>
              <w14:schemeClr w14:val="tx1"/>
            </w14:solidFill>
          </w14:textFill>
        </w:rPr>
      </w:pPr>
    </w:p>
    <w:p w14:paraId="535CE586">
      <w:pPr>
        <w:rPr>
          <w:rFonts w:hint="eastAsia" w:ascii="仿宋" w:hAnsi="仿宋" w:eastAsia="仿宋" w:cs="仿宋"/>
          <w:color w:val="000000" w:themeColor="text1"/>
          <w:sz w:val="22"/>
          <w:szCs w:val="22"/>
          <w:highlight w:val="none"/>
          <w14:textFill>
            <w14:solidFill>
              <w14:schemeClr w14:val="tx1"/>
            </w14:solidFill>
          </w14:textFill>
        </w:rPr>
      </w:pPr>
    </w:p>
    <w:p w14:paraId="6CC134C8">
      <w:pPr>
        <w:numPr>
          <w:ilvl w:val="0"/>
          <w:numId w:val="2"/>
        </w:numPr>
        <w:spacing w:line="360" w:lineRule="auto"/>
        <w:ind w:firstLine="608" w:firstLineChars="190"/>
        <w:jc w:val="center"/>
        <w:rPr>
          <w:rFonts w:hint="eastAsia" w:ascii="仿宋" w:hAnsi="仿宋" w:eastAsia="仿宋" w:cs="仿宋"/>
          <w:color w:val="000000" w:themeColor="text1"/>
          <w:sz w:val="32"/>
          <w:szCs w:val="32"/>
          <w:highlight w:val="none"/>
          <w14:textFill>
            <w14:solidFill>
              <w14:schemeClr w14:val="tx1"/>
            </w14:solidFill>
          </w14:textFill>
        </w:rPr>
        <w:sectPr>
          <w:footerReference r:id="rId6" w:type="default"/>
          <w:pgSz w:w="11900" w:h="16840"/>
          <w:pgMar w:top="1310" w:right="1117" w:bottom="1170" w:left="1153" w:header="1134" w:footer="567" w:gutter="0"/>
          <w:pgNumType w:fmt="numberInDash" w:start="1"/>
          <w:cols w:space="720" w:num="1"/>
          <w:docGrid w:linePitch="360" w:charSpace="0"/>
        </w:sectPr>
      </w:pPr>
      <w:bookmarkStart w:id="1" w:name="_Toc30291"/>
      <w:bookmarkStart w:id="2" w:name="_Toc15588"/>
      <w:bookmarkStart w:id="3" w:name="OLE_LINK3"/>
    </w:p>
    <w:p w14:paraId="10D866CD">
      <w:pPr>
        <w:pStyle w:val="2"/>
        <w:bidi w:val="0"/>
        <w:rPr>
          <w:rFonts w:hint="eastAsia" w:ascii="仿宋" w:hAnsi="仿宋" w:eastAsia="仿宋" w:cs="仿宋"/>
          <w:sz w:val="44"/>
          <w:szCs w:val="44"/>
        </w:rPr>
      </w:pPr>
      <w:bookmarkStart w:id="4" w:name="_Toc13615"/>
      <w:r>
        <w:rPr>
          <w:rFonts w:hint="eastAsia" w:ascii="仿宋" w:hAnsi="仿宋" w:eastAsia="仿宋" w:cs="仿宋"/>
          <w:sz w:val="44"/>
          <w:szCs w:val="44"/>
          <w:lang w:eastAsia="zh-CN"/>
        </w:rPr>
        <w:t>第一章</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招标公告</w:t>
      </w:r>
      <w:bookmarkEnd w:id="1"/>
      <w:bookmarkEnd w:id="2"/>
      <w:bookmarkEnd w:id="4"/>
    </w:p>
    <w:p w14:paraId="4C0B945F">
      <w:pPr>
        <w:pStyle w:val="2"/>
        <w:tabs>
          <w:tab w:val="left" w:pos="0"/>
          <w:tab w:val="left" w:pos="3165"/>
          <w:tab w:val="center" w:pos="4153"/>
        </w:tabs>
        <w:autoSpaceDE w:val="0"/>
        <w:autoSpaceDN w:val="0"/>
        <w:adjustRightInd w:val="0"/>
        <w:spacing w:line="360" w:lineRule="auto"/>
        <w:jc w:val="both"/>
        <w:outlineLvl w:val="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p>
    <w:tbl>
      <w:tblPr>
        <w:tblStyle w:val="31"/>
        <w:tblW w:w="10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9"/>
      </w:tblGrid>
      <w:tr w14:paraId="5FEF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5" w:hRule="atLeast"/>
        </w:trPr>
        <w:tc>
          <w:tcPr>
            <w:tcW w:w="10459" w:type="dxa"/>
            <w:noWrap w:val="0"/>
            <w:vAlign w:val="top"/>
          </w:tcPr>
          <w:p w14:paraId="1B13FCAC">
            <w:pPr>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项目概况</w:t>
            </w:r>
          </w:p>
          <w:p w14:paraId="0E8F961A">
            <w:pPr>
              <w:spacing w:line="400" w:lineRule="exact"/>
              <w:ind w:right="281" w:rightChars="13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2024-2025年特邀调解员服务项目</w:t>
            </w:r>
            <w:r>
              <w:rPr>
                <w:rFonts w:hint="eastAsia" w:ascii="仿宋" w:hAnsi="仿宋" w:eastAsia="仿宋" w:cs="仿宋"/>
                <w:color w:val="000000" w:themeColor="text1"/>
                <w:highlight w:val="none"/>
                <w14:textFill>
                  <w14:solidFill>
                    <w14:schemeClr w14:val="tx1"/>
                  </w14:solidFill>
                </w14:textFill>
              </w:rPr>
              <w:t>招标项目的潜在投标人应在政府采购云平台（www.zcygov.cn）获取（下载）招标文件，并于</w:t>
            </w:r>
            <w:r>
              <w:rPr>
                <w:rFonts w:hint="eastAsia" w:ascii="仿宋" w:hAnsi="仿宋" w:eastAsia="仿宋" w:cs="仿宋"/>
                <w:color w:val="000000" w:themeColor="text1"/>
                <w:highlight w:val="none"/>
                <w:lang w:eastAsia="zh-CN"/>
                <w14:textFill>
                  <w14:solidFill>
                    <w14:schemeClr w14:val="tx1"/>
                  </w14:solidFill>
                </w14:textFill>
              </w:rPr>
              <w:t>2024年10月11日</w:t>
            </w:r>
            <w:r>
              <w:rPr>
                <w:rFonts w:hint="eastAsia" w:ascii="仿宋" w:hAnsi="仿宋" w:eastAsia="仿宋" w:cs="仿宋"/>
                <w:color w:val="000000" w:themeColor="text1"/>
                <w:highlight w:val="none"/>
                <w:lang w:val="en-US" w:eastAsia="zh-CN"/>
                <w14:textFill>
                  <w14:solidFill>
                    <w14:schemeClr w14:val="tx1"/>
                  </w14:solidFill>
                </w14:textFill>
              </w:rPr>
              <w:t>09</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30</w:t>
            </w:r>
            <w:r>
              <w:rPr>
                <w:rFonts w:hint="eastAsia" w:ascii="仿宋" w:hAnsi="仿宋" w:eastAsia="仿宋" w:cs="仿宋"/>
                <w:color w:val="000000" w:themeColor="text1"/>
                <w:highlight w:val="none"/>
                <w14:textFill>
                  <w14:solidFill>
                    <w14:schemeClr w14:val="tx1"/>
                  </w14:solidFill>
                </w14:textFill>
              </w:rPr>
              <w:t>（北京时间）前递交（上传）投标文件。      </w:t>
            </w:r>
          </w:p>
        </w:tc>
      </w:tr>
    </w:tbl>
    <w:p w14:paraId="102450D4">
      <w:pPr>
        <w:pStyle w:val="3"/>
        <w:spacing w:before="100" w:after="100" w:line="400" w:lineRule="exact"/>
        <w:rPr>
          <w:rFonts w:hint="eastAsia" w:ascii="仿宋" w:hAnsi="仿宋" w:eastAsia="仿宋" w:cs="仿宋"/>
          <w:bCs w:val="0"/>
          <w:color w:val="000000" w:themeColor="text1"/>
          <w:sz w:val="21"/>
          <w:szCs w:val="21"/>
          <w:highlight w:val="none"/>
          <w14:textFill>
            <w14:solidFill>
              <w14:schemeClr w14:val="tx1"/>
            </w14:solidFill>
          </w14:textFill>
        </w:rPr>
      </w:pPr>
      <w:r>
        <w:rPr>
          <w:rFonts w:hint="eastAsia" w:ascii="仿宋" w:hAnsi="仿宋" w:eastAsia="仿宋" w:cs="仿宋"/>
          <w:bCs w:val="0"/>
          <w:color w:val="000000" w:themeColor="text1"/>
          <w:sz w:val="21"/>
          <w:szCs w:val="21"/>
          <w:highlight w:val="none"/>
          <w14:textFill>
            <w14:solidFill>
              <w14:schemeClr w14:val="tx1"/>
            </w14:solidFill>
          </w14:textFill>
        </w:rPr>
        <w:t>一、项目基本情况</w:t>
      </w:r>
    </w:p>
    <w:p w14:paraId="3C4FA602">
      <w:pPr>
        <w:spacing w:line="360" w:lineRule="auto"/>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项目编号：</w:t>
      </w:r>
      <w:r>
        <w:rPr>
          <w:rFonts w:hint="eastAsia" w:ascii="仿宋" w:hAnsi="仿宋" w:eastAsia="仿宋" w:cs="仿宋"/>
          <w:color w:val="000000" w:themeColor="text1"/>
          <w:szCs w:val="21"/>
          <w:highlight w:val="none"/>
          <w:lang w:eastAsia="zh-CN"/>
          <w14:textFill>
            <w14:solidFill>
              <w14:schemeClr w14:val="tx1"/>
            </w14:solidFill>
          </w14:textFill>
        </w:rPr>
        <w:t>CSZZ-GK-2024013</w:t>
      </w:r>
    </w:p>
    <w:p w14:paraId="1109F296">
      <w:pPr>
        <w:spacing w:line="360" w:lineRule="auto"/>
        <w:ind w:firstLine="42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r>
        <w:rPr>
          <w:rFonts w:hint="eastAsia" w:ascii="仿宋" w:hAnsi="仿宋" w:eastAsia="仿宋" w:cs="仿宋"/>
          <w:color w:val="000000" w:themeColor="text1"/>
          <w:highlight w:val="none"/>
          <w:lang w:val="en-US" w:eastAsia="zh-CN"/>
          <w14:textFill>
            <w14:solidFill>
              <w14:schemeClr w14:val="tx1"/>
            </w14:solidFill>
          </w14:textFill>
        </w:rPr>
        <w:t>2024-2025年特邀调解员服务项目</w:t>
      </w:r>
    </w:p>
    <w:p w14:paraId="385E4F51">
      <w:pPr>
        <w:spacing w:line="360" w:lineRule="auto"/>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预算金额（元）：</w:t>
      </w:r>
      <w:r>
        <w:rPr>
          <w:rFonts w:hint="eastAsia" w:ascii="仿宋" w:hAnsi="仿宋" w:eastAsia="仿宋" w:cs="仿宋"/>
          <w:color w:val="000000" w:themeColor="text1"/>
          <w:szCs w:val="21"/>
          <w:highlight w:val="none"/>
          <w:lang w:val="en-US" w:eastAsia="zh-CN"/>
          <w14:textFill>
            <w14:solidFill>
              <w14:schemeClr w14:val="tx1"/>
            </w14:solidFill>
          </w14:textFill>
        </w:rPr>
        <w:t>1000000</w:t>
      </w:r>
    </w:p>
    <w:p w14:paraId="4B8795A8">
      <w:pPr>
        <w:spacing w:line="360" w:lineRule="auto"/>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最高限价（元）：</w:t>
      </w:r>
      <w:r>
        <w:rPr>
          <w:rFonts w:hint="eastAsia" w:ascii="仿宋" w:hAnsi="仿宋" w:eastAsia="仿宋" w:cs="仿宋"/>
          <w:color w:val="000000" w:themeColor="text1"/>
          <w:szCs w:val="21"/>
          <w:highlight w:val="none"/>
          <w:lang w:val="en-US" w:eastAsia="zh-CN"/>
          <w14:textFill>
            <w14:solidFill>
              <w14:schemeClr w14:val="tx1"/>
            </w14:solidFill>
          </w14:textFill>
        </w:rPr>
        <w:t>1000000</w:t>
      </w:r>
    </w:p>
    <w:p w14:paraId="4F2500A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采购需求：</w:t>
      </w:r>
    </w:p>
    <w:p w14:paraId="5A16FDDF">
      <w:pPr>
        <w:spacing w:line="360" w:lineRule="auto"/>
        <w:ind w:firstLine="42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标项名称:</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2024-2025年特邀调解员服务项目</w:t>
      </w:r>
    </w:p>
    <w:p w14:paraId="240E031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数量:1</w:t>
      </w:r>
    </w:p>
    <w:p w14:paraId="4F0FD436">
      <w:pPr>
        <w:spacing w:line="360" w:lineRule="auto"/>
        <w:ind w:firstLine="420" w:firstLineChars="200"/>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预算金额（元）:</w:t>
      </w:r>
      <w:r>
        <w:rPr>
          <w:rFonts w:hint="eastAsia" w:ascii="仿宋" w:hAnsi="仿宋" w:eastAsia="仿宋" w:cs="仿宋"/>
          <w:color w:val="000000" w:themeColor="text1"/>
          <w:szCs w:val="21"/>
          <w:highlight w:val="none"/>
          <w:lang w:val="en-US" w:eastAsia="zh-CN"/>
          <w14:textFill>
            <w14:solidFill>
              <w14:schemeClr w14:val="tx1"/>
            </w14:solidFill>
          </w14:textFill>
        </w:rPr>
        <w:t>1000000</w:t>
      </w:r>
    </w:p>
    <w:p w14:paraId="32B6BA77">
      <w:pPr>
        <w:spacing w:line="360" w:lineRule="auto"/>
        <w:ind w:left="420" w:leftChars="200"/>
        <w:jc w:val="left"/>
        <w:rPr>
          <w:rFonts w:hint="eastAsia" w:ascii="仿宋" w:hAnsi="仿宋" w:eastAsia="仿宋" w:cs="仿宋"/>
          <w:szCs w:val="21"/>
        </w:rPr>
      </w:pPr>
      <w:r>
        <w:rPr>
          <w:rFonts w:hint="eastAsia" w:ascii="仿宋" w:hAnsi="仿宋" w:eastAsia="仿宋" w:cs="仿宋"/>
          <w:color w:val="000000" w:themeColor="text1"/>
          <w:szCs w:val="21"/>
          <w:highlight w:val="none"/>
          <w14:textFill>
            <w14:solidFill>
              <w14:schemeClr w14:val="tx1"/>
            </w14:solidFill>
          </w14:textFill>
        </w:rPr>
        <w:t>简要规格描述或项目基本概况介绍、用途：详见采购文件第三章 </w:t>
      </w:r>
      <w:r>
        <w:rPr>
          <w:rFonts w:hint="eastAsia" w:ascii="仿宋" w:hAnsi="仿宋" w:eastAsia="仿宋" w:cs="仿宋"/>
          <w:color w:val="000000" w:themeColor="text1"/>
          <w:szCs w:val="21"/>
          <w:highlight w:val="none"/>
          <w14:textFill>
            <w14:solidFill>
              <w14:schemeClr w14:val="tx1"/>
            </w14:solidFill>
          </w14:textFill>
        </w:rPr>
        <w:br w:type="textWrapping"/>
      </w:r>
      <w:r>
        <w:rPr>
          <w:rFonts w:hint="eastAsia" w:ascii="仿宋" w:hAnsi="仿宋" w:eastAsia="仿宋" w:cs="仿宋"/>
          <w:szCs w:val="21"/>
        </w:rPr>
        <w:t>备注：/</w:t>
      </w:r>
    </w:p>
    <w:p w14:paraId="1A2EE61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合同履约期限：标项1，详见采购文件</w:t>
      </w:r>
    </w:p>
    <w:p w14:paraId="46B77037">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rPr>
        <w:t>本项目（否）接受联合体投标。</w:t>
      </w:r>
    </w:p>
    <w:p w14:paraId="10B2DDC9">
      <w:pPr>
        <w:spacing w:line="360" w:lineRule="auto"/>
        <w:outlineLvl w:val="1"/>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二、申请人的资格要求</w:t>
      </w:r>
    </w:p>
    <w:p w14:paraId="0B4E6AE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仿宋" w:hAnsi="仿宋" w:eastAsia="仿宋" w:cs="仿宋"/>
          <w:szCs w:val="21"/>
        </w:rPr>
      </w:pPr>
      <w:r>
        <w:rPr>
          <w:rFonts w:hint="eastAsia" w:ascii="仿宋" w:hAnsi="仿宋" w:eastAsia="仿宋" w:cs="仿宋"/>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13ED32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仿宋" w:hAnsi="仿宋" w:eastAsia="仿宋" w:cs="仿宋"/>
          <w:b/>
          <w:bCs/>
          <w:szCs w:val="21"/>
          <w:lang w:eastAsia="zh-CN"/>
        </w:rPr>
      </w:pPr>
      <w:r>
        <w:rPr>
          <w:rFonts w:hint="eastAsia" w:ascii="仿宋" w:hAnsi="仿宋" w:eastAsia="仿宋" w:cs="仿宋"/>
          <w:szCs w:val="21"/>
        </w:rPr>
        <w:t>2.落实政府采购政策需满足的资格要求：</w:t>
      </w:r>
      <w:r>
        <w:rPr>
          <w:rFonts w:hint="eastAsia" w:ascii="仿宋" w:hAnsi="仿宋" w:eastAsia="仿宋" w:cs="仿宋"/>
          <w:b/>
          <w:bCs/>
          <w:szCs w:val="21"/>
          <w:highlight w:val="none"/>
        </w:rPr>
        <w:t>标项1：</w:t>
      </w:r>
      <w:r>
        <w:rPr>
          <w:rFonts w:hint="eastAsia" w:ascii="仿宋" w:hAnsi="仿宋" w:eastAsia="仿宋" w:cs="仿宋"/>
          <w:b/>
          <w:bCs/>
          <w:szCs w:val="21"/>
        </w:rPr>
        <w:t>本项目面向中型/小型/微型企业。</w:t>
      </w:r>
    </w:p>
    <w:p w14:paraId="57530A6E">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hint="eastAsia" w:ascii="仿宋" w:hAnsi="仿宋" w:eastAsia="仿宋" w:cs="仿宋"/>
          <w:b/>
          <w:bCs/>
          <w:color w:val="000000"/>
          <w:szCs w:val="21"/>
          <w:lang w:val="zh-CN"/>
        </w:rPr>
      </w:pPr>
      <w:r>
        <w:rPr>
          <w:rFonts w:hint="eastAsia" w:ascii="仿宋" w:hAnsi="仿宋" w:eastAsia="仿宋" w:cs="仿宋"/>
          <w:szCs w:val="21"/>
        </w:rPr>
        <w:t>3.本项目的特定资格要求：</w:t>
      </w:r>
      <w:r>
        <w:rPr>
          <w:rFonts w:hint="eastAsia" w:ascii="仿宋" w:hAnsi="仿宋" w:eastAsia="仿宋" w:cs="仿宋"/>
          <w:b/>
          <w:bCs/>
          <w:color w:val="000000"/>
          <w:szCs w:val="21"/>
          <w:lang w:val="zh-CN"/>
        </w:rPr>
        <w:t>无。</w:t>
      </w:r>
    </w:p>
    <w:p w14:paraId="04260040">
      <w:pPr>
        <w:spacing w:line="400" w:lineRule="exact"/>
        <w:ind w:firstLine="0" w:firstLineChars="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三、获取招标文件</w:t>
      </w:r>
    </w:p>
    <w:p w14:paraId="03C365A5">
      <w:pPr>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时间：</w:t>
      </w:r>
      <w:r>
        <w:rPr>
          <w:rFonts w:hint="eastAsia" w:ascii="仿宋" w:hAnsi="仿宋" w:eastAsia="仿宋" w:cs="仿宋"/>
          <w:color w:val="000000" w:themeColor="text1"/>
          <w:szCs w:val="21"/>
          <w:highlight w:val="none"/>
          <w:u w:val="singl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至</w:t>
      </w:r>
      <w:r>
        <w:rPr>
          <w:rFonts w:hint="eastAsia" w:ascii="仿宋" w:hAnsi="仿宋" w:eastAsia="仿宋" w:cs="仿宋"/>
          <w:color w:val="000000" w:themeColor="text1"/>
          <w:szCs w:val="21"/>
          <w:highlight w:val="none"/>
          <w:lang w:eastAsia="zh-CN"/>
          <w14:textFill>
            <w14:solidFill>
              <w14:schemeClr w14:val="tx1"/>
            </w14:solidFill>
          </w14:textFill>
        </w:rPr>
        <w:t>2024年10月11日</w:t>
      </w:r>
      <w:r>
        <w:rPr>
          <w:rFonts w:hint="eastAsia" w:ascii="仿宋" w:hAnsi="仿宋" w:eastAsia="仿宋" w:cs="仿宋"/>
          <w:color w:val="000000" w:themeColor="text1"/>
          <w:szCs w:val="21"/>
          <w:highlight w:val="none"/>
          <w14:textFill>
            <w14:solidFill>
              <w14:schemeClr w14:val="tx1"/>
            </w14:solidFill>
          </w14:textFill>
        </w:rPr>
        <w:t>，每天上午00:00至12:00，下午12:00至23:59（北京时间，线上获取法定节假日均可，线下获取文件法定节假日除外）</w:t>
      </w:r>
    </w:p>
    <w:p w14:paraId="36847131">
      <w:pPr>
        <w:spacing w:line="400" w:lineRule="exact"/>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地点（网址）：政府采购云平台（www.zcygov.cn）</w:t>
      </w:r>
    </w:p>
    <w:p w14:paraId="60F03EE0">
      <w:pPr>
        <w:spacing w:line="400" w:lineRule="exact"/>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19556BE8">
      <w:pPr>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售价（元）：0</w:t>
      </w:r>
    </w:p>
    <w:p w14:paraId="5460C393">
      <w:pPr>
        <w:spacing w:line="400" w:lineRule="exact"/>
        <w:ind w:firstLine="0" w:firstLineChars="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四、提交投标文件截止时间、开标时间和地点</w:t>
      </w:r>
    </w:p>
    <w:p w14:paraId="6E07600E">
      <w:pPr>
        <w:spacing w:line="400" w:lineRule="exact"/>
        <w:ind w:firstLine="420" w:firstLineChars="200"/>
        <w:rPr>
          <w:rFonts w:hint="eastAsia" w:ascii="仿宋" w:hAnsi="仿宋" w:eastAsia="仿宋" w:cs="仿宋"/>
          <w:i w:val="0"/>
          <w:caps w:val="0"/>
          <w:color w:val="000000" w:themeColor="text1"/>
          <w:spacing w:val="0"/>
          <w:sz w:val="21"/>
          <w:szCs w:val="21"/>
          <w:highlight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提交投标文件截止时间：</w:t>
      </w:r>
      <w:r>
        <w:rPr>
          <w:rFonts w:hint="eastAsia" w:ascii="仿宋" w:hAnsi="仿宋" w:eastAsia="仿宋" w:cs="仿宋"/>
          <w:i w:val="0"/>
          <w:caps w:val="0"/>
          <w:color w:val="000000" w:themeColor="text1"/>
          <w:spacing w:val="0"/>
          <w:sz w:val="21"/>
          <w:szCs w:val="21"/>
          <w:highlight w:val="none"/>
          <w:u w:val="none"/>
          <w:lang w:eastAsia="zh-CN"/>
          <w14:textFill>
            <w14:solidFill>
              <w14:schemeClr w14:val="tx1"/>
            </w14:solidFill>
          </w14:textFill>
        </w:rPr>
        <w:t>2024年10月11日</w:t>
      </w: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09</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w:t>
      </w: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30</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（北京时间）</w:t>
      </w:r>
    </w:p>
    <w:p w14:paraId="128E4A35">
      <w:pPr>
        <w:spacing w:line="400" w:lineRule="exact"/>
        <w:ind w:firstLine="420" w:firstLineChars="200"/>
        <w:rPr>
          <w:rFonts w:hint="eastAsia" w:ascii="仿宋" w:hAnsi="仿宋" w:eastAsia="仿宋" w:cs="仿宋"/>
          <w:i w:val="0"/>
          <w:caps w:val="0"/>
          <w:color w:val="000000" w:themeColor="text1"/>
          <w:spacing w:val="0"/>
          <w:sz w:val="21"/>
          <w:szCs w:val="21"/>
          <w:highlight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投标地点（网址）：政府采购云平台（www.zcygov.cn）</w:t>
      </w:r>
      <w:r>
        <w:rPr>
          <w:rFonts w:hint="eastAsia" w:ascii="仿宋" w:hAnsi="仿宋" w:eastAsia="仿宋" w:cs="仿宋"/>
          <w:i w:val="0"/>
          <w:caps w:val="0"/>
          <w:color w:val="000000" w:themeColor="text1"/>
          <w:spacing w:val="0"/>
          <w:sz w:val="21"/>
          <w:szCs w:val="21"/>
          <w:highlight w:val="none"/>
          <w14:textFill>
            <w14:solidFill>
              <w14:schemeClr w14:val="tx1"/>
            </w14:solidFill>
          </w14:textFill>
        </w:rPr>
        <w:t> </w:t>
      </w:r>
    </w:p>
    <w:p w14:paraId="7555B2C4">
      <w:pPr>
        <w:spacing w:line="400" w:lineRule="exact"/>
        <w:ind w:firstLine="420" w:firstLineChars="200"/>
        <w:rPr>
          <w:rFonts w:hint="eastAsia" w:ascii="仿宋" w:hAnsi="仿宋" w:eastAsia="仿宋" w:cs="仿宋"/>
          <w:i w:val="0"/>
          <w:caps w:val="0"/>
          <w:color w:val="000000" w:themeColor="text1"/>
          <w:spacing w:val="0"/>
          <w:sz w:val="21"/>
          <w:szCs w:val="21"/>
          <w:highlight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开标时间：</w:t>
      </w:r>
      <w:r>
        <w:rPr>
          <w:rFonts w:hint="eastAsia" w:ascii="仿宋" w:hAnsi="仿宋" w:eastAsia="仿宋" w:cs="仿宋"/>
          <w:i w:val="0"/>
          <w:caps w:val="0"/>
          <w:color w:val="000000" w:themeColor="text1"/>
          <w:spacing w:val="0"/>
          <w:sz w:val="21"/>
          <w:szCs w:val="21"/>
          <w:highlight w:val="none"/>
          <w:u w:val="none"/>
          <w:lang w:eastAsia="zh-CN"/>
          <w14:textFill>
            <w14:solidFill>
              <w14:schemeClr w14:val="tx1"/>
            </w14:solidFill>
          </w14:textFill>
        </w:rPr>
        <w:t>2024年10月11日</w:t>
      </w: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09</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w:t>
      </w: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 xml:space="preserve">30  </w:t>
      </w:r>
      <w:r>
        <w:rPr>
          <w:rFonts w:hint="eastAsia" w:ascii="仿宋" w:hAnsi="仿宋" w:eastAsia="仿宋" w:cs="仿宋"/>
          <w:i w:val="0"/>
          <w:caps w:val="0"/>
          <w:color w:val="000000" w:themeColor="text1"/>
          <w:spacing w:val="0"/>
          <w:sz w:val="21"/>
          <w:szCs w:val="21"/>
          <w:highlight w:val="none"/>
          <w14:textFill>
            <w14:solidFill>
              <w14:schemeClr w14:val="tx1"/>
            </w14:solidFill>
          </w14:textFill>
        </w:rPr>
        <w:t> </w:t>
      </w:r>
    </w:p>
    <w:p w14:paraId="47E95E67">
      <w:pPr>
        <w:spacing w:line="400" w:lineRule="exact"/>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14:textFill>
            <w14:solidFill>
              <w14:schemeClr w14:val="tx1"/>
            </w14:solidFill>
          </w14:textFill>
        </w:rPr>
        <w:t>开标地点（网址）</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投标人持与制作本项目电子加密投标文件的同一个CA锁在线登录“政府采购云平台（www.zcygov.cn）”本项目开标大厅等候解密（本项目采用线上开评标</w:t>
      </w:r>
      <w:r>
        <w:rPr>
          <w:rFonts w:hint="eastAsia" w:ascii="仿宋" w:hAnsi="仿宋" w:eastAsia="仿宋" w:cs="仿宋"/>
          <w:color w:val="000000" w:themeColor="text1"/>
          <w:szCs w:val="21"/>
          <w:highlight w:val="none"/>
          <w14:textFill>
            <w14:solidFill>
              <w14:schemeClr w14:val="tx1"/>
            </w14:solidFill>
          </w14:textFill>
        </w:rPr>
        <w:t>,投标人代表无须前往评审现场</w:t>
      </w:r>
      <w:r>
        <w:rPr>
          <w:rFonts w:hint="eastAsia" w:ascii="仿宋" w:hAnsi="仿宋" w:eastAsia="仿宋" w:cs="仿宋"/>
          <w:color w:val="000000" w:themeColor="text1"/>
          <w:szCs w:val="21"/>
          <w:highlight w:val="none"/>
          <w:lang w:val="zh-CN"/>
          <w14:textFill>
            <w14:solidFill>
              <w14:schemeClr w14:val="tx1"/>
            </w14:solidFill>
          </w14:textFill>
        </w:rPr>
        <w:t>）。</w:t>
      </w:r>
    </w:p>
    <w:p w14:paraId="442EBBD5">
      <w:pPr>
        <w:spacing w:line="400" w:lineRule="exact"/>
        <w:ind w:firstLine="0" w:firstLineChars="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五、公告期限</w:t>
      </w:r>
    </w:p>
    <w:p w14:paraId="2C9AC9A4">
      <w:pPr>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自本公告发布之日起5个工作日。</w:t>
      </w:r>
    </w:p>
    <w:p w14:paraId="47D87B42">
      <w:pPr>
        <w:spacing w:line="400" w:lineRule="exact"/>
        <w:ind w:firstLine="0" w:firstLineChars="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六、其他补充事宜</w:t>
      </w:r>
    </w:p>
    <w:p w14:paraId="5008D7EB">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57762BB">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B9DDD6">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CED6A3">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4</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.在线投标（电子交易）说明</w:t>
      </w:r>
    </w:p>
    <w:p w14:paraId="0889D405">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4</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1本项目实行电子交易，交易平台全称为“政府采购云平台（www.zcygov.cn）”。供应商应按照“政采云”平台和本项目采购文件的要求编制、加密并递交响应文件。供应商在使用系统进行投标的过程中遇到涉及平台使用的任何问题，可致电“政采云”平台技术支持热线400-881-7190咨询。</w:t>
      </w:r>
    </w:p>
    <w:p w14:paraId="6BB4A354">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4</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.2供应商在参加采购活动前，必须自行完成以下操作：政府采购云平台正式供应商注册、CA数字证书申领、CA锁绑定、电子交易客户端的下载，否则无法正常参加采购活动。</w:t>
      </w:r>
    </w:p>
    <w:p w14:paraId="5372C3D5">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①正式供应商注册：浙江政府采购网首页-注册供应商-立即入驻（操作指南链接：https://help.zcygov.cn/web/site_2/2018/03-16/1969.html）；</w:t>
      </w:r>
    </w:p>
    <w:p w14:paraId="24CE6BCD">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②CA驱动和申领流程、电子交易客户端的下载：浙江政府采购网首页-下载专区-电子交易客户端或CA驱动和申领流程（链接：http://zfcg.czt.zj.gov.cn/download/index.html?_=1586505810049）；</w:t>
      </w:r>
    </w:p>
    <w:p w14:paraId="33DD9785">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③CA锁绑定操作指南：用户登录-服务中心-帮助文档-最新指南-CA登录与绑定操作指南（链接（需登录后查看）：https://service.zcygov.cn/#/knowledges/UgcbC3EBiyELHE-opz1b/GQcTNXEBiyELHE-oocEg）。</w:t>
      </w:r>
    </w:p>
    <w:p w14:paraId="25ABA22E">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4</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.3供应商应当安装“政采云电子投标客户端”软件，并按照电子交易平台和本项目采购文件的要求编制并加密响应文件。未按规定加密的响应文件，将被电子交易平台拒收。</w:t>
      </w:r>
    </w:p>
    <w:p w14:paraId="1166E088">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4</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4电子响应文件制作及电子交易具体流程详见政府采购项目电子交易管理操作指南：【链接https://service.zcygov.cn/#/knowledges/CW1EtGwBFdiHxlNd6I3m/6IMVAG0BFdiHxlNdQ8Na或登录“政府采购云平台（www.zcygov.cn）”，从首页-服务中心-帮助文档-项目采购-操作流程-电子招投标，查看文档和视频】。</w:t>
      </w:r>
    </w:p>
    <w:p w14:paraId="619B7E8C">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4</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.5本项目响应文件的解密、报价文件确认等环节所使用的CA数字证书和制作电子加密响应文件时使用的必须为同一个。</w:t>
      </w:r>
    </w:p>
    <w:p w14:paraId="6D66887A">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5</w:t>
      </w: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.政采</w:t>
      </w:r>
      <w:r>
        <w:rPr>
          <w:rFonts w:hint="eastAsia" w:ascii="仿宋" w:hAnsi="仿宋" w:eastAsia="仿宋" w:cs="仿宋"/>
          <w:i w:val="0"/>
          <w:caps w:val="0"/>
          <w:color w:val="000000" w:themeColor="text1"/>
          <w:spacing w:val="0"/>
          <w:sz w:val="21"/>
          <w:szCs w:val="21"/>
          <w:highlight w:val="none"/>
          <w:u w:val="none"/>
          <w:lang w:val="zh-CN"/>
          <w14:textFill>
            <w14:solidFill>
              <w14:schemeClr w14:val="tx1"/>
            </w14:solidFill>
          </w14:textFill>
        </w:rPr>
        <w:t>贷</w:t>
      </w:r>
    </w:p>
    <w:p w14:paraId="6D7F2570">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14:textFill>
            <w14:solidFill>
              <w14:schemeClr w14:val="tx1"/>
            </w14:solidFill>
          </w14:textFill>
        </w:rPr>
        <w:t>本项目成交供应商与采购人签订的政府采购合同适用衢州市常山县政府采购贷款政策，简称“政采贷”，具体内容可参阅《常山县“政采贷”办理指引》，http://www.zjcs.gov.cn/art/2022/1/10/art_1229091236_4857590.html</w:t>
      </w:r>
      <w:r>
        <w:rPr>
          <w:rFonts w:hint="eastAsia" w:ascii="仿宋" w:hAnsi="仿宋" w:eastAsia="仿宋" w:cs="仿宋"/>
          <w:i w:val="0"/>
          <w:caps w:val="0"/>
          <w:color w:val="000000" w:themeColor="text1"/>
          <w:spacing w:val="0"/>
          <w:sz w:val="21"/>
          <w:szCs w:val="21"/>
          <w:highlight w:val="none"/>
          <w:u w:val="none"/>
          <w:lang w:eastAsia="zh-CN"/>
          <w14:textFill>
            <w14:solidFill>
              <w14:schemeClr w14:val="tx1"/>
            </w14:solidFill>
          </w14:textFill>
        </w:rPr>
        <w:t>。</w:t>
      </w:r>
    </w:p>
    <w:p w14:paraId="40E17B07">
      <w:pPr>
        <w:spacing w:line="400" w:lineRule="exact"/>
        <w:ind w:firstLine="420" w:firstLineChars="200"/>
        <w:rPr>
          <w:rFonts w:hint="eastAsia" w:ascii="仿宋" w:hAnsi="仿宋" w:eastAsia="仿宋" w:cs="仿宋"/>
          <w:i w:val="0"/>
          <w:caps w:val="0"/>
          <w:color w:val="000000" w:themeColor="text1"/>
          <w:spacing w:val="0"/>
          <w:sz w:val="21"/>
          <w:szCs w:val="21"/>
          <w:highlight w:val="none"/>
          <w:u w:val="none"/>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highlight w:val="none"/>
          <w:u w:val="none"/>
          <w:lang w:val="en-US" w:eastAsia="zh-CN"/>
          <w14:textFill>
            <w14:solidFill>
              <w14:schemeClr w14:val="tx1"/>
            </w14:solidFill>
          </w14:textFill>
        </w:rPr>
        <w:t>6.采购信息发布媒介：浙江政府采购网（http://zfcg.czt.zj.gov.cn/）、常山县政府网（http://www.zjcs.gov.cn/col/col1229635770/index.html）。</w:t>
      </w:r>
    </w:p>
    <w:p w14:paraId="54AA66DC">
      <w:pP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七</w:t>
      </w:r>
      <w:r>
        <w:rPr>
          <w:rFonts w:hint="eastAsia" w:ascii="仿宋" w:hAnsi="仿宋" w:eastAsia="仿宋" w:cs="仿宋"/>
          <w:b/>
          <w:bCs/>
          <w:color w:val="000000" w:themeColor="text1"/>
          <w:szCs w:val="21"/>
          <w:highlight w:val="none"/>
          <w14:textFill>
            <w14:solidFill>
              <w14:schemeClr w14:val="tx1"/>
            </w14:solidFill>
          </w14:textFill>
        </w:rPr>
        <w:t>、对本次招标提出询问、质疑、投诉，请按以下方式联系：</w:t>
      </w:r>
    </w:p>
    <w:p w14:paraId="3F1A9AAB">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zh-CN"/>
          <w14:textFill>
            <w14:solidFill>
              <w14:schemeClr w14:val="tx1"/>
            </w14:solidFill>
          </w14:textFill>
        </w:rPr>
        <w:t>.采购人信息</w:t>
      </w:r>
    </w:p>
    <w:p w14:paraId="3F2AE316">
      <w:pPr>
        <w:spacing w:line="400" w:lineRule="exact"/>
        <w:ind w:left="0" w:leftChars="0" w:firstLine="420" w:firstLineChars="200"/>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名 称：常山县人民法院</w:t>
      </w:r>
    </w:p>
    <w:p w14:paraId="625656CB">
      <w:pPr>
        <w:spacing w:line="400" w:lineRule="exact"/>
        <w:ind w:left="0" w:leftChars="0" w:firstLine="420" w:firstLineChars="200"/>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地址：浙江省衢州市常山县</w:t>
      </w:r>
      <w:r>
        <w:rPr>
          <w:rFonts w:hint="eastAsia" w:ascii="仿宋" w:hAnsi="仿宋" w:eastAsia="仿宋" w:cs="仿宋"/>
          <w:color w:val="000000" w:themeColor="text1"/>
          <w:szCs w:val="21"/>
          <w:highlight w:val="none"/>
          <w:lang w:val="zh-CN" w:eastAsia="zh-CN"/>
          <w14:textFill>
            <w14:solidFill>
              <w14:schemeClr w14:val="tx1"/>
            </w14:solidFill>
          </w14:textFill>
        </w:rPr>
        <w:t>天马街道白马路155号</w:t>
      </w:r>
    </w:p>
    <w:p w14:paraId="57362D2B">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传真：/</w:t>
      </w:r>
    </w:p>
    <w:p w14:paraId="0088B31B">
      <w:pPr>
        <w:spacing w:line="400" w:lineRule="exact"/>
        <w:ind w:left="0" w:leftChars="0" w:firstLine="420" w:firstLineChars="20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项目联系人：华相轶</w:t>
      </w:r>
    </w:p>
    <w:p w14:paraId="0F56AF2D">
      <w:pPr>
        <w:spacing w:line="400" w:lineRule="exact"/>
        <w:ind w:left="0" w:leftChars="0" w:firstLine="420" w:firstLineChars="20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项目联系方式：0570-5087077</w:t>
      </w:r>
    </w:p>
    <w:p w14:paraId="416797BF">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质疑联系人：华相轶</w:t>
      </w:r>
    </w:p>
    <w:p w14:paraId="3FFFAE98">
      <w:pPr>
        <w:spacing w:line="400" w:lineRule="exact"/>
        <w:ind w:left="0" w:leftChars="0" w:firstLine="420" w:firstLineChars="20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联系电话：0570-5087077</w:t>
      </w:r>
    </w:p>
    <w:p w14:paraId="33B83400">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采购代理机构信息</w:t>
      </w:r>
    </w:p>
    <w:p w14:paraId="416DD9E6">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名 称：浙江中正工程项目管理有限公司</w:t>
      </w:r>
    </w:p>
    <w:p w14:paraId="498FFD98">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地</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址：常山县天马街道石城路4号4楼</w:t>
      </w:r>
    </w:p>
    <w:p w14:paraId="33F241AB">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传真：/</w:t>
      </w:r>
    </w:p>
    <w:p w14:paraId="37B7CD2D">
      <w:pPr>
        <w:spacing w:line="400" w:lineRule="exact"/>
        <w:ind w:left="0" w:leftChars="0" w:firstLine="420" w:firstLineChars="200"/>
        <w:jc w:val="lef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项目联系人：费继红</w:t>
      </w:r>
    </w:p>
    <w:p w14:paraId="43D8B122">
      <w:pPr>
        <w:spacing w:line="400" w:lineRule="exact"/>
        <w:ind w:left="0" w:leftChars="0" w:firstLine="420" w:firstLineChars="20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项目联系方式：0570-5015006</w:t>
      </w:r>
    </w:p>
    <w:p w14:paraId="643EAAD5">
      <w:pPr>
        <w:widowControl/>
        <w:spacing w:line="400" w:lineRule="exact"/>
        <w:ind w:left="0" w:leftChars="0" w:firstLine="420" w:firstLineChars="20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质疑联系人：</w:t>
      </w:r>
      <w:r>
        <w:rPr>
          <w:rFonts w:hint="eastAsia" w:ascii="仿宋" w:hAnsi="仿宋" w:eastAsia="仿宋" w:cs="仿宋"/>
          <w:color w:val="000000" w:themeColor="text1"/>
          <w:szCs w:val="21"/>
          <w:highlight w:val="none"/>
          <w:lang w:val="en-US" w:eastAsia="zh-CN"/>
          <w14:textFill>
            <w14:solidFill>
              <w14:schemeClr w14:val="tx1"/>
            </w14:solidFill>
          </w14:textFill>
        </w:rPr>
        <w:t>姚赛容</w:t>
      </w:r>
    </w:p>
    <w:p w14:paraId="61F1207B">
      <w:pPr>
        <w:spacing w:line="400" w:lineRule="exact"/>
        <w:ind w:left="0" w:leftChars="0" w:firstLine="420" w:firstLineChars="20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联系电话：</w:t>
      </w:r>
      <w:r>
        <w:rPr>
          <w:rFonts w:hint="eastAsia" w:ascii="仿宋" w:hAnsi="仿宋" w:eastAsia="仿宋" w:cs="仿宋"/>
          <w:color w:val="000000" w:themeColor="text1"/>
          <w:szCs w:val="21"/>
          <w:highlight w:val="none"/>
          <w:lang w:val="zh-CN" w:eastAsia="zh-CN"/>
          <w14:textFill>
            <w14:solidFill>
              <w14:schemeClr w14:val="tx1"/>
            </w14:solidFill>
          </w14:textFill>
        </w:rPr>
        <w:t>13567057989</w:t>
      </w:r>
    </w:p>
    <w:p w14:paraId="4130BD1A">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3.同级政府采购监督管理部门</w:t>
      </w:r>
    </w:p>
    <w:p w14:paraId="752D67E8">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名 称：常山县财政局政府采购监管科</w:t>
      </w:r>
    </w:p>
    <w:p w14:paraId="6A68BDEA">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地　址：常山县天马街道定阳北路415号</w:t>
      </w:r>
    </w:p>
    <w:p w14:paraId="657729A8">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传真：/</w:t>
      </w:r>
    </w:p>
    <w:p w14:paraId="7C4E8E61">
      <w:pPr>
        <w:spacing w:line="400" w:lineRule="exact"/>
        <w:ind w:left="0" w:leftChars="0"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联系人：李科长</w:t>
      </w:r>
    </w:p>
    <w:p w14:paraId="00246064">
      <w:pPr>
        <w:spacing w:line="400" w:lineRule="exact"/>
        <w:ind w:left="0" w:leftChars="0"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联系方式：0570-5015373</w:t>
      </w:r>
      <w:r>
        <w:rPr>
          <w:rFonts w:hint="eastAsia" w:ascii="仿宋" w:hAnsi="仿宋" w:eastAsia="仿宋" w:cs="仿宋"/>
          <w:b w:val="0"/>
          <w:bCs w:val="0"/>
          <w:color w:val="000000" w:themeColor="text1"/>
          <w:sz w:val="21"/>
          <w:szCs w:val="21"/>
          <w:highlight w:val="none"/>
          <w:lang w:val="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p>
    <w:p w14:paraId="30128394">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784EA6A1">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CA问题联系电话（人工）：汇信CA 400-888-4636；天谷CA 400-087-8198。   </w:t>
      </w:r>
    </w:p>
    <w:p w14:paraId="3F6DB7B4">
      <w:pPr>
        <w:pStyle w:val="2"/>
        <w:tabs>
          <w:tab w:val="left" w:pos="0"/>
          <w:tab w:val="left" w:pos="3165"/>
          <w:tab w:val="center" w:pos="4153"/>
        </w:tabs>
        <w:autoSpaceDE w:val="0"/>
        <w:autoSpaceDN w:val="0"/>
        <w:adjustRightInd w:val="0"/>
        <w:spacing w:line="360" w:lineRule="auto"/>
        <w:jc w:val="both"/>
        <w:outlineLvl w:val="9"/>
        <w:rPr>
          <w:rFonts w:hint="eastAsia" w:ascii="仿宋" w:hAnsi="仿宋" w:eastAsia="仿宋" w:cs="仿宋"/>
          <w:color w:val="000000" w:themeColor="text1"/>
          <w:highlight w:val="none"/>
          <w14:textFill>
            <w14:solidFill>
              <w14:schemeClr w14:val="tx1"/>
            </w14:solidFill>
          </w14:textFill>
        </w:rPr>
      </w:pPr>
    </w:p>
    <w:bookmarkEnd w:id="3"/>
    <w:p w14:paraId="4DA9B4A3">
      <w:pPr>
        <w:spacing w:line="360" w:lineRule="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5" w:name="_Toc5389"/>
    </w:p>
    <w:p w14:paraId="7BE39C45">
      <w:pPr>
        <w:spacing w:line="360" w:lineRule="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14:paraId="4B5A46CF">
      <w:pPr>
        <w:spacing w:line="360" w:lineRule="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14:paraId="702866EB">
      <w:pPr>
        <w:spacing w:line="360" w:lineRule="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14:paraId="7EA66F1A">
      <w:pPr>
        <w:spacing w:line="360" w:lineRule="auto"/>
        <w:jc w:val="both"/>
        <w:outlineLvl w:val="0"/>
        <w:rPr>
          <w:rFonts w:hint="eastAsia" w:ascii="仿宋" w:hAnsi="仿宋" w:eastAsia="仿宋" w:cs="仿宋"/>
          <w:color w:val="000000" w:themeColor="text1"/>
          <w:szCs w:val="21"/>
          <w:highlight w:val="none"/>
          <w:lang w:val="zh-CN"/>
          <w14:textFill>
            <w14:solidFill>
              <w14:schemeClr w14:val="tx1"/>
            </w14:solidFill>
          </w14:textFill>
        </w:rPr>
      </w:pPr>
    </w:p>
    <w:p w14:paraId="546E6E71">
      <w:pPr>
        <w:bidi w:val="0"/>
        <w:spacing w:line="360" w:lineRule="auto"/>
        <w:jc w:val="right"/>
        <w:rPr>
          <w:rFonts w:hint="eastAsia" w:ascii="仿宋" w:hAnsi="仿宋" w:eastAsia="仿宋" w:cs="仿宋"/>
        </w:rPr>
      </w:pPr>
      <w:r>
        <w:rPr>
          <w:rFonts w:hint="eastAsia" w:ascii="仿宋" w:hAnsi="仿宋" w:eastAsia="仿宋" w:cs="仿宋"/>
          <w:lang w:val="zh-CN"/>
        </w:rPr>
        <w:t>常山县人民法院</w:t>
      </w:r>
    </w:p>
    <w:p w14:paraId="6C86C683">
      <w:pPr>
        <w:bidi w:val="0"/>
        <w:spacing w:line="360" w:lineRule="auto"/>
        <w:jc w:val="right"/>
        <w:rPr>
          <w:rFonts w:hint="eastAsia" w:ascii="仿宋" w:hAnsi="仿宋" w:eastAsia="仿宋" w:cs="仿宋"/>
          <w:b/>
          <w:bCs/>
          <w:color w:val="000000" w:themeColor="text1"/>
          <w:szCs w:val="32"/>
          <w:highlight w:val="none"/>
          <w14:textFill>
            <w14:solidFill>
              <w14:schemeClr w14:val="tx1"/>
            </w14:solidFill>
          </w14:textFill>
        </w:rPr>
      </w:pPr>
      <w:r>
        <w:rPr>
          <w:rFonts w:hint="eastAsia" w:ascii="仿宋" w:hAnsi="仿宋" w:eastAsia="仿宋" w:cs="仿宋"/>
          <w:lang w:val="zh-CN"/>
        </w:rPr>
        <w:t>浙江中正工程项目管理有限公司</w:t>
      </w:r>
    </w:p>
    <w:p w14:paraId="10DD2213">
      <w:pPr>
        <w:bidi w:val="0"/>
        <w:spacing w:line="360" w:lineRule="auto"/>
        <w:jc w:val="right"/>
        <w:rPr>
          <w:rFonts w:hint="eastAsia" w:ascii="仿宋" w:hAnsi="仿宋" w:eastAsia="仿宋" w:cs="仿宋"/>
          <w:lang w:val="en-US" w:eastAsia="zh-CN"/>
        </w:rPr>
      </w:pPr>
      <w:r>
        <w:rPr>
          <w:rFonts w:hint="eastAsia" w:ascii="仿宋" w:hAnsi="仿宋" w:eastAsia="仿宋" w:cs="仿宋"/>
          <w:lang w:val="en-US" w:eastAsia="zh-CN"/>
        </w:rPr>
        <w:t>2024年09月</w:t>
      </w:r>
    </w:p>
    <w:p w14:paraId="7282D2D7">
      <w:pPr>
        <w:spacing w:line="360" w:lineRule="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14:paraId="046B09A4">
      <w:pPr>
        <w:spacing w:line="360" w:lineRule="auto"/>
        <w:jc w:val="both"/>
        <w:outlineLvl w:val="0"/>
        <w:rPr>
          <w:rFonts w:hint="eastAsia" w:ascii="仿宋" w:hAnsi="仿宋" w:eastAsia="仿宋" w:cs="仿宋"/>
          <w:b/>
          <w:bCs/>
          <w:color w:val="000000" w:themeColor="text1"/>
          <w:sz w:val="32"/>
          <w:szCs w:val="32"/>
          <w:highlight w:val="none"/>
          <w14:textFill>
            <w14:solidFill>
              <w14:schemeClr w14:val="tx1"/>
            </w14:solidFill>
          </w14:textFill>
        </w:rPr>
      </w:pPr>
    </w:p>
    <w:p w14:paraId="610DA9E5">
      <w:pP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4B2B660D">
      <w:pPr>
        <w:pStyle w:val="2"/>
        <w:bidi w:val="0"/>
        <w:rPr>
          <w:rFonts w:hint="eastAsia" w:ascii="仿宋" w:hAnsi="仿宋" w:eastAsia="仿宋" w:cs="仿宋"/>
          <w:sz w:val="36"/>
          <w:szCs w:val="36"/>
        </w:rPr>
      </w:pPr>
      <w:bookmarkStart w:id="6" w:name="_Toc27060"/>
      <w:r>
        <w:rPr>
          <w:rFonts w:hint="eastAsia" w:ascii="仿宋" w:hAnsi="仿宋" w:eastAsia="仿宋" w:cs="仿宋"/>
          <w:sz w:val="36"/>
          <w:szCs w:val="36"/>
        </w:rPr>
        <w:t>第二章</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投标人须知</w:t>
      </w:r>
      <w:bookmarkEnd w:id="6"/>
    </w:p>
    <w:p w14:paraId="2B834189">
      <w:pPr>
        <w:bidi w:val="0"/>
        <w:jc w:val="center"/>
        <w:rPr>
          <w:rFonts w:hint="eastAsia" w:ascii="仿宋" w:hAnsi="仿宋" w:eastAsia="仿宋" w:cs="仿宋"/>
          <w:sz w:val="32"/>
          <w:szCs w:val="32"/>
        </w:rPr>
      </w:pPr>
      <w:bookmarkStart w:id="7" w:name="_Toc10156"/>
    </w:p>
    <w:p w14:paraId="6E9EEA4A">
      <w:pPr>
        <w:bidi w:val="0"/>
        <w:jc w:val="center"/>
        <w:rPr>
          <w:rFonts w:hint="eastAsia" w:ascii="仿宋" w:hAnsi="仿宋" w:eastAsia="仿宋" w:cs="仿宋"/>
          <w:sz w:val="32"/>
          <w:szCs w:val="32"/>
        </w:rPr>
      </w:pPr>
      <w:r>
        <w:rPr>
          <w:rFonts w:hint="eastAsia" w:ascii="仿宋" w:hAnsi="仿宋" w:eastAsia="仿宋" w:cs="仿宋"/>
          <w:sz w:val="32"/>
          <w:szCs w:val="32"/>
        </w:rPr>
        <w:t>投标人须知前附表</w:t>
      </w:r>
      <w:bookmarkEnd w:id="5"/>
      <w:bookmarkEnd w:id="7"/>
    </w:p>
    <w:tbl>
      <w:tblPr>
        <w:tblStyle w:val="31"/>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7187"/>
      </w:tblGrid>
      <w:tr w14:paraId="2BA5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top w:val="double" w:color="auto" w:sz="4" w:space="0"/>
              <w:left w:val="double" w:color="auto" w:sz="4" w:space="0"/>
            </w:tcBorders>
            <w:vAlign w:val="center"/>
          </w:tcPr>
          <w:p w14:paraId="29FEBED7">
            <w:pPr>
              <w:keepNext w:val="0"/>
              <w:keepLines w:val="0"/>
              <w:pageBreakBefore w:val="0"/>
              <w:kinsoku/>
              <w:overflowPunct/>
              <w:topLinePunct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采购项目概况</w:t>
            </w:r>
          </w:p>
        </w:tc>
        <w:tc>
          <w:tcPr>
            <w:tcW w:w="7187" w:type="dxa"/>
            <w:tcBorders>
              <w:top w:val="double" w:color="auto" w:sz="4" w:space="0"/>
              <w:right w:val="double" w:color="auto" w:sz="4" w:space="0"/>
            </w:tcBorders>
            <w:vAlign w:val="center"/>
          </w:tcPr>
          <w:p w14:paraId="7B7E3D74">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rPr>
              <w:t>项目名称：</w:t>
            </w:r>
            <w:r>
              <w:rPr>
                <w:rFonts w:hint="eastAsia" w:ascii="仿宋" w:hAnsi="仿宋" w:eastAsia="仿宋" w:cs="仿宋"/>
                <w:bCs/>
                <w:color w:val="000000"/>
                <w:sz w:val="21"/>
                <w:szCs w:val="21"/>
                <w:lang w:eastAsia="zh-CN"/>
              </w:rPr>
              <w:t>2024-2025年特邀调解员服务项目</w:t>
            </w:r>
          </w:p>
          <w:p w14:paraId="6261E0BC">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2"/>
                <w:sz w:val="21"/>
                <w:szCs w:val="21"/>
                <w:lang w:eastAsia="zh-CN"/>
              </w:rPr>
            </w:pPr>
            <w:r>
              <w:rPr>
                <w:rFonts w:hint="eastAsia" w:ascii="仿宋" w:hAnsi="仿宋" w:eastAsia="仿宋" w:cs="仿宋"/>
                <w:bCs/>
                <w:color w:val="000000"/>
                <w:sz w:val="21"/>
                <w:szCs w:val="21"/>
              </w:rPr>
              <w:t>项目编号：</w:t>
            </w:r>
            <w:r>
              <w:rPr>
                <w:rFonts w:hint="eastAsia" w:ascii="仿宋" w:hAnsi="仿宋" w:eastAsia="仿宋" w:cs="仿宋"/>
                <w:bCs/>
                <w:color w:val="000000"/>
                <w:sz w:val="21"/>
                <w:szCs w:val="21"/>
                <w:lang w:eastAsia="zh-CN"/>
              </w:rPr>
              <w:t>CSZZ-GK-2024013</w:t>
            </w:r>
          </w:p>
        </w:tc>
      </w:tr>
      <w:tr w14:paraId="120D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07CF5EF7">
            <w:pPr>
              <w:keepNext w:val="0"/>
              <w:keepLines w:val="0"/>
              <w:pageBreakBefore w:val="0"/>
              <w:kinsoku/>
              <w:overflowPunct/>
              <w:topLinePunct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采购内容</w:t>
            </w:r>
          </w:p>
        </w:tc>
        <w:tc>
          <w:tcPr>
            <w:tcW w:w="7187" w:type="dxa"/>
            <w:tcBorders>
              <w:right w:val="double" w:color="auto" w:sz="4" w:space="0"/>
            </w:tcBorders>
            <w:vAlign w:val="center"/>
          </w:tcPr>
          <w:p w14:paraId="1FE33A28">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2"/>
                <w:sz w:val="21"/>
                <w:szCs w:val="21"/>
              </w:rPr>
            </w:pPr>
            <w:r>
              <w:rPr>
                <w:rFonts w:hint="eastAsia" w:ascii="仿宋" w:hAnsi="仿宋" w:eastAsia="仿宋" w:cs="仿宋"/>
                <w:bCs/>
                <w:color w:val="000000"/>
                <w:sz w:val="21"/>
                <w:szCs w:val="21"/>
              </w:rPr>
              <w:t>具体内容及技术要求详见采购文件第三章</w:t>
            </w:r>
          </w:p>
        </w:tc>
      </w:tr>
      <w:tr w14:paraId="7CD9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5C3BDFDF">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rPr>
            </w:pPr>
            <w:r>
              <w:rPr>
                <w:rFonts w:hint="eastAsia" w:ascii="仿宋" w:hAnsi="仿宋" w:eastAsia="仿宋" w:cs="仿宋"/>
                <w:b w:val="0"/>
                <w:bCs w:val="0"/>
                <w:color w:val="auto"/>
                <w:kern w:val="2"/>
                <w:sz w:val="21"/>
              </w:rPr>
              <w:t>采购项目类别</w:t>
            </w:r>
          </w:p>
        </w:tc>
        <w:tc>
          <w:tcPr>
            <w:tcW w:w="7187" w:type="dxa"/>
            <w:tcBorders>
              <w:right w:val="double" w:color="auto" w:sz="4" w:space="0"/>
            </w:tcBorders>
            <w:vAlign w:val="center"/>
          </w:tcPr>
          <w:p w14:paraId="180D0C18">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sz w:val="21"/>
                <w:szCs w:val="21"/>
              </w:rPr>
              <w:t>本项目属于</w:t>
            </w:r>
            <w:r>
              <w:rPr>
                <w:rFonts w:hint="eastAsia" w:ascii="仿宋" w:hAnsi="仿宋" w:eastAsia="仿宋" w:cs="仿宋"/>
                <w:b/>
                <w:bCs w:val="0"/>
                <w:sz w:val="21"/>
                <w:szCs w:val="21"/>
                <w:u w:val="single"/>
              </w:rPr>
              <w:t>服务类</w:t>
            </w:r>
            <w:r>
              <w:rPr>
                <w:rFonts w:hint="eastAsia" w:ascii="仿宋" w:hAnsi="仿宋" w:eastAsia="仿宋" w:cs="仿宋"/>
                <w:bCs/>
                <w:sz w:val="21"/>
                <w:szCs w:val="21"/>
              </w:rPr>
              <w:t>采购项目</w:t>
            </w:r>
          </w:p>
        </w:tc>
      </w:tr>
      <w:tr w14:paraId="0782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75" w:type="dxa"/>
            <w:tcBorders>
              <w:left w:val="double" w:color="auto" w:sz="4" w:space="0"/>
            </w:tcBorders>
            <w:vAlign w:val="center"/>
          </w:tcPr>
          <w:p w14:paraId="5ECD6430">
            <w:pPr>
              <w:pStyle w:val="9"/>
              <w:snapToGrid w:val="0"/>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采购标的及对应的中小企业划型标准所属行业</w:t>
            </w:r>
          </w:p>
        </w:tc>
        <w:tc>
          <w:tcPr>
            <w:tcW w:w="7187" w:type="dxa"/>
            <w:tcBorders>
              <w:right w:val="double" w:color="auto" w:sz="4" w:space="0"/>
            </w:tcBorders>
            <w:vAlign w:val="center"/>
          </w:tcPr>
          <w:p w14:paraId="40C74861">
            <w:pPr>
              <w:pStyle w:val="28"/>
              <w:keepNext w:val="0"/>
              <w:keepLines w:val="0"/>
              <w:pageBreakBefore w:val="0"/>
              <w:tabs>
                <w:tab w:val="left" w:pos="6930"/>
              </w:tabs>
              <w:kinsoku/>
              <w:overflowPunct/>
              <w:topLinePunct w:val="0"/>
              <w:bidi w:val="0"/>
              <w:spacing w:beforeAutospacing="0" w:afterAutospacing="0" w:line="30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本项目采购标的名称</w:t>
            </w:r>
            <w:r>
              <w:rPr>
                <w:rFonts w:hint="eastAsia" w:ascii="仿宋" w:hAnsi="仿宋" w:eastAsia="仿宋" w:cs="仿宋"/>
                <w:b/>
                <w:bCs/>
                <w:color w:val="000000"/>
                <w:sz w:val="21"/>
                <w:szCs w:val="21"/>
                <w:highlight w:val="none"/>
                <w:u w:val="single"/>
                <w:lang w:val="en-US" w:eastAsia="zh-CN"/>
              </w:rPr>
              <w:t>2024-2025年特邀调解员服务项目</w:t>
            </w:r>
            <w:r>
              <w:rPr>
                <w:rFonts w:hint="eastAsia" w:ascii="仿宋" w:hAnsi="仿宋" w:eastAsia="仿宋" w:cs="仿宋"/>
                <w:color w:val="000000"/>
                <w:sz w:val="21"/>
                <w:szCs w:val="21"/>
                <w:highlight w:val="none"/>
                <w:lang w:val="en-US" w:eastAsia="zh-CN"/>
              </w:rPr>
              <w:t>，</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eastAsia="zh-CN"/>
              </w:rPr>
              <w:t>详见第三章采购内容及要求</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000000"/>
                <w:sz w:val="21"/>
                <w:szCs w:val="21"/>
                <w:highlight w:val="none"/>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highlight w:val="none"/>
                <w:u w:val="single"/>
                <w:lang w:eastAsia="zh-CN"/>
              </w:rPr>
              <w:t>租赁和商务服务业</w:t>
            </w:r>
            <w:r>
              <w:rPr>
                <w:rFonts w:hint="eastAsia" w:ascii="仿宋" w:hAnsi="仿宋" w:eastAsia="仿宋" w:cs="仿宋"/>
                <w:b/>
                <w:bCs/>
                <w:color w:val="000000"/>
                <w:sz w:val="21"/>
                <w:szCs w:val="21"/>
                <w:highlight w:val="none"/>
                <w:u w:val="single"/>
              </w:rPr>
              <w:t xml:space="preserve"> 。</w:t>
            </w:r>
          </w:p>
          <w:p w14:paraId="685907F7">
            <w:pPr>
              <w:pStyle w:val="28"/>
              <w:keepNext w:val="0"/>
              <w:keepLines w:val="0"/>
              <w:pageBreakBefore w:val="0"/>
              <w:tabs>
                <w:tab w:val="left" w:pos="6930"/>
              </w:tabs>
              <w:kinsoku/>
              <w:overflowPunct/>
              <w:topLinePunct w:val="0"/>
              <w:bidi w:val="0"/>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color w:val="000000"/>
                <w:sz w:val="21"/>
                <w:szCs w:val="21"/>
                <w:highlight w:val="none"/>
                <w:lang w:eastAsia="zh-CN"/>
              </w:rPr>
              <w:t>供应商必须根据</w:t>
            </w:r>
            <w:r>
              <w:rPr>
                <w:rFonts w:hint="eastAsia" w:ascii="仿宋" w:hAnsi="仿宋" w:eastAsia="仿宋" w:cs="仿宋"/>
                <w:color w:val="000000"/>
                <w:sz w:val="21"/>
                <w:szCs w:val="21"/>
                <w:highlight w:val="none"/>
              </w:rPr>
              <w:t>采购</w:t>
            </w:r>
            <w:r>
              <w:rPr>
                <w:rFonts w:hint="eastAsia" w:ascii="仿宋" w:hAnsi="仿宋" w:eastAsia="仿宋" w:cs="仿宋"/>
                <w:color w:val="000000"/>
                <w:sz w:val="21"/>
                <w:szCs w:val="21"/>
                <w:highlight w:val="none"/>
                <w:lang w:eastAsia="zh-CN"/>
              </w:rPr>
              <w:t>文件明确的行业所对应的划型标准判断</w:t>
            </w:r>
            <w:r>
              <w:rPr>
                <w:rFonts w:hint="eastAsia" w:ascii="仿宋" w:hAnsi="仿宋" w:eastAsia="仿宋" w:cs="仿宋"/>
                <w:color w:val="000000"/>
                <w:sz w:val="21"/>
                <w:szCs w:val="21"/>
              </w:rPr>
              <w:t>自身（或所投产品制造商）</w:t>
            </w:r>
            <w:r>
              <w:rPr>
                <w:rFonts w:hint="eastAsia" w:ascii="仿宋" w:hAnsi="仿宋" w:eastAsia="仿宋" w:cs="仿宋"/>
                <w:color w:val="000000"/>
                <w:sz w:val="21"/>
                <w:szCs w:val="21"/>
                <w:lang w:eastAsia="zh-CN"/>
              </w:rPr>
              <w:t>的</w:t>
            </w:r>
            <w:r>
              <w:rPr>
                <w:rFonts w:hint="eastAsia" w:ascii="仿宋" w:hAnsi="仿宋" w:eastAsia="仿宋" w:cs="仿宋"/>
                <w:color w:val="000000"/>
                <w:sz w:val="21"/>
                <w:szCs w:val="21"/>
              </w:rPr>
              <w:t>企业规模类型。</w:t>
            </w:r>
          </w:p>
        </w:tc>
      </w:tr>
      <w:tr w14:paraId="27C2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75" w:type="dxa"/>
            <w:tcBorders>
              <w:left w:val="double" w:color="auto" w:sz="4" w:space="0"/>
            </w:tcBorders>
            <w:vAlign w:val="center"/>
          </w:tcPr>
          <w:p w14:paraId="2A926A96">
            <w:pPr>
              <w:adjustRightInd w:val="0"/>
              <w:snapToGrid w:val="0"/>
              <w:spacing w:line="360" w:lineRule="auto"/>
              <w:jc w:val="center"/>
              <w:rPr>
                <w:rFonts w:hint="eastAsia" w:ascii="仿宋" w:hAnsi="仿宋" w:eastAsia="仿宋" w:cs="仿宋"/>
                <w:szCs w:val="21"/>
                <w:lang w:eastAsia="zh-CN"/>
              </w:rPr>
            </w:pPr>
            <w:r>
              <w:rPr>
                <w:rFonts w:hint="eastAsia" w:ascii="仿宋" w:hAnsi="仿宋" w:eastAsia="仿宋" w:cs="仿宋"/>
                <w:szCs w:val="21"/>
              </w:rPr>
              <w:t>最高限价</w:t>
            </w:r>
            <w:r>
              <w:rPr>
                <w:rFonts w:hint="eastAsia" w:ascii="仿宋" w:hAnsi="仿宋" w:eastAsia="仿宋" w:cs="仿宋"/>
                <w:szCs w:val="21"/>
                <w:lang w:eastAsia="zh-CN"/>
              </w:rPr>
              <w:t>（报价折扣率）</w:t>
            </w:r>
          </w:p>
        </w:tc>
        <w:tc>
          <w:tcPr>
            <w:tcW w:w="7187" w:type="dxa"/>
            <w:tcBorders>
              <w:right w:val="double" w:color="auto" w:sz="4" w:space="0"/>
            </w:tcBorders>
            <w:vAlign w:val="center"/>
          </w:tcPr>
          <w:p w14:paraId="5072ADA2">
            <w:pPr>
              <w:pStyle w:val="28"/>
              <w:tabs>
                <w:tab w:val="left" w:pos="6930"/>
              </w:tabs>
              <w:spacing w:beforeAutospacing="0" w:afterAutospacing="0" w:line="360" w:lineRule="auto"/>
              <w:rPr>
                <w:rFonts w:hint="eastAsia" w:ascii="仿宋" w:hAnsi="仿宋" w:eastAsia="仿宋" w:cs="仿宋"/>
                <w:bCs/>
                <w:color w:val="000000"/>
                <w:sz w:val="21"/>
                <w:szCs w:val="21"/>
              </w:rPr>
            </w:pPr>
            <w:r>
              <w:rPr>
                <w:rFonts w:hint="eastAsia" w:ascii="仿宋" w:hAnsi="仿宋" w:eastAsia="仿宋" w:cs="仿宋"/>
                <w:color w:val="000000"/>
                <w:sz w:val="21"/>
                <w:szCs w:val="21"/>
                <w:highlight w:val="none"/>
              </w:rPr>
              <w:t>▲最高限价</w:t>
            </w: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1000000</w:t>
            </w:r>
            <w:r>
              <w:rPr>
                <w:rFonts w:hint="eastAsia" w:ascii="仿宋" w:hAnsi="仿宋" w:eastAsia="仿宋" w:cs="仿宋"/>
                <w:color w:val="000000"/>
                <w:sz w:val="21"/>
                <w:szCs w:val="21"/>
              </w:rPr>
              <w:t>元</w:t>
            </w:r>
            <w:r>
              <w:rPr>
                <w:rFonts w:hint="eastAsia" w:ascii="仿宋" w:hAnsi="仿宋" w:eastAsia="仿宋" w:cs="仿宋"/>
                <w:color w:val="000000"/>
                <w:sz w:val="21"/>
                <w:szCs w:val="21"/>
                <w:lang w:eastAsia="zh-CN"/>
              </w:rPr>
              <w:t>。本项目</w:t>
            </w:r>
            <w:r>
              <w:rPr>
                <w:rFonts w:hint="eastAsia" w:ascii="仿宋" w:hAnsi="仿宋" w:eastAsia="仿宋" w:cs="仿宋"/>
                <w:color w:val="000000"/>
                <w:sz w:val="21"/>
                <w:szCs w:val="21"/>
              </w:rPr>
              <w:t>以</w:t>
            </w:r>
            <w:r>
              <w:rPr>
                <w:rFonts w:hint="eastAsia" w:ascii="仿宋" w:hAnsi="仿宋" w:eastAsia="仿宋" w:cs="仿宋"/>
                <w:color w:val="000000"/>
                <w:sz w:val="21"/>
                <w:szCs w:val="21"/>
                <w:lang w:eastAsia="zh-CN"/>
              </w:rPr>
              <w:t>折扣率形式</w:t>
            </w:r>
            <w:r>
              <w:rPr>
                <w:rFonts w:hint="eastAsia" w:ascii="仿宋" w:hAnsi="仿宋" w:eastAsia="仿宋" w:cs="仿宋"/>
                <w:color w:val="000000"/>
                <w:sz w:val="21"/>
                <w:szCs w:val="21"/>
              </w:rPr>
              <w:t>进行报价</w:t>
            </w:r>
            <w:r>
              <w:rPr>
                <w:rFonts w:hint="eastAsia" w:ascii="仿宋" w:hAnsi="仿宋" w:eastAsia="仿宋" w:cs="仿宋"/>
                <w:color w:val="000000"/>
                <w:sz w:val="21"/>
                <w:szCs w:val="21"/>
                <w:lang w:val="en-US" w:eastAsia="zh-CN"/>
              </w:rPr>
              <w:t>，折扣率</w:t>
            </w:r>
            <w:r>
              <w:rPr>
                <w:rFonts w:hint="eastAsia" w:ascii="仿宋" w:hAnsi="仿宋" w:eastAsia="仿宋" w:cs="仿宋"/>
                <w:color w:val="000000"/>
                <w:sz w:val="21"/>
                <w:szCs w:val="21"/>
                <w:lang w:eastAsia="zh-CN"/>
              </w:rPr>
              <w:t>报价的范围为：</w:t>
            </w:r>
            <w:r>
              <w:rPr>
                <w:rFonts w:hint="eastAsia" w:ascii="仿宋" w:hAnsi="仿宋" w:eastAsia="仿宋" w:cs="仿宋"/>
                <w:color w:val="000000"/>
                <w:sz w:val="21"/>
                <w:szCs w:val="21"/>
                <w:lang w:val="en-US" w:eastAsia="zh-CN"/>
              </w:rPr>
              <w:t>0%-100%【结算公式：中标后的结算单价=定价表单价×折扣率】，（如填报85%即八五折；中标后的结算单价=定价表单价×折扣率85%。）</w:t>
            </w:r>
            <w:r>
              <w:rPr>
                <w:rFonts w:hint="eastAsia" w:ascii="仿宋" w:hAnsi="仿宋" w:eastAsia="仿宋" w:cs="仿宋"/>
                <w:color w:val="000000"/>
                <w:sz w:val="21"/>
                <w:szCs w:val="21"/>
                <w:lang w:eastAsia="zh-CN"/>
              </w:rPr>
              <w:t>，超出该范围的报价按无效投标处理</w:t>
            </w:r>
            <w:r>
              <w:rPr>
                <w:rFonts w:hint="eastAsia" w:ascii="仿宋" w:hAnsi="仿宋" w:eastAsia="仿宋" w:cs="仿宋"/>
                <w:color w:val="000000"/>
                <w:sz w:val="21"/>
                <w:szCs w:val="21"/>
                <w:lang w:val="en-US" w:eastAsia="zh-CN"/>
              </w:rPr>
              <w:t>。</w:t>
            </w:r>
          </w:p>
        </w:tc>
      </w:tr>
      <w:tr w14:paraId="2BF8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475" w:type="dxa"/>
            <w:tcBorders>
              <w:left w:val="double" w:color="auto" w:sz="4" w:space="0"/>
            </w:tcBorders>
            <w:vAlign w:val="center"/>
          </w:tcPr>
          <w:p w14:paraId="1A59BE73">
            <w:pPr>
              <w:keepNext w:val="0"/>
              <w:keepLines w:val="0"/>
              <w:pageBreakBefore w:val="0"/>
              <w:kinsoku/>
              <w:overflowPunct/>
              <w:topLinePunct w:val="0"/>
              <w:bidi w:val="0"/>
              <w:adjustRightInd w:val="0"/>
              <w:snapToGrid/>
              <w:spacing w:line="300" w:lineRule="auto"/>
              <w:jc w:val="center"/>
              <w:rPr>
                <w:rFonts w:hint="eastAsia" w:ascii="仿宋" w:hAnsi="仿宋" w:eastAsia="仿宋" w:cs="仿宋"/>
                <w:lang w:eastAsia="zh-CN"/>
              </w:rPr>
            </w:pPr>
            <w:r>
              <w:rPr>
                <w:rFonts w:hint="eastAsia" w:ascii="仿宋" w:hAnsi="仿宋" w:eastAsia="仿宋" w:cs="仿宋"/>
                <w:szCs w:val="21"/>
                <w:lang w:eastAsia="zh-CN"/>
              </w:rPr>
              <w:t>服务期限</w:t>
            </w:r>
          </w:p>
        </w:tc>
        <w:tc>
          <w:tcPr>
            <w:tcW w:w="7187" w:type="dxa"/>
            <w:tcBorders>
              <w:right w:val="double" w:color="auto" w:sz="4" w:space="0"/>
            </w:tcBorders>
            <w:vAlign w:val="center"/>
          </w:tcPr>
          <w:p w14:paraId="3F73C901">
            <w:pPr>
              <w:pStyle w:val="9"/>
              <w:keepNext w:val="0"/>
              <w:keepLines w:val="0"/>
              <w:pageBreakBefore w:val="0"/>
              <w:kinsoku/>
              <w:overflowPunct/>
              <w:topLinePunct w:val="0"/>
              <w:bidi w:val="0"/>
              <w:adjustRightInd w:val="0"/>
              <w:snapToGrid/>
              <w:spacing w:before="0" w:line="300" w:lineRule="auto"/>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详见采购文件第三章</w:t>
            </w:r>
          </w:p>
        </w:tc>
      </w:tr>
      <w:tr w14:paraId="167F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475" w:type="dxa"/>
            <w:tcBorders>
              <w:left w:val="double" w:color="auto" w:sz="4" w:space="0"/>
            </w:tcBorders>
            <w:vAlign w:val="center"/>
          </w:tcPr>
          <w:p w14:paraId="569F328B">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7187" w:type="dxa"/>
            <w:tcBorders>
              <w:right w:val="double" w:color="auto" w:sz="4" w:space="0"/>
            </w:tcBorders>
            <w:vAlign w:val="center"/>
          </w:tcPr>
          <w:p w14:paraId="1E2BE34A">
            <w:pPr>
              <w:pStyle w:val="9"/>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公开招标</w:t>
            </w:r>
          </w:p>
        </w:tc>
      </w:tr>
      <w:tr w14:paraId="73B5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7553D9C0">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评标办法</w:t>
            </w:r>
          </w:p>
        </w:tc>
        <w:tc>
          <w:tcPr>
            <w:tcW w:w="7187" w:type="dxa"/>
            <w:tcBorders>
              <w:right w:val="double" w:color="auto" w:sz="4" w:space="0"/>
            </w:tcBorders>
            <w:vAlign w:val="center"/>
          </w:tcPr>
          <w:p w14:paraId="5AC5B644">
            <w:pPr>
              <w:pStyle w:val="9"/>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3DB9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475" w:type="dxa"/>
            <w:tcBorders>
              <w:left w:val="double" w:color="auto" w:sz="4" w:space="0"/>
            </w:tcBorders>
            <w:vAlign w:val="center"/>
          </w:tcPr>
          <w:p w14:paraId="014180F9">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投标人资格要求</w:t>
            </w:r>
          </w:p>
        </w:tc>
        <w:tc>
          <w:tcPr>
            <w:tcW w:w="7187" w:type="dxa"/>
            <w:tcBorders>
              <w:right w:val="double" w:color="auto" w:sz="4" w:space="0"/>
            </w:tcBorders>
            <w:vAlign w:val="center"/>
          </w:tcPr>
          <w:p w14:paraId="5AAE49DC">
            <w:pPr>
              <w:pStyle w:val="9"/>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详见招标公告</w:t>
            </w:r>
          </w:p>
        </w:tc>
      </w:tr>
      <w:tr w14:paraId="4A7B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5FD1FEED">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现场踏勘</w:t>
            </w:r>
          </w:p>
        </w:tc>
        <w:tc>
          <w:tcPr>
            <w:tcW w:w="7187" w:type="dxa"/>
            <w:tcBorders>
              <w:right w:val="double" w:color="auto" w:sz="4" w:space="0"/>
            </w:tcBorders>
            <w:vAlign w:val="center"/>
          </w:tcPr>
          <w:p w14:paraId="767A9814">
            <w:pPr>
              <w:pStyle w:val="9"/>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本项目不组织潜在投标人踏勘现场</w:t>
            </w:r>
          </w:p>
        </w:tc>
      </w:tr>
      <w:tr w14:paraId="1E1B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62C8B3C1">
            <w:pPr>
              <w:keepNext w:val="0"/>
              <w:keepLines w:val="0"/>
              <w:pageBreakBefore w:val="0"/>
              <w:kinsoku/>
              <w:overflowPunct/>
              <w:topLinePunct w:val="0"/>
              <w:bidi w:val="0"/>
              <w:snapToGrid/>
              <w:spacing w:line="300" w:lineRule="auto"/>
              <w:jc w:val="center"/>
              <w:textAlignment w:val="baseline"/>
              <w:rPr>
                <w:rStyle w:val="50"/>
                <w:rFonts w:hint="eastAsia" w:ascii="仿宋" w:hAnsi="仿宋" w:eastAsia="仿宋" w:cs="仿宋"/>
                <w:szCs w:val="21"/>
              </w:rPr>
            </w:pPr>
            <w:r>
              <w:rPr>
                <w:rStyle w:val="50"/>
                <w:rFonts w:hint="eastAsia" w:ascii="仿宋" w:hAnsi="仿宋" w:eastAsia="仿宋" w:cs="仿宋"/>
                <w:szCs w:val="21"/>
              </w:rPr>
              <w:t>是否允许递交备选投标</w:t>
            </w:r>
          </w:p>
          <w:p w14:paraId="0A1535E8">
            <w:pPr>
              <w:keepNext w:val="0"/>
              <w:keepLines w:val="0"/>
              <w:pageBreakBefore w:val="0"/>
              <w:kinsoku/>
              <w:overflowPunct/>
              <w:topLinePunct w:val="0"/>
              <w:bidi w:val="0"/>
              <w:snapToGrid/>
              <w:spacing w:line="300" w:lineRule="auto"/>
              <w:jc w:val="center"/>
              <w:textAlignment w:val="baseline"/>
              <w:rPr>
                <w:rStyle w:val="50"/>
                <w:rFonts w:hint="eastAsia" w:ascii="仿宋" w:hAnsi="仿宋" w:eastAsia="仿宋" w:cs="仿宋"/>
                <w:szCs w:val="21"/>
              </w:rPr>
            </w:pPr>
            <w:r>
              <w:rPr>
                <w:rStyle w:val="50"/>
                <w:rFonts w:hint="eastAsia" w:ascii="仿宋" w:hAnsi="仿宋" w:eastAsia="仿宋" w:cs="仿宋"/>
                <w:szCs w:val="21"/>
              </w:rPr>
              <w:t>方案</w:t>
            </w:r>
          </w:p>
        </w:tc>
        <w:tc>
          <w:tcPr>
            <w:tcW w:w="7187" w:type="dxa"/>
            <w:tcBorders>
              <w:right w:val="double" w:color="auto" w:sz="4" w:space="0"/>
            </w:tcBorders>
            <w:vAlign w:val="center"/>
          </w:tcPr>
          <w:p w14:paraId="647204B2">
            <w:pPr>
              <w:pStyle w:val="65"/>
              <w:keepNext w:val="0"/>
              <w:keepLines w:val="0"/>
              <w:pageBreakBefore w:val="0"/>
              <w:widowControl/>
              <w:kinsoku/>
              <w:overflowPunct/>
              <w:topLinePunct w:val="0"/>
              <w:bidi w:val="0"/>
              <w:snapToGrid/>
              <w:spacing w:before="0" w:line="300" w:lineRule="auto"/>
              <w:rPr>
                <w:rStyle w:val="50"/>
                <w:rFonts w:hint="eastAsia" w:ascii="仿宋" w:hAnsi="仿宋" w:eastAsia="仿宋" w:cs="仿宋"/>
                <w:b w:val="0"/>
                <w:bCs w:val="0"/>
                <w:kern w:val="2"/>
                <w:sz w:val="21"/>
              </w:rPr>
            </w:pPr>
            <w:r>
              <w:rPr>
                <w:rStyle w:val="50"/>
                <w:rFonts w:hint="eastAsia" w:ascii="仿宋" w:hAnsi="仿宋" w:eastAsia="仿宋" w:cs="仿宋"/>
                <w:b w:val="0"/>
                <w:bCs w:val="0"/>
                <w:kern w:val="2"/>
                <w:sz w:val="21"/>
              </w:rPr>
              <w:t>不允许</w:t>
            </w:r>
          </w:p>
        </w:tc>
      </w:tr>
      <w:tr w14:paraId="411A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75" w:type="dxa"/>
            <w:tcBorders>
              <w:left w:val="double" w:color="auto" w:sz="4" w:space="0"/>
            </w:tcBorders>
            <w:vAlign w:val="center"/>
          </w:tcPr>
          <w:p w14:paraId="705DB260">
            <w:pPr>
              <w:keepNext w:val="0"/>
              <w:keepLines w:val="0"/>
              <w:pageBreakBefore w:val="0"/>
              <w:widowControl/>
              <w:kinsoku/>
              <w:overflowPunct/>
              <w:topLinePunct w:val="0"/>
              <w:bidi w:val="0"/>
              <w:snapToGrid/>
              <w:spacing w:line="300" w:lineRule="auto"/>
              <w:jc w:val="center"/>
              <w:textAlignment w:val="baseline"/>
              <w:rPr>
                <w:rStyle w:val="50"/>
                <w:rFonts w:hint="eastAsia" w:ascii="仿宋" w:hAnsi="仿宋" w:eastAsia="仿宋" w:cs="仿宋"/>
                <w:szCs w:val="21"/>
              </w:rPr>
            </w:pPr>
            <w:r>
              <w:rPr>
                <w:rStyle w:val="50"/>
                <w:rFonts w:hint="eastAsia" w:ascii="仿宋" w:hAnsi="仿宋" w:eastAsia="仿宋" w:cs="仿宋"/>
                <w:szCs w:val="21"/>
              </w:rPr>
              <w:t xml:space="preserve">获取采购文件 </w:t>
            </w:r>
          </w:p>
        </w:tc>
        <w:tc>
          <w:tcPr>
            <w:tcW w:w="7187" w:type="dxa"/>
            <w:tcBorders>
              <w:right w:val="double" w:color="auto" w:sz="4" w:space="0"/>
            </w:tcBorders>
            <w:vAlign w:val="center"/>
          </w:tcPr>
          <w:p w14:paraId="280B03FB">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sz w:val="22"/>
                <w:szCs w:val="22"/>
              </w:rPr>
            </w:pPr>
            <w:r>
              <w:rPr>
                <w:rFonts w:hint="eastAsia" w:ascii="仿宋" w:hAnsi="仿宋" w:eastAsia="仿宋" w:cs="仿宋"/>
                <w:sz w:val="21"/>
                <w:szCs w:val="21"/>
              </w:rPr>
              <w:t>1.时间：</w:t>
            </w:r>
            <w:r>
              <w:rPr>
                <w:rFonts w:hint="eastAsia" w:ascii="仿宋" w:hAnsi="仿宋" w:eastAsia="仿宋" w:cs="仿宋"/>
                <w:sz w:val="21"/>
                <w:szCs w:val="21"/>
                <w:u w:val="single"/>
              </w:rPr>
              <w:t>/</w:t>
            </w:r>
            <w:r>
              <w:rPr>
                <w:rFonts w:hint="eastAsia" w:ascii="仿宋" w:hAnsi="仿宋" w:eastAsia="仿宋" w:cs="仿宋"/>
                <w:sz w:val="21"/>
                <w:szCs w:val="21"/>
              </w:rPr>
              <w:t>至</w:t>
            </w:r>
            <w:r>
              <w:rPr>
                <w:rFonts w:hint="eastAsia" w:ascii="仿宋" w:hAnsi="仿宋" w:eastAsia="仿宋" w:cs="仿宋"/>
                <w:b/>
                <w:sz w:val="21"/>
                <w:szCs w:val="21"/>
                <w:lang w:eastAsia="zh-CN"/>
              </w:rPr>
              <w:t>2024年10月11日</w:t>
            </w:r>
            <w:r>
              <w:rPr>
                <w:rFonts w:hint="eastAsia" w:ascii="仿宋" w:hAnsi="仿宋" w:eastAsia="仿宋" w:cs="仿宋"/>
                <w:b/>
                <w:sz w:val="21"/>
                <w:szCs w:val="21"/>
              </w:rPr>
              <w:t xml:space="preserve"> 09:30</w:t>
            </w:r>
            <w:r>
              <w:rPr>
                <w:rFonts w:hint="eastAsia" w:ascii="仿宋" w:hAnsi="仿宋" w:eastAsia="仿宋" w:cs="仿宋"/>
                <w:sz w:val="21"/>
                <w:szCs w:val="21"/>
              </w:rPr>
              <w:t>，每天上午00:00至12:00，下午12:00至23:59（北京时间），法定节假日均可</w:t>
            </w:r>
            <w:r>
              <w:rPr>
                <w:rFonts w:hint="eastAsia" w:ascii="仿宋" w:hAnsi="仿宋" w:eastAsia="仿宋" w:cs="仿宋"/>
                <w:sz w:val="22"/>
                <w:szCs w:val="22"/>
              </w:rPr>
              <w:t>。</w:t>
            </w:r>
          </w:p>
          <w:p w14:paraId="71851A13">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sz w:val="21"/>
                <w:szCs w:val="21"/>
                <w:u w:val="single"/>
              </w:rPr>
            </w:pPr>
            <w:r>
              <w:rPr>
                <w:rFonts w:hint="eastAsia" w:ascii="仿宋" w:hAnsi="仿宋" w:eastAsia="仿宋" w:cs="仿宋"/>
                <w:sz w:val="21"/>
                <w:szCs w:val="21"/>
              </w:rPr>
              <w:t>2.地点：政府采购云平台（www.zcygov.cn）</w:t>
            </w:r>
          </w:p>
          <w:p w14:paraId="2A849B09">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szCs w:val="21"/>
              </w:rPr>
              <w:t>3.</w:t>
            </w:r>
            <w:r>
              <w:rPr>
                <w:rFonts w:hint="eastAsia" w:ascii="仿宋" w:hAnsi="仿宋" w:eastAsia="仿宋" w:cs="仿宋"/>
                <w:sz w:val="21"/>
                <w:szCs w:val="21"/>
              </w:rPr>
              <w:t>方式：拟参加本项目采购活动的潜在投标人直接登录“政采云”平台（www.zcygov.cn）或点击浙江政府采购网本项目公告附件“潜在供应商--获取采购文件”链接跳转登录后，在线申请获取采购文件（进入“项目采购”应用，在“获取采购文件”菜单中选择本项目。</w:t>
            </w:r>
          </w:p>
        </w:tc>
      </w:tr>
      <w:tr w14:paraId="1390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64A5C017">
            <w:pPr>
              <w:keepNext w:val="0"/>
              <w:keepLines w:val="0"/>
              <w:pageBreakBefore w:val="0"/>
              <w:kinsoku/>
              <w:overflowPunct/>
              <w:topLinePunct w:val="0"/>
              <w:bidi w:val="0"/>
              <w:snapToGrid/>
              <w:spacing w:line="300" w:lineRule="auto"/>
              <w:jc w:val="center"/>
              <w:textAlignment w:val="baseline"/>
              <w:rPr>
                <w:rFonts w:hint="eastAsia" w:ascii="仿宋" w:hAnsi="仿宋" w:eastAsia="仿宋" w:cs="仿宋"/>
                <w:szCs w:val="21"/>
              </w:rPr>
            </w:pPr>
            <w:r>
              <w:rPr>
                <w:rFonts w:hint="eastAsia" w:ascii="仿宋" w:hAnsi="仿宋" w:eastAsia="仿宋" w:cs="仿宋"/>
                <w:szCs w:val="21"/>
              </w:rPr>
              <w:t>采购文件答疑</w:t>
            </w:r>
          </w:p>
        </w:tc>
        <w:tc>
          <w:tcPr>
            <w:tcW w:w="7187" w:type="dxa"/>
            <w:tcBorders>
              <w:right w:val="double" w:color="auto" w:sz="4" w:space="0"/>
            </w:tcBorders>
            <w:vAlign w:val="center"/>
          </w:tcPr>
          <w:p w14:paraId="1B46431B">
            <w:pPr>
              <w:pStyle w:val="28"/>
              <w:tabs>
                <w:tab w:val="left" w:pos="6930"/>
              </w:tabs>
              <w:snapToGrid/>
              <w:spacing w:before="0" w:beforeAutospacing="0" w:after="0" w:afterAutospacing="0" w:line="360" w:lineRule="auto"/>
              <w:jc w:val="left"/>
              <w:textAlignment w:val="baseline"/>
              <w:rPr>
                <w:rFonts w:hint="eastAsia" w:ascii="仿宋" w:hAnsi="仿宋" w:eastAsia="仿宋" w:cs="仿宋"/>
                <w:b w:val="0"/>
                <w:i w:val="0"/>
                <w:caps w:val="0"/>
                <w:color w:val="000000"/>
                <w:spacing w:val="0"/>
                <w:w w:val="100"/>
                <w:sz w:val="21"/>
                <w:szCs w:val="21"/>
              </w:rPr>
            </w:pPr>
            <w:r>
              <w:rPr>
                <w:rFonts w:hint="eastAsia" w:ascii="仿宋" w:hAnsi="仿宋" w:eastAsia="仿宋" w:cs="仿宋"/>
                <w:b w:val="0"/>
                <w:i w:val="0"/>
                <w:caps w:val="0"/>
                <w:color w:val="000000"/>
                <w:spacing w:val="0"/>
                <w:w w:val="100"/>
                <w:sz w:val="21"/>
                <w:szCs w:val="21"/>
              </w:rPr>
              <w:t>潜在投标人认为采购文件存在含糊不清、相互矛盾、多种含义以及歧视性不公正条款或违法违规等内容时，请在招标公告期限届满之日起7个工作日内在线提起相关询问或质疑询问：</w:t>
            </w:r>
          </w:p>
          <w:p w14:paraId="42A63695">
            <w:pPr>
              <w:pStyle w:val="28"/>
              <w:tabs>
                <w:tab w:val="left" w:pos="6930"/>
              </w:tabs>
              <w:snapToGrid/>
              <w:spacing w:before="0" w:beforeAutospacing="0" w:after="0" w:afterAutospacing="0" w:line="360" w:lineRule="auto"/>
              <w:jc w:val="left"/>
              <w:textAlignment w:val="baseline"/>
              <w:rPr>
                <w:rFonts w:hint="eastAsia" w:ascii="仿宋" w:hAnsi="仿宋" w:eastAsia="仿宋" w:cs="仿宋"/>
                <w:b w:val="0"/>
                <w:i w:val="0"/>
                <w:caps w:val="0"/>
                <w:color w:val="000000"/>
                <w:spacing w:val="0"/>
                <w:w w:val="100"/>
                <w:sz w:val="21"/>
                <w:szCs w:val="21"/>
              </w:rPr>
            </w:pPr>
            <w:r>
              <w:rPr>
                <w:rFonts w:hint="eastAsia" w:ascii="仿宋" w:hAnsi="仿宋" w:eastAsia="仿宋" w:cs="仿宋"/>
                <w:b w:val="0"/>
                <w:i w:val="0"/>
                <w:caps w:val="0"/>
                <w:color w:val="000000"/>
                <w:spacing w:val="0"/>
                <w:w w:val="100"/>
                <w:sz w:val="21"/>
                <w:szCs w:val="21"/>
              </w:rPr>
              <w:t>在线提供询问路径为：政采云-项目采购-询问质疑投诉-询问列表；</w:t>
            </w:r>
          </w:p>
          <w:p w14:paraId="12E41042">
            <w:pPr>
              <w:pStyle w:val="28"/>
              <w:tabs>
                <w:tab w:val="left" w:pos="6930"/>
              </w:tabs>
              <w:snapToGrid/>
              <w:spacing w:before="0" w:beforeAutospacing="0" w:after="0" w:afterAutospacing="0" w:line="360" w:lineRule="auto"/>
              <w:jc w:val="left"/>
              <w:textAlignment w:val="baseline"/>
              <w:rPr>
                <w:rFonts w:hint="eastAsia" w:ascii="仿宋" w:hAnsi="仿宋" w:eastAsia="仿宋" w:cs="仿宋"/>
                <w:b w:val="0"/>
                <w:i w:val="0"/>
                <w:caps w:val="0"/>
                <w:color w:val="000000"/>
                <w:spacing w:val="0"/>
                <w:w w:val="100"/>
                <w:sz w:val="21"/>
                <w:szCs w:val="21"/>
              </w:rPr>
            </w:pPr>
            <w:r>
              <w:rPr>
                <w:rFonts w:hint="eastAsia" w:ascii="仿宋" w:hAnsi="仿宋" w:eastAsia="仿宋" w:cs="仿宋"/>
                <w:b w:val="0"/>
                <w:i w:val="0"/>
                <w:caps w:val="0"/>
                <w:color w:val="000000"/>
                <w:spacing w:val="0"/>
                <w:w w:val="100"/>
                <w:sz w:val="21"/>
                <w:szCs w:val="21"/>
              </w:rPr>
              <w:t>在线提起质疑路径为：政采云-项目采购-询问质疑投诉-质疑列表。</w:t>
            </w:r>
          </w:p>
          <w:p w14:paraId="4BC65685">
            <w:pPr>
              <w:pStyle w:val="28"/>
              <w:tabs>
                <w:tab w:val="left" w:pos="6930"/>
              </w:tabs>
              <w:snapToGrid/>
              <w:spacing w:before="0" w:beforeAutospacing="0" w:after="0" w:afterAutospacing="0" w:line="360" w:lineRule="auto"/>
              <w:jc w:val="left"/>
              <w:textAlignment w:val="baseline"/>
              <w:rPr>
                <w:rFonts w:hint="eastAsia" w:ascii="仿宋" w:hAnsi="仿宋" w:eastAsia="仿宋" w:cs="仿宋"/>
                <w:b w:val="0"/>
                <w:i w:val="0"/>
                <w:caps w:val="0"/>
                <w:color w:val="000000"/>
                <w:spacing w:val="0"/>
                <w:w w:val="100"/>
                <w:sz w:val="21"/>
                <w:szCs w:val="21"/>
              </w:rPr>
            </w:pPr>
            <w:r>
              <w:rPr>
                <w:rFonts w:hint="eastAsia" w:ascii="仿宋" w:hAnsi="仿宋" w:eastAsia="仿宋" w:cs="仿宋"/>
                <w:b w:val="0"/>
                <w:i w:val="0"/>
                <w:caps w:val="0"/>
                <w:color w:val="000000"/>
                <w:spacing w:val="0"/>
                <w:w w:val="100"/>
                <w:sz w:val="21"/>
                <w:szCs w:val="21"/>
              </w:rPr>
              <w:t>质疑供应商对在线质疑答复不满意的，可在线提起投诉，路径为：浙江政府服务网-政府采购投诉处理-在线办理。</w:t>
            </w:r>
          </w:p>
          <w:p w14:paraId="55011124">
            <w:pPr>
              <w:pStyle w:val="28"/>
              <w:tabs>
                <w:tab w:val="left" w:pos="6930"/>
              </w:tabs>
              <w:snapToGrid/>
              <w:spacing w:before="0" w:beforeAutospacing="0" w:after="0" w:afterAutospacing="0" w:line="360" w:lineRule="auto"/>
              <w:jc w:val="left"/>
              <w:textAlignment w:val="baseline"/>
              <w:rPr>
                <w:rFonts w:hint="eastAsia" w:ascii="仿宋" w:hAnsi="仿宋" w:eastAsia="仿宋" w:cs="仿宋"/>
                <w:b/>
                <w:bCs/>
                <w:i w:val="0"/>
                <w:caps w:val="0"/>
                <w:color w:val="000000"/>
                <w:spacing w:val="0"/>
                <w:w w:val="100"/>
                <w:sz w:val="21"/>
                <w:szCs w:val="21"/>
              </w:rPr>
            </w:pPr>
            <w:r>
              <w:rPr>
                <w:rFonts w:hint="eastAsia" w:ascii="仿宋" w:hAnsi="仿宋" w:eastAsia="仿宋" w:cs="仿宋"/>
                <w:b/>
                <w:bCs/>
                <w:i w:val="0"/>
                <w:caps w:val="0"/>
                <w:color w:val="000000"/>
                <w:spacing w:val="0"/>
                <w:w w:val="100"/>
                <w:sz w:val="21"/>
                <w:szCs w:val="21"/>
                <w:lang w:eastAsia="zh-CN"/>
              </w:rPr>
              <w:t>除在线提出质疑外，供应商也可以通过线下</w:t>
            </w:r>
            <w:r>
              <w:rPr>
                <w:rFonts w:hint="eastAsia" w:ascii="仿宋" w:hAnsi="仿宋" w:eastAsia="仿宋" w:cs="仿宋"/>
                <w:b/>
                <w:bCs/>
                <w:i w:val="0"/>
                <w:caps w:val="0"/>
                <w:color w:val="000000"/>
                <w:spacing w:val="0"/>
                <w:w w:val="100"/>
                <w:sz w:val="21"/>
                <w:szCs w:val="21"/>
              </w:rPr>
              <w:t>邮寄质疑函</w:t>
            </w:r>
            <w:r>
              <w:rPr>
                <w:rFonts w:hint="eastAsia" w:ascii="仿宋" w:hAnsi="仿宋" w:eastAsia="仿宋" w:cs="仿宋"/>
                <w:b/>
                <w:bCs/>
                <w:i w:val="0"/>
                <w:caps w:val="0"/>
                <w:color w:val="000000"/>
                <w:spacing w:val="0"/>
                <w:w w:val="100"/>
                <w:sz w:val="21"/>
                <w:szCs w:val="21"/>
                <w:lang w:eastAsia="zh-CN"/>
              </w:rPr>
              <w:t>的方式提出质疑，线下提出质疑的，邮寄信息如下：浙江省常山县天马街道石城路</w:t>
            </w:r>
            <w:r>
              <w:rPr>
                <w:rFonts w:hint="eastAsia" w:ascii="仿宋" w:hAnsi="仿宋" w:eastAsia="仿宋" w:cs="仿宋"/>
                <w:b/>
                <w:bCs/>
                <w:i w:val="0"/>
                <w:caps w:val="0"/>
                <w:color w:val="000000"/>
                <w:spacing w:val="0"/>
                <w:w w:val="100"/>
                <w:sz w:val="21"/>
                <w:szCs w:val="21"/>
                <w:lang w:val="en-US" w:eastAsia="zh-CN"/>
              </w:rPr>
              <w:t>4号4楼姚赛容</w:t>
            </w:r>
            <w:r>
              <w:rPr>
                <w:rFonts w:hint="eastAsia" w:ascii="仿宋" w:hAnsi="仿宋" w:eastAsia="仿宋" w:cs="仿宋"/>
                <w:b/>
                <w:bCs/>
                <w:i w:val="0"/>
                <w:caps w:val="0"/>
                <w:color w:val="000000"/>
                <w:spacing w:val="0"/>
                <w:w w:val="100"/>
                <w:sz w:val="21"/>
                <w:szCs w:val="21"/>
                <w:lang w:eastAsia="zh-CN"/>
              </w:rPr>
              <w:t>（</w:t>
            </w:r>
            <w:r>
              <w:rPr>
                <w:rFonts w:hint="eastAsia" w:ascii="仿宋" w:hAnsi="仿宋" w:eastAsia="仿宋" w:cs="仿宋"/>
                <w:b/>
                <w:bCs/>
                <w:i w:val="0"/>
                <w:caps w:val="0"/>
                <w:color w:val="000000"/>
                <w:spacing w:val="0"/>
                <w:w w:val="100"/>
                <w:sz w:val="21"/>
                <w:szCs w:val="21"/>
                <w:lang w:val="en-US" w:eastAsia="zh-CN"/>
              </w:rPr>
              <w:t>19564287929</w:t>
            </w:r>
            <w:r>
              <w:rPr>
                <w:rFonts w:hint="eastAsia" w:ascii="仿宋" w:hAnsi="仿宋" w:eastAsia="仿宋" w:cs="仿宋"/>
                <w:b/>
                <w:bCs/>
                <w:i w:val="0"/>
                <w:caps w:val="0"/>
                <w:color w:val="000000"/>
                <w:spacing w:val="0"/>
                <w:w w:val="100"/>
                <w:sz w:val="21"/>
                <w:szCs w:val="21"/>
                <w:lang w:eastAsia="zh-CN"/>
              </w:rPr>
              <w:t>）收</w:t>
            </w:r>
            <w:r>
              <w:rPr>
                <w:rFonts w:hint="eastAsia" w:ascii="仿宋" w:hAnsi="仿宋" w:eastAsia="仿宋" w:cs="仿宋"/>
                <w:b/>
                <w:bCs/>
                <w:i w:val="0"/>
                <w:caps w:val="0"/>
                <w:color w:val="000000"/>
                <w:spacing w:val="0"/>
                <w:w w:val="100"/>
                <w:sz w:val="21"/>
                <w:szCs w:val="21"/>
              </w:rPr>
              <w:t>。</w:t>
            </w:r>
          </w:p>
          <w:p w14:paraId="3E36586B">
            <w:pPr>
              <w:pStyle w:val="28"/>
              <w:keepNext w:val="0"/>
              <w:keepLines w:val="0"/>
              <w:pageBreakBefore w:val="0"/>
              <w:tabs>
                <w:tab w:val="left" w:pos="6930"/>
              </w:tabs>
              <w:kinsoku/>
              <w:overflowPunct/>
              <w:topLinePunct w:val="0"/>
              <w:bidi w:val="0"/>
              <w:snapToGrid/>
              <w:spacing w:beforeAutospacing="0" w:afterAutospacing="0" w:line="360" w:lineRule="auto"/>
              <w:rPr>
                <w:rFonts w:hint="eastAsia" w:ascii="仿宋" w:hAnsi="仿宋" w:eastAsia="仿宋" w:cs="仿宋"/>
                <w:color w:val="000000"/>
                <w:sz w:val="21"/>
                <w:szCs w:val="21"/>
              </w:rPr>
            </w:pPr>
            <w:r>
              <w:rPr>
                <w:rFonts w:hint="eastAsia" w:ascii="仿宋" w:hAnsi="仿宋" w:eastAsia="仿宋" w:cs="仿宋"/>
                <w:b w:val="0"/>
                <w:i w:val="0"/>
                <w:caps w:val="0"/>
                <w:color w:val="000000"/>
                <w:spacing w:val="0"/>
                <w:w w:val="100"/>
                <w:sz w:val="21"/>
                <w:szCs w:val="21"/>
              </w:rPr>
              <w:t>质疑的提出与答复均按《政府采购质疑和投诉办法》（财政部令第 94 号）规定执行。针对同一采购程序环节的质疑，投标人应在法定期限内一次性提出（即针对同一采购程序环节的质疑采购人或采购代理机构仅受理一次），逾期提出或针对同一采购程序环节多次提出的质疑将不予受理、答复。</w:t>
            </w:r>
          </w:p>
        </w:tc>
      </w:tr>
      <w:tr w14:paraId="642E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5" w:type="dxa"/>
            <w:tcBorders>
              <w:left w:val="double" w:color="auto" w:sz="4" w:space="0"/>
            </w:tcBorders>
            <w:vAlign w:val="center"/>
          </w:tcPr>
          <w:p w14:paraId="54BD5A06">
            <w:pPr>
              <w:keepNext w:val="0"/>
              <w:keepLines w:val="0"/>
              <w:pageBreakBefore w:val="0"/>
              <w:kinsoku/>
              <w:overflowPunct/>
              <w:topLinePunct w:val="0"/>
              <w:bidi w:val="0"/>
              <w:snapToGrid/>
              <w:spacing w:line="300" w:lineRule="auto"/>
              <w:jc w:val="center"/>
              <w:textAlignment w:val="baseline"/>
              <w:rPr>
                <w:rFonts w:hint="eastAsia" w:ascii="仿宋" w:hAnsi="仿宋" w:eastAsia="仿宋" w:cs="仿宋"/>
                <w:szCs w:val="21"/>
              </w:rPr>
            </w:pPr>
            <w:r>
              <w:rPr>
                <w:rFonts w:hint="eastAsia" w:ascii="仿宋" w:hAnsi="仿宋" w:eastAsia="仿宋" w:cs="仿宋"/>
                <w:szCs w:val="21"/>
              </w:rPr>
              <w:t>采购文件的澄清与修改</w:t>
            </w:r>
          </w:p>
        </w:tc>
        <w:tc>
          <w:tcPr>
            <w:tcW w:w="7187" w:type="dxa"/>
            <w:tcBorders>
              <w:right w:val="double" w:color="auto" w:sz="4" w:space="0"/>
            </w:tcBorders>
            <w:vAlign w:val="center"/>
          </w:tcPr>
          <w:p w14:paraId="4A1334E4">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采购人</w:t>
            </w:r>
            <w:r>
              <w:rPr>
                <w:rFonts w:hint="eastAsia" w:ascii="仿宋" w:hAnsi="仿宋" w:eastAsia="仿宋" w:cs="仿宋"/>
                <w:color w:val="000000"/>
                <w:sz w:val="21"/>
                <w:szCs w:val="21"/>
              </w:rPr>
              <w:t>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603B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34257BF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投标保证金</w:t>
            </w:r>
          </w:p>
        </w:tc>
        <w:tc>
          <w:tcPr>
            <w:tcW w:w="7187" w:type="dxa"/>
            <w:tcBorders>
              <w:right w:val="double" w:color="auto" w:sz="4" w:space="0"/>
            </w:tcBorders>
            <w:vAlign w:val="center"/>
          </w:tcPr>
          <w:p w14:paraId="59DC3BB1">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1.根据《浙江省财政厅关于明确政府采购保证金管理工作的通知》（浙财采监〔2019〕5号）规定，本项目无需缴纳投标保证金。</w:t>
            </w:r>
          </w:p>
          <w:p w14:paraId="3D1B6493">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sz w:val="21"/>
                <w:szCs w:val="21"/>
              </w:rPr>
            </w:pPr>
            <w:r>
              <w:rPr>
                <w:rFonts w:hint="eastAsia" w:ascii="仿宋" w:hAnsi="仿宋" w:eastAsia="仿宋" w:cs="仿宋"/>
                <w:color w:val="000000"/>
                <w:sz w:val="21"/>
                <w:szCs w:val="21"/>
              </w:rPr>
              <w:t>2.投标人在投标有效期内撤回投标文件或者中标人在法定期限内无正当理由不与</w:t>
            </w:r>
            <w:r>
              <w:rPr>
                <w:rFonts w:hint="eastAsia" w:ascii="仿宋" w:hAnsi="仿宋" w:eastAsia="仿宋" w:cs="仿宋"/>
                <w:color w:val="000000"/>
                <w:sz w:val="21"/>
                <w:szCs w:val="21"/>
                <w:lang w:eastAsia="zh-CN"/>
              </w:rPr>
              <w:t>采购人</w:t>
            </w:r>
            <w:r>
              <w:rPr>
                <w:rFonts w:hint="eastAsia" w:ascii="仿宋" w:hAnsi="仿宋" w:eastAsia="仿宋" w:cs="仿宋"/>
                <w:color w:val="000000"/>
                <w:sz w:val="21"/>
                <w:szCs w:val="21"/>
              </w:rPr>
              <w:t>签订合同或无法按照投标文件承诺的条件与采购人签订合同的，应当按照本项目采购预算价2%的标准承担因此给</w:t>
            </w:r>
            <w:r>
              <w:rPr>
                <w:rFonts w:hint="eastAsia" w:ascii="仿宋" w:hAnsi="仿宋" w:eastAsia="仿宋" w:cs="仿宋"/>
                <w:color w:val="000000"/>
                <w:sz w:val="21"/>
                <w:szCs w:val="21"/>
                <w:lang w:eastAsia="zh-CN"/>
              </w:rPr>
              <w:t>采购人</w:t>
            </w:r>
            <w:r>
              <w:rPr>
                <w:rFonts w:hint="eastAsia" w:ascii="仿宋" w:hAnsi="仿宋" w:eastAsia="仿宋" w:cs="仿宋"/>
                <w:color w:val="000000"/>
                <w:sz w:val="21"/>
                <w:szCs w:val="21"/>
              </w:rPr>
              <w:t>造成的损失的赔偿责任及相应的法律责任。</w:t>
            </w:r>
          </w:p>
        </w:tc>
      </w:tr>
      <w:tr w14:paraId="0BA7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1D54463C">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szCs w:val="21"/>
              </w:rPr>
            </w:pPr>
            <w:r>
              <w:rPr>
                <w:rFonts w:hint="eastAsia" w:ascii="仿宋" w:hAnsi="仿宋" w:eastAsia="仿宋" w:cs="仿宋"/>
                <w:szCs w:val="21"/>
                <w:lang w:val="en-US" w:eastAsia="zh-CN"/>
              </w:rPr>
              <w:t>投标有效期</w:t>
            </w:r>
          </w:p>
        </w:tc>
        <w:tc>
          <w:tcPr>
            <w:tcW w:w="7187" w:type="dxa"/>
            <w:tcBorders>
              <w:right w:val="double" w:color="auto" w:sz="4" w:space="0"/>
            </w:tcBorders>
            <w:vAlign w:val="center"/>
          </w:tcPr>
          <w:p w14:paraId="00A46569">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投标截止日起 90 日历天</w:t>
            </w:r>
          </w:p>
        </w:tc>
      </w:tr>
      <w:tr w14:paraId="6799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047D999F">
            <w:pPr>
              <w:pStyle w:val="28"/>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投标文件形式、组成</w:t>
            </w:r>
          </w:p>
          <w:p w14:paraId="79A82FDA">
            <w:pPr>
              <w:pStyle w:val="28"/>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sz w:val="21"/>
                <w:szCs w:val="21"/>
              </w:rPr>
            </w:pPr>
            <w:r>
              <w:rPr>
                <w:rFonts w:hint="eastAsia" w:ascii="仿宋" w:hAnsi="仿宋" w:eastAsia="仿宋" w:cs="仿宋"/>
                <w:color w:val="000000"/>
                <w:sz w:val="21"/>
                <w:szCs w:val="21"/>
              </w:rPr>
              <w:t>及制作</w:t>
            </w:r>
          </w:p>
        </w:tc>
        <w:tc>
          <w:tcPr>
            <w:tcW w:w="7187" w:type="dxa"/>
            <w:tcBorders>
              <w:right w:val="double" w:color="auto" w:sz="4" w:space="0"/>
            </w:tcBorders>
            <w:vAlign w:val="center"/>
          </w:tcPr>
          <w:p w14:paraId="3C8FC010">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投标文件的形式：电子投标文件（包括“电子加密投标文件”和“备份投标文件”，在投标文件编制完成后同时生成）；</w:t>
            </w:r>
          </w:p>
          <w:p w14:paraId="5162B8AB">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（1）“电子加密投标文件”是指通过“政采云电子交易客户端”完成投标文件编制后生成并加密的数据电文形式的投标文件。</w:t>
            </w:r>
          </w:p>
          <w:p w14:paraId="38BFF558">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lang w:val="zh-CN"/>
              </w:rPr>
              <w:t>（2）“备份</w:t>
            </w:r>
            <w:r>
              <w:rPr>
                <w:rFonts w:hint="eastAsia" w:ascii="仿宋" w:hAnsi="仿宋" w:eastAsia="仿宋" w:cs="仿宋"/>
                <w:bCs/>
                <w:color w:val="000000"/>
                <w:sz w:val="21"/>
                <w:szCs w:val="21"/>
                <w:lang w:val="zh-CN"/>
              </w:rPr>
              <w:t>投标</w:t>
            </w:r>
            <w:r>
              <w:rPr>
                <w:rFonts w:hint="eastAsia" w:ascii="仿宋" w:hAnsi="仿宋" w:eastAsia="仿宋" w:cs="仿宋"/>
                <w:color w:val="000000"/>
                <w:sz w:val="21"/>
                <w:szCs w:val="21"/>
                <w:lang w:val="zh-CN"/>
              </w:rPr>
              <w:t>文件”是指与“电子加密投标文件”同时生成的数据电文形式的电子文件（备份标书），其他方式编制的备份投标文件视为无效备份投标文件。</w:t>
            </w:r>
          </w:p>
          <w:p w14:paraId="6E8B1F6D">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lang w:val="zh-CN"/>
              </w:rPr>
            </w:pPr>
            <w:r>
              <w:rPr>
                <w:rFonts w:hint="eastAsia" w:ascii="仿宋" w:hAnsi="仿宋" w:eastAsia="仿宋" w:cs="仿宋"/>
                <w:color w:val="000000"/>
                <w:sz w:val="21"/>
                <w:szCs w:val="21"/>
              </w:rPr>
              <w:t>2.</w:t>
            </w:r>
            <w:r>
              <w:rPr>
                <w:rFonts w:hint="eastAsia" w:ascii="仿宋" w:hAnsi="仿宋" w:eastAsia="仿宋" w:cs="仿宋"/>
                <w:color w:val="000000"/>
                <w:sz w:val="21"/>
                <w:szCs w:val="21"/>
                <w:lang w:val="zh-CN"/>
              </w:rPr>
              <w:t>备份投标文件递交非强制性要求。</w:t>
            </w:r>
          </w:p>
          <w:p w14:paraId="37C5A632">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3.投标</w:t>
            </w:r>
            <w:r>
              <w:rPr>
                <w:rFonts w:hint="eastAsia" w:ascii="仿宋" w:hAnsi="仿宋" w:eastAsia="仿宋" w:cs="仿宋"/>
                <w:bCs/>
                <w:color w:val="000000"/>
                <w:sz w:val="21"/>
                <w:szCs w:val="21"/>
              </w:rPr>
              <w:t>文件</w:t>
            </w:r>
            <w:r>
              <w:rPr>
                <w:rFonts w:hint="eastAsia" w:ascii="仿宋" w:hAnsi="仿宋" w:eastAsia="仿宋" w:cs="仿宋"/>
                <w:color w:val="000000"/>
                <w:sz w:val="21"/>
                <w:szCs w:val="21"/>
              </w:rPr>
              <w:t>由资格文件、商务技术文件、报价文件组成；</w:t>
            </w:r>
          </w:p>
          <w:p w14:paraId="76CBD469">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4.电子</w:t>
            </w:r>
            <w:r>
              <w:rPr>
                <w:rFonts w:hint="eastAsia" w:ascii="仿宋" w:hAnsi="仿宋" w:eastAsia="仿宋" w:cs="仿宋"/>
                <w:bCs/>
                <w:color w:val="000000"/>
                <w:sz w:val="21"/>
                <w:szCs w:val="21"/>
              </w:rPr>
              <w:t>加密</w:t>
            </w:r>
            <w:r>
              <w:rPr>
                <w:rFonts w:hint="eastAsia" w:ascii="仿宋" w:hAnsi="仿宋" w:eastAsia="仿宋" w:cs="仿宋"/>
                <w:color w:val="000000"/>
                <w:sz w:val="21"/>
                <w:szCs w:val="21"/>
              </w:rPr>
              <w:t>投标文件制作：应按政采云平台供应商项目采购-电子招投标操作指南（网址：</w:t>
            </w:r>
            <w:r>
              <w:rPr>
                <w:rFonts w:hint="eastAsia" w:ascii="仿宋" w:hAnsi="仿宋" w:eastAsia="仿宋" w:cs="仿宋"/>
              </w:rPr>
              <w:fldChar w:fldCharType="begin"/>
            </w:r>
            <w:r>
              <w:rPr>
                <w:rFonts w:hint="eastAsia" w:ascii="仿宋" w:hAnsi="仿宋" w:eastAsia="仿宋" w:cs="仿宋"/>
              </w:rPr>
              <w:instrText xml:space="preserve"> HYPERLINK "https://help.zcy.gov.cn/web/site_2/2018/12-28/2573.html）及本采购文件要求制作" </w:instrText>
            </w:r>
            <w:r>
              <w:rPr>
                <w:rFonts w:hint="eastAsia" w:ascii="仿宋" w:hAnsi="仿宋" w:eastAsia="仿宋" w:cs="仿宋"/>
              </w:rPr>
              <w:fldChar w:fldCharType="separate"/>
            </w:r>
            <w:r>
              <w:rPr>
                <w:rStyle w:val="35"/>
                <w:rFonts w:hint="eastAsia" w:ascii="仿宋" w:hAnsi="仿宋" w:eastAsia="仿宋" w:cs="仿宋"/>
                <w:color w:val="auto"/>
                <w:sz w:val="21"/>
                <w:szCs w:val="21"/>
                <w:u w:val="none"/>
              </w:rPr>
              <w:t>https://help.zcy.gov.cn/web/site_2/2018/12-28/2573.html）及本采购文件要求制作</w:t>
            </w:r>
            <w:r>
              <w:rPr>
                <w:rStyle w:val="35"/>
                <w:rFonts w:hint="eastAsia" w:ascii="仿宋" w:hAnsi="仿宋" w:eastAsia="仿宋" w:cs="仿宋"/>
                <w:color w:val="auto"/>
                <w:sz w:val="21"/>
                <w:szCs w:val="21"/>
                <w:u w:val="none"/>
              </w:rPr>
              <w:fldChar w:fldCharType="end"/>
            </w:r>
            <w:r>
              <w:rPr>
                <w:rFonts w:hint="eastAsia" w:ascii="仿宋" w:hAnsi="仿宋" w:eastAsia="仿宋" w:cs="仿宋"/>
                <w:sz w:val="21"/>
                <w:szCs w:val="21"/>
              </w:rPr>
              <w:t>、加密并递交。</w:t>
            </w:r>
          </w:p>
        </w:tc>
      </w:tr>
      <w:tr w14:paraId="306F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16EBADC0">
            <w:pPr>
              <w:keepNext w:val="0"/>
              <w:keepLines w:val="0"/>
              <w:pageBreakBefore w:val="0"/>
              <w:kinsoku/>
              <w:overflowPunct/>
              <w:topLinePunct w:val="0"/>
              <w:bidi w:val="0"/>
              <w:snapToGrid/>
              <w:spacing w:line="300" w:lineRule="auto"/>
              <w:jc w:val="center"/>
              <w:rPr>
                <w:rFonts w:hint="eastAsia" w:ascii="仿宋" w:hAnsi="仿宋" w:eastAsia="仿宋" w:cs="仿宋"/>
                <w:szCs w:val="21"/>
              </w:rPr>
            </w:pPr>
            <w:r>
              <w:rPr>
                <w:rFonts w:hint="eastAsia" w:ascii="仿宋" w:hAnsi="仿宋" w:eastAsia="仿宋" w:cs="仿宋"/>
                <w:szCs w:val="21"/>
              </w:rPr>
              <w:t>投标文件提交（上传）</w:t>
            </w:r>
          </w:p>
        </w:tc>
        <w:tc>
          <w:tcPr>
            <w:tcW w:w="7187" w:type="dxa"/>
            <w:tcBorders>
              <w:right w:val="double" w:color="auto" w:sz="4" w:space="0"/>
            </w:tcBorders>
            <w:vAlign w:val="center"/>
          </w:tcPr>
          <w:p w14:paraId="04CF8B25">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1.</w:t>
            </w:r>
            <w:r>
              <w:rPr>
                <w:rFonts w:hint="eastAsia" w:ascii="仿宋" w:hAnsi="仿宋" w:eastAsia="仿宋" w:cs="仿宋"/>
                <w:kern w:val="2"/>
                <w:sz w:val="21"/>
                <w:szCs w:val="21"/>
                <w:lang w:val="zh-CN"/>
              </w:rPr>
              <w:t>电子加密投标文件</w:t>
            </w:r>
            <w:r>
              <w:rPr>
                <w:rFonts w:hint="eastAsia" w:ascii="仿宋" w:hAnsi="仿宋" w:eastAsia="仿宋" w:cs="仿宋"/>
                <w:kern w:val="2"/>
                <w:sz w:val="21"/>
                <w:szCs w:val="21"/>
              </w:rPr>
              <w:t>递交：投标人应于</w:t>
            </w:r>
            <w:r>
              <w:rPr>
                <w:rFonts w:hint="eastAsia" w:ascii="仿宋" w:hAnsi="仿宋" w:eastAsia="仿宋" w:cs="仿宋"/>
                <w:b/>
                <w:kern w:val="2"/>
                <w:sz w:val="21"/>
                <w:szCs w:val="21"/>
                <w:lang w:eastAsia="zh-CN"/>
              </w:rPr>
              <w:t>2024年10月11日09:30</w:t>
            </w:r>
            <w:r>
              <w:rPr>
                <w:rFonts w:hint="eastAsia" w:ascii="仿宋" w:hAnsi="仿宋" w:eastAsia="仿宋" w:cs="仿宋"/>
                <w:kern w:val="2"/>
                <w:sz w:val="21"/>
                <w:szCs w:val="21"/>
              </w:rPr>
              <w:t>（北京时间，下同）前将电子加密投标文件通过“政采云电子投标客户端”上传至政采云平台，逾期上传的将予以拒收。</w:t>
            </w:r>
          </w:p>
          <w:p w14:paraId="66256578">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递交地点：“政府采购云平台（www.zcygov.cn）”在线递交（上传）</w:t>
            </w:r>
          </w:p>
          <w:p w14:paraId="3BD8FB99">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fldChar w:fldCharType="begin"/>
            </w:r>
            <w:r>
              <w:rPr>
                <w:rFonts w:hint="eastAsia" w:ascii="仿宋" w:hAnsi="仿宋" w:eastAsia="仿宋" w:cs="仿宋"/>
                <w:kern w:val="2"/>
                <w:sz w:val="21"/>
                <w:szCs w:val="21"/>
              </w:rPr>
              <w:instrText xml:space="preserve"> HYPERLINK "mailto:2.备份投标文件在开标时间后15分钟内以电子邮件形式递交至采购代理机构邮箱（103874679@qq.com）。" </w:instrText>
            </w:r>
            <w:r>
              <w:rPr>
                <w:rFonts w:hint="eastAsia" w:ascii="仿宋" w:hAnsi="仿宋" w:eastAsia="仿宋" w:cs="仿宋"/>
                <w:kern w:val="2"/>
                <w:sz w:val="21"/>
                <w:szCs w:val="21"/>
              </w:rPr>
              <w:fldChar w:fldCharType="separate"/>
            </w:r>
            <w:r>
              <w:rPr>
                <w:rFonts w:hint="eastAsia" w:ascii="仿宋" w:hAnsi="仿宋" w:eastAsia="仿宋" w:cs="仿宋"/>
                <w:kern w:val="2"/>
                <w:sz w:val="21"/>
                <w:szCs w:val="21"/>
              </w:rPr>
              <w:t>2.备份投标文件递交：</w:t>
            </w:r>
          </w:p>
          <w:p w14:paraId="46955FE1">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2.1投标人在“政府采购云平台”完成“电子加密投标文件”的上传递交后，还可以（以电子邮件的形式）在投标截止时间前发送一份加密压缩文件的“备份投标文件”（一份）；</w:t>
            </w:r>
          </w:p>
          <w:p w14:paraId="63100339">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lang w:val="zh-CN"/>
              </w:rPr>
            </w:pPr>
            <w:r>
              <w:rPr>
                <w:rFonts w:hint="eastAsia" w:ascii="仿宋" w:hAnsi="仿宋" w:eastAsia="仿宋" w:cs="仿宋"/>
                <w:kern w:val="2"/>
                <w:sz w:val="21"/>
                <w:szCs w:val="21"/>
              </w:rPr>
              <w:t>2.2</w:t>
            </w:r>
            <w:r>
              <w:rPr>
                <w:rFonts w:hint="eastAsia" w:ascii="仿宋" w:hAnsi="仿宋" w:eastAsia="仿宋" w:cs="仿宋"/>
                <w:kern w:val="2"/>
                <w:sz w:val="21"/>
                <w:szCs w:val="21"/>
                <w:lang w:val="zh-CN"/>
              </w:rPr>
              <w:t>“备份投标文件”以压缩文件形式加密发送至采购代理机构邮箱：</w:t>
            </w:r>
            <w:r>
              <w:rPr>
                <w:rFonts w:hint="eastAsia" w:ascii="仿宋" w:hAnsi="仿宋" w:eastAsia="仿宋" w:cs="仿宋"/>
                <w:kern w:val="2"/>
                <w:sz w:val="21"/>
                <w:szCs w:val="21"/>
              </w:rPr>
              <w:t>压缩文件命名为</w:t>
            </w:r>
            <w:r>
              <w:rPr>
                <w:rFonts w:hint="eastAsia" w:ascii="仿宋" w:hAnsi="仿宋" w:eastAsia="仿宋" w:cs="仿宋"/>
                <w:kern w:val="2"/>
                <w:sz w:val="21"/>
                <w:szCs w:val="21"/>
                <w:lang w:val="zh-CN"/>
              </w:rPr>
              <w:t>投标项目编号和投标单位简称。接到在线解密通知后</w:t>
            </w:r>
            <w:r>
              <w:rPr>
                <w:rFonts w:hint="eastAsia" w:ascii="仿宋" w:hAnsi="仿宋" w:eastAsia="仿宋" w:cs="仿宋"/>
                <w:kern w:val="2"/>
                <w:sz w:val="21"/>
                <w:szCs w:val="21"/>
              </w:rPr>
              <w:t>30分钟</w:t>
            </w:r>
            <w:r>
              <w:rPr>
                <w:rFonts w:hint="eastAsia" w:ascii="仿宋" w:hAnsi="仿宋" w:eastAsia="仿宋" w:cs="仿宋"/>
                <w:kern w:val="2"/>
                <w:sz w:val="21"/>
                <w:szCs w:val="21"/>
                <w:lang w:val="zh-CN"/>
              </w:rPr>
              <w:t>内发送压缩文件密码至采购代理机构邮箱（邮箱号码：</w:t>
            </w:r>
            <w:r>
              <w:rPr>
                <w:rFonts w:hint="eastAsia" w:ascii="仿宋" w:hAnsi="仿宋" w:eastAsia="仿宋" w:cs="仿宋"/>
                <w:kern w:val="2"/>
                <w:sz w:val="21"/>
                <w:szCs w:val="21"/>
                <w:lang w:eastAsia="zh-CN"/>
              </w:rPr>
              <w:t>414767833@qq.com</w:t>
            </w:r>
            <w:r>
              <w:rPr>
                <w:rFonts w:hint="eastAsia" w:ascii="仿宋" w:hAnsi="仿宋" w:eastAsia="仿宋" w:cs="仿宋"/>
                <w:kern w:val="2"/>
                <w:sz w:val="21"/>
                <w:szCs w:val="21"/>
              </w:rPr>
              <w:t>）</w:t>
            </w:r>
            <w:r>
              <w:rPr>
                <w:rFonts w:hint="eastAsia" w:ascii="仿宋" w:hAnsi="仿宋" w:eastAsia="仿宋" w:cs="仿宋"/>
                <w:kern w:val="2"/>
                <w:sz w:val="21"/>
                <w:szCs w:val="21"/>
                <w:lang w:val="zh-CN"/>
              </w:rPr>
              <w:t>。</w:t>
            </w:r>
          </w:p>
          <w:p w14:paraId="4FA50D03">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fldChar w:fldCharType="end"/>
            </w:r>
            <w:r>
              <w:rPr>
                <w:rFonts w:hint="eastAsia" w:ascii="仿宋" w:hAnsi="仿宋" w:eastAsia="仿宋" w:cs="仿宋"/>
                <w:kern w:val="2"/>
                <w:sz w:val="21"/>
                <w:szCs w:val="21"/>
              </w:rPr>
              <w:t>3.如投标人未在投标截止时间前完成</w:t>
            </w:r>
            <w:r>
              <w:rPr>
                <w:rFonts w:hint="eastAsia" w:ascii="仿宋" w:hAnsi="仿宋" w:eastAsia="仿宋" w:cs="仿宋"/>
                <w:kern w:val="2"/>
                <w:sz w:val="21"/>
                <w:szCs w:val="21"/>
                <w:lang w:val="zh-CN"/>
              </w:rPr>
              <w:t>电子加密投标文件</w:t>
            </w:r>
            <w:r>
              <w:rPr>
                <w:rFonts w:hint="eastAsia" w:ascii="仿宋" w:hAnsi="仿宋" w:eastAsia="仿宋" w:cs="仿宋"/>
                <w:kern w:val="2"/>
                <w:sz w:val="21"/>
                <w:szCs w:val="21"/>
              </w:rPr>
              <w:t>传输递交的，其备份投标文件无效。</w:t>
            </w:r>
          </w:p>
        </w:tc>
      </w:tr>
      <w:tr w14:paraId="7B90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0D2E753E">
            <w:pPr>
              <w:pStyle w:val="28"/>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sz w:val="21"/>
                <w:szCs w:val="21"/>
              </w:rPr>
            </w:pPr>
            <w:r>
              <w:rPr>
                <w:rFonts w:hint="eastAsia" w:ascii="仿宋" w:hAnsi="仿宋" w:eastAsia="仿宋" w:cs="仿宋"/>
                <w:color w:val="000000"/>
                <w:sz w:val="21"/>
                <w:szCs w:val="21"/>
              </w:rPr>
              <w:t>投标文件的修改（补充）和撤回</w:t>
            </w:r>
          </w:p>
        </w:tc>
        <w:tc>
          <w:tcPr>
            <w:tcW w:w="7187" w:type="dxa"/>
            <w:tcBorders>
              <w:right w:val="double" w:color="auto" w:sz="4" w:space="0"/>
            </w:tcBorders>
            <w:vAlign w:val="center"/>
          </w:tcPr>
          <w:p w14:paraId="63ADF293">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1.修改（补充）和撤回：</w:t>
            </w:r>
          </w:p>
          <w:p w14:paraId="1B79885F">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rPr>
            </w:pPr>
            <w:r>
              <w:rPr>
                <w:rFonts w:hint="eastAsia" w:ascii="仿宋" w:hAnsi="仿宋" w:eastAsia="仿宋" w:cs="仿宋"/>
                <w:kern w:val="2"/>
                <w:sz w:val="21"/>
                <w:szCs w:val="21"/>
              </w:rPr>
              <w:t>1.1投标截止时间前可以修改（补充）或撤回电子加密投标文件。补充或者修改电子加密投标文件的，应当先行撤回原文件，补充、修改后重新传输递交。投标截止时间前未完成传输递交的，视为撤回投标文件。</w:t>
            </w:r>
          </w:p>
          <w:p w14:paraId="509A8B29">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kern w:val="2"/>
                <w:sz w:val="21"/>
                <w:szCs w:val="21"/>
              </w:rPr>
              <w:t>1.2投标截止时间后，投标人不得修改（补充）或撤回其投标文件。</w:t>
            </w:r>
          </w:p>
        </w:tc>
      </w:tr>
      <w:tr w14:paraId="6A18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2A5EFC0A">
            <w:pPr>
              <w:keepNext w:val="0"/>
              <w:keepLines w:val="0"/>
              <w:pageBreakBefore w:val="0"/>
              <w:kinsoku/>
              <w:overflowPunct/>
              <w:topLinePunct w:val="0"/>
              <w:bidi w:val="0"/>
              <w:snapToGrid/>
              <w:spacing w:line="300" w:lineRule="auto"/>
              <w:jc w:val="center"/>
              <w:rPr>
                <w:rFonts w:hint="eastAsia" w:ascii="仿宋" w:hAnsi="仿宋" w:eastAsia="仿宋" w:cs="仿宋"/>
                <w:szCs w:val="21"/>
              </w:rPr>
            </w:pPr>
            <w:r>
              <w:rPr>
                <w:rFonts w:hint="eastAsia" w:ascii="仿宋" w:hAnsi="仿宋" w:eastAsia="仿宋" w:cs="仿宋"/>
                <w:szCs w:val="21"/>
              </w:rPr>
              <w:t>开标时间、地点</w:t>
            </w:r>
          </w:p>
          <w:p w14:paraId="44AA0B30">
            <w:pPr>
              <w:keepNext w:val="0"/>
              <w:keepLines w:val="0"/>
              <w:pageBreakBefore w:val="0"/>
              <w:kinsoku/>
              <w:overflowPunct/>
              <w:topLinePunct w:val="0"/>
              <w:bidi w:val="0"/>
              <w:snapToGrid/>
              <w:spacing w:line="300" w:lineRule="auto"/>
              <w:jc w:val="center"/>
              <w:rPr>
                <w:rFonts w:hint="eastAsia" w:ascii="仿宋" w:hAnsi="仿宋" w:eastAsia="仿宋" w:cs="仿宋"/>
                <w:szCs w:val="21"/>
              </w:rPr>
            </w:pPr>
            <w:r>
              <w:rPr>
                <w:rFonts w:hint="eastAsia" w:ascii="仿宋" w:hAnsi="仿宋" w:eastAsia="仿宋" w:cs="仿宋"/>
                <w:szCs w:val="21"/>
              </w:rPr>
              <w:t>及注意事项</w:t>
            </w:r>
          </w:p>
        </w:tc>
        <w:tc>
          <w:tcPr>
            <w:tcW w:w="7187" w:type="dxa"/>
            <w:tcBorders>
              <w:right w:val="double" w:color="auto" w:sz="4" w:space="0"/>
            </w:tcBorders>
            <w:vAlign w:val="center"/>
          </w:tcPr>
          <w:p w14:paraId="704A9734">
            <w:pPr>
              <w:keepNext w:val="0"/>
              <w:keepLines w:val="0"/>
              <w:pageBreakBefore w:val="0"/>
              <w:kinsoku/>
              <w:overflowPunct/>
              <w:topLinePunct w:val="0"/>
              <w:bidi w:val="0"/>
              <w:snapToGrid/>
              <w:spacing w:line="300" w:lineRule="auto"/>
              <w:rPr>
                <w:rFonts w:hint="eastAsia" w:ascii="仿宋" w:hAnsi="仿宋" w:eastAsia="仿宋" w:cs="仿宋"/>
                <w:color w:val="000000"/>
                <w:szCs w:val="21"/>
              </w:rPr>
            </w:pPr>
            <w:r>
              <w:rPr>
                <w:rFonts w:hint="eastAsia" w:ascii="仿宋" w:hAnsi="仿宋" w:eastAsia="仿宋" w:cs="仿宋"/>
                <w:color w:val="000000"/>
                <w:szCs w:val="21"/>
                <w:lang w:val="zh-CN"/>
              </w:rPr>
              <w:t>开标时间</w:t>
            </w:r>
            <w:r>
              <w:rPr>
                <w:rFonts w:hint="eastAsia" w:ascii="仿宋" w:hAnsi="仿宋" w:eastAsia="仿宋" w:cs="仿宋"/>
                <w:color w:val="000000"/>
                <w:szCs w:val="21"/>
              </w:rPr>
              <w:t>：</w:t>
            </w:r>
            <w:r>
              <w:rPr>
                <w:rFonts w:hint="eastAsia" w:ascii="仿宋" w:hAnsi="仿宋" w:eastAsia="仿宋" w:cs="仿宋"/>
                <w:b/>
                <w:szCs w:val="21"/>
                <w:lang w:eastAsia="zh-CN"/>
              </w:rPr>
              <w:t>2024年10月11日09:30</w:t>
            </w:r>
          </w:p>
          <w:p w14:paraId="79F15493">
            <w:pPr>
              <w:keepNext w:val="0"/>
              <w:keepLines w:val="0"/>
              <w:pageBreakBefore w:val="0"/>
              <w:kinsoku/>
              <w:overflowPunct/>
              <w:topLinePunct w:val="0"/>
              <w:bidi w:val="0"/>
              <w:snapToGrid/>
              <w:spacing w:line="300" w:lineRule="auto"/>
              <w:rPr>
                <w:rFonts w:hint="eastAsia" w:ascii="仿宋" w:hAnsi="仿宋" w:eastAsia="仿宋" w:cs="仿宋"/>
                <w:color w:val="000000"/>
                <w:szCs w:val="21"/>
              </w:rPr>
            </w:pPr>
            <w:r>
              <w:rPr>
                <w:rFonts w:hint="eastAsia" w:ascii="仿宋" w:hAnsi="仿宋" w:eastAsia="仿宋" w:cs="仿宋"/>
                <w:color w:val="000000"/>
                <w:szCs w:val="21"/>
                <w:lang w:val="zh-CN"/>
              </w:rPr>
              <w:t>开标地点</w:t>
            </w:r>
            <w:r>
              <w:rPr>
                <w:rFonts w:hint="eastAsia" w:ascii="仿宋" w:hAnsi="仿宋" w:eastAsia="仿宋" w:cs="仿宋"/>
                <w:color w:val="000000"/>
                <w:szCs w:val="21"/>
              </w:rPr>
              <w:t>：</w:t>
            </w:r>
            <w:r>
              <w:rPr>
                <w:rFonts w:hint="eastAsia" w:ascii="仿宋" w:hAnsi="仿宋" w:eastAsia="仿宋" w:cs="仿宋"/>
                <w:color w:val="000000"/>
                <w:szCs w:val="21"/>
                <w:lang w:val="zh-CN"/>
              </w:rPr>
              <w:t>投标人持与制作本项目电子加密投标文件的同一个</w:t>
            </w:r>
            <w:r>
              <w:rPr>
                <w:rFonts w:hint="eastAsia" w:ascii="仿宋" w:hAnsi="仿宋" w:eastAsia="仿宋" w:cs="仿宋"/>
                <w:color w:val="000000"/>
                <w:szCs w:val="21"/>
              </w:rPr>
              <w:t>CA</w:t>
            </w:r>
            <w:r>
              <w:rPr>
                <w:rFonts w:hint="eastAsia" w:ascii="仿宋" w:hAnsi="仿宋" w:eastAsia="仿宋" w:cs="仿宋"/>
                <w:color w:val="000000"/>
                <w:szCs w:val="21"/>
                <w:lang w:val="zh-CN"/>
              </w:rPr>
              <w:t>锁在线登录</w:t>
            </w:r>
            <w:r>
              <w:rPr>
                <w:rFonts w:hint="eastAsia" w:ascii="仿宋" w:hAnsi="仿宋" w:eastAsia="仿宋" w:cs="仿宋"/>
                <w:color w:val="000000"/>
                <w:szCs w:val="21"/>
              </w:rPr>
              <w:t>“</w:t>
            </w:r>
            <w:r>
              <w:rPr>
                <w:rFonts w:hint="eastAsia" w:ascii="仿宋" w:hAnsi="仿宋" w:eastAsia="仿宋" w:cs="仿宋"/>
                <w:color w:val="000000"/>
                <w:szCs w:val="21"/>
                <w:lang w:val="zh-CN"/>
              </w:rPr>
              <w:t>政府采购云平台</w:t>
            </w:r>
            <w:r>
              <w:rPr>
                <w:rFonts w:hint="eastAsia" w:ascii="仿宋" w:hAnsi="仿宋" w:eastAsia="仿宋" w:cs="仿宋"/>
                <w:color w:val="000000"/>
                <w:szCs w:val="21"/>
              </w:rPr>
              <w:t>（www.zcygov.cn）”</w:t>
            </w:r>
            <w:r>
              <w:rPr>
                <w:rFonts w:hint="eastAsia" w:ascii="仿宋" w:hAnsi="仿宋" w:eastAsia="仿宋" w:cs="仿宋"/>
                <w:color w:val="000000"/>
                <w:szCs w:val="21"/>
                <w:lang w:val="zh-CN"/>
              </w:rPr>
              <w:t>本项目开标大厅等候解密</w:t>
            </w:r>
            <w:r>
              <w:rPr>
                <w:rFonts w:hint="eastAsia" w:ascii="仿宋" w:hAnsi="仿宋" w:eastAsia="仿宋" w:cs="仿宋"/>
                <w:color w:val="000000"/>
                <w:szCs w:val="21"/>
              </w:rPr>
              <w:t>（</w:t>
            </w:r>
            <w:r>
              <w:rPr>
                <w:rFonts w:hint="eastAsia" w:ascii="仿宋" w:hAnsi="仿宋" w:eastAsia="仿宋" w:cs="仿宋"/>
                <w:color w:val="000000"/>
                <w:szCs w:val="21"/>
                <w:lang w:val="zh-CN"/>
              </w:rPr>
              <w:t>本项目采用线上开评标</w:t>
            </w:r>
            <w:r>
              <w:rPr>
                <w:rFonts w:hint="eastAsia" w:ascii="仿宋" w:hAnsi="仿宋" w:eastAsia="仿宋" w:cs="仿宋"/>
                <w:color w:val="000000"/>
                <w:szCs w:val="21"/>
              </w:rPr>
              <w:t>，</w:t>
            </w:r>
            <w:r>
              <w:rPr>
                <w:rFonts w:hint="eastAsia" w:ascii="仿宋" w:hAnsi="仿宋" w:eastAsia="仿宋" w:cs="仿宋"/>
                <w:szCs w:val="21"/>
              </w:rPr>
              <w:t>投标人代表无须前往评审现场</w:t>
            </w:r>
            <w:r>
              <w:rPr>
                <w:rFonts w:hint="eastAsia" w:ascii="仿宋" w:hAnsi="仿宋" w:eastAsia="仿宋" w:cs="仿宋"/>
                <w:color w:val="000000"/>
                <w:szCs w:val="21"/>
              </w:rPr>
              <w:t>）</w:t>
            </w:r>
            <w:r>
              <w:rPr>
                <w:rFonts w:hint="eastAsia" w:ascii="仿宋" w:hAnsi="仿宋" w:eastAsia="仿宋" w:cs="仿宋"/>
                <w:color w:val="000000"/>
                <w:szCs w:val="21"/>
                <w:lang w:val="zh-CN"/>
              </w:rPr>
              <w:t>。</w:t>
            </w:r>
          </w:p>
        </w:tc>
      </w:tr>
      <w:tr w14:paraId="1835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6389043B">
            <w:pPr>
              <w:keepNext w:val="0"/>
              <w:keepLines w:val="0"/>
              <w:pageBreakBefore w:val="0"/>
              <w:kinsoku/>
              <w:overflowPunct/>
              <w:topLinePunct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资格审查</w:t>
            </w:r>
          </w:p>
        </w:tc>
        <w:tc>
          <w:tcPr>
            <w:tcW w:w="7187" w:type="dxa"/>
            <w:tcBorders>
              <w:right w:val="double" w:color="auto" w:sz="4" w:space="0"/>
            </w:tcBorders>
            <w:vAlign w:val="center"/>
          </w:tcPr>
          <w:p w14:paraId="5FCD5A58">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开标结束后，采购人或采购代理机构依法对投标人的资格进行审查。审查内容详见采购文件。</w:t>
            </w:r>
          </w:p>
        </w:tc>
      </w:tr>
      <w:tr w14:paraId="1FD7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5" w:type="dxa"/>
            <w:tcBorders>
              <w:left w:val="double" w:color="auto" w:sz="4" w:space="0"/>
            </w:tcBorders>
            <w:vAlign w:val="center"/>
          </w:tcPr>
          <w:p w14:paraId="1415C931">
            <w:pPr>
              <w:keepNext w:val="0"/>
              <w:keepLines w:val="0"/>
              <w:pageBreakBefore w:val="0"/>
              <w:kinsoku/>
              <w:overflowPunct/>
              <w:topLinePunct w:val="0"/>
              <w:bidi w:val="0"/>
              <w:snapToGrid/>
              <w:spacing w:line="300" w:lineRule="auto"/>
              <w:jc w:val="center"/>
              <w:rPr>
                <w:rFonts w:hint="eastAsia" w:ascii="仿宋" w:hAnsi="仿宋" w:eastAsia="仿宋" w:cs="仿宋"/>
                <w:szCs w:val="21"/>
              </w:rPr>
            </w:pPr>
            <w:r>
              <w:rPr>
                <w:rFonts w:hint="eastAsia" w:ascii="仿宋" w:hAnsi="仿宋" w:eastAsia="仿宋" w:cs="仿宋"/>
                <w:szCs w:val="21"/>
              </w:rPr>
              <w:t>评标委员会的组建</w:t>
            </w:r>
          </w:p>
        </w:tc>
        <w:tc>
          <w:tcPr>
            <w:tcW w:w="7187" w:type="dxa"/>
            <w:tcBorders>
              <w:right w:val="double" w:color="auto" w:sz="4" w:space="0"/>
            </w:tcBorders>
            <w:vAlign w:val="center"/>
          </w:tcPr>
          <w:p w14:paraId="5AAFE481">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采购人依法组建评标委员会，评标委员会</w:t>
            </w:r>
            <w:r>
              <w:rPr>
                <w:rFonts w:hint="eastAsia" w:ascii="仿宋" w:hAnsi="仿宋" w:eastAsia="仿宋" w:cs="仿宋"/>
                <w:bCs/>
                <w:color w:val="000000"/>
                <w:sz w:val="21"/>
                <w:szCs w:val="21"/>
                <w:lang w:eastAsia="zh-CN"/>
              </w:rPr>
              <w:t>共</w:t>
            </w:r>
            <w:r>
              <w:rPr>
                <w:rFonts w:hint="eastAsia" w:ascii="仿宋" w:hAnsi="仿宋" w:eastAsia="仿宋" w:cs="仿宋"/>
                <w:bCs/>
                <w:color w:val="000000"/>
                <w:sz w:val="21"/>
                <w:szCs w:val="21"/>
                <w:lang w:val="en-US" w:eastAsia="zh-CN"/>
              </w:rPr>
              <w:t>5名，</w:t>
            </w:r>
            <w:r>
              <w:rPr>
                <w:rFonts w:hint="eastAsia" w:ascii="仿宋" w:hAnsi="仿宋" w:eastAsia="仿宋" w:cs="仿宋"/>
                <w:bCs/>
                <w:color w:val="000000"/>
                <w:sz w:val="21"/>
                <w:szCs w:val="21"/>
              </w:rPr>
              <w:t>由1名采购人代表及4名技术、经济等方面的评审专家组成；</w:t>
            </w:r>
          </w:p>
          <w:p w14:paraId="25E0AE2D">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sz w:val="21"/>
                <w:szCs w:val="21"/>
              </w:rPr>
            </w:pPr>
            <w:r>
              <w:rPr>
                <w:rFonts w:hint="eastAsia" w:ascii="仿宋" w:hAnsi="仿宋" w:eastAsia="仿宋" w:cs="仿宋"/>
                <w:bCs/>
                <w:color w:val="000000"/>
                <w:sz w:val="21"/>
                <w:szCs w:val="21"/>
              </w:rPr>
              <w:t>评审专家确定方式：按政府采购相关规定从</w:t>
            </w:r>
            <w:r>
              <w:rPr>
                <w:rFonts w:hint="eastAsia" w:ascii="仿宋" w:hAnsi="仿宋" w:eastAsia="仿宋" w:cs="仿宋"/>
                <w:bCs/>
                <w:color w:val="000000"/>
                <w:sz w:val="21"/>
                <w:szCs w:val="21"/>
                <w:lang w:eastAsia="zh-CN"/>
              </w:rPr>
              <w:t>政府采购</w:t>
            </w:r>
            <w:r>
              <w:rPr>
                <w:rFonts w:hint="eastAsia" w:ascii="仿宋" w:hAnsi="仿宋" w:eastAsia="仿宋" w:cs="仿宋"/>
                <w:bCs/>
                <w:color w:val="000000"/>
                <w:sz w:val="21"/>
                <w:szCs w:val="21"/>
              </w:rPr>
              <w:t>专家库中随机抽取。</w:t>
            </w:r>
          </w:p>
        </w:tc>
      </w:tr>
      <w:tr w14:paraId="7D28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2AABCFF7">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sz w:val="21"/>
              </w:rPr>
            </w:pPr>
            <w:r>
              <w:rPr>
                <w:rFonts w:hint="eastAsia" w:ascii="仿宋" w:hAnsi="仿宋" w:eastAsia="仿宋" w:cs="仿宋"/>
                <w:b w:val="0"/>
                <w:color w:val="auto"/>
                <w:sz w:val="21"/>
              </w:rPr>
              <w:t>需</w:t>
            </w:r>
            <w:r>
              <w:rPr>
                <w:rFonts w:hint="eastAsia" w:ascii="仿宋" w:hAnsi="仿宋" w:eastAsia="仿宋" w:cs="仿宋"/>
                <w:b w:val="0"/>
                <w:color w:val="auto"/>
                <w:sz w:val="21"/>
                <w:highlight w:val="none"/>
              </w:rPr>
              <w:t>落实的政府采购政策</w:t>
            </w:r>
          </w:p>
        </w:tc>
        <w:tc>
          <w:tcPr>
            <w:tcW w:w="7187" w:type="dxa"/>
            <w:tcBorders>
              <w:right w:val="double" w:color="auto" w:sz="4" w:space="0"/>
            </w:tcBorders>
            <w:vAlign w:val="center"/>
          </w:tcPr>
          <w:p w14:paraId="1DCA50DF">
            <w:pPr>
              <w:pStyle w:val="62"/>
              <w:tabs>
                <w:tab w:val="left" w:pos="6930"/>
              </w:tabs>
              <w:spacing w:before="0" w:beforeAutospacing="0" w:after="0" w:afterAutospacing="0" w:line="300" w:lineRule="auto"/>
              <w:rPr>
                <w:rStyle w:val="50"/>
                <w:rFonts w:hint="eastAsia" w:ascii="仿宋" w:hAnsi="仿宋" w:eastAsia="仿宋" w:cs="仿宋"/>
                <w:color w:val="000000"/>
                <w:sz w:val="21"/>
                <w:szCs w:val="21"/>
              </w:rPr>
            </w:pPr>
            <w:r>
              <w:rPr>
                <w:rStyle w:val="50"/>
                <w:rFonts w:hint="eastAsia" w:ascii="仿宋" w:hAnsi="仿宋" w:eastAsia="仿宋" w:cs="仿宋"/>
                <w:color w:val="000000"/>
                <w:sz w:val="21"/>
                <w:szCs w:val="21"/>
              </w:rPr>
              <w:t>一、政府采购促进中小企业发展扶持政策</w:t>
            </w:r>
          </w:p>
          <w:p w14:paraId="27392099">
            <w:pPr>
              <w:pStyle w:val="62"/>
              <w:tabs>
                <w:tab w:val="left" w:pos="6930"/>
              </w:tabs>
              <w:spacing w:before="0" w:beforeAutospacing="0" w:after="0" w:afterAutospacing="0" w:line="300" w:lineRule="auto"/>
              <w:rPr>
                <w:rStyle w:val="50"/>
                <w:rFonts w:hint="eastAsia" w:ascii="仿宋" w:hAnsi="仿宋" w:eastAsia="仿宋" w:cs="仿宋"/>
                <w:color w:val="000000"/>
                <w:sz w:val="21"/>
                <w:szCs w:val="21"/>
              </w:rPr>
            </w:pPr>
            <w:r>
              <w:rPr>
                <w:rStyle w:val="50"/>
                <w:rFonts w:hint="eastAsia" w:ascii="仿宋" w:hAnsi="仿宋" w:eastAsia="仿宋" w:cs="仿宋"/>
                <w:color w:val="000000"/>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3FFABFC4">
            <w:pPr>
              <w:pStyle w:val="62"/>
              <w:tabs>
                <w:tab w:val="left" w:pos="6930"/>
              </w:tabs>
              <w:spacing w:before="0" w:beforeAutospacing="0" w:after="0" w:afterAutospacing="0" w:line="300" w:lineRule="auto"/>
              <w:rPr>
                <w:rStyle w:val="50"/>
                <w:rFonts w:hint="eastAsia" w:ascii="仿宋" w:hAnsi="仿宋" w:eastAsia="仿宋" w:cs="仿宋"/>
                <w:b/>
                <w:bCs/>
                <w:color w:val="000000"/>
                <w:sz w:val="21"/>
                <w:szCs w:val="21"/>
              </w:rPr>
            </w:pPr>
            <w:r>
              <w:rPr>
                <w:rStyle w:val="50"/>
                <w:rFonts w:hint="eastAsia" w:ascii="仿宋" w:hAnsi="仿宋" w:eastAsia="仿宋" w:cs="仿宋"/>
                <w:b/>
                <w:bCs/>
                <w:color w:val="000000"/>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w:t>
            </w:r>
            <w:r>
              <w:rPr>
                <w:rStyle w:val="50"/>
                <w:rFonts w:hint="eastAsia" w:ascii="仿宋" w:hAnsi="仿宋" w:eastAsia="仿宋" w:cs="仿宋"/>
                <w:b/>
                <w:bCs/>
                <w:color w:val="000000"/>
                <w:sz w:val="21"/>
                <w:szCs w:val="21"/>
                <w:lang w:eastAsia="zh-CN"/>
              </w:rPr>
              <w:t>劳</w:t>
            </w:r>
            <w:r>
              <w:rPr>
                <w:rStyle w:val="50"/>
                <w:rFonts w:hint="eastAsia" w:ascii="仿宋" w:hAnsi="仿宋" w:eastAsia="仿宋" w:cs="仿宋"/>
                <w:b/>
                <w:bCs/>
                <w:color w:val="000000"/>
                <w:sz w:val="21"/>
                <w:szCs w:val="21"/>
              </w:rPr>
              <w:t>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 1条要求，或者填与内容错误、缺漏项的，资格审查不予通过。</w:t>
            </w:r>
          </w:p>
          <w:p w14:paraId="47FD5BF3">
            <w:pPr>
              <w:pStyle w:val="62"/>
              <w:tabs>
                <w:tab w:val="left" w:pos="6930"/>
              </w:tabs>
              <w:spacing w:before="0" w:beforeAutospacing="0" w:after="0" w:afterAutospacing="0" w:line="300" w:lineRule="auto"/>
              <w:rPr>
                <w:rStyle w:val="50"/>
                <w:rFonts w:hint="eastAsia" w:ascii="仿宋" w:hAnsi="仿宋" w:eastAsia="仿宋" w:cs="仿宋"/>
                <w:b/>
                <w:bCs/>
                <w:color w:val="000000"/>
                <w:sz w:val="21"/>
                <w:szCs w:val="21"/>
              </w:rPr>
            </w:pPr>
            <w:r>
              <w:rPr>
                <w:rStyle w:val="50"/>
                <w:rFonts w:hint="eastAsia" w:ascii="仿宋" w:hAnsi="仿宋" w:eastAsia="仿宋" w:cs="仿宋"/>
                <w:b/>
                <w:bCs/>
                <w:color w:val="000000"/>
                <w:sz w:val="21"/>
                <w:szCs w:val="21"/>
              </w:rPr>
              <w:t>（2）针对非预留份额专门面向中小企业采购的项目:</w:t>
            </w:r>
          </w:p>
          <w:p w14:paraId="6004D181">
            <w:pPr>
              <w:pStyle w:val="62"/>
              <w:tabs>
                <w:tab w:val="left" w:pos="6930"/>
              </w:tabs>
              <w:spacing w:before="0" w:beforeAutospacing="0" w:after="0" w:afterAutospacing="0" w:line="300" w:lineRule="auto"/>
              <w:rPr>
                <w:rStyle w:val="50"/>
                <w:rFonts w:hint="eastAsia" w:ascii="仿宋" w:hAnsi="仿宋" w:eastAsia="仿宋" w:cs="仿宋"/>
                <w:b/>
                <w:bCs/>
                <w:color w:val="000000"/>
                <w:sz w:val="21"/>
                <w:szCs w:val="21"/>
              </w:rPr>
            </w:pPr>
            <w:r>
              <w:rPr>
                <w:rStyle w:val="50"/>
                <w:rFonts w:hint="eastAsia" w:ascii="仿宋" w:hAnsi="仿宋" w:eastAsia="仿宋" w:cs="仿宋"/>
                <w:b/>
                <w:bCs/>
                <w:color w:val="000000"/>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11FB9C0A">
            <w:pPr>
              <w:pStyle w:val="62"/>
              <w:tabs>
                <w:tab w:val="left" w:pos="6930"/>
              </w:tabs>
              <w:spacing w:before="0" w:beforeAutospacing="0" w:after="0" w:afterAutospacing="0" w:line="300" w:lineRule="auto"/>
              <w:rPr>
                <w:rStyle w:val="50"/>
                <w:rFonts w:hint="eastAsia" w:ascii="仿宋" w:hAnsi="仿宋" w:eastAsia="仿宋" w:cs="仿宋"/>
                <w:b/>
                <w:bCs/>
                <w:color w:val="000000"/>
                <w:sz w:val="21"/>
                <w:szCs w:val="21"/>
              </w:rPr>
            </w:pPr>
            <w:r>
              <w:rPr>
                <w:rStyle w:val="50"/>
                <w:rFonts w:hint="eastAsia" w:ascii="仿宋" w:hAnsi="仿宋" w:eastAsia="仿宋" w:cs="仿宋"/>
                <w:b/>
                <w:bCs/>
                <w:color w:val="000000"/>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624415B3">
            <w:pPr>
              <w:pStyle w:val="62"/>
              <w:tabs>
                <w:tab w:val="left" w:pos="6930"/>
              </w:tabs>
              <w:spacing w:before="0" w:beforeAutospacing="0" w:after="0" w:afterAutospacing="0" w:line="300" w:lineRule="auto"/>
              <w:rPr>
                <w:rStyle w:val="50"/>
                <w:rFonts w:hint="eastAsia" w:ascii="仿宋" w:hAnsi="仿宋" w:eastAsia="仿宋" w:cs="仿宋"/>
                <w:color w:val="000000"/>
                <w:sz w:val="21"/>
                <w:szCs w:val="21"/>
              </w:rPr>
            </w:pPr>
            <w:r>
              <w:rPr>
                <w:rStyle w:val="50"/>
                <w:rFonts w:hint="eastAsia" w:ascii="仿宋" w:hAnsi="仿宋" w:eastAsia="仿宋" w:cs="仿宋"/>
                <w:color w:val="000000"/>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6F29B83E">
            <w:pPr>
              <w:pStyle w:val="62"/>
              <w:tabs>
                <w:tab w:val="left" w:pos="6930"/>
              </w:tabs>
              <w:spacing w:before="0" w:beforeAutospacing="0" w:after="0" w:afterAutospacing="0" w:line="300" w:lineRule="auto"/>
              <w:rPr>
                <w:rStyle w:val="50"/>
                <w:rFonts w:hint="eastAsia" w:ascii="仿宋" w:hAnsi="仿宋" w:eastAsia="仿宋" w:cs="仿宋"/>
                <w:color w:val="000000"/>
                <w:sz w:val="21"/>
                <w:szCs w:val="21"/>
              </w:rPr>
            </w:pPr>
            <w:r>
              <w:rPr>
                <w:rStyle w:val="50"/>
                <w:rFonts w:hint="eastAsia" w:ascii="仿宋" w:hAnsi="仿宋" w:eastAsia="仿宋" w:cs="仿宋"/>
                <w:color w:val="000000"/>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1CB2DFD6">
            <w:pPr>
              <w:pStyle w:val="62"/>
              <w:tabs>
                <w:tab w:val="left" w:pos="6930"/>
              </w:tabs>
              <w:spacing w:before="0" w:beforeAutospacing="0" w:after="0" w:afterAutospacing="0" w:line="300" w:lineRule="auto"/>
              <w:rPr>
                <w:rStyle w:val="50"/>
                <w:rFonts w:hint="eastAsia" w:ascii="仿宋" w:hAnsi="仿宋" w:eastAsia="仿宋" w:cs="仿宋"/>
                <w:color w:val="000000"/>
                <w:sz w:val="21"/>
                <w:szCs w:val="21"/>
              </w:rPr>
            </w:pPr>
            <w:r>
              <w:rPr>
                <w:rStyle w:val="50"/>
                <w:rFonts w:hint="eastAsia" w:ascii="仿宋" w:hAnsi="仿宋" w:eastAsia="仿宋" w:cs="仿宋"/>
                <w:color w:val="000000"/>
                <w:sz w:val="21"/>
                <w:szCs w:val="21"/>
              </w:rPr>
              <w:t>二、政府采购节能环保政策</w:t>
            </w:r>
            <w:r>
              <w:rPr>
                <w:rStyle w:val="50"/>
                <w:rFonts w:hint="eastAsia" w:ascii="仿宋" w:hAnsi="仿宋" w:eastAsia="仿宋" w:cs="仿宋"/>
                <w:b/>
                <w:bCs/>
                <w:color w:val="000000"/>
                <w:sz w:val="21"/>
                <w:szCs w:val="21"/>
              </w:rPr>
              <w:t>（适用于货物类采购项目）</w:t>
            </w:r>
          </w:p>
          <w:p w14:paraId="48F89F2A">
            <w:pPr>
              <w:pStyle w:val="62"/>
              <w:tabs>
                <w:tab w:val="left" w:pos="6930"/>
              </w:tabs>
              <w:spacing w:before="0" w:beforeAutospacing="0" w:after="0" w:afterAutospacing="0" w:line="300" w:lineRule="auto"/>
              <w:rPr>
                <w:rStyle w:val="50"/>
                <w:rFonts w:hint="eastAsia" w:ascii="仿宋" w:hAnsi="仿宋" w:eastAsia="仿宋" w:cs="仿宋"/>
                <w:color w:val="000000"/>
                <w:sz w:val="21"/>
                <w:szCs w:val="21"/>
              </w:rPr>
            </w:pPr>
            <w:r>
              <w:rPr>
                <w:rStyle w:val="50"/>
                <w:rFonts w:hint="eastAsia" w:ascii="仿宋" w:hAnsi="仿宋" w:eastAsia="仿宋" w:cs="仿宋"/>
                <w:color w:val="000000"/>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3AE161A3">
            <w:pPr>
              <w:pStyle w:val="62"/>
              <w:tabs>
                <w:tab w:val="left" w:pos="6930"/>
              </w:tabs>
              <w:spacing w:before="0" w:beforeAutospacing="0" w:after="0" w:afterAutospacing="0" w:line="300" w:lineRule="auto"/>
              <w:rPr>
                <w:rStyle w:val="50"/>
                <w:rFonts w:hint="eastAsia" w:ascii="仿宋" w:hAnsi="仿宋" w:eastAsia="仿宋" w:cs="仿宋"/>
                <w:color w:val="000000"/>
                <w:sz w:val="21"/>
                <w:szCs w:val="21"/>
              </w:rPr>
            </w:pPr>
            <w:r>
              <w:rPr>
                <w:rStyle w:val="50"/>
                <w:rFonts w:hint="eastAsia" w:ascii="仿宋" w:hAnsi="仿宋" w:eastAsia="仿宋" w:cs="仿宋"/>
                <w:color w:val="000000"/>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6290BFE3">
            <w:pPr>
              <w:pStyle w:val="62"/>
              <w:tabs>
                <w:tab w:val="left" w:pos="6930"/>
              </w:tabs>
              <w:spacing w:before="0" w:beforeAutospacing="0" w:after="0" w:afterAutospacing="0" w:line="300" w:lineRule="auto"/>
              <w:rPr>
                <w:rStyle w:val="50"/>
                <w:rFonts w:hint="eastAsia" w:ascii="仿宋" w:hAnsi="仿宋" w:eastAsia="仿宋" w:cs="仿宋"/>
                <w:color w:val="000000"/>
                <w:sz w:val="21"/>
                <w:szCs w:val="21"/>
              </w:rPr>
            </w:pPr>
            <w:r>
              <w:rPr>
                <w:rStyle w:val="50"/>
                <w:rFonts w:hint="eastAsia" w:ascii="仿宋" w:hAnsi="仿宋" w:eastAsia="仿宋" w:cs="仿宋"/>
                <w:color w:val="000000"/>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75828934">
            <w:pPr>
              <w:pStyle w:val="62"/>
              <w:tabs>
                <w:tab w:val="left" w:pos="6930"/>
              </w:tabs>
              <w:spacing w:before="0" w:beforeAutospacing="0" w:after="0" w:afterAutospacing="0" w:line="300" w:lineRule="auto"/>
              <w:rPr>
                <w:rFonts w:hint="eastAsia" w:ascii="仿宋" w:hAnsi="仿宋" w:eastAsia="仿宋" w:cs="仿宋"/>
                <w:color w:val="000000"/>
                <w:sz w:val="21"/>
                <w:szCs w:val="21"/>
              </w:rPr>
            </w:pPr>
            <w:r>
              <w:rPr>
                <w:rStyle w:val="50"/>
                <w:rFonts w:hint="eastAsia" w:ascii="仿宋" w:hAnsi="仿宋" w:eastAsia="仿宋" w:cs="仿宋"/>
                <w:color w:val="000000"/>
                <w:sz w:val="21"/>
                <w:szCs w:val="21"/>
              </w:rPr>
              <w:t>2.认证机构范围以《市场监管总局关于发布参与实施政府采购节能产品、环境标志产品认证机构名录的公告》中公布的认证机构名录为准。</w:t>
            </w:r>
          </w:p>
        </w:tc>
      </w:tr>
      <w:tr w14:paraId="0ABD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4769C55A">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专</w:t>
            </w:r>
            <w:r>
              <w:rPr>
                <w:rFonts w:hint="eastAsia" w:ascii="仿宋" w:hAnsi="仿宋" w:eastAsia="仿宋" w:cs="仿宋"/>
                <w:b w:val="0"/>
                <w:bCs w:val="0"/>
                <w:color w:val="auto"/>
                <w:kern w:val="2"/>
                <w:sz w:val="21"/>
                <w:highlight w:val="none"/>
              </w:rPr>
              <w:t>门面向中小企业预留采购份额情况</w:t>
            </w:r>
          </w:p>
        </w:tc>
        <w:tc>
          <w:tcPr>
            <w:tcW w:w="7187" w:type="dxa"/>
            <w:tcBorders>
              <w:right w:val="double" w:color="auto" w:sz="4" w:space="0"/>
            </w:tcBorders>
            <w:vAlign w:val="center"/>
          </w:tcPr>
          <w:p w14:paraId="2BA5C553">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2"/>
                <w:sz w:val="21"/>
                <w:szCs w:val="21"/>
                <w:highlight w:val="none"/>
              </w:rPr>
            </w:pPr>
            <w:r>
              <w:rPr>
                <w:rFonts w:hint="eastAsia" w:ascii="仿宋" w:hAnsi="仿宋" w:eastAsia="仿宋" w:cs="仿宋"/>
                <w:b/>
                <w:bCs/>
                <w:color w:val="000000"/>
                <w:sz w:val="21"/>
                <w:szCs w:val="21"/>
                <w:highlight w:val="none"/>
              </w:rPr>
              <w:t>本项目</w:t>
            </w: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auto"/>
                <w:sz w:val="21"/>
                <w:szCs w:val="21"/>
                <w:highlight w:val="none"/>
                <w:lang w:eastAsia="zh-CN"/>
              </w:rPr>
              <w:t>是</w:t>
            </w:r>
            <w:r>
              <w:rPr>
                <w:rFonts w:hint="eastAsia" w:ascii="仿宋" w:hAnsi="仿宋" w:eastAsia="仿宋" w:cs="仿宋"/>
                <w:b w:val="0"/>
                <w:bCs w:val="0"/>
                <w:color w:val="000000"/>
                <w:sz w:val="21"/>
                <w:szCs w:val="21"/>
                <w:highlight w:val="none"/>
                <w:lang w:eastAsia="zh-CN"/>
              </w:rPr>
              <w:t>（</w:t>
            </w:r>
            <w:r>
              <w:rPr>
                <w:rFonts w:hint="eastAsia" w:ascii="仿宋" w:hAnsi="仿宋" w:eastAsia="仿宋" w:cs="仿宋"/>
                <w:b w:val="0"/>
                <w:bCs w:val="0"/>
                <w:color w:val="000000"/>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000000"/>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否</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预留</w:t>
            </w:r>
            <w:r>
              <w:rPr>
                <w:rFonts w:hint="eastAsia" w:ascii="仿宋" w:hAnsi="仿宋" w:eastAsia="仿宋" w:cs="仿宋"/>
                <w:b/>
                <w:bCs/>
                <w:color w:val="000000"/>
                <w:sz w:val="21"/>
                <w:szCs w:val="21"/>
                <w:highlight w:val="none"/>
              </w:rPr>
              <w:t>（或部分预留）份额专门面向中小企业采购的采购项目。</w:t>
            </w:r>
          </w:p>
        </w:tc>
      </w:tr>
      <w:tr w14:paraId="1EE2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3A281C8A">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联合体投标</w:t>
            </w:r>
          </w:p>
        </w:tc>
        <w:tc>
          <w:tcPr>
            <w:tcW w:w="7187" w:type="dxa"/>
            <w:tcBorders>
              <w:right w:val="double" w:color="auto" w:sz="4" w:space="0"/>
            </w:tcBorders>
            <w:vAlign w:val="center"/>
          </w:tcPr>
          <w:p w14:paraId="164E1038">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kern w:val="2"/>
                <w:sz w:val="21"/>
                <w:szCs w:val="21"/>
                <w:highlight w:val="none"/>
                <w:lang w:eastAsia="zh-CN"/>
              </w:rPr>
            </w:pPr>
            <w:r>
              <w:rPr>
                <w:rFonts w:hint="eastAsia" w:ascii="仿宋" w:hAnsi="仿宋" w:eastAsia="仿宋" w:cs="仿宋"/>
                <w:color w:val="000000"/>
                <w:sz w:val="21"/>
                <w:szCs w:val="21"/>
                <w:highlight w:val="none"/>
                <w:lang w:eastAsia="zh-CN"/>
              </w:rPr>
              <w:t>不接受联合体投标。</w:t>
            </w:r>
          </w:p>
        </w:tc>
      </w:tr>
      <w:tr w14:paraId="6E0E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75" w:type="dxa"/>
            <w:tcBorders>
              <w:left w:val="double" w:color="auto" w:sz="4" w:space="0"/>
            </w:tcBorders>
            <w:vAlign w:val="center"/>
          </w:tcPr>
          <w:p w14:paraId="16646B8F">
            <w:pPr>
              <w:pStyle w:val="9"/>
              <w:snapToGrid w:val="0"/>
              <w:spacing w:before="0" w:line="300" w:lineRule="auto"/>
              <w:jc w:val="center"/>
              <w:rPr>
                <w:rFonts w:hint="eastAsia" w:ascii="仿宋" w:hAnsi="仿宋" w:eastAsia="仿宋" w:cs="仿宋"/>
                <w:kern w:val="2"/>
                <w:sz w:val="21"/>
              </w:rPr>
            </w:pPr>
            <w:r>
              <w:rPr>
                <w:rFonts w:hint="eastAsia" w:ascii="仿宋" w:hAnsi="仿宋" w:eastAsia="仿宋" w:cs="仿宋"/>
                <w:b w:val="0"/>
                <w:bCs w:val="0"/>
                <w:color w:val="auto"/>
                <w:kern w:val="2"/>
                <w:sz w:val="21"/>
              </w:rPr>
              <w:t>转包与分包</w:t>
            </w:r>
          </w:p>
        </w:tc>
        <w:tc>
          <w:tcPr>
            <w:tcW w:w="7187" w:type="dxa"/>
            <w:tcBorders>
              <w:right w:val="double" w:color="auto" w:sz="4" w:space="0"/>
            </w:tcBorders>
            <w:vAlign w:val="center"/>
          </w:tcPr>
          <w:p w14:paraId="204C8BC4">
            <w:pPr>
              <w:pStyle w:val="28"/>
              <w:tabs>
                <w:tab w:val="left" w:pos="6930"/>
              </w:tabs>
              <w:wordWrap w:val="0"/>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color w:val="000000"/>
                <w:sz w:val="21"/>
                <w:szCs w:val="21"/>
              </w:rPr>
              <w:t>1.本项目不允许转包；</w:t>
            </w:r>
          </w:p>
          <w:p w14:paraId="3A9F0B29">
            <w:pPr>
              <w:pStyle w:val="16"/>
              <w:spacing w:line="400" w:lineRule="exact"/>
              <w:rPr>
                <w:rFonts w:hint="eastAsia" w:ascii="仿宋" w:hAnsi="仿宋" w:eastAsia="仿宋" w:cs="仿宋"/>
                <w:color w:val="auto"/>
                <w:kern w:val="2"/>
                <w:sz w:val="21"/>
                <w:szCs w:val="21"/>
                <w:lang w:val="en-US" w:eastAsia="zh-CN"/>
              </w:rPr>
            </w:pPr>
            <w:r>
              <w:rPr>
                <w:rFonts w:hint="eastAsia" w:ascii="仿宋" w:hAnsi="仿宋" w:eastAsia="仿宋" w:cs="仿宋"/>
                <w:bCs/>
                <w:color w:val="000000"/>
                <w:sz w:val="21"/>
                <w:szCs w:val="21"/>
              </w:rPr>
              <w:t>2.本项目不允许分包。</w:t>
            </w:r>
          </w:p>
        </w:tc>
      </w:tr>
      <w:tr w14:paraId="5A65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36E1FF99">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b w:val="0"/>
                <w:sz w:val="21"/>
              </w:rPr>
            </w:pPr>
            <w:r>
              <w:rPr>
                <w:rFonts w:hint="eastAsia" w:ascii="仿宋" w:hAnsi="仿宋" w:eastAsia="仿宋" w:cs="仿宋"/>
                <w:b w:val="0"/>
                <w:bCs w:val="0"/>
                <w:color w:val="auto"/>
                <w:kern w:val="2"/>
                <w:sz w:val="21"/>
              </w:rPr>
              <w:t>投标人信用查询</w:t>
            </w:r>
          </w:p>
        </w:tc>
        <w:tc>
          <w:tcPr>
            <w:tcW w:w="7187" w:type="dxa"/>
            <w:tcBorders>
              <w:right w:val="double" w:color="auto" w:sz="4" w:space="0"/>
            </w:tcBorders>
            <w:vAlign w:val="center"/>
          </w:tcPr>
          <w:p w14:paraId="5028ADE1">
            <w:pPr>
              <w:pStyle w:val="28"/>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3774E1BB">
            <w:pPr>
              <w:pStyle w:val="28"/>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1）采购代理机构将对本项目响应供应商的信用信息进行查询和甄别；信用信息截止时点为响应文件递交截止日。</w:t>
            </w:r>
          </w:p>
          <w:p w14:paraId="51C8F34E">
            <w:pPr>
              <w:pStyle w:val="28"/>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2）查询渠道为信用中国网站（www.creditchina.gov.cn）、中国政府采购网（www.ccgp.gov.cn）。</w:t>
            </w:r>
          </w:p>
          <w:p w14:paraId="1DF7B163">
            <w:pPr>
              <w:pStyle w:val="28"/>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3）信用信息查询记录和证据以网页截图方式留存。</w:t>
            </w:r>
          </w:p>
          <w:p w14:paraId="4596C214">
            <w:pPr>
              <w:pStyle w:val="28"/>
              <w:tabs>
                <w:tab w:val="left" w:pos="6930"/>
              </w:tabs>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4）不良信用记录指：1.被列入信用中国网站“失信被执行人”“ 重大税收违法案件当事人”名单；2.被列入中国政府采购网“政府采购严重违法失信行为记录名单”；</w:t>
            </w:r>
          </w:p>
          <w:p w14:paraId="2089032E">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sz w:val="21"/>
                <w:szCs w:val="21"/>
              </w:rPr>
            </w:pPr>
            <w:r>
              <w:rPr>
                <w:rFonts w:hint="eastAsia" w:ascii="仿宋" w:hAnsi="仿宋" w:eastAsia="仿宋" w:cs="仿宋"/>
                <w:bCs/>
                <w:color w:val="000000"/>
                <w:sz w:val="21"/>
                <w:szCs w:val="21"/>
              </w:rPr>
              <w:t>5）信用信息的使用规则：供应商存在不良信用记录的，其响应文件将被拒绝。6.如允许联合体投标的，联合体成员存在不良信用记录视同联合体存在不良信用记录。</w:t>
            </w:r>
          </w:p>
        </w:tc>
      </w:tr>
      <w:tr w14:paraId="7073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751F0C0C">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中国执行信息公开网</w:t>
            </w:r>
          </w:p>
          <w:p w14:paraId="24B1B82D">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b w:val="0"/>
                <w:color w:val="auto"/>
                <w:sz w:val="21"/>
              </w:rPr>
            </w:pPr>
            <w:r>
              <w:rPr>
                <w:rFonts w:hint="eastAsia" w:ascii="仿宋" w:hAnsi="仿宋" w:eastAsia="仿宋" w:cs="仿宋"/>
                <w:b w:val="0"/>
                <w:bCs w:val="0"/>
                <w:color w:val="auto"/>
                <w:kern w:val="2"/>
                <w:sz w:val="21"/>
              </w:rPr>
              <w:t>查询</w:t>
            </w:r>
          </w:p>
        </w:tc>
        <w:tc>
          <w:tcPr>
            <w:tcW w:w="7187" w:type="dxa"/>
            <w:tcBorders>
              <w:right w:val="double" w:color="auto" w:sz="4" w:space="0"/>
            </w:tcBorders>
            <w:vAlign w:val="center"/>
          </w:tcPr>
          <w:p w14:paraId="3B4F3E7F">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1.采购代理机构将对拟作为本项目中标候选人的单位（或自然人）及其法定代表人（或单位负责人）、拟派项目负责人是否被录入全国法院失信被执行人信息公布与查询平台进行查询；</w:t>
            </w:r>
          </w:p>
          <w:p w14:paraId="533152CE">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2.查询渠道：中国执行信息公开网（http://zxgk.court.gov.cn/）；</w:t>
            </w:r>
          </w:p>
          <w:p w14:paraId="2F086305">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3.查询结果留存：以网页截图方式留存；</w:t>
            </w:r>
          </w:p>
          <w:p w14:paraId="321489FB">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4.查询结果运用：被查询人存在失信被执行信息的，取消其中标候选人资格，由排名次之的投标人替补；</w:t>
            </w:r>
          </w:p>
          <w:p w14:paraId="12AA4402">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bCs/>
                <w:color w:val="000000"/>
                <w:sz w:val="21"/>
                <w:szCs w:val="21"/>
              </w:rPr>
              <w:t>5.以联合体形式投标的（如项目允许），联合体成员存在失信被执行信息视同联合体存在失信被执行信息。</w:t>
            </w:r>
          </w:p>
        </w:tc>
      </w:tr>
      <w:tr w14:paraId="55D7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1A903C3C">
            <w:pPr>
              <w:keepNext w:val="0"/>
              <w:keepLines w:val="0"/>
              <w:pageBreakBefore w:val="0"/>
              <w:kinsoku/>
              <w:overflowPunct/>
              <w:topLinePunct w:val="0"/>
              <w:autoSpaceDE w:val="0"/>
              <w:autoSpaceDN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中标结果公告方式</w:t>
            </w:r>
          </w:p>
          <w:p w14:paraId="0BEC9BEB">
            <w:pPr>
              <w:keepNext w:val="0"/>
              <w:keepLines w:val="0"/>
              <w:pageBreakBefore w:val="0"/>
              <w:kinsoku/>
              <w:overflowPunct/>
              <w:topLinePunct w:val="0"/>
              <w:autoSpaceDE w:val="0"/>
              <w:autoSpaceDN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及期限</w:t>
            </w:r>
          </w:p>
        </w:tc>
        <w:tc>
          <w:tcPr>
            <w:tcW w:w="7187" w:type="dxa"/>
            <w:tcBorders>
              <w:right w:val="double" w:color="auto" w:sz="4" w:space="0"/>
            </w:tcBorders>
            <w:vAlign w:val="center"/>
          </w:tcPr>
          <w:p w14:paraId="570CABE8">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000000"/>
                <w:sz w:val="21"/>
                <w:szCs w:val="21"/>
              </w:rPr>
            </w:pPr>
            <w:r>
              <w:rPr>
                <w:rFonts w:hint="eastAsia" w:ascii="仿宋" w:hAnsi="仿宋" w:eastAsia="仿宋" w:cs="仿宋"/>
                <w:bCs/>
                <w:color w:val="000000"/>
                <w:sz w:val="21"/>
                <w:szCs w:val="21"/>
              </w:rPr>
              <w:t>在原招标公告发布媒体进行中标结果公告，公告期限为发布之日起至第2个工作日止。</w:t>
            </w:r>
          </w:p>
        </w:tc>
      </w:tr>
      <w:tr w14:paraId="407B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5" w:type="dxa"/>
            <w:tcBorders>
              <w:left w:val="double" w:color="auto" w:sz="4" w:space="0"/>
            </w:tcBorders>
            <w:vAlign w:val="center"/>
          </w:tcPr>
          <w:p w14:paraId="6108AEE1">
            <w:pPr>
              <w:keepNext w:val="0"/>
              <w:keepLines w:val="0"/>
              <w:pageBreakBefore w:val="0"/>
              <w:kinsoku/>
              <w:overflowPunct/>
              <w:topLinePunct w:val="0"/>
              <w:autoSpaceDE w:val="0"/>
              <w:autoSpaceDN w:val="0"/>
              <w:bidi w:val="0"/>
              <w:adjustRightInd w:val="0"/>
              <w:snapToGrid/>
              <w:spacing w:line="300" w:lineRule="auto"/>
              <w:jc w:val="center"/>
              <w:rPr>
                <w:rFonts w:hint="eastAsia" w:ascii="仿宋" w:hAnsi="仿宋" w:eastAsia="仿宋" w:cs="仿宋"/>
                <w:szCs w:val="21"/>
              </w:rPr>
            </w:pPr>
            <w:r>
              <w:rPr>
                <w:rFonts w:hint="eastAsia" w:ascii="仿宋" w:hAnsi="仿宋" w:eastAsia="仿宋" w:cs="仿宋"/>
                <w:szCs w:val="21"/>
              </w:rPr>
              <w:t>签订合同</w:t>
            </w:r>
          </w:p>
        </w:tc>
        <w:tc>
          <w:tcPr>
            <w:tcW w:w="7187" w:type="dxa"/>
            <w:tcBorders>
              <w:right w:val="double" w:color="auto" w:sz="4" w:space="0"/>
            </w:tcBorders>
            <w:vAlign w:val="center"/>
          </w:tcPr>
          <w:p w14:paraId="0C9111A4">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sz w:val="21"/>
                <w:szCs w:val="21"/>
              </w:rPr>
            </w:pPr>
            <w:r>
              <w:rPr>
                <w:rFonts w:hint="eastAsia" w:ascii="仿宋" w:hAnsi="仿宋" w:eastAsia="仿宋" w:cs="仿宋"/>
                <w:bCs/>
                <w:color w:val="000000"/>
                <w:sz w:val="21"/>
                <w:szCs w:val="21"/>
              </w:rPr>
              <w:t>采购人与</w:t>
            </w:r>
            <w:r>
              <w:rPr>
                <w:rFonts w:hint="eastAsia" w:ascii="仿宋" w:hAnsi="仿宋" w:eastAsia="仿宋" w:cs="仿宋"/>
                <w:bCs/>
                <w:color w:val="000000"/>
                <w:sz w:val="21"/>
                <w:szCs w:val="21"/>
                <w:lang w:eastAsia="zh-CN"/>
              </w:rPr>
              <w:t>中标人</w:t>
            </w:r>
            <w:r>
              <w:rPr>
                <w:rFonts w:hint="eastAsia" w:ascii="仿宋" w:hAnsi="仿宋" w:eastAsia="仿宋" w:cs="仿宋"/>
                <w:bCs/>
                <w:color w:val="000000"/>
                <w:sz w:val="21"/>
                <w:szCs w:val="21"/>
              </w:rPr>
              <w:t>应当在中标（成交）通知书发出之日起三十日内，按照采购文件确定的事项及投标文件承诺签订政府采购合同。</w:t>
            </w:r>
          </w:p>
        </w:tc>
      </w:tr>
      <w:tr w14:paraId="676D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0B6842FC">
            <w:pPr>
              <w:keepNext w:val="0"/>
              <w:keepLines w:val="0"/>
              <w:pageBreakBefore w:val="0"/>
              <w:kinsoku/>
              <w:overflowPunct/>
              <w:topLinePunct w:val="0"/>
              <w:autoSpaceDE w:val="0"/>
              <w:autoSpaceDN w:val="0"/>
              <w:bidi w:val="0"/>
              <w:adjustRightInd w:val="0"/>
              <w:snapToGrid/>
              <w:spacing w:line="300" w:lineRule="auto"/>
              <w:jc w:val="center"/>
              <w:rPr>
                <w:rFonts w:hint="eastAsia" w:ascii="仿宋" w:hAnsi="仿宋" w:eastAsia="仿宋" w:cs="仿宋"/>
                <w:bCs/>
                <w:color w:val="000000"/>
                <w:szCs w:val="21"/>
              </w:rPr>
            </w:pPr>
            <w:r>
              <w:rPr>
                <w:rFonts w:hint="eastAsia" w:ascii="仿宋" w:hAnsi="仿宋" w:eastAsia="仿宋" w:cs="仿宋"/>
                <w:szCs w:val="21"/>
              </w:rPr>
              <w:t>履约保证金</w:t>
            </w:r>
          </w:p>
        </w:tc>
        <w:tc>
          <w:tcPr>
            <w:tcW w:w="7187" w:type="dxa"/>
            <w:tcBorders>
              <w:right w:val="double" w:color="auto" w:sz="4" w:space="0"/>
            </w:tcBorders>
            <w:vAlign w:val="center"/>
          </w:tcPr>
          <w:p w14:paraId="01D1D380">
            <w:pPr>
              <w:keepNext w:val="0"/>
              <w:keepLines w:val="0"/>
              <w:pageBreakBefore w:val="0"/>
              <w:widowControl w:val="0"/>
              <w:kinsoku/>
              <w:wordWrap w:val="0"/>
              <w:overflowPunct/>
              <w:topLinePunct w:val="0"/>
              <w:autoSpaceDE/>
              <w:autoSpaceDN/>
              <w:bidi w:val="0"/>
              <w:adjustRightInd/>
              <w:snapToGrid/>
              <w:spacing w:line="300"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1.本项目履约保证金金额为中标金额的</w:t>
            </w:r>
            <w:r>
              <w:rPr>
                <w:rFonts w:hint="eastAsia" w:ascii="仿宋" w:hAnsi="仿宋" w:eastAsia="仿宋" w:cs="仿宋"/>
                <w:b/>
                <w:bCs w:val="0"/>
                <w:color w:val="auto"/>
                <w:sz w:val="21"/>
                <w:szCs w:val="21"/>
                <w:highlight w:val="none"/>
                <w:lang w:val="en-US" w:eastAsia="zh-CN"/>
              </w:rPr>
              <w:t>1</w:t>
            </w:r>
            <w:r>
              <w:rPr>
                <w:rFonts w:hint="eastAsia" w:ascii="仿宋" w:hAnsi="仿宋" w:eastAsia="仿宋" w:cs="仿宋"/>
                <w:b/>
                <w:bCs w:val="0"/>
                <w:color w:val="auto"/>
                <w:sz w:val="21"/>
                <w:szCs w:val="21"/>
                <w:highlight w:val="none"/>
              </w:rPr>
              <w:t>%</w:t>
            </w:r>
            <w:r>
              <w:rPr>
                <w:rFonts w:hint="eastAsia" w:ascii="仿宋" w:hAnsi="仿宋" w:eastAsia="仿宋" w:cs="仿宋"/>
                <w:bCs/>
                <w:color w:val="auto"/>
                <w:sz w:val="21"/>
                <w:szCs w:val="21"/>
                <w:highlight w:val="none"/>
              </w:rPr>
              <w:t>，由中标单位在签订采购合同后5个工作日内向采购人账户以合同约定的形式缴纳。</w:t>
            </w:r>
          </w:p>
          <w:p w14:paraId="38FF1B7C">
            <w:pPr>
              <w:keepNext w:val="0"/>
              <w:keepLines w:val="0"/>
              <w:pageBreakBefore w:val="0"/>
              <w:kinsoku/>
              <w:overflowPunct/>
              <w:topLinePunct w:val="0"/>
              <w:bidi w:val="0"/>
              <w:snapToGrid/>
              <w:spacing w:line="300" w:lineRule="auto"/>
              <w:rPr>
                <w:rFonts w:hint="eastAsia" w:ascii="仿宋" w:hAnsi="仿宋" w:eastAsia="仿宋" w:cs="仿宋"/>
                <w:bCs/>
                <w:color w:val="000000"/>
                <w:szCs w:val="21"/>
                <w:lang w:eastAsia="zh-CN"/>
              </w:rPr>
            </w:pPr>
            <w:r>
              <w:rPr>
                <w:rFonts w:hint="eastAsia" w:ascii="仿宋" w:hAnsi="仿宋" w:eastAsia="仿宋" w:cs="仿宋"/>
                <w:bCs/>
                <w:color w:val="auto"/>
                <w:sz w:val="21"/>
                <w:szCs w:val="21"/>
                <w:highlight w:val="none"/>
              </w:rPr>
              <w:t>2.合同履行完毕后7个工作日内无息退还履约保证金。</w:t>
            </w:r>
          </w:p>
        </w:tc>
      </w:tr>
      <w:tr w14:paraId="791E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5" w:type="dxa"/>
            <w:tcBorders>
              <w:left w:val="double" w:color="auto" w:sz="4" w:space="0"/>
            </w:tcBorders>
            <w:vAlign w:val="center"/>
          </w:tcPr>
          <w:p w14:paraId="10416114">
            <w:pPr>
              <w:pStyle w:val="28"/>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招标公告、答疑澄清</w:t>
            </w:r>
          </w:p>
          <w:p w14:paraId="7A79F798">
            <w:pPr>
              <w:pStyle w:val="28"/>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bCs/>
                <w:color w:val="000000"/>
                <w:sz w:val="21"/>
                <w:szCs w:val="21"/>
              </w:rPr>
            </w:pPr>
            <w:r>
              <w:rPr>
                <w:rFonts w:hint="eastAsia" w:ascii="仿宋" w:hAnsi="仿宋" w:eastAsia="仿宋" w:cs="仿宋"/>
                <w:bCs/>
                <w:color w:val="000000"/>
                <w:sz w:val="21"/>
                <w:szCs w:val="21"/>
              </w:rPr>
              <w:t>公告及中标结果公告</w:t>
            </w:r>
          </w:p>
          <w:p w14:paraId="09E80FF6">
            <w:pPr>
              <w:pStyle w:val="28"/>
              <w:keepNext w:val="0"/>
              <w:keepLines w:val="0"/>
              <w:pageBreakBefore w:val="0"/>
              <w:tabs>
                <w:tab w:val="left" w:pos="6930"/>
              </w:tabs>
              <w:kinsoku/>
              <w:overflowPunct/>
              <w:topLinePunct w:val="0"/>
              <w:bidi w:val="0"/>
              <w:snapToGrid/>
              <w:spacing w:beforeAutospacing="0" w:afterAutospacing="0" w:line="300" w:lineRule="auto"/>
              <w:jc w:val="center"/>
              <w:rPr>
                <w:rFonts w:hint="eastAsia" w:ascii="仿宋" w:hAnsi="仿宋" w:eastAsia="仿宋" w:cs="仿宋"/>
                <w:sz w:val="21"/>
                <w:szCs w:val="21"/>
              </w:rPr>
            </w:pPr>
            <w:r>
              <w:rPr>
                <w:rFonts w:hint="eastAsia" w:ascii="仿宋" w:hAnsi="仿宋" w:eastAsia="仿宋" w:cs="仿宋"/>
                <w:bCs/>
                <w:color w:val="000000"/>
                <w:sz w:val="21"/>
                <w:szCs w:val="21"/>
              </w:rPr>
              <w:t>发布媒体</w:t>
            </w:r>
          </w:p>
        </w:tc>
        <w:tc>
          <w:tcPr>
            <w:tcW w:w="7187" w:type="dxa"/>
            <w:tcBorders>
              <w:right w:val="double" w:color="auto" w:sz="4" w:space="0"/>
            </w:tcBorders>
            <w:vAlign w:val="center"/>
          </w:tcPr>
          <w:p w14:paraId="55CE45E8">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浙江政府采购网</w:t>
            </w:r>
            <w:r>
              <w:rPr>
                <w:rFonts w:hint="eastAsia" w:ascii="仿宋" w:hAnsi="仿宋" w:eastAsia="仿宋" w:cs="仿宋"/>
                <w:szCs w:val="21"/>
                <w:highlight w:val="none"/>
                <w:lang w:eastAsia="zh-CN"/>
              </w:rPr>
              <w:fldChar w:fldCharType="begin"/>
            </w:r>
            <w:r>
              <w:rPr>
                <w:rFonts w:hint="eastAsia" w:ascii="仿宋" w:hAnsi="仿宋" w:eastAsia="仿宋" w:cs="仿宋"/>
                <w:szCs w:val="21"/>
                <w:highlight w:val="none"/>
                <w:lang w:eastAsia="zh-CN"/>
              </w:rPr>
              <w:instrText xml:space="preserve"> HYPERLINK "http://www.zjzfcg.gov.cn/new/" </w:instrText>
            </w:r>
            <w:r>
              <w:rPr>
                <w:rFonts w:hint="eastAsia" w:ascii="仿宋" w:hAnsi="仿宋" w:eastAsia="仿宋" w:cs="仿宋"/>
                <w:szCs w:val="21"/>
                <w:highlight w:val="none"/>
                <w:lang w:eastAsia="zh-CN"/>
              </w:rPr>
              <w:fldChar w:fldCharType="separate"/>
            </w:r>
            <w:r>
              <w:rPr>
                <w:rFonts w:hint="eastAsia" w:ascii="仿宋" w:hAnsi="仿宋" w:eastAsia="仿宋" w:cs="仿宋"/>
                <w:szCs w:val="21"/>
                <w:highlight w:val="none"/>
                <w:lang w:eastAsia="zh-CN"/>
              </w:rPr>
              <w:t>http://</w:t>
            </w:r>
            <w:bookmarkStart w:id="8" w:name="_Hlt522530784"/>
            <w:bookmarkStart w:id="9" w:name="_Hlt522530785"/>
            <w:r>
              <w:rPr>
                <w:rFonts w:hint="eastAsia" w:ascii="仿宋" w:hAnsi="仿宋" w:eastAsia="仿宋" w:cs="仿宋"/>
                <w:szCs w:val="21"/>
                <w:highlight w:val="none"/>
                <w:lang w:eastAsia="zh-CN"/>
              </w:rPr>
              <w:t>w</w:t>
            </w:r>
            <w:bookmarkEnd w:id="8"/>
            <w:bookmarkEnd w:id="9"/>
            <w:r>
              <w:rPr>
                <w:rFonts w:hint="eastAsia" w:ascii="仿宋" w:hAnsi="仿宋" w:eastAsia="仿宋" w:cs="仿宋"/>
                <w:szCs w:val="21"/>
                <w:highlight w:val="none"/>
                <w:lang w:eastAsia="zh-CN"/>
              </w:rPr>
              <w:t>ww.zjzfcg.gov.cn/new/</w:t>
            </w:r>
            <w:r>
              <w:rPr>
                <w:rFonts w:hint="eastAsia" w:ascii="仿宋" w:hAnsi="仿宋" w:eastAsia="仿宋" w:cs="仿宋"/>
                <w:szCs w:val="21"/>
                <w:highlight w:val="none"/>
                <w:lang w:eastAsia="zh-CN"/>
              </w:rPr>
              <w:fldChar w:fldCharType="end"/>
            </w:r>
          </w:p>
          <w:p w14:paraId="65625D25">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szCs w:val="21"/>
                <w:highlight w:val="none"/>
                <w:lang w:eastAsia="zh-CN"/>
              </w:rPr>
              <w:t>常山县政府网（http://www.zjcs.gov.cn/col/col1229635770/index.html）</w:t>
            </w:r>
          </w:p>
        </w:tc>
      </w:tr>
      <w:tr w14:paraId="459B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475" w:type="dxa"/>
            <w:tcBorders>
              <w:left w:val="double" w:color="auto" w:sz="4" w:space="0"/>
            </w:tcBorders>
            <w:vAlign w:val="center"/>
          </w:tcPr>
          <w:p w14:paraId="3068DE1E">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解释权</w:t>
            </w:r>
          </w:p>
        </w:tc>
        <w:tc>
          <w:tcPr>
            <w:tcW w:w="7187" w:type="dxa"/>
            <w:tcBorders>
              <w:right w:val="double" w:color="auto" w:sz="4" w:space="0"/>
            </w:tcBorders>
            <w:vAlign w:val="center"/>
          </w:tcPr>
          <w:p w14:paraId="614BC8F6">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构成本采购文件的各个组成文件应互为解释，互为说明；如有不明确或不一致的，按以下约定处理：</w:t>
            </w:r>
          </w:p>
          <w:p w14:paraId="191DF807">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1.仅适用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14:paraId="02410950">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000000"/>
                <w:sz w:val="21"/>
                <w:szCs w:val="21"/>
              </w:rPr>
            </w:pPr>
            <w:r>
              <w:rPr>
                <w:rFonts w:hint="eastAsia" w:ascii="仿宋" w:hAnsi="仿宋" w:eastAsia="仿宋" w:cs="仿宋"/>
                <w:bCs/>
                <w:color w:val="000000"/>
                <w:sz w:val="21"/>
                <w:szCs w:val="21"/>
              </w:rPr>
              <w:t>2.构成合同文件组成内容的，以合同文件约定内容为准，且以专用合同条款约定的合同文件优先顺序解释。</w:t>
            </w:r>
          </w:p>
          <w:p w14:paraId="09B680E7">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2"/>
                <w:sz w:val="21"/>
                <w:szCs w:val="21"/>
              </w:rPr>
            </w:pPr>
            <w:r>
              <w:rPr>
                <w:rFonts w:hint="eastAsia" w:ascii="仿宋" w:hAnsi="仿宋" w:eastAsia="仿宋" w:cs="仿宋"/>
                <w:bCs/>
                <w:color w:val="000000"/>
                <w:sz w:val="21"/>
                <w:szCs w:val="21"/>
              </w:rPr>
              <w:t>3.按前述约定仍不能形成结论的，由采购人负责解释。</w:t>
            </w:r>
          </w:p>
        </w:tc>
      </w:tr>
      <w:tr w14:paraId="534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14:paraId="547ED782">
            <w:pPr>
              <w:pStyle w:val="9"/>
              <w:snapToGrid w:val="0"/>
              <w:spacing w:before="0" w:line="360" w:lineRule="exact"/>
              <w:jc w:val="center"/>
              <w:textAlignment w:val="baseline"/>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highlight w:val="none"/>
              </w:rPr>
              <w:t>注意事项</w:t>
            </w:r>
          </w:p>
        </w:tc>
        <w:tc>
          <w:tcPr>
            <w:tcW w:w="7187" w:type="dxa"/>
            <w:tcBorders>
              <w:right w:val="double" w:color="auto" w:sz="4" w:space="0"/>
            </w:tcBorders>
            <w:vAlign w:val="center"/>
          </w:tcPr>
          <w:p w14:paraId="4AA5812C">
            <w:pPr>
              <w:spacing w:line="360" w:lineRule="exact"/>
              <w:jc w:val="left"/>
              <w:textAlignment w:val="baseline"/>
              <w:rPr>
                <w:rFonts w:hint="eastAsia" w:ascii="仿宋" w:hAnsi="仿宋" w:eastAsia="仿宋" w:cs="仿宋"/>
                <w:b/>
                <w:bCs/>
                <w:color w:val="auto"/>
                <w:kern w:val="2"/>
                <w:sz w:val="20"/>
                <w:szCs w:val="24"/>
                <w:highlight w:val="none"/>
                <w:lang w:val="en-US" w:eastAsia="zh-CN" w:bidi="ar-SA"/>
              </w:rPr>
            </w:pPr>
            <w:r>
              <w:rPr>
                <w:rFonts w:hint="eastAsia" w:ascii="仿宋" w:hAnsi="仿宋" w:eastAsia="仿宋" w:cs="仿宋"/>
                <w:b/>
                <w:bCs/>
                <w:color w:val="auto"/>
                <w:highlight w:val="none"/>
              </w:rPr>
              <w:t>由于本项目为电子标，供应商的法定代表人（或其委托代理人）无需出席开标现场会议，均应当准时在线参加</w:t>
            </w:r>
            <w:r>
              <w:rPr>
                <w:rFonts w:hint="eastAsia" w:ascii="仿宋" w:hAnsi="仿宋" w:eastAsia="仿宋" w:cs="仿宋"/>
                <w:b/>
                <w:bCs/>
                <w:color w:val="auto"/>
                <w:highlight w:val="none"/>
                <w:lang w:val="zh-CN"/>
              </w:rPr>
              <w:t>，直至评审结束，且保证采购代理机构能够随时与其代表人取得联系。</w:t>
            </w:r>
          </w:p>
        </w:tc>
      </w:tr>
      <w:tr w14:paraId="3204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475" w:type="dxa"/>
            <w:tcBorders>
              <w:left w:val="double" w:color="auto" w:sz="4" w:space="0"/>
            </w:tcBorders>
            <w:vAlign w:val="center"/>
          </w:tcPr>
          <w:p w14:paraId="61420082">
            <w:pPr>
              <w:pStyle w:val="9"/>
              <w:snapToGrid w:val="0"/>
              <w:spacing w:before="0" w:line="360" w:lineRule="auto"/>
              <w:jc w:val="center"/>
              <w:rPr>
                <w:rFonts w:hint="eastAsia" w:ascii="仿宋" w:hAnsi="仿宋" w:eastAsia="仿宋" w:cs="仿宋"/>
                <w:color w:val="auto"/>
                <w:kern w:val="2"/>
                <w:sz w:val="21"/>
                <w:highlight w:val="none"/>
              </w:rPr>
            </w:pPr>
            <w:r>
              <w:rPr>
                <w:rFonts w:hint="eastAsia" w:ascii="仿宋" w:hAnsi="仿宋" w:eastAsia="仿宋" w:cs="仿宋"/>
                <w:color w:val="000000" w:themeColor="text1"/>
                <w:kern w:val="2"/>
                <w:sz w:val="21"/>
                <w:highlight w:val="none"/>
                <w14:textFill>
                  <w14:solidFill>
                    <w14:schemeClr w14:val="tx1"/>
                  </w14:solidFill>
                </w14:textFill>
              </w:rPr>
              <w:t>特别说明</w:t>
            </w:r>
          </w:p>
        </w:tc>
        <w:tc>
          <w:tcPr>
            <w:tcW w:w="7187" w:type="dxa"/>
            <w:tcBorders>
              <w:right w:val="double" w:color="auto" w:sz="4" w:space="0"/>
            </w:tcBorders>
            <w:vAlign w:val="center"/>
          </w:tcPr>
          <w:p w14:paraId="6918C1C3">
            <w:pPr>
              <w:pStyle w:val="9"/>
              <w:adjustRightInd w:val="0"/>
              <w:snapToGrid w:val="0"/>
              <w:spacing w:before="0" w:line="350" w:lineRule="atLeast"/>
              <w:rPr>
                <w:rFonts w:hint="eastAsia" w:ascii="仿宋" w:hAnsi="仿宋" w:eastAsia="仿宋" w:cs="仿宋"/>
                <w:b/>
                <w:bCs/>
                <w:color w:val="auto"/>
                <w:highlight w:val="none"/>
              </w:rPr>
            </w:pPr>
            <w:r>
              <w:rPr>
                <w:rFonts w:hint="eastAsia" w:ascii="仿宋" w:hAnsi="仿宋" w:eastAsia="仿宋" w:cs="仿宋"/>
                <w:color w:val="000000" w:themeColor="text1"/>
                <w:kern w:val="2"/>
                <w:sz w:val="21"/>
                <w:szCs w:val="24"/>
                <w:highlight w:val="none"/>
                <w:lang w:val="en-US" w:eastAsia="zh-CN"/>
                <w14:textFill>
                  <w14:solidFill>
                    <w14:schemeClr w14:val="tx1"/>
                  </w14:solidFill>
                </w14:textFill>
              </w:rPr>
              <w:t>中标人应提供与电子投标文件内容一致的纸质投标文件（资格文件、商务技术文件、报价文件）一正三副。中标人在领取中标通知书时提供纸质投标文件。</w:t>
            </w:r>
          </w:p>
        </w:tc>
      </w:tr>
      <w:tr w14:paraId="3FB8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475" w:type="dxa"/>
            <w:tcBorders>
              <w:left w:val="double" w:color="auto" w:sz="4" w:space="0"/>
            </w:tcBorders>
            <w:vAlign w:val="center"/>
          </w:tcPr>
          <w:p w14:paraId="766A6C80">
            <w:pPr>
              <w:pStyle w:val="9"/>
              <w:keepNext w:val="0"/>
              <w:keepLines w:val="0"/>
              <w:pageBreakBefore w:val="0"/>
              <w:kinsoku/>
              <w:overflowPunct/>
              <w:topLinePunct w:val="0"/>
              <w:bidi w:val="0"/>
              <w:snapToGrid/>
              <w:spacing w:before="0" w:line="300" w:lineRule="auto"/>
              <w:jc w:val="center"/>
              <w:rPr>
                <w:rFonts w:hint="eastAsia" w:ascii="仿宋" w:hAnsi="仿宋" w:eastAsia="仿宋" w:cs="仿宋"/>
                <w:b/>
                <w:bCs/>
                <w:color w:val="000000"/>
                <w:kern w:val="0"/>
                <w:sz w:val="21"/>
                <w:szCs w:val="21"/>
                <w:lang w:val="en-US" w:eastAsia="zh-CN" w:bidi="ar-SA"/>
              </w:rPr>
            </w:pPr>
            <w:r>
              <w:rPr>
                <w:rFonts w:hint="eastAsia" w:ascii="仿宋" w:hAnsi="仿宋" w:eastAsia="仿宋" w:cs="仿宋"/>
                <w:sz w:val="21"/>
              </w:rPr>
              <w:t>服务费</w:t>
            </w:r>
          </w:p>
        </w:tc>
        <w:tc>
          <w:tcPr>
            <w:tcW w:w="7187" w:type="dxa"/>
            <w:tcBorders>
              <w:right w:val="double" w:color="auto" w:sz="4" w:space="0"/>
            </w:tcBorders>
            <w:vAlign w:val="center"/>
          </w:tcPr>
          <w:p w14:paraId="5675039E">
            <w:pPr>
              <w:spacing w:line="360" w:lineRule="exact"/>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本项目采购代理服务费参照国家计委关于印发《招标代理服务费管理暂行办法》的通知（计价格【2002】1980号）规定的“</w:t>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招标”收费标准按差额定率累进法计算，计费基数为成交价；各投标人在投标报价时自行考虑在投标报价中，由中标人在领取中标通知书前一次性支付给代理机构。</w:t>
            </w:r>
          </w:p>
          <w:p w14:paraId="3AECD452">
            <w:pPr>
              <w:spacing w:line="360" w:lineRule="exact"/>
              <w:jc w:val="center"/>
              <w:textAlignment w:val="baseline"/>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《招标代理服务费管理暂行办法》的通知规定的收费标准</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6E2D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2FD306BA">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中标金额（万元）</w:t>
                  </w:r>
                </w:p>
              </w:tc>
              <w:tc>
                <w:tcPr>
                  <w:tcW w:w="2293" w:type="dxa"/>
                  <w:noWrap w:val="0"/>
                  <w:vAlign w:val="top"/>
                </w:tcPr>
                <w:p w14:paraId="04DA3A1E">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货物费率</w:t>
                  </w:r>
                </w:p>
              </w:tc>
              <w:tc>
                <w:tcPr>
                  <w:tcW w:w="2280" w:type="dxa"/>
                  <w:noWrap w:val="0"/>
                  <w:vAlign w:val="top"/>
                </w:tcPr>
                <w:p w14:paraId="45A00BAC">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服务费率</w:t>
                  </w:r>
                </w:p>
              </w:tc>
            </w:tr>
            <w:tr w14:paraId="6F46B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46DD272E">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100以下</w:t>
                  </w:r>
                </w:p>
              </w:tc>
              <w:tc>
                <w:tcPr>
                  <w:tcW w:w="2293" w:type="dxa"/>
                  <w:noWrap w:val="0"/>
                  <w:vAlign w:val="top"/>
                </w:tcPr>
                <w:p w14:paraId="5A1AFB6C">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c>
                <w:tcPr>
                  <w:tcW w:w="2280" w:type="dxa"/>
                  <w:noWrap w:val="0"/>
                  <w:vAlign w:val="top"/>
                </w:tcPr>
                <w:p w14:paraId="22DEE977">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r>
            <w:tr w14:paraId="01F70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658893B4">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100-500</w:t>
                  </w:r>
                </w:p>
              </w:tc>
              <w:tc>
                <w:tcPr>
                  <w:tcW w:w="2293" w:type="dxa"/>
                  <w:noWrap w:val="0"/>
                  <w:vAlign w:val="top"/>
                </w:tcPr>
                <w:p w14:paraId="3FD2E0CD">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1.1%</w:t>
                  </w:r>
                </w:p>
              </w:tc>
              <w:tc>
                <w:tcPr>
                  <w:tcW w:w="2280" w:type="dxa"/>
                  <w:noWrap w:val="0"/>
                  <w:vAlign w:val="top"/>
                </w:tcPr>
                <w:p w14:paraId="124E336F">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0.8%</w:t>
                  </w:r>
                </w:p>
              </w:tc>
            </w:tr>
            <w:tr w14:paraId="129AD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080684D6">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500-1000</w:t>
                  </w:r>
                </w:p>
              </w:tc>
              <w:tc>
                <w:tcPr>
                  <w:tcW w:w="2293" w:type="dxa"/>
                  <w:noWrap w:val="0"/>
                  <w:vAlign w:val="top"/>
                </w:tcPr>
                <w:p w14:paraId="4775EEA3">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0.8%</w:t>
                  </w:r>
                </w:p>
              </w:tc>
              <w:tc>
                <w:tcPr>
                  <w:tcW w:w="2280" w:type="dxa"/>
                  <w:noWrap w:val="0"/>
                  <w:vAlign w:val="top"/>
                </w:tcPr>
                <w:p w14:paraId="3019B76E">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0.45%</w:t>
                  </w:r>
                </w:p>
              </w:tc>
            </w:tr>
          </w:tbl>
          <w:p w14:paraId="14A7E39E">
            <w:pPr>
              <w:pStyle w:val="28"/>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kern w:val="0"/>
                <w:sz w:val="21"/>
                <w:szCs w:val="21"/>
                <w:lang w:val="en-US" w:eastAsia="zh-CN" w:bidi="ar-SA"/>
              </w:rPr>
            </w:pPr>
          </w:p>
        </w:tc>
      </w:tr>
    </w:tbl>
    <w:p w14:paraId="1B4D73F1">
      <w:pPr>
        <w:spacing w:line="360" w:lineRule="auto"/>
        <w:jc w:val="center"/>
        <w:outlineLvl w:val="0"/>
        <w:rPr>
          <w:rFonts w:hint="eastAsia" w:ascii="仿宋" w:hAnsi="仿宋" w:eastAsia="仿宋" w:cs="仿宋"/>
          <w:color w:val="000000" w:themeColor="text1"/>
          <w:sz w:val="32"/>
          <w:szCs w:val="32"/>
          <w:highlight w:val="none"/>
          <w14:textFill>
            <w14:solidFill>
              <w14:schemeClr w14:val="tx1"/>
            </w14:solidFill>
          </w14:textFill>
        </w:rPr>
      </w:pPr>
    </w:p>
    <w:p w14:paraId="61DE61CC">
      <w:pPr>
        <w:pStyle w:val="30"/>
        <w:ind w:left="0" w:leftChars="0" w:firstLine="0" w:firstLineChars="0"/>
        <w:rPr>
          <w:rFonts w:hint="eastAsia" w:ascii="仿宋" w:hAnsi="仿宋" w:eastAsia="仿宋" w:cs="仿宋"/>
          <w:b/>
          <w:bCs/>
          <w:color w:val="000000" w:themeColor="text1"/>
          <w:highlight w:val="none"/>
          <w14:textFill>
            <w14:solidFill>
              <w14:schemeClr w14:val="tx1"/>
            </w14:solidFill>
          </w14:textFill>
        </w:rPr>
      </w:pPr>
      <w:bookmarkStart w:id="10" w:name="_Toc249758709"/>
      <w:bookmarkStart w:id="11" w:name="_Toc221374623"/>
      <w:bookmarkStart w:id="12" w:name="_Toc221423616"/>
      <w:bookmarkStart w:id="13" w:name="_Toc239145351"/>
      <w:bookmarkStart w:id="14" w:name="_Toc262105500"/>
      <w:bookmarkStart w:id="15" w:name="_Toc249758861"/>
      <w:bookmarkStart w:id="16" w:name="_Toc221356948"/>
      <w:bookmarkStart w:id="17" w:name="_Toc410031813"/>
      <w:bookmarkStart w:id="18" w:name="_Toc262049415"/>
      <w:bookmarkStart w:id="19" w:name="_Toc245722278"/>
      <w:bookmarkStart w:id="20" w:name="_Toc223715995"/>
      <w:bookmarkStart w:id="21" w:name="_Toc241404199"/>
      <w:bookmarkStart w:id="22" w:name="_Toc245191311"/>
      <w:bookmarkStart w:id="23" w:name="_Toc11875"/>
      <w:bookmarkStart w:id="24" w:name="_Toc222114876"/>
      <w:bookmarkStart w:id="25" w:name="_Toc221356883"/>
      <w:bookmarkStart w:id="26" w:name="_Toc246261262"/>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0C54330E">
      <w:pPr>
        <w:pStyle w:val="4"/>
        <w:spacing w:before="0" w:after="0" w:line="400" w:lineRule="exact"/>
        <w:jc w:val="center"/>
        <w:rPr>
          <w:rFonts w:hint="eastAsia" w:ascii="仿宋" w:hAnsi="仿宋" w:eastAsia="仿宋" w:cs="仿宋"/>
          <w:color w:val="000000" w:themeColor="text1"/>
          <w:highlight w:val="none"/>
          <w14:textFill>
            <w14:solidFill>
              <w14:schemeClr w14:val="tx1"/>
            </w14:solidFill>
          </w14:textFill>
        </w:rPr>
      </w:pPr>
      <w:bookmarkStart w:id="27" w:name="_Toc16502"/>
      <w:bookmarkStart w:id="28" w:name="_Toc221356949"/>
      <w:bookmarkStart w:id="29" w:name="_Toc246261263"/>
      <w:bookmarkStart w:id="30" w:name="_Toc222114877"/>
      <w:bookmarkStart w:id="31" w:name="_Toc221423617"/>
      <w:bookmarkStart w:id="32" w:name="_Toc223715996"/>
      <w:bookmarkStart w:id="33" w:name="_Toc221374624"/>
      <w:bookmarkStart w:id="34" w:name="_Toc221356884"/>
      <w:bookmarkStart w:id="35" w:name="_Toc410031814"/>
      <w:bookmarkStart w:id="36" w:name="_Toc249758862"/>
      <w:bookmarkStart w:id="37" w:name="_Toc245191312"/>
      <w:bookmarkStart w:id="38" w:name="_Toc245722279"/>
      <w:bookmarkStart w:id="39" w:name="_Toc249758710"/>
      <w:bookmarkStart w:id="40" w:name="_Toc262105501"/>
      <w:bookmarkStart w:id="41" w:name="_Toc262049416"/>
      <w:bookmarkStart w:id="42" w:name="_Toc239145352"/>
      <w:bookmarkStart w:id="43" w:name="_Toc241404200"/>
      <w:r>
        <w:rPr>
          <w:rFonts w:hint="eastAsia" w:ascii="仿宋" w:hAnsi="仿宋" w:eastAsia="仿宋" w:cs="仿宋"/>
          <w:color w:val="000000" w:themeColor="text1"/>
          <w:highlight w:val="none"/>
          <w14:textFill>
            <w14:solidFill>
              <w14:schemeClr w14:val="tx1"/>
            </w14:solidFill>
          </w14:textFill>
        </w:rPr>
        <w:br w:type="page"/>
      </w:r>
      <w:r>
        <w:rPr>
          <w:rStyle w:val="66"/>
          <w:rFonts w:hint="eastAsia" w:ascii="仿宋" w:hAnsi="仿宋" w:eastAsia="仿宋" w:cs="仿宋"/>
          <w:b/>
          <w:bCs/>
        </w:rPr>
        <w:t>一、总 则</w:t>
      </w:r>
      <w:bookmarkEnd w:id="27"/>
    </w:p>
    <w:p w14:paraId="6248B6EA">
      <w:pPr>
        <w:pStyle w:val="14"/>
        <w:spacing w:line="360" w:lineRule="auto"/>
        <w:ind w:left="422" w:hanging="422"/>
        <w:outlineLvl w:val="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1.适用范围</w:t>
      </w:r>
    </w:p>
    <w:p w14:paraId="1988F572">
      <w:pPr>
        <w:pStyle w:val="14"/>
        <w:spacing w:line="360" w:lineRule="auto"/>
        <w:ind w:left="0" w:firstLine="420" w:firstLineChars="20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仅适用于本次招标文件中采购项目的招标、投标、评标、定标、验收、合同履约、付款等行为（法律、法规另有规定的，从其规定）。</w:t>
      </w:r>
    </w:p>
    <w:p w14:paraId="5C89DC7B">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2.定义解释</w:t>
      </w:r>
    </w:p>
    <w:p w14:paraId="18D5D1B1">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2.1“采购代理机构”是指浙江中正工程项目管理有限公司。</w:t>
      </w:r>
    </w:p>
    <w:p w14:paraId="1A6F4DAA">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2.2“采购人（单位）”是指</w:t>
      </w:r>
      <w:r>
        <w:rPr>
          <w:rFonts w:hint="eastAsia" w:ascii="仿宋" w:hAnsi="仿宋" w:eastAsia="仿宋" w:cs="仿宋"/>
          <w:color w:val="000000" w:themeColor="text1"/>
          <w:sz w:val="21"/>
          <w:szCs w:val="21"/>
          <w:highlight w:val="none"/>
          <w:lang w:eastAsia="zh-CN"/>
          <w14:textFill>
            <w14:solidFill>
              <w14:schemeClr w14:val="tx1"/>
            </w14:solidFill>
          </w14:textFill>
        </w:rPr>
        <w:t>常山县人民法院</w:t>
      </w:r>
      <w:r>
        <w:rPr>
          <w:rFonts w:hint="eastAsia" w:ascii="仿宋" w:hAnsi="仿宋" w:eastAsia="仿宋" w:cs="仿宋"/>
          <w:color w:val="000000" w:themeColor="text1"/>
          <w:sz w:val="21"/>
          <w:szCs w:val="21"/>
          <w:highlight w:val="none"/>
          <w14:textFill>
            <w14:solidFill>
              <w14:schemeClr w14:val="tx1"/>
            </w14:solidFill>
          </w14:textFill>
        </w:rPr>
        <w:t>。</w:t>
      </w:r>
    </w:p>
    <w:p w14:paraId="321EE14A">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2.3“采购项目”是指本采购文件所要求的</w:t>
      </w:r>
      <w:r>
        <w:rPr>
          <w:rFonts w:hint="eastAsia" w:ascii="仿宋" w:hAnsi="仿宋" w:eastAsia="仿宋" w:cs="仿宋"/>
          <w:color w:val="000000" w:themeColor="text1"/>
          <w:sz w:val="21"/>
          <w:szCs w:val="21"/>
          <w:highlight w:val="none"/>
          <w:lang w:eastAsia="zh-CN"/>
          <w14:textFill>
            <w14:solidFill>
              <w14:schemeClr w14:val="tx1"/>
            </w14:solidFill>
          </w14:textFill>
        </w:rPr>
        <w:t>2024-2025年特邀调解员服务项目</w:t>
      </w:r>
      <w:r>
        <w:rPr>
          <w:rFonts w:hint="eastAsia" w:ascii="仿宋" w:hAnsi="仿宋" w:eastAsia="仿宋" w:cs="仿宋"/>
          <w:color w:val="000000" w:themeColor="text1"/>
          <w:sz w:val="21"/>
          <w:szCs w:val="21"/>
          <w:highlight w:val="none"/>
          <w14:textFill>
            <w14:solidFill>
              <w14:schemeClr w14:val="tx1"/>
            </w14:solidFill>
          </w14:textFill>
        </w:rPr>
        <w:t>。</w:t>
      </w:r>
    </w:p>
    <w:p w14:paraId="084C9369">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2.4“投标人（供应商）”是指获得采购文件并向采购代理机构提交投标文件的投标人。</w:t>
      </w:r>
    </w:p>
    <w:p w14:paraId="6E950926">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2.5“潜在投标人（供应商）”是指符合采购文件规定的投标人。</w:t>
      </w:r>
    </w:p>
    <w:p w14:paraId="45B411DC">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2.6 “中标人（成交供应商）”是指经评标委员会审查通过，并经公示无异议的投标人。</w:t>
      </w:r>
    </w:p>
    <w:p w14:paraId="1E2E42EA">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2.7“投标人（供应商）代表”是指投标人法定代表人或投标人法定代表人授权委托的人。</w:t>
      </w:r>
    </w:p>
    <w:p w14:paraId="056527BD">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2.8“产品（货物）”是指按采购文件要求配置的一切设备、机械、仪器仪表、备品备件、工具、手册及其它有关技术资料和文字材料；</w:t>
      </w:r>
    </w:p>
    <w:p w14:paraId="4A7EB6D1">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2.9“服务”在货物类采购项目中是指采购文件规定供方须承担的货物运输、操作使用、技术支持、培训、维修保养服务；在服务类采购项目是指采购采购内容本身及相关的售后技术支持、培训服务；</w:t>
      </w:r>
    </w:p>
    <w:p w14:paraId="545D49E4">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2.10“书面形式”包括纸质文件、电子邮件、信函、传真等。</w:t>
      </w:r>
    </w:p>
    <w:p w14:paraId="19BA8F52">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2.11实质性响应：是指投标文件相关内容符合招标（采购）文件规定的实质性内容、条款和规定。</w:t>
      </w:r>
    </w:p>
    <w:p w14:paraId="06E61041">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2.12采购文件中所有标示“▲”的均为采购人提出的实质性条款，如未实质性响应的，将按无效投标处理。</w:t>
      </w:r>
    </w:p>
    <w:p w14:paraId="2E40C4E1">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3.项目说明</w:t>
      </w:r>
    </w:p>
    <w:p w14:paraId="24D0E240">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3.1本采购项目按照《中华人民共和国政府采购法》等有关法律、行政法规和部门规章，通过公开招标方式选定中标人。</w:t>
      </w:r>
    </w:p>
    <w:p w14:paraId="2DA1D70C">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4.合格投标人的条件</w:t>
      </w:r>
    </w:p>
    <w:p w14:paraId="7AEBA049">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4.1凡符合本招标文件第一章招标公告投标人资格要求的均为合格的投标人。</w:t>
      </w:r>
    </w:p>
    <w:p w14:paraId="205B9245">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5.投标费用</w:t>
      </w:r>
    </w:p>
    <w:p w14:paraId="0586DCDC">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5.1投标人应承担参加本次投标有关的全部费用，无论结果如何，采购单位和采购代理机构在任何情况下均无义务和责任承担这些费用。</w:t>
      </w:r>
    </w:p>
    <w:p w14:paraId="0508A3DF">
      <w:pPr>
        <w:spacing w:line="440" w:lineRule="exact"/>
        <w:jc w:val="left"/>
        <w:outlineLvl w:val="1"/>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6</w:t>
      </w:r>
      <w:r>
        <w:rPr>
          <w:rFonts w:hint="eastAsia" w:ascii="仿宋" w:hAnsi="仿宋" w:eastAsia="仿宋" w:cs="仿宋"/>
          <w:b/>
          <w:bCs/>
          <w:color w:val="000000" w:themeColor="text1"/>
          <w:szCs w:val="21"/>
          <w:highlight w:val="none"/>
          <w14:textFill>
            <w14:solidFill>
              <w14:schemeClr w14:val="tx1"/>
            </w14:solidFill>
          </w14:textFill>
        </w:rPr>
        <w:t>.特别说明</w:t>
      </w:r>
    </w:p>
    <w:p w14:paraId="0D4E38B5">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.1投标人投标所使用的资格、信誉、荣誉、业绩与企业认证必须为投标人所拥有。投标人投标所使用的采购项目实施人员可以为其控股公司的工作人员。</w:t>
      </w:r>
    </w:p>
    <w:p w14:paraId="63D6BE21">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投标人在投标活动中提供任何虚假材料或从事其他违法活动的,其投标无效，并报监管部门查处；成交后发现的,中标人须依照《中华人民共和国消费者权益保护法》规定赔偿。且民事赔偿并不免除违法投标人的行政与刑事责任。</w:t>
      </w:r>
    </w:p>
    <w:p w14:paraId="25A63A5B">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.3投标人应仔细阅读招标文件的所有内容，按照招标文件的要求提交投标文件。投标文件应对招标文件的要求作出实质性响应，并对所提供的全部资料的真实性承担法律责任。</w:t>
      </w:r>
    </w:p>
    <w:p w14:paraId="6F78DDBF">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0DAD965D">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08396108">
      <w:pPr>
        <w:spacing w:line="360" w:lineRule="auto"/>
        <w:ind w:firstLine="420" w:firstLineChars="200"/>
        <w:rPr>
          <w:rFonts w:hint="eastAsia" w:ascii="仿宋" w:hAnsi="仿宋" w:eastAsia="仿宋" w:cs="仿宋"/>
          <w:b/>
          <w:bCs/>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p>
    <w:p w14:paraId="4CC6AA87">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7</w:t>
      </w:r>
      <w:r>
        <w:rPr>
          <w:rFonts w:hint="eastAsia" w:ascii="仿宋" w:hAnsi="仿宋" w:eastAsia="仿宋" w:cs="仿宋"/>
          <w:color w:val="000000" w:themeColor="text1"/>
          <w:highlight w:val="none"/>
          <w14:textFill>
            <w14:solidFill>
              <w14:schemeClr w14:val="tx1"/>
            </w14:solidFill>
          </w14:textFill>
        </w:rPr>
        <w:t>.质疑与投诉</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6119D31A">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bookmarkStart w:id="44" w:name="_Toc15395"/>
      <w:bookmarkStart w:id="45" w:name="_Toc222114878"/>
      <w:bookmarkStart w:id="46" w:name="_Toc245722280"/>
      <w:bookmarkStart w:id="47" w:name="_Toc262105502"/>
      <w:bookmarkStart w:id="48" w:name="_Toc221374625"/>
      <w:bookmarkStart w:id="49" w:name="_Toc241404201"/>
      <w:bookmarkStart w:id="50" w:name="_Toc249758711"/>
      <w:bookmarkStart w:id="51" w:name="_Toc249758863"/>
      <w:bookmarkStart w:id="52" w:name="_Toc221356885"/>
      <w:bookmarkStart w:id="53" w:name="_Toc246261264"/>
      <w:bookmarkStart w:id="54" w:name="_Toc245191313"/>
      <w:bookmarkStart w:id="55" w:name="_Toc410031815"/>
      <w:bookmarkStart w:id="56" w:name="_Toc239145353"/>
      <w:bookmarkStart w:id="57" w:name="_Toc223715997"/>
      <w:bookmarkStart w:id="58" w:name="_Toc221423618"/>
      <w:bookmarkStart w:id="59" w:name="_Toc221356950"/>
      <w:bookmarkStart w:id="60" w:name="_Toc262049417"/>
      <w:r>
        <w:rPr>
          <w:rFonts w:hint="eastAsia" w:ascii="仿宋" w:hAnsi="仿宋" w:eastAsia="仿宋" w:cs="仿宋"/>
          <w:color w:val="000000" w:themeColor="text1"/>
          <w:highlight w:val="none"/>
          <w14:textFill>
            <w14:solidFill>
              <w14:schemeClr w14:val="tx1"/>
            </w14:solidFill>
          </w14:textFill>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14:paraId="39F97E74">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投标人应知其权益受到损害之日，是指：</w:t>
      </w:r>
    </w:p>
    <w:p w14:paraId="659ECFFD">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（1）对可以质疑的采购文件提出质疑的，为收到采购文件之日或者采购文件公告期限届满之日；</w:t>
      </w:r>
    </w:p>
    <w:p w14:paraId="08D41F64">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（2）对采购过程提出质疑的，为各采购程序环节结束之日；</w:t>
      </w:r>
    </w:p>
    <w:p w14:paraId="1589D3A8">
      <w:pPr>
        <w:pStyle w:val="47"/>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（3）对采购结果提出质疑的，为中标结果公告期限届满之日。</w:t>
      </w:r>
    </w:p>
    <w:p w14:paraId="46586037">
      <w:pPr>
        <w:pStyle w:val="47"/>
        <w:spacing w:line="360" w:lineRule="auto"/>
        <w:ind w:firstLine="42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2.质疑、投诉应当采用书面形式，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14:paraId="2468EB10">
      <w:pPr>
        <w:pStyle w:val="4"/>
        <w:spacing w:before="0" w:after="0" w:line="360" w:lineRule="auto"/>
        <w:jc w:val="center"/>
        <w:rPr>
          <w:rFonts w:hint="eastAsia" w:ascii="仿宋" w:hAnsi="仿宋" w:eastAsia="仿宋" w:cs="仿宋"/>
          <w:color w:val="000000" w:themeColor="text1"/>
          <w:highlight w:val="none"/>
          <w14:textFill>
            <w14:solidFill>
              <w14:schemeClr w14:val="tx1"/>
            </w14:solidFill>
          </w14:textFill>
        </w:rPr>
      </w:pPr>
    </w:p>
    <w:p w14:paraId="753D2B4D">
      <w:pPr>
        <w:pStyle w:val="4"/>
        <w:spacing w:before="0" w:after="0" w:line="360" w:lineRule="auto"/>
        <w:jc w:val="center"/>
        <w:rPr>
          <w:rFonts w:hint="eastAsia" w:ascii="仿宋" w:hAnsi="仿宋" w:eastAsia="仿宋" w:cs="仿宋"/>
          <w:color w:val="000000" w:themeColor="text1"/>
          <w:highlight w:val="none"/>
          <w14:textFill>
            <w14:solidFill>
              <w14:schemeClr w14:val="tx1"/>
            </w14:solidFill>
          </w14:textFill>
        </w:rPr>
      </w:pPr>
    </w:p>
    <w:p w14:paraId="7CA96D5A">
      <w:pPr>
        <w:rPr>
          <w:rFonts w:hint="eastAsia" w:ascii="仿宋" w:hAnsi="仿宋" w:eastAsia="仿宋" w:cs="仿宋"/>
          <w:color w:val="000000" w:themeColor="text1"/>
          <w:highlight w:val="none"/>
          <w14:textFill>
            <w14:solidFill>
              <w14:schemeClr w14:val="tx1"/>
            </w14:solidFill>
          </w14:textFill>
        </w:rPr>
      </w:pPr>
    </w:p>
    <w:p w14:paraId="4BC2F4F5">
      <w:pPr>
        <w:rPr>
          <w:rFonts w:hint="eastAsia" w:ascii="仿宋" w:hAnsi="仿宋" w:eastAsia="仿宋" w:cs="仿宋"/>
          <w:color w:val="000000" w:themeColor="text1"/>
          <w:highlight w:val="none"/>
          <w14:textFill>
            <w14:solidFill>
              <w14:schemeClr w14:val="tx1"/>
            </w14:solidFill>
          </w14:textFill>
        </w:rPr>
      </w:pPr>
    </w:p>
    <w:p w14:paraId="41AA1571">
      <w:pPr>
        <w:rPr>
          <w:rFonts w:hint="eastAsia" w:ascii="仿宋" w:hAnsi="仿宋" w:eastAsia="仿宋" w:cs="仿宋"/>
          <w:color w:val="000000" w:themeColor="text1"/>
          <w:highlight w:val="none"/>
          <w14:textFill>
            <w14:solidFill>
              <w14:schemeClr w14:val="tx1"/>
            </w14:solidFill>
          </w14:textFill>
        </w:rPr>
      </w:pPr>
    </w:p>
    <w:p w14:paraId="639F94AF">
      <w:pPr>
        <w:rPr>
          <w:rFonts w:hint="eastAsia" w:ascii="仿宋" w:hAnsi="仿宋" w:eastAsia="仿宋" w:cs="仿宋"/>
          <w:color w:val="000000" w:themeColor="text1"/>
          <w:highlight w:val="none"/>
          <w14:textFill>
            <w14:solidFill>
              <w14:schemeClr w14:val="tx1"/>
            </w14:solidFill>
          </w14:textFill>
        </w:rPr>
      </w:pPr>
    </w:p>
    <w:p w14:paraId="617D889C">
      <w:pPr>
        <w:rPr>
          <w:rFonts w:hint="eastAsia" w:ascii="仿宋" w:hAnsi="仿宋" w:eastAsia="仿宋" w:cs="仿宋"/>
          <w:color w:val="000000" w:themeColor="text1"/>
          <w:highlight w:val="none"/>
          <w14:textFill>
            <w14:solidFill>
              <w14:schemeClr w14:val="tx1"/>
            </w14:solidFill>
          </w14:textFill>
        </w:rPr>
      </w:pPr>
    </w:p>
    <w:p w14:paraId="39AD59CF">
      <w:pPr>
        <w:rPr>
          <w:rFonts w:hint="eastAsia" w:ascii="仿宋" w:hAnsi="仿宋" w:eastAsia="仿宋" w:cs="仿宋"/>
          <w:color w:val="000000" w:themeColor="text1"/>
          <w:highlight w:val="none"/>
          <w14:textFill>
            <w14:solidFill>
              <w14:schemeClr w14:val="tx1"/>
            </w14:solidFill>
          </w14:textFill>
        </w:rPr>
      </w:pPr>
    </w:p>
    <w:p w14:paraId="1E5C4D1E">
      <w:pPr>
        <w:pStyle w:val="3"/>
        <w:bidi w:val="0"/>
        <w:jc w:val="center"/>
        <w:rPr>
          <w:rFonts w:hint="eastAsia" w:ascii="仿宋" w:hAnsi="仿宋" w:eastAsia="仿宋" w:cs="仿宋"/>
        </w:rPr>
      </w:pPr>
      <w:r>
        <w:rPr>
          <w:rFonts w:hint="eastAsia" w:ascii="仿宋" w:hAnsi="仿宋" w:eastAsia="仿宋" w:cs="仿宋"/>
        </w:rPr>
        <w:t>二、招标文件</w:t>
      </w:r>
      <w:bookmarkEnd w:id="44"/>
    </w:p>
    <w:p w14:paraId="17B6605A">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bookmarkStart w:id="61" w:name="_Toc1105"/>
      <w:r>
        <w:rPr>
          <w:rFonts w:hint="eastAsia" w:ascii="仿宋" w:hAnsi="仿宋" w:eastAsia="仿宋" w:cs="仿宋"/>
          <w:b/>
          <w:color w:val="000000" w:themeColor="text1"/>
          <w:sz w:val="21"/>
          <w:szCs w:val="21"/>
          <w:highlight w:val="none"/>
          <w14:textFill>
            <w14:solidFill>
              <w14:schemeClr w14:val="tx1"/>
            </w14:solidFill>
          </w14:textFill>
        </w:rPr>
        <w:t>1.招标文件的组成</w:t>
      </w:r>
    </w:p>
    <w:p w14:paraId="39453F02">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1.1招标文件由以下部分组成：</w:t>
      </w:r>
    </w:p>
    <w:p w14:paraId="26029395">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第一章 招标公告</w:t>
      </w:r>
    </w:p>
    <w:p w14:paraId="07790BA0">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第二章 投标人须知</w:t>
      </w:r>
    </w:p>
    <w:p w14:paraId="7B51AD02">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第三章 招标内容及要求</w:t>
      </w:r>
    </w:p>
    <w:p w14:paraId="533E1829">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第四章 合同主要条款</w:t>
      </w:r>
    </w:p>
    <w:p w14:paraId="6AEA7463">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第五章 评标原则及办法</w:t>
      </w:r>
    </w:p>
    <w:p w14:paraId="1F1DD006">
      <w:pPr>
        <w:pStyle w:val="14"/>
        <w:spacing w:line="360" w:lineRule="auto"/>
        <w:ind w:left="420" w:leftChars="20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第六章 投标文件格式</w:t>
      </w:r>
    </w:p>
    <w:p w14:paraId="5A989AA9">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1.2除上条1.1内容外，采购人、采购代理机构在规定时间前，以书面形式发出的对招标文件的澄清或修改内容，均为招标文件的组成部分。</w:t>
      </w:r>
    </w:p>
    <w:p w14:paraId="66E7FC06">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1.3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做出实质性响应，并根据有关条款规定，其风险由投标人自行承担。</w:t>
      </w:r>
    </w:p>
    <w:p w14:paraId="683477D4">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2.招标文件的澄清与修改</w:t>
      </w:r>
    </w:p>
    <w:p w14:paraId="2288D0E2">
      <w:pPr>
        <w:pStyle w:val="16"/>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w:t>
      </w:r>
      <w:r>
        <w:rPr>
          <w:rFonts w:hint="eastAsia" w:ascii="仿宋" w:hAnsi="仿宋" w:eastAsia="仿宋" w:cs="仿宋"/>
          <w:bCs/>
          <w:color w:val="000000" w:themeColor="text1"/>
          <w:highlight w:val="none"/>
          <w14:textFill>
            <w14:solidFill>
              <w14:schemeClr w14:val="tx1"/>
            </w14:solidFill>
          </w14:textFill>
        </w:rPr>
        <w:t>投标人应认真阅读本招标文件，发现其中有误或有不合理要求的，投标人应当自知道或者应当知道其合法权益受到损害之日起七个工作日内以书面形式向采购人、采购代理机构提出质疑</w:t>
      </w:r>
      <w:r>
        <w:rPr>
          <w:rFonts w:hint="eastAsia" w:ascii="仿宋" w:hAnsi="仿宋" w:eastAsia="仿宋" w:cs="仿宋"/>
          <w:color w:val="000000" w:themeColor="text1"/>
          <w:highlight w:val="none"/>
          <w14:textFill>
            <w14:solidFill>
              <w14:schemeClr w14:val="tx1"/>
            </w14:solidFill>
          </w14:textFill>
        </w:rPr>
        <w:t>。采购人或采购代理机构对已发出的招标文件进行必要澄清、答复、修改或补充的，在</w:t>
      </w:r>
      <w:r>
        <w:rPr>
          <w:rFonts w:hint="eastAsia" w:ascii="仿宋" w:hAnsi="仿宋" w:eastAsia="仿宋" w:cs="仿宋"/>
          <w:color w:val="000000" w:themeColor="text1"/>
          <w:spacing w:val="-4"/>
          <w:highlight w:val="none"/>
          <w14:textFill>
            <w14:solidFill>
              <w14:schemeClr w14:val="tx1"/>
            </w14:solidFill>
          </w14:textFill>
        </w:rPr>
        <w:t>原公告发布媒体上</w:t>
      </w:r>
      <w:r>
        <w:rPr>
          <w:rFonts w:hint="eastAsia" w:ascii="仿宋" w:hAnsi="仿宋" w:eastAsia="仿宋" w:cs="仿宋"/>
          <w:color w:val="000000" w:themeColor="text1"/>
          <w:highlight w:val="none"/>
          <w14:textFill>
            <w14:solidFill>
              <w14:schemeClr w14:val="tx1"/>
            </w14:solidFill>
          </w14:textFill>
        </w:rPr>
        <w:t>发布澄清（更正）公告。澄清或者修改的内容可能影响投标文件编制的，应当在投标截止时间至少15日前，以书面形式通知所有获取招标文件的潜在投标人；不足15日的，将顺延提交投标文件的截止时间。</w:t>
      </w:r>
    </w:p>
    <w:p w14:paraId="62D92079">
      <w:pPr>
        <w:pStyle w:val="16"/>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2.2采购人、采购代理机构必须以书面形式答复投标人要求澄清的问题，并将不包含问题来源的答复书面通知所有购买招标文件的投标人；除书面答复以外的其他澄清方式及澄清内容均无效。</w:t>
      </w:r>
    </w:p>
    <w:p w14:paraId="335A1305">
      <w:pPr>
        <w:pStyle w:val="16"/>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2.3招标文件澄清、答复、修改、补充的内容为招标文件的组成部分。当招标文件与招标文件的答复、澄清、修改、补充通知就同一内容的表述不一致时，以最后发出的书面文件为准。</w:t>
      </w:r>
    </w:p>
    <w:p w14:paraId="4F589BD6">
      <w:pPr>
        <w:pStyle w:val="3"/>
        <w:bidi w:val="0"/>
        <w:jc w:val="center"/>
        <w:rPr>
          <w:rFonts w:hint="eastAsia" w:ascii="仿宋" w:hAnsi="仿宋" w:eastAsia="仿宋" w:cs="仿宋"/>
        </w:rPr>
      </w:pPr>
      <w:r>
        <w:rPr>
          <w:rFonts w:hint="eastAsia" w:ascii="仿宋" w:hAnsi="仿宋" w:eastAsia="仿宋" w:cs="仿宋"/>
        </w:rPr>
        <w:t>三、投标文件</w:t>
      </w:r>
      <w:bookmarkEnd w:id="61"/>
    </w:p>
    <w:p w14:paraId="50AABC95">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1.投标文件的语言及度量衡单位</w:t>
      </w:r>
    </w:p>
    <w:p w14:paraId="10D1314C">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1.1除采购货物有关专用名称外，投标文件和与投标有关的所有文件说明均应使用中文。</w:t>
      </w:r>
    </w:p>
    <w:p w14:paraId="3E2EE420">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1.2除采购项目规范另有规定外，投标文件使用的度量衡单位，均采用中华人民共和国法定计量单位。</w:t>
      </w:r>
    </w:p>
    <w:p w14:paraId="63F48A2C">
      <w:pPr>
        <w:snapToGrid w:val="0"/>
        <w:spacing w:line="360" w:lineRule="auto"/>
        <w:outlineLvl w:val="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2.响应文件的形式和效力</w:t>
      </w:r>
    </w:p>
    <w:p w14:paraId="235450AD">
      <w:pPr>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2.1响应文件</w:t>
      </w:r>
      <w:r>
        <w:rPr>
          <w:rFonts w:hint="eastAsia" w:ascii="仿宋" w:hAnsi="仿宋" w:eastAsia="仿宋" w:cs="仿宋"/>
          <w:b/>
          <w:bCs/>
          <w:color w:val="000000" w:themeColor="text1"/>
          <w:szCs w:val="21"/>
          <w:highlight w:val="none"/>
          <w14:textFill>
            <w14:solidFill>
              <w14:schemeClr w14:val="tx1"/>
            </w14:solidFill>
          </w14:textFill>
        </w:rPr>
        <w:t>按政府采购云平台</w:t>
      </w:r>
      <w:r>
        <w:rPr>
          <w:rFonts w:hint="eastAsia" w:ascii="仿宋" w:hAnsi="仿宋" w:eastAsia="仿宋" w:cs="仿宋"/>
          <w:b/>
          <w:bCs/>
          <w:color w:val="000000" w:themeColor="text1"/>
          <w:kern w:val="0"/>
          <w:szCs w:val="21"/>
          <w:highlight w:val="none"/>
          <w14:textFill>
            <w14:solidFill>
              <w14:schemeClr w14:val="tx1"/>
            </w14:solidFill>
          </w14:textFill>
        </w:rPr>
        <w:t>“供应商-政府采购项目电子交易操作指南”</w:t>
      </w:r>
      <w:r>
        <w:rPr>
          <w:rFonts w:hint="eastAsia" w:ascii="仿宋" w:hAnsi="仿宋" w:eastAsia="仿宋" w:cs="仿宋"/>
          <w:b/>
          <w:color w:val="000000" w:themeColor="text1"/>
          <w:szCs w:val="21"/>
          <w:highlight w:val="none"/>
          <w14:textFill>
            <w14:solidFill>
              <w14:schemeClr w14:val="tx1"/>
            </w14:solidFill>
          </w14:textFill>
        </w:rPr>
        <w:t>及本招标文件要求制作、加密并递交。</w:t>
      </w:r>
    </w:p>
    <w:p w14:paraId="2D9ED346">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3.投标文件的组成</w:t>
      </w:r>
    </w:p>
    <w:p w14:paraId="0E514AE1">
      <w:pPr>
        <w:tabs>
          <w:tab w:val="left" w:pos="0"/>
          <w:tab w:val="left" w:pos="900"/>
          <w:tab w:val="left" w:pos="7020"/>
          <w:tab w:val="left" w:pos="8460"/>
        </w:tabs>
        <w:snapToGrid w:val="0"/>
        <w:spacing w:line="5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3.1投标文件由资格</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商务技术</w:t>
      </w:r>
      <w:r>
        <w:rPr>
          <w:rFonts w:hint="eastAsia" w:ascii="仿宋" w:hAnsi="仿宋" w:eastAsia="仿宋" w:cs="仿宋"/>
          <w:color w:val="000000" w:themeColor="text1"/>
          <w:szCs w:val="21"/>
          <w:highlight w:val="none"/>
          <w14:textFill>
            <w14:solidFill>
              <w14:schemeClr w14:val="tx1"/>
            </w14:solidFill>
          </w14:textFill>
        </w:rPr>
        <w:t>文件、报价文件三部分组成。</w:t>
      </w:r>
      <w:r>
        <w:rPr>
          <w:rFonts w:hint="eastAsia" w:ascii="仿宋" w:hAnsi="仿宋" w:eastAsia="仿宋" w:cs="仿宋"/>
          <w:b/>
          <w:color w:val="000000" w:themeColor="text1"/>
          <w:szCs w:val="21"/>
          <w:highlight w:val="none"/>
          <w14:textFill>
            <w14:solidFill>
              <w14:schemeClr w14:val="tx1"/>
            </w14:solidFill>
          </w14:textFill>
        </w:rPr>
        <w:t>响应文件中所须加盖公章部分均采用CA签章。</w:t>
      </w:r>
    </w:p>
    <w:p w14:paraId="4567615D">
      <w:pPr>
        <w:pStyle w:val="14"/>
        <w:spacing w:line="360" w:lineRule="auto"/>
        <w:ind w:left="422" w:hanging="422"/>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 xml:space="preserve">    3.1.1资格</w:t>
      </w:r>
      <w:r>
        <w:rPr>
          <w:rFonts w:hint="eastAsia" w:ascii="仿宋" w:hAnsi="仿宋" w:eastAsia="仿宋" w:cs="仿宋"/>
          <w:b/>
          <w:bCs/>
          <w:color w:val="000000" w:themeColor="text1"/>
          <w:sz w:val="21"/>
          <w:szCs w:val="21"/>
          <w:highlight w:val="none"/>
          <w:lang w:eastAsia="zh-CN"/>
          <w14:textFill>
            <w14:solidFill>
              <w14:schemeClr w14:val="tx1"/>
            </w14:solidFill>
          </w14:textFill>
        </w:rPr>
        <w:t>文件</w:t>
      </w:r>
      <w:r>
        <w:rPr>
          <w:rFonts w:hint="eastAsia" w:ascii="仿宋" w:hAnsi="仿宋" w:eastAsia="仿宋" w:cs="仿宋"/>
          <w:b/>
          <w:bCs/>
          <w:color w:val="000000" w:themeColor="text1"/>
          <w:sz w:val="21"/>
          <w:szCs w:val="21"/>
          <w:highlight w:val="none"/>
          <w14:textFill>
            <w14:solidFill>
              <w14:schemeClr w14:val="tx1"/>
            </w14:solidFill>
          </w14:textFill>
        </w:rPr>
        <w:t>的组成</w:t>
      </w:r>
    </w:p>
    <w:p w14:paraId="2F530E68">
      <w:pPr>
        <w:tabs>
          <w:tab w:val="left" w:pos="720"/>
          <w:tab w:val="left" w:pos="5355"/>
        </w:tabs>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有效期内的</w:t>
      </w:r>
      <w:r>
        <w:rPr>
          <w:rFonts w:hint="eastAsia" w:ascii="仿宋" w:hAnsi="仿宋" w:eastAsia="仿宋" w:cs="仿宋"/>
          <w:color w:val="000000" w:themeColor="text1"/>
          <w:szCs w:val="21"/>
          <w:highlight w:val="none"/>
          <w:lang w:val="zh-CN"/>
          <w14:textFill>
            <w14:solidFill>
              <w14:schemeClr w14:val="tx1"/>
            </w14:solidFill>
          </w14:textFill>
        </w:rPr>
        <w:t>营业执照</w:t>
      </w:r>
      <w:r>
        <w:rPr>
          <w:rFonts w:hint="eastAsia" w:ascii="仿宋" w:hAnsi="仿宋" w:eastAsia="仿宋" w:cs="仿宋"/>
          <w:b/>
          <w:bCs/>
          <w:color w:val="000000" w:themeColor="text1"/>
          <w:szCs w:val="21"/>
          <w:highlight w:val="none"/>
          <w:lang w:val="zh-CN"/>
          <w14:textFill>
            <w14:solidFill>
              <w14:schemeClr w14:val="tx1"/>
            </w14:solidFill>
          </w14:textFill>
        </w:rPr>
        <w:t>原件扫描件</w:t>
      </w:r>
      <w:r>
        <w:rPr>
          <w:rFonts w:hint="eastAsia" w:ascii="仿宋" w:hAnsi="仿宋" w:eastAsia="仿宋" w:cs="仿宋"/>
          <w:color w:val="000000" w:themeColor="text1"/>
          <w:szCs w:val="21"/>
          <w:highlight w:val="none"/>
          <w:lang w:val="zh-CN"/>
          <w14:textFill>
            <w14:solidFill>
              <w14:schemeClr w14:val="tx1"/>
            </w14:solidFill>
          </w14:textFill>
        </w:rPr>
        <w:t>；</w:t>
      </w:r>
    </w:p>
    <w:p w14:paraId="44D2E791">
      <w:pPr>
        <w:tabs>
          <w:tab w:val="left" w:pos="720"/>
          <w:tab w:val="left" w:pos="5355"/>
        </w:tabs>
        <w:spacing w:line="360" w:lineRule="auto"/>
        <w:ind w:firstLine="420" w:firstLineChars="20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）法定代表人身份证明【格式见附件】（投标人代表为法定代表人时提供）或法定代表人授权委托书【格式见附件】（投标人代表为授权委托人时提供）；</w:t>
      </w:r>
      <w:r>
        <w:rPr>
          <w:rFonts w:hint="eastAsia" w:ascii="仿宋" w:hAnsi="仿宋" w:eastAsia="仿宋" w:cs="仿宋"/>
          <w:b/>
          <w:bCs/>
          <w:color w:val="000000" w:themeColor="text1"/>
          <w:szCs w:val="21"/>
          <w:highlight w:val="none"/>
          <w14:textFill>
            <w14:solidFill>
              <w14:schemeClr w14:val="tx1"/>
            </w14:solidFill>
          </w14:textFill>
        </w:rPr>
        <w:t>（电子标书内法定代表人授权委托书需签字的可线下签字后再将其放入线上投标文件内）</w:t>
      </w:r>
      <w:r>
        <w:rPr>
          <w:rFonts w:hint="eastAsia" w:ascii="仿宋" w:hAnsi="仿宋" w:eastAsia="仿宋" w:cs="仿宋"/>
          <w:color w:val="000000" w:themeColor="text1"/>
          <w:szCs w:val="21"/>
          <w:highlight w:val="none"/>
          <w:lang w:val="zh-CN"/>
          <w14:textFill>
            <w14:solidFill>
              <w14:schemeClr w14:val="tx1"/>
            </w14:solidFill>
          </w14:textFill>
        </w:rPr>
        <w:t>；</w:t>
      </w:r>
    </w:p>
    <w:p w14:paraId="0706DF9C">
      <w:pPr>
        <w:spacing w:line="360" w:lineRule="auto"/>
        <w:ind w:firstLine="420" w:firstLineChars="20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《中小企业声明函》或其他证明材料【</w:t>
      </w:r>
      <w:r>
        <w:rPr>
          <w:rFonts w:hint="eastAsia" w:ascii="仿宋" w:hAnsi="仿宋" w:eastAsia="仿宋" w:cs="仿宋"/>
          <w:b/>
          <w:bCs/>
          <w:color w:val="000000" w:themeColor="text1"/>
          <w:szCs w:val="21"/>
          <w:highlight w:val="none"/>
          <w:lang w:val="zh-CN" w:eastAsia="zh-CN"/>
          <w14:textFill>
            <w14:solidFill>
              <w14:schemeClr w14:val="tx1"/>
            </w14:solidFill>
          </w14:textFill>
        </w:rPr>
        <w:t>格式详见附件</w:t>
      </w:r>
      <w:r>
        <w:rPr>
          <w:rFonts w:hint="eastAsia" w:ascii="仿宋" w:hAnsi="仿宋" w:eastAsia="仿宋" w:cs="仿宋"/>
          <w:color w:val="000000" w:themeColor="text1"/>
          <w:szCs w:val="21"/>
          <w:highlight w:val="none"/>
          <w:lang w:val="zh-CN"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46E501AC">
      <w:pPr>
        <w:spacing w:line="360" w:lineRule="auto"/>
        <w:ind w:firstLine="420" w:firstLineChars="200"/>
        <w:jc w:val="left"/>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val="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符合参加政府采购活动应当具备的资格条件的承诺函【</w:t>
      </w:r>
      <w:r>
        <w:rPr>
          <w:rFonts w:hint="eastAsia" w:ascii="仿宋" w:hAnsi="仿宋" w:eastAsia="仿宋" w:cs="仿宋"/>
          <w:b/>
          <w:bCs/>
          <w:color w:val="000000" w:themeColor="text1"/>
          <w:szCs w:val="21"/>
          <w:highlight w:val="none"/>
          <w14:textFill>
            <w14:solidFill>
              <w14:schemeClr w14:val="tx1"/>
            </w14:solidFill>
          </w14:textFill>
        </w:rPr>
        <w:t>格式详见附件</w:t>
      </w:r>
      <w:r>
        <w:rPr>
          <w:rFonts w:hint="eastAsia" w:ascii="仿宋" w:hAnsi="仿宋" w:eastAsia="仿宋" w:cs="仿宋"/>
          <w:color w:val="000000" w:themeColor="text1"/>
          <w:szCs w:val="21"/>
          <w:highlight w:val="none"/>
          <w14:textFill>
            <w14:solidFill>
              <w14:schemeClr w14:val="tx1"/>
            </w14:solidFill>
          </w14:textFill>
        </w:rPr>
        <w:t>】.</w:t>
      </w:r>
    </w:p>
    <w:p w14:paraId="51E7613A">
      <w:pPr>
        <w:tabs>
          <w:tab w:val="left" w:pos="720"/>
          <w:tab w:val="left" w:pos="5355"/>
        </w:tabs>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注：资格文件应包含以上所有内容，投标人的提供资格文件不完整或不符合招标文件要求的，则资格审查不予通过。</w:t>
      </w:r>
    </w:p>
    <w:p w14:paraId="1D417066">
      <w:pPr>
        <w:pStyle w:val="14"/>
        <w:spacing w:line="360" w:lineRule="auto"/>
        <w:ind w:left="422" w:firstLine="0" w:firstLineChars="0"/>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3.1.2</w:t>
      </w:r>
      <w:r>
        <w:rPr>
          <w:rFonts w:hint="eastAsia" w:ascii="仿宋" w:hAnsi="仿宋" w:eastAsia="仿宋" w:cs="仿宋"/>
          <w:b/>
          <w:bCs/>
          <w:color w:val="000000" w:themeColor="text1"/>
          <w:sz w:val="21"/>
          <w:szCs w:val="21"/>
          <w:highlight w:val="none"/>
          <w:lang w:eastAsia="zh-CN"/>
          <w14:textFill>
            <w14:solidFill>
              <w14:schemeClr w14:val="tx1"/>
            </w14:solidFill>
          </w14:textFill>
        </w:rPr>
        <w:t>商务</w:t>
      </w:r>
      <w:r>
        <w:rPr>
          <w:rFonts w:hint="eastAsia" w:ascii="仿宋" w:hAnsi="仿宋" w:eastAsia="仿宋" w:cs="仿宋"/>
          <w:b/>
          <w:bCs/>
          <w:color w:val="000000" w:themeColor="text1"/>
          <w:sz w:val="21"/>
          <w:szCs w:val="21"/>
          <w:highlight w:val="none"/>
          <w14:textFill>
            <w14:solidFill>
              <w14:schemeClr w14:val="tx1"/>
            </w14:solidFill>
          </w14:textFill>
        </w:rPr>
        <w:t>技术文件</w:t>
      </w:r>
      <w:r>
        <w:rPr>
          <w:rFonts w:hint="eastAsia" w:ascii="仿宋" w:hAnsi="仿宋" w:eastAsia="仿宋" w:cs="仿宋"/>
          <w:b/>
          <w:bCs/>
          <w:color w:val="000000" w:themeColor="text1"/>
          <w:sz w:val="21"/>
          <w:szCs w:val="21"/>
          <w:highlight w:val="none"/>
          <w:lang w:val="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zh-CN"/>
          <w14:textFill>
            <w14:solidFill>
              <w14:schemeClr w14:val="tx1"/>
            </w14:solidFill>
          </w14:textFill>
        </w:rPr>
        <w:t>包含以下内容，</w:t>
      </w:r>
      <w:r>
        <w:rPr>
          <w:rFonts w:hint="eastAsia" w:ascii="仿宋" w:hAnsi="仿宋" w:eastAsia="仿宋" w:cs="仿宋"/>
          <w:b/>
          <w:bCs/>
          <w:color w:val="000000" w:themeColor="text1"/>
          <w:sz w:val="21"/>
          <w:szCs w:val="21"/>
          <w:highlight w:val="none"/>
          <w:lang w:val="zh-CN"/>
          <w14:textFill>
            <w14:solidFill>
              <w14:schemeClr w14:val="tx1"/>
            </w14:solidFill>
          </w14:textFill>
        </w:rPr>
        <w:t>建议提供“评分因素索引表”</w:t>
      </w:r>
      <w:r>
        <w:rPr>
          <w:rFonts w:hint="eastAsia" w:ascii="仿宋" w:hAnsi="仿宋" w:eastAsia="仿宋" w:cs="仿宋"/>
          <w:b/>
          <w:bCs/>
          <w:color w:val="000000" w:themeColor="text1"/>
          <w:sz w:val="21"/>
          <w:szCs w:val="21"/>
          <w:highlight w:val="none"/>
          <w14:textFill>
            <w14:solidFill>
              <w14:schemeClr w14:val="tx1"/>
            </w14:solidFill>
          </w14:textFill>
        </w:rPr>
        <w:t>【格式见</w:t>
      </w:r>
      <w:r>
        <w:rPr>
          <w:rFonts w:hint="eastAsia" w:ascii="仿宋" w:hAnsi="仿宋" w:eastAsia="仿宋" w:cs="仿宋"/>
          <w:b/>
          <w:bCs/>
          <w:color w:val="000000" w:themeColor="text1"/>
          <w:sz w:val="21"/>
          <w:szCs w:val="21"/>
          <w:highlight w:val="none"/>
          <w14:textFill>
            <w14:solidFill>
              <w14:schemeClr w14:val="tx1"/>
            </w14:solidFill>
          </w14:textFill>
        </w:rPr>
        <w:fldChar w:fldCharType="begin"/>
      </w:r>
      <w:r>
        <w:rPr>
          <w:rFonts w:hint="eastAsia" w:ascii="仿宋" w:hAnsi="仿宋" w:eastAsia="仿宋" w:cs="仿宋"/>
          <w:b/>
          <w:bCs/>
          <w:color w:val="000000" w:themeColor="text1"/>
          <w:sz w:val="21"/>
          <w:szCs w:val="21"/>
          <w:highlight w:val="none"/>
          <w14:textFill>
            <w14:solidFill>
              <w14:schemeClr w14:val="tx1"/>
            </w14:solidFill>
          </w14:textFill>
        </w:rPr>
        <w:instrText xml:space="preserve"> HYPERLINK \l "附件4" </w:instrText>
      </w:r>
      <w:r>
        <w:rPr>
          <w:rFonts w:hint="eastAsia" w:ascii="仿宋" w:hAnsi="仿宋" w:eastAsia="仿宋" w:cs="仿宋"/>
          <w:b/>
          <w:bCs/>
          <w:color w:val="000000" w:themeColor="text1"/>
          <w:sz w:val="21"/>
          <w:szCs w:val="21"/>
          <w:highlight w:val="none"/>
          <w14:textFill>
            <w14:solidFill>
              <w14:schemeClr w14:val="tx1"/>
            </w14:solidFill>
          </w14:textFill>
        </w:rPr>
        <w:fldChar w:fldCharType="separate"/>
      </w:r>
      <w:r>
        <w:rPr>
          <w:rFonts w:hint="eastAsia" w:ascii="仿宋" w:hAnsi="仿宋" w:eastAsia="仿宋" w:cs="仿宋"/>
          <w:b/>
          <w:bCs/>
          <w:color w:val="000000" w:themeColor="text1"/>
          <w:sz w:val="21"/>
          <w:szCs w:val="21"/>
          <w:highlight w:val="none"/>
          <w14:textFill>
            <w14:solidFill>
              <w14:schemeClr w14:val="tx1"/>
            </w14:solidFill>
          </w14:textFill>
        </w:rPr>
        <w:t>附件】</w:t>
      </w:r>
      <w:r>
        <w:rPr>
          <w:rFonts w:hint="eastAsia" w:ascii="仿宋" w:hAnsi="仿宋" w:eastAsia="仿宋" w:cs="仿宋"/>
          <w:b/>
          <w:bCs/>
          <w:color w:val="000000" w:themeColor="text1"/>
          <w:sz w:val="21"/>
          <w:szCs w:val="21"/>
          <w:highlight w:val="none"/>
          <w14:textFill>
            <w14:solidFill>
              <w14:schemeClr w14:val="tx1"/>
            </w14:solidFill>
          </w14:textFill>
        </w:rPr>
        <w:fldChar w:fldCharType="end"/>
      </w:r>
      <w:r>
        <w:rPr>
          <w:rFonts w:hint="eastAsia" w:ascii="仿宋" w:hAnsi="仿宋" w:eastAsia="仿宋" w:cs="仿宋"/>
          <w:b/>
          <w:bCs/>
          <w:color w:val="000000" w:themeColor="text1"/>
          <w:sz w:val="21"/>
          <w:szCs w:val="21"/>
          <w:highlight w:val="none"/>
          <w:lang w:val="zh-CN"/>
          <w14:textFill>
            <w14:solidFill>
              <w14:schemeClr w14:val="tx1"/>
            </w14:solidFill>
          </w14:textFill>
        </w:rPr>
        <w:t>，</w:t>
      </w:r>
      <w:r>
        <w:rPr>
          <w:rFonts w:hint="eastAsia" w:ascii="仿宋" w:hAnsi="仿宋" w:eastAsia="仿宋" w:cs="仿宋"/>
          <w:b w:val="0"/>
          <w:bCs w:val="0"/>
          <w:color w:val="000000" w:themeColor="text1"/>
          <w:sz w:val="21"/>
          <w:szCs w:val="21"/>
          <w:highlight w:val="none"/>
          <w:lang w:val="zh-CN"/>
          <w14:textFill>
            <w14:solidFill>
              <w14:schemeClr w14:val="tx1"/>
            </w14:solidFill>
          </w14:textFill>
        </w:rPr>
        <w:t>表格可放置于封面后一页，标明各项评分因素响应内容的所在页码，以便评审。</w:t>
      </w:r>
    </w:p>
    <w:p w14:paraId="0A57DA45">
      <w:pPr>
        <w:spacing w:line="360" w:lineRule="auto"/>
        <w:ind w:firstLine="420" w:firstLineChars="20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zh-CN" w:eastAsia="zh-CN"/>
          <w14:textFill>
            <w14:solidFill>
              <w14:schemeClr w14:val="tx1"/>
            </w14:solidFill>
          </w14:textFill>
        </w:rPr>
        <w:t>（1）评分因素索引表</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val="zh-CN" w:eastAsia="zh-CN"/>
          <w14:textFill>
            <w14:solidFill>
              <w14:schemeClr w14:val="tx1"/>
            </w14:solidFill>
          </w14:textFill>
        </w:rPr>
        <w:t>格式见</w:t>
      </w:r>
      <w:r>
        <w:rPr>
          <w:rFonts w:hint="eastAsia" w:ascii="仿宋" w:hAnsi="仿宋" w:eastAsia="仿宋" w:cs="仿宋"/>
          <w:color w:val="000000" w:themeColor="text1"/>
          <w:szCs w:val="21"/>
          <w:highlight w:val="none"/>
          <w:lang w:val="en-US" w:eastAsia="zh-CN"/>
          <w14:textFill>
            <w14:solidFill>
              <w14:schemeClr w14:val="tx1"/>
            </w14:solidFill>
          </w14:textFill>
        </w:rPr>
        <w:t>附件】；</w:t>
      </w:r>
    </w:p>
    <w:p w14:paraId="7279DF32">
      <w:pPr>
        <w:spacing w:line="360" w:lineRule="auto"/>
        <w:ind w:firstLine="420" w:firstLineChars="200"/>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val="zh-CN"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投标人声明书【</w:t>
      </w:r>
      <w:r>
        <w:rPr>
          <w:rFonts w:hint="eastAsia" w:ascii="仿宋" w:hAnsi="仿宋" w:eastAsia="仿宋" w:cs="仿宋"/>
          <w:color w:val="000000" w:themeColor="text1"/>
          <w:szCs w:val="21"/>
          <w:highlight w:val="none"/>
          <w:lang w:val="zh-CN" w:eastAsia="zh-CN"/>
          <w14:textFill>
            <w14:solidFill>
              <w14:schemeClr w14:val="tx1"/>
            </w14:solidFill>
          </w14:textFill>
        </w:rPr>
        <w:t>格式见</w:t>
      </w:r>
      <w:r>
        <w:rPr>
          <w:rFonts w:hint="eastAsia" w:ascii="仿宋" w:hAnsi="仿宋" w:eastAsia="仿宋" w:cs="仿宋"/>
          <w:color w:val="000000" w:themeColor="text1"/>
          <w:szCs w:val="21"/>
          <w:highlight w:val="none"/>
          <w:lang w:val="en-US" w:eastAsia="zh-CN"/>
          <w14:textFill>
            <w14:solidFill>
              <w14:schemeClr w14:val="tx1"/>
            </w14:solidFill>
          </w14:textFill>
        </w:rPr>
        <w:t>附件】；</w:t>
      </w:r>
    </w:p>
    <w:p w14:paraId="1ECB9078">
      <w:pPr>
        <w:spacing w:line="360" w:lineRule="auto"/>
        <w:ind w:firstLine="420" w:firstLineChars="200"/>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）投标人基本情况表</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val="zh-CN" w:eastAsia="zh-CN"/>
          <w14:textFill>
            <w14:solidFill>
              <w14:schemeClr w14:val="tx1"/>
            </w14:solidFill>
          </w14:textFill>
        </w:rPr>
        <w:t>格式见</w:t>
      </w:r>
      <w:r>
        <w:rPr>
          <w:rFonts w:hint="eastAsia" w:ascii="仿宋" w:hAnsi="仿宋" w:eastAsia="仿宋" w:cs="仿宋"/>
          <w:color w:val="000000" w:themeColor="text1"/>
          <w:szCs w:val="21"/>
          <w:highlight w:val="none"/>
          <w:lang w:val="en-US" w:eastAsia="zh-CN"/>
          <w14:textFill>
            <w14:solidFill>
              <w14:schemeClr w14:val="tx1"/>
            </w14:solidFill>
          </w14:textFill>
        </w:rPr>
        <w:t>附件】；</w:t>
      </w:r>
    </w:p>
    <w:p w14:paraId="72BE31E0">
      <w:pPr>
        <w:spacing w:line="360" w:lineRule="auto"/>
        <w:ind w:firstLine="420" w:firstLineChars="200"/>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val="zh-CN" w:eastAsia="zh-CN"/>
          <w14:textFill>
            <w14:solidFill>
              <w14:schemeClr w14:val="tx1"/>
            </w14:solidFill>
          </w14:textFill>
        </w:rPr>
        <w:t>）项目负责人简历表【格式见</w:t>
      </w:r>
      <w:r>
        <w:rPr>
          <w:rFonts w:hint="eastAsia" w:ascii="仿宋" w:hAnsi="仿宋" w:eastAsia="仿宋" w:cs="仿宋"/>
          <w:color w:val="000000" w:themeColor="text1"/>
          <w:szCs w:val="21"/>
          <w:highlight w:val="none"/>
          <w:lang w:val="en-US" w:eastAsia="zh-CN"/>
          <w14:textFill>
            <w14:solidFill>
              <w14:schemeClr w14:val="tx1"/>
            </w14:solidFill>
          </w14:textFill>
        </w:rPr>
        <w:t>附件</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5DE46EA7">
      <w:pPr>
        <w:spacing w:line="360" w:lineRule="auto"/>
        <w:ind w:firstLine="420" w:firstLineChars="200"/>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val="zh-CN" w:eastAsia="zh-CN"/>
          <w14:textFill>
            <w14:solidFill>
              <w14:schemeClr w14:val="tx1"/>
            </w14:solidFill>
          </w14:textFill>
        </w:rPr>
        <w:t>）项目业绩一览表【格式见</w:t>
      </w:r>
      <w:r>
        <w:rPr>
          <w:rFonts w:hint="eastAsia" w:ascii="仿宋" w:hAnsi="仿宋" w:eastAsia="仿宋" w:cs="仿宋"/>
          <w:color w:val="000000" w:themeColor="text1"/>
          <w:szCs w:val="21"/>
          <w:highlight w:val="none"/>
          <w:lang w:val="en-US" w:eastAsia="zh-CN"/>
          <w14:textFill>
            <w14:solidFill>
              <w14:schemeClr w14:val="tx1"/>
            </w14:solidFill>
          </w14:textFill>
        </w:rPr>
        <w:t>附件</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2E51D328">
      <w:pPr>
        <w:spacing w:line="360" w:lineRule="auto"/>
        <w:ind w:firstLine="420" w:firstLineChars="200"/>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val="zh-CN" w:eastAsia="zh-CN"/>
          <w14:textFill>
            <w14:solidFill>
              <w14:schemeClr w14:val="tx1"/>
            </w14:solidFill>
          </w14:textFill>
        </w:rPr>
        <w:t>对采购文件中技术、商务条款及合同条款的声明</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val="zh-CN" w:eastAsia="zh-CN"/>
          <w14:textFill>
            <w14:solidFill>
              <w14:schemeClr w14:val="tx1"/>
            </w14:solidFill>
          </w14:textFill>
        </w:rPr>
        <w:t>格式见</w:t>
      </w:r>
      <w:r>
        <w:rPr>
          <w:rFonts w:hint="eastAsia" w:ascii="仿宋" w:hAnsi="仿宋" w:eastAsia="仿宋" w:cs="仿宋"/>
          <w:color w:val="000000" w:themeColor="text1"/>
          <w:szCs w:val="21"/>
          <w:highlight w:val="none"/>
          <w:lang w:val="en-US" w:eastAsia="zh-CN"/>
          <w14:textFill>
            <w14:solidFill>
              <w14:schemeClr w14:val="tx1"/>
            </w14:solidFill>
          </w14:textFill>
        </w:rPr>
        <w:t>附件】</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0248BDF6">
      <w:pPr>
        <w:spacing w:line="360" w:lineRule="auto"/>
        <w:ind w:firstLine="420" w:firstLineChars="200"/>
        <w:jc w:val="left"/>
        <w:rPr>
          <w:rFonts w:hint="eastAsia" w:ascii="仿宋" w:hAnsi="仿宋" w:eastAsia="仿宋" w:cs="仿宋"/>
          <w:color w:val="000000" w:themeColor="text1"/>
          <w:szCs w:val="21"/>
          <w:highlight w:val="none"/>
          <w:lang w:val="zh-CN" w:eastAsia="zh-CN"/>
          <w14:textFill>
            <w14:solidFill>
              <w14:schemeClr w14:val="tx1"/>
            </w14:solidFill>
          </w14:textFill>
        </w:rPr>
      </w:pPr>
      <w:r>
        <w:rPr>
          <w:rFonts w:hint="eastAsia" w:ascii="仿宋" w:hAnsi="仿宋" w:eastAsia="仿宋" w:cs="仿宋"/>
          <w:color w:val="000000" w:themeColor="text1"/>
          <w:szCs w:val="21"/>
          <w:highlight w:val="none"/>
          <w:lang w:val="zh-CN"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lang w:val="zh-CN" w:eastAsia="zh-CN"/>
          <w14:textFill>
            <w14:solidFill>
              <w14:schemeClr w14:val="tx1"/>
            </w14:solidFill>
          </w14:textFill>
        </w:rPr>
        <w:t>）根据技术资信评分标准，投标人认为需要提供的其他资料或说明。</w:t>
      </w:r>
    </w:p>
    <w:p w14:paraId="13E7232C">
      <w:pPr>
        <w:bidi w:val="0"/>
        <w:spacing w:line="360" w:lineRule="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ab/>
      </w:r>
      <w:r>
        <w:rPr>
          <w:rFonts w:hint="eastAsia" w:ascii="仿宋" w:hAnsi="仿宋" w:eastAsia="仿宋" w:cs="仿宋"/>
          <w:b/>
          <w:bCs/>
          <w:color w:val="000000" w:themeColor="text1"/>
          <w:kern w:val="2"/>
          <w:sz w:val="21"/>
          <w:szCs w:val="21"/>
          <w:highlight w:val="none"/>
          <w:lang w:val="en-US" w:eastAsia="zh-CN" w:bidi="ar-SA"/>
          <w14:textFill>
            <w14:solidFill>
              <w14:schemeClr w14:val="tx1"/>
            </w14:solidFill>
          </w14:textFill>
        </w:rPr>
        <w:t>3.1.3报价文件：</w:t>
      </w:r>
    </w:p>
    <w:p w14:paraId="499908B5">
      <w:pPr>
        <w:numPr>
          <w:ilvl w:val="0"/>
          <w:numId w:val="3"/>
        </w:numPr>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开标一览表</w:t>
      </w:r>
      <w:r>
        <w:rPr>
          <w:rFonts w:hint="eastAsia" w:ascii="仿宋" w:hAnsi="仿宋" w:eastAsia="仿宋" w:cs="仿宋"/>
          <w:b/>
          <w:bCs/>
          <w:color w:val="000000" w:themeColor="text1"/>
          <w:szCs w:val="21"/>
          <w:highlight w:val="none"/>
          <w14:textFill>
            <w14:solidFill>
              <w14:schemeClr w14:val="tx1"/>
            </w14:solidFill>
          </w14:textFill>
        </w:rPr>
        <w:t>【格式见附件】</w:t>
      </w:r>
      <w:r>
        <w:rPr>
          <w:rFonts w:hint="eastAsia" w:ascii="仿宋" w:hAnsi="仿宋" w:eastAsia="仿宋" w:cs="仿宋"/>
          <w:color w:val="000000" w:themeColor="text1"/>
          <w:szCs w:val="21"/>
          <w:highlight w:val="none"/>
          <w14:textFill>
            <w14:solidFill>
              <w14:schemeClr w14:val="tx1"/>
            </w14:solidFill>
          </w14:textFill>
        </w:rPr>
        <w:t>；</w:t>
      </w:r>
    </w:p>
    <w:p w14:paraId="0D09136F">
      <w:pPr>
        <w:autoSpaceDE w:val="0"/>
        <w:autoSpaceDN w:val="0"/>
        <w:adjustRightInd w:val="0"/>
        <w:spacing w:line="30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w:t>
      </w:r>
      <w:r>
        <w:rPr>
          <w:rFonts w:hint="eastAsia" w:ascii="仿宋" w:hAnsi="仿宋" w:eastAsia="仿宋" w:cs="仿宋"/>
          <w:szCs w:val="21"/>
          <w:lang w:val="zh-CN"/>
        </w:rPr>
        <w:t>投标人认为需要提供的其他文件或说明。</w:t>
      </w:r>
    </w:p>
    <w:p w14:paraId="3F3EF423">
      <w:pPr>
        <w:bidi w:val="0"/>
        <w:spacing w:line="360" w:lineRule="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4.投标文件的编制格式及说明</w:t>
      </w:r>
    </w:p>
    <w:p w14:paraId="2DA0000A">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4.1投标文件应包括规定的内容，投标人提交的投标文件应当使用招标文件所提供的投标文件全部格式（格式可以按同样格式扩展）；未提供投标文件标准格式的，由投标人自行编写：响应文件按政府采购云平台“供应商-政府采购项目电子交易操作指南”及本招标文件要求制作、加密。</w:t>
      </w:r>
    </w:p>
    <w:p w14:paraId="185F77C7">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4.2投标文件的格式参照招标文件提供的表格格式及字体；</w:t>
      </w:r>
    </w:p>
    <w:p w14:paraId="2385907D">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p>
    <w:p w14:paraId="500C0DE5">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4.4投标人必须保证投标文件所提供的全部资料真实可靠，并接受对其中任何资料进一步审查的要求。</w:t>
      </w:r>
    </w:p>
    <w:p w14:paraId="0FD53D11">
      <w:pPr>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5.投标报价</w:t>
      </w:r>
    </w:p>
    <w:p w14:paraId="3FB063FC">
      <w:pPr>
        <w:bidi w:val="0"/>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5.1投标报价以人民币为结算货币。投标报价应是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采购文件未列明但可能产生额外成本的因素，均应计入投标报价。</w:t>
      </w:r>
    </w:p>
    <w:p w14:paraId="0EAE5E5D">
      <w:pPr>
        <w:bidi w:val="0"/>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5.2投标相关投标报价明细表填写时应详细注明该表列举的费用及分项清单。</w:t>
      </w:r>
    </w:p>
    <w:p w14:paraId="2365C4C8">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5.3投标人必须按第六章投标文</w:t>
      </w:r>
      <w:r>
        <w:rPr>
          <w:rFonts w:hint="eastAsia" w:ascii="仿宋" w:hAnsi="仿宋" w:eastAsia="仿宋" w:cs="仿宋"/>
          <w:color w:val="000000" w:themeColor="text1"/>
          <w:sz w:val="21"/>
          <w:szCs w:val="21"/>
          <w:highlight w:val="none"/>
          <w14:textFill>
            <w14:solidFill>
              <w14:schemeClr w14:val="tx1"/>
            </w14:solidFill>
          </w14:textFill>
        </w:rPr>
        <w:t>件格式中的开标一览表和</w:t>
      </w:r>
      <w:r>
        <w:rPr>
          <w:rFonts w:hint="eastAsia" w:ascii="仿宋" w:hAnsi="仿宋" w:eastAsia="仿宋" w:cs="仿宋"/>
          <w:color w:val="000000" w:themeColor="text1"/>
          <w:sz w:val="21"/>
          <w:szCs w:val="21"/>
          <w:highlight w:val="none"/>
          <w:lang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报价明细表的内容填写。</w:t>
      </w:r>
    </w:p>
    <w:p w14:paraId="5B4C7077">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采购单位不接受任何选择报价，投标单位只允许有一个有效报价。</w:t>
      </w:r>
    </w:p>
    <w:p w14:paraId="6223F8D0">
      <w:pPr>
        <w:bidi w:val="0"/>
        <w:spacing w:line="360" w:lineRule="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6.投标文件的格式和顺序</w:t>
      </w:r>
    </w:p>
    <w:p w14:paraId="3961F56C">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响应文件按政府采购云平台“供应商-政府采购项目电子交易操作指南”</w:t>
      </w:r>
      <w:r>
        <w:rPr>
          <w:rFonts w:hint="eastAsia" w:ascii="仿宋" w:hAnsi="仿宋" w:eastAsia="仿宋" w:cs="仿宋"/>
          <w:color w:val="000000" w:themeColor="text1"/>
          <w:sz w:val="21"/>
          <w:szCs w:val="21"/>
          <w:highlight w:val="none"/>
          <w14:textFill>
            <w14:solidFill>
              <w14:schemeClr w14:val="tx1"/>
            </w14:solidFill>
          </w14:textFill>
        </w:rPr>
        <w:fldChar w:fldCharType="begin"/>
      </w:r>
      <w:r>
        <w:rPr>
          <w:rFonts w:hint="eastAsia" w:ascii="仿宋" w:hAnsi="仿宋" w:eastAsia="仿宋" w:cs="仿宋"/>
          <w:color w:val="000000" w:themeColor="text1"/>
          <w:sz w:val="21"/>
          <w:szCs w:val="21"/>
          <w:highlight w:val="none"/>
          <w14:textFill>
            <w14:solidFill>
              <w14:schemeClr w14:val="tx1"/>
            </w14:solidFill>
          </w14:textFill>
        </w:rPr>
        <w:instrText xml:space="preserve"> HYPERLINK "https://help.zcy.gov.cn/web/site_2/2018/12-28/2573.html）及本招标文件规定的格式和顺序编制电子投标文件并进行关联定位。" </w:instrText>
      </w:r>
      <w:r>
        <w:rPr>
          <w:rFonts w:hint="eastAsia" w:ascii="仿宋" w:hAnsi="仿宋" w:eastAsia="仿宋" w:cs="仿宋"/>
          <w:color w:val="000000" w:themeColor="text1"/>
          <w:sz w:val="21"/>
          <w:szCs w:val="21"/>
          <w:highlight w:val="none"/>
          <w14:textFill>
            <w14:solidFill>
              <w14:schemeClr w14:val="tx1"/>
            </w14:solidFill>
          </w14:textFill>
        </w:rPr>
        <w:fldChar w:fldCharType="separate"/>
      </w:r>
      <w:r>
        <w:rPr>
          <w:rStyle w:val="35"/>
          <w:rFonts w:hint="eastAsia" w:ascii="仿宋" w:hAnsi="仿宋" w:eastAsia="仿宋" w:cs="仿宋"/>
          <w:b/>
          <w:bCs/>
          <w:color w:val="000000" w:themeColor="text1"/>
          <w:sz w:val="21"/>
          <w:szCs w:val="21"/>
          <w:highlight w:val="none"/>
          <w14:textFill>
            <w14:solidFill>
              <w14:schemeClr w14:val="tx1"/>
            </w14:solidFill>
          </w14:textFill>
        </w:rPr>
        <w:t>及本招标文件规定的格式和顺序编制响应文件并进行关联定位。</w:t>
      </w:r>
      <w:r>
        <w:rPr>
          <w:rFonts w:hint="eastAsia" w:ascii="仿宋" w:hAnsi="仿宋" w:eastAsia="仿宋" w:cs="仿宋"/>
          <w:color w:val="000000" w:themeColor="text1"/>
          <w:sz w:val="21"/>
          <w:szCs w:val="21"/>
          <w:highlight w:val="none"/>
          <w14:textFill>
            <w14:solidFill>
              <w14:schemeClr w14:val="tx1"/>
            </w14:solidFill>
          </w14:textFill>
        </w:rPr>
        <w:fldChar w:fldCharType="end"/>
      </w:r>
    </w:p>
    <w:p w14:paraId="1FDA38E2">
      <w:pPr>
        <w:bidi w:val="0"/>
        <w:spacing w:line="360" w:lineRule="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7.投标有效期</w:t>
      </w:r>
    </w:p>
    <w:p w14:paraId="2DCD94CF">
      <w:pPr>
        <w:bidi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7.1投标有效期见本招标文件中前附表所规定的期限，在此期限内，凡符合招标文件要求的投标文件均保持有效。</w:t>
      </w:r>
    </w:p>
    <w:p w14:paraId="0C22BCD2">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7.2在特殊情况下，采购人、采购代理机构在原定投标有效期内，可以根据需要以书面形式向投标人提出延长投标有效期的要求，对此要求投标人须以书面形式予以答复。投标人可以拒绝采购人、采购代理机构这种要求。同意延长投标有效期的投标人既不能要求也不允许修改其投标文件。</w:t>
      </w:r>
    </w:p>
    <w:p w14:paraId="539F06F6">
      <w:pPr>
        <w:bidi w:val="0"/>
        <w:spacing w:line="360" w:lineRule="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8.投标保证金</w:t>
      </w:r>
    </w:p>
    <w:p w14:paraId="4A99F600">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8.1投标保证金的规定：详见投标人须知前附表。</w:t>
      </w:r>
    </w:p>
    <w:p w14:paraId="605EB3E2">
      <w:pPr>
        <w:bidi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p>
    <w:p w14:paraId="5830BFF1">
      <w:pPr>
        <w:bidi w:val="0"/>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sectPr>
          <w:footerReference r:id="rId7" w:type="default"/>
          <w:pgSz w:w="11906" w:h="16839"/>
          <w:pgMar w:top="1086" w:right="813" w:bottom="1156" w:left="850" w:header="1191" w:footer="1191" w:gutter="0"/>
          <w:pgNumType w:fmt="numberInDash"/>
          <w:cols w:space="720" w:num="1"/>
        </w:sectPr>
      </w:pP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31E77947">
      <w:pPr>
        <w:pStyle w:val="3"/>
        <w:bidi w:val="0"/>
        <w:jc w:val="center"/>
        <w:rPr>
          <w:rFonts w:hint="eastAsia" w:ascii="仿宋" w:hAnsi="仿宋" w:eastAsia="仿宋" w:cs="仿宋"/>
        </w:rPr>
      </w:pPr>
      <w:bookmarkStart w:id="62" w:name="_Toc6995"/>
      <w:bookmarkStart w:id="63" w:name="_Toc221356887"/>
      <w:bookmarkStart w:id="64" w:name="_Toc221374626"/>
      <w:bookmarkStart w:id="65" w:name="_Toc249758864"/>
      <w:bookmarkStart w:id="66" w:name="_Toc239145354"/>
      <w:bookmarkStart w:id="67" w:name="_Toc221356951"/>
      <w:bookmarkStart w:id="68" w:name="_Toc262049418"/>
      <w:bookmarkStart w:id="69" w:name="_Toc223715998"/>
      <w:bookmarkStart w:id="70" w:name="_Toc222114879"/>
      <w:bookmarkStart w:id="71" w:name="_Toc262105503"/>
      <w:bookmarkStart w:id="72" w:name="_Toc410031816"/>
      <w:bookmarkStart w:id="73" w:name="_Toc245722281"/>
      <w:bookmarkStart w:id="74" w:name="_Toc245191314"/>
      <w:bookmarkStart w:id="75" w:name="_Toc241404202"/>
      <w:bookmarkStart w:id="76" w:name="_Toc221423619"/>
      <w:bookmarkStart w:id="77" w:name="_Toc249758712"/>
      <w:bookmarkStart w:id="78" w:name="_Toc246261265"/>
      <w:r>
        <w:rPr>
          <w:rFonts w:hint="eastAsia" w:ascii="仿宋" w:hAnsi="仿宋" w:eastAsia="仿宋" w:cs="仿宋"/>
        </w:rPr>
        <w:t>四、投标</w:t>
      </w:r>
      <w:bookmarkEnd w:id="62"/>
    </w:p>
    <w:p w14:paraId="4651129E">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bookmarkStart w:id="79" w:name="_Toc25626"/>
      <w:bookmarkStart w:id="80" w:name="_Toc2836"/>
      <w:r>
        <w:rPr>
          <w:rFonts w:hint="eastAsia" w:ascii="仿宋" w:hAnsi="仿宋" w:eastAsia="仿宋" w:cs="仿宋"/>
          <w:b/>
          <w:color w:val="000000" w:themeColor="text1"/>
          <w:sz w:val="21"/>
          <w:szCs w:val="21"/>
          <w:highlight w:val="none"/>
          <w14:textFill>
            <w14:solidFill>
              <w14:schemeClr w14:val="tx1"/>
            </w14:solidFill>
          </w14:textFill>
        </w:rPr>
        <w:t>1.投标文件的递交</w:t>
      </w:r>
    </w:p>
    <w:p w14:paraId="59169905">
      <w:pPr>
        <w:pStyle w:val="14"/>
        <w:spacing w:line="360" w:lineRule="auto"/>
        <w:ind w:left="0"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投标人应当在投标截止时间前完成响应文件的传输递交，投标截止时间前可以补充、修改或者撤回响应文件。补充或者修改响应文件的，应当先行撤回原文件，补充、修改后重新传输递交。投标截止时间前未完成传输的，视为撤回响应文件。</w:t>
      </w:r>
    </w:p>
    <w:p w14:paraId="0FE4D904">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2.投标文件递交的截止时间</w:t>
      </w:r>
    </w:p>
    <w:p w14:paraId="2D1AA1E3">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2.1投标文件的截止时间见招标文件投标须知前附表的规定。</w:t>
      </w:r>
    </w:p>
    <w:p w14:paraId="6465CD71">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2.2采购人、采购代理机构可按本招标文件规定以修改补充通知的方式，酌情延长提交投标文件的截止时间。在此情况下，投标人的所有权利和义务以及投标人受制约的截止时间，均以延长后新的投标截止时间为准。</w:t>
      </w:r>
    </w:p>
    <w:p w14:paraId="1C49ECC6">
      <w:pPr>
        <w:pStyle w:val="14"/>
        <w:spacing w:line="360" w:lineRule="auto"/>
        <w:ind w:left="420" w:hanging="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2.3投标人在投标截止时间以后递交的投标文件将被拒绝接受。</w:t>
      </w:r>
    </w:p>
    <w:p w14:paraId="690E76E3">
      <w:pPr>
        <w:pStyle w:val="14"/>
        <w:spacing w:line="360" w:lineRule="auto"/>
        <w:ind w:left="422" w:hanging="422"/>
        <w:outlineLvl w:val="1"/>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3.投标文件的补充、修改与撤回</w:t>
      </w:r>
    </w:p>
    <w:p w14:paraId="7B967DAB">
      <w:pPr>
        <w:pStyle w:val="14"/>
        <w:spacing w:line="360" w:lineRule="auto"/>
        <w:ind w:left="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3.1投标人在提交投标文件以后，在规定的投标截止时间之前，可以补充修改或撤回已提交的投标文件：</w:t>
      </w:r>
    </w:p>
    <w:p w14:paraId="59E9B2C7">
      <w:pPr>
        <w:pStyle w:val="14"/>
        <w:spacing w:line="360" w:lineRule="auto"/>
        <w:ind w:left="0" w:firstLine="422" w:firstLineChars="200"/>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递交响应文件截止时间之前补充或者修改响应文件的，应当先行撤回原文件，补充、修改后重新传输递交；</w:t>
      </w:r>
    </w:p>
    <w:p w14:paraId="7B299E61">
      <w:pPr>
        <w:pStyle w:val="14"/>
        <w:spacing w:line="360" w:lineRule="auto"/>
        <w:ind w:left="420" w:leftChars="20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3.2在投标截止时间之后，投标人不得补充、修改投标文件。</w:t>
      </w:r>
    </w:p>
    <w:p w14:paraId="44A55B08">
      <w:pPr>
        <w:pStyle w:val="14"/>
        <w:spacing w:line="360" w:lineRule="auto"/>
        <w:ind w:left="420" w:leftChars="200" w:firstLine="0" w:firstLineChars="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根据招标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p w14:paraId="0B85C5F3">
      <w:pPr>
        <w:pStyle w:val="3"/>
        <w:bidi w:val="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rPr>
        <w:t>五、开标</w:t>
      </w:r>
      <w:bookmarkEnd w:id="79"/>
    </w:p>
    <w:p w14:paraId="7E48856A">
      <w:pPr>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（一）开标准备</w:t>
      </w:r>
    </w:p>
    <w:p w14:paraId="6CB5AAB6">
      <w:pPr>
        <w:spacing w:line="360" w:lineRule="auto"/>
        <w:ind w:firstLine="420"/>
        <w:rPr>
          <w:rFonts w:hint="eastAsia"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投标人须在开标时间前准备好电脑与制作本项目电子加密投标文件</w:t>
      </w:r>
      <w:r>
        <w:rPr>
          <w:rFonts w:hint="eastAsia" w:ascii="仿宋" w:hAnsi="仿宋" w:eastAsia="仿宋" w:cs="仿宋"/>
          <w:color w:val="000000" w:themeColor="text1"/>
          <w:szCs w:val="21"/>
          <w:highlight w:val="none"/>
          <w14:textFill>
            <w14:solidFill>
              <w14:schemeClr w14:val="tx1"/>
            </w14:solidFill>
          </w14:textFill>
        </w:rPr>
        <w:t>的同一个</w:t>
      </w:r>
      <w:r>
        <w:rPr>
          <w:rFonts w:hint="eastAsia" w:ascii="仿宋" w:hAnsi="仿宋" w:eastAsia="仿宋" w:cs="仿宋"/>
          <w:color w:val="000000" w:themeColor="text1"/>
          <w:szCs w:val="21"/>
          <w:highlight w:val="none"/>
          <w:lang w:val="zh-CN"/>
          <w14:textFill>
            <w14:solidFill>
              <w14:schemeClr w14:val="tx1"/>
            </w14:solidFill>
          </w14:textFill>
        </w:rPr>
        <w:t>CA锁，并打开“政采云电子投标客户端”软件，等待解密通知。</w:t>
      </w:r>
    </w:p>
    <w:p w14:paraId="7E9F0B38">
      <w:pPr>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（二）</w:t>
      </w:r>
      <w:r>
        <w:rPr>
          <w:rStyle w:val="50"/>
          <w:rFonts w:hint="eastAsia" w:ascii="仿宋" w:hAnsi="仿宋" w:eastAsia="仿宋" w:cs="仿宋"/>
          <w:b/>
          <w:color w:val="000000" w:themeColor="text1"/>
          <w:szCs w:val="21"/>
          <w:highlight w:val="none"/>
          <w:lang w:val="zh-CN"/>
          <w14:textFill>
            <w14:solidFill>
              <w14:schemeClr w14:val="tx1"/>
            </w14:solidFill>
          </w14:textFill>
        </w:rPr>
        <w:t>开标</w:t>
      </w:r>
      <w:r>
        <w:rPr>
          <w:rFonts w:hint="eastAsia" w:ascii="仿宋" w:hAnsi="仿宋" w:eastAsia="仿宋" w:cs="仿宋"/>
          <w:b/>
          <w:bCs/>
          <w:color w:val="000000" w:themeColor="text1"/>
          <w:szCs w:val="21"/>
          <w:highlight w:val="none"/>
          <w14:textFill>
            <w14:solidFill>
              <w14:schemeClr w14:val="tx1"/>
            </w14:solidFill>
          </w14:textFill>
        </w:rPr>
        <w:t>程序</w:t>
      </w:r>
    </w:p>
    <w:p w14:paraId="7F9B8C89">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向各供应商发出电子加密投标文件【开始解密】通知，由供应商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14:paraId="787E0CF3">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2.投标文件解密结束，组织供应商签署《政府采购活动现场确认声明书》，声明书扫描件以邮件的形式发送至代理邮箱；</w:t>
      </w:r>
    </w:p>
    <w:p w14:paraId="52D384AD">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由采购人代表或代理机构评审资格文件，若资格审查不符合招标采购文件要求，系统上告知其原因并由供应商签章确认。系统上公开投标人资格审查结果，资格审查未获通过的投标人，其商务技术文件及报价文件不进入评审阶段；</w:t>
      </w:r>
    </w:p>
    <w:p w14:paraId="56C16885">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4.评标委员会对商务技术文件进行评审，评审内容包括符合性审查，技术、商务评估及比较等。商务技术文件符合性审查通过的供应商，进入</w:t>
      </w:r>
      <w:r>
        <w:rPr>
          <w:rFonts w:hint="eastAsia" w:ascii="仿宋" w:hAnsi="仿宋" w:eastAsia="仿宋" w:cs="仿宋"/>
          <w:color w:val="000000" w:themeColor="text1"/>
          <w:szCs w:val="21"/>
          <w:highlight w:val="none"/>
          <w:lang w:eastAsia="zh-CN"/>
          <w14:textFill>
            <w14:solidFill>
              <w14:schemeClr w14:val="tx1"/>
            </w14:solidFill>
          </w14:textFill>
        </w:rPr>
        <w:t>商务技术</w:t>
      </w:r>
      <w:r>
        <w:rPr>
          <w:rFonts w:hint="eastAsia" w:ascii="仿宋" w:hAnsi="仿宋" w:eastAsia="仿宋" w:cs="仿宋"/>
          <w:color w:val="000000" w:themeColor="text1"/>
          <w:szCs w:val="21"/>
          <w:highlight w:val="none"/>
          <w14:textFill>
            <w14:solidFill>
              <w14:schemeClr w14:val="tx1"/>
            </w14:solidFill>
          </w14:textFill>
        </w:rPr>
        <w:t>评分环节。符合性审查不通过的，系统告知其原因并由供应商签章确认，其商务技术文件及报价文件不再进入评审阶段；</w:t>
      </w:r>
    </w:p>
    <w:p w14:paraId="3B4BCC61">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5.在系统上公开技术商务评审结果，如对</w:t>
      </w:r>
      <w:r>
        <w:rPr>
          <w:rFonts w:hint="eastAsia" w:ascii="仿宋" w:hAnsi="仿宋" w:eastAsia="仿宋" w:cs="仿宋"/>
          <w:color w:val="000000" w:themeColor="text1"/>
          <w:szCs w:val="21"/>
          <w:highlight w:val="none"/>
          <w:lang w:eastAsia="zh-CN"/>
          <w14:textFill>
            <w14:solidFill>
              <w14:schemeClr w14:val="tx1"/>
            </w14:solidFill>
          </w14:textFill>
        </w:rPr>
        <w:t>商务技术</w:t>
      </w:r>
      <w:r>
        <w:rPr>
          <w:rFonts w:hint="eastAsia" w:ascii="仿宋" w:hAnsi="仿宋" w:eastAsia="仿宋" w:cs="仿宋"/>
          <w:color w:val="000000" w:themeColor="text1"/>
          <w:szCs w:val="21"/>
          <w:highlight w:val="none"/>
          <w14:textFill>
            <w14:solidFill>
              <w14:schemeClr w14:val="tx1"/>
            </w14:solidFill>
          </w14:textFill>
        </w:rPr>
        <w:t>部分评分结果有异议的，供应商应当在结果公布后10分钟内提出；相关异议（如有）将由评标委员会作澄清；</w:t>
      </w:r>
    </w:p>
    <w:p w14:paraId="030E730D">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6.在系统上公开报价情况，供应商30分钟内在系统上完成报价确认。评标委员会对报价情况进行评审；</w:t>
      </w:r>
    </w:p>
    <w:p w14:paraId="2DB41015">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7.在系统上公布评审结果；</w:t>
      </w:r>
    </w:p>
    <w:p w14:paraId="2D5D4CC5">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8.评标委员会编写并签署评标报告，评标报告应当根据综合得分由高到低列明供应商排名情况，并推荐综合得分排名第一的供应商为中标候选人；</w:t>
      </w:r>
    </w:p>
    <w:p w14:paraId="4EEB9154">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9.采购代理机构公布最终评审结果并出具开标记录，由主持人、记录人、现场监督员当场签字确认；</w:t>
      </w:r>
    </w:p>
    <w:p w14:paraId="53368E2B">
      <w:pPr>
        <w:spacing w:line="360" w:lineRule="auto"/>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10.开标会议结束。</w:t>
      </w:r>
    </w:p>
    <w:p w14:paraId="1FC12980">
      <w:pPr>
        <w:pStyle w:val="61"/>
        <w:spacing w:line="360" w:lineRule="auto"/>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特别说明：如“政采云”系统对电子化开标及评审程序有调整的，按调整后的程序操作。</w:t>
      </w:r>
    </w:p>
    <w:p w14:paraId="3F32E707">
      <w:pPr>
        <w:pStyle w:val="3"/>
        <w:bidi w:val="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rPr>
        <w:t>六、评标</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80"/>
    </w:p>
    <w:p w14:paraId="1643C2A1">
      <w:pPr>
        <w:pStyle w:val="16"/>
        <w:snapToGrid w:val="0"/>
        <w:spacing w:line="360" w:lineRule="auto"/>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1.组建评标委员会</w:t>
      </w:r>
    </w:p>
    <w:p w14:paraId="1A7ACC10">
      <w:pPr>
        <w:pStyle w:val="16"/>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本项目评标委员会</w:t>
      </w:r>
      <w:r>
        <w:rPr>
          <w:rFonts w:hint="eastAsia" w:ascii="仿宋" w:hAnsi="仿宋" w:eastAsia="仿宋" w:cs="仿宋"/>
          <w:color w:val="000000" w:themeColor="text1"/>
          <w:highlight w:val="none"/>
          <w:lang w:eastAsia="zh-CN"/>
          <w14:textFill>
            <w14:solidFill>
              <w14:schemeClr w14:val="tx1"/>
            </w14:solidFill>
          </w14:textFill>
        </w:rPr>
        <w:t>共5人组成，其中采购人代表1名，其余4名专家从常山县政府采购评审专家库中随机抽取产生。</w:t>
      </w:r>
    </w:p>
    <w:p w14:paraId="77D01361">
      <w:pPr>
        <w:pStyle w:val="16"/>
        <w:snapToGrid w:val="0"/>
        <w:spacing w:line="440" w:lineRule="exact"/>
        <w:outlineLvl w:val="1"/>
        <w:rPr>
          <w:rFonts w:hint="eastAsia" w:ascii="仿宋" w:hAnsi="仿宋" w:eastAsia="仿宋" w:cs="仿宋"/>
          <w:b/>
          <w:color w:val="000000" w:themeColor="text1"/>
          <w:highlight w:val="none"/>
          <w14:textFill>
            <w14:solidFill>
              <w14:schemeClr w14:val="tx1"/>
            </w14:solidFill>
          </w14:textFill>
        </w:rPr>
      </w:pPr>
      <w:bookmarkStart w:id="81" w:name="_Toc262105510"/>
      <w:bookmarkStart w:id="82" w:name="_Toc249758721"/>
      <w:bookmarkStart w:id="83" w:name="_Toc249758871"/>
      <w:bookmarkStart w:id="84" w:name="_Toc410031821"/>
      <w:bookmarkStart w:id="85" w:name="_Toc262049425"/>
      <w:bookmarkStart w:id="86" w:name="_Toc262049421"/>
      <w:bookmarkStart w:id="87" w:name="_Toc221356954"/>
      <w:bookmarkStart w:id="88" w:name="_Toc262105506"/>
      <w:bookmarkStart w:id="89" w:name="_Toc249758715"/>
      <w:bookmarkStart w:id="90" w:name="_Toc410031819"/>
      <w:bookmarkStart w:id="91" w:name="_Toc249758867"/>
      <w:bookmarkStart w:id="92" w:name="_Toc221356890"/>
      <w:bookmarkStart w:id="93" w:name="_Toc246261268"/>
      <w:bookmarkStart w:id="94" w:name="_Toc239145357"/>
      <w:bookmarkStart w:id="95" w:name="_Toc223716001"/>
      <w:bookmarkStart w:id="96" w:name="_Toc221423622"/>
      <w:bookmarkStart w:id="97" w:name="_Toc245191317"/>
      <w:bookmarkStart w:id="98" w:name="_Toc241404205"/>
      <w:bookmarkStart w:id="99" w:name="_Toc222114882"/>
      <w:bookmarkStart w:id="100" w:name="_Toc245722284"/>
      <w:bookmarkStart w:id="101" w:name="_Toc221374629"/>
      <w:r>
        <w:rPr>
          <w:rFonts w:hint="eastAsia" w:ascii="仿宋" w:hAnsi="仿宋" w:eastAsia="仿宋" w:cs="仿宋"/>
          <w:b/>
          <w:color w:val="000000" w:themeColor="text1"/>
          <w:highlight w:val="none"/>
          <w14:textFill>
            <w14:solidFill>
              <w14:schemeClr w14:val="tx1"/>
            </w14:solidFill>
          </w14:textFill>
        </w:rPr>
        <w:t>2.评标的方式</w:t>
      </w:r>
    </w:p>
    <w:p w14:paraId="20F262EE">
      <w:pPr>
        <w:pStyle w:val="16"/>
        <w:snapToGrid w:val="0"/>
        <w:spacing w:line="440" w:lineRule="exact"/>
        <w:ind w:left="689" w:leftChars="228" w:hanging="21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本项目采用不公开方式评标，评标的依据为招标文件和投标文件。</w:t>
      </w:r>
    </w:p>
    <w:p w14:paraId="5F467F0E">
      <w:pPr>
        <w:pStyle w:val="16"/>
        <w:snapToGrid w:val="0"/>
        <w:spacing w:line="440" w:lineRule="exact"/>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3.评标程序</w:t>
      </w:r>
    </w:p>
    <w:p w14:paraId="1C9ACC08">
      <w:pPr>
        <w:snapToGrid w:val="0"/>
        <w:spacing w:line="440" w:lineRule="exact"/>
        <w:ind w:firstLine="413" w:firstLineChars="196"/>
        <w:outlineLvl w:val="2"/>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3.1形式审查</w:t>
      </w:r>
    </w:p>
    <w:p w14:paraId="5BE31F34">
      <w:pPr>
        <w:snapToGrid w:val="0"/>
        <w:spacing w:line="440" w:lineRule="exact"/>
        <w:ind w:firstLine="42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采购单位代表和代理机构工作人员协助评标委员会对投标人的投标文件的完整性、合法性等进行审查。</w:t>
      </w:r>
    </w:p>
    <w:p w14:paraId="3570E5D6">
      <w:pPr>
        <w:snapToGrid w:val="0"/>
        <w:spacing w:line="440" w:lineRule="exact"/>
        <w:ind w:firstLine="413" w:firstLineChars="196"/>
        <w:outlineLvl w:val="2"/>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3.2实质审查与比较</w:t>
      </w:r>
    </w:p>
    <w:p w14:paraId="36005CF3">
      <w:pPr>
        <w:snapToGrid w:val="0"/>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（1）评标委员会审查投标文件的实质性内容是否符合招标文件的实质性要求。</w:t>
      </w:r>
    </w:p>
    <w:p w14:paraId="4376E617">
      <w:pPr>
        <w:snapToGrid w:val="0"/>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（2）评标委员会根据投标人的投标文件进行审查、核对,如有疑问,对投标人进行在线询标,投标人要向评标委员会澄清有关问题,并最终以书面形式进行答复。</w:t>
      </w:r>
    </w:p>
    <w:p w14:paraId="64B21701">
      <w:pPr>
        <w:snapToGrid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投标人代表拒绝澄清或者未按规定时间提交澄清文件或者澄清的内容改变了投标文件的实质性内容的，评标委员会有权对该投标文件作出不利于投标人的评判。</w:t>
      </w:r>
    </w:p>
    <w:p w14:paraId="15B123E2">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（3）各投标人的技术分为所有评委的有效评分的算术平均数，资信分由评委依据评审依据和评审标准打分。</w:t>
      </w:r>
    </w:p>
    <w:p w14:paraId="48F38FD2">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14:paraId="29BEB8C4">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（5）评标委员会完成评标后,评委对各部分得分汇总,计算出本项目最终得分等。评标委员会按评标原则推荐中标候选人同时起草评标报告。</w:t>
      </w:r>
    </w:p>
    <w:p w14:paraId="20230F6C">
      <w:pPr>
        <w:snapToGrid w:val="0"/>
        <w:spacing w:line="360" w:lineRule="auto"/>
        <w:outlineLvl w:val="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4.澄清问题的形式</w:t>
      </w:r>
    </w:p>
    <w:p w14:paraId="46A992B8">
      <w:pPr>
        <w:snapToGrid w:val="0"/>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8D04A8A">
      <w:pPr>
        <w:bidi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bookmarkStart w:id="102" w:name="_Toc1678"/>
      <w:bookmarkStart w:id="103" w:name="_Toc12312"/>
      <w:r>
        <w:rPr>
          <w:rFonts w:hint="eastAsia" w:ascii="仿宋" w:hAnsi="仿宋" w:eastAsia="仿宋" w:cs="仿宋"/>
          <w:color w:val="000000" w:themeColor="text1"/>
          <w:szCs w:val="21"/>
          <w:highlight w:val="none"/>
          <w14:textFill>
            <w14:solidFill>
              <w14:schemeClr w14:val="tx1"/>
            </w14:solidFill>
          </w14:textFill>
        </w:rPr>
        <w:t>经澄清后，若偏差仍存在，且不可接受，投标人则被认为是“没有实质性响应招标文件要求”，其投标不进入下一步评审。</w:t>
      </w:r>
      <w:bookmarkEnd w:id="102"/>
      <w:bookmarkEnd w:id="103"/>
    </w:p>
    <w:p w14:paraId="1975CF00">
      <w:pPr>
        <w:pStyle w:val="16"/>
        <w:snapToGrid w:val="0"/>
        <w:spacing w:line="360" w:lineRule="auto"/>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5.错误修正</w:t>
      </w:r>
    </w:p>
    <w:p w14:paraId="21B6E871">
      <w:pPr>
        <w:pStyle w:val="16"/>
        <w:snapToGrid w:val="0"/>
        <w:spacing w:line="360" w:lineRule="auto"/>
        <w:ind w:left="689" w:leftChars="228" w:hanging="21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投标文件如果出现计算或表达上的错误，修正错误的原则如下：</w:t>
      </w:r>
    </w:p>
    <w:p w14:paraId="2275ABC1">
      <w:pPr>
        <w:pStyle w:val="16"/>
        <w:snapToGrid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（1）投标文件中开标一览表（报价表）内容与投标文件中相应内容不一致的，以开标一览表（报价表）为准；</w:t>
      </w:r>
    </w:p>
    <w:p w14:paraId="57A66E91">
      <w:pPr>
        <w:pStyle w:val="16"/>
        <w:snapToGrid w:val="0"/>
        <w:spacing w:line="44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（2）大写金额和小写金额不一致的，以大写金额为准；</w:t>
      </w:r>
    </w:p>
    <w:p w14:paraId="13CB7E65">
      <w:pPr>
        <w:pStyle w:val="16"/>
        <w:snapToGrid w:val="0"/>
        <w:spacing w:line="44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（3）单价金额小数点或者百分比有明显错位的，以开标一览表的总价为准，并修改单价；</w:t>
      </w:r>
    </w:p>
    <w:p w14:paraId="12D148A6">
      <w:pPr>
        <w:pStyle w:val="16"/>
        <w:snapToGrid w:val="0"/>
        <w:spacing w:line="44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（4）总价金额与按单价汇总金额不一致的，以单价金额计算结果为准。</w:t>
      </w:r>
    </w:p>
    <w:p w14:paraId="16A13378">
      <w:pPr>
        <w:pStyle w:val="16"/>
        <w:snapToGrid w:val="0"/>
        <w:spacing w:line="440" w:lineRule="exact"/>
        <w:ind w:firstLine="42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同时出现两种以上不一致的，按照前款规定的顺序修正。按上述修正错误的原则及方法调整或修正投标文件的投标报价应当采用书面形式，并加盖公章。投标人确认后产生约束力，投标人不确认的，其投标无效。</w:t>
      </w:r>
    </w:p>
    <w:p w14:paraId="5222A97B">
      <w:pPr>
        <w:pStyle w:val="16"/>
        <w:snapToGrid w:val="0"/>
        <w:spacing w:line="440" w:lineRule="exact"/>
        <w:ind w:firstLine="420"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政采云系统中填报的电子数据（例如政采云系统中填报的“开标一览表”内容）与电子加密响应文件相应内容不一致的，以电子加密响应文件内容为准，但相关法律法规或管理办法有明确规定的，从其规定。</w:t>
      </w:r>
    </w:p>
    <w:p w14:paraId="29109130">
      <w:pPr>
        <w:pStyle w:val="16"/>
        <w:tabs>
          <w:tab w:val="left" w:pos="630"/>
        </w:tabs>
        <w:snapToGrid w:val="0"/>
        <w:spacing w:line="440" w:lineRule="exact"/>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6.评标原则和评标办法</w:t>
      </w:r>
    </w:p>
    <w:p w14:paraId="49770064">
      <w:pPr>
        <w:pStyle w:val="16"/>
        <w:snapToGrid w:val="0"/>
        <w:spacing w:line="44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00599D3">
      <w:pPr>
        <w:pStyle w:val="16"/>
        <w:snapToGrid w:val="0"/>
        <w:spacing w:line="44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6.2评标办法。本项目评标办法是综合评分法，具体评标内容及评分标准等详见《第五章：评标原则及方法》。</w:t>
      </w:r>
    </w:p>
    <w:p w14:paraId="6C0821C1">
      <w:pPr>
        <w:pStyle w:val="16"/>
        <w:snapToGrid w:val="0"/>
        <w:spacing w:line="360" w:lineRule="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7.无效标条款</w:t>
      </w:r>
    </w:p>
    <w:p w14:paraId="16DB3891">
      <w:pPr>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7.1</w:t>
      </w:r>
      <w:r>
        <w:rPr>
          <w:rFonts w:hint="eastAsia" w:ascii="仿宋" w:hAnsi="仿宋" w:eastAsia="仿宋" w:cs="仿宋"/>
          <w:b/>
          <w:color w:val="000000" w:themeColor="text1"/>
          <w:szCs w:val="21"/>
          <w:highlight w:val="none"/>
          <w14:textFill>
            <w14:solidFill>
              <w14:schemeClr w14:val="tx1"/>
            </w14:solidFill>
          </w14:textFill>
        </w:rPr>
        <w:t>开标时，如出现以下情况之一的，则投标文件无效：</w:t>
      </w:r>
    </w:p>
    <w:p w14:paraId="53C57CA4">
      <w:pPr>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（1）投标文件未按招标文件要求签署、签章的；</w:t>
      </w:r>
    </w:p>
    <w:p w14:paraId="0FA89A2A">
      <w:pPr>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（2）不具备招标文件中规定的资格要求的；</w:t>
      </w:r>
    </w:p>
    <w:p w14:paraId="6AF87D53">
      <w:pPr>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（3）报价超过招标文件中规定的预算金额或者最高限价的；</w:t>
      </w:r>
    </w:p>
    <w:p w14:paraId="18C23767">
      <w:pPr>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（4）投标文件含有采购单位不能接受的附加条件的；</w:t>
      </w:r>
    </w:p>
    <w:p w14:paraId="3E311280">
      <w:pPr>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（5）法律、法规和招标文件规定的其他无效情形；</w:t>
      </w:r>
    </w:p>
    <w:p w14:paraId="45F487B0">
      <w:pPr>
        <w:snapToGrid w:val="0"/>
        <w:spacing w:line="360" w:lineRule="auto"/>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（6）投标文件明显不符合采购文件要求的或者与采购文件标注“▲”的条款发生实质性负偏离的。</w:t>
      </w:r>
    </w:p>
    <w:p w14:paraId="67C642FC">
      <w:pPr>
        <w:snapToGrid w:val="0"/>
        <w:spacing w:line="360" w:lineRule="auto"/>
        <w:ind w:firstLine="42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（7）响应文件解密失败的。</w:t>
      </w:r>
    </w:p>
    <w:p w14:paraId="74FE366E">
      <w:pPr>
        <w:snapToGrid w:val="0"/>
        <w:spacing w:line="44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7.2有下列情形之一的，视为投标人串通投标，其投标无效：</w:t>
      </w:r>
    </w:p>
    <w:p w14:paraId="71E5ECA4">
      <w:pPr>
        <w:snapToGrid w:val="0"/>
        <w:spacing w:line="44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（1）不同投标人的投标文件由同一单位或者个人编制；</w:t>
      </w:r>
    </w:p>
    <w:p w14:paraId="215E90B5">
      <w:pPr>
        <w:snapToGrid w:val="0"/>
        <w:spacing w:line="44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（2）不同投标人委托同一单位或者个人办理投标事宜；</w:t>
      </w:r>
    </w:p>
    <w:p w14:paraId="704511CF">
      <w:pPr>
        <w:snapToGrid w:val="0"/>
        <w:spacing w:line="44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（3）不同投标人的投标文件载明的项目管理成员或者联系人员为同一人；</w:t>
      </w:r>
    </w:p>
    <w:p w14:paraId="4B7F0C65">
      <w:pPr>
        <w:snapToGrid w:val="0"/>
        <w:spacing w:line="44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（4）不同投标人的投标文件异常一致或者投标报价呈规律性差异；</w:t>
      </w:r>
    </w:p>
    <w:p w14:paraId="0F1640A7">
      <w:pPr>
        <w:snapToGrid w:val="0"/>
        <w:spacing w:line="44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（5）不同投标人的投标文件相互混装；</w:t>
      </w:r>
    </w:p>
    <w:p w14:paraId="715A9FDC">
      <w:pPr>
        <w:snapToGrid w:val="0"/>
        <w:spacing w:line="44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7.3评标委员会认为投标人的报价明显低于其他通过符合性审查投标人的报价，有可能影响产品质量或者不能诚信履约的，应当要求其在评标现场合理的时间内在线提供书面说明，必要时提交相关证明材料；投标人不能证明其报价合理性的，评标委员会应当将其作为无效投标处理。</w:t>
      </w:r>
    </w:p>
    <w:p w14:paraId="68D966E6">
      <w:pPr>
        <w:pStyle w:val="47"/>
        <w:spacing w:line="44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8.废标的情形</w:t>
      </w:r>
    </w:p>
    <w:p w14:paraId="09767D7F">
      <w:pPr>
        <w:pStyle w:val="47"/>
        <w:spacing w:line="44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8.1 如出现以下情况之一的，则废标：</w:t>
      </w:r>
    </w:p>
    <w:p w14:paraId="772CAA35">
      <w:pPr>
        <w:pStyle w:val="47"/>
        <w:spacing w:line="440" w:lineRule="exact"/>
        <w:ind w:firstLine="421"/>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（1）投标截止时间后或评审期间，符合专业条件的供应商或者对招标文件作实质响应的投标人不足三家的；</w:t>
      </w:r>
    </w:p>
    <w:p w14:paraId="325B4545">
      <w:pPr>
        <w:pStyle w:val="47"/>
        <w:spacing w:line="440" w:lineRule="exact"/>
        <w:ind w:firstLine="421"/>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（2）出现影响采购公正的违法、违规行为的；</w:t>
      </w:r>
    </w:p>
    <w:p w14:paraId="2F35BE2A">
      <w:pPr>
        <w:pStyle w:val="47"/>
        <w:spacing w:line="440" w:lineRule="exact"/>
        <w:ind w:firstLine="421"/>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（3）投标人的报价均超过了采购预算，采购人不能支付的；</w:t>
      </w:r>
    </w:p>
    <w:p w14:paraId="4CAB94F1">
      <w:pPr>
        <w:pStyle w:val="47"/>
        <w:spacing w:line="440" w:lineRule="exact"/>
        <w:ind w:firstLine="421"/>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（4）因重大变故，采购任务取消的。</w:t>
      </w:r>
    </w:p>
    <w:p w14:paraId="08519801">
      <w:pPr>
        <w:pStyle w:val="47"/>
        <w:spacing w:line="44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8.2 废标后，废标理由将在原招标公告发布媒体上公告通知所有投标人。</w:t>
      </w:r>
    </w:p>
    <w:p w14:paraId="64CD2A94">
      <w:pPr>
        <w:pStyle w:val="16"/>
        <w:snapToGrid w:val="0"/>
        <w:spacing w:line="440" w:lineRule="exact"/>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9.评标过程的监控</w:t>
      </w:r>
    </w:p>
    <w:p w14:paraId="462AF2C6">
      <w:pPr>
        <w:pStyle w:val="16"/>
        <w:snapToGrid w:val="0"/>
        <w:spacing w:line="44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46B43895">
      <w:pPr>
        <w:pStyle w:val="3"/>
        <w:bidi w:val="0"/>
        <w:jc w:val="center"/>
        <w:rPr>
          <w:rFonts w:hint="eastAsia" w:ascii="仿宋" w:hAnsi="仿宋" w:eastAsia="仿宋" w:cs="仿宋"/>
          <w:color w:val="000000" w:themeColor="text1"/>
          <w:highlight w:val="none"/>
          <w14:textFill>
            <w14:solidFill>
              <w14:schemeClr w14:val="tx1"/>
            </w14:solidFill>
          </w14:textFill>
        </w:rPr>
      </w:pPr>
      <w:bookmarkStart w:id="104" w:name="_Toc21033"/>
      <w:r>
        <w:rPr>
          <w:rFonts w:hint="eastAsia" w:ascii="仿宋" w:hAnsi="仿宋" w:eastAsia="仿宋" w:cs="仿宋"/>
        </w:rPr>
        <w:t>七、定标</w:t>
      </w:r>
      <w:bookmarkEnd w:id="104"/>
    </w:p>
    <w:p w14:paraId="20C7F91B">
      <w:pPr>
        <w:pStyle w:val="16"/>
        <w:snapToGrid w:val="0"/>
        <w:spacing w:line="440" w:lineRule="exact"/>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1.确定中标人</w:t>
      </w:r>
    </w:p>
    <w:p w14:paraId="46E85F04">
      <w:pPr>
        <w:snapToGrid w:val="0"/>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1.1采购代理机构在评标结束后2个工作日内将评标报告送采购人确认。</w:t>
      </w:r>
    </w:p>
    <w:p w14:paraId="142F5C12">
      <w:pPr>
        <w:snapToGrid w:val="0"/>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1.2投标人对评标结果无异议的，采购人应在收到评标报告后5个工作日内对评标结果进行确认。如有投标人对评标结果提出质疑的，采购单位可在质疑处理完毕后确定中标人。</w:t>
      </w:r>
    </w:p>
    <w:p w14:paraId="2DCF6D10">
      <w:pPr>
        <w:snapToGrid w:val="0"/>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1.3采购人或采购代理机构应当自中标人确定之日起2个工作日内，在</w:t>
      </w:r>
      <w:r>
        <w:rPr>
          <w:rFonts w:hint="eastAsia" w:ascii="仿宋" w:hAnsi="仿宋" w:eastAsia="仿宋" w:cs="仿宋"/>
          <w:color w:val="000000" w:themeColor="text1"/>
          <w:spacing w:val="-4"/>
          <w:highlight w:val="none"/>
          <w14:textFill>
            <w14:solidFill>
              <w14:schemeClr w14:val="tx1"/>
            </w14:solidFill>
          </w14:textFill>
        </w:rPr>
        <w:t>常山县</w:t>
      </w:r>
      <w:r>
        <w:rPr>
          <w:rFonts w:hint="eastAsia" w:ascii="仿宋" w:hAnsi="仿宋" w:eastAsia="仿宋" w:cs="仿宋"/>
          <w:color w:val="000000" w:themeColor="text1"/>
          <w:spacing w:val="-4"/>
          <w:highlight w:val="none"/>
          <w:lang w:eastAsia="zh-CN"/>
          <w14:textFill>
            <w14:solidFill>
              <w14:schemeClr w14:val="tx1"/>
            </w14:solidFill>
          </w14:textFill>
        </w:rPr>
        <w:t>政府</w:t>
      </w:r>
      <w:r>
        <w:rPr>
          <w:rFonts w:hint="eastAsia" w:ascii="仿宋" w:hAnsi="仿宋" w:eastAsia="仿宋" w:cs="仿宋"/>
          <w:color w:val="000000" w:themeColor="text1"/>
          <w:spacing w:val="-4"/>
          <w:highlight w:val="none"/>
          <w14:textFill>
            <w14:solidFill>
              <w14:schemeClr w14:val="tx1"/>
            </w14:solidFill>
          </w14:textFill>
        </w:rPr>
        <w:t>网、浙江政府采购网上</w:t>
      </w:r>
      <w:r>
        <w:rPr>
          <w:rFonts w:hint="eastAsia" w:ascii="仿宋" w:hAnsi="仿宋" w:eastAsia="仿宋" w:cs="仿宋"/>
          <w:color w:val="000000" w:themeColor="text1"/>
          <w:szCs w:val="21"/>
          <w:highlight w:val="none"/>
          <w14:textFill>
            <w14:solidFill>
              <w14:schemeClr w14:val="tx1"/>
            </w14:solidFill>
          </w14:textFill>
        </w:rPr>
        <w:t>公告中标结果，同时采购人或采购代理机构应当向中标人以书面形式发出《中标通知书》。</w:t>
      </w:r>
    </w:p>
    <w:p w14:paraId="61A3CD2E">
      <w:pPr>
        <w:pStyle w:val="3"/>
        <w:bidi w:val="0"/>
        <w:jc w:val="center"/>
        <w:rPr>
          <w:rFonts w:hint="eastAsia" w:ascii="仿宋" w:hAnsi="仿宋" w:eastAsia="仿宋" w:cs="仿宋"/>
        </w:rPr>
      </w:pPr>
      <w:bookmarkStart w:id="105" w:name="_Toc18706"/>
      <w:r>
        <w:rPr>
          <w:rFonts w:hint="eastAsia" w:ascii="仿宋" w:hAnsi="仿宋" w:eastAsia="仿宋" w:cs="仿宋"/>
        </w:rPr>
        <w:t>八、合同授予</w:t>
      </w:r>
      <w:bookmarkEnd w:id="105"/>
      <w:r>
        <w:rPr>
          <w:rFonts w:hint="eastAsia" w:ascii="仿宋" w:hAnsi="仿宋" w:eastAsia="仿宋" w:cs="仿宋"/>
        </w:rPr>
        <w:t>及其他</w:t>
      </w:r>
    </w:p>
    <w:p w14:paraId="5463128A">
      <w:pPr>
        <w:snapToGrid w:val="0"/>
        <w:spacing w:line="440" w:lineRule="exact"/>
        <w:outlineLvl w:val="1"/>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1.签订合同</w:t>
      </w:r>
    </w:p>
    <w:p w14:paraId="6267F8A1">
      <w:pPr>
        <w:snapToGrid w:val="0"/>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06" w:name="OLE_LINK1"/>
      <w:r>
        <w:rPr>
          <w:rFonts w:hint="eastAsia" w:ascii="仿宋" w:hAnsi="仿宋" w:eastAsia="仿宋" w:cs="仿宋"/>
          <w:color w:val="000000" w:themeColor="text1"/>
          <w:szCs w:val="21"/>
          <w:highlight w:val="none"/>
          <w14:textFill>
            <w14:solidFill>
              <w14:schemeClr w14:val="tx1"/>
            </w14:solidFill>
          </w14:textFill>
        </w:rPr>
        <w:t>1.1中标通知书于中标公告发布之日签发，中标人应于中标结果公告发布之日起两个工作日内，凭法定代表人（负责人）授权委托书及被授权人身份证原件至浙江中正工程项目管理有限公司领取中标通知书，逾期领取的后果自负。中标人与采购单位须在中标结果公告发出之日起三十天内签订合同。《中标通知书》一经发出即发生法律效力。采购单位无义务向未中标人解释落选原因。《中标通知书》作为签订合同的重要依据，对采购单位和中标人具有法律效力。采购单位改变中标结果或者中标人放弃中标项目的都应承担法律责任。</w:t>
      </w:r>
    </w:p>
    <w:bookmarkEnd w:id="106"/>
    <w:p w14:paraId="118E6615">
      <w:pPr>
        <w:snapToGrid w:val="0"/>
        <w:spacing w:line="36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 中标人拖延、拒签合同的,应当按照本项目采购预算价2%的标准承担因此给采购单位造成的损失的赔偿责任及相应的法律责任。</w:t>
      </w:r>
    </w:p>
    <w:p w14:paraId="6E6FFC51">
      <w:pPr>
        <w:pStyle w:val="16"/>
        <w:snapToGrid w:val="0"/>
        <w:spacing w:line="360" w:lineRule="exact"/>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2.履约保证金</w:t>
      </w:r>
    </w:p>
    <w:p w14:paraId="17CAFBC3">
      <w:pPr>
        <w:pStyle w:val="16"/>
        <w:snapToGrid w:val="0"/>
        <w:spacing w:line="36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w:t>
      </w:r>
      <w:r>
        <w:rPr>
          <w:rFonts w:hint="eastAsia" w:ascii="仿宋" w:hAnsi="仿宋" w:eastAsia="仿宋" w:cs="仿宋"/>
          <w:b w:val="0"/>
          <w:bCs w:val="0"/>
          <w:color w:val="000000" w:themeColor="text1"/>
          <w:szCs w:val="21"/>
          <w:highlight w:val="none"/>
          <w14:textFill>
            <w14:solidFill>
              <w14:schemeClr w14:val="tx1"/>
            </w14:solidFill>
          </w14:textFill>
        </w:rPr>
        <w:t>合同签订后</w:t>
      </w:r>
      <w:r>
        <w:rPr>
          <w:rFonts w:hint="eastAsia" w:ascii="仿宋" w:hAnsi="仿宋" w:eastAsia="仿宋" w:cs="仿宋"/>
          <w:b w:val="0"/>
          <w:bCs w:val="0"/>
          <w:color w:val="000000" w:themeColor="text1"/>
          <w:szCs w:val="21"/>
          <w:highlight w:val="none"/>
          <w:lang w:eastAsia="zh-CN"/>
          <w14:textFill>
            <w14:solidFill>
              <w14:schemeClr w14:val="tx1"/>
            </w14:solidFill>
          </w14:textFill>
        </w:rPr>
        <w:t>5</w:t>
      </w:r>
      <w:r>
        <w:rPr>
          <w:rFonts w:hint="eastAsia" w:ascii="仿宋" w:hAnsi="仿宋" w:eastAsia="仿宋" w:cs="仿宋"/>
          <w:b w:val="0"/>
          <w:bCs w:val="0"/>
          <w:color w:val="000000" w:themeColor="text1"/>
          <w:szCs w:val="21"/>
          <w:highlight w:val="none"/>
          <w14:textFill>
            <w14:solidFill>
              <w14:schemeClr w14:val="tx1"/>
            </w14:solidFill>
          </w14:textFill>
        </w:rPr>
        <w:t>个工作日内</w:t>
      </w:r>
      <w:r>
        <w:rPr>
          <w:rFonts w:hint="eastAsia" w:ascii="仿宋" w:hAnsi="仿宋" w:eastAsia="仿宋" w:cs="仿宋"/>
          <w:color w:val="000000" w:themeColor="text1"/>
          <w:highlight w:val="none"/>
          <w14:textFill>
            <w14:solidFill>
              <w14:schemeClr w14:val="tx1"/>
            </w14:solidFill>
          </w14:textFill>
        </w:rPr>
        <w:t>，中标人应按采购代理机构根据招标文件规定的履约保证金的金额，向采购单位交纳履约保证金。</w:t>
      </w:r>
    </w:p>
    <w:p w14:paraId="3337F214">
      <w:pPr>
        <w:pStyle w:val="16"/>
        <w:snapToGrid w:val="0"/>
        <w:spacing w:line="36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2.2签订合同后，如中标人不按双方合同约定履约，则没收其全部履约保证金，履约保证金不足以赔偿损失的，按实际损失赔偿。</w:t>
      </w:r>
    </w:p>
    <w:p w14:paraId="7B6A6070">
      <w:pPr>
        <w:pStyle w:val="16"/>
        <w:snapToGrid w:val="0"/>
        <w:spacing w:line="360" w:lineRule="exact"/>
        <w:outlineLvl w:val="1"/>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3.解释权</w:t>
      </w:r>
    </w:p>
    <w:p w14:paraId="71ABDC2D">
      <w:pPr>
        <w:autoSpaceDE w:val="0"/>
        <w:autoSpaceDN w:val="0"/>
        <w:adjustRightInd w:val="0"/>
        <w:spacing w:line="360" w:lineRule="exact"/>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凡涉及本次采购文件的解释权均属于采购人和采购代理机构。</w:t>
      </w:r>
    </w:p>
    <w:p w14:paraId="474BC080">
      <w:pPr>
        <w:pStyle w:val="30"/>
        <w:rPr>
          <w:rFonts w:hint="eastAsia" w:ascii="仿宋" w:hAnsi="仿宋" w:eastAsia="仿宋" w:cs="仿宋"/>
          <w:color w:val="000000" w:themeColor="text1"/>
          <w:sz w:val="32"/>
          <w:szCs w:val="32"/>
          <w:highlight w:val="none"/>
          <w14:textFill>
            <w14:solidFill>
              <w14:schemeClr w14:val="tx1"/>
            </w14:solidFill>
          </w14:textFill>
        </w:rPr>
      </w:pPr>
      <w:bookmarkStart w:id="107" w:name="_Toc5518"/>
    </w:p>
    <w:p w14:paraId="005E1CA0">
      <w:pPr>
        <w:pStyle w:val="18"/>
        <w:rPr>
          <w:rFonts w:hint="eastAsia" w:ascii="仿宋" w:hAnsi="仿宋" w:eastAsia="仿宋" w:cs="仿宋"/>
          <w:color w:val="000000" w:themeColor="text1"/>
          <w:sz w:val="32"/>
          <w:szCs w:val="32"/>
          <w:highlight w:val="none"/>
          <w14:textFill>
            <w14:solidFill>
              <w14:schemeClr w14:val="tx1"/>
            </w14:solidFill>
          </w14:textFill>
        </w:rPr>
      </w:pPr>
    </w:p>
    <w:p w14:paraId="1FD2A336">
      <w:pPr>
        <w:pStyle w:val="18"/>
        <w:rPr>
          <w:rFonts w:hint="eastAsia" w:ascii="仿宋" w:hAnsi="仿宋" w:eastAsia="仿宋" w:cs="仿宋"/>
          <w:color w:val="000000" w:themeColor="text1"/>
          <w:sz w:val="32"/>
          <w:szCs w:val="32"/>
          <w:highlight w:val="none"/>
          <w14:textFill>
            <w14:solidFill>
              <w14:schemeClr w14:val="tx1"/>
            </w14:solidFill>
          </w14:textFill>
        </w:rPr>
      </w:pPr>
    </w:p>
    <w:p w14:paraId="40DB5BD8">
      <w:pPr>
        <w:pStyle w:val="18"/>
        <w:rPr>
          <w:rFonts w:hint="eastAsia" w:ascii="仿宋" w:hAnsi="仿宋" w:eastAsia="仿宋" w:cs="仿宋"/>
          <w:color w:val="000000" w:themeColor="text1"/>
          <w:sz w:val="32"/>
          <w:szCs w:val="32"/>
          <w:highlight w:val="none"/>
          <w14:textFill>
            <w14:solidFill>
              <w14:schemeClr w14:val="tx1"/>
            </w14:solidFill>
          </w14:textFill>
        </w:rPr>
      </w:pPr>
    </w:p>
    <w:p w14:paraId="30193BED">
      <w:pPr>
        <w:pStyle w:val="18"/>
        <w:ind w:left="0" w:leftChars="0" w:firstLine="0" w:firstLineChars="0"/>
        <w:rPr>
          <w:rFonts w:hint="eastAsia" w:ascii="仿宋" w:hAnsi="仿宋" w:eastAsia="仿宋" w:cs="仿宋"/>
          <w:color w:val="000000" w:themeColor="text1"/>
          <w:sz w:val="32"/>
          <w:szCs w:val="32"/>
          <w:highlight w:val="none"/>
          <w14:textFill>
            <w14:solidFill>
              <w14:schemeClr w14:val="tx1"/>
            </w14:solidFill>
          </w14:textFill>
        </w:rPr>
      </w:pPr>
    </w:p>
    <w:p w14:paraId="5E86BFC9">
      <w:pPr>
        <w:pStyle w:val="18"/>
        <w:ind w:left="0" w:leftChars="0" w:firstLine="0" w:firstLineChars="0"/>
        <w:rPr>
          <w:rFonts w:hint="eastAsia" w:ascii="仿宋" w:hAnsi="仿宋" w:eastAsia="仿宋" w:cs="仿宋"/>
          <w:color w:val="000000" w:themeColor="text1"/>
          <w:sz w:val="32"/>
          <w:szCs w:val="32"/>
          <w:highlight w:val="none"/>
          <w14:textFill>
            <w14:solidFill>
              <w14:schemeClr w14:val="tx1"/>
            </w14:solidFill>
          </w14:textFill>
        </w:rPr>
      </w:pPr>
    </w:p>
    <w:p w14:paraId="6BCEC9D0">
      <w:pPr>
        <w:pStyle w:val="2"/>
        <w:jc w:val="center"/>
        <w:rPr>
          <w:rFonts w:hint="eastAsia" w:ascii="仿宋" w:hAnsi="仿宋" w:eastAsia="仿宋" w:cs="仿宋"/>
          <w:color w:val="000000" w:themeColor="text1"/>
          <w:sz w:val="32"/>
          <w:szCs w:val="32"/>
          <w:highlight w:val="none"/>
          <w14:textFill>
            <w14:solidFill>
              <w14:schemeClr w14:val="tx1"/>
            </w14:solidFill>
          </w14:textFill>
        </w:rPr>
      </w:pPr>
      <w:bookmarkStart w:id="108" w:name="_Toc7193"/>
      <w:r>
        <w:rPr>
          <w:rFonts w:hint="eastAsia" w:ascii="仿宋" w:hAnsi="仿宋" w:eastAsia="仿宋" w:cs="仿宋"/>
          <w:color w:val="000000" w:themeColor="text1"/>
          <w:sz w:val="32"/>
          <w:szCs w:val="32"/>
          <w:highlight w:val="none"/>
          <w14:textFill>
            <w14:solidFill>
              <w14:schemeClr w14:val="tx1"/>
            </w14:solidFill>
          </w14:textFill>
        </w:rPr>
        <w:t xml:space="preserve">第三章  </w:t>
      </w:r>
      <w:bookmarkEnd w:id="81"/>
      <w:bookmarkEnd w:id="82"/>
      <w:bookmarkEnd w:id="83"/>
      <w:bookmarkEnd w:id="84"/>
      <w:bookmarkEnd w:id="85"/>
      <w:bookmarkEnd w:id="107"/>
      <w:bookmarkStart w:id="109" w:name="bookmark317"/>
      <w:bookmarkEnd w:id="109"/>
      <w:bookmarkStart w:id="110" w:name="_Toc22314"/>
      <w:bookmarkStart w:id="111" w:name="_Toc8968"/>
      <w:r>
        <w:rPr>
          <w:rFonts w:hint="eastAsia" w:ascii="仿宋" w:hAnsi="仿宋" w:eastAsia="仿宋" w:cs="仿宋"/>
          <w:color w:val="000000" w:themeColor="text1"/>
          <w:sz w:val="32"/>
          <w:szCs w:val="32"/>
          <w:highlight w:val="none"/>
          <w14:textFill>
            <w14:solidFill>
              <w14:schemeClr w14:val="tx1"/>
            </w14:solidFill>
          </w14:textFill>
        </w:rPr>
        <w:t>招标内容及要求</w:t>
      </w:r>
      <w:bookmarkEnd w:id="108"/>
      <w:bookmarkEnd w:id="110"/>
    </w:p>
    <w:bookmarkEnd w:id="111"/>
    <w:p w14:paraId="29C569D1">
      <w:pPr>
        <w:keepNext w:val="0"/>
        <w:keepLines w:val="0"/>
        <w:pageBreakBefore w:val="0"/>
        <w:widowControl w:val="0"/>
        <w:wordWrap/>
        <w:topLinePunct w:val="0"/>
        <w:autoSpaceDE/>
        <w:autoSpaceDN/>
        <w:bidi w:val="0"/>
        <w:spacing w:line="360" w:lineRule="auto"/>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一、项目概况</w:t>
      </w:r>
    </w:p>
    <w:p w14:paraId="4BBE4DCB">
      <w:pPr>
        <w:bidi w:val="0"/>
        <w:spacing w:line="360" w:lineRule="auto"/>
        <w:ind w:firstLine="42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协助进行相关化解社会矛盾的人民调解、工商消费调解、矛盾纠纷对象信息采集等工作。纳入人民调解程序的案件，无论调解是否成功，都需记录在案，调解成功的，案件按照要求完成归档工作，调解不成功的，应当详细记录口头通知情况，并引导当事人通过合法途径解决纠纷。办公地点涵盖常山县人民法院本部（含社会治理中心）、</w:t>
      </w:r>
      <w:r>
        <w:rPr>
          <w:rFonts w:hint="eastAsia" w:ascii="仿宋" w:hAnsi="仿宋" w:eastAsia="仿宋" w:cs="仿宋"/>
          <w:color w:val="000000" w:themeColor="text1"/>
          <w:highlight w:val="none"/>
          <w:lang w:val="en-US" w:eastAsia="zh-CN"/>
          <w14:textFill>
            <w14:solidFill>
              <w14:schemeClr w14:val="tx1"/>
            </w14:solidFill>
          </w14:textFill>
        </w:rPr>
        <w:t>芳村法庭、红旗岗法庭和招贤法庭，</w:t>
      </w:r>
      <w:r>
        <w:rPr>
          <w:rFonts w:hint="eastAsia" w:ascii="仿宋" w:hAnsi="仿宋" w:eastAsia="仿宋" w:cs="仿宋"/>
          <w:color w:val="000000" w:themeColor="text1"/>
          <w:lang w:val="en-US" w:eastAsia="zh-CN"/>
          <w14:textFill>
            <w14:solidFill>
              <w14:schemeClr w14:val="tx1"/>
            </w14:solidFill>
          </w14:textFill>
        </w:rPr>
        <w:t>调解过程须有调解记录。</w:t>
      </w:r>
    </w:p>
    <w:p w14:paraId="1478DC2A">
      <w:pPr>
        <w:keepNext w:val="0"/>
        <w:keepLines w:val="0"/>
        <w:pageBreakBefore w:val="0"/>
        <w:numPr>
          <w:ilvl w:val="0"/>
          <w:numId w:val="0"/>
        </w:numPr>
        <w:kinsoku/>
        <w:wordWrap/>
        <w:overflowPunct/>
        <w:topLinePunct w:val="0"/>
        <w:autoSpaceDE/>
        <w:autoSpaceDN/>
        <w:bidi w:val="0"/>
        <w:adjustRightInd/>
        <w:spacing w:line="360" w:lineRule="auto"/>
        <w:ind w:leftChars="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二</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lang w:val="en-US" w:eastAsia="zh-CN"/>
          <w14:textFill>
            <w14:solidFill>
              <w14:schemeClr w14:val="tx1"/>
            </w14:solidFill>
          </w14:textFill>
        </w:rPr>
        <w:t>开展诉前调解工作</w:t>
      </w:r>
    </w:p>
    <w:p w14:paraId="0E72DF26">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420" w:firstLineChars="200"/>
        <w:rPr>
          <w:rFonts w:hint="eastAsia" w:ascii="仿宋" w:hAnsi="仿宋" w:eastAsia="仿宋" w:cs="仿宋"/>
          <w:b w:val="0"/>
          <w:bCs/>
          <w:color w:val="000000" w:themeColor="text1"/>
          <w:szCs w:val="21"/>
          <w:highlight w:val="yellow"/>
          <w:lang w:val="en-US" w:eastAsia="zh-CN"/>
          <w14:textFill>
            <w14:solidFill>
              <w14:schemeClr w14:val="tx1"/>
            </w14:solidFill>
          </w14:textFill>
        </w:rPr>
      </w:pPr>
      <w:r>
        <w:rPr>
          <w:rFonts w:hint="eastAsia" w:ascii="仿宋" w:hAnsi="仿宋" w:eastAsia="仿宋" w:cs="仿宋"/>
          <w:b w:val="0"/>
          <w:bCs/>
          <w:color w:val="000000" w:themeColor="text1"/>
          <w:szCs w:val="21"/>
          <w:highlight w:val="none"/>
          <w:lang w:val="en-US" w:eastAsia="zh-CN"/>
          <w14:textFill>
            <w14:solidFill>
              <w14:schemeClr w14:val="tx1"/>
            </w14:solidFill>
          </w14:textFill>
        </w:rPr>
        <w:t>1.开展矛盾纠纷预登记、受理、调解工作，1个月内调解结案，特殊情况下可以延期1个月。完成包括房产物业、交通事故、损害赔偿、经济合同、消费等纠纷人民调解工作。</w:t>
      </w:r>
    </w:p>
    <w:p w14:paraId="5E152580">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14:textFill>
            <w14:solidFill>
              <w14:schemeClr w14:val="tx1"/>
            </w14:solidFill>
          </w14:textFill>
        </w:rPr>
        <w:t>对经调解达成协议的案件，还要督促当事人及时履行协议内容、正确引导当事人进行司法确认，实现矛盾纠纷案结事了；对调解未成功案件，应当出具结案报告，载明调解未成的原因、案件争议焦点、当事人交换证据情况、无争议事实记载和导致其他当事人诉讼成本增加的行为以及其他需要向法院提示的情况等内容，对涉及专业性问题可以在结案报告中提出明确意见；引导当事人填写并提交送达地址确认书</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与法官对接完成副本传票等文书送达；人民法院指派法官指导、监督调解工作，促进调解组织规范调解行为，提升调解质量。</w:t>
      </w:r>
    </w:p>
    <w:p w14:paraId="10E28078">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开展法治宣传工作，在调解工作中进行相关法律法规政策宣传。</w:t>
      </w:r>
    </w:p>
    <w:p w14:paraId="22A0727C">
      <w:pPr>
        <w:spacing w:line="360" w:lineRule="auto"/>
        <w:ind w:firstLine="42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开展业务培训工作，建立全年、半年、季度、月度等不同形式调解员业务培训制度，加强队伍建设、业务建设、规范化建设等。</w:t>
      </w:r>
    </w:p>
    <w:p w14:paraId="66644B24">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依据调解相关法定程序开展工作。调解纠纷要符合流程，调解过程、当事人信息均不得公开，调查、调解记录条理清明，无违反规定条款；调解协议书制作规范，无漏项、协议不清晰、条理不明等违反规定的事项。</w:t>
      </w:r>
    </w:p>
    <w:p w14:paraId="097A1904">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开展数据归集案卷归档工作，完成所有调解失败、调解成功等各类纠纷信息的信息化平台录入、跟踪、结案、回访等相关工作。</w:t>
      </w:r>
    </w:p>
    <w:p w14:paraId="2A75A443">
      <w:pPr>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提供标准化调解服务，确保调解服务人员政治立场坚定、为人正派、办事公正、熟悉群众，能热心矛盾纠纷化解工作。</w:t>
      </w:r>
    </w:p>
    <w:p w14:paraId="39E8DFF8">
      <w:pPr>
        <w:spacing w:line="360" w:lineRule="auto"/>
        <w:ind w:firstLine="422"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提供调解相关服务，撰写典型案例、定期维护调解信息化系统、撰写工作总结、开展公益活动等。</w:t>
      </w:r>
    </w:p>
    <w:p w14:paraId="2080D98F">
      <w:pPr>
        <w:pStyle w:val="30"/>
        <w:spacing w:line="360" w:lineRule="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9.开展其他相关工作，开展其他交办的相关工作。</w:t>
      </w:r>
    </w:p>
    <w:p w14:paraId="176A917C">
      <w:pPr>
        <w:keepNext w:val="0"/>
        <w:keepLines w:val="0"/>
        <w:pageBreakBefore w:val="0"/>
        <w:numPr>
          <w:ilvl w:val="0"/>
          <w:numId w:val="0"/>
        </w:numPr>
        <w:kinsoku/>
        <w:wordWrap/>
        <w:overflowPunct/>
        <w:topLinePunct w:val="0"/>
        <w:autoSpaceDE/>
        <w:autoSpaceDN/>
        <w:bidi w:val="0"/>
        <w:adjustRightInd/>
        <w:snapToGrid w:val="0"/>
        <w:spacing w:line="360" w:lineRule="auto"/>
        <w:ind w:leftChars="0"/>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t>三、调解人员要求</w:t>
      </w:r>
    </w:p>
    <w:p w14:paraId="57E874B3">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根据近三年调解案件的工作量计算，本项目拟派人员数量应不少于22名；从事人民调解工作的调解员，应满足以下条件：</w:t>
      </w:r>
    </w:p>
    <w:p w14:paraId="6F269908">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1.为人正派、办事公正、熟悉群众，能热心调解工作，具有一定法律、政策水平；具有一定日常办公文档编辑工作基础；开展现场调解应规范着装，佩戴工作证；</w:t>
      </w:r>
    </w:p>
    <w:p w14:paraId="252E3760">
      <w:pPr>
        <w:spacing w:line="360" w:lineRule="auto"/>
        <w:ind w:firstLine="420" w:firstLineChars="200"/>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2.熟悉当地（行业、系统）情况，有调解社会矛盾纠纷的经验。</w:t>
      </w:r>
    </w:p>
    <w:p w14:paraId="543CF66B">
      <w:pPr>
        <w:keepNext w:val="0"/>
        <w:keepLines w:val="0"/>
        <w:pageBreakBefore w:val="0"/>
        <w:numPr>
          <w:ilvl w:val="0"/>
          <w:numId w:val="0"/>
        </w:numPr>
        <w:kinsoku/>
        <w:wordWrap/>
        <w:overflowPunct/>
        <w:topLinePunct w:val="0"/>
        <w:autoSpaceDE/>
        <w:autoSpaceDN/>
        <w:bidi w:val="0"/>
        <w:adjustRightInd/>
        <w:snapToGrid w:val="0"/>
        <w:spacing w:line="360" w:lineRule="auto"/>
        <w:ind w:leftChars="0"/>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t>四、工作要求</w:t>
      </w:r>
    </w:p>
    <w:p w14:paraId="1DA02230">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★1.根据项目要求，开展调解员管理、职业培训等工作。由于调解服务事项特殊性，调解员需通过采购单位的培训和考核，考核通过的调解员方可上岗，如更换调解员需得到采购单位的同意。</w:t>
      </w:r>
    </w:p>
    <w:p w14:paraId="407DF3D8">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2.按照法律法规，并结合实际，制定内部管理规章制度。</w:t>
      </w:r>
    </w:p>
    <w:p w14:paraId="56E0B5EF">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3.遵守社会组织管理法规和合同规定的要求，确保完成服务目标，并承担相应责任，自觉接受采购人的检查监督。</w:t>
      </w:r>
    </w:p>
    <w:p w14:paraId="5BC95535">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4.在合同终止后向采购人移交全部提供使用相关财物、管理档案及有关工作服务对象的所有资料。</w:t>
      </w:r>
    </w:p>
    <w:p w14:paraId="1C742DB0">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5.接受采购人的监督、年度评估、重大事项的调查和纠纷处理。</w:t>
      </w:r>
    </w:p>
    <w:p w14:paraId="3D3C0C34">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6.落实考评小组在考核评估中提出的问题和建议，考核评估内容中标后由采购单位提供。</w:t>
      </w:r>
    </w:p>
    <w:p w14:paraId="2B863F60">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7.应在约定的服务区域内开展服务，认真完成服务项目内容。若因实际需要而修正服务内容的，需与采购人协商，并获审核批准后方可实施。</w:t>
      </w:r>
    </w:p>
    <w:p w14:paraId="05E1E428">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★8、不得泄露在工作中获悉的涉及工作服务对象个人隐私、涉及国家秘密等的相关信息。</w:t>
      </w:r>
    </w:p>
    <w:p w14:paraId="231A006C">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9、加强自身建设，完善管理机制，提升专业化服务水平。</w:t>
      </w:r>
    </w:p>
    <w:p w14:paraId="2B7C083B">
      <w:pPr>
        <w:spacing w:line="360" w:lineRule="auto"/>
        <w:ind w:firstLine="420" w:firstLineChars="200"/>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10、政策规定中标人承担的其他责任。</w:t>
      </w:r>
    </w:p>
    <w:p w14:paraId="43A06AFF">
      <w:pPr>
        <w:keepNext w:val="0"/>
        <w:keepLines w:val="0"/>
        <w:pageBreakBefore w:val="0"/>
        <w:numPr>
          <w:ilvl w:val="0"/>
          <w:numId w:val="0"/>
        </w:numPr>
        <w:kinsoku/>
        <w:wordWrap/>
        <w:overflowPunct/>
        <w:topLinePunct w:val="0"/>
        <w:autoSpaceDE/>
        <w:autoSpaceDN/>
        <w:bidi w:val="0"/>
        <w:adjustRightInd/>
        <w:snapToGrid w:val="0"/>
        <w:spacing w:line="360" w:lineRule="auto"/>
        <w:ind w:leftChars="0"/>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t>五、报价说明、结算方式及服务期限</w:t>
      </w:r>
    </w:p>
    <w:p w14:paraId="10B7051B">
      <w:pPr>
        <w:tabs>
          <w:tab w:val="left" w:pos="0"/>
        </w:tabs>
        <w:spacing w:line="360" w:lineRule="auto"/>
        <w:ind w:firstLine="480"/>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1、报价说明</w:t>
      </w:r>
    </w:p>
    <w:p w14:paraId="4FFD18BC">
      <w:pPr>
        <w:tabs>
          <w:tab w:val="left" w:pos="0"/>
        </w:tabs>
        <w:spacing w:line="360" w:lineRule="auto"/>
        <w:ind w:firstLine="4254" w:firstLineChars="2026"/>
        <w:rPr>
          <w:rFonts w:hint="default" w:ascii="仿宋" w:hAnsi="仿宋" w:eastAsia="仿宋" w:cs="仿宋"/>
          <w:color w:val="000000" w:themeColor="text1"/>
          <w:kern w:val="0"/>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定价表</w:t>
      </w:r>
    </w:p>
    <w:tbl>
      <w:tblPr>
        <w:tblStyle w:val="32"/>
        <w:tblW w:w="4436" w:type="pct"/>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4565"/>
        <w:gridCol w:w="1375"/>
        <w:gridCol w:w="1697"/>
      </w:tblGrid>
      <w:tr w14:paraId="0B08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tcPr>
          <w:p w14:paraId="74A96820">
            <w:pPr>
              <w:tabs>
                <w:tab w:val="left" w:pos="0"/>
              </w:tabs>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序号</w:t>
            </w:r>
          </w:p>
        </w:tc>
        <w:tc>
          <w:tcPr>
            <w:tcW w:w="2467" w:type="pct"/>
          </w:tcPr>
          <w:p w14:paraId="180B39F8">
            <w:pPr>
              <w:tabs>
                <w:tab w:val="left" w:pos="0"/>
              </w:tabs>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名称</w:t>
            </w:r>
          </w:p>
        </w:tc>
        <w:tc>
          <w:tcPr>
            <w:tcW w:w="743" w:type="pct"/>
          </w:tcPr>
          <w:p w14:paraId="18947A48">
            <w:pPr>
              <w:tabs>
                <w:tab w:val="left" w:pos="0"/>
              </w:tabs>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单位</w:t>
            </w:r>
          </w:p>
        </w:tc>
        <w:tc>
          <w:tcPr>
            <w:tcW w:w="917" w:type="pct"/>
          </w:tcPr>
          <w:p w14:paraId="4B12DAF1">
            <w:pPr>
              <w:tabs>
                <w:tab w:val="left" w:pos="0"/>
              </w:tabs>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单价</w:t>
            </w:r>
          </w:p>
        </w:tc>
      </w:tr>
      <w:tr w14:paraId="05D0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vAlign w:val="top"/>
          </w:tcPr>
          <w:p w14:paraId="5DA9486D">
            <w:pPr>
              <w:tabs>
                <w:tab w:val="left" w:pos="0"/>
              </w:tabs>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1</w:t>
            </w:r>
          </w:p>
        </w:tc>
        <w:tc>
          <w:tcPr>
            <w:tcW w:w="2467" w:type="pct"/>
          </w:tcPr>
          <w:p w14:paraId="082B8E9D">
            <w:pPr>
              <w:tabs>
                <w:tab w:val="left" w:pos="0"/>
              </w:tabs>
              <w:spacing w:before="0" w:beforeAutospacing="0" w:after="0" w:afterAutospacing="0" w:line="360" w:lineRule="auto"/>
              <w:ind w:left="0" w:right="0"/>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基础运营服务费</w:t>
            </w:r>
          </w:p>
        </w:tc>
        <w:tc>
          <w:tcPr>
            <w:tcW w:w="743" w:type="pct"/>
          </w:tcPr>
          <w:p w14:paraId="182CD947">
            <w:pPr>
              <w:tabs>
                <w:tab w:val="left" w:pos="0"/>
              </w:tabs>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年</w:t>
            </w:r>
          </w:p>
        </w:tc>
        <w:tc>
          <w:tcPr>
            <w:tcW w:w="917" w:type="pct"/>
          </w:tcPr>
          <w:p w14:paraId="33CE600B">
            <w:pPr>
              <w:tabs>
                <w:tab w:val="left" w:pos="0"/>
              </w:tabs>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600000元</w:t>
            </w:r>
          </w:p>
        </w:tc>
      </w:tr>
      <w:tr w14:paraId="6002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vAlign w:val="top"/>
          </w:tcPr>
          <w:p w14:paraId="75425524">
            <w:pPr>
              <w:tabs>
                <w:tab w:val="left" w:pos="0"/>
              </w:tabs>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2</w:t>
            </w:r>
          </w:p>
        </w:tc>
        <w:tc>
          <w:tcPr>
            <w:tcW w:w="2467" w:type="pct"/>
            <w:vAlign w:val="top"/>
          </w:tcPr>
          <w:p w14:paraId="04DE6619">
            <w:pPr>
              <w:tabs>
                <w:tab w:val="left" w:pos="0"/>
              </w:tabs>
              <w:spacing w:before="0" w:beforeAutospacing="0" w:after="0" w:afterAutospacing="0" w:line="360" w:lineRule="auto"/>
              <w:ind w:left="0" w:right="0"/>
              <w:rPr>
                <w:rFonts w:hint="default" w:ascii="仿宋" w:hAnsi="仿宋" w:eastAsia="仿宋" w:cs="仿宋"/>
                <w:color w:val="000000" w:themeColor="text1"/>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调解成功案件</w:t>
            </w:r>
          </w:p>
        </w:tc>
        <w:tc>
          <w:tcPr>
            <w:tcW w:w="743" w:type="pct"/>
            <w:vAlign w:val="top"/>
          </w:tcPr>
          <w:p w14:paraId="4CFD9B1A">
            <w:pPr>
              <w:tabs>
                <w:tab w:val="left" w:pos="0"/>
              </w:tabs>
              <w:spacing w:before="0" w:beforeAutospacing="0" w:after="0" w:afterAutospacing="0" w:line="360" w:lineRule="auto"/>
              <w:ind w:left="0" w:right="0"/>
              <w:jc w:val="center"/>
              <w:rPr>
                <w:rFonts w:hint="eastAsia" w:ascii="仿宋" w:hAnsi="仿宋" w:eastAsia="仿宋" w:cs="仿宋"/>
                <w:color w:val="000000" w:themeColor="text1"/>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件</w:t>
            </w:r>
          </w:p>
        </w:tc>
        <w:tc>
          <w:tcPr>
            <w:tcW w:w="917" w:type="pct"/>
            <w:vAlign w:val="top"/>
          </w:tcPr>
          <w:p w14:paraId="35EF448F">
            <w:pPr>
              <w:tabs>
                <w:tab w:val="left" w:pos="0"/>
              </w:tabs>
              <w:spacing w:before="0" w:beforeAutospacing="0" w:after="0" w:afterAutospacing="0" w:line="360" w:lineRule="auto"/>
              <w:ind w:left="0" w:right="0"/>
              <w:jc w:val="center"/>
              <w:rPr>
                <w:rFonts w:hint="eastAsia" w:ascii="仿宋" w:hAnsi="仿宋" w:eastAsia="仿宋" w:cs="仿宋"/>
                <w:color w:val="000000" w:themeColor="text1"/>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140元</w:t>
            </w:r>
          </w:p>
        </w:tc>
      </w:tr>
      <w:tr w14:paraId="54CC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vAlign w:val="top"/>
          </w:tcPr>
          <w:p w14:paraId="4F9D7E63">
            <w:pPr>
              <w:tabs>
                <w:tab w:val="left" w:pos="0"/>
              </w:tabs>
              <w:spacing w:before="0" w:beforeAutospacing="0" w:after="0" w:afterAutospacing="0" w:line="360" w:lineRule="auto"/>
              <w:ind w:left="0" w:right="0"/>
              <w:jc w:val="center"/>
              <w:rPr>
                <w:rFonts w:hint="default" w:ascii="仿宋" w:hAnsi="仿宋" w:eastAsia="仿宋" w:cs="仿宋"/>
                <w:color w:val="000000" w:themeColor="text1"/>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3</w:t>
            </w:r>
          </w:p>
        </w:tc>
        <w:tc>
          <w:tcPr>
            <w:tcW w:w="2467" w:type="pct"/>
            <w:vAlign w:val="top"/>
          </w:tcPr>
          <w:p w14:paraId="79270BE0">
            <w:pPr>
              <w:tabs>
                <w:tab w:val="left" w:pos="0"/>
              </w:tabs>
              <w:spacing w:before="0" w:beforeAutospacing="0" w:after="0" w:afterAutospacing="0" w:line="360" w:lineRule="auto"/>
              <w:ind w:left="0" w:right="0"/>
              <w:rPr>
                <w:rFonts w:hint="eastAsia" w:ascii="仿宋" w:hAnsi="仿宋" w:eastAsia="仿宋" w:cs="仿宋"/>
                <w:color w:val="000000" w:themeColor="text1"/>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调解成功且履行完毕案件</w:t>
            </w:r>
          </w:p>
        </w:tc>
        <w:tc>
          <w:tcPr>
            <w:tcW w:w="743" w:type="pct"/>
            <w:vAlign w:val="top"/>
          </w:tcPr>
          <w:p w14:paraId="17F5624C">
            <w:pPr>
              <w:spacing w:before="0" w:beforeAutospacing="0" w:after="0" w:afterAutospacing="0" w:line="360" w:lineRule="auto"/>
              <w:ind w:left="0" w:right="0"/>
              <w:jc w:val="center"/>
              <w:rPr>
                <w:rFonts w:hint="eastAsia" w:ascii="仿宋" w:hAnsi="仿宋" w:eastAsia="仿宋" w:cs="仿宋"/>
                <w:color w:val="000000" w:themeColor="text1"/>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vertAlign w:val="baseline"/>
                <w:lang w:val="en-US" w:eastAsia="zh-CN"/>
                <w14:textFill>
                  <w14:solidFill>
                    <w14:schemeClr w14:val="tx1"/>
                  </w14:solidFill>
                </w14:textFill>
              </w:rPr>
              <w:t>件</w:t>
            </w:r>
          </w:p>
        </w:tc>
        <w:tc>
          <w:tcPr>
            <w:tcW w:w="917" w:type="pct"/>
            <w:vAlign w:val="top"/>
          </w:tcPr>
          <w:p w14:paraId="0FDDDD6E">
            <w:pPr>
              <w:tabs>
                <w:tab w:val="left" w:pos="0"/>
              </w:tabs>
              <w:spacing w:before="0" w:beforeAutospacing="0" w:after="0" w:afterAutospacing="0" w:line="360" w:lineRule="auto"/>
              <w:ind w:left="0" w:right="0"/>
              <w:jc w:val="center"/>
              <w:rPr>
                <w:rFonts w:hint="eastAsia" w:ascii="仿宋" w:hAnsi="仿宋" w:eastAsia="仿宋" w:cs="仿宋"/>
                <w:color w:val="000000" w:themeColor="text1"/>
                <w:kern w:val="0"/>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240元</w:t>
            </w:r>
          </w:p>
        </w:tc>
      </w:tr>
    </w:tbl>
    <w:p w14:paraId="09589CEE">
      <w:pPr>
        <w:tabs>
          <w:tab w:val="left" w:pos="0"/>
        </w:tabs>
        <w:spacing w:line="360" w:lineRule="auto"/>
        <w:ind w:firstLine="420" w:firstLineChars="200"/>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（1）</w:t>
      </w:r>
      <w:r>
        <w:rPr>
          <w:rFonts w:hint="eastAsia" w:ascii="仿宋" w:hAnsi="仿宋" w:eastAsia="仿宋" w:cs="仿宋"/>
          <w:bCs/>
          <w:color w:val="000000" w:themeColor="text1"/>
          <w:sz w:val="21"/>
          <w:szCs w:val="21"/>
          <w14:textFill>
            <w14:solidFill>
              <w14:schemeClr w14:val="tx1"/>
            </w14:solidFill>
          </w14:textFill>
        </w:rPr>
        <w:t>投标单位在投标报价时根据</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定价表</w:t>
      </w:r>
      <w:r>
        <w:rPr>
          <w:rFonts w:hint="eastAsia" w:ascii="仿宋" w:hAnsi="仿宋" w:eastAsia="仿宋" w:cs="仿宋"/>
          <w:bCs/>
          <w:color w:val="000000" w:themeColor="text1"/>
          <w:sz w:val="21"/>
          <w:szCs w:val="21"/>
          <w14:textFill>
            <w14:solidFill>
              <w14:schemeClr w14:val="tx1"/>
            </w14:solidFill>
          </w14:textFill>
        </w:rPr>
        <w:t>中的各单项</w:t>
      </w:r>
      <w:r>
        <w:rPr>
          <w:rFonts w:hint="eastAsia" w:ascii="仿宋" w:hAnsi="仿宋" w:eastAsia="仿宋" w:cs="仿宋"/>
          <w:bCs/>
          <w:color w:val="000000" w:themeColor="text1"/>
          <w:sz w:val="21"/>
          <w:szCs w:val="21"/>
          <w:lang w:val="en-US" w:eastAsia="zh-CN"/>
          <w14:textFill>
            <w14:solidFill>
              <w14:schemeClr w14:val="tx1"/>
            </w14:solidFill>
          </w14:textFill>
        </w:rPr>
        <w:t>单</w:t>
      </w:r>
      <w:r>
        <w:rPr>
          <w:rFonts w:hint="eastAsia" w:ascii="仿宋" w:hAnsi="仿宋" w:eastAsia="仿宋" w:cs="仿宋"/>
          <w:bCs/>
          <w:color w:val="000000" w:themeColor="text1"/>
          <w:sz w:val="21"/>
          <w:szCs w:val="21"/>
          <w14:textFill>
            <w14:solidFill>
              <w14:schemeClr w14:val="tx1"/>
            </w14:solidFill>
          </w14:textFill>
        </w:rPr>
        <w:t>价的基础上填报</w:t>
      </w:r>
      <w:r>
        <w:rPr>
          <w:rFonts w:hint="eastAsia" w:ascii="仿宋" w:hAnsi="仿宋" w:eastAsia="仿宋" w:cs="仿宋"/>
          <w:bCs/>
          <w:color w:val="000000" w:themeColor="text1"/>
          <w:sz w:val="21"/>
          <w:szCs w:val="21"/>
          <w:lang w:eastAsia="zh-CN"/>
          <w14:textFill>
            <w14:solidFill>
              <w14:schemeClr w14:val="tx1"/>
            </w14:solidFill>
          </w14:textFill>
        </w:rPr>
        <w:t>本项目优惠折扣（</w:t>
      </w:r>
      <w:r>
        <w:rPr>
          <w:rFonts w:hint="eastAsia" w:ascii="仿宋" w:hAnsi="仿宋" w:eastAsia="仿宋" w:cs="仿宋"/>
          <w:bCs/>
          <w:color w:val="000000" w:themeColor="text1"/>
          <w:sz w:val="21"/>
          <w:szCs w:val="21"/>
          <w:lang w:val="en-US" w:eastAsia="zh-CN"/>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z w:val="21"/>
          <w:szCs w:val="21"/>
          <w:lang w:eastAsia="zh-CN"/>
          <w14:textFill>
            <w14:solidFill>
              <w14:schemeClr w14:val="tx1"/>
            </w14:solidFill>
          </w14:textFill>
        </w:rPr>
        <w:t>本项优惠折扣最高限价为</w:t>
      </w:r>
      <w:r>
        <w:rPr>
          <w:rFonts w:hint="eastAsia" w:ascii="仿宋" w:hAnsi="仿宋" w:eastAsia="仿宋" w:cs="仿宋"/>
          <w:bCs/>
          <w:color w:val="000000" w:themeColor="text1"/>
          <w:sz w:val="21"/>
          <w:szCs w:val="21"/>
          <w:lang w:val="en-US" w:eastAsia="zh-CN"/>
          <w14:textFill>
            <w14:solidFill>
              <w14:schemeClr w14:val="tx1"/>
            </w14:solidFill>
          </w14:textFill>
        </w:rPr>
        <w:t>100%</w:t>
      </w:r>
      <w:r>
        <w:rPr>
          <w:rFonts w:hint="eastAsia" w:ascii="仿宋" w:hAnsi="仿宋" w:eastAsia="仿宋" w:cs="仿宋"/>
          <w:bCs/>
          <w:color w:val="000000" w:themeColor="text1"/>
          <w:sz w:val="21"/>
          <w:szCs w:val="21"/>
          <w14:textFill>
            <w14:solidFill>
              <w14:schemeClr w14:val="tx1"/>
            </w14:solidFill>
          </w14:textFill>
        </w:rPr>
        <w:t>，中标后的</w:t>
      </w:r>
      <w:r>
        <w:rPr>
          <w:rFonts w:hint="eastAsia" w:ascii="仿宋" w:hAnsi="仿宋" w:eastAsia="仿宋" w:cs="仿宋"/>
          <w:bCs/>
          <w:color w:val="000000" w:themeColor="text1"/>
          <w:sz w:val="21"/>
          <w:szCs w:val="21"/>
          <w:lang w:eastAsia="zh-CN"/>
          <w14:textFill>
            <w14:solidFill>
              <w14:schemeClr w14:val="tx1"/>
            </w14:solidFill>
          </w14:textFill>
        </w:rPr>
        <w:t>结算</w:t>
      </w:r>
      <w:r>
        <w:rPr>
          <w:rFonts w:hint="eastAsia" w:ascii="仿宋" w:hAnsi="仿宋" w:eastAsia="仿宋" w:cs="仿宋"/>
          <w:bCs/>
          <w:color w:val="000000" w:themeColor="text1"/>
          <w:sz w:val="21"/>
          <w:szCs w:val="21"/>
          <w14:textFill>
            <w14:solidFill>
              <w14:schemeClr w14:val="tx1"/>
            </w14:solidFill>
          </w14:textFill>
        </w:rPr>
        <w:t>单价=</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定价表</w:t>
      </w:r>
      <w:r>
        <w:rPr>
          <w:rFonts w:hint="eastAsia" w:ascii="仿宋" w:hAnsi="仿宋" w:eastAsia="仿宋" w:cs="仿宋"/>
          <w:bCs/>
          <w:color w:val="000000" w:themeColor="text1"/>
          <w:sz w:val="21"/>
          <w:szCs w:val="21"/>
          <w:lang w:eastAsia="zh-CN"/>
          <w14:textFill>
            <w14:solidFill>
              <w14:schemeClr w14:val="tx1"/>
            </w14:solidFill>
          </w14:textFill>
        </w:rPr>
        <w:t>单</w:t>
      </w:r>
      <w:r>
        <w:rPr>
          <w:rFonts w:hint="eastAsia" w:ascii="仿宋" w:hAnsi="仿宋" w:eastAsia="仿宋" w:cs="仿宋"/>
          <w:bCs/>
          <w:color w:val="000000" w:themeColor="text1"/>
          <w:sz w:val="21"/>
          <w:szCs w:val="21"/>
          <w14:textFill>
            <w14:solidFill>
              <w14:schemeClr w14:val="tx1"/>
            </w14:solidFill>
          </w14:textFill>
        </w:rPr>
        <w:t>价×</w:t>
      </w:r>
      <w:r>
        <w:rPr>
          <w:rFonts w:hint="eastAsia" w:ascii="仿宋" w:hAnsi="仿宋" w:eastAsia="仿宋" w:cs="仿宋"/>
          <w:bCs/>
          <w:color w:val="000000" w:themeColor="text1"/>
          <w:sz w:val="21"/>
          <w:szCs w:val="21"/>
          <w:lang w:eastAsia="zh-CN"/>
          <w14:textFill>
            <w14:solidFill>
              <w14:schemeClr w14:val="tx1"/>
            </w14:solidFill>
          </w14:textFill>
        </w:rPr>
        <w:t>优惠折扣（</w:t>
      </w:r>
      <w:r>
        <w:rPr>
          <w:rFonts w:hint="eastAsia" w:ascii="仿宋" w:hAnsi="仿宋" w:eastAsia="仿宋" w:cs="仿宋"/>
          <w:bCs/>
          <w:color w:val="000000" w:themeColor="text1"/>
          <w:sz w:val="21"/>
          <w:szCs w:val="21"/>
          <w:lang w:val="en-US" w:eastAsia="zh-CN"/>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w:t>
      </w:r>
      <w:r>
        <w:rPr>
          <w:rFonts w:hint="eastAsia" w:ascii="仿宋" w:hAnsi="仿宋" w:eastAsia="仿宋" w:cs="仿宋"/>
          <w:bCs/>
          <w:color w:val="000000" w:themeColor="text1"/>
          <w:sz w:val="21"/>
          <w:szCs w:val="21"/>
          <w:lang w:eastAsia="zh-CN"/>
          <w14:textFill>
            <w14:solidFill>
              <w14:schemeClr w14:val="tx1"/>
            </w14:solidFill>
          </w14:textFill>
        </w:rPr>
        <w:t>优惠折扣（</w:t>
      </w:r>
      <w:r>
        <w:rPr>
          <w:rFonts w:hint="eastAsia" w:ascii="仿宋" w:hAnsi="仿宋" w:eastAsia="仿宋" w:cs="仿宋"/>
          <w:bCs/>
          <w:color w:val="000000" w:themeColor="text1"/>
          <w:sz w:val="21"/>
          <w:szCs w:val="21"/>
          <w:lang w:val="en-US" w:eastAsia="zh-CN"/>
          <w14:textFill>
            <w14:solidFill>
              <w14:schemeClr w14:val="tx1"/>
            </w14:solidFill>
          </w14:textFill>
        </w:rPr>
        <w:t>%）后</w:t>
      </w:r>
      <w:r>
        <w:rPr>
          <w:rFonts w:hint="eastAsia" w:ascii="仿宋" w:hAnsi="仿宋" w:eastAsia="仿宋" w:cs="仿宋"/>
          <w:bCs/>
          <w:color w:val="000000" w:themeColor="text1"/>
          <w:sz w:val="21"/>
          <w:szCs w:val="21"/>
          <w14:textFill>
            <w14:solidFill>
              <w14:schemeClr w14:val="tx1"/>
            </w14:solidFill>
          </w14:textFill>
        </w:rPr>
        <w:t>投标单价中标后不作调整（单价保留小数点后两位）</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最终按实际</w:t>
      </w:r>
      <w:r>
        <w:rPr>
          <w:rFonts w:hint="eastAsia" w:ascii="仿宋" w:hAnsi="仿宋" w:eastAsia="仿宋" w:cs="仿宋"/>
          <w:bCs/>
          <w:color w:val="000000" w:themeColor="text1"/>
          <w:sz w:val="21"/>
          <w:szCs w:val="21"/>
          <w:lang w:val="en-US" w:eastAsia="zh-CN"/>
          <w14:textFill>
            <w14:solidFill>
              <w14:schemeClr w14:val="tx1"/>
            </w14:solidFill>
          </w14:textFill>
        </w:rPr>
        <w:t>工作量</w:t>
      </w:r>
      <w:r>
        <w:rPr>
          <w:rFonts w:hint="eastAsia" w:ascii="仿宋" w:hAnsi="仿宋" w:eastAsia="仿宋" w:cs="仿宋"/>
          <w:bCs/>
          <w:color w:val="000000" w:themeColor="text1"/>
          <w:sz w:val="21"/>
          <w:szCs w:val="21"/>
          <w14:textFill>
            <w14:solidFill>
              <w14:schemeClr w14:val="tx1"/>
            </w14:solidFill>
          </w14:textFill>
        </w:rPr>
        <w:t>结合投标结算单价</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最终结算价不得超过100万元。</w:t>
      </w:r>
    </w:p>
    <w:p w14:paraId="60199598">
      <w:pPr>
        <w:numPr>
          <w:ilvl w:val="0"/>
          <w:numId w:val="0"/>
        </w:numPr>
        <w:spacing w:line="500" w:lineRule="exact"/>
        <w:ind w:leftChars="200"/>
        <w:rPr>
          <w:rFonts w:hint="eastAsia" w:ascii="仿宋" w:hAnsi="仿宋" w:eastAsia="仿宋" w:cs="仿宋"/>
          <w:b w:val="0"/>
          <w:bCs/>
          <w:color w:val="000000" w:themeColor="text1"/>
          <w:sz w:val="21"/>
          <w:szCs w:val="21"/>
          <w:lang w:eastAsia="zh-CN"/>
          <w14:textFill>
            <w14:solidFill>
              <w14:schemeClr w14:val="tx1"/>
            </w14:solidFill>
          </w14:textFill>
        </w:rPr>
      </w:pPr>
      <w:r>
        <w:rPr>
          <w:rFonts w:hint="eastAsia" w:ascii="仿宋" w:hAnsi="仿宋" w:eastAsia="仿宋" w:cs="仿宋"/>
          <w:b w:val="0"/>
          <w:bCs/>
          <w:color w:val="000000" w:themeColor="text1"/>
          <w:sz w:val="21"/>
          <w:szCs w:val="21"/>
          <w:lang w:eastAsia="zh-CN"/>
          <w14:textFill>
            <w14:solidFill>
              <w14:schemeClr w14:val="tx1"/>
            </w14:solidFill>
          </w14:textFill>
        </w:rPr>
        <w:t>（</w:t>
      </w:r>
      <w:r>
        <w:rPr>
          <w:rFonts w:hint="eastAsia" w:ascii="仿宋" w:hAnsi="仿宋" w:eastAsia="仿宋" w:cs="仿宋"/>
          <w:b w:val="0"/>
          <w:bCs/>
          <w:color w:val="000000" w:themeColor="text1"/>
          <w:sz w:val="21"/>
          <w:szCs w:val="21"/>
          <w:lang w:val="en-US" w:eastAsia="zh-CN"/>
          <w14:textFill>
            <w14:solidFill>
              <w14:schemeClr w14:val="tx1"/>
            </w14:solidFill>
          </w14:textFill>
        </w:rPr>
        <w:t>2</w:t>
      </w:r>
      <w:r>
        <w:rPr>
          <w:rFonts w:hint="eastAsia" w:ascii="仿宋" w:hAnsi="仿宋" w:eastAsia="仿宋" w:cs="仿宋"/>
          <w:b w:val="0"/>
          <w:bCs/>
          <w:color w:val="000000" w:themeColor="text1"/>
          <w:sz w:val="21"/>
          <w:szCs w:val="21"/>
          <w:lang w:eastAsia="zh-CN"/>
          <w14:textFill>
            <w14:solidFill>
              <w14:schemeClr w14:val="tx1"/>
            </w14:solidFill>
          </w14:textFill>
        </w:rPr>
        <w:t>）上述内容填报统一折扣（</w:t>
      </w:r>
      <w:r>
        <w:rPr>
          <w:rFonts w:hint="eastAsia" w:ascii="仿宋" w:hAnsi="仿宋" w:eastAsia="仿宋" w:cs="仿宋"/>
          <w:b w:val="0"/>
          <w:bCs/>
          <w:color w:val="000000" w:themeColor="text1"/>
          <w:sz w:val="21"/>
          <w:szCs w:val="21"/>
          <w:lang w:val="en-US" w:eastAsia="zh-CN"/>
          <w14:textFill>
            <w14:solidFill>
              <w14:schemeClr w14:val="tx1"/>
            </w14:solidFill>
          </w14:textFill>
        </w:rPr>
        <w:t>%）</w:t>
      </w:r>
      <w:r>
        <w:rPr>
          <w:rFonts w:hint="eastAsia" w:ascii="仿宋" w:hAnsi="仿宋" w:eastAsia="仿宋" w:cs="仿宋"/>
          <w:b w:val="0"/>
          <w:bCs/>
          <w:color w:val="000000" w:themeColor="text1"/>
          <w:sz w:val="21"/>
          <w:szCs w:val="21"/>
          <w:lang w:eastAsia="zh-CN"/>
          <w14:textFill>
            <w14:solidFill>
              <w14:schemeClr w14:val="tx1"/>
            </w14:solidFill>
          </w14:textFill>
        </w:rPr>
        <w:t>，否则作无效投标处理</w:t>
      </w:r>
      <w:r>
        <w:rPr>
          <w:rFonts w:hint="eastAsia" w:ascii="仿宋" w:hAnsi="仿宋" w:eastAsia="仿宋" w:cs="仿宋"/>
          <w:b w:val="0"/>
          <w:bCs/>
          <w:color w:val="000000" w:themeColor="text1"/>
          <w:sz w:val="21"/>
          <w:szCs w:val="21"/>
          <w14:textFill>
            <w14:solidFill>
              <w14:schemeClr w14:val="tx1"/>
            </w14:solidFill>
          </w14:textFill>
        </w:rPr>
        <w:t>。</w:t>
      </w:r>
      <w:r>
        <w:rPr>
          <w:rFonts w:hint="eastAsia" w:ascii="仿宋" w:hAnsi="仿宋" w:eastAsia="仿宋" w:cs="仿宋"/>
          <w:b w:val="0"/>
          <w:bCs/>
          <w:color w:val="000000" w:themeColor="text1"/>
          <w:sz w:val="21"/>
          <w:szCs w:val="21"/>
          <w:lang w:eastAsia="zh-CN"/>
          <w14:textFill>
            <w14:solidFill>
              <w14:schemeClr w14:val="tx1"/>
            </w14:solidFill>
          </w14:textFill>
        </w:rPr>
        <w:t>同时不得填报负数。</w:t>
      </w:r>
    </w:p>
    <w:p w14:paraId="2440A08F">
      <w:pPr>
        <w:numPr>
          <w:ilvl w:val="0"/>
          <w:numId w:val="0"/>
        </w:numPr>
        <w:spacing w:line="500" w:lineRule="exact"/>
        <w:ind w:leftChars="0" w:firstLine="210" w:firstLineChars="100"/>
        <w:rPr>
          <w:rFonts w:hint="eastAsia" w:ascii="仿宋" w:hAnsi="仿宋" w:eastAsia="仿宋" w:cs="仿宋"/>
          <w:b w:val="0"/>
          <w:bCs/>
          <w:color w:val="000000" w:themeColor="text1"/>
          <w:sz w:val="21"/>
          <w:szCs w:val="21"/>
          <w:lang w:val="en-US"/>
          <w14:textFill>
            <w14:solidFill>
              <w14:schemeClr w14:val="tx1"/>
            </w14:solidFill>
          </w14:textFill>
        </w:rPr>
      </w:pPr>
      <w:r>
        <w:rPr>
          <w:rFonts w:hint="eastAsia" w:ascii="仿宋" w:hAnsi="仿宋" w:eastAsia="仿宋" w:cs="仿宋"/>
          <w:b w:val="0"/>
          <w:bCs/>
          <w:color w:val="000000" w:themeColor="text1"/>
          <w:sz w:val="21"/>
          <w:szCs w:val="21"/>
          <w:lang w:eastAsia="zh-CN"/>
          <w14:textFill>
            <w14:solidFill>
              <w14:schemeClr w14:val="tx1"/>
            </w14:solidFill>
          </w14:textFill>
        </w:rPr>
        <w:t>举例说明：填报</w:t>
      </w:r>
      <w:r>
        <w:rPr>
          <w:rFonts w:hint="eastAsia" w:ascii="仿宋" w:hAnsi="仿宋" w:eastAsia="仿宋" w:cs="仿宋"/>
          <w:b w:val="0"/>
          <w:bCs/>
          <w:color w:val="000000" w:themeColor="text1"/>
          <w:sz w:val="21"/>
          <w:szCs w:val="21"/>
          <w:lang w:val="en-US" w:eastAsia="zh-CN"/>
          <w14:textFill>
            <w14:solidFill>
              <w14:schemeClr w14:val="tx1"/>
            </w14:solidFill>
          </w14:textFill>
        </w:rPr>
        <w:t>85%即八五折；中标后的结算单价=定价表单价×优惠折扣85%。</w:t>
      </w:r>
    </w:p>
    <w:p w14:paraId="387DF217">
      <w:pPr>
        <w:numPr>
          <w:ilvl w:val="0"/>
          <w:numId w:val="4"/>
        </w:numPr>
        <w:tabs>
          <w:tab w:val="left" w:pos="0"/>
        </w:tabs>
        <w:spacing w:line="360" w:lineRule="auto"/>
        <w:ind w:firstLine="480"/>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支付</w:t>
      </w:r>
      <w:r>
        <w:rPr>
          <w:rFonts w:hint="eastAsia" w:ascii="仿宋" w:hAnsi="仿宋" w:eastAsia="仿宋" w:cs="仿宋"/>
          <w:color w:val="000000" w:themeColor="text1"/>
          <w:kern w:val="0"/>
          <w:sz w:val="21"/>
          <w:szCs w:val="21"/>
          <w:highlight w:val="none"/>
          <w14:textFill>
            <w14:solidFill>
              <w14:schemeClr w14:val="tx1"/>
            </w14:solidFill>
          </w14:textFill>
        </w:rPr>
        <w:t>方式</w:t>
      </w:r>
    </w:p>
    <w:p w14:paraId="0358B57C">
      <w:pPr>
        <w:numPr>
          <w:ilvl w:val="0"/>
          <w:numId w:val="0"/>
        </w:numPr>
        <w:tabs>
          <w:tab w:val="left" w:pos="0"/>
        </w:tabs>
        <w:spacing w:line="360" w:lineRule="auto"/>
        <w:ind w:firstLine="420" w:firstLineChars="200"/>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本合同签订之日起，乙方按合同金额的40%向甲方开具预付款发票，甲方在收到发票后的十五个工作日内完成报送财政履行支付手续，之后的费用根椐特邀调解员的工作统计表按季度考核后据实支付，同时每季度扣回10%预付款。</w:t>
      </w:r>
    </w:p>
    <w:p w14:paraId="2C1861FF">
      <w:pPr>
        <w:numPr>
          <w:ilvl w:val="0"/>
          <w:numId w:val="0"/>
        </w:numPr>
        <w:tabs>
          <w:tab w:val="left" w:pos="0"/>
        </w:tabs>
        <w:spacing w:line="360" w:lineRule="auto"/>
        <w:ind w:firstLine="420" w:firstLineChars="200"/>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3、服务期限：1年，自合同签订之日起计。</w:t>
      </w:r>
    </w:p>
    <w:p w14:paraId="741A61F5">
      <w:pPr>
        <w:pStyle w:val="12"/>
        <w:rPr>
          <w:rFonts w:hint="eastAsia"/>
          <w:color w:val="000000" w:themeColor="text1"/>
          <w:lang w:val="en-US" w:eastAsia="zh-CN"/>
          <w14:textFill>
            <w14:solidFill>
              <w14:schemeClr w14:val="tx1"/>
            </w14:solidFill>
          </w14:textFill>
        </w:rPr>
      </w:pPr>
    </w:p>
    <w:p w14:paraId="304A411E">
      <w:pPr>
        <w:spacing w:line="360" w:lineRule="auto"/>
        <w:ind w:firstLine="420" w:firstLineChars="200"/>
        <w:rPr>
          <w:rFonts w:hint="eastAsia" w:ascii="仿宋" w:hAnsi="仿宋" w:eastAsia="仿宋" w:cs="仿宋"/>
          <w:color w:val="auto"/>
          <w:sz w:val="21"/>
          <w:szCs w:val="21"/>
          <w:highlight w:val="none"/>
          <w:lang w:val="en-US" w:eastAsia="zh-CN"/>
        </w:rPr>
      </w:pPr>
    </w:p>
    <w:p w14:paraId="0A92CCD6">
      <w:pPr>
        <w:jc w:val="both"/>
        <w:outlineLvl w:val="0"/>
        <w:rPr>
          <w:rFonts w:hint="eastAsia" w:ascii="仿宋" w:hAnsi="仿宋" w:eastAsia="仿宋" w:cs="仿宋"/>
          <w:b/>
          <w:bCs/>
          <w:color w:val="000000" w:themeColor="text1"/>
          <w:kern w:val="0"/>
          <w:sz w:val="32"/>
          <w:szCs w:val="32"/>
          <w:highlight w:val="none"/>
          <w14:textFill>
            <w14:solidFill>
              <w14:schemeClr w14:val="tx1"/>
            </w14:solidFill>
          </w14:textFill>
        </w:rPr>
      </w:pPr>
    </w:p>
    <w:p w14:paraId="02FF996D">
      <w:pPr>
        <w:rPr>
          <w:rFonts w:hint="eastAsia" w:ascii="仿宋" w:hAnsi="仿宋" w:eastAsia="仿宋" w:cs="仿宋"/>
          <w:b/>
          <w:bCs/>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br w:type="page"/>
      </w:r>
    </w:p>
    <w:p w14:paraId="14860908">
      <w:pPr>
        <w:pStyle w:val="30"/>
        <w:rPr>
          <w:rFonts w:hint="eastAsia"/>
        </w:rPr>
      </w:pPr>
    </w:p>
    <w:p w14:paraId="603EE71B">
      <w:pPr>
        <w:jc w:val="center"/>
        <w:outlineLvl w:val="0"/>
        <w:rPr>
          <w:rFonts w:hint="eastAsia" w:ascii="仿宋" w:hAnsi="仿宋" w:eastAsia="仿宋" w:cs="仿宋"/>
          <w:b/>
          <w:color w:val="000000" w:themeColor="text1"/>
          <w:sz w:val="32"/>
          <w:szCs w:val="32"/>
          <w:highlight w:val="none"/>
          <w14:textFill>
            <w14:solidFill>
              <w14:schemeClr w14:val="tx1"/>
            </w14:solidFill>
          </w14:textFill>
        </w:rPr>
      </w:pPr>
      <w:bookmarkStart w:id="112" w:name="_Toc26500"/>
      <w:r>
        <w:rPr>
          <w:rFonts w:hint="eastAsia" w:ascii="仿宋" w:hAnsi="仿宋" w:eastAsia="仿宋" w:cs="仿宋"/>
          <w:b/>
          <w:bCs/>
          <w:color w:val="000000" w:themeColor="text1"/>
          <w:kern w:val="0"/>
          <w:sz w:val="32"/>
          <w:szCs w:val="32"/>
          <w:highlight w:val="none"/>
          <w14:textFill>
            <w14:solidFill>
              <w14:schemeClr w14:val="tx1"/>
            </w14:solidFill>
          </w14:textFill>
        </w:rPr>
        <w:t>第四章</w:t>
      </w:r>
      <w:r>
        <w:rPr>
          <w:rFonts w:hint="eastAsia" w:ascii="仿宋" w:hAnsi="仿宋" w:eastAsia="仿宋" w:cs="仿宋"/>
          <w:b/>
          <w:bCs/>
          <w:color w:val="000000" w:themeColor="text1"/>
          <w:kern w:val="0"/>
          <w:sz w:val="32"/>
          <w:szCs w:val="32"/>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合同主要条款</w:t>
      </w:r>
      <w:bookmarkEnd w:id="112"/>
    </w:p>
    <w:p w14:paraId="629120CD">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（本合同为合同样稿，最终稿由甲乙双方协商后确定）</w:t>
      </w:r>
    </w:p>
    <w:p w14:paraId="68C5A293">
      <w:pPr>
        <w:widowControl/>
        <w:spacing w:line="360" w:lineRule="auto"/>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甲方：</w:t>
      </w:r>
    </w:p>
    <w:p w14:paraId="495E07E7">
      <w:pPr>
        <w:widowControl/>
        <w:spacing w:line="360" w:lineRule="auto"/>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乙方：</w:t>
      </w:r>
    </w:p>
    <w:p w14:paraId="00E16881">
      <w:pPr>
        <w:widowControl/>
        <w:spacing w:line="360" w:lineRule="auto"/>
        <w:ind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根据</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月</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日（项目编号：</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）招标结果和招标文件要求，并根据《中华人民共和国民法典》、《中华人民共和国政府采购法》及其他等有关法律、行政法规的规定，同时在平等、公平、诚实和信用的原则下，经双方协商一致，订立本合同。</w:t>
      </w:r>
    </w:p>
    <w:p w14:paraId="628C4C98">
      <w:pPr>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第一条：</w:t>
      </w:r>
      <w:r>
        <w:rPr>
          <w:rFonts w:hint="eastAsia" w:ascii="仿宋" w:hAnsi="仿宋" w:eastAsia="仿宋" w:cs="仿宋"/>
          <w:b/>
          <w:color w:val="000000"/>
          <w:szCs w:val="21"/>
          <w:lang w:eastAsia="zh-CN"/>
        </w:rPr>
        <w:t>项目</w:t>
      </w:r>
      <w:r>
        <w:rPr>
          <w:rFonts w:hint="eastAsia" w:ascii="仿宋" w:hAnsi="仿宋" w:eastAsia="仿宋" w:cs="仿宋"/>
          <w:b/>
          <w:color w:val="000000"/>
          <w:szCs w:val="21"/>
        </w:rPr>
        <w:t>概况</w:t>
      </w:r>
    </w:p>
    <w:p w14:paraId="707B4B71">
      <w:pPr>
        <w:spacing w:line="360" w:lineRule="auto"/>
        <w:ind w:firstLine="420" w:firstLineChars="200"/>
        <w:rPr>
          <w:rFonts w:hint="eastAsia" w:ascii="仿宋" w:hAnsi="仿宋" w:eastAsia="仿宋" w:cs="仿宋"/>
          <w:color w:val="000000"/>
          <w:szCs w:val="21"/>
          <w:u w:val="single"/>
          <w:lang w:val="en-US" w:eastAsia="zh-CN"/>
        </w:rPr>
      </w:pPr>
      <w:r>
        <w:rPr>
          <w:rFonts w:hint="eastAsia" w:ascii="仿宋" w:hAnsi="仿宋" w:eastAsia="仿宋" w:cs="仿宋"/>
          <w:color w:val="000000"/>
          <w:szCs w:val="21"/>
        </w:rPr>
        <w:t>项目名称：</w:t>
      </w:r>
      <w:r>
        <w:rPr>
          <w:rFonts w:hint="eastAsia" w:ascii="仿宋" w:hAnsi="仿宋" w:eastAsia="仿宋" w:cs="仿宋"/>
          <w:color w:val="000000"/>
          <w:szCs w:val="21"/>
          <w:u w:val="single"/>
          <w:lang w:val="en-US" w:eastAsia="zh-CN"/>
        </w:rPr>
        <w:t xml:space="preserve">                                </w:t>
      </w:r>
    </w:p>
    <w:p w14:paraId="5A6CA40E">
      <w:pPr>
        <w:spacing w:line="360" w:lineRule="auto"/>
        <w:ind w:firstLine="420" w:firstLineChars="200"/>
        <w:rPr>
          <w:rFonts w:hint="eastAsia" w:ascii="仿宋" w:hAnsi="仿宋" w:eastAsia="仿宋" w:cs="仿宋"/>
          <w:bCs/>
          <w:color w:val="000000"/>
          <w:szCs w:val="21"/>
          <w:u w:val="single"/>
          <w:lang w:val="en-US" w:eastAsia="zh-CN"/>
        </w:rPr>
      </w:pPr>
      <w:r>
        <w:rPr>
          <w:rFonts w:hint="eastAsia" w:ascii="仿宋" w:hAnsi="仿宋" w:eastAsia="仿宋" w:cs="仿宋"/>
          <w:color w:val="000000"/>
          <w:szCs w:val="21"/>
          <w:lang w:eastAsia="zh-CN"/>
        </w:rPr>
        <w:t>服务</w:t>
      </w:r>
      <w:r>
        <w:rPr>
          <w:rFonts w:hint="eastAsia" w:ascii="仿宋" w:hAnsi="仿宋" w:eastAsia="仿宋" w:cs="仿宋"/>
          <w:color w:val="000000"/>
          <w:szCs w:val="21"/>
        </w:rPr>
        <w:t>地点：</w:t>
      </w:r>
      <w:r>
        <w:rPr>
          <w:rFonts w:hint="eastAsia" w:ascii="仿宋" w:hAnsi="仿宋" w:eastAsia="仿宋" w:cs="仿宋"/>
          <w:bCs/>
          <w:color w:val="000000"/>
          <w:szCs w:val="21"/>
          <w:u w:val="single"/>
          <w:lang w:val="en-US" w:eastAsia="zh-CN"/>
        </w:rPr>
        <w:t xml:space="preserve">                                </w:t>
      </w:r>
    </w:p>
    <w:p w14:paraId="5C43F6EF">
      <w:pPr>
        <w:spacing w:line="360" w:lineRule="auto"/>
        <w:ind w:firstLine="420" w:firstLineChars="200"/>
        <w:rPr>
          <w:rFonts w:hint="eastAsia" w:ascii="仿宋" w:hAnsi="仿宋" w:eastAsia="仿宋" w:cs="仿宋"/>
          <w:lang w:val="en-US" w:eastAsia="zh-CN"/>
        </w:rPr>
      </w:pPr>
      <w:r>
        <w:rPr>
          <w:rFonts w:hint="eastAsia" w:ascii="仿宋" w:hAnsi="仿宋" w:eastAsia="仿宋" w:cs="仿宋"/>
          <w:color w:val="000000"/>
          <w:szCs w:val="21"/>
          <w:lang w:eastAsia="zh-CN"/>
        </w:rPr>
        <w:t>服务期限</w:t>
      </w:r>
      <w:r>
        <w:rPr>
          <w:rFonts w:hint="eastAsia" w:ascii="仿宋" w:hAnsi="仿宋" w:eastAsia="仿宋" w:cs="仿宋"/>
          <w:color w:val="000000"/>
          <w:szCs w:val="21"/>
        </w:rPr>
        <w:t>：</w:t>
      </w:r>
      <w:r>
        <w:rPr>
          <w:rFonts w:hint="eastAsia" w:ascii="仿宋" w:hAnsi="仿宋" w:eastAsia="仿宋" w:cs="仿宋"/>
          <w:bCs/>
          <w:color w:val="000000"/>
          <w:szCs w:val="21"/>
          <w:u w:val="single"/>
          <w:lang w:val="en-US" w:eastAsia="zh-CN"/>
        </w:rPr>
        <w:t xml:space="preserve">                                </w:t>
      </w:r>
    </w:p>
    <w:p w14:paraId="0AF413B0">
      <w:pPr>
        <w:spacing w:line="30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第二条：合同金额及款项支付</w:t>
      </w:r>
    </w:p>
    <w:p w14:paraId="1785EF76">
      <w:pPr>
        <w:numPr>
          <w:ilvl w:val="0"/>
          <w:numId w:val="0"/>
        </w:numPr>
        <w:spacing w:line="30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1.中标折扣率</w:t>
      </w:r>
      <w:r>
        <w:rPr>
          <w:rFonts w:hint="eastAsia" w:ascii="仿宋" w:hAnsi="仿宋" w:eastAsia="仿宋" w:cs="仿宋"/>
          <w:szCs w:val="21"/>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w:t>
      </w:r>
    </w:p>
    <w:p w14:paraId="2F07FFD1">
      <w:pPr>
        <w:numPr>
          <w:ilvl w:val="0"/>
          <w:numId w:val="0"/>
        </w:numPr>
        <w:spacing w:line="500" w:lineRule="exact"/>
        <w:ind w:leftChars="0" w:firstLine="420" w:firstLineChars="200"/>
        <w:rPr>
          <w:rFonts w:hint="eastAsia" w:ascii="仿宋" w:hAnsi="仿宋" w:eastAsia="仿宋" w:cs="仿宋"/>
          <w:b w:val="0"/>
          <w:bCs/>
          <w:color w:val="000000" w:themeColor="text1"/>
          <w:sz w:val="21"/>
          <w:szCs w:val="21"/>
          <w:lang w:val="en-US"/>
          <w14:textFill>
            <w14:solidFill>
              <w14:schemeClr w14:val="tx1"/>
            </w14:solidFill>
          </w14:textFill>
        </w:rPr>
      </w:pPr>
      <w:r>
        <w:rPr>
          <w:rFonts w:hint="eastAsia" w:ascii="仿宋" w:hAnsi="仿宋" w:eastAsia="仿宋" w:cs="仿宋"/>
          <w:szCs w:val="21"/>
          <w:lang w:val="en-US" w:eastAsia="zh-CN"/>
        </w:rPr>
        <w:t>2.</w:t>
      </w:r>
      <w:r>
        <w:rPr>
          <w:rFonts w:hint="eastAsia" w:ascii="仿宋" w:hAnsi="仿宋" w:eastAsia="仿宋" w:cs="仿宋"/>
          <w:szCs w:val="21"/>
        </w:rPr>
        <w:t>中标后的</w:t>
      </w:r>
      <w:r>
        <w:rPr>
          <w:rFonts w:hint="eastAsia" w:ascii="仿宋" w:hAnsi="仿宋" w:eastAsia="仿宋" w:cs="仿宋"/>
          <w:szCs w:val="21"/>
          <w:lang w:eastAsia="zh-CN"/>
        </w:rPr>
        <w:t>结算</w:t>
      </w:r>
      <w:r>
        <w:rPr>
          <w:rFonts w:hint="eastAsia" w:ascii="仿宋" w:hAnsi="仿宋" w:eastAsia="仿宋" w:cs="仿宋"/>
          <w:szCs w:val="21"/>
        </w:rPr>
        <w:t>单价=</w:t>
      </w:r>
      <w:r>
        <w:rPr>
          <w:rFonts w:hint="eastAsia" w:ascii="仿宋" w:hAnsi="仿宋" w:eastAsia="仿宋" w:cs="仿宋"/>
          <w:szCs w:val="21"/>
          <w:lang w:val="en-US" w:eastAsia="zh-CN"/>
        </w:rPr>
        <w:t>定价表</w:t>
      </w:r>
      <w:r>
        <w:rPr>
          <w:rFonts w:hint="eastAsia" w:ascii="仿宋" w:hAnsi="仿宋" w:eastAsia="仿宋" w:cs="仿宋"/>
          <w:szCs w:val="21"/>
          <w:lang w:eastAsia="zh-CN"/>
        </w:rPr>
        <w:t>单</w:t>
      </w:r>
      <w:r>
        <w:rPr>
          <w:rFonts w:hint="eastAsia" w:ascii="仿宋" w:hAnsi="仿宋" w:eastAsia="仿宋" w:cs="仿宋"/>
          <w:szCs w:val="21"/>
        </w:rPr>
        <w:t>价×</w:t>
      </w:r>
      <w:r>
        <w:rPr>
          <w:rFonts w:hint="eastAsia" w:ascii="仿宋" w:hAnsi="仿宋" w:eastAsia="仿宋" w:cs="仿宋"/>
          <w:szCs w:val="21"/>
          <w:lang w:eastAsia="zh-CN"/>
        </w:rPr>
        <w:t>优惠折扣（</w:t>
      </w:r>
      <w:r>
        <w:rPr>
          <w:rFonts w:hint="eastAsia" w:ascii="仿宋" w:hAnsi="仿宋" w:eastAsia="仿宋" w:cs="仿宋"/>
          <w:szCs w:val="21"/>
          <w:lang w:val="en-US" w:eastAsia="zh-CN"/>
        </w:rPr>
        <w:t>%）(</w:t>
      </w:r>
      <w:r>
        <w:rPr>
          <w:rFonts w:hint="eastAsia" w:ascii="仿宋" w:hAnsi="仿宋" w:eastAsia="仿宋" w:cs="仿宋"/>
          <w:b w:val="0"/>
          <w:bCs/>
          <w:color w:val="000000" w:themeColor="text1"/>
          <w:sz w:val="21"/>
          <w:szCs w:val="21"/>
          <w:lang w:eastAsia="zh-CN"/>
          <w14:textFill>
            <w14:solidFill>
              <w14:schemeClr w14:val="tx1"/>
            </w14:solidFill>
          </w14:textFill>
        </w:rPr>
        <w:t>举例说明：填报</w:t>
      </w:r>
      <w:r>
        <w:rPr>
          <w:rFonts w:hint="eastAsia" w:ascii="仿宋" w:hAnsi="仿宋" w:eastAsia="仿宋" w:cs="仿宋"/>
          <w:b w:val="0"/>
          <w:bCs/>
          <w:color w:val="000000" w:themeColor="text1"/>
          <w:sz w:val="21"/>
          <w:szCs w:val="21"/>
          <w:lang w:val="en-US" w:eastAsia="zh-CN"/>
          <w14:textFill>
            <w14:solidFill>
              <w14:schemeClr w14:val="tx1"/>
            </w14:solidFill>
          </w14:textFill>
        </w:rPr>
        <w:t>85%即八五折；中标后的结算单价=定价表单价×优惠折扣85%)。</w:t>
      </w:r>
    </w:p>
    <w:p w14:paraId="1A775CB0">
      <w:pPr>
        <w:spacing w:line="300" w:lineRule="auto"/>
        <w:ind w:firstLine="420" w:firstLineChars="200"/>
        <w:rPr>
          <w:rFonts w:hint="eastAsia" w:ascii="仿宋" w:hAnsi="仿宋" w:eastAsia="仿宋" w:cs="仿宋"/>
          <w:color w:val="000000"/>
          <w:szCs w:val="21"/>
          <w:u w:val="single"/>
        </w:rPr>
      </w:pPr>
      <w:r>
        <w:rPr>
          <w:rFonts w:hint="eastAsia" w:ascii="仿宋" w:hAnsi="仿宋" w:eastAsia="仿宋" w:cs="仿宋"/>
          <w:szCs w:val="21"/>
          <w:lang w:val="en-US" w:eastAsia="zh-CN"/>
        </w:rPr>
        <w:t>3</w:t>
      </w:r>
      <w:r>
        <w:rPr>
          <w:rFonts w:hint="eastAsia" w:ascii="仿宋" w:hAnsi="仿宋" w:eastAsia="仿宋" w:cs="仿宋"/>
          <w:szCs w:val="21"/>
        </w:rPr>
        <w:t>.付款方式：</w:t>
      </w:r>
      <w:r>
        <w:rPr>
          <w:rFonts w:hint="eastAsia" w:ascii="仿宋" w:hAnsi="仿宋" w:eastAsia="仿宋" w:cs="仿宋"/>
          <w:szCs w:val="21"/>
          <w:u w:val="single"/>
        </w:rPr>
        <w:t xml:space="preserve">         （按照第三章采购需求相应规定填写）    </w:t>
      </w:r>
      <w:r>
        <w:rPr>
          <w:rFonts w:hint="eastAsia" w:ascii="仿宋" w:hAnsi="仿宋" w:eastAsia="仿宋" w:cs="仿宋"/>
          <w:szCs w:val="21"/>
        </w:rPr>
        <w:t>。</w:t>
      </w:r>
    </w:p>
    <w:p w14:paraId="1F3701C6">
      <w:pPr>
        <w:spacing w:line="360" w:lineRule="auto"/>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第</w:t>
      </w:r>
      <w:r>
        <w:rPr>
          <w:rFonts w:hint="eastAsia" w:ascii="仿宋" w:hAnsi="仿宋" w:eastAsia="仿宋" w:cs="仿宋"/>
          <w:b/>
          <w:color w:val="000000"/>
          <w:szCs w:val="21"/>
          <w:lang w:eastAsia="zh-CN"/>
        </w:rPr>
        <w:t>三</w:t>
      </w:r>
      <w:r>
        <w:rPr>
          <w:rFonts w:hint="eastAsia" w:ascii="仿宋" w:hAnsi="仿宋" w:eastAsia="仿宋" w:cs="仿宋"/>
          <w:b/>
          <w:color w:val="000000"/>
          <w:szCs w:val="21"/>
        </w:rPr>
        <w:t>条：</w:t>
      </w:r>
      <w:r>
        <w:rPr>
          <w:rFonts w:hint="eastAsia" w:ascii="仿宋" w:hAnsi="仿宋" w:eastAsia="仿宋" w:cs="仿宋"/>
          <w:b/>
          <w:color w:val="000000"/>
          <w:szCs w:val="21"/>
          <w:lang w:eastAsia="zh-CN"/>
        </w:rPr>
        <w:t>服务要求</w:t>
      </w:r>
    </w:p>
    <w:p w14:paraId="2F22F29F">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1.根据项目要求，开展调解员管理、职业培训等工作。由于调解服务事项特殊性，调解员需通过采购单位的培训和考核，考核通过的调解员方可上岗，如更换调解员需得到采购单位的同意。</w:t>
      </w:r>
    </w:p>
    <w:p w14:paraId="0AF27A04">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2.按照法律法规，并结合实际，制定内部管理规章制度。</w:t>
      </w:r>
    </w:p>
    <w:p w14:paraId="7F8D1FE9">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3.遵守社会组织管理法规和合同规定的要求，确保完成服务目标，并承担相应责任，自觉接受采购人的检查监督。</w:t>
      </w:r>
    </w:p>
    <w:p w14:paraId="46534C71">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4.在合同终止后向采购人移交全部提供使用相关财物、管理档案及有关工作服务对象的所有资料。</w:t>
      </w:r>
    </w:p>
    <w:p w14:paraId="7ABF5AE0">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5.接受采购人的监督、年度评估、重大事项的调查和纠纷处理。</w:t>
      </w:r>
    </w:p>
    <w:p w14:paraId="030871A0">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6.落实考评小组在考核评估中提出的问题和建议，考核评估内容中标后由采购单位提供。</w:t>
      </w:r>
    </w:p>
    <w:p w14:paraId="538B3D1C">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7.应在约定的服务区域内开展服务，认真完成服务项目内容。若因实际需要而修正服务内容的，需与采购人协商，并获审核批准后方可实施。</w:t>
      </w:r>
    </w:p>
    <w:p w14:paraId="142F8EE0">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8、不得泄露在工作中获悉的涉及工作服务对象个人隐私、涉及国家秘密等的相关信息。</w:t>
      </w:r>
    </w:p>
    <w:p w14:paraId="234CC5DF">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9、加强自身建设，完善管理机制，提升专业化服务水平。</w:t>
      </w:r>
    </w:p>
    <w:p w14:paraId="28E3E31D">
      <w:pPr>
        <w:spacing w:line="360" w:lineRule="auto"/>
        <w:ind w:firstLine="420" w:firstLineChars="200"/>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10、政策规定中标人承担的其他责任。</w:t>
      </w:r>
    </w:p>
    <w:p w14:paraId="7F6B2146">
      <w:pPr>
        <w:spacing w:line="360" w:lineRule="auto"/>
        <w:ind w:firstLine="422" w:firstLineChars="200"/>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第四条：调解人员要求</w:t>
      </w:r>
    </w:p>
    <w:p w14:paraId="34E809D5">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根据近三年调解案件的工作量计算，本项目拟派人员数量应不少于22名；从事人民调解工作的调解员，应满足以下条件：</w:t>
      </w:r>
    </w:p>
    <w:p w14:paraId="2FA81A1E">
      <w:pPr>
        <w:spacing w:line="36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1.为人正派、办事公正、熟悉群众，能热心调解工作，具有一定法律、政策水平；具有一定日常办公文档编辑工作基础；开展现场调解应规范着装，佩带工作证；</w:t>
      </w:r>
    </w:p>
    <w:p w14:paraId="7F95FE46">
      <w:pPr>
        <w:spacing w:line="360" w:lineRule="auto"/>
        <w:ind w:firstLine="420" w:firstLineChars="200"/>
        <w:rPr>
          <w:rFonts w:hint="eastAsia" w:ascii="仿宋" w:hAnsi="仿宋" w:eastAsia="仿宋" w:cs="仿宋"/>
          <w:b/>
          <w:bCs w:val="0"/>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2.熟悉当地（行业、系统）情况，有调解社会矛盾纠纷的经验。</w:t>
      </w:r>
    </w:p>
    <w:p w14:paraId="2571942F">
      <w:pPr>
        <w:spacing w:line="360" w:lineRule="auto"/>
        <w:ind w:firstLine="422" w:firstLineChars="200"/>
        <w:rPr>
          <w:rFonts w:hint="eastAsia" w:ascii="仿宋" w:hAnsi="仿宋" w:eastAsia="仿宋" w:cs="仿宋"/>
          <w:b/>
          <w:color w:val="000000"/>
          <w:szCs w:val="21"/>
          <w:lang w:val="zh-CN"/>
        </w:rPr>
      </w:pPr>
      <w:r>
        <w:rPr>
          <w:rFonts w:hint="eastAsia" w:ascii="仿宋" w:hAnsi="仿宋" w:eastAsia="仿宋" w:cs="仿宋"/>
          <w:b/>
          <w:color w:val="000000"/>
          <w:szCs w:val="21"/>
          <w:lang w:val="zh-CN"/>
        </w:rPr>
        <w:t>第五条：违约责任</w:t>
      </w:r>
    </w:p>
    <w:p w14:paraId="23209364">
      <w:pPr>
        <w:spacing w:line="360" w:lineRule="auto"/>
        <w:ind w:firstLine="420" w:firstLineChars="200"/>
        <w:rPr>
          <w:rFonts w:hint="eastAsia" w:ascii="仿宋" w:hAnsi="仿宋" w:eastAsia="仿宋" w:cs="仿宋"/>
          <w:lang w:val="zh-CN"/>
        </w:rPr>
      </w:pPr>
      <w:r>
        <w:rPr>
          <w:rFonts w:hint="eastAsia" w:ascii="仿宋" w:hAnsi="仿宋" w:eastAsia="仿宋" w:cs="仿宋"/>
          <w:lang w:val="zh-CN"/>
        </w:rPr>
        <w:t>1．甲方无正当理由拒收接受服务的，甲方向乙方偿付合同款项</w:t>
      </w:r>
      <w:r>
        <w:rPr>
          <w:rFonts w:hint="eastAsia" w:ascii="仿宋" w:hAnsi="仿宋" w:eastAsia="仿宋" w:cs="仿宋"/>
          <w:u w:val="single"/>
        </w:rPr>
        <w:t xml:space="preserve"> 1 </w:t>
      </w:r>
      <w:r>
        <w:rPr>
          <w:rFonts w:hint="eastAsia" w:ascii="仿宋" w:hAnsi="仿宋" w:eastAsia="仿宋" w:cs="仿宋"/>
        </w:rPr>
        <w:t>%</w:t>
      </w:r>
      <w:r>
        <w:rPr>
          <w:rFonts w:hint="eastAsia" w:ascii="仿宋" w:hAnsi="仿宋" w:eastAsia="仿宋" w:cs="仿宋"/>
          <w:lang w:val="zh-CN"/>
        </w:rPr>
        <w:t>作为违约金。</w:t>
      </w:r>
    </w:p>
    <w:p w14:paraId="095C7D9C">
      <w:pPr>
        <w:spacing w:line="360" w:lineRule="auto"/>
        <w:ind w:firstLine="420" w:firstLineChars="200"/>
        <w:rPr>
          <w:rFonts w:hint="eastAsia" w:ascii="仿宋" w:hAnsi="仿宋" w:eastAsia="仿宋" w:cs="仿宋"/>
          <w:lang w:val="zh-CN"/>
        </w:rPr>
      </w:pPr>
      <w:r>
        <w:rPr>
          <w:rFonts w:hint="eastAsia" w:ascii="仿宋" w:hAnsi="仿宋" w:eastAsia="仿宋" w:cs="仿宋"/>
          <w:lang w:val="zh-CN"/>
        </w:rPr>
        <w:t>2．甲方无故逾期验收和办理款项支付手续的,甲方应按逾期付款总额每日</w:t>
      </w:r>
      <w:r>
        <w:rPr>
          <w:rFonts w:hint="eastAsia" w:ascii="仿宋" w:hAnsi="仿宋" w:eastAsia="仿宋" w:cs="仿宋"/>
          <w:u w:val="single"/>
        </w:rPr>
        <w:t xml:space="preserve">     </w:t>
      </w:r>
      <w:r>
        <w:rPr>
          <w:rFonts w:hint="eastAsia" w:ascii="仿宋" w:hAnsi="仿宋" w:eastAsia="仿宋" w:cs="仿宋"/>
          <w:lang w:val="zh-CN"/>
        </w:rPr>
        <w:t>向乙方支付违约金。</w:t>
      </w:r>
    </w:p>
    <w:p w14:paraId="55E34FFA">
      <w:pPr>
        <w:spacing w:line="360" w:lineRule="auto"/>
        <w:ind w:firstLine="420" w:firstLineChars="200"/>
        <w:rPr>
          <w:rFonts w:hint="eastAsia" w:ascii="仿宋" w:hAnsi="仿宋" w:eastAsia="仿宋" w:cs="仿宋"/>
          <w:color w:val="000000"/>
          <w:sz w:val="24"/>
        </w:rPr>
      </w:pPr>
      <w:r>
        <w:rPr>
          <w:rFonts w:hint="eastAsia" w:ascii="仿宋" w:hAnsi="仿宋" w:eastAsia="仿宋" w:cs="仿宋"/>
          <w:lang w:val="zh-CN"/>
        </w:rPr>
        <w:t>3． 乙方未能如期提供服务的，每日向甲方支付合同款项的</w:t>
      </w:r>
      <w:r>
        <w:rPr>
          <w:rFonts w:hint="eastAsia" w:ascii="仿宋" w:hAnsi="仿宋" w:eastAsia="仿宋" w:cs="仿宋"/>
          <w:u w:val="single"/>
        </w:rPr>
        <w:t xml:space="preserve">       </w:t>
      </w:r>
      <w:r>
        <w:rPr>
          <w:rFonts w:hint="eastAsia" w:ascii="仿宋" w:hAnsi="仿宋" w:eastAsia="仿宋" w:cs="仿宋"/>
          <w:lang w:val="zh-CN"/>
        </w:rPr>
        <w:t>作为违约金。乙方超过约定日期</w:t>
      </w:r>
      <w:r>
        <w:rPr>
          <w:rFonts w:hint="eastAsia" w:ascii="仿宋" w:hAnsi="仿宋" w:eastAsia="仿宋" w:cs="仿宋"/>
          <w:u w:val="single"/>
        </w:rPr>
        <w:t xml:space="preserve">     </w:t>
      </w:r>
      <w:r>
        <w:rPr>
          <w:rFonts w:hint="eastAsia" w:ascii="仿宋" w:hAnsi="仿宋" w:eastAsia="仿宋" w:cs="仿宋"/>
          <w:lang w:val="zh-CN"/>
        </w:rPr>
        <w:t>个工作日仍不能提供服务的，甲方可解除本合同。乙方因未能如期提供服务或因其他违约行为导致甲方解除合同的，乙方应向甲方支付合同总值</w:t>
      </w:r>
      <w:r>
        <w:rPr>
          <w:rFonts w:hint="eastAsia" w:ascii="仿宋" w:hAnsi="仿宋" w:eastAsia="仿宋" w:cs="仿宋"/>
          <w:u w:val="single"/>
        </w:rPr>
        <w:t xml:space="preserve">    </w:t>
      </w:r>
      <w:r>
        <w:rPr>
          <w:rFonts w:hint="eastAsia" w:ascii="仿宋" w:hAnsi="仿宋" w:eastAsia="仿宋" w:cs="仿宋"/>
          <w:lang w:val="zh-CN"/>
        </w:rPr>
        <w:t xml:space="preserve">的违约金，如造成甲方损失超过违约金的，超出部分由乙方继续承担赔偿责任。 </w:t>
      </w:r>
    </w:p>
    <w:p w14:paraId="4E4A3C74">
      <w:pPr>
        <w:spacing w:line="360" w:lineRule="auto"/>
        <w:ind w:firstLine="422" w:firstLineChars="200"/>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第六条：履约保证金</w:t>
      </w:r>
    </w:p>
    <w:p w14:paraId="579E70F7">
      <w:pPr>
        <w:keepNext w:val="0"/>
        <w:keepLines w:val="0"/>
        <w:pageBreakBefore w:val="0"/>
        <w:widowControl w:val="0"/>
        <w:kinsoku/>
        <w:wordWrap w:val="0"/>
        <w:overflowPunct/>
        <w:topLinePunct w:val="0"/>
        <w:autoSpaceDE/>
        <w:autoSpaceDN/>
        <w:bidi w:val="0"/>
        <w:adjustRightInd/>
        <w:snapToGrid/>
        <w:spacing w:line="300" w:lineRule="auto"/>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1.本项目履约保证金金额为中标金额的</w:t>
      </w:r>
      <w:r>
        <w:rPr>
          <w:rFonts w:hint="eastAsia" w:ascii="仿宋" w:hAnsi="仿宋" w:eastAsia="仿宋" w:cs="仿宋"/>
          <w:b/>
          <w:bCs w:val="0"/>
          <w:color w:val="auto"/>
          <w:sz w:val="21"/>
          <w:szCs w:val="21"/>
          <w:highlight w:val="none"/>
          <w:lang w:val="en-US" w:eastAsia="zh-CN"/>
        </w:rPr>
        <w:t>1</w:t>
      </w:r>
      <w:r>
        <w:rPr>
          <w:rFonts w:hint="eastAsia" w:ascii="仿宋" w:hAnsi="仿宋" w:eastAsia="仿宋" w:cs="仿宋"/>
          <w:b/>
          <w:bCs w:val="0"/>
          <w:color w:val="auto"/>
          <w:sz w:val="21"/>
          <w:szCs w:val="21"/>
          <w:highlight w:val="none"/>
        </w:rPr>
        <w:t>%</w:t>
      </w:r>
      <w:r>
        <w:rPr>
          <w:rFonts w:hint="eastAsia" w:ascii="仿宋" w:hAnsi="仿宋" w:eastAsia="仿宋" w:cs="仿宋"/>
          <w:bCs/>
          <w:color w:val="auto"/>
          <w:sz w:val="21"/>
          <w:szCs w:val="21"/>
          <w:highlight w:val="none"/>
        </w:rPr>
        <w:t>，由中标单位在签订采购合同后5个工作日内向采购人账户以合同约定的形式缴纳。</w:t>
      </w:r>
    </w:p>
    <w:p w14:paraId="6ECF9B79">
      <w:pPr>
        <w:widowControl/>
        <w:spacing w:line="360" w:lineRule="auto"/>
        <w:ind w:firstLine="420" w:firstLineChars="200"/>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bCs/>
          <w:color w:val="auto"/>
          <w:sz w:val="21"/>
          <w:szCs w:val="21"/>
          <w:highlight w:val="none"/>
        </w:rPr>
        <w:t>2.合同履行完毕后7个工作日内无息退还履约保证金。</w:t>
      </w:r>
    </w:p>
    <w:p w14:paraId="139B2EC6">
      <w:pPr>
        <w:spacing w:line="360" w:lineRule="auto"/>
        <w:ind w:firstLine="422" w:firstLineChars="200"/>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第七条：转包或分包</w:t>
      </w:r>
    </w:p>
    <w:p w14:paraId="4900901A">
      <w:pPr>
        <w:widowControl/>
        <w:spacing w:line="360" w:lineRule="auto"/>
        <w:ind w:firstLine="420" w:firstLineChars="200"/>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1.本合同范围的服务，应由乙方直接供应，不得转让他人供应；</w:t>
      </w:r>
    </w:p>
    <w:p w14:paraId="2B3F360E">
      <w:pPr>
        <w:widowControl/>
        <w:spacing w:line="360" w:lineRule="auto"/>
        <w:ind w:firstLine="420" w:firstLineChars="200"/>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2.除非得到甲方的书面同意，乙方不得将本合同部分分包给他人供应；</w:t>
      </w:r>
    </w:p>
    <w:p w14:paraId="20958D39">
      <w:pPr>
        <w:widowControl/>
        <w:spacing w:line="360" w:lineRule="auto"/>
        <w:ind w:firstLine="420" w:firstLineChars="200"/>
        <w:jc w:val="left"/>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3.如有转让和未经甲方同意的分包行为，甲方有权解除合同，没收履约保证金并追究乙方的违约责任。</w:t>
      </w:r>
    </w:p>
    <w:p w14:paraId="2CC65D44">
      <w:pPr>
        <w:spacing w:line="360" w:lineRule="auto"/>
        <w:ind w:firstLine="422" w:firstLineChars="200"/>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第八条：不可抗力事件处理</w:t>
      </w:r>
    </w:p>
    <w:p w14:paraId="2F3C4AA2">
      <w:pPr>
        <w:widowControl/>
        <w:numPr>
          <w:ilvl w:val="0"/>
          <w:numId w:val="0"/>
        </w:numPr>
        <w:spacing w:line="360" w:lineRule="auto"/>
        <w:ind w:leftChars="0"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1.在合同有效期内，任何一方因不可抗力事件导致不能履行合同，则合同履行期可延长，其延长期与不可抗力影响期相同。</w:t>
      </w:r>
    </w:p>
    <w:p w14:paraId="3D1E5DB9">
      <w:pPr>
        <w:widowControl/>
        <w:numPr>
          <w:ilvl w:val="0"/>
          <w:numId w:val="0"/>
        </w:numPr>
        <w:spacing w:line="360" w:lineRule="auto"/>
        <w:ind w:leftChars="0"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2.不可抗力事件发生后，应立即通知对方，并寄送有关权威机构出具的证明。不可抗力事件延续 120 天以上，双方应通过友好协商，确定是否继续履行合同。</w:t>
      </w:r>
    </w:p>
    <w:p w14:paraId="1837F2E5">
      <w:pPr>
        <w:spacing w:line="300" w:lineRule="auto"/>
        <w:ind w:firstLine="422" w:firstLineChars="200"/>
        <w:jc w:val="left"/>
        <w:rPr>
          <w:rFonts w:hint="eastAsia" w:ascii="仿宋" w:hAnsi="仿宋" w:eastAsia="仿宋" w:cs="仿宋"/>
          <w:b/>
          <w:szCs w:val="21"/>
        </w:rPr>
      </w:pPr>
      <w:r>
        <w:rPr>
          <w:rFonts w:hint="eastAsia" w:ascii="仿宋" w:hAnsi="仿宋" w:eastAsia="仿宋" w:cs="仿宋"/>
          <w:b/>
          <w:szCs w:val="21"/>
          <w:lang w:eastAsia="zh-CN"/>
        </w:rPr>
        <w:t>九</w:t>
      </w:r>
      <w:r>
        <w:rPr>
          <w:rFonts w:hint="eastAsia" w:ascii="仿宋" w:hAnsi="仿宋" w:eastAsia="仿宋" w:cs="仿宋"/>
          <w:b/>
          <w:szCs w:val="21"/>
        </w:rPr>
        <w:t>、争议的解决</w:t>
      </w:r>
    </w:p>
    <w:p w14:paraId="3F982A4B">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双方在履行合同过程中产生争议时，应首先通过友好协商解决，如果协商不能解决争议，则采取以下第</w:t>
      </w:r>
      <w:r>
        <w:rPr>
          <w:rFonts w:hint="eastAsia" w:ascii="仿宋" w:hAnsi="仿宋" w:eastAsia="仿宋" w:cs="仿宋"/>
          <w:szCs w:val="21"/>
          <w:u w:val="single"/>
        </w:rPr>
        <w:t>（1）</w:t>
      </w:r>
      <w:r>
        <w:rPr>
          <w:rFonts w:hint="eastAsia" w:ascii="仿宋" w:hAnsi="仿宋" w:eastAsia="仿宋" w:cs="仿宋"/>
          <w:szCs w:val="21"/>
        </w:rPr>
        <w:t>种方式处理：</w:t>
      </w:r>
    </w:p>
    <w:p w14:paraId="2045C069">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（1）向常山县人民法院提起诉讼；</w:t>
      </w:r>
    </w:p>
    <w:p w14:paraId="7B8C0B1A">
      <w:pPr>
        <w:spacing w:line="300" w:lineRule="auto"/>
        <w:ind w:firstLine="420" w:firstLineChars="200"/>
        <w:rPr>
          <w:rFonts w:hint="eastAsia" w:ascii="仿宋" w:hAnsi="仿宋" w:eastAsia="仿宋" w:cs="仿宋"/>
        </w:rPr>
      </w:pPr>
      <w:r>
        <w:rPr>
          <w:rFonts w:hint="eastAsia" w:ascii="仿宋" w:hAnsi="仿宋" w:eastAsia="仿宋" w:cs="仿宋"/>
          <w:szCs w:val="21"/>
        </w:rPr>
        <w:t>（2）向衢州仲裁委员会提请仲裁。</w:t>
      </w:r>
    </w:p>
    <w:p w14:paraId="36B668BA">
      <w:pPr>
        <w:spacing w:line="360" w:lineRule="auto"/>
        <w:ind w:firstLine="422" w:firstLineChars="200"/>
        <w:rPr>
          <w:rFonts w:hint="eastAsia" w:ascii="仿宋" w:hAnsi="仿宋" w:eastAsia="仿宋" w:cs="仿宋"/>
          <w:b/>
          <w:color w:val="000000"/>
          <w:szCs w:val="21"/>
          <w:lang w:val="en-US" w:eastAsia="zh-CN"/>
        </w:rPr>
      </w:pPr>
      <w:r>
        <w:rPr>
          <w:rFonts w:hint="eastAsia" w:ascii="仿宋" w:hAnsi="仿宋" w:eastAsia="仿宋" w:cs="仿宋"/>
          <w:b/>
          <w:color w:val="000000"/>
          <w:szCs w:val="21"/>
          <w:lang w:val="en-US" w:eastAsia="zh-CN"/>
        </w:rPr>
        <w:t>第十条：合同生效</w:t>
      </w:r>
    </w:p>
    <w:p w14:paraId="05DB6ACE">
      <w:pPr>
        <w:widowControl/>
        <w:numPr>
          <w:ilvl w:val="0"/>
          <w:numId w:val="0"/>
        </w:numPr>
        <w:spacing w:line="360" w:lineRule="auto"/>
        <w:ind w:leftChars="0"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1.合同经双方法定代表人或授权代表签字并加盖单位公章后生效。</w:t>
      </w:r>
    </w:p>
    <w:p w14:paraId="35BAF002">
      <w:pPr>
        <w:widowControl/>
        <w:numPr>
          <w:ilvl w:val="0"/>
          <w:numId w:val="0"/>
        </w:numPr>
        <w:spacing w:line="360" w:lineRule="auto"/>
        <w:ind w:leftChars="0"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2.合同执行中涉及采购资金和采购内容修改或补充的，须经相关部门审批，并签书面补充协议报相关监督管理部门备案，方可作为主合同不可分割的一部分。</w:t>
      </w:r>
    </w:p>
    <w:p w14:paraId="00E97C85">
      <w:pPr>
        <w:widowControl/>
        <w:numPr>
          <w:ilvl w:val="0"/>
          <w:numId w:val="0"/>
        </w:numPr>
        <w:spacing w:line="360" w:lineRule="auto"/>
        <w:ind w:leftChars="0"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3.本合同未尽事宜，遵照《中华人民共和国民法典》有关条文执行。</w:t>
      </w:r>
    </w:p>
    <w:p w14:paraId="0563457D">
      <w:pPr>
        <w:widowControl/>
        <w:numPr>
          <w:ilvl w:val="0"/>
          <w:numId w:val="0"/>
        </w:numPr>
        <w:spacing w:line="360" w:lineRule="auto"/>
        <w:ind w:leftChars="0" w:firstLine="420" w:firstLineChars="2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4.本合同一式</w:t>
      </w:r>
      <w:r>
        <w:rPr>
          <w:rFonts w:hint="eastAsia" w:ascii="仿宋" w:hAnsi="仿宋" w:eastAsia="仿宋" w:cs="仿宋"/>
          <w:color w:val="000000" w:themeColor="text1"/>
          <w:kern w:val="0"/>
          <w:szCs w:val="21"/>
          <w:highlight w:val="none"/>
          <w:lang w:eastAsia="zh-CN"/>
          <w14:textFill>
            <w14:solidFill>
              <w14:schemeClr w14:val="tx1"/>
            </w14:solidFill>
          </w14:textFill>
        </w:rPr>
        <w:t>五</w:t>
      </w:r>
      <w:r>
        <w:rPr>
          <w:rFonts w:hint="eastAsia" w:ascii="仿宋" w:hAnsi="仿宋" w:eastAsia="仿宋" w:cs="仿宋"/>
          <w:color w:val="000000" w:themeColor="text1"/>
          <w:kern w:val="0"/>
          <w:szCs w:val="21"/>
          <w:highlight w:val="none"/>
          <w14:textFill>
            <w14:solidFill>
              <w14:schemeClr w14:val="tx1"/>
            </w14:solidFill>
          </w14:textFill>
        </w:rPr>
        <w:t>份，具有同等法律效力，甲乙双方各执</w:t>
      </w:r>
      <w:r>
        <w:rPr>
          <w:rFonts w:hint="eastAsia" w:ascii="仿宋" w:hAnsi="仿宋" w:eastAsia="仿宋" w:cs="仿宋"/>
          <w:color w:val="000000" w:themeColor="text1"/>
          <w:kern w:val="0"/>
          <w:szCs w:val="21"/>
          <w:highlight w:val="none"/>
          <w:lang w:eastAsia="zh-CN"/>
          <w14:textFill>
            <w14:solidFill>
              <w14:schemeClr w14:val="tx1"/>
            </w14:solidFill>
          </w14:textFill>
        </w:rPr>
        <w:t>二</w:t>
      </w:r>
      <w:r>
        <w:rPr>
          <w:rFonts w:hint="eastAsia" w:ascii="仿宋" w:hAnsi="仿宋" w:eastAsia="仿宋" w:cs="仿宋"/>
          <w:color w:val="000000" w:themeColor="text1"/>
          <w:kern w:val="0"/>
          <w:szCs w:val="21"/>
          <w:highlight w:val="none"/>
          <w14:textFill>
            <w14:solidFill>
              <w14:schemeClr w14:val="tx1"/>
            </w14:solidFill>
          </w14:textFill>
        </w:rPr>
        <w:t>份，其余由代理机构送有关单位备案存档。</w:t>
      </w:r>
    </w:p>
    <w:p w14:paraId="659922CD">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p>
    <w:p w14:paraId="04CD06B6">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p>
    <w:p w14:paraId="5AF745EE">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p>
    <w:p w14:paraId="497B7DFA">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p>
    <w:p w14:paraId="3FD0D5A9">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p>
    <w:p w14:paraId="3853CC29">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p>
    <w:p w14:paraId="4BBC322B">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p>
    <w:p w14:paraId="289C72EB">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p>
    <w:p w14:paraId="2722248A">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p>
    <w:p w14:paraId="74A4ED9A">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甲    方：（印章）                    乙    方：（印章）</w:t>
      </w:r>
    </w:p>
    <w:p w14:paraId="5EC6A234">
      <w:pPr>
        <w:widowControl/>
        <w:spacing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全权代表：（签字）                    全权代表：（签字）</w:t>
      </w:r>
    </w:p>
    <w:p w14:paraId="161468C0">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    址：                            地    址：</w:t>
      </w:r>
    </w:p>
    <w:p w14:paraId="274FEE3D">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邮政编码：                            邮政编码：</w:t>
      </w:r>
    </w:p>
    <w:p w14:paraId="5EF56C7D">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电    话：                            电    话：</w:t>
      </w:r>
    </w:p>
    <w:p w14:paraId="2306B646">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传    真：                            传    真：</w:t>
      </w:r>
    </w:p>
    <w:p w14:paraId="5298E9D3">
      <w:pPr>
        <w:widowControl/>
        <w:spacing w:line="360" w:lineRule="auto"/>
        <w:ind w:firstLine="630" w:firstLineChars="3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开户银行：                            开户银行：</w:t>
      </w:r>
    </w:p>
    <w:p w14:paraId="4B53FFD7">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帐    号：                            帐    号：</w:t>
      </w:r>
    </w:p>
    <w:p w14:paraId="471D212F">
      <w:pPr>
        <w:snapToGrid w:val="0"/>
        <w:spacing w:line="360" w:lineRule="auto"/>
        <w:ind w:firstLine="625" w:firstLineChars="29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签约日期：                            签约地点：</w:t>
      </w:r>
    </w:p>
    <w:p w14:paraId="40816C8A">
      <w:pPr>
        <w:pStyle w:val="49"/>
        <w:ind w:firstLine="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14:textFill>
            <w14:solidFill>
              <w14:schemeClr w14:val="tx1"/>
            </w14:solidFill>
          </w14:textFill>
        </w:rPr>
        <w:br w:type="page"/>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704B87CD">
      <w:pPr>
        <w:pStyle w:val="2"/>
        <w:numPr>
          <w:ilvl w:val="0"/>
          <w:numId w:val="0"/>
        </w:numPr>
        <w:jc w:val="center"/>
        <w:rPr>
          <w:rFonts w:hint="eastAsia" w:ascii="仿宋" w:hAnsi="仿宋" w:eastAsia="仿宋" w:cs="仿宋"/>
          <w:b w:val="0"/>
          <w:bCs w:val="0"/>
          <w:color w:val="000000" w:themeColor="text1"/>
          <w:sz w:val="32"/>
          <w:szCs w:val="32"/>
          <w:highlight w:val="none"/>
          <w14:textFill>
            <w14:solidFill>
              <w14:schemeClr w14:val="tx1"/>
            </w14:solidFill>
          </w14:textFill>
        </w:rPr>
      </w:pPr>
      <w:bookmarkStart w:id="113" w:name="_Toc29160"/>
      <w:bookmarkStart w:id="114" w:name="_Toc11240"/>
      <w:bookmarkStart w:id="115" w:name="_Toc9764"/>
      <w:bookmarkStart w:id="116" w:name="_Toc241404207"/>
      <w:bookmarkStart w:id="117" w:name="_Toc222114884"/>
      <w:bookmarkStart w:id="118" w:name="_Toc246261270"/>
      <w:bookmarkStart w:id="119" w:name="_Toc245191319"/>
      <w:bookmarkStart w:id="120" w:name="_Toc410031820"/>
      <w:bookmarkStart w:id="121" w:name="_Toc245722286"/>
      <w:bookmarkStart w:id="122" w:name="_Toc249758870"/>
      <w:bookmarkStart w:id="123" w:name="_Toc249758719"/>
      <w:bookmarkStart w:id="124" w:name="_Toc262049424"/>
      <w:bookmarkStart w:id="125" w:name="_Toc221356956"/>
      <w:bookmarkStart w:id="126" w:name="_Toc262105509"/>
      <w:bookmarkStart w:id="127" w:name="_Toc221356892"/>
      <w:bookmarkStart w:id="128" w:name="_Toc221374631"/>
      <w:bookmarkStart w:id="129" w:name="_Toc223716003"/>
      <w:bookmarkStart w:id="130" w:name="_Toc221423624"/>
      <w:bookmarkStart w:id="131" w:name="_Toc249758718"/>
      <w:bookmarkStart w:id="132" w:name="_Toc239145359"/>
      <w:r>
        <w:rPr>
          <w:rFonts w:hint="eastAsia" w:ascii="仿宋" w:hAnsi="仿宋" w:eastAsia="仿宋" w:cs="仿宋"/>
          <w:b/>
          <w:bCs/>
          <w:color w:val="000000" w:themeColor="text1"/>
          <w:sz w:val="32"/>
          <w:szCs w:val="32"/>
          <w:highlight w:val="none"/>
          <w:lang w:eastAsia="zh-CN"/>
          <w14:textFill>
            <w14:solidFill>
              <w14:schemeClr w14:val="tx1"/>
            </w14:solidFill>
          </w14:textFill>
        </w:rPr>
        <w:t>第五章</w:t>
      </w:r>
      <w:r>
        <w:rPr>
          <w:rFonts w:hint="eastAsia" w:ascii="仿宋" w:hAnsi="仿宋" w:eastAsia="仿宋" w:cs="仿宋"/>
          <w:b/>
          <w:bCs/>
          <w:color w:val="000000" w:themeColor="text1"/>
          <w:sz w:val="32"/>
          <w:szCs w:val="32"/>
          <w:highlight w:val="none"/>
          <w14:textFill>
            <w14:solidFill>
              <w14:schemeClr w14:val="tx1"/>
            </w14:solidFill>
          </w14:textFill>
        </w:rPr>
        <w:t xml:space="preserve">  评标原则及方法</w:t>
      </w:r>
      <w:bookmarkEnd w:id="113"/>
      <w:bookmarkEnd w:id="114"/>
      <w:bookmarkEnd w:id="115"/>
    </w:p>
    <w:p w14:paraId="6EEEA6C3">
      <w:pPr>
        <w:spacing w:line="360" w:lineRule="auto"/>
        <w:ind w:left="439" w:leftChars="20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根据《中华人民共和国政府采购法》等相关法规特制定以下评标办法。</w:t>
      </w:r>
    </w:p>
    <w:p w14:paraId="08524364">
      <w:pPr>
        <w:spacing w:line="360" w:lineRule="auto"/>
        <w:outlineLvl w:val="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一、评标原则</w:t>
      </w:r>
    </w:p>
    <w:p w14:paraId="61489839">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工作遵循公平、公正、科学、择优原则和诚实、信誉、效率的服务原则。本着科学、严谨的态度，认真进行评标。择优选用，推进技术进步，确保工程质量、交货按期，节约投资，最大限度的保护当事人权益。严格按照招标文件的商务、技术要求，对响应文件进行综合评定，提出优选方案，编写评标报告。对落标单位，评标委员会不做任何落标解释。供应商不得以任何方式干扰招投标工作的进行，一经发现其响应文件将被拒绝。</w:t>
      </w:r>
    </w:p>
    <w:p w14:paraId="194ED092">
      <w:pPr>
        <w:autoSpaceDE w:val="0"/>
        <w:autoSpaceDN w:val="0"/>
        <w:adjustRightInd w:val="0"/>
        <w:snapToGrid w:val="0"/>
        <w:spacing w:line="500" w:lineRule="exact"/>
        <w:jc w:val="left"/>
        <w:outlineLvl w:val="1"/>
        <w:rPr>
          <w:rFonts w:hint="eastAsia" w:ascii="仿宋" w:hAnsi="仿宋" w:eastAsia="仿宋" w:cs="仿宋"/>
          <w:b/>
          <w:bCs/>
          <w:color w:val="000000" w:themeColor="text1"/>
          <w:szCs w:val="21"/>
          <w:highlight w:val="none"/>
          <w:lang w:val="zh-CN"/>
          <w14:textFill>
            <w14:solidFill>
              <w14:schemeClr w14:val="tx1"/>
            </w14:solidFill>
          </w14:textFill>
        </w:rPr>
      </w:pPr>
      <w:bookmarkStart w:id="133" w:name="_Toc476644721"/>
      <w:bookmarkStart w:id="134" w:name="_Toc476644266"/>
      <w:r>
        <w:rPr>
          <w:rFonts w:hint="eastAsia" w:ascii="仿宋" w:hAnsi="仿宋" w:eastAsia="仿宋" w:cs="仿宋"/>
          <w:b/>
          <w:bCs/>
          <w:color w:val="000000" w:themeColor="text1"/>
          <w:szCs w:val="21"/>
          <w:highlight w:val="none"/>
          <w:lang w:val="zh-CN"/>
          <w14:textFill>
            <w14:solidFill>
              <w14:schemeClr w14:val="tx1"/>
            </w14:solidFill>
          </w14:textFill>
        </w:rPr>
        <w:t>二、评标委员会的组成</w:t>
      </w:r>
      <w:bookmarkEnd w:id="133"/>
      <w:bookmarkEnd w:id="134"/>
    </w:p>
    <w:p w14:paraId="57740226">
      <w:pPr>
        <w:autoSpaceDE w:val="0"/>
        <w:autoSpaceDN w:val="0"/>
        <w:adjustRightInd w:val="0"/>
        <w:snapToGrid w:val="0"/>
        <w:spacing w:line="5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1.评标委员会</w:t>
      </w:r>
      <w:r>
        <w:rPr>
          <w:rFonts w:hint="eastAsia" w:ascii="仿宋" w:hAnsi="仿宋" w:eastAsia="仿宋" w:cs="仿宋"/>
          <w:color w:val="000000" w:themeColor="text1"/>
          <w:highlight w:val="none"/>
          <w:lang w:eastAsia="zh-CN"/>
          <w14:textFill>
            <w14:solidFill>
              <w14:schemeClr w14:val="tx1"/>
            </w14:solidFill>
          </w14:textFill>
        </w:rPr>
        <w:t>共5人组成，其中采购人代表1名，其余4名专家从常山县政府采购评审专家库中随机抽取产生</w:t>
      </w:r>
      <w:r>
        <w:rPr>
          <w:rFonts w:hint="eastAsia" w:ascii="仿宋" w:hAnsi="仿宋" w:eastAsia="仿宋" w:cs="仿宋"/>
          <w:color w:val="000000" w:themeColor="text1"/>
          <w:szCs w:val="21"/>
          <w:highlight w:val="none"/>
          <w14:textFill>
            <w14:solidFill>
              <w14:schemeClr w14:val="tx1"/>
            </w14:solidFill>
          </w14:textFill>
        </w:rPr>
        <w:t>。</w:t>
      </w:r>
    </w:p>
    <w:p w14:paraId="5C297B03">
      <w:pPr>
        <w:autoSpaceDE w:val="0"/>
        <w:autoSpaceDN w:val="0"/>
        <w:adjustRightInd w:val="0"/>
        <w:snapToGrid w:val="0"/>
        <w:spacing w:line="54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2.在线询标期间，投标人法定代表人或</w:t>
      </w:r>
      <w:r>
        <w:rPr>
          <w:rFonts w:hint="eastAsia" w:ascii="仿宋" w:hAnsi="仿宋" w:eastAsia="仿宋" w:cs="仿宋"/>
          <w:color w:val="000000" w:themeColor="text1"/>
          <w:highlight w:val="none"/>
          <w14:textFill>
            <w14:solidFill>
              <w14:schemeClr w14:val="tx1"/>
            </w14:solidFill>
          </w14:textFill>
        </w:rPr>
        <w:t>法定代表人授权委托人</w:t>
      </w:r>
      <w:r>
        <w:rPr>
          <w:rFonts w:hint="eastAsia" w:ascii="仿宋" w:hAnsi="仿宋" w:eastAsia="仿宋" w:cs="仿宋"/>
          <w:color w:val="000000" w:themeColor="text1"/>
          <w:szCs w:val="21"/>
          <w:highlight w:val="none"/>
          <w14:textFill>
            <w14:solidFill>
              <w14:schemeClr w14:val="tx1"/>
            </w14:solidFill>
          </w14:textFill>
        </w:rPr>
        <w:t>必须在线，负责解答有关事宜。如不在线或未在规定时间内回复，则事后不得对采购过程及结果提出异议。</w:t>
      </w:r>
    </w:p>
    <w:p w14:paraId="4A95A4FA">
      <w:pPr>
        <w:spacing w:line="480" w:lineRule="exact"/>
        <w:outlineLvl w:val="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三、评标方法</w:t>
      </w:r>
    </w:p>
    <w:p w14:paraId="2A935032">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1.投标报价是指报价合计。</w:t>
      </w:r>
    </w:p>
    <w:p w14:paraId="4977D5AC">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本项目采用综合评分法，即以投标人完全响应招标文件设定的全部责任条款为前提。由评标委员会按招标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14:paraId="6D51B1EC">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3.评标标准</w:t>
      </w:r>
    </w:p>
    <w:p w14:paraId="0A591380">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各投标人的综合得分为报价得分和</w:t>
      </w:r>
      <w:r>
        <w:rPr>
          <w:rFonts w:hint="eastAsia" w:ascii="仿宋" w:hAnsi="仿宋" w:eastAsia="仿宋" w:cs="仿宋"/>
          <w:color w:val="000000" w:themeColor="text1"/>
          <w:highlight w:val="none"/>
          <w:lang w:eastAsia="zh-CN"/>
          <w14:textFill>
            <w14:solidFill>
              <w14:schemeClr w14:val="tx1"/>
            </w14:solidFill>
          </w14:textFill>
        </w:rPr>
        <w:t>商务技术</w:t>
      </w:r>
      <w:r>
        <w:rPr>
          <w:rFonts w:hint="eastAsia" w:ascii="仿宋" w:hAnsi="仿宋" w:eastAsia="仿宋" w:cs="仿宋"/>
          <w:color w:val="000000" w:themeColor="text1"/>
          <w:highlight w:val="none"/>
          <w14:textFill>
            <w14:solidFill>
              <w14:schemeClr w14:val="tx1"/>
            </w14:solidFill>
          </w14:textFill>
        </w:rPr>
        <w:t>得分之和，总分为100分，其中：报价分</w:t>
      </w:r>
      <w:r>
        <w:rPr>
          <w:rFonts w:hint="eastAsia" w:ascii="仿宋" w:hAnsi="仿宋" w:eastAsia="仿宋" w:cs="仿宋"/>
          <w:color w:val="000000" w:themeColor="text1"/>
          <w:highlight w:val="none"/>
          <w:lang w:val="en-US" w:eastAsia="zh-CN"/>
          <w14:textFill>
            <w14:solidFill>
              <w14:schemeClr w14:val="tx1"/>
            </w14:solidFill>
          </w14:textFill>
        </w:rPr>
        <w:t>20</w:t>
      </w:r>
      <w:r>
        <w:rPr>
          <w:rFonts w:hint="eastAsia" w:ascii="仿宋" w:hAnsi="仿宋" w:eastAsia="仿宋" w:cs="仿宋"/>
          <w:color w:val="000000" w:themeColor="text1"/>
          <w:highlight w:val="none"/>
          <w14:textFill>
            <w14:solidFill>
              <w14:schemeClr w14:val="tx1"/>
            </w14:solidFill>
          </w14:textFill>
        </w:rPr>
        <w:t>分，</w:t>
      </w:r>
      <w:r>
        <w:rPr>
          <w:rFonts w:hint="eastAsia" w:ascii="仿宋" w:hAnsi="仿宋" w:eastAsia="仿宋" w:cs="仿宋"/>
          <w:color w:val="000000" w:themeColor="text1"/>
          <w:highlight w:val="none"/>
          <w:lang w:eastAsia="zh-CN"/>
          <w14:textFill>
            <w14:solidFill>
              <w14:schemeClr w14:val="tx1"/>
            </w14:solidFill>
          </w14:textFill>
        </w:rPr>
        <w:t>商务技术</w:t>
      </w:r>
      <w:r>
        <w:rPr>
          <w:rFonts w:hint="eastAsia" w:ascii="仿宋" w:hAnsi="仿宋" w:eastAsia="仿宋" w:cs="仿宋"/>
          <w:color w:val="000000" w:themeColor="text1"/>
          <w:highlight w:val="none"/>
          <w14:textFill>
            <w14:solidFill>
              <w14:schemeClr w14:val="tx1"/>
            </w14:solidFill>
          </w14:textFill>
        </w:rPr>
        <w:t>分</w:t>
      </w:r>
      <w:r>
        <w:rPr>
          <w:rFonts w:hint="eastAsia" w:ascii="仿宋" w:hAnsi="仿宋" w:eastAsia="仿宋" w:cs="仿宋"/>
          <w:color w:val="000000" w:themeColor="text1"/>
          <w:highlight w:val="none"/>
          <w:lang w:val="en-US" w:eastAsia="zh-CN"/>
          <w14:textFill>
            <w14:solidFill>
              <w14:schemeClr w14:val="tx1"/>
            </w14:solidFill>
          </w14:textFill>
        </w:rPr>
        <w:t>80</w:t>
      </w:r>
      <w:r>
        <w:rPr>
          <w:rFonts w:hint="eastAsia" w:ascii="仿宋" w:hAnsi="仿宋" w:eastAsia="仿宋" w:cs="仿宋"/>
          <w:color w:val="000000" w:themeColor="text1"/>
          <w:highlight w:val="none"/>
          <w14:textFill>
            <w14:solidFill>
              <w14:schemeClr w14:val="tx1"/>
            </w14:solidFill>
          </w14:textFill>
        </w:rPr>
        <w:t>分。各投标人的资信评分由评标委员会统一打分，技术评分按照评标委员会成员的独立评分结果汇总后的算术平均分计算；各投标人的报价分得分按低价优先法计算。</w:t>
      </w:r>
    </w:p>
    <w:p w14:paraId="54C3A6FE">
      <w:pPr>
        <w:spacing w:line="500" w:lineRule="exact"/>
        <w:ind w:firstLine="420" w:firstLineChars="200"/>
        <w:outlineLvl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3.1报价分（</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0分）：</w:t>
      </w:r>
    </w:p>
    <w:p w14:paraId="242F16C1">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3.1.1投标人应当以</w:t>
      </w:r>
      <w:r>
        <w:rPr>
          <w:rFonts w:hint="eastAsia" w:ascii="仿宋" w:hAnsi="仿宋" w:eastAsia="仿宋" w:cs="仿宋"/>
          <w:color w:val="000000" w:themeColor="text1"/>
          <w:highlight w:val="none"/>
          <w:lang w:eastAsia="zh-CN"/>
          <w14:textFill>
            <w14:solidFill>
              <w14:schemeClr w14:val="tx1"/>
            </w14:solidFill>
          </w14:textFill>
        </w:rPr>
        <w:t>折扣</w:t>
      </w:r>
      <w:r>
        <w:rPr>
          <w:rFonts w:hint="eastAsia" w:ascii="仿宋" w:hAnsi="仿宋" w:eastAsia="仿宋" w:cs="仿宋"/>
          <w:color w:val="000000" w:themeColor="text1"/>
          <w:highlight w:val="none"/>
          <w14:textFill>
            <w14:solidFill>
              <w14:schemeClr w14:val="tx1"/>
            </w14:solidFill>
          </w14:textFill>
        </w:rPr>
        <w:t>率形式进行报价，报价</w:t>
      </w:r>
      <w:r>
        <w:rPr>
          <w:rFonts w:hint="eastAsia" w:ascii="仿宋" w:hAnsi="仿宋" w:eastAsia="仿宋" w:cs="仿宋"/>
          <w:color w:val="000000" w:themeColor="text1"/>
          <w:highlight w:val="none"/>
          <w:lang w:eastAsia="zh-CN"/>
          <w14:textFill>
            <w14:solidFill>
              <w14:schemeClr w14:val="tx1"/>
            </w14:solidFill>
          </w14:textFill>
        </w:rPr>
        <w:t>折扣</w:t>
      </w:r>
      <w:r>
        <w:rPr>
          <w:rFonts w:hint="eastAsia" w:ascii="仿宋" w:hAnsi="仿宋" w:eastAsia="仿宋" w:cs="仿宋"/>
          <w:color w:val="000000" w:themeColor="text1"/>
          <w:highlight w:val="none"/>
          <w14:textFill>
            <w14:solidFill>
              <w14:schemeClr w14:val="tx1"/>
            </w14:solidFill>
          </w14:textFill>
        </w:rPr>
        <w:t>率的范围为：0%-100%【</w:t>
      </w:r>
      <w:r>
        <w:rPr>
          <w:rFonts w:hint="eastAsia" w:ascii="仿宋" w:hAnsi="仿宋" w:eastAsia="仿宋" w:cs="仿宋"/>
          <w:color w:val="000000" w:themeColor="text1"/>
          <w:highlight w:val="none"/>
          <w:lang w:val="en-US" w:eastAsia="zh-CN"/>
          <w14:textFill>
            <w14:solidFill>
              <w14:schemeClr w14:val="tx1"/>
            </w14:solidFill>
          </w14:textFill>
        </w:rPr>
        <w:t>结算公式：中标后的结算单价=定价表单价×折扣率】，（如填报85%即八五折；中标后的结算单价=定价表单价×折扣率85%。）</w:t>
      </w:r>
      <w:r>
        <w:rPr>
          <w:rFonts w:hint="eastAsia" w:ascii="仿宋" w:hAnsi="仿宋" w:eastAsia="仿宋" w:cs="仿宋"/>
          <w:color w:val="000000" w:themeColor="text1"/>
          <w:highlight w:val="none"/>
          <w:lang w:eastAsia="zh-CN"/>
          <w14:textFill>
            <w14:solidFill>
              <w14:schemeClr w14:val="tx1"/>
            </w14:solidFill>
          </w14:textFill>
        </w:rPr>
        <w:t>，超出该范围的报价按无效投标处理</w:t>
      </w:r>
      <w:r>
        <w:rPr>
          <w:rFonts w:hint="eastAsia" w:ascii="仿宋" w:hAnsi="仿宋" w:eastAsia="仿宋" w:cs="仿宋"/>
          <w:color w:val="000000" w:themeColor="text1"/>
          <w:highlight w:val="none"/>
          <w:lang w:val="en-US" w:eastAsia="zh-CN"/>
          <w14:textFill>
            <w14:solidFill>
              <w14:schemeClr w14:val="tx1"/>
            </w14:solidFill>
          </w14:textFill>
        </w:rPr>
        <w:t>。</w:t>
      </w:r>
    </w:p>
    <w:p w14:paraId="1FEF020F">
      <w:pPr>
        <w:spacing w:line="360" w:lineRule="auto"/>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3.1.2报价分按低价优先法计算，即满足采购文件要求且最低的投标报价（折扣率最小的报价为最低投标报价）为评标基准价，其报价分为满分20分，其他投标人的报价分按照下列公式计算：报价得分=（评标基准价／报价折扣率）×20%×100，结果四舍五入后保留两位小数。</w:t>
      </w:r>
    </w:p>
    <w:p w14:paraId="56DA7FFD">
      <w:pPr>
        <w:bidi w:val="0"/>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3.2 商务技术分（80分）： </w:t>
      </w:r>
    </w:p>
    <w:p w14:paraId="3A393B42">
      <w:pPr>
        <w:bidi w:val="0"/>
        <w:spacing w:line="360" w:lineRule="auto"/>
        <w:ind w:firstLine="420" w:firstLineChars="200"/>
        <w:rPr>
          <w:rFonts w:hint="eastAsia" w:ascii="仿宋" w:hAnsi="仿宋" w:eastAsia="仿宋" w:cs="仿宋"/>
        </w:rPr>
      </w:pPr>
      <w:r>
        <w:rPr>
          <w:rFonts w:hint="eastAsia" w:ascii="仿宋" w:hAnsi="仿宋" w:eastAsia="仿宋" w:cs="仿宋"/>
          <w:color w:val="000000" w:themeColor="text1"/>
          <w:highlight w:val="none"/>
          <w:lang w:val="en-US" w:eastAsia="zh-CN"/>
          <w14:textFill>
            <w14:solidFill>
              <w14:schemeClr w14:val="tx1"/>
            </w14:solidFill>
          </w14:textFill>
        </w:rPr>
        <w:t>资信评分由评标委员会统一打分，技术评分按照评标委员会成员的独立评分结果汇总后的算术平均分计算。</w:t>
      </w:r>
    </w:p>
    <w:tbl>
      <w:tblPr>
        <w:tblStyle w:val="31"/>
        <w:tblpPr w:leftFromText="180" w:rightFromText="180" w:vertAnchor="text" w:horzAnchor="page" w:tblpX="1756" w:tblpY="332"/>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94"/>
        <w:gridCol w:w="1154"/>
        <w:gridCol w:w="6262"/>
        <w:gridCol w:w="925"/>
      </w:tblGrid>
      <w:tr w14:paraId="75C4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trPr>
        <w:tc>
          <w:tcPr>
            <w:tcW w:w="494" w:type="dxa"/>
            <w:noWrap w:val="0"/>
            <w:vAlign w:val="center"/>
          </w:tcPr>
          <w:p w14:paraId="31AE53B4">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序号</w:t>
            </w:r>
          </w:p>
        </w:tc>
        <w:tc>
          <w:tcPr>
            <w:tcW w:w="1154" w:type="dxa"/>
            <w:noWrap w:val="0"/>
            <w:vAlign w:val="center"/>
          </w:tcPr>
          <w:p w14:paraId="724DF364">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评审项目</w:t>
            </w:r>
          </w:p>
        </w:tc>
        <w:tc>
          <w:tcPr>
            <w:tcW w:w="6262" w:type="dxa"/>
            <w:noWrap w:val="0"/>
            <w:vAlign w:val="center"/>
          </w:tcPr>
          <w:p w14:paraId="04D07FF8">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评分标准</w:t>
            </w:r>
          </w:p>
        </w:tc>
        <w:tc>
          <w:tcPr>
            <w:tcW w:w="925" w:type="dxa"/>
            <w:noWrap w:val="0"/>
            <w:vAlign w:val="center"/>
          </w:tcPr>
          <w:p w14:paraId="527D5EBC">
            <w:pPr>
              <w:widowControl/>
              <w:spacing w:line="360" w:lineRule="auto"/>
              <w:jc w:val="center"/>
              <w:textAlignment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分值</w:t>
            </w:r>
          </w:p>
        </w:tc>
      </w:tr>
      <w:tr w14:paraId="18BB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2" w:hRule="atLeast"/>
        </w:trPr>
        <w:tc>
          <w:tcPr>
            <w:tcW w:w="494" w:type="dxa"/>
            <w:noWrap w:val="0"/>
            <w:vAlign w:val="center"/>
          </w:tcPr>
          <w:p w14:paraId="233A2845">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p>
        </w:tc>
        <w:tc>
          <w:tcPr>
            <w:tcW w:w="1154" w:type="dxa"/>
            <w:noWrap w:val="0"/>
            <w:vAlign w:val="center"/>
          </w:tcPr>
          <w:p w14:paraId="7AD96C43">
            <w:pPr>
              <w:pStyle w:val="12"/>
              <w:spacing w:line="240" w:lineRule="auto"/>
              <w:ind w:firstLine="0" w:firstLineChars="0"/>
              <w:jc w:val="center"/>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业绩</w:t>
            </w:r>
          </w:p>
        </w:tc>
        <w:tc>
          <w:tcPr>
            <w:tcW w:w="6262" w:type="dxa"/>
            <w:noWrap w:val="0"/>
            <w:vAlign w:val="center"/>
          </w:tcPr>
          <w:p w14:paraId="37CF50B9">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自2021年01月01日以来（以合同签订日期为准）实施过类似项目，每提供一个业绩得1分，最高得2分。</w:t>
            </w:r>
          </w:p>
          <w:p w14:paraId="72FABA3B">
            <w:pPr>
              <w:snapToGrid w:val="0"/>
              <w:spacing w:line="360" w:lineRule="auto"/>
              <w:ind w:left="422" w:leftChars="0" w:hanging="422" w:hangingChars="200"/>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合同原件扫描件编入商务技术文件中，否则不得分。</w:t>
            </w:r>
          </w:p>
        </w:tc>
        <w:tc>
          <w:tcPr>
            <w:tcW w:w="925" w:type="dxa"/>
            <w:noWrap w:val="0"/>
            <w:vAlign w:val="center"/>
          </w:tcPr>
          <w:p w14:paraId="1E6EC6D8">
            <w:pPr>
              <w:pStyle w:val="12"/>
              <w:spacing w:line="240" w:lineRule="auto"/>
              <w:ind w:firstLine="420" w:firstLineChars="20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r>
      <w:tr w14:paraId="5398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8" w:hRule="atLeast"/>
        </w:trPr>
        <w:tc>
          <w:tcPr>
            <w:tcW w:w="494" w:type="dxa"/>
            <w:noWrap w:val="0"/>
            <w:vAlign w:val="center"/>
          </w:tcPr>
          <w:p w14:paraId="78182177">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p>
        </w:tc>
        <w:tc>
          <w:tcPr>
            <w:tcW w:w="1154" w:type="dxa"/>
            <w:noWrap w:val="0"/>
            <w:vAlign w:val="center"/>
          </w:tcPr>
          <w:p w14:paraId="4FF7CACF">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体系认证</w:t>
            </w:r>
          </w:p>
        </w:tc>
        <w:tc>
          <w:tcPr>
            <w:tcW w:w="6262" w:type="dxa"/>
            <w:noWrap w:val="0"/>
            <w:vAlign w:val="center"/>
          </w:tcPr>
          <w:p w14:paraId="4F30AEB9">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投标人具有有效的质量管理体系认证证书的得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分，具有有效的环境管理体系认证证书的得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分，具有有效的职业健康安全管理体系认证证书的得</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分；本项最高得</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分。</w:t>
            </w:r>
          </w:p>
          <w:p w14:paraId="579200FA">
            <w:pPr>
              <w:pStyle w:val="30"/>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注：</w:t>
            </w:r>
            <w:r>
              <w:rPr>
                <w:rFonts w:hint="eastAsia" w:ascii="仿宋" w:hAnsi="仿宋" w:eastAsia="仿宋" w:cs="仿宋"/>
                <w:b/>
                <w:bCs/>
                <w:color w:val="000000" w:themeColor="text1"/>
                <w:kern w:val="0"/>
                <w:sz w:val="21"/>
                <w:szCs w:val="21"/>
                <w:highlight w:val="none"/>
                <w14:textFill>
                  <w14:solidFill>
                    <w14:schemeClr w14:val="tx1"/>
                  </w14:solidFill>
                </w14:textFill>
              </w:rPr>
              <w:t>须提供</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有效的</w:t>
            </w:r>
            <w:r>
              <w:rPr>
                <w:rFonts w:hint="eastAsia" w:ascii="仿宋" w:hAnsi="仿宋" w:eastAsia="仿宋" w:cs="仿宋"/>
                <w:b/>
                <w:bCs/>
                <w:color w:val="000000" w:themeColor="text1"/>
                <w:kern w:val="0"/>
                <w:sz w:val="21"/>
                <w:szCs w:val="21"/>
                <w:highlight w:val="none"/>
                <w14:textFill>
                  <w14:solidFill>
                    <w14:schemeClr w14:val="tx1"/>
                  </w14:solidFill>
                </w14:textFill>
              </w:rPr>
              <w:t>证书原件</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扫描件</w:t>
            </w:r>
            <w:r>
              <w:rPr>
                <w:rFonts w:hint="eastAsia" w:ascii="仿宋" w:hAnsi="仿宋" w:eastAsia="仿宋" w:cs="仿宋"/>
                <w:b/>
                <w:bCs/>
                <w:color w:val="000000" w:themeColor="text1"/>
                <w:kern w:val="0"/>
                <w:sz w:val="21"/>
                <w:szCs w:val="21"/>
                <w:highlight w:val="none"/>
                <w14:textFill>
                  <w14:solidFill>
                    <w14:schemeClr w14:val="tx1"/>
                  </w14:solidFill>
                </w14:textFill>
              </w:rPr>
              <w:t>，</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否则</w:t>
            </w:r>
            <w:r>
              <w:rPr>
                <w:rFonts w:hint="eastAsia" w:ascii="仿宋" w:hAnsi="仿宋" w:eastAsia="仿宋" w:cs="仿宋"/>
                <w:b/>
                <w:bCs/>
                <w:color w:val="000000" w:themeColor="text1"/>
                <w:kern w:val="0"/>
                <w:sz w:val="21"/>
                <w:szCs w:val="21"/>
                <w:highlight w:val="none"/>
                <w14:textFill>
                  <w14:solidFill>
                    <w14:schemeClr w14:val="tx1"/>
                  </w14:solidFill>
                </w14:textFill>
              </w:rPr>
              <w:t>不得分。</w:t>
            </w:r>
          </w:p>
        </w:tc>
        <w:tc>
          <w:tcPr>
            <w:tcW w:w="925" w:type="dxa"/>
            <w:noWrap w:val="0"/>
            <w:vAlign w:val="center"/>
          </w:tcPr>
          <w:p w14:paraId="058132EB">
            <w:pPr>
              <w:widowControl/>
              <w:spacing w:line="360" w:lineRule="auto"/>
              <w:jc w:val="center"/>
              <w:textAlignment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r>
      <w:tr w14:paraId="3B4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2" w:hRule="atLeast"/>
        </w:trPr>
        <w:tc>
          <w:tcPr>
            <w:tcW w:w="494" w:type="dxa"/>
            <w:vMerge w:val="restart"/>
            <w:noWrap w:val="0"/>
            <w:vAlign w:val="center"/>
          </w:tcPr>
          <w:p w14:paraId="54727C87">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c>
          <w:tcPr>
            <w:tcW w:w="1154" w:type="dxa"/>
            <w:vMerge w:val="restart"/>
            <w:noWrap w:val="0"/>
            <w:vAlign w:val="center"/>
          </w:tcPr>
          <w:p w14:paraId="1F3C94DF">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服务管理</w:t>
            </w:r>
          </w:p>
        </w:tc>
        <w:tc>
          <w:tcPr>
            <w:tcW w:w="6262" w:type="dxa"/>
            <w:noWrap w:val="0"/>
            <w:vAlign w:val="center"/>
          </w:tcPr>
          <w:p w14:paraId="750C960D">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根据投标人提出的咨询、不满意或信访件，有完善的服务管理（0-2）、提供相应服务标准（0-2）、话术规范（0-2）、服务质量保障（0-2）方案可行性、完善性进行综合评定。</w:t>
            </w:r>
          </w:p>
        </w:tc>
        <w:tc>
          <w:tcPr>
            <w:tcW w:w="925" w:type="dxa"/>
            <w:noWrap w:val="0"/>
            <w:vAlign w:val="center"/>
          </w:tcPr>
          <w:p w14:paraId="453BA8CD">
            <w:pPr>
              <w:widowControl/>
              <w:spacing w:line="360" w:lineRule="auto"/>
              <w:jc w:val="center"/>
              <w:textAlignment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r>
      <w:tr w14:paraId="407A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4" w:hRule="atLeast"/>
        </w:trPr>
        <w:tc>
          <w:tcPr>
            <w:tcW w:w="494" w:type="dxa"/>
            <w:vMerge w:val="continue"/>
            <w:noWrap w:val="0"/>
            <w:vAlign w:val="center"/>
          </w:tcPr>
          <w:p w14:paraId="7010A112">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1154" w:type="dxa"/>
            <w:vMerge w:val="continue"/>
            <w:noWrap w:val="0"/>
            <w:vAlign w:val="center"/>
          </w:tcPr>
          <w:p w14:paraId="2F7EA0DA">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6262" w:type="dxa"/>
            <w:noWrap w:val="0"/>
            <w:vAlign w:val="center"/>
          </w:tcPr>
          <w:p w14:paraId="3103A0B6">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根据本项目特点提出合理的纠纷调解服务理念（0-2）、服务定位（0-2）、服务目标（0-2）方案合理性、全面性进行综合评定。</w:t>
            </w:r>
          </w:p>
        </w:tc>
        <w:tc>
          <w:tcPr>
            <w:tcW w:w="925" w:type="dxa"/>
            <w:noWrap w:val="0"/>
            <w:vAlign w:val="center"/>
          </w:tcPr>
          <w:p w14:paraId="5B6E56FC">
            <w:pPr>
              <w:widowControl/>
              <w:spacing w:line="360" w:lineRule="auto"/>
              <w:jc w:val="center"/>
              <w:textAlignment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r>
      <w:tr w14:paraId="0782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6" w:hRule="atLeast"/>
        </w:trPr>
        <w:tc>
          <w:tcPr>
            <w:tcW w:w="494" w:type="dxa"/>
            <w:vMerge w:val="continue"/>
            <w:noWrap w:val="0"/>
            <w:vAlign w:val="center"/>
          </w:tcPr>
          <w:p w14:paraId="403F179B">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1154" w:type="dxa"/>
            <w:vMerge w:val="continue"/>
            <w:noWrap w:val="0"/>
            <w:vAlign w:val="center"/>
          </w:tcPr>
          <w:p w14:paraId="1800D969">
            <w:pPr>
              <w:keepNext w:val="0"/>
              <w:keepLines w:val="0"/>
              <w:pageBreakBefore w:val="0"/>
              <w:kinsoku/>
              <w:wordWrap/>
              <w:overflowPunct/>
              <w:topLinePunct w:val="0"/>
              <w:autoSpaceDE/>
              <w:autoSpaceDN/>
              <w:bidi w:val="0"/>
              <w:adjustRightInd/>
              <w:spacing w:line="400" w:lineRule="exact"/>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6262" w:type="dxa"/>
            <w:noWrap w:val="0"/>
            <w:vAlign w:val="center"/>
          </w:tcPr>
          <w:p w14:paraId="14B27FCF">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根据投标人提供的服务方案与项目需求吻合度进行评分：</w:t>
            </w:r>
          </w:p>
          <w:p w14:paraId="5C75F4C2">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1.调解服务的流程（0-2）；</w:t>
            </w:r>
          </w:p>
          <w:p w14:paraId="2AB334A5">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2.调解服务的方法（0-2）；</w:t>
            </w:r>
          </w:p>
          <w:p w14:paraId="75FE8229">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3.调解服务的政策对应的法规（0-2）；</w:t>
            </w:r>
          </w:p>
          <w:p w14:paraId="69988374">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4.纠纷调解的管理制度（0-2）；</w:t>
            </w:r>
          </w:p>
          <w:p w14:paraId="480456DE">
            <w:pPr>
              <w:pStyle w:val="30"/>
              <w:spacing w:line="360" w:lineRule="auto"/>
              <w:ind w:left="0" w:leftChars="0" w:firstLine="0" w:firstLineChars="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5.服务工作计划及实施时间（0-2）。</w:t>
            </w:r>
          </w:p>
        </w:tc>
        <w:tc>
          <w:tcPr>
            <w:tcW w:w="925" w:type="dxa"/>
            <w:noWrap w:val="0"/>
            <w:vAlign w:val="center"/>
          </w:tcPr>
          <w:p w14:paraId="669569D3">
            <w:pPr>
              <w:widowControl/>
              <w:spacing w:line="360" w:lineRule="auto"/>
              <w:jc w:val="center"/>
              <w:textAlignment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p>
        </w:tc>
      </w:tr>
      <w:tr w14:paraId="249D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2" w:hRule="atLeast"/>
        </w:trPr>
        <w:tc>
          <w:tcPr>
            <w:tcW w:w="494" w:type="dxa"/>
            <w:vMerge w:val="restart"/>
            <w:noWrap w:val="0"/>
            <w:vAlign w:val="center"/>
          </w:tcPr>
          <w:p w14:paraId="02665D40">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c>
          <w:tcPr>
            <w:tcW w:w="1154" w:type="dxa"/>
            <w:vMerge w:val="restart"/>
            <w:noWrap w:val="0"/>
            <w:vAlign w:val="center"/>
          </w:tcPr>
          <w:p w14:paraId="194676A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内部管理</w:t>
            </w:r>
          </w:p>
        </w:tc>
        <w:tc>
          <w:tcPr>
            <w:tcW w:w="6262" w:type="dxa"/>
            <w:noWrap w:val="0"/>
            <w:vAlign w:val="center"/>
          </w:tcPr>
          <w:p w14:paraId="59E5FD3C">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根据投标人提供的内部档案管理制度进行综合评分：</w:t>
            </w:r>
          </w:p>
          <w:p w14:paraId="5F65555A">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1.数据归集制度（0-2）；</w:t>
            </w:r>
          </w:p>
          <w:p w14:paraId="7A26A412">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2.卷宗归档制度（0-2）。</w:t>
            </w:r>
          </w:p>
        </w:tc>
        <w:tc>
          <w:tcPr>
            <w:tcW w:w="925" w:type="dxa"/>
            <w:noWrap w:val="0"/>
            <w:vAlign w:val="center"/>
          </w:tcPr>
          <w:p w14:paraId="6F2F50B3">
            <w:pPr>
              <w:spacing w:line="4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4</w:t>
            </w:r>
          </w:p>
        </w:tc>
      </w:tr>
      <w:tr w14:paraId="08CA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trPr>
        <w:tc>
          <w:tcPr>
            <w:tcW w:w="494" w:type="dxa"/>
            <w:vMerge w:val="continue"/>
            <w:noWrap w:val="0"/>
            <w:vAlign w:val="center"/>
          </w:tcPr>
          <w:p w14:paraId="7EDDDB59">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1154" w:type="dxa"/>
            <w:vMerge w:val="continue"/>
            <w:noWrap w:val="0"/>
            <w:vAlign w:val="center"/>
          </w:tcPr>
          <w:p w14:paraId="144EED3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p>
        </w:tc>
        <w:tc>
          <w:tcPr>
            <w:tcW w:w="6262" w:type="dxa"/>
            <w:noWrap w:val="0"/>
            <w:vAlign w:val="center"/>
          </w:tcPr>
          <w:p w14:paraId="1B0E56B7">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根据调解服务质量管理考核制定情况及内控管理制度进行综合评分（0-3）。</w:t>
            </w:r>
          </w:p>
        </w:tc>
        <w:tc>
          <w:tcPr>
            <w:tcW w:w="925" w:type="dxa"/>
            <w:noWrap w:val="0"/>
            <w:vAlign w:val="center"/>
          </w:tcPr>
          <w:p w14:paraId="23F0EBEC">
            <w:pPr>
              <w:spacing w:line="4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w:t>
            </w:r>
          </w:p>
        </w:tc>
      </w:tr>
      <w:tr w14:paraId="090F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7" w:hRule="atLeast"/>
        </w:trPr>
        <w:tc>
          <w:tcPr>
            <w:tcW w:w="494" w:type="dxa"/>
            <w:vMerge w:val="continue"/>
            <w:noWrap w:val="0"/>
            <w:vAlign w:val="center"/>
          </w:tcPr>
          <w:p w14:paraId="3FDE430E">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1154" w:type="dxa"/>
            <w:vMerge w:val="continue"/>
            <w:noWrap w:val="0"/>
            <w:vAlign w:val="center"/>
          </w:tcPr>
          <w:p w14:paraId="1DBA821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p>
        </w:tc>
        <w:tc>
          <w:tcPr>
            <w:tcW w:w="6262" w:type="dxa"/>
            <w:noWrap w:val="0"/>
            <w:vAlign w:val="center"/>
          </w:tcPr>
          <w:p w14:paraId="43BA2F34">
            <w:pPr>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根据投标人提供具有相应的调解元素以及运行情况进行综合评分（0-3）。</w:t>
            </w:r>
          </w:p>
        </w:tc>
        <w:tc>
          <w:tcPr>
            <w:tcW w:w="925" w:type="dxa"/>
            <w:noWrap w:val="0"/>
            <w:vAlign w:val="center"/>
          </w:tcPr>
          <w:p w14:paraId="1DFAAAAB">
            <w:pPr>
              <w:spacing w:line="44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w:t>
            </w:r>
          </w:p>
        </w:tc>
      </w:tr>
      <w:tr w14:paraId="37FE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5" w:hRule="atLeast"/>
        </w:trPr>
        <w:tc>
          <w:tcPr>
            <w:tcW w:w="494" w:type="dxa"/>
            <w:vMerge w:val="continue"/>
            <w:noWrap w:val="0"/>
            <w:vAlign w:val="center"/>
          </w:tcPr>
          <w:p w14:paraId="39DFC7E9">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1154" w:type="dxa"/>
            <w:vMerge w:val="continue"/>
            <w:noWrap w:val="0"/>
            <w:vAlign w:val="center"/>
          </w:tcPr>
          <w:p w14:paraId="033F409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p>
        </w:tc>
        <w:tc>
          <w:tcPr>
            <w:tcW w:w="6262" w:type="dxa"/>
            <w:noWrap w:val="0"/>
            <w:vAlign w:val="center"/>
          </w:tcPr>
          <w:p w14:paraId="46C49E50">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根据投标人提供的层级管理以及组织架构的合理性和全面性进行综合评分：</w:t>
            </w:r>
          </w:p>
          <w:p w14:paraId="07D87900">
            <w:pPr>
              <w:keepNext w:val="0"/>
              <w:keepLines w:val="0"/>
              <w:pageBreakBefore w:val="0"/>
              <w:numPr>
                <w:ilvl w:val="0"/>
                <w:numId w:val="5"/>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组织管理架构是否清晰（0-2）；</w:t>
            </w:r>
          </w:p>
          <w:p w14:paraId="04C4FE22">
            <w:pPr>
              <w:keepNext w:val="0"/>
              <w:keepLines w:val="0"/>
              <w:pageBreakBefore w:val="0"/>
              <w:numPr>
                <w:ilvl w:val="0"/>
                <w:numId w:val="5"/>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人员配备是否合理（0-2）；</w:t>
            </w:r>
          </w:p>
          <w:p w14:paraId="7E943BA0">
            <w:pPr>
              <w:keepNext w:val="0"/>
              <w:keepLines w:val="0"/>
              <w:pageBreakBefore w:val="0"/>
              <w:numPr>
                <w:ilvl w:val="0"/>
                <w:numId w:val="5"/>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管理人员是否有相应的岗位职责描述（0-2）；</w:t>
            </w:r>
          </w:p>
          <w:p w14:paraId="458DDA5E">
            <w:pPr>
              <w:keepNext w:val="0"/>
              <w:keepLines w:val="0"/>
              <w:pageBreakBefore w:val="0"/>
              <w:numPr>
                <w:ilvl w:val="0"/>
                <w:numId w:val="5"/>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是否有明确的分工（0-2）。</w:t>
            </w:r>
          </w:p>
        </w:tc>
        <w:tc>
          <w:tcPr>
            <w:tcW w:w="925" w:type="dxa"/>
            <w:noWrap w:val="0"/>
            <w:vAlign w:val="center"/>
          </w:tcPr>
          <w:p w14:paraId="4B67E1BA">
            <w:pPr>
              <w:widowControl/>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8</w:t>
            </w:r>
          </w:p>
        </w:tc>
      </w:tr>
      <w:tr w14:paraId="1EC2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5" w:hRule="atLeast"/>
        </w:trPr>
        <w:tc>
          <w:tcPr>
            <w:tcW w:w="494" w:type="dxa"/>
            <w:noWrap w:val="0"/>
            <w:vAlign w:val="center"/>
          </w:tcPr>
          <w:p w14:paraId="36BA5149">
            <w:pPr>
              <w:keepNext w:val="0"/>
              <w:keepLines w:val="0"/>
              <w:pageBreakBefore w:val="0"/>
              <w:kinsoku/>
              <w:wordWrap/>
              <w:overflowPunct/>
              <w:topLinePunct w:val="0"/>
              <w:autoSpaceDE/>
              <w:autoSpaceDN/>
              <w:bidi w:val="0"/>
              <w:adjustRightInd/>
              <w:snapToGrid w:val="0"/>
              <w:spacing w:line="400" w:lineRule="exact"/>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w:t>
            </w:r>
          </w:p>
        </w:tc>
        <w:tc>
          <w:tcPr>
            <w:tcW w:w="1154" w:type="dxa"/>
            <w:noWrap w:val="0"/>
            <w:vAlign w:val="center"/>
          </w:tcPr>
          <w:p w14:paraId="507BEBB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项目理解</w:t>
            </w:r>
          </w:p>
        </w:tc>
        <w:tc>
          <w:tcPr>
            <w:tcW w:w="6262" w:type="dxa"/>
            <w:noWrap w:val="0"/>
            <w:vAlign w:val="center"/>
          </w:tcPr>
          <w:p w14:paraId="0B07EF4E">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根据投标人对项目所在区域及项目现状的了解熟悉程度进行综合评定；</w:t>
            </w:r>
          </w:p>
          <w:p w14:paraId="2E393194">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对所在区域熟悉，对项目现状熟悉的得3-5分；</w:t>
            </w:r>
          </w:p>
          <w:p w14:paraId="63A54F07">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对所在区域不够熟悉，对项目现状不够熟悉的得0-3分。</w:t>
            </w:r>
          </w:p>
        </w:tc>
        <w:tc>
          <w:tcPr>
            <w:tcW w:w="925" w:type="dxa"/>
            <w:noWrap w:val="0"/>
            <w:vAlign w:val="center"/>
          </w:tcPr>
          <w:p w14:paraId="43CBBB26">
            <w:pPr>
              <w:widowControl/>
              <w:spacing w:line="360" w:lineRule="auto"/>
              <w:jc w:val="cente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5</w:t>
            </w:r>
          </w:p>
        </w:tc>
      </w:tr>
      <w:tr w14:paraId="5692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4" w:hRule="atLeast"/>
        </w:trPr>
        <w:tc>
          <w:tcPr>
            <w:tcW w:w="494" w:type="dxa"/>
            <w:noWrap w:val="0"/>
            <w:vAlign w:val="center"/>
          </w:tcPr>
          <w:p w14:paraId="3B82D5CA">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1154" w:type="dxa"/>
            <w:noWrap w:val="0"/>
            <w:vAlign w:val="center"/>
          </w:tcPr>
          <w:p w14:paraId="6B0F889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重点难点分析</w:t>
            </w:r>
          </w:p>
        </w:tc>
        <w:tc>
          <w:tcPr>
            <w:tcW w:w="6262" w:type="dxa"/>
            <w:noWrap w:val="0"/>
            <w:vAlign w:val="center"/>
          </w:tcPr>
          <w:p w14:paraId="6C855394">
            <w:pPr>
              <w:keepNext w:val="0"/>
              <w:keepLines w:val="0"/>
              <w:pageBreakBefore w:val="0"/>
              <w:numPr>
                <w:ilvl w:val="0"/>
                <w:numId w:val="0"/>
              </w:numPr>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根据本项目工作任务特点的认识和理解情况，提供服务重难点分析及对策描述，分析全面详细、对重点、难点有合理的建议的得3-5分；分析方案过于笼统，不够完整的得0-3分。</w:t>
            </w:r>
          </w:p>
        </w:tc>
        <w:tc>
          <w:tcPr>
            <w:tcW w:w="925" w:type="dxa"/>
            <w:noWrap w:val="0"/>
            <w:vAlign w:val="center"/>
          </w:tcPr>
          <w:p w14:paraId="70BAF609">
            <w:pPr>
              <w:widowControl/>
              <w:spacing w:line="360" w:lineRule="auto"/>
              <w:jc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5</w:t>
            </w:r>
          </w:p>
        </w:tc>
      </w:tr>
      <w:tr w14:paraId="4C69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4" w:hRule="atLeast"/>
        </w:trPr>
        <w:tc>
          <w:tcPr>
            <w:tcW w:w="494" w:type="dxa"/>
            <w:noWrap w:val="0"/>
            <w:vAlign w:val="center"/>
          </w:tcPr>
          <w:p w14:paraId="75137319">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1154" w:type="dxa"/>
            <w:noWrap w:val="0"/>
            <w:vAlign w:val="center"/>
          </w:tcPr>
          <w:p w14:paraId="7517AE1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人力资源保障措施</w:t>
            </w:r>
          </w:p>
        </w:tc>
        <w:tc>
          <w:tcPr>
            <w:tcW w:w="6262" w:type="dxa"/>
            <w:noWrap w:val="0"/>
            <w:vAlign w:val="center"/>
          </w:tcPr>
          <w:p w14:paraId="34000E3F">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根据投标人提供的人员稳定保障措施（</w:t>
            </w:r>
            <w:r>
              <w:rPr>
                <w:rFonts w:hint="eastAsia" w:ascii="仿宋" w:hAnsi="仿宋" w:eastAsia="仿宋" w:cs="仿宋"/>
                <w:color w:val="000000" w:themeColor="text1"/>
                <w:sz w:val="21"/>
                <w:szCs w:val="21"/>
                <w:highlight w:val="none"/>
                <w:lang w:val="en-US" w:eastAsia="zh-CN"/>
                <w14:textFill>
                  <w14:solidFill>
                    <w14:schemeClr w14:val="tx1"/>
                  </w14:solidFill>
                </w14:textFill>
              </w:rPr>
              <w:t>0-2</w:t>
            </w:r>
            <w:r>
              <w:rPr>
                <w:rFonts w:hint="eastAsia" w:ascii="仿宋" w:hAnsi="仿宋" w:eastAsia="仿宋" w:cs="仿宋"/>
                <w:color w:val="000000" w:themeColor="text1"/>
                <w:sz w:val="21"/>
                <w:szCs w:val="21"/>
                <w:highlight w:val="none"/>
                <w:lang w:eastAsia="zh-CN"/>
                <w14:textFill>
                  <w14:solidFill>
                    <w14:schemeClr w14:val="tx1"/>
                  </w14:solidFill>
                </w14:textFill>
              </w:rPr>
              <w:t>）、薪酬福利水平（</w:t>
            </w:r>
            <w:r>
              <w:rPr>
                <w:rFonts w:hint="eastAsia" w:ascii="仿宋" w:hAnsi="仿宋" w:eastAsia="仿宋" w:cs="仿宋"/>
                <w:color w:val="000000" w:themeColor="text1"/>
                <w:sz w:val="21"/>
                <w:szCs w:val="21"/>
                <w:highlight w:val="none"/>
                <w:lang w:val="en-US" w:eastAsia="zh-CN"/>
                <w14:textFill>
                  <w14:solidFill>
                    <w14:schemeClr w14:val="tx1"/>
                  </w14:solidFill>
                </w14:textFill>
              </w:rPr>
              <w:t>0-2</w:t>
            </w:r>
            <w:r>
              <w:rPr>
                <w:rFonts w:hint="eastAsia" w:ascii="仿宋" w:hAnsi="仿宋" w:eastAsia="仿宋" w:cs="仿宋"/>
                <w:color w:val="000000" w:themeColor="text1"/>
                <w:sz w:val="21"/>
                <w:szCs w:val="21"/>
                <w:highlight w:val="none"/>
                <w:lang w:eastAsia="zh-CN"/>
                <w14:textFill>
                  <w14:solidFill>
                    <w14:schemeClr w14:val="tx1"/>
                  </w14:solidFill>
                </w14:textFill>
              </w:rPr>
              <w:t>）、岗位晋升（</w:t>
            </w:r>
            <w:r>
              <w:rPr>
                <w:rFonts w:hint="eastAsia" w:ascii="仿宋" w:hAnsi="仿宋" w:eastAsia="仿宋" w:cs="仿宋"/>
                <w:color w:val="000000" w:themeColor="text1"/>
                <w:sz w:val="21"/>
                <w:szCs w:val="21"/>
                <w:highlight w:val="none"/>
                <w:lang w:val="en-US" w:eastAsia="zh-CN"/>
                <w14:textFill>
                  <w14:solidFill>
                    <w14:schemeClr w14:val="tx1"/>
                  </w14:solidFill>
                </w14:textFill>
              </w:rPr>
              <w:t>0-2</w:t>
            </w:r>
            <w:r>
              <w:rPr>
                <w:rFonts w:hint="eastAsia" w:ascii="仿宋" w:hAnsi="仿宋" w:eastAsia="仿宋" w:cs="仿宋"/>
                <w:color w:val="000000" w:themeColor="text1"/>
                <w:sz w:val="21"/>
                <w:szCs w:val="21"/>
                <w:highlight w:val="none"/>
                <w:lang w:eastAsia="zh-CN"/>
                <w14:textFill>
                  <w14:solidFill>
                    <w14:schemeClr w14:val="tx1"/>
                  </w14:solidFill>
                </w14:textFill>
              </w:rPr>
              <w:t>）等保障措施进行综合评分。</w:t>
            </w:r>
          </w:p>
        </w:tc>
        <w:tc>
          <w:tcPr>
            <w:tcW w:w="925" w:type="dxa"/>
            <w:noWrap w:val="0"/>
            <w:vAlign w:val="center"/>
          </w:tcPr>
          <w:p w14:paraId="1DBBAAF7">
            <w:pPr>
              <w:widowControl/>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r>
      <w:tr w14:paraId="3ED7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6" w:hRule="atLeast"/>
        </w:trPr>
        <w:tc>
          <w:tcPr>
            <w:tcW w:w="494" w:type="dxa"/>
            <w:noWrap w:val="0"/>
            <w:vAlign w:val="center"/>
          </w:tcPr>
          <w:p w14:paraId="717F6DA1">
            <w:pPr>
              <w:keepNext w:val="0"/>
              <w:keepLines w:val="0"/>
              <w:pageBreakBefore w:val="0"/>
              <w:kinsoku/>
              <w:wordWrap/>
              <w:overflowPunct/>
              <w:topLinePunct w:val="0"/>
              <w:autoSpaceDE/>
              <w:autoSpaceDN/>
              <w:bidi w:val="0"/>
              <w:adjustRightInd/>
              <w:snapToGrid w:val="0"/>
              <w:spacing w:line="4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p>
        </w:tc>
        <w:tc>
          <w:tcPr>
            <w:tcW w:w="1154" w:type="dxa"/>
            <w:noWrap w:val="0"/>
            <w:vAlign w:val="center"/>
          </w:tcPr>
          <w:p w14:paraId="5D0A242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安全保密措施</w:t>
            </w:r>
          </w:p>
        </w:tc>
        <w:tc>
          <w:tcPr>
            <w:tcW w:w="6262" w:type="dxa"/>
            <w:noWrap w:val="0"/>
            <w:vAlign w:val="center"/>
          </w:tcPr>
          <w:p w14:paraId="4493CF9A">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根据本项目需求，投标人提供完善有效的安全保密制度和措施进行综合评分；</w:t>
            </w:r>
          </w:p>
          <w:p w14:paraId="1A109377">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1.保密制度清晰（0-2）；</w:t>
            </w:r>
          </w:p>
          <w:p w14:paraId="64CE77EF">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2.保密措施明确（0-2）。</w:t>
            </w:r>
          </w:p>
        </w:tc>
        <w:tc>
          <w:tcPr>
            <w:tcW w:w="925" w:type="dxa"/>
            <w:noWrap w:val="0"/>
            <w:vAlign w:val="center"/>
          </w:tcPr>
          <w:p w14:paraId="0B56A0FB">
            <w:pPr>
              <w:widowControl/>
              <w:spacing w:line="360" w:lineRule="auto"/>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w:t>
            </w:r>
          </w:p>
        </w:tc>
      </w:tr>
      <w:tr w14:paraId="1C61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94" w:type="dxa"/>
            <w:vMerge w:val="restart"/>
            <w:noWrap w:val="0"/>
            <w:vAlign w:val="center"/>
          </w:tcPr>
          <w:p w14:paraId="7B5706D0">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 w:hAnsi="仿宋" w:eastAsia="仿宋" w:cs="仿宋"/>
                <w:color w:val="000000" w:themeColor="text1"/>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sz w:val="21"/>
                <w:szCs w:val="21"/>
                <w:highlight w:val="none"/>
                <w:lang w:val="en-US" w:eastAsia="zh-CN" w:bidi="ar"/>
                <w14:textFill>
                  <w14:solidFill>
                    <w14:schemeClr w14:val="tx1"/>
                  </w14:solidFill>
                </w14:textFill>
              </w:rPr>
              <w:t>9</w:t>
            </w:r>
          </w:p>
        </w:tc>
        <w:tc>
          <w:tcPr>
            <w:tcW w:w="1154" w:type="dxa"/>
            <w:vMerge w:val="restart"/>
            <w:noWrap w:val="0"/>
            <w:vAlign w:val="center"/>
          </w:tcPr>
          <w:p w14:paraId="67FA5386">
            <w:pPr>
              <w:bidi w:val="0"/>
              <w:jc w:val="cente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突发应急预案</w:t>
            </w:r>
          </w:p>
        </w:tc>
        <w:tc>
          <w:tcPr>
            <w:tcW w:w="6262" w:type="dxa"/>
            <w:noWrap w:val="0"/>
            <w:vAlign w:val="center"/>
          </w:tcPr>
          <w:p w14:paraId="02902911">
            <w:pPr>
              <w:bidi w:val="0"/>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sz w:val="21"/>
                <w:szCs w:val="21"/>
                <w:highlight w:val="none"/>
                <w:lang w:val="zh-CN"/>
                <w14:textFill>
                  <w14:solidFill>
                    <w14:schemeClr w14:val="tx1"/>
                  </w14:solidFill>
                </w14:textFill>
              </w:rPr>
              <w:t>根据投标人提供</w:t>
            </w:r>
            <w:r>
              <w:rPr>
                <w:rFonts w:hint="eastAsia" w:ascii="仿宋" w:hAnsi="仿宋" w:eastAsia="仿宋" w:cs="仿宋"/>
                <w:color w:val="000000" w:themeColor="text1"/>
                <w:sz w:val="21"/>
                <w:szCs w:val="21"/>
                <w:highlight w:val="none"/>
                <w:lang w:val="en-US" w:eastAsia="zh-CN"/>
                <w14:textFill>
                  <w14:solidFill>
                    <w14:schemeClr w14:val="tx1"/>
                  </w14:solidFill>
                </w14:textFill>
              </w:rPr>
              <w:t>应</w:t>
            </w:r>
            <w:r>
              <w:rPr>
                <w:rFonts w:hint="eastAsia" w:ascii="仿宋" w:hAnsi="仿宋" w:eastAsia="仿宋" w:cs="仿宋"/>
                <w:color w:val="000000" w:themeColor="text1"/>
                <w:sz w:val="21"/>
                <w:szCs w:val="21"/>
                <w:highlight w:val="none"/>
                <w:lang w:val="zh-CN"/>
                <w14:textFill>
                  <w14:solidFill>
                    <w14:schemeClr w14:val="tx1"/>
                  </w14:solidFill>
                </w14:textFill>
              </w:rPr>
              <w:t>对突发事件的应急预案及相应措施的</w:t>
            </w:r>
            <w:r>
              <w:rPr>
                <w:rFonts w:hint="eastAsia" w:ascii="仿宋" w:hAnsi="仿宋" w:eastAsia="仿宋" w:cs="仿宋"/>
                <w:color w:val="000000" w:themeColor="text1"/>
                <w:sz w:val="21"/>
                <w:szCs w:val="21"/>
                <w:highlight w:val="none"/>
                <w14:textFill>
                  <w14:solidFill>
                    <w14:schemeClr w14:val="tx1"/>
                  </w14:solidFill>
                </w14:textFill>
              </w:rPr>
              <w:t>可行性、</w:t>
            </w:r>
            <w:r>
              <w:rPr>
                <w:rFonts w:hint="eastAsia" w:ascii="仿宋" w:hAnsi="仿宋" w:eastAsia="仿宋" w:cs="仿宋"/>
                <w:color w:val="000000" w:themeColor="text1"/>
                <w:sz w:val="21"/>
                <w:szCs w:val="21"/>
                <w:highlight w:val="none"/>
                <w:lang w:val="en-US" w:eastAsia="zh-CN"/>
                <w14:textFill>
                  <w14:solidFill>
                    <w14:schemeClr w14:val="tx1"/>
                  </w14:solidFill>
                </w14:textFill>
              </w:rPr>
              <w:t>有效性、</w:t>
            </w:r>
            <w:r>
              <w:rPr>
                <w:rFonts w:hint="eastAsia" w:ascii="仿宋" w:hAnsi="仿宋" w:eastAsia="仿宋" w:cs="仿宋"/>
                <w:color w:val="000000" w:themeColor="text1"/>
                <w:sz w:val="21"/>
                <w:szCs w:val="21"/>
                <w:highlight w:val="none"/>
                <w14:textFill>
                  <w14:solidFill>
                    <w14:schemeClr w14:val="tx1"/>
                  </w14:solidFill>
                </w14:textFill>
              </w:rPr>
              <w:t>可实现程度等进行</w:t>
            </w:r>
            <w:r>
              <w:rPr>
                <w:rFonts w:hint="eastAsia" w:ascii="仿宋" w:hAnsi="仿宋" w:eastAsia="仿宋" w:cs="仿宋"/>
                <w:color w:val="000000" w:themeColor="text1"/>
                <w:sz w:val="21"/>
                <w:szCs w:val="21"/>
                <w:highlight w:val="none"/>
                <w:lang w:eastAsia="zh-CN"/>
                <w14:textFill>
                  <w14:solidFill>
                    <w14:schemeClr w14:val="tx1"/>
                  </w14:solidFill>
                </w14:textFill>
              </w:rPr>
              <w:t>综合评定（</w:t>
            </w:r>
            <w:r>
              <w:rPr>
                <w:rFonts w:hint="eastAsia" w:ascii="仿宋" w:hAnsi="仿宋" w:eastAsia="仿宋" w:cs="仿宋"/>
                <w:color w:val="000000" w:themeColor="text1"/>
                <w:sz w:val="21"/>
                <w:szCs w:val="21"/>
                <w:highlight w:val="none"/>
                <w:lang w:val="en-US" w:eastAsia="zh-CN"/>
                <w14:textFill>
                  <w14:solidFill>
                    <w14:schemeClr w14:val="tx1"/>
                  </w14:solidFill>
                </w14:textFill>
              </w:rPr>
              <w:t>0-3分</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w:t>
            </w:r>
          </w:p>
        </w:tc>
        <w:tc>
          <w:tcPr>
            <w:tcW w:w="925" w:type="dxa"/>
            <w:noWrap w:val="0"/>
            <w:vAlign w:val="center"/>
          </w:tcPr>
          <w:p w14:paraId="76B23298">
            <w:pPr>
              <w:bidi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r>
      <w:tr w14:paraId="43DC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94" w:type="dxa"/>
            <w:vMerge w:val="continue"/>
            <w:noWrap w:val="0"/>
            <w:vAlign w:val="center"/>
          </w:tcPr>
          <w:p w14:paraId="5F853407">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 w:hAnsi="仿宋" w:eastAsia="仿宋" w:cs="仿宋"/>
                <w:color w:val="000000" w:themeColor="text1"/>
                <w:sz w:val="21"/>
                <w:szCs w:val="21"/>
                <w:highlight w:val="none"/>
                <w:lang w:val="en-US" w:eastAsia="zh-CN" w:bidi="ar"/>
                <w14:textFill>
                  <w14:solidFill>
                    <w14:schemeClr w14:val="tx1"/>
                  </w14:solidFill>
                </w14:textFill>
              </w:rPr>
            </w:pPr>
          </w:p>
        </w:tc>
        <w:tc>
          <w:tcPr>
            <w:tcW w:w="1154" w:type="dxa"/>
            <w:vMerge w:val="continue"/>
            <w:noWrap w:val="0"/>
            <w:vAlign w:val="center"/>
          </w:tcPr>
          <w:p w14:paraId="3B3842BE">
            <w:pPr>
              <w:bidi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p>
        </w:tc>
        <w:tc>
          <w:tcPr>
            <w:tcW w:w="6262" w:type="dxa"/>
            <w:noWrap w:val="0"/>
            <w:vAlign w:val="center"/>
          </w:tcPr>
          <w:p w14:paraId="6A9F4CE7">
            <w:pPr>
              <w:bidi w:val="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是否具有应急值守制度，且内容完整性、有效性、可实现程度等进行综合评定（0-3分）。</w:t>
            </w:r>
          </w:p>
        </w:tc>
        <w:tc>
          <w:tcPr>
            <w:tcW w:w="925" w:type="dxa"/>
            <w:noWrap w:val="0"/>
            <w:vAlign w:val="center"/>
          </w:tcPr>
          <w:p w14:paraId="613413BB">
            <w:pPr>
              <w:bidi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r>
      <w:tr w14:paraId="2C9F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94" w:type="dxa"/>
            <w:noWrap w:val="0"/>
            <w:vAlign w:val="center"/>
          </w:tcPr>
          <w:p w14:paraId="0B380022">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 w:hAnsi="仿宋" w:eastAsia="仿宋" w:cs="仿宋"/>
                <w:color w:val="000000" w:themeColor="text1"/>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sz w:val="21"/>
                <w:szCs w:val="21"/>
                <w:highlight w:val="none"/>
                <w:lang w:val="en-US" w:eastAsia="zh-CN" w:bidi="ar"/>
                <w14:textFill>
                  <w14:solidFill>
                    <w14:schemeClr w14:val="tx1"/>
                  </w14:solidFill>
                </w14:textFill>
              </w:rPr>
              <w:t>10</w:t>
            </w:r>
          </w:p>
        </w:tc>
        <w:tc>
          <w:tcPr>
            <w:tcW w:w="1154" w:type="dxa"/>
            <w:noWrap w:val="0"/>
            <w:vAlign w:val="center"/>
          </w:tcPr>
          <w:p w14:paraId="4EA3D029">
            <w:pPr>
              <w:bidi w:val="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培训</w:t>
            </w:r>
          </w:p>
        </w:tc>
        <w:tc>
          <w:tcPr>
            <w:tcW w:w="6262" w:type="dxa"/>
            <w:noWrap w:val="0"/>
            <w:vAlign w:val="center"/>
          </w:tcPr>
          <w:p w14:paraId="41CE8110">
            <w:pPr>
              <w:pStyle w:val="64"/>
              <w:adjustRightInd/>
              <w:spacing w:before="0"/>
              <w:ind w:firstLine="0" w:firstLineChars="0"/>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zh-TW"/>
                <w14:textFill>
                  <w14:solidFill>
                    <w14:schemeClr w14:val="tx1"/>
                  </w14:solidFill>
                </w14:textFill>
              </w:rPr>
              <w:t>根据</w:t>
            </w:r>
            <w:r>
              <w:rPr>
                <w:rFonts w:hint="eastAsia" w:ascii="仿宋" w:hAnsi="仿宋" w:eastAsia="仿宋" w:cs="仿宋"/>
                <w:color w:val="000000" w:themeColor="text1"/>
                <w:kern w:val="0"/>
                <w:sz w:val="21"/>
                <w:szCs w:val="21"/>
                <w:highlight w:val="none"/>
                <w:lang w:val="zh-TW" w:eastAsia="zh-CN"/>
                <w14:textFill>
                  <w14:solidFill>
                    <w14:schemeClr w14:val="tx1"/>
                  </w14:solidFill>
                </w14:textFill>
              </w:rPr>
              <w:t>本</w:t>
            </w:r>
            <w:r>
              <w:rPr>
                <w:rFonts w:hint="eastAsia" w:ascii="仿宋" w:hAnsi="仿宋" w:eastAsia="仿宋" w:cs="仿宋"/>
                <w:color w:val="000000" w:themeColor="text1"/>
                <w:kern w:val="0"/>
                <w:sz w:val="21"/>
                <w:szCs w:val="21"/>
                <w:highlight w:val="none"/>
                <w:lang w:val="zh-TW"/>
                <w14:textFill>
                  <w14:solidFill>
                    <w14:schemeClr w14:val="tx1"/>
                  </w14:solidFill>
                </w14:textFill>
              </w:rPr>
              <w:t>项目需求，投标</w:t>
            </w:r>
            <w:r>
              <w:rPr>
                <w:rFonts w:hint="eastAsia" w:ascii="仿宋" w:hAnsi="仿宋" w:eastAsia="仿宋" w:cs="仿宋"/>
                <w:color w:val="000000" w:themeColor="text1"/>
                <w:kern w:val="0"/>
                <w:sz w:val="21"/>
                <w:szCs w:val="21"/>
                <w:highlight w:val="none"/>
                <w:lang w:val="zh-TW" w:eastAsia="zh-CN"/>
                <w14:textFill>
                  <w14:solidFill>
                    <w14:schemeClr w14:val="tx1"/>
                  </w14:solidFill>
                </w14:textFill>
              </w:rPr>
              <w:t>人</w:t>
            </w:r>
            <w:r>
              <w:rPr>
                <w:rFonts w:hint="eastAsia" w:ascii="仿宋" w:hAnsi="仿宋" w:eastAsia="仿宋" w:cs="仿宋"/>
                <w:color w:val="000000" w:themeColor="text1"/>
                <w:kern w:val="0"/>
                <w:sz w:val="21"/>
                <w:szCs w:val="21"/>
                <w:highlight w:val="none"/>
                <w:lang w:val="zh-TW"/>
                <w14:textFill>
                  <w14:solidFill>
                    <w14:schemeClr w14:val="tx1"/>
                  </w14:solidFill>
                </w14:textFill>
              </w:rPr>
              <w:t>提供全年、半年、季度等不同形式专业</w:t>
            </w:r>
            <w:r>
              <w:rPr>
                <w:rFonts w:hint="eastAsia" w:ascii="仿宋" w:hAnsi="仿宋" w:eastAsia="仿宋" w:cs="仿宋"/>
                <w:color w:val="000000" w:themeColor="text1"/>
                <w:kern w:val="0"/>
                <w:sz w:val="21"/>
                <w:szCs w:val="21"/>
                <w:highlight w:val="none"/>
                <w:lang w:val="zh-TW" w:eastAsia="zh-TW"/>
                <w14:textFill>
                  <w14:solidFill>
                    <w14:schemeClr w14:val="tx1"/>
                  </w14:solidFill>
                </w14:textFill>
              </w:rPr>
              <w:t>培训计划</w:t>
            </w:r>
            <w:r>
              <w:rPr>
                <w:rFonts w:hint="eastAsia" w:ascii="仿宋" w:hAnsi="仿宋" w:eastAsia="仿宋" w:cs="仿宋"/>
                <w:color w:val="000000" w:themeColor="text1"/>
                <w:kern w:val="0"/>
                <w:sz w:val="21"/>
                <w:szCs w:val="21"/>
                <w:highlight w:val="none"/>
                <w:lang w:val="zh-TW"/>
                <w14:textFill>
                  <w14:solidFill>
                    <w14:schemeClr w14:val="tx1"/>
                  </w14:solidFill>
                </w14:textFill>
              </w:rPr>
              <w:t>及培训内容</w:t>
            </w:r>
            <w:r>
              <w:rPr>
                <w:rFonts w:hint="eastAsia" w:ascii="仿宋" w:hAnsi="仿宋" w:eastAsia="仿宋" w:cs="仿宋"/>
                <w:color w:val="000000" w:themeColor="text1"/>
                <w:kern w:val="0"/>
                <w:sz w:val="21"/>
                <w:szCs w:val="21"/>
                <w:highlight w:val="none"/>
                <w:lang w:val="zh-TW" w:eastAsia="zh-CN"/>
                <w14:textFill>
                  <w14:solidFill>
                    <w14:schemeClr w14:val="tx1"/>
                  </w14:solidFill>
                </w14:textFill>
              </w:rPr>
              <w:t>的</w:t>
            </w:r>
            <w:r>
              <w:rPr>
                <w:rFonts w:hint="eastAsia" w:ascii="仿宋" w:hAnsi="仿宋" w:eastAsia="仿宋" w:cs="仿宋"/>
                <w:color w:val="000000" w:themeColor="text1"/>
                <w:kern w:val="0"/>
                <w:sz w:val="21"/>
                <w:szCs w:val="21"/>
                <w:highlight w:val="none"/>
                <w:lang w:val="zh-TW"/>
                <w14:textFill>
                  <w14:solidFill>
                    <w14:schemeClr w14:val="tx1"/>
                  </w14:solidFill>
                </w14:textFill>
              </w:rPr>
              <w:t>完整性</w:t>
            </w:r>
            <w:r>
              <w:rPr>
                <w:rFonts w:hint="eastAsia" w:ascii="仿宋" w:hAnsi="仿宋" w:eastAsia="仿宋" w:cs="仿宋"/>
                <w:color w:val="000000" w:themeColor="text1"/>
                <w:kern w:val="0"/>
                <w:sz w:val="21"/>
                <w:szCs w:val="21"/>
                <w:highlight w:val="none"/>
                <w:lang w:val="zh-TW" w:eastAsia="zh-CN"/>
                <w14:textFill>
                  <w14:solidFill>
                    <w14:schemeClr w14:val="tx1"/>
                  </w14:solidFill>
                </w14:textFill>
              </w:rPr>
              <w:t>、可行性</w:t>
            </w:r>
            <w:r>
              <w:rPr>
                <w:rFonts w:hint="eastAsia" w:ascii="仿宋" w:hAnsi="仿宋" w:eastAsia="仿宋" w:cs="仿宋"/>
                <w:color w:val="000000" w:themeColor="text1"/>
                <w:kern w:val="0"/>
                <w:sz w:val="21"/>
                <w:szCs w:val="21"/>
                <w:highlight w:val="none"/>
                <w:lang w:val="zh-TW"/>
                <w14:textFill>
                  <w14:solidFill>
                    <w14:schemeClr w14:val="tx1"/>
                  </w14:solidFill>
                </w14:textFill>
              </w:rPr>
              <w:t>进行</w:t>
            </w:r>
            <w:r>
              <w:rPr>
                <w:rFonts w:hint="eastAsia" w:ascii="仿宋" w:hAnsi="仿宋" w:eastAsia="仿宋" w:cs="仿宋"/>
                <w:color w:val="000000" w:themeColor="text1"/>
                <w:kern w:val="0"/>
                <w:sz w:val="21"/>
                <w:szCs w:val="21"/>
                <w:highlight w:val="none"/>
                <w:lang w:val="zh-TW" w:eastAsia="zh-CN"/>
                <w14:textFill>
                  <w14:solidFill>
                    <w14:schemeClr w14:val="tx1"/>
                  </w14:solidFill>
                </w14:textFill>
              </w:rPr>
              <w:t>综合评定（</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0-3分</w:t>
            </w:r>
            <w:r>
              <w:rPr>
                <w:rFonts w:hint="eastAsia" w:ascii="仿宋" w:hAnsi="仿宋" w:eastAsia="仿宋" w:cs="仿宋"/>
                <w:color w:val="000000" w:themeColor="text1"/>
                <w:kern w:val="0"/>
                <w:sz w:val="21"/>
                <w:szCs w:val="21"/>
                <w:highlight w:val="none"/>
                <w:lang w:val="zh-TW"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zh-TW"/>
                <w14:textFill>
                  <w14:solidFill>
                    <w14:schemeClr w14:val="tx1"/>
                  </w14:solidFill>
                </w14:textFill>
              </w:rPr>
              <w:t>。</w:t>
            </w:r>
          </w:p>
        </w:tc>
        <w:tc>
          <w:tcPr>
            <w:tcW w:w="925" w:type="dxa"/>
            <w:noWrap w:val="0"/>
            <w:vAlign w:val="center"/>
          </w:tcPr>
          <w:p w14:paraId="27A002D4">
            <w:pPr>
              <w:bidi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r>
      <w:tr w14:paraId="1406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494" w:type="dxa"/>
            <w:noWrap w:val="0"/>
            <w:vAlign w:val="center"/>
          </w:tcPr>
          <w:p w14:paraId="6356BBF9">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 w:hAnsi="仿宋" w:eastAsia="仿宋" w:cs="仿宋"/>
                <w:color w:val="000000" w:themeColor="text1"/>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sz w:val="21"/>
                <w:szCs w:val="21"/>
                <w:highlight w:val="none"/>
                <w:lang w:val="en-US" w:eastAsia="zh-CN" w:bidi="ar"/>
                <w14:textFill>
                  <w14:solidFill>
                    <w14:schemeClr w14:val="tx1"/>
                  </w14:solidFill>
                </w14:textFill>
              </w:rPr>
              <w:t>11</w:t>
            </w:r>
          </w:p>
        </w:tc>
        <w:tc>
          <w:tcPr>
            <w:tcW w:w="1154" w:type="dxa"/>
            <w:noWrap w:val="0"/>
            <w:vAlign w:val="center"/>
          </w:tcPr>
          <w:p w14:paraId="0DE682EC">
            <w:pPr>
              <w:bidi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售后服务方案</w:t>
            </w:r>
          </w:p>
        </w:tc>
        <w:tc>
          <w:tcPr>
            <w:tcW w:w="6262" w:type="dxa"/>
            <w:noWrap w:val="0"/>
            <w:vAlign w:val="center"/>
          </w:tcPr>
          <w:p w14:paraId="614ED5A7">
            <w:pPr>
              <w:bidi w:val="0"/>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根据投标人提供的人民调解售后服务方案进行综合评定（0-3分）</w:t>
            </w:r>
          </w:p>
        </w:tc>
        <w:tc>
          <w:tcPr>
            <w:tcW w:w="925" w:type="dxa"/>
            <w:noWrap w:val="0"/>
            <w:vAlign w:val="center"/>
          </w:tcPr>
          <w:p w14:paraId="4EC4496A">
            <w:pPr>
              <w:bidi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p>
        </w:tc>
      </w:tr>
      <w:tr w14:paraId="739F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8" w:hRule="atLeast"/>
        </w:trPr>
        <w:tc>
          <w:tcPr>
            <w:tcW w:w="494" w:type="dxa"/>
            <w:noWrap w:val="0"/>
            <w:vAlign w:val="center"/>
          </w:tcPr>
          <w:p w14:paraId="6BC4454D">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 w:hAnsi="仿宋" w:eastAsia="仿宋" w:cs="仿宋"/>
                <w:color w:val="000000" w:themeColor="text1"/>
                <w:sz w:val="21"/>
                <w:szCs w:val="21"/>
                <w:highlight w:val="none"/>
                <w:lang w:val="en-US" w:eastAsia="zh-CN" w:bidi="ar"/>
                <w14:textFill>
                  <w14:solidFill>
                    <w14:schemeClr w14:val="tx1"/>
                  </w14:solidFill>
                </w14:textFill>
              </w:rPr>
            </w:pPr>
            <w:r>
              <w:rPr>
                <w:rFonts w:hint="eastAsia" w:ascii="仿宋" w:hAnsi="仿宋" w:eastAsia="仿宋" w:cs="仿宋"/>
                <w:color w:val="000000" w:themeColor="text1"/>
                <w:sz w:val="21"/>
                <w:szCs w:val="21"/>
                <w:highlight w:val="none"/>
                <w:lang w:val="en-US" w:eastAsia="zh-CN" w:bidi="ar"/>
                <w14:textFill>
                  <w14:solidFill>
                    <w14:schemeClr w14:val="tx1"/>
                  </w14:solidFill>
                </w14:textFill>
              </w:rPr>
              <w:t>12</w:t>
            </w:r>
          </w:p>
        </w:tc>
        <w:tc>
          <w:tcPr>
            <w:tcW w:w="1154" w:type="dxa"/>
            <w:noWrap w:val="0"/>
            <w:vAlign w:val="center"/>
          </w:tcPr>
          <w:p w14:paraId="6D7512C0">
            <w:pPr>
              <w:bidi w:val="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合理化建议</w:t>
            </w:r>
          </w:p>
        </w:tc>
        <w:tc>
          <w:tcPr>
            <w:tcW w:w="6262" w:type="dxa"/>
            <w:noWrap w:val="0"/>
            <w:vAlign w:val="center"/>
          </w:tcPr>
          <w:p w14:paraId="0EE41C52">
            <w:pPr>
              <w:bidi w:val="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根据投标人针对本项目提供的合理化建议进行综合评定（0-1分）。</w:t>
            </w:r>
          </w:p>
        </w:tc>
        <w:tc>
          <w:tcPr>
            <w:tcW w:w="925" w:type="dxa"/>
            <w:noWrap w:val="0"/>
            <w:vAlign w:val="center"/>
          </w:tcPr>
          <w:p w14:paraId="6F5F99C6">
            <w:pPr>
              <w:bidi w:val="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r>
    </w:tbl>
    <w:p w14:paraId="709C7F22">
      <w:pPr>
        <w:bidi w:val="0"/>
        <w:jc w:val="left"/>
        <w:rPr>
          <w:rFonts w:hint="eastAsia" w:ascii="仿宋" w:hAnsi="仿宋" w:eastAsia="仿宋" w:cs="仿宋"/>
          <w:color w:val="000000" w:themeColor="text1"/>
          <w:highlight w:val="none"/>
          <w:lang w:val="en-US" w:eastAsia="zh-CN"/>
          <w14:textFill>
            <w14:solidFill>
              <w14:schemeClr w14:val="tx1"/>
            </w14:solidFill>
          </w14:textFill>
        </w:rPr>
      </w:pPr>
    </w:p>
    <w:p w14:paraId="210E5EC1">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54D41F92">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6E3BFB56">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4DBB3A68">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122951B3">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191CD4E0">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3A51766D">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18C70EDF">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0D912425">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49E1B79E">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2B45933B">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2148684C">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5EA40932">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34F82002">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281A8BFD">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5A0A4421">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6567C564">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1FEB6708">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6F222627">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489DC2C7">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2438307B">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308048F8">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0F5AA254">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3063D8BB">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4F332087">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131E900B">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19FA7FEB">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501A77D6">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4C6B1049">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14803854">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40D58F6D">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3A8D2D7C">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23D0F148">
      <w:pPr>
        <w:spacing w:line="400" w:lineRule="exact"/>
        <w:outlineLvl w:val="1"/>
        <w:rPr>
          <w:rFonts w:hint="eastAsia" w:ascii="仿宋" w:hAnsi="仿宋" w:eastAsia="仿宋" w:cs="仿宋"/>
          <w:b/>
          <w:bCs/>
          <w:color w:val="000000" w:themeColor="text1"/>
          <w:highlight w:val="none"/>
          <w14:textFill>
            <w14:solidFill>
              <w14:schemeClr w14:val="tx1"/>
            </w14:solidFill>
          </w14:textFill>
        </w:rPr>
      </w:pPr>
    </w:p>
    <w:p w14:paraId="4AAC706A">
      <w:pPr>
        <w:spacing w:line="400" w:lineRule="exact"/>
        <w:outlineLvl w:val="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四、</w:t>
      </w:r>
      <w:r>
        <w:rPr>
          <w:rFonts w:hint="eastAsia" w:ascii="仿宋" w:hAnsi="仿宋" w:eastAsia="仿宋" w:cs="仿宋"/>
          <w:b/>
          <w:bCs/>
          <w:color w:val="000000" w:themeColor="text1"/>
          <w:highlight w:val="none"/>
          <w:lang w:eastAsia="zh-CN"/>
          <w14:textFill>
            <w14:solidFill>
              <w14:schemeClr w14:val="tx1"/>
            </w14:solidFill>
          </w14:textFill>
        </w:rPr>
        <w:t>定</w:t>
      </w:r>
      <w:r>
        <w:rPr>
          <w:rFonts w:hint="eastAsia" w:ascii="仿宋" w:hAnsi="仿宋" w:eastAsia="仿宋" w:cs="仿宋"/>
          <w:b/>
          <w:color w:val="000000" w:themeColor="text1"/>
          <w:szCs w:val="21"/>
          <w:highlight w:val="none"/>
          <w14:textFill>
            <w14:solidFill>
              <w14:schemeClr w14:val="tx1"/>
            </w14:solidFill>
          </w14:textFill>
        </w:rPr>
        <w:t>标办法</w:t>
      </w:r>
    </w:p>
    <w:p w14:paraId="60636514">
      <w:pPr>
        <w:spacing w:line="400" w:lineRule="exact"/>
        <w:ind w:left="420" w:hanging="420" w:hanging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1.本次招标由评标委员会推荐中标候选人，采购单位根据评标委员会的推荐结果进行最终确认。</w:t>
      </w:r>
    </w:p>
    <w:p w14:paraId="7DA6026F">
      <w:pPr>
        <w:tabs>
          <w:tab w:val="left" w:pos="540"/>
        </w:tabs>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2.评标委员会依据法律、法规及招标文件有关规定在有效标中按投标人的最终得分【即</w:t>
      </w:r>
      <w:r>
        <w:rPr>
          <w:rFonts w:hint="eastAsia" w:ascii="仿宋" w:hAnsi="仿宋" w:eastAsia="仿宋" w:cs="仿宋"/>
          <w:color w:val="000000" w:themeColor="text1"/>
          <w:szCs w:val="21"/>
          <w:highlight w:val="none"/>
          <w:lang w:eastAsia="zh-CN"/>
          <w14:textFill>
            <w14:solidFill>
              <w14:schemeClr w14:val="tx1"/>
            </w14:solidFill>
          </w14:textFill>
        </w:rPr>
        <w:t>商务技术</w:t>
      </w:r>
      <w:r>
        <w:rPr>
          <w:rFonts w:hint="eastAsia" w:ascii="仿宋" w:hAnsi="仿宋" w:eastAsia="仿宋" w:cs="仿宋"/>
          <w:color w:val="000000" w:themeColor="text1"/>
          <w:szCs w:val="21"/>
          <w:highlight w:val="none"/>
          <w14:textFill>
            <w14:solidFill>
              <w14:schemeClr w14:val="tx1"/>
            </w14:solidFill>
          </w14:textFill>
        </w:rPr>
        <w:t>分与报价分之和】）由高到低进行排序，综合得分最高的投标人作为本项目的第一中标候选人（得分相同的，按投标报价由低到高顺序排列；得分且投标报价相同的，由招标人现场抽签产生第一中标候选人）。</w:t>
      </w:r>
    </w:p>
    <w:p w14:paraId="5DBAF299">
      <w:pPr>
        <w:tabs>
          <w:tab w:val="left" w:pos="540"/>
        </w:tabs>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招标。</w:t>
      </w:r>
    </w:p>
    <w:p w14:paraId="67873BF7">
      <w:pPr>
        <w:snapToGrid w:val="0"/>
        <w:spacing w:line="400" w:lineRule="exact"/>
        <w:outlineLvl w:val="1"/>
        <w:rPr>
          <w:rFonts w:hint="eastAsia" w:ascii="仿宋" w:hAnsi="仿宋" w:eastAsia="仿宋" w:cs="仿宋"/>
          <w:b/>
          <w:bCs/>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五</w:t>
      </w:r>
      <w:r>
        <w:rPr>
          <w:rFonts w:hint="eastAsia" w:ascii="仿宋" w:hAnsi="仿宋" w:eastAsia="仿宋" w:cs="仿宋"/>
          <w:b/>
          <w:bCs/>
          <w:color w:val="000000" w:themeColor="text1"/>
          <w:szCs w:val="21"/>
          <w:highlight w:val="none"/>
          <w:lang w:val="zh-CN"/>
          <w14:textFill>
            <w14:solidFill>
              <w14:schemeClr w14:val="tx1"/>
            </w14:solidFill>
          </w14:textFill>
        </w:rPr>
        <w:t>、</w:t>
      </w:r>
      <w:bookmarkStart w:id="135" w:name="注意事项"/>
      <w:r>
        <w:rPr>
          <w:rFonts w:hint="eastAsia" w:ascii="仿宋" w:hAnsi="仿宋" w:eastAsia="仿宋" w:cs="仿宋"/>
          <w:b/>
          <w:bCs/>
          <w:color w:val="000000" w:themeColor="text1"/>
          <w:szCs w:val="21"/>
          <w:highlight w:val="none"/>
          <w:lang w:val="zh-CN"/>
          <w14:textFill>
            <w14:solidFill>
              <w14:schemeClr w14:val="tx1"/>
            </w14:solidFill>
          </w14:textFill>
        </w:rPr>
        <w:t>注意事项</w:t>
      </w:r>
      <w:bookmarkEnd w:id="135"/>
    </w:p>
    <w:p w14:paraId="5C91DE0D">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时评标委员会认为投标人的报价明显低于其他通过符合性审查投标人的报价，有可能影响产品（服务或工程）质量或者不能诚信履约的，应当要求其在评标现场合理的时间内提供书面说明，必要时提交相关证明材料；投标人不能证明其报价合理性的，评标委员会应当将其作为无效投标处理。</w:t>
      </w:r>
    </w:p>
    <w:p w14:paraId="1B17C54C">
      <w:pPr>
        <w:snapToGrid w:val="0"/>
        <w:spacing w:line="400" w:lineRule="exact"/>
        <w:outlineLvl w:val="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六、</w:t>
      </w:r>
      <w:bookmarkStart w:id="136" w:name="_Toc221356905"/>
      <w:bookmarkStart w:id="137" w:name="_Toc221356968"/>
      <w:r>
        <w:rPr>
          <w:rFonts w:hint="eastAsia" w:ascii="仿宋" w:hAnsi="仿宋" w:eastAsia="仿宋" w:cs="仿宋"/>
          <w:b/>
          <w:color w:val="000000" w:themeColor="text1"/>
          <w:szCs w:val="21"/>
          <w:highlight w:val="none"/>
          <w14:textFill>
            <w14:solidFill>
              <w14:schemeClr w14:val="tx1"/>
            </w14:solidFill>
          </w14:textFill>
        </w:rPr>
        <w:t>投标人义务</w:t>
      </w:r>
      <w:bookmarkEnd w:id="136"/>
      <w:bookmarkEnd w:id="137"/>
    </w:p>
    <w:p w14:paraId="27D1E86A">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投标人应随时接受评标委员会的询标，解答包括有关的商务、技术问题等。评标结束，所有评标资料存招标人备查。</w:t>
      </w:r>
    </w:p>
    <w:p w14:paraId="258FF046">
      <w:pPr>
        <w:spacing w:line="360" w:lineRule="auto"/>
        <w:jc w:val="center"/>
        <w:outlineLvl w:val="0"/>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page"/>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Start w:id="138" w:name="_Toc4861"/>
      <w:bookmarkStart w:id="139" w:name="_Toc4631"/>
      <w:bookmarkStart w:id="140" w:name="_Toc28049"/>
      <w:r>
        <w:rPr>
          <w:rFonts w:hint="eastAsia" w:ascii="仿宋" w:hAnsi="仿宋" w:eastAsia="仿宋" w:cs="仿宋"/>
          <w:color w:val="000000" w:themeColor="text1"/>
          <w:sz w:val="32"/>
          <w:szCs w:val="32"/>
          <w:highlight w:val="none"/>
          <w14:textFill>
            <w14:solidFill>
              <w14:schemeClr w14:val="tx1"/>
            </w14:solidFill>
          </w14:textFill>
        </w:rPr>
        <w:t>第六章   投标文件格式</w:t>
      </w:r>
      <w:bookmarkEnd w:id="138"/>
      <w:bookmarkEnd w:id="139"/>
      <w:bookmarkEnd w:id="140"/>
    </w:p>
    <w:p w14:paraId="2D94C0AA">
      <w:pPr>
        <w:spacing w:line="460" w:lineRule="exact"/>
        <w:outlineLvl w:val="1"/>
        <w:rPr>
          <w:rFonts w:hint="eastAsia" w:ascii="仿宋" w:hAnsi="仿宋" w:eastAsia="仿宋" w:cs="仿宋"/>
          <w:b/>
          <w:color w:val="000000" w:themeColor="text1"/>
          <w:sz w:val="24"/>
          <w:highlight w:val="none"/>
          <w14:textFill>
            <w14:solidFill>
              <w14:schemeClr w14:val="tx1"/>
            </w14:solidFill>
          </w14:textFill>
        </w:rPr>
      </w:pPr>
      <w:bookmarkStart w:id="141" w:name="_Toc20872"/>
      <w:bookmarkStart w:id="142" w:name="_Toc1460"/>
      <w:r>
        <w:rPr>
          <w:rFonts w:hint="eastAsia" w:ascii="仿宋" w:hAnsi="仿宋" w:eastAsia="仿宋" w:cs="仿宋"/>
          <w:b/>
          <w:color w:val="000000" w:themeColor="text1"/>
          <w:sz w:val="24"/>
          <w:highlight w:val="none"/>
          <w14:textFill>
            <w14:solidFill>
              <w14:schemeClr w14:val="tx1"/>
            </w14:solidFill>
          </w14:textFill>
        </w:rPr>
        <w:t>投标文件封面格式：</w:t>
      </w:r>
      <w:bookmarkEnd w:id="141"/>
      <w:bookmarkEnd w:id="142"/>
      <w:r>
        <w:rPr>
          <w:rFonts w:hint="eastAsia" w:ascii="仿宋" w:hAnsi="仿宋" w:eastAsia="仿宋" w:cs="仿宋"/>
          <w:b/>
          <w:color w:val="000000" w:themeColor="text1"/>
          <w:sz w:val="24"/>
          <w:highlight w:val="none"/>
          <w14:textFill>
            <w14:solidFill>
              <w14:schemeClr w14:val="tx1"/>
            </w14:solidFill>
          </w14:textFill>
        </w:rPr>
        <w:t xml:space="preserve">          </w:t>
      </w:r>
    </w:p>
    <w:p w14:paraId="701A3184">
      <w:pPr>
        <w:spacing w:before="185"/>
        <w:ind w:right="210"/>
        <w:jc w:val="center"/>
        <w:rPr>
          <w:rFonts w:hint="eastAsia" w:ascii="仿宋" w:hAnsi="仿宋" w:eastAsia="仿宋" w:cs="仿宋"/>
          <w:b/>
          <w:bCs/>
          <w:color w:val="000000" w:themeColor="text1"/>
          <w:sz w:val="22"/>
          <w:szCs w:val="22"/>
          <w:highlight w:val="none"/>
          <w14:textFill>
            <w14:solidFill>
              <w14:schemeClr w14:val="tx1"/>
            </w14:solidFill>
          </w14:textFill>
        </w:rPr>
      </w:pPr>
    </w:p>
    <w:p w14:paraId="7FF01DE0">
      <w:pPr>
        <w:pStyle w:val="30"/>
        <w:ind w:left="840" w:hanging="420"/>
        <w:rPr>
          <w:rFonts w:hint="eastAsia" w:ascii="仿宋" w:hAnsi="仿宋" w:eastAsia="仿宋" w:cs="仿宋"/>
          <w:color w:val="000000" w:themeColor="text1"/>
          <w:highlight w:val="none"/>
          <w14:textFill>
            <w14:solidFill>
              <w14:schemeClr w14:val="tx1"/>
            </w14:solidFill>
          </w14:textFill>
        </w:rPr>
      </w:pPr>
    </w:p>
    <w:p w14:paraId="3E70A8C2">
      <w:pPr>
        <w:bidi w:val="0"/>
        <w:jc w:val="center"/>
        <w:rPr>
          <w:rFonts w:hint="eastAsia" w:ascii="仿宋" w:hAnsi="仿宋" w:eastAsia="仿宋" w:cs="仿宋"/>
          <w:sz w:val="72"/>
          <w:szCs w:val="72"/>
        </w:rPr>
      </w:pPr>
      <w:bookmarkStart w:id="143" w:name="_Toc15858"/>
      <w:r>
        <w:rPr>
          <w:rFonts w:hint="eastAsia" w:ascii="仿宋" w:hAnsi="仿宋" w:eastAsia="仿宋" w:cs="仿宋"/>
          <w:sz w:val="72"/>
          <w:szCs w:val="72"/>
        </w:rPr>
        <w:t>投 标 文 件</w:t>
      </w:r>
      <w:bookmarkEnd w:id="143"/>
    </w:p>
    <w:p w14:paraId="3FBE0FED">
      <w:pPr>
        <w:bidi w:val="0"/>
        <w:rPr>
          <w:rFonts w:hint="eastAsia"/>
        </w:rPr>
      </w:pPr>
    </w:p>
    <w:p w14:paraId="512CD083">
      <w:pPr>
        <w:bidi w:val="0"/>
        <w:jc w:val="center"/>
        <w:rPr>
          <w:rFonts w:hint="eastAsia" w:ascii="仿宋" w:hAnsi="仿宋" w:eastAsia="仿宋" w:cs="仿宋"/>
          <w:sz w:val="32"/>
          <w:szCs w:val="32"/>
        </w:rPr>
      </w:pPr>
      <w:bookmarkStart w:id="144" w:name="_Toc32377"/>
      <w:r>
        <w:rPr>
          <w:rFonts w:hint="eastAsia" w:ascii="仿宋" w:hAnsi="仿宋" w:eastAsia="仿宋" w:cs="仿宋"/>
          <w:sz w:val="32"/>
          <w:szCs w:val="32"/>
        </w:rPr>
        <w:t>资格</w:t>
      </w:r>
      <w:r>
        <w:rPr>
          <w:rFonts w:hint="eastAsia" w:ascii="仿宋" w:hAnsi="仿宋" w:eastAsia="仿宋" w:cs="仿宋"/>
          <w:sz w:val="32"/>
          <w:szCs w:val="32"/>
          <w:lang w:eastAsia="zh-CN"/>
        </w:rPr>
        <w:t>文件</w:t>
      </w:r>
      <w:r>
        <w:rPr>
          <w:rFonts w:hint="eastAsia" w:ascii="仿宋" w:hAnsi="仿宋" w:eastAsia="仿宋" w:cs="仿宋"/>
          <w:sz w:val="32"/>
          <w:szCs w:val="32"/>
        </w:rPr>
        <w:t>/</w:t>
      </w:r>
      <w:r>
        <w:rPr>
          <w:rFonts w:hint="eastAsia" w:ascii="仿宋" w:hAnsi="仿宋" w:eastAsia="仿宋" w:cs="仿宋"/>
          <w:sz w:val="32"/>
          <w:szCs w:val="32"/>
          <w:lang w:eastAsia="zh-CN"/>
        </w:rPr>
        <w:t>商务技术</w:t>
      </w:r>
      <w:r>
        <w:rPr>
          <w:rFonts w:hint="eastAsia" w:ascii="仿宋" w:hAnsi="仿宋" w:eastAsia="仿宋" w:cs="仿宋"/>
          <w:sz w:val="32"/>
          <w:szCs w:val="32"/>
        </w:rPr>
        <w:t>文件/报价文件</w:t>
      </w:r>
      <w:bookmarkEnd w:id="144"/>
    </w:p>
    <w:p w14:paraId="1BFE1F46">
      <w:pPr>
        <w:pStyle w:val="47"/>
        <w:rPr>
          <w:rFonts w:hint="eastAsia" w:ascii="仿宋" w:hAnsi="仿宋" w:eastAsia="仿宋" w:cs="仿宋"/>
          <w:b/>
          <w:color w:val="000000" w:themeColor="text1"/>
          <w:sz w:val="32"/>
          <w:highlight w:val="none"/>
          <w14:textFill>
            <w14:solidFill>
              <w14:schemeClr w14:val="tx1"/>
            </w14:solidFill>
          </w14:textFill>
        </w:rPr>
      </w:pPr>
    </w:p>
    <w:p w14:paraId="2675BD42">
      <w:pPr>
        <w:pStyle w:val="47"/>
        <w:rPr>
          <w:rFonts w:hint="eastAsia" w:ascii="仿宋" w:hAnsi="仿宋" w:eastAsia="仿宋" w:cs="仿宋"/>
          <w:b/>
          <w:color w:val="000000" w:themeColor="text1"/>
          <w:sz w:val="32"/>
          <w:highlight w:val="none"/>
          <w14:textFill>
            <w14:solidFill>
              <w14:schemeClr w14:val="tx1"/>
            </w14:solidFill>
          </w14:textFill>
        </w:rPr>
      </w:pPr>
    </w:p>
    <w:p w14:paraId="7A6144DA">
      <w:pPr>
        <w:snapToGrid w:val="0"/>
        <w:spacing w:after="50"/>
        <w:ind w:left="991" w:leftChars="472"/>
        <w:textAlignment w:val="baseline"/>
        <w:rPr>
          <w:rStyle w:val="50"/>
          <w:rFonts w:hint="eastAsia" w:ascii="仿宋" w:hAnsi="仿宋" w:eastAsia="仿宋" w:cs="仿宋"/>
          <w:sz w:val="28"/>
          <w:szCs w:val="28"/>
          <w:u w:val="single"/>
        </w:rPr>
      </w:pPr>
      <w:r>
        <w:rPr>
          <w:rStyle w:val="50"/>
          <w:rFonts w:hint="eastAsia" w:ascii="仿宋" w:hAnsi="仿宋" w:eastAsia="仿宋" w:cs="仿宋"/>
          <w:sz w:val="28"/>
          <w:szCs w:val="28"/>
        </w:rPr>
        <w:t>项目名称：</w:t>
      </w:r>
      <w:r>
        <w:rPr>
          <w:rStyle w:val="50"/>
          <w:rFonts w:hint="eastAsia" w:ascii="仿宋" w:hAnsi="仿宋" w:eastAsia="仿宋" w:cs="仿宋"/>
          <w:sz w:val="28"/>
          <w:szCs w:val="28"/>
          <w:u w:val="single"/>
        </w:rPr>
        <w:t xml:space="preserve">              </w:t>
      </w:r>
      <w:r>
        <w:rPr>
          <w:rStyle w:val="50"/>
          <w:rFonts w:hint="eastAsia" w:ascii="仿宋" w:hAnsi="仿宋" w:eastAsia="仿宋" w:cs="仿宋"/>
          <w:sz w:val="28"/>
          <w:szCs w:val="28"/>
          <w:u w:val="single"/>
          <w:lang w:val="en-US" w:eastAsia="zh-CN"/>
        </w:rPr>
        <w:t xml:space="preserve">                            </w:t>
      </w:r>
      <w:r>
        <w:rPr>
          <w:rStyle w:val="50"/>
          <w:rFonts w:hint="eastAsia" w:ascii="仿宋" w:hAnsi="仿宋" w:eastAsia="仿宋" w:cs="仿宋"/>
          <w:sz w:val="28"/>
          <w:szCs w:val="28"/>
          <w:u w:val="single"/>
        </w:rPr>
        <w:t xml:space="preserve">     </w:t>
      </w:r>
    </w:p>
    <w:p w14:paraId="735F23EE">
      <w:pPr>
        <w:snapToGrid w:val="0"/>
        <w:spacing w:after="50"/>
        <w:ind w:left="991" w:leftChars="472"/>
        <w:textAlignment w:val="baseline"/>
        <w:rPr>
          <w:rStyle w:val="50"/>
          <w:rFonts w:hint="eastAsia" w:ascii="仿宋" w:hAnsi="仿宋" w:eastAsia="仿宋" w:cs="仿宋"/>
          <w:sz w:val="28"/>
          <w:szCs w:val="28"/>
        </w:rPr>
      </w:pPr>
    </w:p>
    <w:p w14:paraId="7E50F105">
      <w:pPr>
        <w:snapToGrid w:val="0"/>
        <w:spacing w:after="50"/>
        <w:ind w:left="991" w:leftChars="472"/>
        <w:textAlignment w:val="baseline"/>
        <w:rPr>
          <w:rStyle w:val="50"/>
          <w:rFonts w:hint="eastAsia" w:ascii="仿宋" w:hAnsi="仿宋" w:eastAsia="仿宋" w:cs="仿宋"/>
          <w:sz w:val="28"/>
          <w:szCs w:val="28"/>
          <w:u w:val="single"/>
        </w:rPr>
      </w:pPr>
      <w:r>
        <w:rPr>
          <w:rStyle w:val="50"/>
          <w:rFonts w:hint="eastAsia" w:ascii="仿宋" w:hAnsi="仿宋" w:eastAsia="仿宋" w:cs="仿宋"/>
          <w:sz w:val="28"/>
          <w:szCs w:val="28"/>
        </w:rPr>
        <w:t>项目编号：</w:t>
      </w:r>
      <w:r>
        <w:rPr>
          <w:rStyle w:val="50"/>
          <w:rFonts w:hint="eastAsia" w:ascii="仿宋" w:hAnsi="仿宋" w:eastAsia="仿宋" w:cs="仿宋"/>
          <w:sz w:val="28"/>
          <w:szCs w:val="28"/>
          <w:u w:val="single"/>
        </w:rPr>
        <w:t xml:space="preserve">          </w:t>
      </w:r>
      <w:r>
        <w:rPr>
          <w:rStyle w:val="50"/>
          <w:rFonts w:hint="eastAsia" w:ascii="仿宋" w:hAnsi="仿宋" w:eastAsia="仿宋" w:cs="仿宋"/>
          <w:sz w:val="28"/>
          <w:szCs w:val="28"/>
          <w:u w:val="single"/>
          <w:lang w:val="en-US" w:eastAsia="zh-CN"/>
        </w:rPr>
        <w:t xml:space="preserve">                             </w:t>
      </w:r>
      <w:r>
        <w:rPr>
          <w:rStyle w:val="50"/>
          <w:rFonts w:hint="eastAsia" w:ascii="仿宋" w:hAnsi="仿宋" w:eastAsia="仿宋" w:cs="仿宋"/>
          <w:sz w:val="28"/>
          <w:szCs w:val="28"/>
          <w:u w:val="single"/>
        </w:rPr>
        <w:t xml:space="preserve">        </w:t>
      </w:r>
    </w:p>
    <w:p w14:paraId="049AE24D">
      <w:pPr>
        <w:snapToGrid w:val="0"/>
        <w:spacing w:after="50"/>
        <w:ind w:left="991" w:leftChars="472"/>
        <w:textAlignment w:val="baseline"/>
        <w:rPr>
          <w:rStyle w:val="50"/>
          <w:rFonts w:hint="eastAsia" w:ascii="仿宋" w:hAnsi="仿宋" w:eastAsia="仿宋" w:cs="仿宋"/>
          <w:sz w:val="28"/>
          <w:szCs w:val="28"/>
        </w:rPr>
      </w:pPr>
    </w:p>
    <w:p w14:paraId="24BA3F85">
      <w:pPr>
        <w:snapToGrid w:val="0"/>
        <w:spacing w:after="50"/>
        <w:ind w:left="991" w:leftChars="472"/>
        <w:textAlignment w:val="baseline"/>
        <w:rPr>
          <w:rStyle w:val="50"/>
          <w:rFonts w:hint="eastAsia" w:ascii="仿宋" w:hAnsi="仿宋" w:eastAsia="仿宋" w:cs="仿宋"/>
          <w:sz w:val="28"/>
          <w:szCs w:val="28"/>
          <w:u w:val="single"/>
        </w:rPr>
      </w:pPr>
      <w:r>
        <w:rPr>
          <w:rStyle w:val="50"/>
          <w:rFonts w:hint="eastAsia" w:ascii="仿宋" w:hAnsi="仿宋" w:eastAsia="仿宋" w:cs="仿宋"/>
          <w:sz w:val="28"/>
          <w:szCs w:val="28"/>
        </w:rPr>
        <w:t>投标人：</w:t>
      </w:r>
      <w:r>
        <w:rPr>
          <w:rStyle w:val="50"/>
          <w:rFonts w:hint="eastAsia" w:ascii="仿宋" w:hAnsi="仿宋" w:eastAsia="仿宋" w:cs="仿宋"/>
          <w:sz w:val="28"/>
          <w:szCs w:val="28"/>
          <w:u w:val="single"/>
        </w:rPr>
        <w:t xml:space="preserve">                    </w:t>
      </w:r>
      <w:r>
        <w:rPr>
          <w:rStyle w:val="50"/>
          <w:rFonts w:hint="eastAsia" w:ascii="仿宋" w:hAnsi="仿宋" w:eastAsia="仿宋" w:cs="仿宋"/>
          <w:sz w:val="28"/>
          <w:szCs w:val="28"/>
          <w:u w:val="single"/>
          <w:lang w:val="en-US" w:eastAsia="zh-CN"/>
        </w:rPr>
        <w:t xml:space="preserve">            </w:t>
      </w:r>
      <w:r>
        <w:rPr>
          <w:rStyle w:val="50"/>
          <w:rFonts w:hint="eastAsia" w:ascii="仿宋" w:hAnsi="仿宋" w:eastAsia="仿宋" w:cs="仿宋"/>
          <w:sz w:val="28"/>
          <w:szCs w:val="28"/>
          <w:u w:val="single"/>
        </w:rPr>
        <w:t xml:space="preserve">   （盖单位公章）</w:t>
      </w:r>
    </w:p>
    <w:p w14:paraId="751FF1AF">
      <w:pPr>
        <w:snapToGrid w:val="0"/>
        <w:spacing w:after="50"/>
        <w:ind w:left="991" w:leftChars="472"/>
        <w:textAlignment w:val="baseline"/>
        <w:rPr>
          <w:rStyle w:val="50"/>
          <w:rFonts w:hint="eastAsia" w:ascii="仿宋" w:hAnsi="仿宋" w:eastAsia="仿宋" w:cs="仿宋"/>
          <w:sz w:val="28"/>
          <w:szCs w:val="28"/>
        </w:rPr>
      </w:pPr>
    </w:p>
    <w:p w14:paraId="3ECD32A4">
      <w:pPr>
        <w:snapToGrid w:val="0"/>
        <w:spacing w:after="50"/>
        <w:ind w:left="991" w:leftChars="472"/>
        <w:textAlignment w:val="baseline"/>
        <w:rPr>
          <w:rStyle w:val="50"/>
          <w:rFonts w:hint="eastAsia" w:ascii="仿宋" w:hAnsi="仿宋" w:eastAsia="仿宋" w:cs="仿宋"/>
          <w:sz w:val="28"/>
          <w:szCs w:val="28"/>
        </w:rPr>
      </w:pPr>
    </w:p>
    <w:p w14:paraId="43F78C26">
      <w:pPr>
        <w:snapToGrid w:val="0"/>
        <w:spacing w:after="50"/>
        <w:ind w:left="567" w:leftChars="270"/>
        <w:jc w:val="center"/>
        <w:textAlignment w:val="baseline"/>
        <w:rPr>
          <w:rStyle w:val="50"/>
          <w:rFonts w:hint="eastAsia" w:ascii="仿宋" w:hAnsi="仿宋" w:eastAsia="仿宋" w:cs="仿宋"/>
          <w:sz w:val="28"/>
          <w:szCs w:val="28"/>
        </w:rPr>
      </w:pPr>
    </w:p>
    <w:p w14:paraId="2FA4C10A">
      <w:pPr>
        <w:snapToGrid w:val="0"/>
        <w:spacing w:after="50"/>
        <w:ind w:firstLine="980" w:firstLineChars="350"/>
        <w:textAlignment w:val="baseline"/>
        <w:rPr>
          <w:rStyle w:val="50"/>
          <w:rFonts w:hint="eastAsia" w:ascii="仿宋" w:hAnsi="仿宋" w:eastAsia="仿宋" w:cs="仿宋"/>
          <w:sz w:val="28"/>
          <w:szCs w:val="28"/>
        </w:rPr>
      </w:pPr>
      <w:r>
        <w:rPr>
          <w:rStyle w:val="50"/>
          <w:rFonts w:hint="eastAsia" w:ascii="仿宋" w:hAnsi="仿宋" w:eastAsia="仿宋" w:cs="仿宋"/>
          <w:sz w:val="28"/>
          <w:szCs w:val="28"/>
        </w:rPr>
        <w:t>投标人地址：</w:t>
      </w:r>
      <w:r>
        <w:rPr>
          <w:rStyle w:val="50"/>
          <w:rFonts w:hint="eastAsia" w:ascii="仿宋" w:hAnsi="仿宋" w:eastAsia="仿宋" w:cs="仿宋"/>
          <w:sz w:val="28"/>
          <w:szCs w:val="28"/>
          <w:u w:val="single"/>
        </w:rPr>
        <w:t xml:space="preserve">                       </w:t>
      </w:r>
      <w:r>
        <w:rPr>
          <w:rStyle w:val="50"/>
          <w:rFonts w:hint="eastAsia" w:ascii="仿宋" w:hAnsi="仿宋" w:eastAsia="仿宋" w:cs="仿宋"/>
          <w:sz w:val="28"/>
          <w:szCs w:val="28"/>
        </w:rPr>
        <w:t xml:space="preserve">  电话：</w:t>
      </w:r>
      <w:r>
        <w:rPr>
          <w:rStyle w:val="50"/>
          <w:rFonts w:hint="eastAsia" w:ascii="仿宋" w:hAnsi="仿宋" w:eastAsia="仿宋" w:cs="仿宋"/>
          <w:sz w:val="28"/>
          <w:szCs w:val="28"/>
          <w:u w:val="single"/>
        </w:rPr>
        <w:t xml:space="preserve">              </w:t>
      </w:r>
      <w:r>
        <w:rPr>
          <w:rStyle w:val="50"/>
          <w:rFonts w:hint="eastAsia" w:ascii="仿宋" w:hAnsi="仿宋" w:eastAsia="仿宋" w:cs="仿宋"/>
          <w:sz w:val="28"/>
          <w:szCs w:val="28"/>
        </w:rPr>
        <w:t xml:space="preserve"> </w:t>
      </w:r>
    </w:p>
    <w:p w14:paraId="7BDE87D7">
      <w:pPr>
        <w:snapToGrid w:val="0"/>
        <w:spacing w:after="50"/>
        <w:textAlignment w:val="baseline"/>
        <w:rPr>
          <w:rStyle w:val="50"/>
          <w:rFonts w:hint="eastAsia" w:ascii="仿宋" w:hAnsi="仿宋" w:eastAsia="仿宋" w:cs="仿宋"/>
          <w:sz w:val="28"/>
          <w:szCs w:val="28"/>
        </w:rPr>
      </w:pPr>
    </w:p>
    <w:p w14:paraId="3E8B41A7">
      <w:pPr>
        <w:snapToGrid w:val="0"/>
        <w:spacing w:after="50"/>
        <w:ind w:firstLine="980" w:firstLineChars="350"/>
        <w:textAlignment w:val="baseline"/>
        <w:rPr>
          <w:rStyle w:val="50"/>
          <w:rFonts w:hint="eastAsia" w:ascii="仿宋" w:hAnsi="仿宋" w:eastAsia="仿宋" w:cs="仿宋"/>
          <w:b/>
          <w:sz w:val="28"/>
          <w:szCs w:val="28"/>
        </w:rPr>
      </w:pPr>
      <w:r>
        <w:rPr>
          <w:rStyle w:val="50"/>
          <w:rFonts w:hint="eastAsia" w:ascii="仿宋" w:hAnsi="仿宋" w:eastAsia="仿宋" w:cs="仿宋"/>
          <w:sz w:val="28"/>
          <w:szCs w:val="28"/>
        </w:rPr>
        <w:t xml:space="preserve">日期：     年    月   日 </w:t>
      </w:r>
      <w:r>
        <w:rPr>
          <w:rStyle w:val="50"/>
          <w:rFonts w:hint="eastAsia" w:ascii="仿宋" w:hAnsi="仿宋" w:eastAsia="仿宋" w:cs="仿宋"/>
          <w:b/>
          <w:sz w:val="28"/>
          <w:szCs w:val="28"/>
        </w:rPr>
        <w:t xml:space="preserve">       </w:t>
      </w:r>
    </w:p>
    <w:p w14:paraId="40B9CD24">
      <w:pPr>
        <w:rPr>
          <w:rFonts w:hint="eastAsia" w:ascii="仿宋" w:hAnsi="仿宋" w:eastAsia="仿宋" w:cs="仿宋"/>
          <w:b/>
          <w:szCs w:val="21"/>
        </w:rPr>
      </w:pPr>
    </w:p>
    <w:p w14:paraId="7D8867A3">
      <w:pPr>
        <w:widowControl/>
        <w:spacing w:line="460" w:lineRule="exact"/>
        <w:rPr>
          <w:rFonts w:hint="eastAsia" w:ascii="仿宋" w:hAnsi="仿宋" w:eastAsia="仿宋" w:cs="仿宋"/>
          <w:b/>
          <w:bCs/>
          <w:color w:val="000000" w:themeColor="text1"/>
          <w:kern w:val="0"/>
          <w:sz w:val="24"/>
          <w:highlight w:val="none"/>
          <w14:textFill>
            <w14:solidFill>
              <w14:schemeClr w14:val="tx1"/>
            </w14:solidFill>
          </w14:textFill>
        </w:rPr>
      </w:pPr>
    </w:p>
    <w:p w14:paraId="39615F16">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p>
    <w:p w14:paraId="358A994D">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p>
    <w:p w14:paraId="228B2CDF">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p>
    <w:p w14:paraId="6FB549FB">
      <w:pPr>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br w:type="page"/>
      </w:r>
    </w:p>
    <w:p w14:paraId="56B815BB">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法定代表人身份证明</w:t>
      </w:r>
    </w:p>
    <w:p w14:paraId="787E3255">
      <w:pPr>
        <w:widowControl/>
        <w:spacing w:line="420" w:lineRule="atLeas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 xml:space="preserve"> </w:t>
      </w:r>
    </w:p>
    <w:p w14:paraId="025EA312">
      <w:pPr>
        <w:widowControl/>
        <w:spacing w:line="420" w:lineRule="atLeast"/>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41913F7">
      <w:pPr>
        <w:widowControl/>
        <w:spacing w:line="420" w:lineRule="atLeast"/>
        <w:ind w:firstLine="10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单位名称：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p>
    <w:p w14:paraId="09DD9E50">
      <w:pPr>
        <w:widowControl/>
        <w:spacing w:line="420" w:lineRule="atLeast"/>
        <w:ind w:firstLine="1080"/>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单位性质：</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p>
    <w:p w14:paraId="567CFEF2">
      <w:pPr>
        <w:widowControl/>
        <w:spacing w:line="420" w:lineRule="atLeast"/>
        <w:ind w:firstLine="1080"/>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地    址：</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p>
    <w:p w14:paraId="1C4AE6F1">
      <w:pPr>
        <w:widowControl/>
        <w:spacing w:line="420" w:lineRule="atLeast"/>
        <w:ind w:firstLine="10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成立时间：</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bookmarkStart w:id="148" w:name="_GoBack"/>
      <w:r>
        <w:rPr>
          <w:rFonts w:hint="eastAsia" w:ascii="仿宋" w:hAnsi="仿宋" w:eastAsia="仿宋" w:cs="仿宋"/>
          <w:color w:val="000000" w:themeColor="text1"/>
          <w:kern w:val="0"/>
          <w:szCs w:val="21"/>
          <w:highlight w:val="none"/>
          <w14:textFill>
            <w14:solidFill>
              <w14:schemeClr w14:val="tx1"/>
            </w14:solidFill>
          </w14:textFill>
        </w:rPr>
        <w:t>月</w:t>
      </w:r>
      <w:bookmarkEnd w:id="148"/>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日</w:t>
      </w:r>
    </w:p>
    <w:p w14:paraId="408E2B7E">
      <w:pPr>
        <w:widowControl/>
        <w:spacing w:line="420" w:lineRule="atLeast"/>
        <w:ind w:firstLine="1080"/>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经营期限：</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p>
    <w:p w14:paraId="09FF26F1">
      <w:pPr>
        <w:widowControl/>
        <w:spacing w:line="420" w:lineRule="atLeast"/>
        <w:ind w:firstLine="1080"/>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姓    名：</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性    别：</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p>
    <w:p w14:paraId="1C9DDE7E">
      <w:pPr>
        <w:widowControl/>
        <w:spacing w:line="420" w:lineRule="atLeast"/>
        <w:ind w:firstLine="1080"/>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年    龄：</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职    务：</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p>
    <w:p w14:paraId="5F5E9A83">
      <w:pPr>
        <w:widowControl/>
        <w:spacing w:line="420" w:lineRule="atLeast"/>
        <w:ind w:firstLine="10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系</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（投标人名称）的法定代表人。</w:t>
      </w:r>
    </w:p>
    <w:p w14:paraId="0511550D">
      <w:pPr>
        <w:widowControl/>
        <w:spacing w:line="420" w:lineRule="atLeast"/>
        <w:ind w:firstLine="10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特此证明。</w:t>
      </w:r>
    </w:p>
    <w:p w14:paraId="4C55276D">
      <w:pPr>
        <w:widowControl/>
        <w:spacing w:line="420" w:lineRule="atLeas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5CE0A8B4">
      <w:pPr>
        <w:widowControl/>
        <w:spacing w:line="420" w:lineRule="atLeas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014D146E">
      <w:pPr>
        <w:widowControl/>
        <w:spacing w:line="420" w:lineRule="atLeast"/>
        <w:ind w:right="-64" w:firstLine="360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投标人：</w:t>
      </w: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b/>
          <w:bCs/>
          <w:color w:val="000000" w:themeColor="text1"/>
          <w:kern w:val="0"/>
          <w:szCs w:val="21"/>
          <w:highlight w:val="none"/>
          <w14:textFill>
            <w14:solidFill>
              <w14:schemeClr w14:val="tx1"/>
            </w14:solidFill>
          </w14:textFill>
        </w:rPr>
        <w:t>（盖单位章）</w:t>
      </w:r>
    </w:p>
    <w:p w14:paraId="0703339E">
      <w:pPr>
        <w:widowControl/>
        <w:spacing w:line="420" w:lineRule="atLeast"/>
        <w:ind w:right="420"/>
        <w:rPr>
          <w:rFonts w:hint="eastAsia" w:ascii="仿宋" w:hAnsi="仿宋" w:eastAsia="仿宋" w:cs="仿宋"/>
          <w:b/>
          <w:bCs/>
          <w:color w:val="000000" w:themeColor="text1"/>
          <w:kern w:val="0"/>
          <w:szCs w:val="21"/>
          <w:highlight w:val="none"/>
          <w:u w:val="single"/>
          <w14:textFill>
            <w14:solidFill>
              <w14:schemeClr w14:val="tx1"/>
            </w14:solidFill>
          </w14:textFill>
        </w:rPr>
      </w:pPr>
    </w:p>
    <w:p w14:paraId="60B6C89B">
      <w:pPr>
        <w:widowControl/>
        <w:spacing w:line="420" w:lineRule="atLeast"/>
        <w:ind w:right="-64" w:firstLine="432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b/>
          <w:bCs/>
          <w:color w:val="000000" w:themeColor="text1"/>
          <w:kern w:val="0"/>
          <w:szCs w:val="21"/>
          <w:highlight w:val="none"/>
          <w14:textFill>
            <w14:solidFill>
              <w14:schemeClr w14:val="tx1"/>
            </w14:solidFill>
          </w14:textFill>
        </w:rPr>
        <w:t>年</w:t>
      </w: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b/>
          <w:bCs/>
          <w:color w:val="000000" w:themeColor="text1"/>
          <w:kern w:val="0"/>
          <w:szCs w:val="21"/>
          <w:highlight w:val="none"/>
          <w14:textFill>
            <w14:solidFill>
              <w14:schemeClr w14:val="tx1"/>
            </w14:solidFill>
          </w14:textFill>
        </w:rPr>
        <w:t>月</w:t>
      </w: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b/>
          <w:bCs/>
          <w:color w:val="000000" w:themeColor="text1"/>
          <w:kern w:val="0"/>
          <w:szCs w:val="21"/>
          <w:highlight w:val="none"/>
          <w14:textFill>
            <w14:solidFill>
              <w14:schemeClr w14:val="tx1"/>
            </w14:solidFill>
          </w14:textFill>
        </w:rPr>
        <w:t xml:space="preserve">日 </w:t>
      </w:r>
    </w:p>
    <w:p w14:paraId="2F322C5D">
      <w:pPr>
        <w:pStyle w:val="47"/>
        <w:rPr>
          <w:rFonts w:hint="eastAsia" w:ascii="仿宋" w:hAnsi="仿宋" w:eastAsia="仿宋" w:cs="仿宋"/>
          <w:b/>
          <w:bCs/>
          <w:color w:val="000000" w:themeColor="text1"/>
          <w:highlight w:val="none"/>
          <w14:textFill>
            <w14:solidFill>
              <w14:schemeClr w14:val="tx1"/>
            </w14:solidFill>
          </w14:textFill>
        </w:rPr>
      </w:pPr>
    </w:p>
    <w:p w14:paraId="1515DDBD">
      <w:pPr>
        <w:pStyle w:val="11"/>
        <w:ind w:left="10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p w14:paraId="64223774">
      <w:pPr>
        <w:pStyle w:val="11"/>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28" name="文本框 28"/>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14:paraId="03B985C0">
                            <w:pPr>
                              <w:pStyle w:val="11"/>
                              <w:rPr>
                                <w:sz w:val="20"/>
                              </w:rPr>
                            </w:pPr>
                          </w:p>
                          <w:p w14:paraId="366D6C05">
                            <w:pPr>
                              <w:pStyle w:val="11"/>
                              <w:rPr>
                                <w:sz w:val="20"/>
                              </w:rPr>
                            </w:pPr>
                          </w:p>
                          <w:p w14:paraId="0EBBEBCE">
                            <w:pPr>
                              <w:pStyle w:val="11"/>
                              <w:rPr>
                                <w:sz w:val="20"/>
                              </w:rPr>
                            </w:pPr>
                          </w:p>
                          <w:p w14:paraId="4B315C37">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WS2R9YAAAAKAQAADwAAAAAA&#10;AAABACAAAAAiAAAAZHJzL2Rvd25yZXYueG1sUEsBAhQAFAAAAAgAh07iQJlCllEVAgAANAQAAA4A&#10;AAAAAAAAAQAgAAAAJQEAAGRycy9lMm9Eb2MueG1sUEsFBgAAAAAGAAYAWQEAAKwFAAAAAA==&#10;">
                <v:fill on="f" focussize="0,0"/>
                <v:stroke weight="0.48pt" color="#000000" joinstyle="miter"/>
                <v:imagedata o:title=""/>
                <o:lock v:ext="edit" aspectratio="f"/>
                <v:textbox inset="0mm,0mm,0mm,0mm">
                  <w:txbxContent>
                    <w:p w14:paraId="03B985C0">
                      <w:pPr>
                        <w:pStyle w:val="11"/>
                        <w:rPr>
                          <w:sz w:val="20"/>
                        </w:rPr>
                      </w:pPr>
                    </w:p>
                    <w:p w14:paraId="366D6C05">
                      <w:pPr>
                        <w:pStyle w:val="11"/>
                        <w:rPr>
                          <w:sz w:val="20"/>
                        </w:rPr>
                      </w:pPr>
                    </w:p>
                    <w:p w14:paraId="0EBBEBCE">
                      <w:pPr>
                        <w:pStyle w:val="11"/>
                        <w:rPr>
                          <w:sz w:val="20"/>
                        </w:rPr>
                      </w:pPr>
                    </w:p>
                    <w:p w14:paraId="4B315C37">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仿宋" w:hAnsi="仿宋" w:eastAsia="仿宋" w:cs="仿宋"/>
          <w:color w:val="000000" w:themeColor="text1"/>
          <w:kern w:val="0"/>
          <w:szCs w:val="21"/>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FD6BCB1">
      <w:pPr>
        <w:widowControl/>
        <w:spacing w:line="420" w:lineRule="atLeast"/>
        <w:jc w:val="left"/>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br w:type="page"/>
      </w:r>
    </w:p>
    <w:p w14:paraId="17D04A04">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法定代表人授权委托书</w:t>
      </w:r>
    </w:p>
    <w:p w14:paraId="0C0BDB31">
      <w:pPr>
        <w:widowControl/>
        <w:spacing w:line="420" w:lineRule="atLeast"/>
        <w:ind w:left="12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A979A41">
      <w:pPr>
        <w:widowControl/>
        <w:spacing w:line="360" w:lineRule="auto"/>
        <w:ind w:left="120" w:firstLine="48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本授权书声明：我</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（法人代表姓名、职务）是</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（单位名称）的法人代表，现代表本单位授权</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（被授权人的姓名、职务）为本单位的合法代理人，就参加</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（项目编号：  ）</w:t>
      </w:r>
      <w:r>
        <w:rPr>
          <w:rFonts w:hint="eastAsia" w:ascii="仿宋" w:hAnsi="仿宋" w:eastAsia="仿宋" w:cs="仿宋"/>
          <w:color w:val="000000" w:themeColor="text1"/>
          <w:kern w:val="0"/>
          <w:szCs w:val="21"/>
          <w:highlight w:val="none"/>
          <w14:textFill>
            <w14:solidFill>
              <w14:schemeClr w14:val="tx1"/>
            </w14:solidFill>
          </w14:textFill>
        </w:rPr>
        <w:t>公开招标的投标、签订合同以及合同的执行、完成和服务，及以本单位名义处理一切与之有关的事务。</w:t>
      </w:r>
    </w:p>
    <w:p w14:paraId="07C6B3BF">
      <w:pPr>
        <w:widowControl/>
        <w:spacing w:line="360" w:lineRule="auto"/>
        <w:ind w:firstLine="48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本授权书于</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月</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日签字生效，特此声明。</w:t>
      </w:r>
    </w:p>
    <w:p w14:paraId="21202FC4">
      <w:pPr>
        <w:pStyle w:val="47"/>
        <w:rPr>
          <w:rFonts w:hint="eastAsia" w:ascii="仿宋" w:hAnsi="仿宋" w:eastAsia="仿宋" w:cs="仿宋"/>
          <w:color w:val="000000" w:themeColor="text1"/>
          <w:highlight w:val="none"/>
          <w14:textFill>
            <w14:solidFill>
              <w14:schemeClr w14:val="tx1"/>
            </w14:solidFill>
          </w14:textFill>
        </w:rPr>
      </w:pPr>
    </w:p>
    <w:p w14:paraId="39DD5E61">
      <w:pPr>
        <w:widowControl/>
        <w:spacing w:line="360" w:lineRule="auto"/>
        <w:ind w:firstLine="600"/>
        <w:jc w:val="left"/>
        <w:rPr>
          <w:rFonts w:hint="eastAsia" w:ascii="仿宋" w:hAnsi="仿宋" w:eastAsia="仿宋" w:cs="仿宋"/>
          <w:color w:val="000000" w:themeColor="text1"/>
          <w:kern w:val="0"/>
          <w:szCs w:val="21"/>
          <w:highlight w:val="none"/>
          <w14:textFill>
            <w14:solidFill>
              <w14:schemeClr w14:val="tx1"/>
            </w14:solidFill>
          </w14:textFill>
        </w:rPr>
      </w:pPr>
    </w:p>
    <w:p w14:paraId="08C9980A">
      <w:pPr>
        <w:widowControl/>
        <w:spacing w:line="360" w:lineRule="auto"/>
        <w:ind w:firstLine="600"/>
        <w:jc w:val="left"/>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法人代表（签字）</w:t>
      </w: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w:t>
      </w:r>
    </w:p>
    <w:p w14:paraId="5B2D2AD6">
      <w:pPr>
        <w:widowControl/>
        <w:spacing w:line="360" w:lineRule="auto"/>
        <w:ind w:firstLine="600"/>
        <w:jc w:val="left"/>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授权委托人（签字）</w:t>
      </w: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w:t>
      </w:r>
    </w:p>
    <w:p w14:paraId="3AF9E559">
      <w:pPr>
        <w:widowControl/>
        <w:spacing w:line="360" w:lineRule="auto"/>
        <w:ind w:firstLine="600"/>
        <w:jc w:val="left"/>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单位名称（公章）</w:t>
      </w: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w:t>
      </w:r>
    </w:p>
    <w:p w14:paraId="2469AF41">
      <w:pPr>
        <w:widowControl/>
        <w:spacing w:line="360" w:lineRule="auto"/>
        <w:ind w:firstLine="480"/>
        <w:jc w:val="left"/>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 xml:space="preserve"> 日    期：</w:t>
      </w:r>
      <w:r>
        <w:rPr>
          <w:rFonts w:hint="eastAsia" w:ascii="仿宋" w:hAnsi="仿宋" w:eastAsia="仿宋" w:cs="仿宋"/>
          <w:b/>
          <w:bCs/>
          <w:color w:val="000000" w:themeColor="text1"/>
          <w:kern w:val="0"/>
          <w:szCs w:val="21"/>
          <w:highlight w:val="none"/>
          <w:u w:val="single"/>
          <w14:textFill>
            <w14:solidFill>
              <w14:schemeClr w14:val="tx1"/>
            </w14:solidFill>
          </w14:textFill>
        </w:rPr>
        <w:t xml:space="preserve">                                    </w:t>
      </w:r>
    </w:p>
    <w:p w14:paraId="759145A8">
      <w:pPr>
        <w:widowControl/>
        <w:spacing w:line="360" w:lineRule="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w:t>
      </w:r>
    </w:p>
    <w:p w14:paraId="35F6F1DC">
      <w:pPr>
        <w:widowControl/>
        <w:spacing w:line="360" w:lineRule="auto"/>
        <w:rPr>
          <w:rFonts w:hint="eastAsia" w:ascii="仿宋" w:hAnsi="仿宋" w:eastAsia="仿宋" w:cs="仿宋"/>
          <w:color w:val="000000" w:themeColor="text1"/>
          <w:kern w:val="0"/>
          <w:szCs w:val="21"/>
          <w:highlight w:val="none"/>
          <w14:textFill>
            <w14:solidFill>
              <w14:schemeClr w14:val="tx1"/>
            </w14:solidFill>
          </w14:textFill>
        </w:rPr>
      </w:pPr>
    </w:p>
    <w:p w14:paraId="037ABA8F">
      <w:pPr>
        <w:pStyle w:val="11"/>
        <w:ind w:left="10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p w14:paraId="5EE095C2">
      <w:pPr>
        <w:pStyle w:val="11"/>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29" name="文本框 29"/>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14:paraId="0AEE85E1">
                            <w:pPr>
                              <w:pStyle w:val="11"/>
                              <w:rPr>
                                <w:sz w:val="20"/>
                              </w:rPr>
                            </w:pPr>
                          </w:p>
                          <w:p w14:paraId="76A860CA">
                            <w:pPr>
                              <w:pStyle w:val="11"/>
                              <w:rPr>
                                <w:sz w:val="20"/>
                              </w:rPr>
                            </w:pPr>
                          </w:p>
                          <w:p w14:paraId="7C61BBA2">
                            <w:pPr>
                              <w:pStyle w:val="11"/>
                              <w:rPr>
                                <w:sz w:val="20"/>
                              </w:rPr>
                            </w:pPr>
                          </w:p>
                          <w:p w14:paraId="762D2A17">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VktkfWAAAACgEAAA8AAAAA&#10;AAAAAQAgAAAAIgAAAGRycy9kb3ducmV2LnhtbFBLAQIUABQAAAAIAIdO4kCRRH5rFgIAADQEAAAO&#10;AAAAAAAAAAEAIAAAACUBAABkcnMvZTJvRG9jLnhtbFBLBQYAAAAABgAGAFkBAACtBQAAAAA=&#10;">
                <v:fill on="f" focussize="0,0"/>
                <v:stroke weight="0.48pt" color="#000000" joinstyle="miter"/>
                <v:imagedata o:title=""/>
                <o:lock v:ext="edit" aspectratio="f"/>
                <v:textbox inset="0mm,0mm,0mm,0mm">
                  <w:txbxContent>
                    <w:p w14:paraId="0AEE85E1">
                      <w:pPr>
                        <w:pStyle w:val="11"/>
                        <w:rPr>
                          <w:sz w:val="20"/>
                        </w:rPr>
                      </w:pPr>
                    </w:p>
                    <w:p w14:paraId="76A860CA">
                      <w:pPr>
                        <w:pStyle w:val="11"/>
                        <w:rPr>
                          <w:sz w:val="20"/>
                        </w:rPr>
                      </w:pPr>
                    </w:p>
                    <w:p w14:paraId="7C61BBA2">
                      <w:pPr>
                        <w:pStyle w:val="11"/>
                        <w:rPr>
                          <w:sz w:val="20"/>
                        </w:rPr>
                      </w:pPr>
                    </w:p>
                    <w:p w14:paraId="762D2A17">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仿宋" w:hAnsi="仿宋" w:eastAsia="仿宋" w:cs="仿宋"/>
          <w:color w:val="000000" w:themeColor="text1"/>
          <w:kern w:val="0"/>
          <w:szCs w:val="21"/>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72B40CCA">
      <w:pPr>
        <w:spacing w:line="460" w:lineRule="exact"/>
        <w:jc w:val="left"/>
        <w:rPr>
          <w:rFonts w:hint="eastAsia" w:ascii="仿宋" w:hAnsi="仿宋" w:eastAsia="仿宋" w:cs="仿宋"/>
          <w:b/>
          <w:bCs/>
          <w:color w:val="000000" w:themeColor="text1"/>
          <w:sz w:val="22"/>
          <w:szCs w:val="22"/>
          <w:highlight w:val="none"/>
          <w14:textFill>
            <w14:solidFill>
              <w14:schemeClr w14:val="tx1"/>
            </w14:solidFill>
          </w14:textFill>
        </w:rPr>
      </w:pPr>
    </w:p>
    <w:p w14:paraId="71E63865">
      <w:pPr>
        <w:widowControl/>
        <w:spacing w:line="420" w:lineRule="atLeast"/>
        <w:jc w:val="both"/>
        <w:outlineLvl w:val="1"/>
        <w:rPr>
          <w:rFonts w:hint="eastAsia" w:ascii="仿宋" w:hAnsi="仿宋" w:eastAsia="仿宋" w:cs="仿宋"/>
          <w:b/>
          <w:color w:val="000000" w:themeColor="text1"/>
          <w:sz w:val="30"/>
          <w:highlight w:val="none"/>
          <w14:textFill>
            <w14:solidFill>
              <w14:schemeClr w14:val="tx1"/>
            </w14:solidFill>
          </w14:textFill>
        </w:rPr>
      </w:pPr>
    </w:p>
    <w:p w14:paraId="676E0005">
      <w:pPr>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3590ADC2">
      <w:pPr>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4004E6C3">
      <w:pPr>
        <w:spacing w:after="100" w:line="360" w:lineRule="auto"/>
        <w:ind w:firstLine="422" w:firstLineChars="200"/>
        <w:jc w:val="center"/>
        <w:rPr>
          <w:rFonts w:hint="eastAsia"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工程、服务）</w:t>
      </w:r>
    </w:p>
    <w:p w14:paraId="027737D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0E4B92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u w:val="single"/>
          <w:lang w:eastAsia="zh-CN"/>
        </w:rPr>
        <w:t>；</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，从业人员____人，营业收入为____万元，资产总额为____万元</w:t>
      </w:r>
      <w:r>
        <w:rPr>
          <w:rStyle w:val="36"/>
          <w:rFonts w:hint="eastAsia" w:ascii="仿宋" w:hAnsi="仿宋" w:eastAsia="仿宋" w:cs="仿宋"/>
        </w:rPr>
        <w:footnoteReference w:id="0"/>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u w:val="single"/>
          <w:lang w:eastAsia="zh-CN"/>
        </w:rPr>
        <w:t>；</w:t>
      </w:r>
    </w:p>
    <w:p w14:paraId="55372D1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u w:val="single"/>
          <w:lang w:eastAsia="zh-CN"/>
        </w:rPr>
        <w:t>；</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，从业人员___人，营业收入为____万元，资产总额为___万元</w:t>
      </w:r>
      <w:r>
        <w:rPr>
          <w:rStyle w:val="36"/>
          <w:rFonts w:hint="eastAsia" w:ascii="仿宋" w:hAnsi="仿宋" w:eastAsia="仿宋" w:cs="仿宋"/>
        </w:rPr>
        <w:footnoteReference w:id="1"/>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u w:val="single"/>
          <w:lang w:eastAsia="zh-CN"/>
        </w:rPr>
        <w:t>；</w:t>
      </w:r>
    </w:p>
    <w:p w14:paraId="7EE83B3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7110AB4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5873BB8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48311ED7">
      <w:pPr>
        <w:spacing w:line="360" w:lineRule="auto"/>
        <w:ind w:firstLine="420" w:firstLineChars="200"/>
        <w:jc w:val="right"/>
        <w:rPr>
          <w:rFonts w:hint="eastAsia" w:ascii="仿宋" w:hAnsi="仿宋" w:eastAsia="仿宋" w:cs="仿宋"/>
          <w:szCs w:val="21"/>
        </w:rPr>
      </w:pPr>
    </w:p>
    <w:p w14:paraId="38CB9573">
      <w:pPr>
        <w:spacing w:line="360" w:lineRule="auto"/>
        <w:ind w:firstLine="420" w:firstLineChars="200"/>
        <w:jc w:val="right"/>
        <w:rPr>
          <w:rFonts w:hint="eastAsia" w:ascii="仿宋" w:hAnsi="仿宋" w:eastAsia="仿宋" w:cs="仿宋"/>
          <w:szCs w:val="21"/>
        </w:rPr>
      </w:pPr>
    </w:p>
    <w:p w14:paraId="4D039A6E">
      <w:pPr>
        <w:spacing w:line="360" w:lineRule="auto"/>
        <w:ind w:firstLine="420" w:firstLineChars="200"/>
        <w:jc w:val="right"/>
        <w:rPr>
          <w:rFonts w:hint="eastAsia" w:ascii="仿宋" w:hAnsi="仿宋" w:eastAsia="仿宋" w:cs="仿宋"/>
          <w:szCs w:val="21"/>
        </w:rPr>
      </w:pPr>
    </w:p>
    <w:p w14:paraId="27C6E99C">
      <w:pPr>
        <w:spacing w:line="360" w:lineRule="auto"/>
        <w:ind w:firstLine="420" w:firstLineChars="200"/>
        <w:jc w:val="right"/>
        <w:rPr>
          <w:rFonts w:hint="eastAsia" w:ascii="仿宋" w:hAnsi="仿宋" w:eastAsia="仿宋" w:cs="仿宋"/>
          <w:szCs w:val="21"/>
        </w:rPr>
      </w:pPr>
    </w:p>
    <w:p w14:paraId="779DA793">
      <w:pPr>
        <w:spacing w:line="360" w:lineRule="auto"/>
        <w:ind w:firstLine="420" w:firstLineChars="200"/>
        <w:jc w:val="center"/>
        <w:rPr>
          <w:rFonts w:hint="eastAsia" w:ascii="仿宋" w:hAnsi="仿宋" w:eastAsia="仿宋" w:cs="仿宋"/>
          <w:szCs w:val="21"/>
        </w:rPr>
      </w:pPr>
      <w:r>
        <w:rPr>
          <w:rFonts w:hint="eastAsia" w:ascii="仿宋" w:hAnsi="仿宋" w:eastAsia="仿宋" w:cs="仿宋"/>
          <w:szCs w:val="21"/>
        </w:rPr>
        <w:t xml:space="preserve">                             投标人（盖章）∶</w:t>
      </w:r>
    </w:p>
    <w:p w14:paraId="04E5845B">
      <w:pPr>
        <w:spacing w:line="360" w:lineRule="auto"/>
        <w:ind w:firstLine="4410" w:firstLineChars="2100"/>
        <w:rPr>
          <w:rFonts w:hint="eastAsia" w:ascii="仿宋" w:hAnsi="仿宋" w:eastAsia="仿宋" w:cs="仿宋"/>
          <w:szCs w:val="21"/>
        </w:rPr>
      </w:pPr>
    </w:p>
    <w:p w14:paraId="1B88220D">
      <w:pPr>
        <w:spacing w:line="360" w:lineRule="auto"/>
        <w:ind w:firstLine="5460" w:firstLineChars="2600"/>
        <w:rPr>
          <w:rFonts w:hint="eastAsia" w:ascii="仿宋" w:hAnsi="仿宋" w:eastAsia="仿宋" w:cs="仿宋"/>
          <w:szCs w:val="21"/>
        </w:rPr>
      </w:pPr>
      <w:r>
        <w:rPr>
          <w:rFonts w:hint="eastAsia" w:ascii="仿宋" w:hAnsi="仿宋" w:eastAsia="仿宋" w:cs="仿宋"/>
          <w:szCs w:val="21"/>
        </w:rPr>
        <w:t>日期∶</w:t>
      </w:r>
    </w:p>
    <w:p w14:paraId="5B6BEE0F">
      <w:pPr>
        <w:spacing w:line="360" w:lineRule="auto"/>
        <w:rPr>
          <w:rFonts w:hint="eastAsia" w:ascii="仿宋" w:hAnsi="仿宋" w:eastAsia="仿宋" w:cs="仿宋"/>
          <w:szCs w:val="21"/>
        </w:rPr>
      </w:pPr>
    </w:p>
    <w:p w14:paraId="2649A65D">
      <w:pPr>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1FFC17F6">
      <w:pPr>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538C94D5">
      <w:pPr>
        <w:pStyle w:val="30"/>
        <w:rPr>
          <w:rFonts w:hint="eastAsia" w:ascii="仿宋" w:hAnsi="仿宋" w:eastAsia="仿宋" w:cs="仿宋"/>
          <w:b/>
          <w:bCs/>
          <w:color w:val="000000" w:themeColor="text1"/>
          <w:sz w:val="28"/>
          <w:szCs w:val="28"/>
          <w:highlight w:val="none"/>
          <w14:textFill>
            <w14:solidFill>
              <w14:schemeClr w14:val="tx1"/>
            </w14:solidFill>
          </w14:textFill>
        </w:rPr>
      </w:pPr>
    </w:p>
    <w:p w14:paraId="5AA9E3A8">
      <w:pPr>
        <w:pStyle w:val="37"/>
        <w:rPr>
          <w:rFonts w:hint="eastAsia" w:ascii="仿宋" w:hAnsi="仿宋" w:eastAsia="仿宋" w:cs="仿宋"/>
          <w:lang w:eastAsia="zh-CN"/>
        </w:rPr>
      </w:pPr>
    </w:p>
    <w:p w14:paraId="0AB946EF">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仿宋" w:hAnsi="仿宋" w:eastAsia="仿宋" w:cs="仿宋"/>
          <w:b w:val="0"/>
          <w:bCs w:val="0"/>
          <w:caps w:val="0"/>
          <w:color w:val="auto"/>
          <w:spacing w:val="0"/>
          <w:sz w:val="21"/>
          <w:szCs w:val="21"/>
          <w:shd w:val="clear" w:fill="FFFFFF"/>
        </w:rPr>
      </w:pPr>
    </w:p>
    <w:p w14:paraId="23D8E0CB">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仿宋" w:hAnsi="仿宋" w:eastAsia="仿宋" w:cs="仿宋"/>
          <w:caps w:val="0"/>
          <w:color w:val="auto"/>
          <w:spacing w:val="0"/>
          <w:sz w:val="21"/>
          <w:szCs w:val="21"/>
        </w:rPr>
      </w:pPr>
      <w:r>
        <w:rPr>
          <w:rFonts w:hint="eastAsia" w:ascii="仿宋" w:hAnsi="仿宋" w:eastAsia="仿宋" w:cs="仿宋"/>
          <w:b w:val="0"/>
          <w:bCs w:val="0"/>
          <w:caps w:val="0"/>
          <w:color w:val="auto"/>
          <w:spacing w:val="0"/>
          <w:sz w:val="21"/>
          <w:szCs w:val="21"/>
          <w:shd w:val="clear" w:fill="FFFFFF"/>
        </w:rPr>
        <w:t>中小企业划型标准规定</w:t>
      </w:r>
    </w:p>
    <w:p w14:paraId="3052F246">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各行业划型标准为：</w:t>
      </w:r>
    </w:p>
    <w:p w14:paraId="7027A789">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（一）农、林、牧、渔业。营业收入20000万元以下的为中小微型企业。其中，营业收入500万元及以上的为中型企业，营业收入50万元及以上的为小型企业，营业收入50万元以下的为微型企业。</w:t>
      </w:r>
    </w:p>
    <w:p w14:paraId="1ECB0F90">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3FDC0A">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A539FF">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AAC288F">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96CCE6">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86CD963">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BB6B269">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A8FA7C">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A2B7674">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C3ABAF">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C8DAEDA">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3F82CE">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3CEDE88">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024EE81">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0BBCE58">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34"/>
        <w:jc w:val="both"/>
        <w:rPr>
          <w:rFonts w:hint="eastAsia" w:ascii="仿宋" w:hAnsi="仿宋" w:eastAsia="仿宋" w:cs="仿宋"/>
          <w:caps w:val="0"/>
          <w:color w:val="auto"/>
          <w:spacing w:val="0"/>
          <w:sz w:val="21"/>
          <w:szCs w:val="21"/>
        </w:rPr>
      </w:pPr>
      <w:r>
        <w:rPr>
          <w:rFonts w:hint="eastAsia" w:ascii="仿宋" w:hAnsi="仿宋" w:eastAsia="仿宋" w:cs="仿宋"/>
          <w:caps w:val="0"/>
          <w:color w:val="auto"/>
          <w:spacing w:val="0"/>
          <w:sz w:val="21"/>
          <w:szCs w:val="21"/>
          <w:shd w:val="clear" w:fill="FFFFFF"/>
        </w:rPr>
        <w:t>（十六）其他未列明行业。从业人员300人以下的为中小微型企业。其中，从业人员100人及以上的为中型企业；从业人员10人及以上的为小型企业；从业人员10人以下的为微型企业。</w:t>
      </w:r>
    </w:p>
    <w:p w14:paraId="142C1F34">
      <w:pPr>
        <w:pStyle w:val="48"/>
        <w:jc w:val="left"/>
        <w:rPr>
          <w:rFonts w:hint="eastAsia" w:ascii="仿宋" w:hAnsi="仿宋" w:eastAsia="仿宋" w:cs="仿宋"/>
          <w:color w:val="auto"/>
          <w:sz w:val="22"/>
        </w:rPr>
      </w:pPr>
    </w:p>
    <w:p w14:paraId="6D41A9CB">
      <w:pPr>
        <w:pStyle w:val="48"/>
        <w:jc w:val="left"/>
        <w:rPr>
          <w:rFonts w:hint="eastAsia" w:ascii="仿宋" w:hAnsi="仿宋" w:eastAsia="仿宋" w:cs="仿宋"/>
          <w:color w:val="auto"/>
          <w:sz w:val="22"/>
        </w:rPr>
      </w:pPr>
    </w:p>
    <w:p w14:paraId="5FA05F70">
      <w:pPr>
        <w:jc w:val="both"/>
        <w:rPr>
          <w:rFonts w:hint="eastAsia" w:ascii="仿宋" w:hAnsi="仿宋" w:eastAsia="仿宋" w:cs="仿宋"/>
          <w:b/>
          <w:bCs/>
          <w:color w:val="000000" w:themeColor="text1"/>
          <w:sz w:val="28"/>
          <w:szCs w:val="28"/>
          <w:highlight w:val="none"/>
          <w14:textFill>
            <w14:solidFill>
              <w14:schemeClr w14:val="tx1"/>
            </w14:solidFill>
          </w14:textFill>
        </w:rPr>
      </w:pPr>
    </w:p>
    <w:p w14:paraId="307176C9">
      <w:pP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p>
    <w:p w14:paraId="78F048E2">
      <w:pPr>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残疾人福利性单位声明函</w:t>
      </w:r>
    </w:p>
    <w:p w14:paraId="03AD624E">
      <w:pPr>
        <w:pStyle w:val="19"/>
        <w:spacing w:line="360" w:lineRule="auto"/>
        <w:ind w:firstLine="2835" w:firstLineChars="13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【不属于残疾人福利性单位无需提供】</w:t>
      </w:r>
    </w:p>
    <w:p w14:paraId="3BB4104E">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220A46">
      <w:pPr>
        <w:widowControl/>
        <w:spacing w:line="360" w:lineRule="auto"/>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本单位对上述声明的真实性负责。如有虚假，将依法承担相应责任。</w:t>
      </w:r>
    </w:p>
    <w:p w14:paraId="02A50C0B">
      <w:pPr>
        <w:spacing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1C15A05C">
      <w:pPr>
        <w:spacing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6B6A53E1">
      <w:pPr>
        <w:spacing w:line="360" w:lineRule="auto"/>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投标人名称（盖章）： </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39AA3505">
      <w:pPr>
        <w:spacing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      年   月   日</w:t>
      </w:r>
    </w:p>
    <w:p w14:paraId="38E2EB51">
      <w:pPr>
        <w:rPr>
          <w:rFonts w:hint="eastAsia" w:ascii="仿宋" w:hAnsi="仿宋" w:eastAsia="仿宋" w:cs="仿宋"/>
          <w:color w:val="000000" w:themeColor="text1"/>
          <w:highlight w:val="none"/>
          <w14:textFill>
            <w14:solidFill>
              <w14:schemeClr w14:val="tx1"/>
            </w14:solidFill>
          </w14:textFill>
        </w:rPr>
      </w:pPr>
    </w:p>
    <w:p w14:paraId="5095551A">
      <w:pPr>
        <w:widowControl/>
        <w:tabs>
          <w:tab w:val="left" w:pos="4860"/>
        </w:tabs>
        <w:ind w:right="-21" w:firstLine="420" w:firstLineChars="200"/>
        <w:jc w:val="left"/>
        <w:rPr>
          <w:rFonts w:hint="eastAsia" w:ascii="仿宋" w:hAnsi="仿宋" w:eastAsia="仿宋" w:cs="仿宋"/>
          <w:color w:val="000000" w:themeColor="text1"/>
          <w:highlight w:val="none"/>
          <w14:textFill>
            <w14:solidFill>
              <w14:schemeClr w14:val="tx1"/>
            </w14:solidFill>
          </w14:textFill>
        </w:rPr>
      </w:pPr>
    </w:p>
    <w:p w14:paraId="4D0A19E7">
      <w:pPr>
        <w:pStyle w:val="11"/>
        <w:rPr>
          <w:rFonts w:hint="eastAsia" w:ascii="仿宋" w:hAnsi="仿宋" w:eastAsia="仿宋" w:cs="仿宋"/>
          <w:color w:val="000000" w:themeColor="text1"/>
          <w:highlight w:val="none"/>
          <w14:textFill>
            <w14:solidFill>
              <w14:schemeClr w14:val="tx1"/>
            </w14:solidFill>
          </w14:textFill>
        </w:rPr>
      </w:pPr>
    </w:p>
    <w:p w14:paraId="0ABBC5B0">
      <w:pPr>
        <w:pStyle w:val="12"/>
        <w:ind w:firstLine="300"/>
        <w:rPr>
          <w:rFonts w:hint="eastAsia" w:ascii="仿宋" w:hAnsi="仿宋" w:eastAsia="仿宋" w:cs="仿宋"/>
          <w:color w:val="000000" w:themeColor="text1"/>
          <w:highlight w:val="none"/>
          <w14:textFill>
            <w14:solidFill>
              <w14:schemeClr w14:val="tx1"/>
            </w14:solidFill>
          </w14:textFill>
        </w:rPr>
      </w:pPr>
    </w:p>
    <w:p w14:paraId="16C1B87C">
      <w:pPr>
        <w:pStyle w:val="13"/>
        <w:rPr>
          <w:rFonts w:hint="eastAsia" w:ascii="仿宋" w:hAnsi="仿宋" w:eastAsia="仿宋" w:cs="仿宋"/>
          <w:color w:val="000000" w:themeColor="text1"/>
          <w:highlight w:val="none"/>
          <w14:textFill>
            <w14:solidFill>
              <w14:schemeClr w14:val="tx1"/>
            </w14:solidFill>
          </w14:textFill>
        </w:rPr>
      </w:pPr>
    </w:p>
    <w:p w14:paraId="123D5C73">
      <w:pPr>
        <w:rPr>
          <w:rFonts w:hint="eastAsia" w:ascii="仿宋" w:hAnsi="仿宋" w:eastAsia="仿宋" w:cs="仿宋"/>
          <w:color w:val="000000" w:themeColor="text1"/>
          <w:highlight w:val="none"/>
          <w14:textFill>
            <w14:solidFill>
              <w14:schemeClr w14:val="tx1"/>
            </w14:solidFill>
          </w14:textFill>
        </w:rPr>
      </w:pPr>
    </w:p>
    <w:p w14:paraId="22DA2C5A">
      <w:pPr>
        <w:widowControl/>
        <w:tabs>
          <w:tab w:val="left" w:pos="4860"/>
        </w:tabs>
        <w:ind w:right="-21"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说明：</w:t>
      </w:r>
    </w:p>
    <w:p w14:paraId="42D65C3B">
      <w:pPr>
        <w:widowControl/>
        <w:tabs>
          <w:tab w:val="left" w:pos="4860"/>
        </w:tabs>
        <w:ind w:right="-21"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1.如中标，将在中标公示中将此残疾人福利性单位声明函予以公示，接受社会监督；</w:t>
      </w:r>
    </w:p>
    <w:p w14:paraId="13A103DC">
      <w:pPr>
        <w:widowControl/>
        <w:tabs>
          <w:tab w:val="left" w:pos="4860"/>
        </w:tabs>
        <w:ind w:right="-21" w:firstLine="422" w:firstLineChars="200"/>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2.投标人提供的《残疾人福利性单位声明函》与事实不符的，依照《政府采购法》第七十七条第一款的规定追究法律责任。</w:t>
      </w:r>
    </w:p>
    <w:p w14:paraId="1AB7891E">
      <w:pPr>
        <w:widowControl/>
        <w:spacing w:line="420" w:lineRule="atLeast"/>
        <w:jc w:val="both"/>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br w:type="page"/>
      </w:r>
    </w:p>
    <w:p w14:paraId="1F4F8352">
      <w:pPr>
        <w:widowControl/>
        <w:snapToGrid/>
        <w:spacing w:line="420" w:lineRule="atLeast"/>
        <w:ind w:right="0"/>
        <w:jc w:val="center"/>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p>
    <w:p w14:paraId="08DFBBE9">
      <w:pPr>
        <w:widowControl/>
        <w:snapToGrid/>
        <w:spacing w:line="420" w:lineRule="atLeast"/>
        <w:ind w:right="0"/>
        <w:jc w:val="center"/>
        <w:outlineLvl w:val="1"/>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符合参加政府采购活动应当具备的</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资格条件</w:t>
      </w:r>
      <w:r>
        <w:rPr>
          <w:rFonts w:hint="eastAsia" w:ascii="仿宋" w:hAnsi="仿宋" w:eastAsia="仿宋" w:cs="仿宋"/>
          <w:b/>
          <w:bCs/>
          <w:color w:val="000000" w:themeColor="text1"/>
          <w:kern w:val="0"/>
          <w:sz w:val="24"/>
          <w:szCs w:val="24"/>
          <w:highlight w:val="none"/>
          <w14:textFill>
            <w14:solidFill>
              <w14:schemeClr w14:val="tx1"/>
            </w14:solidFill>
          </w14:textFill>
        </w:rPr>
        <w:t>的承诺函</w:t>
      </w:r>
    </w:p>
    <w:p w14:paraId="4EE1FEF8">
      <w:pPr>
        <w:snapToGrid w:val="0"/>
        <w:spacing w:line="360" w:lineRule="auto"/>
        <w:ind w:firstLine="315" w:firstLineChars="150"/>
        <w:rPr>
          <w:rFonts w:hint="eastAsia" w:ascii="仿宋" w:hAnsi="仿宋" w:eastAsia="仿宋" w:cs="仿宋"/>
          <w:color w:val="000000" w:themeColor="text1"/>
          <w:sz w:val="21"/>
          <w:szCs w:val="21"/>
          <w:highlight w:val="none"/>
          <w:lang w:eastAsia="zh-CN"/>
          <w14:textFill>
            <w14:solidFill>
              <w14:schemeClr w14:val="tx1"/>
            </w14:solidFill>
          </w14:textFill>
        </w:rPr>
      </w:pPr>
    </w:p>
    <w:p w14:paraId="7C012FBE">
      <w:pPr>
        <w:snapToGrid w:val="0"/>
        <w:spacing w:line="360" w:lineRule="auto"/>
        <w:ind w:firstLine="0" w:firstLineChars="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常山县人民法院</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4C077E76">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我方参与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项目【招标编号：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】政府采购活动，郑重承诺：</w:t>
      </w:r>
    </w:p>
    <w:p w14:paraId="601750C5">
      <w:pPr>
        <w:snapToGrid w:val="0"/>
        <w:spacing w:line="360" w:lineRule="auto"/>
        <w:ind w:firstLine="315" w:firstLineChars="1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（一）具备《中华人民共和国政府采购法》第二十二条第一款规定的条件：</w:t>
      </w:r>
    </w:p>
    <w:p w14:paraId="140E8833">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具有独立承担民事责任的能力；</w:t>
      </w:r>
    </w:p>
    <w:p w14:paraId="5BC9CF9B">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具有良好的商业信誉和健全的财务会计制度； </w:t>
      </w:r>
    </w:p>
    <w:p w14:paraId="18AEBEDA">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具有履行合同所必需的设备和专业技术能力；</w:t>
      </w:r>
    </w:p>
    <w:p w14:paraId="40EB0BC3">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有依法缴纳税收和社会保障资金的良好记录；</w:t>
      </w:r>
    </w:p>
    <w:p w14:paraId="60AF030A">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参加政府采购活动前三年内，在经营活动中没有重大违法记录；</w:t>
      </w:r>
    </w:p>
    <w:p w14:paraId="297D350B">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具有法律、行政法规规定的其他条件。</w:t>
      </w:r>
    </w:p>
    <w:p w14:paraId="7EBF865D">
      <w:pPr>
        <w:snapToGrid w:val="0"/>
        <w:spacing w:line="36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02D91D3">
      <w:pPr>
        <w:spacing w:line="440" w:lineRule="exact"/>
        <w:ind w:firstLine="4860"/>
        <w:rPr>
          <w:rFonts w:hint="eastAsia" w:ascii="仿宋" w:hAnsi="仿宋" w:eastAsia="仿宋" w:cs="仿宋"/>
          <w:b/>
          <w:bCs/>
          <w:color w:val="000000" w:themeColor="text1"/>
          <w:szCs w:val="21"/>
          <w:highlight w:val="none"/>
          <w14:textFill>
            <w14:solidFill>
              <w14:schemeClr w14:val="tx1"/>
            </w14:solidFill>
          </w14:textFill>
        </w:rPr>
      </w:pPr>
    </w:p>
    <w:p w14:paraId="71EC9869">
      <w:pPr>
        <w:spacing w:line="440" w:lineRule="exact"/>
        <w:ind w:firstLine="4860"/>
        <w:rPr>
          <w:rFonts w:hint="eastAsia" w:ascii="仿宋" w:hAnsi="仿宋" w:eastAsia="仿宋" w:cs="仿宋"/>
          <w:b/>
          <w:bCs/>
          <w:color w:val="000000" w:themeColor="text1"/>
          <w:szCs w:val="21"/>
          <w:highlight w:val="none"/>
          <w:u w:val="singl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投标人（盖章）：</w:t>
      </w:r>
      <w:r>
        <w:rPr>
          <w:rFonts w:hint="eastAsia" w:ascii="仿宋" w:hAnsi="仿宋" w:eastAsia="仿宋" w:cs="仿宋"/>
          <w:b/>
          <w:bCs/>
          <w:color w:val="000000" w:themeColor="text1"/>
          <w:szCs w:val="21"/>
          <w:highlight w:val="none"/>
          <w:u w:val="single"/>
          <w14:textFill>
            <w14:solidFill>
              <w14:schemeClr w14:val="tx1"/>
            </w14:solidFill>
          </w14:textFill>
        </w:rPr>
        <w:t xml:space="preserve">                               </w:t>
      </w:r>
    </w:p>
    <w:p w14:paraId="30BB46BD">
      <w:pPr>
        <w:spacing w:line="440" w:lineRule="exact"/>
        <w:ind w:firstLine="4860"/>
        <w:rPr>
          <w:rFonts w:hint="eastAsia" w:ascii="仿宋" w:hAnsi="仿宋" w:eastAsia="仿宋" w:cs="仿宋"/>
          <w:b/>
          <w:bCs/>
          <w:color w:val="000000" w:themeColor="text1"/>
          <w:szCs w:val="21"/>
          <w:highlight w:val="none"/>
          <w14:textFill>
            <w14:solidFill>
              <w14:schemeClr w14:val="tx1"/>
            </w14:solidFill>
          </w14:textFill>
        </w:rPr>
      </w:pPr>
    </w:p>
    <w:p w14:paraId="121133BA">
      <w:pPr>
        <w:spacing w:line="440" w:lineRule="exact"/>
        <w:ind w:firstLine="4860"/>
        <w:rPr>
          <w:rFonts w:hint="eastAsia" w:ascii="仿宋" w:hAnsi="仿宋" w:eastAsia="仿宋" w:cs="仿宋"/>
          <w:b/>
          <w:bCs/>
          <w:color w:val="000000" w:themeColor="text1"/>
          <w:szCs w:val="21"/>
          <w:highlight w:val="none"/>
          <w:u w:val="singl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日 期：  年  月  日</w:t>
      </w:r>
    </w:p>
    <w:p w14:paraId="1F1FFDB2">
      <w:pPr>
        <w:spacing w:line="360" w:lineRule="auto"/>
        <w:jc w:val="left"/>
        <w:rPr>
          <w:rFonts w:hint="eastAsia" w:ascii="仿宋" w:hAnsi="仿宋" w:eastAsia="仿宋" w:cs="仿宋"/>
          <w:b/>
          <w:bCs/>
          <w:color w:val="000000" w:themeColor="text1"/>
          <w:szCs w:val="21"/>
          <w:highlight w:val="none"/>
          <w14:textFill>
            <w14:solidFill>
              <w14:schemeClr w14:val="tx1"/>
            </w14:solidFill>
          </w14:textFill>
        </w:rPr>
      </w:pPr>
    </w:p>
    <w:p w14:paraId="37455740">
      <w:pPr>
        <w:spacing w:line="360" w:lineRule="auto"/>
        <w:jc w:val="left"/>
        <w:rPr>
          <w:rFonts w:hint="eastAsia" w:ascii="仿宋" w:hAnsi="仿宋" w:eastAsia="仿宋" w:cs="仿宋"/>
          <w:b/>
          <w:bCs/>
          <w:color w:val="000000" w:themeColor="text1"/>
          <w:szCs w:val="21"/>
          <w:highlight w:val="none"/>
          <w14:textFill>
            <w14:solidFill>
              <w14:schemeClr w14:val="tx1"/>
            </w14:solidFill>
          </w14:textFill>
        </w:rPr>
      </w:pPr>
    </w:p>
    <w:p w14:paraId="527E29F9">
      <w:pPr>
        <w:spacing w:line="360" w:lineRule="auto"/>
        <w:jc w:val="left"/>
        <w:rPr>
          <w:rFonts w:hint="eastAsia" w:ascii="仿宋" w:hAnsi="仿宋" w:eastAsia="仿宋" w:cs="仿宋"/>
          <w:b/>
          <w:bCs/>
          <w:color w:val="000000" w:themeColor="text1"/>
          <w:szCs w:val="21"/>
          <w:highlight w:val="none"/>
          <w14:textFill>
            <w14:solidFill>
              <w14:schemeClr w14:val="tx1"/>
            </w14:solidFill>
          </w14:textFill>
        </w:rPr>
      </w:pPr>
    </w:p>
    <w:p w14:paraId="1FCF5BF9">
      <w:pPr>
        <w:spacing w:line="360" w:lineRule="auto"/>
        <w:jc w:val="left"/>
        <w:rPr>
          <w:rFonts w:hint="eastAsia" w:ascii="仿宋" w:hAnsi="仿宋" w:eastAsia="仿宋" w:cs="仿宋"/>
          <w:b/>
          <w:bCs/>
          <w:color w:val="000000" w:themeColor="text1"/>
          <w:szCs w:val="21"/>
          <w:highlight w:val="none"/>
          <w14:textFill>
            <w14:solidFill>
              <w14:schemeClr w14:val="tx1"/>
            </w14:solidFill>
          </w14:textFill>
        </w:rPr>
      </w:pPr>
    </w:p>
    <w:p w14:paraId="546AA5DF">
      <w:pPr>
        <w:spacing w:line="360" w:lineRule="auto"/>
        <w:jc w:val="left"/>
        <w:rPr>
          <w:rFonts w:hint="eastAsia" w:ascii="仿宋" w:hAnsi="仿宋" w:eastAsia="仿宋" w:cs="仿宋"/>
          <w:b/>
          <w:bCs/>
          <w:color w:val="000000" w:themeColor="text1"/>
          <w:szCs w:val="21"/>
          <w:highlight w:val="none"/>
          <w14:textFill>
            <w14:solidFill>
              <w14:schemeClr w14:val="tx1"/>
            </w14:solidFill>
          </w14:textFill>
        </w:rPr>
      </w:pPr>
    </w:p>
    <w:p w14:paraId="1E5A3D8D">
      <w:pPr>
        <w:spacing w:line="360" w:lineRule="auto"/>
        <w:jc w:val="left"/>
        <w:rPr>
          <w:rFonts w:hint="eastAsia" w:ascii="仿宋" w:hAnsi="仿宋" w:eastAsia="仿宋" w:cs="仿宋"/>
          <w:b/>
          <w:bCs/>
          <w:color w:val="000000" w:themeColor="text1"/>
          <w:szCs w:val="21"/>
          <w:highlight w:val="none"/>
          <w14:textFill>
            <w14:solidFill>
              <w14:schemeClr w14:val="tx1"/>
            </w14:solidFill>
          </w14:textFill>
        </w:rPr>
      </w:pPr>
    </w:p>
    <w:p w14:paraId="44ED827F">
      <w:pPr>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14:paraId="4A6E8591">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p>
    <w:p w14:paraId="763EDDE0">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p>
    <w:p w14:paraId="31F9F233">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p>
    <w:p w14:paraId="4A01BA9C">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p>
    <w:p w14:paraId="2E911A9E">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p>
    <w:p w14:paraId="2008AC20">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评分因素索引表</w:t>
      </w:r>
    </w:p>
    <w:tbl>
      <w:tblPr>
        <w:tblStyle w:val="31"/>
        <w:tblW w:w="9110" w:type="dxa"/>
        <w:jc w:val="center"/>
        <w:tblLayout w:type="fixed"/>
        <w:tblCellMar>
          <w:top w:w="15" w:type="dxa"/>
          <w:left w:w="15" w:type="dxa"/>
          <w:bottom w:w="15" w:type="dxa"/>
          <w:right w:w="15" w:type="dxa"/>
        </w:tblCellMar>
      </w:tblPr>
      <w:tblGrid>
        <w:gridCol w:w="1276"/>
        <w:gridCol w:w="3610"/>
        <w:gridCol w:w="900"/>
        <w:gridCol w:w="913"/>
        <w:gridCol w:w="1225"/>
        <w:gridCol w:w="1186"/>
      </w:tblGrid>
      <w:tr w14:paraId="3EBF7DE6">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7C41E41">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14:paraId="4CE1CDE7">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05D44634">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分值</w:t>
            </w:r>
          </w:p>
        </w:tc>
        <w:tc>
          <w:tcPr>
            <w:tcW w:w="913" w:type="dxa"/>
            <w:tcBorders>
              <w:top w:val="single" w:color="auto" w:sz="4" w:space="0"/>
              <w:left w:val="single" w:color="auto" w:sz="4" w:space="0"/>
              <w:bottom w:val="single" w:color="auto" w:sz="4" w:space="0"/>
              <w:right w:val="single" w:color="auto" w:sz="4" w:space="0"/>
            </w:tcBorders>
            <w:vAlign w:val="center"/>
          </w:tcPr>
          <w:p w14:paraId="56321DAE">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自评</w:t>
            </w:r>
          </w:p>
          <w:p w14:paraId="722A9136">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分</w:t>
            </w:r>
          </w:p>
        </w:tc>
        <w:tc>
          <w:tcPr>
            <w:tcW w:w="1225" w:type="dxa"/>
            <w:tcBorders>
              <w:top w:val="single" w:color="auto" w:sz="4" w:space="0"/>
              <w:left w:val="single" w:color="auto" w:sz="4" w:space="0"/>
              <w:bottom w:val="single" w:color="auto" w:sz="4" w:space="0"/>
              <w:right w:val="single" w:color="auto" w:sz="4" w:space="0"/>
            </w:tcBorders>
            <w:vAlign w:val="center"/>
          </w:tcPr>
          <w:p w14:paraId="1640105A">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得分</w:t>
            </w:r>
          </w:p>
          <w:p w14:paraId="1A3D33BB">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3A81D655">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对应</w:t>
            </w:r>
          </w:p>
          <w:p w14:paraId="47618198">
            <w:pPr>
              <w:widowControl/>
              <w:jc w:val="center"/>
              <w:textAlignment w:val="center"/>
              <w:rPr>
                <w:rFonts w:hint="eastAsia" w:ascii="仿宋" w:hAnsi="仿宋" w:eastAsia="仿宋" w:cs="仿宋"/>
                <w:b/>
                <w:bCs/>
                <w:szCs w:val="21"/>
              </w:rPr>
            </w:pPr>
            <w:r>
              <w:rPr>
                <w:rFonts w:hint="eastAsia" w:ascii="仿宋" w:hAnsi="仿宋" w:eastAsia="仿宋" w:cs="仿宋"/>
                <w:b/>
                <w:bCs/>
                <w:szCs w:val="21"/>
              </w:rPr>
              <w:t>页码</w:t>
            </w:r>
          </w:p>
        </w:tc>
      </w:tr>
      <w:tr w14:paraId="6B5C2FEA">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B08A342">
            <w:pPr>
              <w:widowControl/>
              <w:jc w:val="center"/>
              <w:textAlignment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CAED79D">
            <w:pPr>
              <w:widowControl/>
              <w:jc w:val="left"/>
              <w:textAlignment w:val="center"/>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F461653">
            <w:pPr>
              <w:widowControl/>
              <w:jc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50C237E0">
            <w:pPr>
              <w:widowControl/>
              <w:jc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3830F62">
            <w:pPr>
              <w:widowControl/>
              <w:jc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379804C9">
            <w:pPr>
              <w:widowControl/>
              <w:jc w:val="center"/>
              <w:rPr>
                <w:rFonts w:hint="eastAsia" w:ascii="仿宋" w:hAnsi="仿宋" w:eastAsia="仿宋" w:cs="仿宋"/>
                <w:szCs w:val="21"/>
              </w:rPr>
            </w:pPr>
          </w:p>
        </w:tc>
      </w:tr>
      <w:tr w14:paraId="2343BFCF">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47E4897">
            <w:pPr>
              <w:widowControl/>
              <w:jc w:val="center"/>
              <w:textAlignment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E4E3642">
            <w:pPr>
              <w:widowControl/>
              <w:jc w:val="left"/>
              <w:textAlignment w:val="center"/>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F28C3C5">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54AD6D20">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E727DD1">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91F03D6">
            <w:pPr>
              <w:widowControl/>
              <w:jc w:val="center"/>
              <w:textAlignment w:val="center"/>
              <w:rPr>
                <w:rFonts w:hint="eastAsia" w:ascii="仿宋" w:hAnsi="仿宋" w:eastAsia="仿宋" w:cs="仿宋"/>
                <w:szCs w:val="21"/>
              </w:rPr>
            </w:pPr>
          </w:p>
        </w:tc>
      </w:tr>
      <w:tr w14:paraId="2BF62989">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4406EC4">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FCECBF1">
            <w:pPr>
              <w:widowControl/>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153E137">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2801C028">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1D32D317">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3A475444">
            <w:pPr>
              <w:widowControl/>
              <w:jc w:val="center"/>
              <w:textAlignment w:val="center"/>
              <w:rPr>
                <w:rFonts w:hint="eastAsia" w:ascii="仿宋" w:hAnsi="仿宋" w:eastAsia="仿宋" w:cs="仿宋"/>
                <w:szCs w:val="21"/>
              </w:rPr>
            </w:pPr>
          </w:p>
        </w:tc>
      </w:tr>
      <w:tr w14:paraId="58BB60DD">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01459C9">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93BABBA">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BF02420">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C3F37B0">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40852403">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1F00AFA9">
            <w:pPr>
              <w:widowControl/>
              <w:jc w:val="center"/>
              <w:textAlignment w:val="center"/>
              <w:rPr>
                <w:rFonts w:hint="eastAsia" w:ascii="仿宋" w:hAnsi="仿宋" w:eastAsia="仿宋" w:cs="仿宋"/>
                <w:szCs w:val="21"/>
              </w:rPr>
            </w:pPr>
          </w:p>
        </w:tc>
      </w:tr>
      <w:tr w14:paraId="372E488E">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EF7CD85">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12D4B1A">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148EF62">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71E3E5CC">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0771E9AC">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3F4ACDA">
            <w:pPr>
              <w:widowControl/>
              <w:jc w:val="center"/>
              <w:textAlignment w:val="center"/>
              <w:rPr>
                <w:rFonts w:hint="eastAsia" w:ascii="仿宋" w:hAnsi="仿宋" w:eastAsia="仿宋" w:cs="仿宋"/>
                <w:szCs w:val="21"/>
              </w:rPr>
            </w:pPr>
          </w:p>
        </w:tc>
      </w:tr>
      <w:tr w14:paraId="73A11F67">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3658294">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2F1634CB">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B4517DB">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DC661CC">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79B1533">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400CCBF">
            <w:pPr>
              <w:widowControl/>
              <w:jc w:val="center"/>
              <w:textAlignment w:val="center"/>
              <w:rPr>
                <w:rFonts w:hint="eastAsia" w:ascii="仿宋" w:hAnsi="仿宋" w:eastAsia="仿宋" w:cs="仿宋"/>
                <w:szCs w:val="21"/>
              </w:rPr>
            </w:pPr>
          </w:p>
        </w:tc>
      </w:tr>
      <w:tr w14:paraId="5067924B">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98D2065">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34DC0BAE">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2620190">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65BAB65">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76F4A556">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5BD499F">
            <w:pPr>
              <w:widowControl/>
              <w:jc w:val="center"/>
              <w:textAlignment w:val="center"/>
              <w:rPr>
                <w:rFonts w:hint="eastAsia" w:ascii="仿宋" w:hAnsi="仿宋" w:eastAsia="仿宋" w:cs="仿宋"/>
                <w:szCs w:val="21"/>
              </w:rPr>
            </w:pPr>
          </w:p>
        </w:tc>
      </w:tr>
      <w:tr w14:paraId="57BA6AE4">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D316063">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09235597">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8187E24">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BAD04D9">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2B6BE1A">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6A4E5C8">
            <w:pPr>
              <w:widowControl/>
              <w:jc w:val="center"/>
              <w:textAlignment w:val="center"/>
              <w:rPr>
                <w:rFonts w:hint="eastAsia" w:ascii="仿宋" w:hAnsi="仿宋" w:eastAsia="仿宋" w:cs="仿宋"/>
                <w:szCs w:val="21"/>
              </w:rPr>
            </w:pPr>
          </w:p>
        </w:tc>
      </w:tr>
      <w:tr w14:paraId="38D98B1A">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3114C13">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8826C50">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6956801">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51C3FECC">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0E80BECE">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5F5729C9">
            <w:pPr>
              <w:widowControl/>
              <w:jc w:val="center"/>
              <w:textAlignment w:val="center"/>
              <w:rPr>
                <w:rFonts w:hint="eastAsia" w:ascii="仿宋" w:hAnsi="仿宋" w:eastAsia="仿宋" w:cs="仿宋"/>
                <w:szCs w:val="21"/>
              </w:rPr>
            </w:pPr>
          </w:p>
        </w:tc>
      </w:tr>
      <w:tr w14:paraId="6061B31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7123703">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3E0B6C51">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14DB3D4">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52D0966">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6FF99257">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4B01F88">
            <w:pPr>
              <w:widowControl/>
              <w:jc w:val="center"/>
              <w:textAlignment w:val="center"/>
              <w:rPr>
                <w:rFonts w:hint="eastAsia" w:ascii="仿宋" w:hAnsi="仿宋" w:eastAsia="仿宋" w:cs="仿宋"/>
                <w:szCs w:val="21"/>
              </w:rPr>
            </w:pPr>
          </w:p>
        </w:tc>
      </w:tr>
      <w:tr w14:paraId="7AB1BBD4">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85046BC">
            <w:pPr>
              <w:widowControl/>
              <w:jc w:val="center"/>
              <w:rPr>
                <w:rFonts w:hint="eastAsia" w:ascii="仿宋" w:hAnsi="仿宋" w:eastAsia="仿宋" w:cs="仿宋"/>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A50CABF">
            <w:pPr>
              <w:widowControl/>
              <w:jc w:val="left"/>
              <w:rPr>
                <w:rFonts w:hint="eastAsia" w:ascii="仿宋" w:hAnsi="仿宋" w:eastAsia="仿宋" w:cs="仿宋"/>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7CF7DD1">
            <w:pPr>
              <w:widowControl/>
              <w:jc w:val="center"/>
              <w:textAlignment w:val="center"/>
              <w:rPr>
                <w:rFonts w:hint="eastAsia" w:ascii="仿宋" w:hAnsi="仿宋" w:eastAsia="仿宋" w:cs="仿宋"/>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9B5D34D">
            <w:pPr>
              <w:widowControl/>
              <w:jc w:val="center"/>
              <w:textAlignment w:val="center"/>
              <w:rPr>
                <w:rFonts w:hint="eastAsia" w:ascii="仿宋" w:hAnsi="仿宋" w:eastAsia="仿宋" w:cs="仿宋"/>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3155495">
            <w:pPr>
              <w:widowControl/>
              <w:jc w:val="center"/>
              <w:textAlignment w:val="center"/>
              <w:rPr>
                <w:rFonts w:hint="eastAsia" w:ascii="仿宋" w:hAnsi="仿宋" w:eastAsia="仿宋" w:cs="仿宋"/>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374BA918">
            <w:pPr>
              <w:widowControl/>
              <w:jc w:val="center"/>
              <w:textAlignment w:val="center"/>
              <w:rPr>
                <w:rFonts w:hint="eastAsia" w:ascii="仿宋" w:hAnsi="仿宋" w:eastAsia="仿宋" w:cs="仿宋"/>
                <w:szCs w:val="21"/>
              </w:rPr>
            </w:pPr>
          </w:p>
        </w:tc>
      </w:tr>
    </w:tbl>
    <w:p w14:paraId="70C4F758">
      <w:pPr>
        <w:spacing w:line="360" w:lineRule="auto"/>
        <w:rPr>
          <w:rFonts w:hint="eastAsia" w:ascii="仿宋" w:hAnsi="仿宋" w:eastAsia="仿宋" w:cs="仿宋"/>
          <w:b/>
          <w:bCs/>
          <w:szCs w:val="21"/>
        </w:rPr>
      </w:pPr>
      <w:r>
        <w:rPr>
          <w:rFonts w:hint="eastAsia" w:ascii="仿宋" w:hAnsi="仿宋" w:eastAsia="仿宋" w:cs="仿宋"/>
          <w:b/>
          <w:bCs/>
          <w:szCs w:val="21"/>
        </w:rPr>
        <w:t>注：评审项目、评分标准、分值对应“第五章  评标办法及评分标准”资信、商务分和技术分评审内容。</w:t>
      </w:r>
    </w:p>
    <w:p w14:paraId="799D9CA4">
      <w:pPr>
        <w:spacing w:line="360" w:lineRule="auto"/>
        <w:ind w:firstLine="4860"/>
        <w:rPr>
          <w:rFonts w:hint="eastAsia" w:ascii="仿宋" w:hAnsi="仿宋" w:eastAsia="仿宋" w:cs="仿宋"/>
          <w:b/>
          <w:bCs/>
          <w:szCs w:val="21"/>
        </w:rPr>
      </w:pPr>
    </w:p>
    <w:p w14:paraId="6D05BCCC">
      <w:pPr>
        <w:spacing w:line="360" w:lineRule="auto"/>
        <w:ind w:firstLine="4860"/>
        <w:rPr>
          <w:rFonts w:hint="eastAsia" w:ascii="仿宋" w:hAnsi="仿宋" w:eastAsia="仿宋" w:cs="仿宋"/>
          <w:b/>
          <w:bCs/>
          <w:szCs w:val="21"/>
        </w:rPr>
      </w:pPr>
    </w:p>
    <w:p w14:paraId="60EEF69E">
      <w:pPr>
        <w:spacing w:line="360" w:lineRule="auto"/>
        <w:jc w:val="left"/>
        <w:rPr>
          <w:rFonts w:hint="eastAsia" w:ascii="仿宋" w:hAnsi="仿宋" w:eastAsia="仿宋" w:cs="仿宋"/>
          <w:szCs w:val="21"/>
          <w:u w:val="single"/>
        </w:rPr>
      </w:pPr>
      <w:r>
        <w:rPr>
          <w:rFonts w:hint="eastAsia" w:ascii="仿宋" w:hAnsi="仿宋" w:eastAsia="仿宋" w:cs="仿宋"/>
          <w:szCs w:val="21"/>
        </w:rPr>
        <w:t xml:space="preserve">投标人名称（盖章）： </w:t>
      </w:r>
      <w:r>
        <w:rPr>
          <w:rFonts w:hint="eastAsia" w:ascii="仿宋" w:hAnsi="仿宋" w:eastAsia="仿宋" w:cs="仿宋"/>
          <w:szCs w:val="21"/>
          <w:u w:val="single"/>
        </w:rPr>
        <w:t xml:space="preserve">            </w:t>
      </w:r>
    </w:p>
    <w:p w14:paraId="5084E099">
      <w:pPr>
        <w:spacing w:line="360" w:lineRule="auto"/>
        <w:rPr>
          <w:rFonts w:hint="eastAsia" w:ascii="仿宋" w:hAnsi="仿宋" w:eastAsia="仿宋" w:cs="仿宋"/>
          <w:szCs w:val="21"/>
          <w:u w:val="single"/>
        </w:rPr>
      </w:pPr>
      <w:r>
        <w:rPr>
          <w:rFonts w:hint="eastAsia" w:ascii="仿宋" w:hAnsi="仿宋" w:eastAsia="仿宋" w:cs="仿宋"/>
          <w:szCs w:val="21"/>
        </w:rPr>
        <w:t>日期：    年   月   日</w:t>
      </w:r>
    </w:p>
    <w:p w14:paraId="03A7BAAE">
      <w:pPr>
        <w:pStyle w:val="49"/>
        <w:spacing w:before="156"/>
        <w:rPr>
          <w:rFonts w:hint="eastAsia" w:ascii="仿宋" w:hAnsi="仿宋" w:eastAsia="仿宋" w:cs="仿宋"/>
          <w:b/>
          <w:bCs/>
          <w:color w:val="000000" w:themeColor="text1"/>
          <w:sz w:val="22"/>
          <w:szCs w:val="22"/>
          <w:highlight w:val="none"/>
          <w14:textFill>
            <w14:solidFill>
              <w14:schemeClr w14:val="tx1"/>
            </w14:solidFill>
          </w14:textFill>
        </w:rPr>
      </w:pPr>
    </w:p>
    <w:p w14:paraId="13358AE6">
      <w:pPr>
        <w:pStyle w:val="49"/>
        <w:spacing w:before="156"/>
        <w:rPr>
          <w:rFonts w:hint="eastAsia" w:ascii="仿宋" w:hAnsi="仿宋" w:eastAsia="仿宋" w:cs="仿宋"/>
          <w:b/>
          <w:bCs/>
          <w:color w:val="000000" w:themeColor="text1"/>
          <w:sz w:val="22"/>
          <w:szCs w:val="22"/>
          <w:highlight w:val="none"/>
          <w14:textFill>
            <w14:solidFill>
              <w14:schemeClr w14:val="tx1"/>
            </w14:solidFill>
          </w14:textFill>
        </w:rPr>
      </w:pPr>
    </w:p>
    <w:p w14:paraId="5F11BED5">
      <w:pPr>
        <w:pStyle w:val="49"/>
        <w:spacing w:before="156"/>
        <w:rPr>
          <w:rFonts w:hint="eastAsia" w:ascii="仿宋" w:hAnsi="仿宋" w:eastAsia="仿宋" w:cs="仿宋"/>
          <w:b/>
          <w:bCs/>
          <w:color w:val="000000" w:themeColor="text1"/>
          <w:sz w:val="22"/>
          <w:szCs w:val="22"/>
          <w:highlight w:val="none"/>
          <w14:textFill>
            <w14:solidFill>
              <w14:schemeClr w14:val="tx1"/>
            </w14:solidFill>
          </w14:textFill>
        </w:rPr>
      </w:pPr>
    </w:p>
    <w:p w14:paraId="4B436AA0">
      <w:pPr>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br w:type="page"/>
      </w:r>
    </w:p>
    <w:p w14:paraId="3B3EE1F3">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投标声明书</w:t>
      </w:r>
    </w:p>
    <w:p w14:paraId="5FDF2450">
      <w:pP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lang w:eastAsia="zh-CN"/>
          <w14:textFill>
            <w14:solidFill>
              <w14:schemeClr w14:val="tx1"/>
            </w14:solidFill>
          </w14:textFill>
        </w:rPr>
        <w:t>常山县人民法院</w:t>
      </w:r>
      <w:r>
        <w:rPr>
          <w:rFonts w:hint="eastAsia" w:ascii="仿宋" w:hAnsi="仿宋" w:eastAsia="仿宋" w:cs="仿宋"/>
          <w:color w:val="000000" w:themeColor="text1"/>
          <w:szCs w:val="21"/>
          <w:highlight w:val="none"/>
          <w:lang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w:t>
      </w:r>
    </w:p>
    <w:p w14:paraId="6E1DFB9D">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根据贵方为</w:t>
      </w:r>
      <w:r>
        <w:rPr>
          <w:rFonts w:hint="eastAsia" w:ascii="仿宋" w:hAnsi="仿宋" w:eastAsia="仿宋" w:cs="仿宋"/>
          <w:color w:val="000000" w:themeColor="text1"/>
          <w:szCs w:val="21"/>
          <w:highlight w:val="none"/>
          <w:u w:val="single"/>
          <w14:textFill>
            <w14:solidFill>
              <w14:schemeClr w14:val="tx1"/>
            </w14:solidFill>
          </w14:textFill>
        </w:rPr>
        <w:t xml:space="preserve">            （项目编号：      ）</w:t>
      </w:r>
      <w:r>
        <w:rPr>
          <w:rFonts w:hint="eastAsia" w:ascii="仿宋" w:hAnsi="仿宋" w:eastAsia="仿宋" w:cs="仿宋"/>
          <w:color w:val="000000" w:themeColor="text1"/>
          <w:szCs w:val="21"/>
          <w:highlight w:val="none"/>
          <w14:textFill>
            <w14:solidFill>
              <w14:schemeClr w14:val="tx1"/>
            </w14:solidFill>
          </w14:textFill>
        </w:rPr>
        <w:t>的招标文件，我方</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（投标人名称）作为投标人正式授权</w:t>
      </w:r>
      <w:r>
        <w:rPr>
          <w:rFonts w:hint="eastAsia" w:ascii="仿宋" w:hAnsi="仿宋" w:eastAsia="仿宋" w:cs="仿宋"/>
          <w:color w:val="000000" w:themeColor="text1"/>
          <w:szCs w:val="21"/>
          <w:highlight w:val="none"/>
          <w:u w:val="single"/>
          <w14:textFill>
            <w14:solidFill>
              <w14:schemeClr w14:val="tx1"/>
            </w14:solidFill>
          </w14:textFill>
        </w:rPr>
        <w:t>　           （</w:t>
      </w:r>
      <w:r>
        <w:rPr>
          <w:rFonts w:hint="eastAsia" w:ascii="仿宋" w:hAnsi="仿宋" w:eastAsia="仿宋" w:cs="仿宋"/>
          <w:color w:val="000000" w:themeColor="text1"/>
          <w:szCs w:val="21"/>
          <w:highlight w:val="none"/>
          <w14:textFill>
            <w14:solidFill>
              <w14:schemeClr w14:val="tx1"/>
            </w14:solidFill>
          </w14:textFill>
        </w:rPr>
        <w:t>授权代表全名，职务）代表我方处理有关本投标的一切事宜。</w:t>
      </w:r>
    </w:p>
    <w:p w14:paraId="10A3C012">
      <w:pPr>
        <w:pStyle w:val="8"/>
        <w:spacing w:line="440" w:lineRule="exact"/>
        <w:ind w:firstLine="44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在此</w:t>
      </w:r>
      <w:r>
        <w:rPr>
          <w:rFonts w:hint="eastAsia" w:ascii="仿宋" w:hAnsi="仿宋" w:eastAsia="仿宋" w:cs="仿宋"/>
          <w:color w:val="000000" w:themeColor="text1"/>
          <w:spacing w:val="-3"/>
          <w:highlight w:val="none"/>
          <w14:textFill>
            <w14:solidFill>
              <w14:schemeClr w14:val="tx1"/>
            </w14:solidFill>
          </w14:textFill>
        </w:rPr>
        <w:t>提</w:t>
      </w:r>
      <w:r>
        <w:rPr>
          <w:rFonts w:hint="eastAsia" w:ascii="仿宋" w:hAnsi="仿宋" w:eastAsia="仿宋" w:cs="仿宋"/>
          <w:color w:val="000000" w:themeColor="text1"/>
          <w:highlight w:val="none"/>
          <w14:textFill>
            <w14:solidFill>
              <w14:schemeClr w14:val="tx1"/>
            </w14:solidFill>
          </w14:textFill>
        </w:rPr>
        <w:t>供</w:t>
      </w:r>
      <w:r>
        <w:rPr>
          <w:rFonts w:hint="eastAsia" w:ascii="仿宋" w:hAnsi="仿宋" w:eastAsia="仿宋" w:cs="仿宋"/>
          <w:color w:val="000000" w:themeColor="text1"/>
          <w:spacing w:val="-3"/>
          <w:highlight w:val="none"/>
          <w14:textFill>
            <w14:solidFill>
              <w14:schemeClr w14:val="tx1"/>
            </w14:solidFill>
          </w14:textFill>
        </w:rPr>
        <w:t>投</w:t>
      </w:r>
      <w:r>
        <w:rPr>
          <w:rFonts w:hint="eastAsia" w:ascii="仿宋" w:hAnsi="仿宋" w:eastAsia="仿宋" w:cs="仿宋"/>
          <w:color w:val="000000" w:themeColor="text1"/>
          <w:highlight w:val="none"/>
          <w14:textFill>
            <w14:solidFill>
              <w14:schemeClr w14:val="tx1"/>
            </w14:solidFill>
          </w14:textFill>
        </w:rPr>
        <w:t>标</w:t>
      </w:r>
      <w:r>
        <w:rPr>
          <w:rFonts w:hint="eastAsia" w:ascii="仿宋" w:hAnsi="仿宋" w:eastAsia="仿宋" w:cs="仿宋"/>
          <w:color w:val="000000" w:themeColor="text1"/>
          <w:spacing w:val="-3"/>
          <w:highlight w:val="none"/>
          <w14:textFill>
            <w14:solidFill>
              <w14:schemeClr w14:val="tx1"/>
            </w14:solidFill>
          </w14:textFill>
        </w:rPr>
        <w:t>人</w:t>
      </w:r>
      <w:r>
        <w:rPr>
          <w:rFonts w:hint="eastAsia" w:ascii="仿宋" w:hAnsi="仿宋" w:eastAsia="仿宋" w:cs="仿宋"/>
          <w:color w:val="000000" w:themeColor="text1"/>
          <w:highlight w:val="none"/>
          <w14:textFill>
            <w14:solidFill>
              <w14:schemeClr w14:val="tx1"/>
            </w14:solidFill>
          </w14:textFill>
        </w:rPr>
        <w:t>须知规</w:t>
      </w:r>
      <w:r>
        <w:rPr>
          <w:rFonts w:hint="eastAsia" w:ascii="仿宋" w:hAnsi="仿宋" w:eastAsia="仿宋" w:cs="仿宋"/>
          <w:color w:val="000000" w:themeColor="text1"/>
          <w:spacing w:val="-3"/>
          <w:highlight w:val="none"/>
          <w14:textFill>
            <w14:solidFill>
              <w14:schemeClr w14:val="tx1"/>
            </w14:solidFill>
          </w14:textFill>
        </w:rPr>
        <w:t>定的</w:t>
      </w:r>
      <w:r>
        <w:rPr>
          <w:rFonts w:hint="eastAsia" w:ascii="仿宋" w:hAnsi="仿宋" w:eastAsia="仿宋" w:cs="仿宋"/>
          <w:color w:val="000000" w:themeColor="text1"/>
          <w:highlight w:val="none"/>
          <w14:textFill>
            <w14:solidFill>
              <w14:schemeClr w14:val="tx1"/>
            </w14:solidFill>
          </w14:textFill>
        </w:rPr>
        <w:t>全部</w:t>
      </w:r>
      <w:r>
        <w:rPr>
          <w:rFonts w:hint="eastAsia" w:ascii="仿宋" w:hAnsi="仿宋" w:eastAsia="仿宋" w:cs="仿宋"/>
          <w:color w:val="000000" w:themeColor="text1"/>
          <w:spacing w:val="-3"/>
          <w:highlight w:val="none"/>
          <w14:textFill>
            <w14:solidFill>
              <w14:schemeClr w14:val="tx1"/>
            </w14:solidFill>
          </w14:textFill>
        </w:rPr>
        <w:t>投</w:t>
      </w:r>
      <w:r>
        <w:rPr>
          <w:rFonts w:hint="eastAsia" w:ascii="仿宋" w:hAnsi="仿宋" w:eastAsia="仿宋" w:cs="仿宋"/>
          <w:color w:val="000000" w:themeColor="text1"/>
          <w:highlight w:val="none"/>
          <w14:textFill>
            <w14:solidFill>
              <w14:schemeClr w14:val="tx1"/>
            </w14:solidFill>
          </w14:textFill>
        </w:rPr>
        <w:t>标</w:t>
      </w:r>
      <w:r>
        <w:rPr>
          <w:rFonts w:hint="eastAsia" w:ascii="仿宋" w:hAnsi="仿宋" w:eastAsia="仿宋" w:cs="仿宋"/>
          <w:color w:val="000000" w:themeColor="text1"/>
          <w:spacing w:val="-3"/>
          <w:highlight w:val="none"/>
          <w14:textFill>
            <w14:solidFill>
              <w14:schemeClr w14:val="tx1"/>
            </w14:solidFill>
          </w14:textFill>
        </w:rPr>
        <w:t>文</w:t>
      </w:r>
      <w:r>
        <w:rPr>
          <w:rFonts w:hint="eastAsia" w:ascii="仿宋" w:hAnsi="仿宋" w:eastAsia="仿宋" w:cs="仿宋"/>
          <w:color w:val="000000" w:themeColor="text1"/>
          <w:highlight w:val="none"/>
          <w14:textFill>
            <w14:solidFill>
              <w14:schemeClr w14:val="tx1"/>
            </w14:solidFill>
          </w14:textFill>
        </w:rPr>
        <w:t>件。</w:t>
      </w:r>
    </w:p>
    <w:p w14:paraId="04D08563">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我方己完全明白招标文件的所有条款要求，并重申以下几点：</w:t>
      </w:r>
    </w:p>
    <w:p w14:paraId="43B724AB">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投标人已详细审查全部“招标文件”，包括修改、澄清文件（如有的话）以及全部参考资料和有关附件，已经了解我方对于招标文件、采购过程、采购结果有依法进行询问、质疑、投诉的权利及相关渠道和要求。</w:t>
      </w:r>
    </w:p>
    <w:p w14:paraId="01B70F4E">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（二）投标人在投标之前已经与贵方进行了充分的沟通，完全理解并接受招标文件的各项规定和要求，对招标文件的合理性、合法性不再有异议。</w:t>
      </w:r>
    </w:p>
    <w:p w14:paraId="6B8755FA">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（三）本投标有效期自开标日起90日。</w:t>
      </w:r>
    </w:p>
    <w:p w14:paraId="4B7ECF91">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（四）如中标，本投标文件至本项目合同履行完毕止均保持有效，本投标人将按“招标文件”及政府采购法律、法规的规定履行合同责任和义务。</w:t>
      </w:r>
    </w:p>
    <w:p w14:paraId="52656940">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（五）投标人同意按照贵方要求提供与投标有关的一切数据或资料。</w:t>
      </w:r>
    </w:p>
    <w:p w14:paraId="142C365C">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（六）我方向贵方提交的所有投标文件、资料都是准确的和真实的。</w:t>
      </w:r>
    </w:p>
    <w:p w14:paraId="3616A299">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（七）我方不是采购人的附属机构；在获知本项目采购信息后，与采购人聘请的为此项目提供咨询服务的公司及其附属机构没有任何联系。</w:t>
      </w:r>
    </w:p>
    <w:p w14:paraId="39A80BB7">
      <w:pPr>
        <w:spacing w:line="440" w:lineRule="exact"/>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（八）以上事项如有虚假或隐瞒，我方愿意承担一切后果，并不再寻求任何旨在减轻或免除法律责任的辩解。</w:t>
      </w:r>
    </w:p>
    <w:p w14:paraId="7628685F">
      <w:pPr>
        <w:spacing w:line="44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（九）本投标有关的一切正式往来信函请寄：</w:t>
      </w:r>
    </w:p>
    <w:p w14:paraId="2B510EBA">
      <w:pPr>
        <w:spacing w:line="440" w:lineRule="exact"/>
        <w:ind w:firstLine="4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地址</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01E2C485">
      <w:pPr>
        <w:spacing w:line="440" w:lineRule="exact"/>
        <w:ind w:firstLine="4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电话</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191FF586">
      <w:pPr>
        <w:spacing w:line="440" w:lineRule="exact"/>
        <w:ind w:firstLine="4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传真</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3466AAFF">
      <w:pPr>
        <w:spacing w:line="440" w:lineRule="exact"/>
        <w:ind w:firstLine="735" w:firstLineChars="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电子邮件</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3CB48757">
      <w:pPr>
        <w:spacing w:line="440" w:lineRule="exact"/>
        <w:ind w:firstLine="4860"/>
        <w:rPr>
          <w:rFonts w:hint="eastAsia" w:ascii="仿宋" w:hAnsi="仿宋" w:eastAsia="仿宋" w:cs="仿宋"/>
          <w:b/>
          <w:bCs/>
          <w:color w:val="000000" w:themeColor="text1"/>
          <w:szCs w:val="21"/>
          <w:highlight w:val="none"/>
          <w:u w:val="singl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投标人（盖章）：</w:t>
      </w:r>
      <w:r>
        <w:rPr>
          <w:rFonts w:hint="eastAsia" w:ascii="仿宋" w:hAnsi="仿宋" w:eastAsia="仿宋" w:cs="仿宋"/>
          <w:b/>
          <w:bCs/>
          <w:color w:val="000000" w:themeColor="text1"/>
          <w:szCs w:val="21"/>
          <w:highlight w:val="none"/>
          <w:u w:val="single"/>
          <w14:textFill>
            <w14:solidFill>
              <w14:schemeClr w14:val="tx1"/>
            </w14:solidFill>
          </w14:textFill>
        </w:rPr>
        <w:t xml:space="preserve">                               </w:t>
      </w:r>
    </w:p>
    <w:p w14:paraId="235BF902">
      <w:pPr>
        <w:spacing w:line="440" w:lineRule="exact"/>
        <w:ind w:firstLine="4860"/>
        <w:rPr>
          <w:rFonts w:hint="eastAsia" w:ascii="仿宋" w:hAnsi="仿宋" w:eastAsia="仿宋" w:cs="仿宋"/>
          <w:b/>
          <w:bCs/>
          <w:color w:val="000000" w:themeColor="text1"/>
          <w:szCs w:val="21"/>
          <w:highlight w:val="none"/>
          <w14:textFill>
            <w14:solidFill>
              <w14:schemeClr w14:val="tx1"/>
            </w14:solidFill>
          </w14:textFill>
        </w:rPr>
      </w:pPr>
    </w:p>
    <w:p w14:paraId="23C2F328">
      <w:pPr>
        <w:spacing w:line="440" w:lineRule="exact"/>
        <w:ind w:firstLine="4860"/>
        <w:rPr>
          <w:rFonts w:hint="eastAsia" w:ascii="仿宋" w:hAnsi="仿宋" w:eastAsia="仿宋" w:cs="仿宋"/>
          <w:b/>
          <w:bCs/>
          <w:color w:val="000000" w:themeColor="text1"/>
          <w:sz w:val="22"/>
          <w:szCs w:val="22"/>
          <w:highlight w:val="none"/>
          <w:u w:val="singl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日 期：  年  月  日</w:t>
      </w:r>
      <w:r>
        <w:rPr>
          <w:rFonts w:hint="eastAsia" w:ascii="仿宋" w:hAnsi="仿宋" w:eastAsia="仿宋" w:cs="仿宋"/>
          <w:b/>
          <w:bCs/>
          <w:color w:val="000000" w:themeColor="text1"/>
          <w:szCs w:val="21"/>
          <w:highlight w:val="none"/>
          <w:u w:val="single"/>
          <w14:textFill>
            <w14:solidFill>
              <w14:schemeClr w14:val="tx1"/>
            </w14:solidFill>
          </w14:textFill>
        </w:rPr>
        <w:t xml:space="preserve">                            </w:t>
      </w:r>
    </w:p>
    <w:p w14:paraId="5EA4FDD1">
      <w:pPr>
        <w:spacing w:line="460" w:lineRule="exact"/>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br w:type="page"/>
      </w:r>
    </w:p>
    <w:p w14:paraId="03D52035">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投标人基本情况表</w:t>
      </w:r>
    </w:p>
    <w:tbl>
      <w:tblPr>
        <w:tblStyle w:val="31"/>
        <w:tblW w:w="90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6"/>
        <w:gridCol w:w="1409"/>
        <w:gridCol w:w="1398"/>
        <w:gridCol w:w="1407"/>
        <w:gridCol w:w="1507"/>
        <w:gridCol w:w="302"/>
        <w:gridCol w:w="1549"/>
      </w:tblGrid>
      <w:tr w14:paraId="032D2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14:paraId="0290B727">
            <w:pPr>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投标人名称</w:t>
            </w:r>
          </w:p>
        </w:tc>
        <w:tc>
          <w:tcPr>
            <w:tcW w:w="7572" w:type="dxa"/>
            <w:gridSpan w:val="6"/>
            <w:tcBorders>
              <w:top w:val="single" w:color="auto" w:sz="4" w:space="0"/>
              <w:left w:val="single" w:color="auto" w:sz="4" w:space="0"/>
              <w:bottom w:val="single" w:color="auto" w:sz="4" w:space="0"/>
              <w:right w:val="single" w:color="auto" w:sz="4" w:space="0"/>
            </w:tcBorders>
            <w:noWrap w:val="0"/>
            <w:vAlign w:val="center"/>
          </w:tcPr>
          <w:p w14:paraId="3522E6AA">
            <w:pPr>
              <w:spacing w:line="240" w:lineRule="exact"/>
              <w:rPr>
                <w:rFonts w:hint="eastAsia" w:ascii="仿宋" w:hAnsi="仿宋" w:eastAsia="仿宋" w:cs="仿宋"/>
                <w:color w:val="000000" w:themeColor="text1"/>
                <w:szCs w:val="21"/>
                <w:highlight w:val="none"/>
                <w14:textFill>
                  <w14:solidFill>
                    <w14:schemeClr w14:val="tx1"/>
                  </w14:solidFill>
                </w14:textFill>
              </w:rPr>
            </w:pPr>
          </w:p>
        </w:tc>
      </w:tr>
      <w:tr w14:paraId="3280F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14:paraId="327FCEB4">
            <w:pPr>
              <w:spacing w:line="320" w:lineRule="exact"/>
              <w:ind w:left="-38" w:leftChars="-51" w:right="-107" w:rightChars="-51" w:hanging="69" w:hangingChars="33"/>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法定代表人</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0D30C70">
            <w:pPr>
              <w:spacing w:line="240" w:lineRule="exact"/>
              <w:jc w:val="center"/>
              <w:rPr>
                <w:rFonts w:hint="eastAsia" w:ascii="仿宋" w:hAnsi="仿宋" w:eastAsia="仿宋" w:cs="仿宋"/>
                <w:bCs/>
                <w:color w:val="000000" w:themeColor="text1"/>
                <w:szCs w:val="21"/>
                <w:highlight w:val="none"/>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14:paraId="26B24475">
            <w:pPr>
              <w:spacing w:line="320" w:lineRule="exact"/>
              <w:ind w:left="-38" w:leftChars="-51" w:right="-107" w:rightChars="-51" w:hanging="69" w:hangingChars="33"/>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授权代表人</w:t>
            </w:r>
          </w:p>
        </w:tc>
        <w:tc>
          <w:tcPr>
            <w:tcW w:w="1407" w:type="dxa"/>
            <w:tcBorders>
              <w:top w:val="single" w:color="auto" w:sz="4" w:space="0"/>
              <w:left w:val="single" w:color="auto" w:sz="4" w:space="0"/>
              <w:bottom w:val="single" w:color="auto" w:sz="4" w:space="0"/>
              <w:right w:val="single" w:color="auto" w:sz="4" w:space="0"/>
            </w:tcBorders>
            <w:noWrap w:val="0"/>
            <w:vAlign w:val="center"/>
          </w:tcPr>
          <w:p w14:paraId="39419E1E">
            <w:pPr>
              <w:spacing w:line="240" w:lineRule="exact"/>
              <w:jc w:val="center"/>
              <w:rPr>
                <w:rFonts w:hint="eastAsia" w:ascii="仿宋" w:hAnsi="仿宋" w:eastAsia="仿宋" w:cs="仿宋"/>
                <w:bCs/>
                <w:color w:val="000000" w:themeColor="text1"/>
                <w:szCs w:val="21"/>
                <w:highlight w:val="none"/>
                <w14:textFill>
                  <w14:solidFill>
                    <w14:schemeClr w14:val="tx1"/>
                  </w14:solidFill>
                </w14:textFill>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4A34D6F0">
            <w:pPr>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营业（经营）执照号码</w:t>
            </w: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14:paraId="48C834D6">
            <w:pPr>
              <w:spacing w:line="240" w:lineRule="exact"/>
              <w:rPr>
                <w:rFonts w:hint="eastAsia" w:ascii="仿宋" w:hAnsi="仿宋" w:eastAsia="仿宋" w:cs="仿宋"/>
                <w:bCs/>
                <w:color w:val="000000" w:themeColor="text1"/>
                <w:szCs w:val="21"/>
                <w:highlight w:val="none"/>
                <w14:textFill>
                  <w14:solidFill>
                    <w14:schemeClr w14:val="tx1"/>
                  </w14:solidFill>
                </w14:textFill>
              </w:rPr>
            </w:pPr>
          </w:p>
        </w:tc>
      </w:tr>
      <w:tr w14:paraId="153A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14:paraId="1B07F80C">
            <w:pPr>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职工人数</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591935D1">
            <w:pPr>
              <w:spacing w:line="240" w:lineRule="exact"/>
              <w:jc w:val="center"/>
              <w:rPr>
                <w:rFonts w:hint="eastAsia" w:ascii="仿宋" w:hAnsi="仿宋" w:eastAsia="仿宋" w:cs="仿宋"/>
                <w:bCs/>
                <w:color w:val="000000" w:themeColor="text1"/>
                <w:szCs w:val="21"/>
                <w:highlight w:val="none"/>
                <w14:textFill>
                  <w14:solidFill>
                    <w14:schemeClr w14:val="tx1"/>
                  </w14:solidFill>
                </w14:textFill>
              </w:rPr>
            </w:pPr>
          </w:p>
        </w:tc>
        <w:tc>
          <w:tcPr>
            <w:tcW w:w="1398" w:type="dxa"/>
            <w:tcBorders>
              <w:top w:val="single" w:color="auto" w:sz="4" w:space="0"/>
              <w:left w:val="single" w:color="auto" w:sz="4" w:space="0"/>
              <w:bottom w:val="single" w:color="auto" w:sz="4" w:space="0"/>
              <w:right w:val="single" w:color="auto" w:sz="4" w:space="0"/>
            </w:tcBorders>
            <w:noWrap w:val="0"/>
            <w:vAlign w:val="center"/>
          </w:tcPr>
          <w:p w14:paraId="510AB514">
            <w:pPr>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注册时间</w:t>
            </w:r>
          </w:p>
        </w:tc>
        <w:tc>
          <w:tcPr>
            <w:tcW w:w="1407" w:type="dxa"/>
            <w:tcBorders>
              <w:top w:val="single" w:color="auto" w:sz="4" w:space="0"/>
              <w:left w:val="single" w:color="auto" w:sz="4" w:space="0"/>
              <w:bottom w:val="single" w:color="auto" w:sz="4" w:space="0"/>
              <w:right w:val="single" w:color="auto" w:sz="4" w:space="0"/>
            </w:tcBorders>
            <w:noWrap w:val="0"/>
            <w:vAlign w:val="center"/>
          </w:tcPr>
          <w:p w14:paraId="32B509CC">
            <w:pPr>
              <w:spacing w:line="240" w:lineRule="exact"/>
              <w:ind w:right="-89"/>
              <w:jc w:val="center"/>
              <w:rPr>
                <w:rFonts w:hint="eastAsia" w:ascii="仿宋" w:hAnsi="仿宋" w:eastAsia="仿宋" w:cs="仿宋"/>
                <w:bCs/>
                <w:color w:val="000000" w:themeColor="text1"/>
                <w:szCs w:val="21"/>
                <w:highlight w:val="none"/>
                <w14:textFill>
                  <w14:solidFill>
                    <w14:schemeClr w14:val="tx1"/>
                  </w14:solidFill>
                </w14:textFill>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2D1082F9">
            <w:pPr>
              <w:spacing w:line="320" w:lineRule="exact"/>
              <w:ind w:left="-38" w:leftChars="-51" w:hanging="69" w:hangingChars="33"/>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注册资金</w:t>
            </w: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14:paraId="39C09DC7">
            <w:pPr>
              <w:spacing w:line="320" w:lineRule="exac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万元</w:t>
            </w:r>
          </w:p>
        </w:tc>
      </w:tr>
      <w:tr w14:paraId="2A3EF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14:paraId="3C78D624">
            <w:pPr>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地   址</w:t>
            </w:r>
          </w:p>
        </w:tc>
        <w:tc>
          <w:tcPr>
            <w:tcW w:w="7572" w:type="dxa"/>
            <w:gridSpan w:val="6"/>
            <w:tcBorders>
              <w:top w:val="single" w:color="auto" w:sz="4" w:space="0"/>
              <w:left w:val="single" w:color="auto" w:sz="4" w:space="0"/>
              <w:bottom w:val="single" w:color="auto" w:sz="4" w:space="0"/>
              <w:right w:val="single" w:color="auto" w:sz="4" w:space="0"/>
            </w:tcBorders>
            <w:noWrap w:val="0"/>
            <w:vAlign w:val="center"/>
          </w:tcPr>
          <w:p w14:paraId="2BF370BE">
            <w:pPr>
              <w:spacing w:line="240" w:lineRule="exact"/>
              <w:jc w:val="center"/>
              <w:rPr>
                <w:rFonts w:hint="eastAsia" w:ascii="仿宋" w:hAnsi="仿宋" w:eastAsia="仿宋" w:cs="仿宋"/>
                <w:bCs/>
                <w:color w:val="000000" w:themeColor="text1"/>
                <w:szCs w:val="21"/>
                <w:highlight w:val="none"/>
                <w14:textFill>
                  <w14:solidFill>
                    <w14:schemeClr w14:val="tx1"/>
                  </w14:solidFill>
                </w14:textFill>
              </w:rPr>
            </w:pPr>
          </w:p>
        </w:tc>
      </w:tr>
      <w:tr w14:paraId="050BB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vMerge w:val="restart"/>
            <w:tcBorders>
              <w:top w:val="single" w:color="auto" w:sz="4" w:space="0"/>
              <w:left w:val="single" w:color="auto" w:sz="4" w:space="0"/>
              <w:right w:val="single" w:color="auto" w:sz="4" w:space="0"/>
            </w:tcBorders>
            <w:noWrap w:val="0"/>
            <w:vAlign w:val="center"/>
          </w:tcPr>
          <w:p w14:paraId="5D063B21">
            <w:pPr>
              <w:spacing w:line="32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所获资质</w:t>
            </w:r>
          </w:p>
          <w:p w14:paraId="7FB57D7A">
            <w:pPr>
              <w:spacing w:line="32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或认证</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93D75C3">
            <w:pPr>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证书或证件名称及等级</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14:paraId="26AE63E7">
            <w:pPr>
              <w:widowControl/>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颁发部门</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0E1FF3FE">
            <w:pPr>
              <w:widowControl/>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颁发时间</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370C284">
            <w:pPr>
              <w:widowControl/>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有效期</w:t>
            </w:r>
          </w:p>
        </w:tc>
      </w:tr>
      <w:tr w14:paraId="70BF6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vMerge w:val="continue"/>
            <w:tcBorders>
              <w:left w:val="single" w:color="auto" w:sz="4" w:space="0"/>
              <w:right w:val="single" w:color="auto" w:sz="4" w:space="0"/>
            </w:tcBorders>
            <w:noWrap w:val="0"/>
            <w:vAlign w:val="center"/>
          </w:tcPr>
          <w:p w14:paraId="710A9818">
            <w:pPr>
              <w:spacing w:line="2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340B915">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14:paraId="589FF23E">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01EE6D39">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A6F0D01">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r>
      <w:tr w14:paraId="6F812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vMerge w:val="continue"/>
            <w:tcBorders>
              <w:left w:val="single" w:color="auto" w:sz="4" w:space="0"/>
              <w:right w:val="single" w:color="auto" w:sz="4" w:space="0"/>
            </w:tcBorders>
            <w:noWrap w:val="0"/>
            <w:vAlign w:val="center"/>
          </w:tcPr>
          <w:p w14:paraId="674AFD65">
            <w:pPr>
              <w:spacing w:line="2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078F79A">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14:paraId="5CF55F3E">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7508C1A8">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01E3197">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r>
      <w:tr w14:paraId="3A230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vMerge w:val="continue"/>
            <w:tcBorders>
              <w:left w:val="single" w:color="auto" w:sz="4" w:space="0"/>
              <w:right w:val="single" w:color="auto" w:sz="4" w:space="0"/>
            </w:tcBorders>
            <w:noWrap w:val="0"/>
            <w:vAlign w:val="center"/>
          </w:tcPr>
          <w:p w14:paraId="6967489A">
            <w:pPr>
              <w:spacing w:line="2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0843CAD">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14:paraId="118D295F">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041A9541">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EFDF7A8">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r>
      <w:tr w14:paraId="08941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vMerge w:val="continue"/>
            <w:tcBorders>
              <w:left w:val="single" w:color="auto" w:sz="4" w:space="0"/>
              <w:right w:val="single" w:color="auto" w:sz="4" w:space="0"/>
            </w:tcBorders>
            <w:noWrap w:val="0"/>
            <w:vAlign w:val="center"/>
          </w:tcPr>
          <w:p w14:paraId="40984B82">
            <w:pPr>
              <w:spacing w:line="2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A626F90">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14:paraId="3C654316">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2C12E635">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852D19D">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r>
      <w:tr w14:paraId="28618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vMerge w:val="restart"/>
            <w:tcBorders>
              <w:top w:val="single" w:color="auto" w:sz="4" w:space="0"/>
              <w:left w:val="single" w:color="auto" w:sz="4" w:space="0"/>
              <w:right w:val="single" w:color="auto" w:sz="4" w:space="0"/>
            </w:tcBorders>
            <w:noWrap w:val="0"/>
            <w:vAlign w:val="center"/>
          </w:tcPr>
          <w:p w14:paraId="2593EBB2">
            <w:pPr>
              <w:spacing w:line="32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所获荣誉</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14901D6">
            <w:pPr>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荣誉名称</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14:paraId="47FF6CC9">
            <w:pPr>
              <w:widowControl/>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颁发部门</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59B3D56F">
            <w:pPr>
              <w:widowControl/>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颁发时间</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DE03C97">
            <w:pPr>
              <w:widowControl/>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有效期</w:t>
            </w:r>
          </w:p>
        </w:tc>
      </w:tr>
      <w:tr w14:paraId="5317B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vMerge w:val="continue"/>
            <w:tcBorders>
              <w:left w:val="single" w:color="auto" w:sz="4" w:space="0"/>
              <w:right w:val="single" w:color="auto" w:sz="4" w:space="0"/>
            </w:tcBorders>
            <w:noWrap w:val="0"/>
            <w:vAlign w:val="center"/>
          </w:tcPr>
          <w:p w14:paraId="4CABB24F">
            <w:pPr>
              <w:spacing w:line="2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5C0C5F1">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14:paraId="3C202BE8">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3D8D0617">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A1C1685">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r>
      <w:tr w14:paraId="11506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vMerge w:val="continue"/>
            <w:tcBorders>
              <w:left w:val="single" w:color="auto" w:sz="4" w:space="0"/>
              <w:right w:val="single" w:color="auto" w:sz="4" w:space="0"/>
            </w:tcBorders>
            <w:noWrap w:val="0"/>
            <w:vAlign w:val="center"/>
          </w:tcPr>
          <w:p w14:paraId="75A186EC">
            <w:pPr>
              <w:spacing w:line="2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16DB816">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14:paraId="4D1CDCA8">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7CD9DABE">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BBA698C">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r>
      <w:tr w14:paraId="6745C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16" w:type="dxa"/>
            <w:vMerge w:val="continue"/>
            <w:tcBorders>
              <w:left w:val="single" w:color="auto" w:sz="4" w:space="0"/>
              <w:bottom w:val="single" w:color="auto" w:sz="4" w:space="0"/>
              <w:right w:val="single" w:color="auto" w:sz="4" w:space="0"/>
            </w:tcBorders>
            <w:noWrap w:val="0"/>
            <w:vAlign w:val="center"/>
          </w:tcPr>
          <w:p w14:paraId="612E38D4">
            <w:pPr>
              <w:spacing w:line="2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602F56E2">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14:paraId="560D0B89">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6EA79C41">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884EAD1">
            <w:pPr>
              <w:spacing w:line="240" w:lineRule="exact"/>
              <w:rPr>
                <w:rFonts w:hint="eastAsia" w:ascii="仿宋" w:hAnsi="仿宋" w:eastAsia="仿宋" w:cs="仿宋"/>
                <w:color w:val="000000" w:themeColor="text1"/>
                <w:szCs w:val="21"/>
                <w:highlight w:val="none"/>
                <w:u w:val="single"/>
                <w14:textFill>
                  <w14:solidFill>
                    <w14:schemeClr w14:val="tx1"/>
                  </w14:solidFill>
                </w14:textFill>
              </w:rPr>
            </w:pPr>
          </w:p>
        </w:tc>
      </w:tr>
      <w:tr w14:paraId="40FEC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14:paraId="2A7F9553">
            <w:pPr>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经营范围</w:t>
            </w:r>
          </w:p>
        </w:tc>
        <w:tc>
          <w:tcPr>
            <w:tcW w:w="7572" w:type="dxa"/>
            <w:gridSpan w:val="6"/>
            <w:tcBorders>
              <w:top w:val="single" w:color="auto" w:sz="4" w:space="0"/>
              <w:left w:val="single" w:color="auto" w:sz="4" w:space="0"/>
              <w:bottom w:val="single" w:color="auto" w:sz="4" w:space="0"/>
              <w:right w:val="single" w:color="auto" w:sz="4" w:space="0"/>
            </w:tcBorders>
            <w:noWrap w:val="0"/>
            <w:vAlign w:val="center"/>
          </w:tcPr>
          <w:p w14:paraId="0973F3DB">
            <w:pPr>
              <w:pStyle w:val="14"/>
              <w:tabs>
                <w:tab w:val="left" w:pos="1800"/>
                <w:tab w:val="left" w:pos="1980"/>
              </w:tabs>
              <w:spacing w:line="240" w:lineRule="exact"/>
              <w:ind w:left="420" w:hanging="420"/>
              <w:rPr>
                <w:rFonts w:hint="eastAsia" w:ascii="仿宋" w:hAnsi="仿宋" w:eastAsia="仿宋" w:cs="仿宋"/>
                <w:color w:val="000000" w:themeColor="text1"/>
                <w:sz w:val="21"/>
                <w:szCs w:val="21"/>
                <w:highlight w:val="none"/>
                <w14:textFill>
                  <w14:solidFill>
                    <w14:schemeClr w14:val="tx1"/>
                  </w14:solidFill>
                </w14:textFill>
              </w:rPr>
            </w:pPr>
          </w:p>
        </w:tc>
      </w:tr>
      <w:tr w14:paraId="62EBA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16" w:type="dxa"/>
            <w:tcBorders>
              <w:top w:val="single" w:color="auto" w:sz="4" w:space="0"/>
              <w:left w:val="single" w:color="auto" w:sz="4" w:space="0"/>
              <w:bottom w:val="single" w:color="auto" w:sz="4" w:space="0"/>
              <w:right w:val="single" w:color="auto" w:sz="4" w:space="0"/>
            </w:tcBorders>
            <w:noWrap w:val="0"/>
            <w:vAlign w:val="center"/>
          </w:tcPr>
          <w:p w14:paraId="004B76A6">
            <w:pPr>
              <w:spacing w:line="320" w:lineRule="exact"/>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其他</w:t>
            </w:r>
          </w:p>
        </w:tc>
        <w:tc>
          <w:tcPr>
            <w:tcW w:w="7572" w:type="dxa"/>
            <w:gridSpan w:val="6"/>
            <w:tcBorders>
              <w:top w:val="single" w:color="auto" w:sz="4" w:space="0"/>
              <w:left w:val="single" w:color="auto" w:sz="4" w:space="0"/>
              <w:bottom w:val="single" w:color="auto" w:sz="4" w:space="0"/>
              <w:right w:val="single" w:color="auto" w:sz="4" w:space="0"/>
            </w:tcBorders>
            <w:noWrap w:val="0"/>
            <w:vAlign w:val="center"/>
          </w:tcPr>
          <w:p w14:paraId="0D7F4983">
            <w:pPr>
              <w:spacing w:line="240" w:lineRule="exact"/>
              <w:rPr>
                <w:rFonts w:hint="eastAsia" w:ascii="仿宋" w:hAnsi="仿宋" w:eastAsia="仿宋" w:cs="仿宋"/>
                <w:bCs/>
                <w:color w:val="000000" w:themeColor="text1"/>
                <w:szCs w:val="21"/>
                <w:highlight w:val="none"/>
                <w14:textFill>
                  <w14:solidFill>
                    <w14:schemeClr w14:val="tx1"/>
                  </w14:solidFill>
                </w14:textFill>
              </w:rPr>
            </w:pPr>
          </w:p>
        </w:tc>
      </w:tr>
    </w:tbl>
    <w:p w14:paraId="3C17643E">
      <w:pPr>
        <w:spacing w:line="320" w:lineRule="exact"/>
        <w:rPr>
          <w:rFonts w:hint="eastAsia" w:ascii="仿宋" w:hAnsi="仿宋" w:eastAsia="仿宋" w:cs="仿宋"/>
          <w:b/>
          <w:color w:val="000000" w:themeColor="text1"/>
          <w:sz w:val="24"/>
          <w:highlight w:val="none"/>
          <w14:textFill>
            <w14:solidFill>
              <w14:schemeClr w14:val="tx1"/>
            </w14:solidFill>
          </w14:textFill>
        </w:rPr>
      </w:pPr>
    </w:p>
    <w:p w14:paraId="06A9EEAF">
      <w:pPr>
        <w:spacing w:line="320" w:lineRule="exact"/>
        <w:rPr>
          <w:rFonts w:hint="eastAsia" w:ascii="仿宋" w:hAnsi="仿宋" w:eastAsia="仿宋" w:cs="仿宋"/>
          <w:b/>
          <w:color w:val="000000" w:themeColor="text1"/>
          <w:sz w:val="24"/>
          <w:highlight w:val="none"/>
          <w14:textFill>
            <w14:solidFill>
              <w14:schemeClr w14:val="tx1"/>
            </w14:solidFill>
          </w14:textFill>
        </w:rPr>
      </w:pPr>
    </w:p>
    <w:p w14:paraId="474B8624">
      <w:pPr>
        <w:spacing w:line="320" w:lineRule="exact"/>
        <w:rPr>
          <w:rFonts w:hint="eastAsia" w:ascii="仿宋" w:hAnsi="仿宋" w:eastAsia="仿宋" w:cs="仿宋"/>
          <w:b/>
          <w:color w:val="000000" w:themeColor="text1"/>
          <w:sz w:val="24"/>
          <w:highlight w:val="none"/>
          <w14:textFill>
            <w14:solidFill>
              <w14:schemeClr w14:val="tx1"/>
            </w14:solidFill>
          </w14:textFill>
        </w:rPr>
      </w:pPr>
    </w:p>
    <w:p w14:paraId="215AC938">
      <w:pPr>
        <w:spacing w:line="320" w:lineRule="exact"/>
        <w:ind w:firstLine="48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投标人（盖章）：                    </w:t>
      </w:r>
    </w:p>
    <w:p w14:paraId="485193F2">
      <w:pPr>
        <w:spacing w:line="320" w:lineRule="exact"/>
        <w:ind w:firstLine="480"/>
        <w:rPr>
          <w:rFonts w:hint="eastAsia" w:ascii="仿宋" w:hAnsi="仿宋" w:eastAsia="仿宋" w:cs="仿宋"/>
          <w:b/>
          <w:color w:val="000000" w:themeColor="text1"/>
          <w:szCs w:val="21"/>
          <w:highlight w:val="none"/>
          <w14:textFill>
            <w14:solidFill>
              <w14:schemeClr w14:val="tx1"/>
            </w14:solidFill>
          </w14:textFill>
        </w:rPr>
      </w:pPr>
    </w:p>
    <w:p w14:paraId="372F3F21">
      <w:pPr>
        <w:spacing w:line="320" w:lineRule="exact"/>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Cs w:val="21"/>
          <w:highlight w:val="none"/>
          <w14:textFill>
            <w14:solidFill>
              <w14:schemeClr w14:val="tx1"/>
            </w14:solidFill>
          </w14:textFill>
        </w:rPr>
        <w:t>日    期：</w:t>
      </w:r>
    </w:p>
    <w:p w14:paraId="397B69E2">
      <w:pPr>
        <w:spacing w:line="460" w:lineRule="exact"/>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br w:type="page"/>
      </w:r>
    </w:p>
    <w:p w14:paraId="74A98327">
      <w:pPr>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38DDA98C">
      <w:pPr>
        <w:spacing w:line="600" w:lineRule="exact"/>
        <w:jc w:val="center"/>
        <w:rPr>
          <w:rFonts w:hint="eastAsia" w:ascii="仿宋" w:hAnsi="仿宋" w:eastAsia="仿宋" w:cs="仿宋"/>
          <w:b/>
          <w:sz w:val="28"/>
          <w:szCs w:val="28"/>
        </w:rPr>
      </w:pPr>
      <w:bookmarkStart w:id="145" w:name="_Toc508004258"/>
      <w:bookmarkStart w:id="146" w:name="_Toc509828031"/>
      <w:r>
        <w:rPr>
          <w:rFonts w:hint="eastAsia" w:ascii="仿宋" w:hAnsi="仿宋" w:eastAsia="仿宋" w:cs="仿宋"/>
          <w:b/>
          <w:sz w:val="28"/>
          <w:szCs w:val="28"/>
        </w:rPr>
        <w:t>项目负责人简历表</w:t>
      </w:r>
    </w:p>
    <w:p w14:paraId="30F48A7D">
      <w:pPr>
        <w:spacing w:line="500" w:lineRule="exact"/>
        <w:ind w:firstLine="1050" w:firstLineChars="500"/>
        <w:rPr>
          <w:rFonts w:hint="eastAsia" w:ascii="仿宋" w:hAnsi="仿宋" w:eastAsia="仿宋" w:cs="仿宋"/>
          <w:b/>
          <w:bCs/>
          <w:sz w:val="28"/>
          <w:szCs w:val="28"/>
        </w:rPr>
      </w:pPr>
      <w:r>
        <w:rPr>
          <w:rFonts w:hint="eastAsia" w:ascii="仿宋" w:hAnsi="仿宋" w:eastAsia="仿宋" w:cs="仿宋"/>
          <w:szCs w:val="21"/>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项目编号：</w:t>
      </w:r>
      <w:r>
        <w:rPr>
          <w:rFonts w:hint="eastAsia" w:ascii="仿宋" w:hAnsi="仿宋" w:eastAsia="仿宋" w:cs="仿宋"/>
          <w:szCs w:val="21"/>
          <w:u w:val="single"/>
        </w:rPr>
        <w:t xml:space="preserve">                  </w:t>
      </w:r>
    </w:p>
    <w:tbl>
      <w:tblPr>
        <w:tblStyle w:val="31"/>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2211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640263E8">
            <w:pPr>
              <w:jc w:val="center"/>
              <w:rPr>
                <w:rFonts w:hint="eastAsia" w:ascii="仿宋" w:hAnsi="仿宋" w:eastAsia="仿宋" w:cs="仿宋"/>
                <w:szCs w:val="21"/>
              </w:rPr>
            </w:pPr>
            <w:r>
              <w:rPr>
                <w:rFonts w:hint="eastAsia" w:ascii="仿宋" w:hAnsi="仿宋" w:eastAsia="仿宋" w:cs="仿宋"/>
                <w:szCs w:val="21"/>
              </w:rPr>
              <w:t>姓名</w:t>
            </w:r>
          </w:p>
        </w:tc>
        <w:tc>
          <w:tcPr>
            <w:tcW w:w="1804" w:type="dxa"/>
            <w:gridSpan w:val="3"/>
            <w:vAlign w:val="center"/>
          </w:tcPr>
          <w:p w14:paraId="309D034C">
            <w:pPr>
              <w:jc w:val="center"/>
              <w:rPr>
                <w:rFonts w:hint="eastAsia" w:ascii="仿宋" w:hAnsi="仿宋" w:eastAsia="仿宋" w:cs="仿宋"/>
                <w:szCs w:val="21"/>
              </w:rPr>
            </w:pPr>
          </w:p>
        </w:tc>
        <w:tc>
          <w:tcPr>
            <w:tcW w:w="1093" w:type="dxa"/>
            <w:vAlign w:val="center"/>
          </w:tcPr>
          <w:p w14:paraId="6CFF5902">
            <w:pPr>
              <w:jc w:val="center"/>
              <w:rPr>
                <w:rFonts w:hint="eastAsia" w:ascii="仿宋" w:hAnsi="仿宋" w:eastAsia="仿宋" w:cs="仿宋"/>
                <w:szCs w:val="21"/>
              </w:rPr>
            </w:pPr>
            <w:r>
              <w:rPr>
                <w:rFonts w:hint="eastAsia" w:ascii="仿宋" w:hAnsi="仿宋" w:eastAsia="仿宋" w:cs="仿宋"/>
                <w:szCs w:val="21"/>
              </w:rPr>
              <w:t>年龄</w:t>
            </w:r>
          </w:p>
        </w:tc>
        <w:tc>
          <w:tcPr>
            <w:tcW w:w="1241" w:type="dxa"/>
            <w:gridSpan w:val="3"/>
            <w:vAlign w:val="center"/>
          </w:tcPr>
          <w:p w14:paraId="5610AD62">
            <w:pPr>
              <w:jc w:val="center"/>
              <w:rPr>
                <w:rFonts w:hint="eastAsia" w:ascii="仿宋" w:hAnsi="仿宋" w:eastAsia="仿宋" w:cs="仿宋"/>
                <w:szCs w:val="21"/>
              </w:rPr>
            </w:pPr>
          </w:p>
        </w:tc>
        <w:tc>
          <w:tcPr>
            <w:tcW w:w="1524" w:type="dxa"/>
            <w:vAlign w:val="center"/>
          </w:tcPr>
          <w:p w14:paraId="35C9DBAC">
            <w:pPr>
              <w:jc w:val="center"/>
              <w:rPr>
                <w:rFonts w:hint="eastAsia" w:ascii="仿宋" w:hAnsi="仿宋" w:eastAsia="仿宋" w:cs="仿宋"/>
                <w:szCs w:val="21"/>
              </w:rPr>
            </w:pPr>
            <w:r>
              <w:rPr>
                <w:rFonts w:hint="eastAsia" w:ascii="仿宋" w:hAnsi="仿宋" w:eastAsia="仿宋" w:cs="仿宋"/>
                <w:szCs w:val="21"/>
              </w:rPr>
              <w:t>身份证号</w:t>
            </w:r>
          </w:p>
        </w:tc>
        <w:tc>
          <w:tcPr>
            <w:tcW w:w="2143" w:type="dxa"/>
            <w:gridSpan w:val="2"/>
            <w:vAlign w:val="center"/>
          </w:tcPr>
          <w:p w14:paraId="1382623F">
            <w:pPr>
              <w:jc w:val="center"/>
              <w:rPr>
                <w:rFonts w:hint="eastAsia" w:ascii="仿宋" w:hAnsi="仿宋" w:eastAsia="仿宋" w:cs="仿宋"/>
                <w:szCs w:val="21"/>
              </w:rPr>
            </w:pPr>
          </w:p>
        </w:tc>
      </w:tr>
      <w:tr w14:paraId="7B69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7CAD9B45">
            <w:pPr>
              <w:jc w:val="center"/>
              <w:rPr>
                <w:rFonts w:hint="eastAsia" w:ascii="仿宋" w:hAnsi="仿宋" w:eastAsia="仿宋" w:cs="仿宋"/>
                <w:szCs w:val="21"/>
              </w:rPr>
            </w:pPr>
            <w:r>
              <w:rPr>
                <w:rFonts w:hint="eastAsia" w:ascii="仿宋" w:hAnsi="仿宋" w:eastAsia="仿宋" w:cs="仿宋"/>
                <w:szCs w:val="21"/>
              </w:rPr>
              <w:t>学历/专业</w:t>
            </w:r>
          </w:p>
        </w:tc>
        <w:tc>
          <w:tcPr>
            <w:tcW w:w="1804" w:type="dxa"/>
            <w:gridSpan w:val="3"/>
            <w:vAlign w:val="center"/>
          </w:tcPr>
          <w:p w14:paraId="11ACFB64">
            <w:pPr>
              <w:jc w:val="center"/>
              <w:rPr>
                <w:rFonts w:hint="eastAsia" w:ascii="仿宋" w:hAnsi="仿宋" w:eastAsia="仿宋" w:cs="仿宋"/>
                <w:szCs w:val="21"/>
              </w:rPr>
            </w:pPr>
          </w:p>
        </w:tc>
        <w:tc>
          <w:tcPr>
            <w:tcW w:w="1093" w:type="dxa"/>
            <w:vAlign w:val="center"/>
          </w:tcPr>
          <w:p w14:paraId="7AF9B9F1">
            <w:pPr>
              <w:jc w:val="center"/>
              <w:rPr>
                <w:rFonts w:hint="eastAsia" w:ascii="仿宋" w:hAnsi="仿宋" w:eastAsia="仿宋" w:cs="仿宋"/>
                <w:szCs w:val="21"/>
              </w:rPr>
            </w:pPr>
            <w:r>
              <w:rPr>
                <w:rFonts w:hint="eastAsia" w:ascii="仿宋" w:hAnsi="仿宋" w:eastAsia="仿宋" w:cs="仿宋"/>
                <w:szCs w:val="21"/>
              </w:rPr>
              <w:t>职务</w:t>
            </w:r>
          </w:p>
        </w:tc>
        <w:tc>
          <w:tcPr>
            <w:tcW w:w="1241" w:type="dxa"/>
            <w:gridSpan w:val="3"/>
            <w:vAlign w:val="center"/>
          </w:tcPr>
          <w:p w14:paraId="55D47ED3">
            <w:pPr>
              <w:jc w:val="center"/>
              <w:rPr>
                <w:rFonts w:hint="eastAsia" w:ascii="仿宋" w:hAnsi="仿宋" w:eastAsia="仿宋" w:cs="仿宋"/>
                <w:szCs w:val="21"/>
              </w:rPr>
            </w:pPr>
          </w:p>
        </w:tc>
        <w:tc>
          <w:tcPr>
            <w:tcW w:w="1524" w:type="dxa"/>
            <w:vAlign w:val="center"/>
          </w:tcPr>
          <w:p w14:paraId="28537E70">
            <w:pPr>
              <w:jc w:val="center"/>
              <w:rPr>
                <w:rFonts w:hint="eastAsia" w:ascii="仿宋" w:hAnsi="仿宋" w:eastAsia="仿宋" w:cs="仿宋"/>
                <w:szCs w:val="21"/>
              </w:rPr>
            </w:pPr>
            <w:r>
              <w:rPr>
                <w:rFonts w:hint="eastAsia" w:ascii="仿宋" w:hAnsi="仿宋" w:eastAsia="仿宋" w:cs="仿宋"/>
                <w:szCs w:val="21"/>
              </w:rPr>
              <w:t>拟在本项目</w:t>
            </w:r>
          </w:p>
          <w:p w14:paraId="5F665481">
            <w:pPr>
              <w:jc w:val="center"/>
              <w:rPr>
                <w:rFonts w:hint="eastAsia" w:ascii="仿宋" w:hAnsi="仿宋" w:eastAsia="仿宋" w:cs="仿宋"/>
                <w:szCs w:val="21"/>
              </w:rPr>
            </w:pPr>
            <w:r>
              <w:rPr>
                <w:rFonts w:hint="eastAsia" w:ascii="仿宋" w:hAnsi="仿宋" w:eastAsia="仿宋" w:cs="仿宋"/>
                <w:szCs w:val="21"/>
              </w:rPr>
              <w:t>担任职务</w:t>
            </w:r>
          </w:p>
        </w:tc>
        <w:tc>
          <w:tcPr>
            <w:tcW w:w="2143" w:type="dxa"/>
            <w:gridSpan w:val="2"/>
            <w:vAlign w:val="center"/>
          </w:tcPr>
          <w:p w14:paraId="25BCA37D">
            <w:pPr>
              <w:jc w:val="center"/>
              <w:rPr>
                <w:rFonts w:hint="eastAsia" w:ascii="仿宋" w:hAnsi="仿宋" w:eastAsia="仿宋" w:cs="仿宋"/>
                <w:szCs w:val="21"/>
              </w:rPr>
            </w:pPr>
          </w:p>
        </w:tc>
      </w:tr>
      <w:tr w14:paraId="2A69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079FE9C2">
            <w:pPr>
              <w:jc w:val="center"/>
              <w:rPr>
                <w:rFonts w:hint="eastAsia" w:ascii="仿宋" w:hAnsi="仿宋" w:eastAsia="仿宋" w:cs="仿宋"/>
                <w:szCs w:val="21"/>
              </w:rPr>
            </w:pPr>
            <w:r>
              <w:rPr>
                <w:rFonts w:hint="eastAsia" w:ascii="仿宋" w:hAnsi="仿宋" w:eastAsia="仿宋" w:cs="仿宋"/>
                <w:szCs w:val="21"/>
              </w:rPr>
              <w:t>资格/职称</w:t>
            </w:r>
          </w:p>
        </w:tc>
        <w:tc>
          <w:tcPr>
            <w:tcW w:w="1794" w:type="dxa"/>
            <w:gridSpan w:val="2"/>
            <w:vAlign w:val="center"/>
          </w:tcPr>
          <w:p w14:paraId="0AB11A88">
            <w:pPr>
              <w:jc w:val="center"/>
              <w:rPr>
                <w:rFonts w:hint="eastAsia" w:ascii="仿宋" w:hAnsi="仿宋" w:eastAsia="仿宋" w:cs="仿宋"/>
                <w:szCs w:val="21"/>
              </w:rPr>
            </w:pPr>
          </w:p>
        </w:tc>
        <w:tc>
          <w:tcPr>
            <w:tcW w:w="2338" w:type="dxa"/>
            <w:gridSpan w:val="4"/>
            <w:vAlign w:val="center"/>
          </w:tcPr>
          <w:p w14:paraId="1B370584">
            <w:pPr>
              <w:jc w:val="center"/>
              <w:rPr>
                <w:rFonts w:hint="eastAsia" w:ascii="仿宋" w:hAnsi="仿宋" w:eastAsia="仿宋" w:cs="仿宋"/>
                <w:szCs w:val="21"/>
              </w:rPr>
            </w:pPr>
            <w:r>
              <w:rPr>
                <w:rFonts w:hint="eastAsia" w:ascii="仿宋" w:hAnsi="仿宋" w:eastAsia="仿宋" w:cs="仿宋"/>
                <w:szCs w:val="21"/>
              </w:rPr>
              <w:t>资格/职称证书编号</w:t>
            </w:r>
          </w:p>
        </w:tc>
        <w:tc>
          <w:tcPr>
            <w:tcW w:w="3673" w:type="dxa"/>
            <w:gridSpan w:val="4"/>
            <w:vAlign w:val="center"/>
          </w:tcPr>
          <w:p w14:paraId="73167FC4">
            <w:pPr>
              <w:jc w:val="center"/>
              <w:rPr>
                <w:rFonts w:hint="eastAsia" w:ascii="仿宋" w:hAnsi="仿宋" w:eastAsia="仿宋" w:cs="仿宋"/>
                <w:szCs w:val="21"/>
              </w:rPr>
            </w:pPr>
          </w:p>
        </w:tc>
      </w:tr>
      <w:tr w14:paraId="7BDC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064008B2">
            <w:pPr>
              <w:rPr>
                <w:rFonts w:hint="eastAsia" w:ascii="仿宋" w:hAnsi="仿宋" w:eastAsia="仿宋" w:cs="仿宋"/>
                <w:szCs w:val="21"/>
              </w:rPr>
            </w:pPr>
            <w:r>
              <w:rPr>
                <w:rFonts w:hint="eastAsia" w:ascii="仿宋" w:hAnsi="仿宋" w:eastAsia="仿宋" w:cs="仿宋"/>
                <w:szCs w:val="21"/>
              </w:rPr>
              <w:t>主要工作经历：</w:t>
            </w:r>
          </w:p>
        </w:tc>
      </w:tr>
      <w:tr w14:paraId="5704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7008AFC5">
            <w:pPr>
              <w:jc w:val="center"/>
              <w:rPr>
                <w:rFonts w:hint="eastAsia" w:ascii="仿宋" w:hAnsi="仿宋" w:eastAsia="仿宋" w:cs="仿宋"/>
                <w:szCs w:val="21"/>
              </w:rPr>
            </w:pPr>
            <w:r>
              <w:rPr>
                <w:rFonts w:hint="eastAsia" w:ascii="仿宋" w:hAnsi="仿宋" w:eastAsia="仿宋" w:cs="仿宋"/>
                <w:szCs w:val="21"/>
              </w:rPr>
              <w:t>序号</w:t>
            </w:r>
          </w:p>
        </w:tc>
        <w:tc>
          <w:tcPr>
            <w:tcW w:w="1625" w:type="dxa"/>
            <w:gridSpan w:val="2"/>
            <w:vAlign w:val="center"/>
          </w:tcPr>
          <w:p w14:paraId="3745FD61">
            <w:pPr>
              <w:jc w:val="center"/>
              <w:rPr>
                <w:rFonts w:hint="eastAsia" w:ascii="仿宋" w:hAnsi="仿宋" w:eastAsia="仿宋" w:cs="仿宋"/>
                <w:szCs w:val="21"/>
              </w:rPr>
            </w:pPr>
            <w:r>
              <w:rPr>
                <w:rFonts w:hint="eastAsia" w:ascii="仿宋" w:hAnsi="仿宋" w:eastAsia="仿宋" w:cs="仿宋"/>
                <w:szCs w:val="21"/>
              </w:rPr>
              <w:t>主持（或参与）过的同类项目名称及规模</w:t>
            </w:r>
          </w:p>
        </w:tc>
        <w:tc>
          <w:tcPr>
            <w:tcW w:w="1435" w:type="dxa"/>
            <w:gridSpan w:val="2"/>
            <w:vAlign w:val="center"/>
          </w:tcPr>
          <w:p w14:paraId="22B31FDB">
            <w:pPr>
              <w:jc w:val="center"/>
              <w:rPr>
                <w:rFonts w:hint="eastAsia" w:ascii="仿宋" w:hAnsi="仿宋" w:eastAsia="仿宋" w:cs="仿宋"/>
                <w:szCs w:val="21"/>
              </w:rPr>
            </w:pPr>
            <w:r>
              <w:rPr>
                <w:rFonts w:hint="eastAsia" w:ascii="仿宋" w:hAnsi="仿宋" w:eastAsia="仿宋" w:cs="仿宋"/>
                <w:szCs w:val="21"/>
              </w:rPr>
              <w:t>该项目中任职/岗位</w:t>
            </w:r>
          </w:p>
        </w:tc>
        <w:tc>
          <w:tcPr>
            <w:tcW w:w="2696" w:type="dxa"/>
            <w:gridSpan w:val="4"/>
            <w:vAlign w:val="center"/>
          </w:tcPr>
          <w:p w14:paraId="2DD37FA2">
            <w:pPr>
              <w:jc w:val="center"/>
              <w:rPr>
                <w:rFonts w:hint="eastAsia" w:ascii="仿宋" w:hAnsi="仿宋" w:eastAsia="仿宋" w:cs="仿宋"/>
                <w:szCs w:val="21"/>
              </w:rPr>
            </w:pPr>
            <w:r>
              <w:rPr>
                <w:rFonts w:hint="eastAsia" w:ascii="仿宋" w:hAnsi="仿宋" w:eastAsia="仿宋" w:cs="仿宋"/>
                <w:szCs w:val="21"/>
              </w:rPr>
              <w:t>委托单位及联系人、联系电话</w:t>
            </w:r>
          </w:p>
        </w:tc>
        <w:tc>
          <w:tcPr>
            <w:tcW w:w="1870" w:type="dxa"/>
            <w:vAlign w:val="center"/>
          </w:tcPr>
          <w:p w14:paraId="7D7B2C68">
            <w:pPr>
              <w:jc w:val="center"/>
              <w:rPr>
                <w:rFonts w:hint="eastAsia" w:ascii="仿宋" w:hAnsi="仿宋" w:eastAsia="仿宋" w:cs="仿宋"/>
                <w:szCs w:val="21"/>
              </w:rPr>
            </w:pPr>
            <w:r>
              <w:rPr>
                <w:rFonts w:hint="eastAsia" w:ascii="仿宋" w:hAnsi="仿宋" w:eastAsia="仿宋" w:cs="仿宋"/>
                <w:szCs w:val="21"/>
              </w:rPr>
              <w:t>备注</w:t>
            </w:r>
          </w:p>
        </w:tc>
      </w:tr>
      <w:tr w14:paraId="0F49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57381E3E">
            <w:pPr>
              <w:jc w:val="center"/>
              <w:rPr>
                <w:rFonts w:hint="eastAsia" w:ascii="仿宋" w:hAnsi="仿宋" w:eastAsia="仿宋" w:cs="仿宋"/>
                <w:szCs w:val="21"/>
              </w:rPr>
            </w:pPr>
          </w:p>
        </w:tc>
        <w:tc>
          <w:tcPr>
            <w:tcW w:w="1625" w:type="dxa"/>
            <w:gridSpan w:val="2"/>
            <w:vAlign w:val="center"/>
          </w:tcPr>
          <w:p w14:paraId="506C3A06">
            <w:pPr>
              <w:jc w:val="center"/>
              <w:rPr>
                <w:rFonts w:hint="eastAsia" w:ascii="仿宋" w:hAnsi="仿宋" w:eastAsia="仿宋" w:cs="仿宋"/>
                <w:szCs w:val="21"/>
              </w:rPr>
            </w:pPr>
          </w:p>
        </w:tc>
        <w:tc>
          <w:tcPr>
            <w:tcW w:w="1435" w:type="dxa"/>
            <w:gridSpan w:val="2"/>
            <w:vAlign w:val="center"/>
          </w:tcPr>
          <w:p w14:paraId="2B75F806">
            <w:pPr>
              <w:jc w:val="center"/>
              <w:rPr>
                <w:rFonts w:hint="eastAsia" w:ascii="仿宋" w:hAnsi="仿宋" w:eastAsia="仿宋" w:cs="仿宋"/>
                <w:szCs w:val="21"/>
              </w:rPr>
            </w:pPr>
          </w:p>
        </w:tc>
        <w:tc>
          <w:tcPr>
            <w:tcW w:w="2696" w:type="dxa"/>
            <w:gridSpan w:val="4"/>
            <w:vAlign w:val="center"/>
          </w:tcPr>
          <w:p w14:paraId="05630514">
            <w:pPr>
              <w:jc w:val="center"/>
              <w:rPr>
                <w:rFonts w:hint="eastAsia" w:ascii="仿宋" w:hAnsi="仿宋" w:eastAsia="仿宋" w:cs="仿宋"/>
                <w:szCs w:val="21"/>
              </w:rPr>
            </w:pPr>
          </w:p>
        </w:tc>
        <w:tc>
          <w:tcPr>
            <w:tcW w:w="1870" w:type="dxa"/>
            <w:vAlign w:val="center"/>
          </w:tcPr>
          <w:p w14:paraId="2B3DFC56">
            <w:pPr>
              <w:jc w:val="center"/>
              <w:rPr>
                <w:rFonts w:hint="eastAsia" w:ascii="仿宋" w:hAnsi="仿宋" w:eastAsia="仿宋" w:cs="仿宋"/>
                <w:szCs w:val="21"/>
              </w:rPr>
            </w:pPr>
          </w:p>
        </w:tc>
      </w:tr>
      <w:tr w14:paraId="6B65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4D637117">
            <w:pPr>
              <w:jc w:val="center"/>
              <w:rPr>
                <w:rFonts w:hint="eastAsia" w:ascii="仿宋" w:hAnsi="仿宋" w:eastAsia="仿宋" w:cs="仿宋"/>
                <w:szCs w:val="21"/>
              </w:rPr>
            </w:pPr>
          </w:p>
        </w:tc>
        <w:tc>
          <w:tcPr>
            <w:tcW w:w="1625" w:type="dxa"/>
            <w:gridSpan w:val="2"/>
            <w:vAlign w:val="center"/>
          </w:tcPr>
          <w:p w14:paraId="398C8AFC">
            <w:pPr>
              <w:jc w:val="center"/>
              <w:rPr>
                <w:rFonts w:hint="eastAsia" w:ascii="仿宋" w:hAnsi="仿宋" w:eastAsia="仿宋" w:cs="仿宋"/>
                <w:szCs w:val="21"/>
              </w:rPr>
            </w:pPr>
          </w:p>
        </w:tc>
        <w:tc>
          <w:tcPr>
            <w:tcW w:w="1435" w:type="dxa"/>
            <w:gridSpan w:val="2"/>
            <w:vAlign w:val="center"/>
          </w:tcPr>
          <w:p w14:paraId="6E2DCF3F">
            <w:pPr>
              <w:jc w:val="center"/>
              <w:rPr>
                <w:rFonts w:hint="eastAsia" w:ascii="仿宋" w:hAnsi="仿宋" w:eastAsia="仿宋" w:cs="仿宋"/>
                <w:szCs w:val="21"/>
              </w:rPr>
            </w:pPr>
          </w:p>
        </w:tc>
        <w:tc>
          <w:tcPr>
            <w:tcW w:w="2696" w:type="dxa"/>
            <w:gridSpan w:val="4"/>
            <w:vAlign w:val="center"/>
          </w:tcPr>
          <w:p w14:paraId="6C758D6D">
            <w:pPr>
              <w:jc w:val="center"/>
              <w:rPr>
                <w:rFonts w:hint="eastAsia" w:ascii="仿宋" w:hAnsi="仿宋" w:eastAsia="仿宋" w:cs="仿宋"/>
                <w:szCs w:val="21"/>
              </w:rPr>
            </w:pPr>
          </w:p>
        </w:tc>
        <w:tc>
          <w:tcPr>
            <w:tcW w:w="1870" w:type="dxa"/>
            <w:vAlign w:val="center"/>
          </w:tcPr>
          <w:p w14:paraId="516CE106">
            <w:pPr>
              <w:jc w:val="center"/>
              <w:rPr>
                <w:rFonts w:hint="eastAsia" w:ascii="仿宋" w:hAnsi="仿宋" w:eastAsia="仿宋" w:cs="仿宋"/>
                <w:szCs w:val="21"/>
              </w:rPr>
            </w:pPr>
          </w:p>
        </w:tc>
      </w:tr>
      <w:tr w14:paraId="44D0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A5B55CC">
            <w:pPr>
              <w:jc w:val="center"/>
              <w:rPr>
                <w:rFonts w:hint="eastAsia" w:ascii="仿宋" w:hAnsi="仿宋" w:eastAsia="仿宋" w:cs="仿宋"/>
                <w:szCs w:val="21"/>
              </w:rPr>
            </w:pPr>
          </w:p>
        </w:tc>
        <w:tc>
          <w:tcPr>
            <w:tcW w:w="1625" w:type="dxa"/>
            <w:gridSpan w:val="2"/>
            <w:vAlign w:val="center"/>
          </w:tcPr>
          <w:p w14:paraId="11846BBE">
            <w:pPr>
              <w:jc w:val="center"/>
              <w:rPr>
                <w:rFonts w:hint="eastAsia" w:ascii="仿宋" w:hAnsi="仿宋" w:eastAsia="仿宋" w:cs="仿宋"/>
                <w:szCs w:val="21"/>
              </w:rPr>
            </w:pPr>
          </w:p>
        </w:tc>
        <w:tc>
          <w:tcPr>
            <w:tcW w:w="1435" w:type="dxa"/>
            <w:gridSpan w:val="2"/>
            <w:vAlign w:val="center"/>
          </w:tcPr>
          <w:p w14:paraId="571E15FD">
            <w:pPr>
              <w:jc w:val="center"/>
              <w:rPr>
                <w:rFonts w:hint="eastAsia" w:ascii="仿宋" w:hAnsi="仿宋" w:eastAsia="仿宋" w:cs="仿宋"/>
                <w:szCs w:val="21"/>
              </w:rPr>
            </w:pPr>
          </w:p>
        </w:tc>
        <w:tc>
          <w:tcPr>
            <w:tcW w:w="2696" w:type="dxa"/>
            <w:gridSpan w:val="4"/>
            <w:vAlign w:val="center"/>
          </w:tcPr>
          <w:p w14:paraId="2D3E5849">
            <w:pPr>
              <w:jc w:val="center"/>
              <w:rPr>
                <w:rFonts w:hint="eastAsia" w:ascii="仿宋" w:hAnsi="仿宋" w:eastAsia="仿宋" w:cs="仿宋"/>
                <w:szCs w:val="21"/>
              </w:rPr>
            </w:pPr>
          </w:p>
        </w:tc>
        <w:tc>
          <w:tcPr>
            <w:tcW w:w="1870" w:type="dxa"/>
            <w:vAlign w:val="center"/>
          </w:tcPr>
          <w:p w14:paraId="2DFADF71">
            <w:pPr>
              <w:jc w:val="center"/>
              <w:rPr>
                <w:rFonts w:hint="eastAsia" w:ascii="仿宋" w:hAnsi="仿宋" w:eastAsia="仿宋" w:cs="仿宋"/>
                <w:szCs w:val="21"/>
              </w:rPr>
            </w:pPr>
          </w:p>
        </w:tc>
      </w:tr>
    </w:tbl>
    <w:p w14:paraId="6D9A0630">
      <w:pPr>
        <w:ind w:firstLine="422" w:firstLineChars="200"/>
        <w:rPr>
          <w:rFonts w:hint="eastAsia" w:ascii="仿宋" w:hAnsi="仿宋" w:eastAsia="仿宋" w:cs="仿宋"/>
          <w:b/>
          <w:szCs w:val="21"/>
        </w:rPr>
      </w:pPr>
    </w:p>
    <w:p w14:paraId="110B62D6">
      <w:pPr>
        <w:spacing w:line="400" w:lineRule="exact"/>
        <w:rPr>
          <w:rFonts w:hint="eastAsia" w:ascii="仿宋" w:hAnsi="仿宋" w:eastAsia="仿宋" w:cs="仿宋"/>
          <w:szCs w:val="21"/>
        </w:rPr>
      </w:pPr>
      <w:r>
        <w:rPr>
          <w:rFonts w:hint="eastAsia" w:ascii="仿宋" w:hAnsi="仿宋" w:eastAsia="仿宋" w:cs="仿宋"/>
          <w:b/>
          <w:szCs w:val="21"/>
        </w:rPr>
        <w:t>注：列入本表人员需提供的证明材料以资信技术评分标准要求为准</w:t>
      </w:r>
      <w:r>
        <w:rPr>
          <w:rFonts w:hint="eastAsia" w:ascii="仿宋" w:hAnsi="仿宋" w:eastAsia="仿宋" w:cs="仿宋"/>
          <w:b/>
          <w:szCs w:val="21"/>
          <w:lang w:eastAsia="zh-CN"/>
        </w:rPr>
        <w:t>（如有）</w:t>
      </w:r>
      <w:r>
        <w:rPr>
          <w:rFonts w:hint="eastAsia" w:ascii="仿宋" w:hAnsi="仿宋" w:eastAsia="仿宋" w:cs="仿宋"/>
          <w:b/>
        </w:rPr>
        <w:t>。</w:t>
      </w:r>
    </w:p>
    <w:p w14:paraId="1323BDB4">
      <w:pPr>
        <w:pStyle w:val="16"/>
        <w:rPr>
          <w:rFonts w:hint="eastAsia" w:ascii="仿宋" w:hAnsi="仿宋" w:eastAsia="仿宋" w:cs="仿宋"/>
          <w:szCs w:val="21"/>
        </w:rPr>
      </w:pPr>
    </w:p>
    <w:p w14:paraId="107511E3">
      <w:pPr>
        <w:pStyle w:val="16"/>
        <w:rPr>
          <w:rFonts w:hint="eastAsia" w:ascii="仿宋" w:hAnsi="仿宋" w:eastAsia="仿宋" w:cs="仿宋"/>
          <w:szCs w:val="21"/>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4CA0D665">
      <w:pPr>
        <w:pStyle w:val="16"/>
        <w:rPr>
          <w:rFonts w:hint="eastAsia" w:ascii="仿宋" w:hAnsi="仿宋" w:eastAsia="仿宋" w:cs="仿宋"/>
          <w:szCs w:val="21"/>
        </w:rPr>
      </w:pPr>
    </w:p>
    <w:p w14:paraId="3D3B67BB">
      <w:pPr>
        <w:pStyle w:val="16"/>
        <w:rPr>
          <w:rFonts w:hint="eastAsia" w:ascii="仿宋" w:hAnsi="仿宋" w:eastAsia="仿宋" w:cs="仿宋"/>
          <w:szCs w:val="21"/>
        </w:rPr>
      </w:pPr>
    </w:p>
    <w:p w14:paraId="00CDA05D">
      <w:pPr>
        <w:pStyle w:val="16"/>
        <w:rPr>
          <w:rFonts w:hint="eastAsia" w:ascii="仿宋" w:hAnsi="仿宋" w:eastAsia="仿宋" w:cs="仿宋"/>
          <w:szCs w:val="21"/>
        </w:rPr>
      </w:pPr>
      <w:r>
        <w:rPr>
          <w:rFonts w:hint="eastAsia" w:ascii="仿宋" w:hAnsi="仿宋" w:eastAsia="仿宋" w:cs="仿宋"/>
          <w:szCs w:val="21"/>
        </w:rPr>
        <w:t>日期：   年   月   日</w:t>
      </w:r>
    </w:p>
    <w:bookmarkEnd w:id="145"/>
    <w:bookmarkEnd w:id="146"/>
    <w:p w14:paraId="1E758868">
      <w:pPr>
        <w:rPr>
          <w:rFonts w:hint="eastAsia" w:ascii="仿宋" w:hAnsi="仿宋" w:eastAsia="仿宋" w:cs="仿宋"/>
          <w:b/>
          <w:szCs w:val="21"/>
        </w:rPr>
      </w:pPr>
      <w:r>
        <w:rPr>
          <w:rFonts w:hint="eastAsia" w:ascii="仿宋" w:hAnsi="仿宋" w:eastAsia="仿宋" w:cs="仿宋"/>
          <w:b/>
          <w:szCs w:val="21"/>
        </w:rPr>
        <w:br w:type="page"/>
      </w:r>
      <w:bookmarkStart w:id="147" w:name="附件8"/>
    </w:p>
    <w:p w14:paraId="6460F364">
      <w:pPr>
        <w:adjustRightInd w:val="0"/>
        <w:snapToGrid w:val="0"/>
        <w:spacing w:line="300" w:lineRule="auto"/>
        <w:rPr>
          <w:rFonts w:hint="eastAsia" w:ascii="仿宋" w:hAnsi="仿宋" w:eastAsia="仿宋" w:cs="仿宋"/>
          <w:b/>
          <w:sz w:val="24"/>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7</w:t>
      </w:r>
    </w:p>
    <w:bookmarkEnd w:id="147"/>
    <w:p w14:paraId="12B8873B">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项目业绩一览表</w:t>
      </w:r>
    </w:p>
    <w:p w14:paraId="3288856E">
      <w:pPr>
        <w:spacing w:line="600" w:lineRule="exact"/>
        <w:ind w:firstLine="525" w:firstLineChars="250"/>
        <w:rPr>
          <w:rFonts w:hint="eastAsia"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p>
    <w:tbl>
      <w:tblPr>
        <w:tblStyle w:val="31"/>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31C0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14:paraId="705A1909">
            <w:pPr>
              <w:ind w:left="560" w:hanging="560"/>
              <w:jc w:val="center"/>
              <w:rPr>
                <w:rFonts w:hint="eastAsia" w:ascii="仿宋" w:hAnsi="仿宋" w:eastAsia="仿宋" w:cs="仿宋"/>
                <w:szCs w:val="21"/>
              </w:rPr>
            </w:pPr>
            <w:r>
              <w:rPr>
                <w:rFonts w:hint="eastAsia" w:ascii="仿宋" w:hAnsi="仿宋" w:eastAsia="仿宋" w:cs="仿宋"/>
                <w:szCs w:val="21"/>
              </w:rPr>
              <w:t>序 号</w:t>
            </w:r>
          </w:p>
        </w:tc>
        <w:tc>
          <w:tcPr>
            <w:tcW w:w="2452" w:type="dxa"/>
            <w:vAlign w:val="center"/>
          </w:tcPr>
          <w:p w14:paraId="5B5B000C">
            <w:pPr>
              <w:ind w:left="560" w:hanging="560"/>
              <w:jc w:val="center"/>
              <w:rPr>
                <w:rFonts w:hint="eastAsia" w:ascii="仿宋" w:hAnsi="仿宋" w:eastAsia="仿宋" w:cs="仿宋"/>
                <w:szCs w:val="21"/>
              </w:rPr>
            </w:pPr>
            <w:r>
              <w:rPr>
                <w:rFonts w:hint="eastAsia" w:ascii="仿宋" w:hAnsi="仿宋" w:eastAsia="仿宋" w:cs="仿宋"/>
                <w:szCs w:val="21"/>
              </w:rPr>
              <w:t>项目名称</w:t>
            </w:r>
          </w:p>
        </w:tc>
        <w:tc>
          <w:tcPr>
            <w:tcW w:w="1942" w:type="dxa"/>
            <w:vAlign w:val="center"/>
          </w:tcPr>
          <w:p w14:paraId="28F761AF">
            <w:pPr>
              <w:ind w:left="560" w:hanging="560"/>
              <w:jc w:val="center"/>
              <w:rPr>
                <w:rFonts w:hint="eastAsia" w:ascii="仿宋" w:hAnsi="仿宋" w:eastAsia="仿宋" w:cs="仿宋"/>
                <w:szCs w:val="21"/>
              </w:rPr>
            </w:pPr>
            <w:r>
              <w:rPr>
                <w:rFonts w:hint="eastAsia" w:ascii="仿宋" w:hAnsi="仿宋" w:eastAsia="仿宋" w:cs="仿宋"/>
                <w:szCs w:val="21"/>
              </w:rPr>
              <w:t>合同金额（万元）</w:t>
            </w:r>
          </w:p>
        </w:tc>
        <w:tc>
          <w:tcPr>
            <w:tcW w:w="1263" w:type="dxa"/>
            <w:vAlign w:val="center"/>
          </w:tcPr>
          <w:p w14:paraId="3F631389">
            <w:pPr>
              <w:ind w:left="560" w:hanging="560"/>
              <w:jc w:val="center"/>
              <w:rPr>
                <w:rFonts w:hint="eastAsia" w:ascii="仿宋" w:hAnsi="仿宋" w:eastAsia="仿宋" w:cs="仿宋"/>
                <w:szCs w:val="21"/>
              </w:rPr>
            </w:pPr>
            <w:r>
              <w:rPr>
                <w:rFonts w:hint="eastAsia" w:ascii="仿宋" w:hAnsi="仿宋" w:eastAsia="仿宋" w:cs="仿宋"/>
                <w:szCs w:val="21"/>
              </w:rPr>
              <w:t>实施时间</w:t>
            </w:r>
          </w:p>
        </w:tc>
        <w:tc>
          <w:tcPr>
            <w:tcW w:w="2605" w:type="dxa"/>
            <w:vAlign w:val="center"/>
          </w:tcPr>
          <w:p w14:paraId="35343A55">
            <w:pPr>
              <w:ind w:left="560" w:hanging="560"/>
              <w:jc w:val="center"/>
              <w:rPr>
                <w:rFonts w:hint="eastAsia" w:ascii="仿宋" w:hAnsi="仿宋" w:eastAsia="仿宋" w:cs="仿宋"/>
                <w:szCs w:val="21"/>
              </w:rPr>
            </w:pPr>
            <w:r>
              <w:rPr>
                <w:rFonts w:hint="eastAsia" w:ascii="仿宋" w:hAnsi="仿宋" w:eastAsia="仿宋" w:cs="仿宋"/>
                <w:szCs w:val="21"/>
              </w:rPr>
              <w:t>委托单位/联系电话</w:t>
            </w:r>
          </w:p>
        </w:tc>
      </w:tr>
      <w:tr w14:paraId="43E3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F0C1DB6">
            <w:pPr>
              <w:ind w:left="560" w:hanging="560"/>
              <w:jc w:val="center"/>
              <w:rPr>
                <w:rFonts w:hint="eastAsia" w:ascii="仿宋" w:hAnsi="仿宋" w:eastAsia="仿宋" w:cs="仿宋"/>
                <w:szCs w:val="21"/>
              </w:rPr>
            </w:pPr>
          </w:p>
        </w:tc>
        <w:tc>
          <w:tcPr>
            <w:tcW w:w="2452" w:type="dxa"/>
            <w:vAlign w:val="center"/>
          </w:tcPr>
          <w:p w14:paraId="5C2431E3">
            <w:pPr>
              <w:ind w:left="560" w:hanging="560"/>
              <w:jc w:val="center"/>
              <w:rPr>
                <w:rFonts w:hint="eastAsia" w:ascii="仿宋" w:hAnsi="仿宋" w:eastAsia="仿宋" w:cs="仿宋"/>
                <w:szCs w:val="21"/>
              </w:rPr>
            </w:pPr>
          </w:p>
        </w:tc>
        <w:tc>
          <w:tcPr>
            <w:tcW w:w="1942" w:type="dxa"/>
            <w:vAlign w:val="center"/>
          </w:tcPr>
          <w:p w14:paraId="7CC3F8F8">
            <w:pPr>
              <w:ind w:left="560" w:hanging="560"/>
              <w:jc w:val="center"/>
              <w:rPr>
                <w:rFonts w:hint="eastAsia" w:ascii="仿宋" w:hAnsi="仿宋" w:eastAsia="仿宋" w:cs="仿宋"/>
                <w:szCs w:val="21"/>
              </w:rPr>
            </w:pPr>
          </w:p>
        </w:tc>
        <w:tc>
          <w:tcPr>
            <w:tcW w:w="1263" w:type="dxa"/>
            <w:vAlign w:val="center"/>
          </w:tcPr>
          <w:p w14:paraId="389473D5">
            <w:pPr>
              <w:ind w:left="560" w:hanging="560"/>
              <w:jc w:val="center"/>
              <w:rPr>
                <w:rFonts w:hint="eastAsia" w:ascii="仿宋" w:hAnsi="仿宋" w:eastAsia="仿宋" w:cs="仿宋"/>
                <w:szCs w:val="21"/>
              </w:rPr>
            </w:pPr>
          </w:p>
        </w:tc>
        <w:tc>
          <w:tcPr>
            <w:tcW w:w="2605" w:type="dxa"/>
            <w:vAlign w:val="center"/>
          </w:tcPr>
          <w:p w14:paraId="143DE40C">
            <w:pPr>
              <w:ind w:left="560" w:hanging="560"/>
              <w:jc w:val="center"/>
              <w:rPr>
                <w:rFonts w:hint="eastAsia" w:ascii="仿宋" w:hAnsi="仿宋" w:eastAsia="仿宋" w:cs="仿宋"/>
                <w:szCs w:val="21"/>
              </w:rPr>
            </w:pPr>
          </w:p>
        </w:tc>
      </w:tr>
      <w:tr w14:paraId="53A9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6103FFF2">
            <w:pPr>
              <w:ind w:left="560" w:hanging="560"/>
              <w:jc w:val="center"/>
              <w:rPr>
                <w:rFonts w:hint="eastAsia" w:ascii="仿宋" w:hAnsi="仿宋" w:eastAsia="仿宋" w:cs="仿宋"/>
                <w:szCs w:val="21"/>
              </w:rPr>
            </w:pPr>
          </w:p>
        </w:tc>
        <w:tc>
          <w:tcPr>
            <w:tcW w:w="2452" w:type="dxa"/>
            <w:vAlign w:val="center"/>
          </w:tcPr>
          <w:p w14:paraId="4DFCED55">
            <w:pPr>
              <w:ind w:left="560" w:hanging="560"/>
              <w:jc w:val="center"/>
              <w:rPr>
                <w:rFonts w:hint="eastAsia" w:ascii="仿宋" w:hAnsi="仿宋" w:eastAsia="仿宋" w:cs="仿宋"/>
                <w:szCs w:val="21"/>
              </w:rPr>
            </w:pPr>
          </w:p>
        </w:tc>
        <w:tc>
          <w:tcPr>
            <w:tcW w:w="1942" w:type="dxa"/>
            <w:vAlign w:val="center"/>
          </w:tcPr>
          <w:p w14:paraId="3E40FB6C">
            <w:pPr>
              <w:ind w:left="560" w:hanging="560"/>
              <w:jc w:val="center"/>
              <w:rPr>
                <w:rFonts w:hint="eastAsia" w:ascii="仿宋" w:hAnsi="仿宋" w:eastAsia="仿宋" w:cs="仿宋"/>
                <w:szCs w:val="21"/>
              </w:rPr>
            </w:pPr>
          </w:p>
        </w:tc>
        <w:tc>
          <w:tcPr>
            <w:tcW w:w="1263" w:type="dxa"/>
            <w:vAlign w:val="center"/>
          </w:tcPr>
          <w:p w14:paraId="3ECDC5A7">
            <w:pPr>
              <w:ind w:left="560" w:hanging="560"/>
              <w:jc w:val="center"/>
              <w:rPr>
                <w:rFonts w:hint="eastAsia" w:ascii="仿宋" w:hAnsi="仿宋" w:eastAsia="仿宋" w:cs="仿宋"/>
                <w:szCs w:val="21"/>
              </w:rPr>
            </w:pPr>
          </w:p>
        </w:tc>
        <w:tc>
          <w:tcPr>
            <w:tcW w:w="2605" w:type="dxa"/>
            <w:vAlign w:val="center"/>
          </w:tcPr>
          <w:p w14:paraId="3F5E6C6E">
            <w:pPr>
              <w:ind w:left="560" w:hanging="560"/>
              <w:jc w:val="center"/>
              <w:rPr>
                <w:rFonts w:hint="eastAsia" w:ascii="仿宋" w:hAnsi="仿宋" w:eastAsia="仿宋" w:cs="仿宋"/>
                <w:szCs w:val="21"/>
              </w:rPr>
            </w:pPr>
          </w:p>
        </w:tc>
      </w:tr>
      <w:tr w14:paraId="7F52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CC29AB7">
            <w:pPr>
              <w:ind w:left="560" w:hanging="560"/>
              <w:jc w:val="center"/>
              <w:rPr>
                <w:rFonts w:hint="eastAsia" w:ascii="仿宋" w:hAnsi="仿宋" w:eastAsia="仿宋" w:cs="仿宋"/>
                <w:szCs w:val="21"/>
              </w:rPr>
            </w:pPr>
          </w:p>
        </w:tc>
        <w:tc>
          <w:tcPr>
            <w:tcW w:w="2452" w:type="dxa"/>
            <w:vAlign w:val="center"/>
          </w:tcPr>
          <w:p w14:paraId="1F219109">
            <w:pPr>
              <w:ind w:left="560" w:hanging="560"/>
              <w:jc w:val="center"/>
              <w:rPr>
                <w:rFonts w:hint="eastAsia" w:ascii="仿宋" w:hAnsi="仿宋" w:eastAsia="仿宋" w:cs="仿宋"/>
                <w:szCs w:val="21"/>
              </w:rPr>
            </w:pPr>
          </w:p>
        </w:tc>
        <w:tc>
          <w:tcPr>
            <w:tcW w:w="1942" w:type="dxa"/>
            <w:vAlign w:val="center"/>
          </w:tcPr>
          <w:p w14:paraId="5F091A4A">
            <w:pPr>
              <w:ind w:left="560" w:hanging="560"/>
              <w:jc w:val="center"/>
              <w:rPr>
                <w:rFonts w:hint="eastAsia" w:ascii="仿宋" w:hAnsi="仿宋" w:eastAsia="仿宋" w:cs="仿宋"/>
                <w:szCs w:val="21"/>
              </w:rPr>
            </w:pPr>
          </w:p>
        </w:tc>
        <w:tc>
          <w:tcPr>
            <w:tcW w:w="1263" w:type="dxa"/>
            <w:vAlign w:val="center"/>
          </w:tcPr>
          <w:p w14:paraId="4EAFE444">
            <w:pPr>
              <w:ind w:left="560" w:hanging="560"/>
              <w:jc w:val="center"/>
              <w:rPr>
                <w:rFonts w:hint="eastAsia" w:ascii="仿宋" w:hAnsi="仿宋" w:eastAsia="仿宋" w:cs="仿宋"/>
                <w:szCs w:val="21"/>
              </w:rPr>
            </w:pPr>
          </w:p>
        </w:tc>
        <w:tc>
          <w:tcPr>
            <w:tcW w:w="2605" w:type="dxa"/>
            <w:vAlign w:val="center"/>
          </w:tcPr>
          <w:p w14:paraId="214E280C">
            <w:pPr>
              <w:ind w:left="560" w:hanging="560"/>
              <w:jc w:val="center"/>
              <w:rPr>
                <w:rFonts w:hint="eastAsia" w:ascii="仿宋" w:hAnsi="仿宋" w:eastAsia="仿宋" w:cs="仿宋"/>
                <w:szCs w:val="21"/>
              </w:rPr>
            </w:pPr>
          </w:p>
        </w:tc>
      </w:tr>
      <w:tr w14:paraId="355B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4A606DCC">
            <w:pPr>
              <w:ind w:left="560" w:hanging="560"/>
              <w:jc w:val="center"/>
              <w:rPr>
                <w:rFonts w:hint="eastAsia" w:ascii="仿宋" w:hAnsi="仿宋" w:eastAsia="仿宋" w:cs="仿宋"/>
                <w:szCs w:val="21"/>
              </w:rPr>
            </w:pPr>
          </w:p>
        </w:tc>
        <w:tc>
          <w:tcPr>
            <w:tcW w:w="2452" w:type="dxa"/>
            <w:vAlign w:val="center"/>
          </w:tcPr>
          <w:p w14:paraId="0618F4B2">
            <w:pPr>
              <w:ind w:left="560" w:hanging="560"/>
              <w:jc w:val="center"/>
              <w:rPr>
                <w:rFonts w:hint="eastAsia" w:ascii="仿宋" w:hAnsi="仿宋" w:eastAsia="仿宋" w:cs="仿宋"/>
                <w:szCs w:val="21"/>
              </w:rPr>
            </w:pPr>
          </w:p>
        </w:tc>
        <w:tc>
          <w:tcPr>
            <w:tcW w:w="1942" w:type="dxa"/>
            <w:vAlign w:val="center"/>
          </w:tcPr>
          <w:p w14:paraId="68F644DF">
            <w:pPr>
              <w:ind w:left="560" w:hanging="560"/>
              <w:jc w:val="center"/>
              <w:rPr>
                <w:rFonts w:hint="eastAsia" w:ascii="仿宋" w:hAnsi="仿宋" w:eastAsia="仿宋" w:cs="仿宋"/>
                <w:szCs w:val="21"/>
              </w:rPr>
            </w:pPr>
          </w:p>
        </w:tc>
        <w:tc>
          <w:tcPr>
            <w:tcW w:w="1263" w:type="dxa"/>
            <w:vAlign w:val="center"/>
          </w:tcPr>
          <w:p w14:paraId="526BA106">
            <w:pPr>
              <w:ind w:left="560" w:hanging="560"/>
              <w:jc w:val="center"/>
              <w:rPr>
                <w:rFonts w:hint="eastAsia" w:ascii="仿宋" w:hAnsi="仿宋" w:eastAsia="仿宋" w:cs="仿宋"/>
                <w:szCs w:val="21"/>
              </w:rPr>
            </w:pPr>
          </w:p>
        </w:tc>
        <w:tc>
          <w:tcPr>
            <w:tcW w:w="2605" w:type="dxa"/>
            <w:vAlign w:val="center"/>
          </w:tcPr>
          <w:p w14:paraId="185B7739">
            <w:pPr>
              <w:ind w:left="560" w:hanging="560"/>
              <w:jc w:val="center"/>
              <w:rPr>
                <w:rFonts w:hint="eastAsia" w:ascii="仿宋" w:hAnsi="仿宋" w:eastAsia="仿宋" w:cs="仿宋"/>
                <w:szCs w:val="21"/>
              </w:rPr>
            </w:pPr>
          </w:p>
        </w:tc>
      </w:tr>
      <w:tr w14:paraId="592D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551C9C6">
            <w:pPr>
              <w:ind w:left="560" w:hanging="560"/>
              <w:jc w:val="center"/>
              <w:rPr>
                <w:rFonts w:hint="eastAsia" w:ascii="仿宋" w:hAnsi="仿宋" w:eastAsia="仿宋" w:cs="仿宋"/>
                <w:szCs w:val="21"/>
              </w:rPr>
            </w:pPr>
          </w:p>
        </w:tc>
        <w:tc>
          <w:tcPr>
            <w:tcW w:w="2452" w:type="dxa"/>
            <w:vAlign w:val="center"/>
          </w:tcPr>
          <w:p w14:paraId="29869A58">
            <w:pPr>
              <w:ind w:left="560" w:hanging="560"/>
              <w:jc w:val="center"/>
              <w:rPr>
                <w:rFonts w:hint="eastAsia" w:ascii="仿宋" w:hAnsi="仿宋" w:eastAsia="仿宋" w:cs="仿宋"/>
                <w:szCs w:val="21"/>
              </w:rPr>
            </w:pPr>
          </w:p>
        </w:tc>
        <w:tc>
          <w:tcPr>
            <w:tcW w:w="1942" w:type="dxa"/>
            <w:vAlign w:val="center"/>
          </w:tcPr>
          <w:p w14:paraId="7E0BF64A">
            <w:pPr>
              <w:ind w:left="560" w:hanging="560"/>
              <w:jc w:val="center"/>
              <w:rPr>
                <w:rFonts w:hint="eastAsia" w:ascii="仿宋" w:hAnsi="仿宋" w:eastAsia="仿宋" w:cs="仿宋"/>
                <w:szCs w:val="21"/>
              </w:rPr>
            </w:pPr>
          </w:p>
        </w:tc>
        <w:tc>
          <w:tcPr>
            <w:tcW w:w="1263" w:type="dxa"/>
            <w:vAlign w:val="center"/>
          </w:tcPr>
          <w:p w14:paraId="5A1B8468">
            <w:pPr>
              <w:ind w:left="560" w:hanging="560"/>
              <w:jc w:val="center"/>
              <w:rPr>
                <w:rFonts w:hint="eastAsia" w:ascii="仿宋" w:hAnsi="仿宋" w:eastAsia="仿宋" w:cs="仿宋"/>
                <w:szCs w:val="21"/>
              </w:rPr>
            </w:pPr>
          </w:p>
        </w:tc>
        <w:tc>
          <w:tcPr>
            <w:tcW w:w="2605" w:type="dxa"/>
            <w:vAlign w:val="center"/>
          </w:tcPr>
          <w:p w14:paraId="1D413E85">
            <w:pPr>
              <w:ind w:left="560" w:hanging="560"/>
              <w:jc w:val="center"/>
              <w:rPr>
                <w:rFonts w:hint="eastAsia" w:ascii="仿宋" w:hAnsi="仿宋" w:eastAsia="仿宋" w:cs="仿宋"/>
                <w:szCs w:val="21"/>
              </w:rPr>
            </w:pPr>
          </w:p>
        </w:tc>
      </w:tr>
      <w:tr w14:paraId="62A9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6C3CDC8C">
            <w:pPr>
              <w:ind w:left="560" w:hanging="560"/>
              <w:jc w:val="center"/>
              <w:rPr>
                <w:rFonts w:hint="eastAsia" w:ascii="仿宋" w:hAnsi="仿宋" w:eastAsia="仿宋" w:cs="仿宋"/>
                <w:szCs w:val="21"/>
              </w:rPr>
            </w:pPr>
          </w:p>
        </w:tc>
        <w:tc>
          <w:tcPr>
            <w:tcW w:w="2452" w:type="dxa"/>
            <w:vAlign w:val="center"/>
          </w:tcPr>
          <w:p w14:paraId="73D3E662">
            <w:pPr>
              <w:ind w:left="560" w:hanging="560"/>
              <w:jc w:val="center"/>
              <w:rPr>
                <w:rFonts w:hint="eastAsia" w:ascii="仿宋" w:hAnsi="仿宋" w:eastAsia="仿宋" w:cs="仿宋"/>
                <w:szCs w:val="21"/>
              </w:rPr>
            </w:pPr>
          </w:p>
        </w:tc>
        <w:tc>
          <w:tcPr>
            <w:tcW w:w="1942" w:type="dxa"/>
            <w:vAlign w:val="center"/>
          </w:tcPr>
          <w:p w14:paraId="5497C401">
            <w:pPr>
              <w:ind w:left="560" w:hanging="560"/>
              <w:jc w:val="center"/>
              <w:rPr>
                <w:rFonts w:hint="eastAsia" w:ascii="仿宋" w:hAnsi="仿宋" w:eastAsia="仿宋" w:cs="仿宋"/>
                <w:szCs w:val="21"/>
              </w:rPr>
            </w:pPr>
          </w:p>
        </w:tc>
        <w:tc>
          <w:tcPr>
            <w:tcW w:w="1263" w:type="dxa"/>
            <w:vAlign w:val="center"/>
          </w:tcPr>
          <w:p w14:paraId="09C1DB96">
            <w:pPr>
              <w:ind w:left="560" w:hanging="560"/>
              <w:jc w:val="center"/>
              <w:rPr>
                <w:rFonts w:hint="eastAsia" w:ascii="仿宋" w:hAnsi="仿宋" w:eastAsia="仿宋" w:cs="仿宋"/>
                <w:szCs w:val="21"/>
              </w:rPr>
            </w:pPr>
          </w:p>
        </w:tc>
        <w:tc>
          <w:tcPr>
            <w:tcW w:w="2605" w:type="dxa"/>
            <w:vAlign w:val="center"/>
          </w:tcPr>
          <w:p w14:paraId="6F8B3BA1">
            <w:pPr>
              <w:ind w:left="560" w:hanging="560"/>
              <w:jc w:val="center"/>
              <w:rPr>
                <w:rFonts w:hint="eastAsia" w:ascii="仿宋" w:hAnsi="仿宋" w:eastAsia="仿宋" w:cs="仿宋"/>
                <w:szCs w:val="21"/>
              </w:rPr>
            </w:pPr>
          </w:p>
        </w:tc>
      </w:tr>
      <w:tr w14:paraId="3E24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3BC5C891">
            <w:pPr>
              <w:ind w:left="560" w:hanging="560"/>
              <w:jc w:val="center"/>
              <w:rPr>
                <w:rFonts w:hint="eastAsia" w:ascii="仿宋" w:hAnsi="仿宋" w:eastAsia="仿宋" w:cs="仿宋"/>
                <w:szCs w:val="21"/>
              </w:rPr>
            </w:pPr>
          </w:p>
        </w:tc>
        <w:tc>
          <w:tcPr>
            <w:tcW w:w="2452" w:type="dxa"/>
            <w:vAlign w:val="center"/>
          </w:tcPr>
          <w:p w14:paraId="1D740DEF">
            <w:pPr>
              <w:ind w:left="560" w:hanging="560"/>
              <w:jc w:val="center"/>
              <w:rPr>
                <w:rFonts w:hint="eastAsia" w:ascii="仿宋" w:hAnsi="仿宋" w:eastAsia="仿宋" w:cs="仿宋"/>
                <w:szCs w:val="21"/>
              </w:rPr>
            </w:pPr>
          </w:p>
        </w:tc>
        <w:tc>
          <w:tcPr>
            <w:tcW w:w="1942" w:type="dxa"/>
            <w:vAlign w:val="center"/>
          </w:tcPr>
          <w:p w14:paraId="77F69AF7">
            <w:pPr>
              <w:ind w:left="560" w:hanging="560"/>
              <w:jc w:val="center"/>
              <w:rPr>
                <w:rFonts w:hint="eastAsia" w:ascii="仿宋" w:hAnsi="仿宋" w:eastAsia="仿宋" w:cs="仿宋"/>
                <w:szCs w:val="21"/>
              </w:rPr>
            </w:pPr>
          </w:p>
        </w:tc>
        <w:tc>
          <w:tcPr>
            <w:tcW w:w="1263" w:type="dxa"/>
            <w:vAlign w:val="center"/>
          </w:tcPr>
          <w:p w14:paraId="799A28F4">
            <w:pPr>
              <w:ind w:left="560" w:hanging="560"/>
              <w:jc w:val="center"/>
              <w:rPr>
                <w:rFonts w:hint="eastAsia" w:ascii="仿宋" w:hAnsi="仿宋" w:eastAsia="仿宋" w:cs="仿宋"/>
                <w:szCs w:val="21"/>
              </w:rPr>
            </w:pPr>
          </w:p>
        </w:tc>
        <w:tc>
          <w:tcPr>
            <w:tcW w:w="2605" w:type="dxa"/>
            <w:vAlign w:val="center"/>
          </w:tcPr>
          <w:p w14:paraId="003F4D29">
            <w:pPr>
              <w:ind w:left="560" w:hanging="560"/>
              <w:jc w:val="center"/>
              <w:rPr>
                <w:rFonts w:hint="eastAsia" w:ascii="仿宋" w:hAnsi="仿宋" w:eastAsia="仿宋" w:cs="仿宋"/>
                <w:szCs w:val="21"/>
              </w:rPr>
            </w:pPr>
          </w:p>
        </w:tc>
      </w:tr>
      <w:tr w14:paraId="5620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3073F50">
            <w:pPr>
              <w:ind w:left="560" w:hanging="560"/>
              <w:jc w:val="center"/>
              <w:rPr>
                <w:rFonts w:hint="eastAsia" w:ascii="仿宋" w:hAnsi="仿宋" w:eastAsia="仿宋" w:cs="仿宋"/>
                <w:szCs w:val="21"/>
              </w:rPr>
            </w:pPr>
          </w:p>
        </w:tc>
        <w:tc>
          <w:tcPr>
            <w:tcW w:w="2452" w:type="dxa"/>
            <w:vAlign w:val="center"/>
          </w:tcPr>
          <w:p w14:paraId="4237BB69">
            <w:pPr>
              <w:ind w:left="560" w:hanging="560"/>
              <w:jc w:val="center"/>
              <w:rPr>
                <w:rFonts w:hint="eastAsia" w:ascii="仿宋" w:hAnsi="仿宋" w:eastAsia="仿宋" w:cs="仿宋"/>
                <w:szCs w:val="21"/>
              </w:rPr>
            </w:pPr>
          </w:p>
        </w:tc>
        <w:tc>
          <w:tcPr>
            <w:tcW w:w="1942" w:type="dxa"/>
            <w:vAlign w:val="center"/>
          </w:tcPr>
          <w:p w14:paraId="29EAF481">
            <w:pPr>
              <w:ind w:left="560" w:hanging="560"/>
              <w:jc w:val="center"/>
              <w:rPr>
                <w:rFonts w:hint="eastAsia" w:ascii="仿宋" w:hAnsi="仿宋" w:eastAsia="仿宋" w:cs="仿宋"/>
                <w:szCs w:val="21"/>
              </w:rPr>
            </w:pPr>
          </w:p>
        </w:tc>
        <w:tc>
          <w:tcPr>
            <w:tcW w:w="1263" w:type="dxa"/>
            <w:vAlign w:val="center"/>
          </w:tcPr>
          <w:p w14:paraId="28E12982">
            <w:pPr>
              <w:ind w:left="560" w:hanging="560"/>
              <w:jc w:val="center"/>
              <w:rPr>
                <w:rFonts w:hint="eastAsia" w:ascii="仿宋" w:hAnsi="仿宋" w:eastAsia="仿宋" w:cs="仿宋"/>
                <w:szCs w:val="21"/>
              </w:rPr>
            </w:pPr>
          </w:p>
        </w:tc>
        <w:tc>
          <w:tcPr>
            <w:tcW w:w="2605" w:type="dxa"/>
            <w:vAlign w:val="center"/>
          </w:tcPr>
          <w:p w14:paraId="4F47E457">
            <w:pPr>
              <w:ind w:left="560" w:hanging="560"/>
              <w:jc w:val="center"/>
              <w:rPr>
                <w:rFonts w:hint="eastAsia" w:ascii="仿宋" w:hAnsi="仿宋" w:eastAsia="仿宋" w:cs="仿宋"/>
                <w:szCs w:val="21"/>
              </w:rPr>
            </w:pPr>
          </w:p>
        </w:tc>
      </w:tr>
      <w:tr w14:paraId="6695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14:paraId="27B8151D">
            <w:pPr>
              <w:ind w:left="560" w:hanging="560"/>
              <w:jc w:val="center"/>
              <w:rPr>
                <w:rFonts w:hint="eastAsia" w:ascii="仿宋" w:hAnsi="仿宋" w:eastAsia="仿宋" w:cs="仿宋"/>
                <w:szCs w:val="21"/>
              </w:rPr>
            </w:pPr>
          </w:p>
        </w:tc>
        <w:tc>
          <w:tcPr>
            <w:tcW w:w="2452" w:type="dxa"/>
            <w:vAlign w:val="center"/>
          </w:tcPr>
          <w:p w14:paraId="3EFAD648">
            <w:pPr>
              <w:ind w:left="560" w:hanging="560"/>
              <w:jc w:val="center"/>
              <w:rPr>
                <w:rFonts w:hint="eastAsia" w:ascii="仿宋" w:hAnsi="仿宋" w:eastAsia="仿宋" w:cs="仿宋"/>
                <w:szCs w:val="21"/>
              </w:rPr>
            </w:pPr>
          </w:p>
        </w:tc>
        <w:tc>
          <w:tcPr>
            <w:tcW w:w="1942" w:type="dxa"/>
            <w:vAlign w:val="center"/>
          </w:tcPr>
          <w:p w14:paraId="3DFF14ED">
            <w:pPr>
              <w:ind w:left="560" w:hanging="560"/>
              <w:jc w:val="center"/>
              <w:rPr>
                <w:rFonts w:hint="eastAsia" w:ascii="仿宋" w:hAnsi="仿宋" w:eastAsia="仿宋" w:cs="仿宋"/>
                <w:szCs w:val="21"/>
              </w:rPr>
            </w:pPr>
          </w:p>
        </w:tc>
        <w:tc>
          <w:tcPr>
            <w:tcW w:w="1263" w:type="dxa"/>
            <w:vAlign w:val="center"/>
          </w:tcPr>
          <w:p w14:paraId="25F171E2">
            <w:pPr>
              <w:ind w:left="560" w:hanging="560"/>
              <w:jc w:val="center"/>
              <w:rPr>
                <w:rFonts w:hint="eastAsia" w:ascii="仿宋" w:hAnsi="仿宋" w:eastAsia="仿宋" w:cs="仿宋"/>
                <w:szCs w:val="21"/>
              </w:rPr>
            </w:pPr>
          </w:p>
        </w:tc>
        <w:tc>
          <w:tcPr>
            <w:tcW w:w="2605" w:type="dxa"/>
            <w:vAlign w:val="center"/>
          </w:tcPr>
          <w:p w14:paraId="58FD5FDF">
            <w:pPr>
              <w:ind w:left="560" w:hanging="560"/>
              <w:jc w:val="center"/>
              <w:rPr>
                <w:rFonts w:hint="eastAsia" w:ascii="仿宋" w:hAnsi="仿宋" w:eastAsia="仿宋" w:cs="仿宋"/>
                <w:szCs w:val="21"/>
              </w:rPr>
            </w:pPr>
          </w:p>
        </w:tc>
      </w:tr>
    </w:tbl>
    <w:p w14:paraId="30D8EA78">
      <w:pPr>
        <w:spacing w:line="400" w:lineRule="exact"/>
        <w:rPr>
          <w:rFonts w:hint="eastAsia" w:ascii="仿宋" w:hAnsi="仿宋" w:eastAsia="仿宋" w:cs="仿宋"/>
          <w:szCs w:val="21"/>
        </w:rPr>
      </w:pPr>
      <w:r>
        <w:rPr>
          <w:rFonts w:hint="eastAsia" w:ascii="仿宋" w:hAnsi="仿宋" w:eastAsia="仿宋" w:cs="仿宋"/>
          <w:b/>
          <w:szCs w:val="21"/>
          <w:lang w:eastAsia="zh-CN"/>
        </w:rPr>
        <w:t>注</w:t>
      </w:r>
      <w:r>
        <w:rPr>
          <w:rFonts w:hint="eastAsia" w:ascii="仿宋" w:hAnsi="仿宋" w:eastAsia="仿宋" w:cs="仿宋"/>
          <w:b/>
          <w:szCs w:val="21"/>
        </w:rPr>
        <w:t>：项目实施时间以合同签订时间为准，本表需附</w:t>
      </w:r>
      <w:r>
        <w:rPr>
          <w:rFonts w:hint="eastAsia" w:ascii="仿宋" w:hAnsi="仿宋" w:eastAsia="仿宋" w:cs="仿宋"/>
          <w:b/>
          <w:szCs w:val="21"/>
          <w:lang w:eastAsia="zh-CN"/>
        </w:rPr>
        <w:t>的</w:t>
      </w:r>
      <w:r>
        <w:rPr>
          <w:rFonts w:hint="eastAsia" w:ascii="仿宋" w:hAnsi="仿宋" w:eastAsia="仿宋" w:cs="仿宋"/>
          <w:b/>
          <w:szCs w:val="21"/>
        </w:rPr>
        <w:t>业绩证明材料以资信技术评分标准要求为准</w:t>
      </w:r>
      <w:r>
        <w:rPr>
          <w:rFonts w:hint="eastAsia" w:ascii="仿宋" w:hAnsi="仿宋" w:eastAsia="仿宋" w:cs="仿宋"/>
          <w:b/>
          <w:szCs w:val="21"/>
          <w:lang w:eastAsia="zh-CN"/>
        </w:rPr>
        <w:t>（如有）</w:t>
      </w:r>
      <w:r>
        <w:rPr>
          <w:rFonts w:hint="eastAsia" w:ascii="仿宋" w:hAnsi="仿宋" w:eastAsia="仿宋" w:cs="仿宋"/>
          <w:b/>
        </w:rPr>
        <w:t>。</w:t>
      </w:r>
    </w:p>
    <w:p w14:paraId="2FEA605E">
      <w:pPr>
        <w:pStyle w:val="16"/>
        <w:rPr>
          <w:rFonts w:hint="eastAsia" w:ascii="仿宋" w:hAnsi="仿宋" w:eastAsia="仿宋" w:cs="仿宋"/>
          <w:szCs w:val="21"/>
        </w:rPr>
      </w:pPr>
    </w:p>
    <w:p w14:paraId="3577179A">
      <w:pPr>
        <w:pStyle w:val="16"/>
        <w:rPr>
          <w:rFonts w:hint="eastAsia" w:ascii="仿宋" w:hAnsi="仿宋" w:eastAsia="仿宋" w:cs="仿宋"/>
          <w:szCs w:val="21"/>
        </w:rPr>
      </w:pPr>
    </w:p>
    <w:p w14:paraId="45A5E013">
      <w:pPr>
        <w:pStyle w:val="16"/>
        <w:rPr>
          <w:rFonts w:hint="eastAsia" w:ascii="仿宋" w:hAnsi="仿宋" w:eastAsia="仿宋" w:cs="仿宋"/>
          <w:szCs w:val="21"/>
        </w:rPr>
      </w:pPr>
    </w:p>
    <w:p w14:paraId="62DF2F0E">
      <w:pPr>
        <w:pStyle w:val="16"/>
        <w:rPr>
          <w:rFonts w:hint="eastAsia" w:ascii="仿宋" w:hAnsi="仿宋" w:eastAsia="仿宋" w:cs="仿宋"/>
          <w:szCs w:val="21"/>
          <w:u w:val="single"/>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7ED1A397">
      <w:pPr>
        <w:pStyle w:val="16"/>
        <w:rPr>
          <w:rFonts w:hint="eastAsia" w:ascii="仿宋" w:hAnsi="仿宋" w:eastAsia="仿宋" w:cs="仿宋"/>
          <w:szCs w:val="21"/>
          <w:u w:val="single"/>
        </w:rPr>
      </w:pPr>
    </w:p>
    <w:p w14:paraId="35C9BA63">
      <w:pPr>
        <w:snapToGrid w:val="0"/>
        <w:spacing w:beforeLines="50" w:after="50" w:line="360" w:lineRule="auto"/>
        <w:rPr>
          <w:rFonts w:hint="eastAsia" w:ascii="仿宋" w:hAnsi="仿宋" w:eastAsia="仿宋" w:cs="仿宋"/>
          <w:b/>
          <w:sz w:val="24"/>
        </w:rPr>
      </w:pPr>
      <w:r>
        <w:rPr>
          <w:rFonts w:hint="eastAsia" w:ascii="仿宋" w:hAnsi="仿宋" w:eastAsia="仿宋" w:cs="仿宋"/>
          <w:szCs w:val="21"/>
        </w:rPr>
        <w:t>日期：   年   月   日</w:t>
      </w:r>
    </w:p>
    <w:p w14:paraId="7370FB0D">
      <w:pPr>
        <w:rPr>
          <w:rFonts w:hint="eastAsia" w:ascii="仿宋" w:hAnsi="仿宋" w:eastAsia="仿宋" w:cs="仿宋"/>
          <w:b/>
          <w:bCs/>
          <w:sz w:val="28"/>
          <w:szCs w:val="28"/>
        </w:rPr>
      </w:pPr>
      <w:r>
        <w:rPr>
          <w:rFonts w:hint="eastAsia" w:ascii="仿宋" w:hAnsi="仿宋" w:eastAsia="仿宋" w:cs="仿宋"/>
          <w:b/>
          <w:bCs/>
          <w:sz w:val="28"/>
          <w:szCs w:val="28"/>
        </w:rPr>
        <w:br w:type="page"/>
      </w:r>
    </w:p>
    <w:p w14:paraId="175A1AD2">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对采购文件中技术、商务条款及合同条款的声明</w:t>
      </w:r>
    </w:p>
    <w:p w14:paraId="318398A2">
      <w:pPr>
        <w:spacing w:line="360" w:lineRule="auto"/>
        <w:rPr>
          <w:rFonts w:hint="eastAsia" w:ascii="仿宋" w:hAnsi="仿宋" w:eastAsia="仿宋" w:cs="仿宋"/>
          <w:szCs w:val="21"/>
        </w:rPr>
      </w:pPr>
    </w:p>
    <w:p w14:paraId="67970AE9">
      <w:pPr>
        <w:pStyle w:val="16"/>
        <w:snapToGrid w:val="0"/>
        <w:spacing w:line="360" w:lineRule="auto"/>
        <w:rPr>
          <w:rFonts w:hint="eastAsia" w:ascii="仿宋" w:hAnsi="仿宋" w:eastAsia="仿宋" w:cs="仿宋"/>
          <w:szCs w:val="21"/>
        </w:rPr>
      </w:pPr>
      <w:r>
        <w:rPr>
          <w:rFonts w:hint="eastAsia" w:ascii="仿宋" w:hAnsi="仿宋" w:eastAsia="仿宋" w:cs="仿宋"/>
          <w:szCs w:val="21"/>
          <w:u w:val="single"/>
          <w:lang w:eastAsia="zh-CN"/>
        </w:rPr>
        <w:t>常山县人民法院</w:t>
      </w:r>
      <w:r>
        <w:rPr>
          <w:rFonts w:hint="eastAsia" w:ascii="仿宋" w:hAnsi="仿宋" w:eastAsia="仿宋" w:cs="仿宋"/>
          <w:szCs w:val="21"/>
        </w:rPr>
        <w:t>：</w:t>
      </w:r>
    </w:p>
    <w:p w14:paraId="34D80FFE">
      <w:pPr>
        <w:pStyle w:val="16"/>
        <w:snapToGrid w:val="0"/>
        <w:spacing w:line="360" w:lineRule="auto"/>
        <w:rPr>
          <w:rFonts w:hint="eastAsia" w:ascii="仿宋" w:hAnsi="仿宋" w:eastAsia="仿宋" w:cs="仿宋"/>
          <w:szCs w:val="21"/>
        </w:rPr>
      </w:pPr>
      <w:r>
        <w:rPr>
          <w:rFonts w:hint="eastAsia" w:ascii="仿宋" w:hAnsi="仿宋" w:eastAsia="仿宋" w:cs="仿宋"/>
          <w:szCs w:val="21"/>
          <w:u w:val="single"/>
          <w:lang w:eastAsia="zh-CN"/>
        </w:rPr>
        <w:t>浙江中正工程项目管理有限公司</w:t>
      </w:r>
      <w:r>
        <w:rPr>
          <w:rFonts w:hint="eastAsia" w:ascii="仿宋" w:hAnsi="仿宋" w:eastAsia="仿宋" w:cs="仿宋"/>
          <w:szCs w:val="21"/>
        </w:rPr>
        <w:t>：</w:t>
      </w:r>
    </w:p>
    <w:p w14:paraId="1E5BB5DE">
      <w:pPr>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（投标人全称）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（项目名称）（项目编号）  </w:t>
      </w:r>
      <w:r>
        <w:rPr>
          <w:rFonts w:hint="eastAsia" w:ascii="仿宋" w:hAnsi="仿宋" w:eastAsia="仿宋" w:cs="仿宋"/>
          <w:szCs w:val="21"/>
        </w:rPr>
        <w:t>的投标活动，为此我方声明如下：</w:t>
      </w:r>
    </w:p>
    <w:p w14:paraId="6EF50A5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1.我方接受采购文件中所有技术、商务条款及合同条款（     ）</w:t>
      </w:r>
    </w:p>
    <w:p w14:paraId="3443A82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2.采购文件中以下技术、商务条款或合同条款，我方无法满足/接受（     ）</w:t>
      </w:r>
    </w:p>
    <w:p w14:paraId="30BA611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2.1</w:t>
      </w:r>
    </w:p>
    <w:p w14:paraId="5ABD5DFB">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566AB6A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3.对于无法满足/接受的技术、商务条款或合同条款，我方采用的解决方案如下：</w:t>
      </w:r>
    </w:p>
    <w:p w14:paraId="7A3F551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3.1</w:t>
      </w:r>
    </w:p>
    <w:p w14:paraId="79653CB5">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w:t>
      </w:r>
    </w:p>
    <w:p w14:paraId="5BAEEC88">
      <w:pPr>
        <w:spacing w:line="360" w:lineRule="auto"/>
        <w:rPr>
          <w:rFonts w:hint="eastAsia" w:ascii="仿宋" w:hAnsi="仿宋" w:eastAsia="仿宋" w:cs="仿宋"/>
          <w:szCs w:val="21"/>
        </w:rPr>
      </w:pPr>
    </w:p>
    <w:p w14:paraId="08352FBE">
      <w:pPr>
        <w:spacing w:line="360" w:lineRule="auto"/>
        <w:rPr>
          <w:rFonts w:hint="eastAsia" w:ascii="仿宋" w:hAnsi="仿宋" w:eastAsia="仿宋" w:cs="仿宋"/>
          <w:b/>
          <w:szCs w:val="21"/>
        </w:rPr>
      </w:pPr>
      <w:r>
        <w:rPr>
          <w:rFonts w:hint="eastAsia" w:ascii="仿宋" w:hAnsi="仿宋" w:eastAsia="仿宋" w:cs="仿宋"/>
          <w:b/>
          <w:szCs w:val="21"/>
        </w:rPr>
        <w:t>填写说明：</w:t>
      </w:r>
    </w:p>
    <w:p w14:paraId="652B9D63">
      <w:pPr>
        <w:spacing w:line="360" w:lineRule="auto"/>
        <w:ind w:firstLine="422" w:firstLineChars="200"/>
        <w:rPr>
          <w:rFonts w:hint="eastAsia" w:ascii="仿宋" w:hAnsi="仿宋" w:eastAsia="仿宋" w:cs="仿宋"/>
          <w:b/>
          <w:szCs w:val="21"/>
          <w:lang w:eastAsia="zh-CN"/>
        </w:rPr>
      </w:pPr>
      <w:r>
        <w:rPr>
          <w:rFonts w:hint="eastAsia" w:ascii="仿宋" w:hAnsi="仿宋" w:eastAsia="仿宋" w:cs="仿宋"/>
          <w:b/>
          <w:szCs w:val="21"/>
        </w:rPr>
        <w:t>1.投标人接受采购文件所有技术、商务条款及合同条款的请在第1项后的括号内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；投标人对采购文件中某项技术、商务条款或合同条款有不同意见的，请在第2项后的括号内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w:t>
      </w:r>
      <w:r>
        <w:rPr>
          <w:rFonts w:hint="eastAsia" w:ascii="仿宋" w:hAnsi="仿宋" w:eastAsia="仿宋" w:cs="仿宋"/>
          <w:b/>
          <w:szCs w:val="21"/>
          <w:lang w:eastAsia="zh-CN"/>
        </w:rPr>
        <w:t>（第</w:t>
      </w:r>
      <w:r>
        <w:rPr>
          <w:rFonts w:hint="eastAsia" w:ascii="仿宋" w:hAnsi="仿宋" w:eastAsia="仿宋" w:cs="仿宋"/>
          <w:b/>
          <w:szCs w:val="21"/>
          <w:lang w:val="en-US" w:eastAsia="zh-CN"/>
        </w:rPr>
        <w:t>1项和第2项只须选择其中一项</w:t>
      </w:r>
      <w:r>
        <w:rPr>
          <w:rFonts w:hint="eastAsia" w:ascii="仿宋" w:hAnsi="仿宋" w:eastAsia="仿宋" w:cs="仿宋"/>
          <w:b/>
          <w:szCs w:val="21"/>
          <w:lang w:eastAsia="zh-CN"/>
        </w:rPr>
        <w:t>）。</w:t>
      </w:r>
    </w:p>
    <w:p w14:paraId="71D25124">
      <w:pPr>
        <w:spacing w:line="360" w:lineRule="auto"/>
        <w:ind w:firstLine="422" w:firstLineChars="200"/>
        <w:rPr>
          <w:rFonts w:hint="eastAsia" w:ascii="仿宋" w:hAnsi="仿宋" w:eastAsia="仿宋" w:cs="仿宋"/>
          <w:b/>
          <w:szCs w:val="21"/>
        </w:rPr>
      </w:pPr>
      <w:r>
        <w:rPr>
          <w:rFonts w:hint="eastAsia" w:ascii="仿宋" w:hAnsi="仿宋" w:eastAsia="仿宋" w:cs="仿宋"/>
          <w:b/>
          <w:szCs w:val="21"/>
        </w:rPr>
        <w:t>2.投标文件中虽提供了本声明但未按上述要求明确声明的，视为投标人接受采购文件所有技术、商务条款及合同条款。</w:t>
      </w:r>
    </w:p>
    <w:p w14:paraId="09370ACF">
      <w:pPr>
        <w:spacing w:line="360" w:lineRule="auto"/>
        <w:rPr>
          <w:rFonts w:hint="eastAsia" w:ascii="仿宋" w:hAnsi="仿宋" w:eastAsia="仿宋" w:cs="仿宋"/>
          <w:szCs w:val="21"/>
        </w:rPr>
      </w:pPr>
    </w:p>
    <w:p w14:paraId="128D44A0">
      <w:pPr>
        <w:spacing w:line="360" w:lineRule="auto"/>
        <w:rPr>
          <w:rFonts w:hint="eastAsia" w:ascii="仿宋" w:hAnsi="仿宋" w:eastAsia="仿宋" w:cs="仿宋"/>
          <w:szCs w:val="21"/>
        </w:rPr>
      </w:pPr>
    </w:p>
    <w:p w14:paraId="268DAF64">
      <w:pPr>
        <w:pStyle w:val="16"/>
        <w:spacing w:line="360" w:lineRule="auto"/>
        <w:rPr>
          <w:rFonts w:hint="eastAsia" w:ascii="仿宋" w:hAnsi="仿宋" w:eastAsia="仿宋" w:cs="仿宋"/>
          <w:szCs w:val="21"/>
        </w:rPr>
      </w:pPr>
      <w:r>
        <w:rPr>
          <w:rFonts w:hint="eastAsia" w:ascii="仿宋" w:hAnsi="仿宋" w:eastAsia="仿宋" w:cs="仿宋"/>
          <w:szCs w:val="21"/>
        </w:rPr>
        <w:t>投标人名称（盖章） ：</w:t>
      </w:r>
      <w:r>
        <w:rPr>
          <w:rFonts w:hint="eastAsia" w:ascii="仿宋" w:hAnsi="仿宋" w:eastAsia="仿宋" w:cs="仿宋"/>
          <w:szCs w:val="21"/>
          <w:u w:val="single"/>
        </w:rPr>
        <w:t xml:space="preserve">                   </w:t>
      </w:r>
    </w:p>
    <w:p w14:paraId="2B9B1287">
      <w:pPr>
        <w:pStyle w:val="16"/>
        <w:spacing w:line="360" w:lineRule="auto"/>
        <w:rPr>
          <w:rFonts w:hint="eastAsia" w:ascii="仿宋" w:hAnsi="仿宋" w:eastAsia="仿宋" w:cs="仿宋"/>
          <w:b/>
          <w:szCs w:val="21"/>
        </w:rPr>
      </w:pPr>
      <w:r>
        <w:rPr>
          <w:rFonts w:hint="eastAsia" w:ascii="仿宋" w:hAnsi="仿宋" w:eastAsia="仿宋" w:cs="仿宋"/>
          <w:szCs w:val="21"/>
        </w:rPr>
        <w:t>日期：   年   月   日</w:t>
      </w:r>
    </w:p>
    <w:p w14:paraId="045FAD32">
      <w:pPr>
        <w:spacing w:line="460" w:lineRule="exact"/>
        <w:jc w:val="center"/>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szCs w:val="21"/>
        </w:rPr>
        <w:br w:type="page"/>
      </w:r>
      <w:r>
        <w:rPr>
          <w:rFonts w:hint="eastAsia" w:ascii="仿宋" w:hAnsi="仿宋" w:eastAsia="仿宋" w:cs="仿宋"/>
          <w:b/>
          <w:bCs/>
          <w:color w:val="000000" w:themeColor="text1"/>
          <w:kern w:val="0"/>
          <w:sz w:val="30"/>
          <w:szCs w:val="30"/>
          <w:highlight w:val="none"/>
          <w14:textFill>
            <w14:solidFill>
              <w14:schemeClr w14:val="tx1"/>
            </w14:solidFill>
          </w14:textFill>
        </w:rPr>
        <w:t>开标一览表</w:t>
      </w:r>
    </w:p>
    <w:p w14:paraId="4971BA64">
      <w:pPr>
        <w:spacing w:line="380" w:lineRule="exact"/>
        <w:jc w:val="center"/>
        <w:rPr>
          <w:rFonts w:hint="eastAsia" w:ascii="仿宋" w:hAnsi="仿宋" w:eastAsia="仿宋" w:cs="仿宋"/>
          <w:b/>
          <w:bCs/>
          <w:color w:val="000000" w:themeColor="text1"/>
          <w:sz w:val="28"/>
          <w:highlight w:val="none"/>
          <w14:textFill>
            <w14:solidFill>
              <w14:schemeClr w14:val="tx1"/>
            </w14:solidFill>
          </w14:textFill>
        </w:rPr>
      </w:pPr>
    </w:p>
    <w:p w14:paraId="768D1039">
      <w:pPr>
        <w:spacing w:line="380" w:lineRule="exact"/>
        <w:jc w:val="center"/>
        <w:rPr>
          <w:rFonts w:hint="eastAsia" w:ascii="仿宋" w:hAnsi="仿宋" w:eastAsia="仿宋" w:cs="仿宋"/>
          <w:b/>
          <w:bCs/>
          <w:color w:val="000000" w:themeColor="text1"/>
          <w:sz w:val="28"/>
          <w:highlight w:val="none"/>
          <w14:textFill>
            <w14:solidFill>
              <w14:schemeClr w14:val="tx1"/>
            </w14:solidFill>
          </w14:textFill>
        </w:rPr>
      </w:pPr>
    </w:p>
    <w:p w14:paraId="30AC3865">
      <w:pPr>
        <w:pStyle w:val="30"/>
        <w:ind w:left="840" w:leftChars="400"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项目名称：        </w:t>
      </w:r>
      <w:r>
        <w:rPr>
          <w:rFonts w:hint="eastAsia" w:ascii="仿宋" w:hAnsi="仿宋" w:eastAsia="仿宋" w:cs="仿宋"/>
          <w:b/>
          <w:color w:val="000000" w:themeColor="text1"/>
          <w:highlight w:val="none"/>
          <w:lang w:val="en-US" w:eastAsia="zh-CN"/>
          <w14:textFill>
            <w14:solidFill>
              <w14:schemeClr w14:val="tx1"/>
            </w14:solidFill>
          </w14:textFill>
        </w:rPr>
        <w:t xml:space="preserve">                                </w:t>
      </w:r>
      <w:r>
        <w:rPr>
          <w:rFonts w:hint="eastAsia" w:ascii="仿宋" w:hAnsi="仿宋" w:eastAsia="仿宋" w:cs="仿宋"/>
          <w:b/>
          <w:color w:val="000000" w:themeColor="text1"/>
          <w:highlight w:val="none"/>
          <w14:textFill>
            <w14:solidFill>
              <w14:schemeClr w14:val="tx1"/>
            </w14:solidFill>
          </w14:textFill>
        </w:rPr>
        <w:t>项目编号：</w:t>
      </w:r>
    </w:p>
    <w:tbl>
      <w:tblPr>
        <w:tblStyle w:val="31"/>
        <w:tblW w:w="90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2368"/>
        <w:gridCol w:w="6053"/>
      </w:tblGrid>
      <w:tr w14:paraId="7555E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665" w:type="dxa"/>
            <w:tcBorders>
              <w:bottom w:val="single" w:color="auto" w:sz="4" w:space="0"/>
              <w:right w:val="single" w:color="auto" w:sz="4" w:space="0"/>
            </w:tcBorders>
            <w:noWrap w:val="0"/>
            <w:vAlign w:val="center"/>
          </w:tcPr>
          <w:p w14:paraId="4B06AD38">
            <w:pPr>
              <w:pStyle w:val="16"/>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2368" w:type="dxa"/>
            <w:tcBorders>
              <w:left w:val="single" w:color="auto" w:sz="4" w:space="0"/>
              <w:bottom w:val="single" w:color="auto" w:sz="4" w:space="0"/>
              <w:right w:val="single" w:color="auto" w:sz="4" w:space="0"/>
            </w:tcBorders>
            <w:noWrap w:val="0"/>
            <w:vAlign w:val="center"/>
          </w:tcPr>
          <w:p w14:paraId="2DC5B5D0">
            <w:pPr>
              <w:pStyle w:val="16"/>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6053" w:type="dxa"/>
            <w:tcBorders>
              <w:left w:val="single" w:color="auto" w:sz="4" w:space="0"/>
              <w:bottom w:val="single" w:color="auto" w:sz="4" w:space="0"/>
            </w:tcBorders>
            <w:noWrap w:val="0"/>
            <w:vAlign w:val="center"/>
          </w:tcPr>
          <w:p w14:paraId="5F36F489">
            <w:pPr>
              <w:pStyle w:val="16"/>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内容</w:t>
            </w:r>
          </w:p>
        </w:tc>
      </w:tr>
      <w:tr w14:paraId="31FA2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665" w:type="dxa"/>
            <w:tcBorders>
              <w:bottom w:val="single" w:color="auto" w:sz="4" w:space="0"/>
              <w:right w:val="single" w:color="auto" w:sz="4" w:space="0"/>
            </w:tcBorders>
            <w:noWrap w:val="0"/>
            <w:vAlign w:val="center"/>
          </w:tcPr>
          <w:p w14:paraId="6ED47ABF">
            <w:pPr>
              <w:pStyle w:val="16"/>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w:t>
            </w:r>
          </w:p>
        </w:tc>
        <w:tc>
          <w:tcPr>
            <w:tcW w:w="2368" w:type="dxa"/>
            <w:tcBorders>
              <w:left w:val="single" w:color="auto" w:sz="4" w:space="0"/>
              <w:bottom w:val="single" w:color="auto" w:sz="4" w:space="0"/>
              <w:right w:val="single" w:color="auto" w:sz="4" w:space="0"/>
            </w:tcBorders>
            <w:noWrap w:val="0"/>
            <w:vAlign w:val="center"/>
          </w:tcPr>
          <w:p w14:paraId="7A32A90E">
            <w:pPr>
              <w:pStyle w:val="16"/>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报价折扣率：</w:t>
            </w:r>
          </w:p>
        </w:tc>
        <w:tc>
          <w:tcPr>
            <w:tcW w:w="6053" w:type="dxa"/>
            <w:tcBorders>
              <w:top w:val="single" w:color="auto" w:sz="4" w:space="0"/>
              <w:left w:val="single" w:color="auto" w:sz="4" w:space="0"/>
              <w:bottom w:val="single" w:color="auto" w:sz="4" w:space="0"/>
            </w:tcBorders>
            <w:noWrap w:val="0"/>
            <w:vAlign w:val="center"/>
          </w:tcPr>
          <w:p w14:paraId="69B56249">
            <w:pPr>
              <w:pStyle w:val="1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z w:val="21"/>
                <w:szCs w:val="21"/>
                <w:lang w:val="en-US" w:eastAsia="zh-CN"/>
              </w:rPr>
              <w:t>定价表单价</w:t>
            </w:r>
            <w:r>
              <w:rPr>
                <w:rFonts w:hint="eastAsia" w:ascii="仿宋" w:hAnsi="仿宋" w:eastAsia="仿宋" w:cs="仿宋"/>
                <w:sz w:val="21"/>
                <w:szCs w:val="21"/>
                <w:lang w:eastAsia="zh-CN"/>
              </w:rPr>
              <w:t>折扣率</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tc>
      </w:tr>
      <w:tr w14:paraId="5EDC1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665" w:type="dxa"/>
            <w:tcBorders>
              <w:bottom w:val="single" w:color="auto" w:sz="4" w:space="0"/>
              <w:right w:val="single" w:color="auto" w:sz="4" w:space="0"/>
            </w:tcBorders>
            <w:noWrap w:val="0"/>
            <w:vAlign w:val="center"/>
          </w:tcPr>
          <w:p w14:paraId="76BE87C7">
            <w:pPr>
              <w:pStyle w:val="16"/>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二</w:t>
            </w:r>
          </w:p>
        </w:tc>
        <w:tc>
          <w:tcPr>
            <w:tcW w:w="2368" w:type="dxa"/>
            <w:tcBorders>
              <w:left w:val="single" w:color="auto" w:sz="4" w:space="0"/>
              <w:bottom w:val="single" w:color="auto" w:sz="4" w:space="0"/>
              <w:right w:val="single" w:color="auto" w:sz="4" w:space="0"/>
            </w:tcBorders>
            <w:noWrap w:val="0"/>
            <w:vAlign w:val="center"/>
          </w:tcPr>
          <w:p w14:paraId="7E1BF698">
            <w:pPr>
              <w:pStyle w:val="16"/>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服务期限：</w:t>
            </w:r>
          </w:p>
        </w:tc>
        <w:tc>
          <w:tcPr>
            <w:tcW w:w="6053" w:type="dxa"/>
            <w:tcBorders>
              <w:top w:val="single" w:color="auto" w:sz="4" w:space="0"/>
              <w:left w:val="single" w:color="auto" w:sz="4" w:space="0"/>
              <w:bottom w:val="single" w:color="auto" w:sz="4" w:space="0"/>
            </w:tcBorders>
            <w:noWrap w:val="0"/>
            <w:vAlign w:val="center"/>
          </w:tcPr>
          <w:p w14:paraId="35AAC890">
            <w:pPr>
              <w:pStyle w:val="16"/>
              <w:rPr>
                <w:rFonts w:hint="eastAsia" w:ascii="仿宋" w:hAnsi="仿宋" w:eastAsia="仿宋" w:cs="仿宋"/>
                <w:color w:val="000000" w:themeColor="text1"/>
                <w:highlight w:val="none"/>
                <w14:textFill>
                  <w14:solidFill>
                    <w14:schemeClr w14:val="tx1"/>
                  </w14:solidFill>
                </w14:textFill>
              </w:rPr>
            </w:pPr>
          </w:p>
        </w:tc>
      </w:tr>
      <w:tr w14:paraId="15014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65" w:type="dxa"/>
            <w:tcBorders>
              <w:top w:val="single" w:color="auto" w:sz="4" w:space="0"/>
              <w:bottom w:val="single" w:color="auto" w:sz="4" w:space="0"/>
              <w:right w:val="single" w:color="auto" w:sz="4" w:space="0"/>
            </w:tcBorders>
            <w:noWrap w:val="0"/>
            <w:vAlign w:val="center"/>
          </w:tcPr>
          <w:p w14:paraId="4457F16A">
            <w:pPr>
              <w:pStyle w:val="16"/>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三</w:t>
            </w:r>
          </w:p>
        </w:tc>
        <w:tc>
          <w:tcPr>
            <w:tcW w:w="2368" w:type="dxa"/>
            <w:tcBorders>
              <w:top w:val="single" w:color="auto" w:sz="4" w:space="0"/>
              <w:left w:val="single" w:color="auto" w:sz="4" w:space="0"/>
              <w:bottom w:val="single" w:color="auto" w:sz="4" w:space="0"/>
              <w:right w:val="single" w:color="auto" w:sz="4" w:space="0"/>
            </w:tcBorders>
            <w:noWrap w:val="0"/>
            <w:vAlign w:val="center"/>
          </w:tcPr>
          <w:p w14:paraId="5A704BE9">
            <w:pPr>
              <w:pStyle w:val="16"/>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项目负责人</w:t>
            </w:r>
            <w:r>
              <w:rPr>
                <w:rFonts w:hint="eastAsia" w:ascii="仿宋" w:hAnsi="仿宋" w:eastAsia="仿宋" w:cs="仿宋"/>
                <w:color w:val="000000" w:themeColor="text1"/>
                <w:highlight w:val="none"/>
                <w:lang w:eastAsia="zh-CN"/>
                <w14:textFill>
                  <w14:solidFill>
                    <w14:schemeClr w14:val="tx1"/>
                  </w14:solidFill>
                </w14:textFill>
              </w:rPr>
              <w:t>：</w:t>
            </w:r>
          </w:p>
        </w:tc>
        <w:tc>
          <w:tcPr>
            <w:tcW w:w="6053" w:type="dxa"/>
            <w:tcBorders>
              <w:top w:val="single" w:color="auto" w:sz="4" w:space="0"/>
              <w:left w:val="single" w:color="auto" w:sz="4" w:space="0"/>
              <w:bottom w:val="single" w:color="auto" w:sz="4" w:space="0"/>
            </w:tcBorders>
            <w:noWrap w:val="0"/>
            <w:vAlign w:val="center"/>
          </w:tcPr>
          <w:p w14:paraId="255F9EAD">
            <w:pPr>
              <w:pStyle w:val="16"/>
              <w:rPr>
                <w:rFonts w:hint="eastAsia" w:ascii="仿宋" w:hAnsi="仿宋" w:eastAsia="仿宋" w:cs="仿宋"/>
                <w:color w:val="000000" w:themeColor="text1"/>
                <w:highlight w:val="none"/>
                <w:u w:val="single"/>
                <w14:textFill>
                  <w14:solidFill>
                    <w14:schemeClr w14:val="tx1"/>
                  </w14:solidFill>
                </w14:textFill>
              </w:rPr>
            </w:pPr>
          </w:p>
        </w:tc>
      </w:tr>
      <w:tr w14:paraId="3945E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033" w:type="dxa"/>
            <w:gridSpan w:val="2"/>
            <w:tcBorders>
              <w:top w:val="single" w:color="auto" w:sz="4" w:space="0"/>
              <w:bottom w:val="single" w:color="auto" w:sz="4" w:space="0"/>
              <w:right w:val="single" w:color="auto" w:sz="4" w:space="0"/>
            </w:tcBorders>
            <w:noWrap w:val="0"/>
            <w:vAlign w:val="center"/>
          </w:tcPr>
          <w:p w14:paraId="131C899D">
            <w:pPr>
              <w:pStyle w:val="16"/>
              <w:spacing w:line="360" w:lineRule="auto"/>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zCs w:val="21"/>
              </w:rPr>
              <w:t>备注</w:t>
            </w:r>
          </w:p>
        </w:tc>
        <w:tc>
          <w:tcPr>
            <w:tcW w:w="6053" w:type="dxa"/>
            <w:tcBorders>
              <w:top w:val="single" w:color="auto" w:sz="4" w:space="0"/>
              <w:left w:val="single" w:color="auto" w:sz="4" w:space="0"/>
              <w:bottom w:val="single" w:color="auto" w:sz="4" w:space="0"/>
            </w:tcBorders>
            <w:noWrap w:val="0"/>
            <w:vAlign w:val="center"/>
          </w:tcPr>
          <w:p w14:paraId="76726C3B">
            <w:pPr>
              <w:spacing w:line="360" w:lineRule="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1.</w:t>
            </w:r>
            <w:r>
              <w:rPr>
                <w:rFonts w:hint="eastAsia" w:ascii="仿宋" w:hAnsi="仿宋" w:eastAsia="仿宋" w:cs="仿宋"/>
                <w:b/>
                <w:bCs/>
                <w:color w:val="000000" w:themeColor="text1"/>
                <w:highlight w:val="none"/>
                <w14:textFill>
                  <w14:solidFill>
                    <w14:schemeClr w14:val="tx1"/>
                  </w14:solidFill>
                </w14:textFill>
              </w:rPr>
              <w:t>投标人应当以</w:t>
            </w:r>
            <w:r>
              <w:rPr>
                <w:rFonts w:hint="eastAsia" w:ascii="仿宋" w:hAnsi="仿宋" w:eastAsia="仿宋" w:cs="仿宋"/>
                <w:b/>
                <w:bCs/>
                <w:color w:val="000000" w:themeColor="text1"/>
                <w:highlight w:val="none"/>
                <w:lang w:eastAsia="zh-CN"/>
                <w14:textFill>
                  <w14:solidFill>
                    <w14:schemeClr w14:val="tx1"/>
                  </w14:solidFill>
                </w14:textFill>
              </w:rPr>
              <w:t>折扣</w:t>
            </w:r>
            <w:r>
              <w:rPr>
                <w:rFonts w:hint="eastAsia" w:ascii="仿宋" w:hAnsi="仿宋" w:eastAsia="仿宋" w:cs="仿宋"/>
                <w:b/>
                <w:bCs/>
                <w:color w:val="000000" w:themeColor="text1"/>
                <w:highlight w:val="none"/>
                <w14:textFill>
                  <w14:solidFill>
                    <w14:schemeClr w14:val="tx1"/>
                  </w14:solidFill>
                </w14:textFill>
              </w:rPr>
              <w:t>率形式进行报价，报价</w:t>
            </w:r>
            <w:r>
              <w:rPr>
                <w:rFonts w:hint="eastAsia" w:ascii="仿宋" w:hAnsi="仿宋" w:eastAsia="仿宋" w:cs="仿宋"/>
                <w:b/>
                <w:bCs/>
                <w:color w:val="000000" w:themeColor="text1"/>
                <w:highlight w:val="none"/>
                <w:lang w:eastAsia="zh-CN"/>
                <w14:textFill>
                  <w14:solidFill>
                    <w14:schemeClr w14:val="tx1"/>
                  </w14:solidFill>
                </w14:textFill>
              </w:rPr>
              <w:t>折扣</w:t>
            </w:r>
            <w:r>
              <w:rPr>
                <w:rFonts w:hint="eastAsia" w:ascii="仿宋" w:hAnsi="仿宋" w:eastAsia="仿宋" w:cs="仿宋"/>
                <w:b/>
                <w:bCs/>
                <w:color w:val="000000" w:themeColor="text1"/>
                <w:highlight w:val="none"/>
                <w14:textFill>
                  <w14:solidFill>
                    <w14:schemeClr w14:val="tx1"/>
                  </w14:solidFill>
                </w14:textFill>
              </w:rPr>
              <w:t>率的范围为：0%-100%【</w:t>
            </w:r>
            <w:r>
              <w:rPr>
                <w:rFonts w:hint="eastAsia" w:ascii="仿宋" w:hAnsi="仿宋" w:eastAsia="仿宋" w:cs="仿宋"/>
                <w:b/>
                <w:bCs/>
                <w:color w:val="000000" w:themeColor="text1"/>
                <w:highlight w:val="none"/>
                <w:lang w:val="en-US" w:eastAsia="zh-CN"/>
                <w14:textFill>
                  <w14:solidFill>
                    <w14:schemeClr w14:val="tx1"/>
                  </w14:solidFill>
                </w14:textFill>
              </w:rPr>
              <w:t>结算公式：中标后的结算单价=定价表单价×折扣率】，（如填报85%即八五折；中标后的结算单价=定价表单价×折扣率85%。）</w:t>
            </w:r>
            <w:r>
              <w:rPr>
                <w:rFonts w:hint="eastAsia" w:ascii="仿宋" w:hAnsi="仿宋" w:eastAsia="仿宋" w:cs="仿宋"/>
                <w:b/>
                <w:bCs/>
                <w:color w:val="000000" w:themeColor="text1"/>
                <w:highlight w:val="none"/>
                <w:lang w:eastAsia="zh-CN"/>
                <w14:textFill>
                  <w14:solidFill>
                    <w14:schemeClr w14:val="tx1"/>
                  </w14:solidFill>
                </w14:textFill>
              </w:rPr>
              <w:t>，超出该范围的报价按无效投标处理</w:t>
            </w:r>
            <w:r>
              <w:rPr>
                <w:rFonts w:hint="eastAsia" w:ascii="仿宋" w:hAnsi="仿宋" w:eastAsia="仿宋" w:cs="仿宋"/>
                <w:b/>
                <w:bCs/>
                <w:color w:val="000000" w:themeColor="text1"/>
                <w:highlight w:val="none"/>
                <w:lang w:val="en-US" w:eastAsia="zh-CN"/>
                <w14:textFill>
                  <w14:solidFill>
                    <w14:schemeClr w14:val="tx1"/>
                  </w14:solidFill>
                </w14:textFill>
              </w:rPr>
              <w:t>。</w:t>
            </w:r>
          </w:p>
          <w:p w14:paraId="5E9AA7D4">
            <w:pPr>
              <w:pStyle w:val="16"/>
              <w:numPr>
                <w:ilvl w:val="0"/>
                <w:numId w:val="0"/>
              </w:numPr>
              <w:spacing w:line="360" w:lineRule="auto"/>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lang w:val="en-US" w:eastAsia="zh-CN"/>
              </w:rPr>
              <w:t>2.</w:t>
            </w:r>
            <w:r>
              <w:rPr>
                <w:rFonts w:hint="eastAsia" w:ascii="仿宋" w:hAnsi="仿宋" w:eastAsia="仿宋" w:cs="仿宋"/>
              </w:rPr>
              <w:t>上述报价是本项目采购文件确定的采购需求范围内全部工作内容的价格表现。完成本项目采购范围内全部工作内容所需价款、企业应缴纳的税费及合理利润、合同包含的风险等所有采购文件提及或采购文件未提及的全部开支均已计入投标报价。</w:t>
            </w:r>
          </w:p>
        </w:tc>
      </w:tr>
    </w:tbl>
    <w:p w14:paraId="6E15496C">
      <w:pPr>
        <w:spacing w:line="360" w:lineRule="auto"/>
        <w:ind w:firstLine="630" w:firstLineChars="300"/>
        <w:rPr>
          <w:rFonts w:hint="eastAsia" w:ascii="仿宋" w:hAnsi="仿宋" w:eastAsia="仿宋" w:cs="仿宋"/>
          <w:color w:val="000000" w:themeColor="text1"/>
          <w:szCs w:val="21"/>
          <w:highlight w:val="none"/>
          <w14:textFill>
            <w14:solidFill>
              <w14:schemeClr w14:val="tx1"/>
            </w14:solidFill>
          </w14:textFill>
        </w:rPr>
      </w:pPr>
    </w:p>
    <w:p w14:paraId="385D9291">
      <w:pPr>
        <w:spacing w:line="360" w:lineRule="auto"/>
        <w:ind w:firstLine="219" w:firstLineChars="104"/>
        <w:jc w:val="left"/>
        <w:rPr>
          <w:rFonts w:hint="eastAsia" w:ascii="仿宋" w:hAnsi="仿宋" w:eastAsia="仿宋" w:cs="仿宋"/>
          <w:b/>
          <w:bCs/>
          <w:color w:val="000000" w:themeColor="text1"/>
          <w:szCs w:val="21"/>
          <w:highlight w:val="none"/>
          <w14:textFill>
            <w14:solidFill>
              <w14:schemeClr w14:val="tx1"/>
            </w14:solidFill>
          </w14:textFill>
        </w:rPr>
      </w:pPr>
    </w:p>
    <w:p w14:paraId="7771A96E">
      <w:pPr>
        <w:spacing w:line="360" w:lineRule="auto"/>
        <w:ind w:firstLine="219" w:firstLineChars="104"/>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投标人（盖章）：</w:t>
      </w:r>
    </w:p>
    <w:p w14:paraId="423DC3A2">
      <w:pPr>
        <w:spacing w:line="360" w:lineRule="auto"/>
        <w:ind w:left="357" w:leftChars="104" w:hanging="139" w:hangingChars="66"/>
        <w:jc w:val="left"/>
        <w:rPr>
          <w:rFonts w:hint="eastAsia" w:ascii="仿宋" w:hAnsi="仿宋" w:eastAsia="仿宋" w:cs="仿宋"/>
          <w:b/>
          <w:bCs/>
          <w:color w:val="000000" w:themeColor="text1"/>
          <w:szCs w:val="21"/>
          <w:highlight w:val="none"/>
          <w14:textFill>
            <w14:solidFill>
              <w14:schemeClr w14:val="tx1"/>
            </w14:solidFill>
          </w14:textFill>
        </w:rPr>
      </w:pPr>
    </w:p>
    <w:p w14:paraId="4AEA13C8">
      <w:pPr>
        <w:spacing w:line="360" w:lineRule="auto"/>
        <w:ind w:left="357" w:leftChars="104" w:hanging="139" w:hangingChars="66"/>
        <w:jc w:val="lef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日 期：  年  月  日</w:t>
      </w:r>
    </w:p>
    <w:p w14:paraId="26F3B9D1">
      <w:pPr>
        <w:spacing w:line="360" w:lineRule="auto"/>
        <w:ind w:left="357" w:leftChars="104" w:hanging="139" w:hangingChars="66"/>
        <w:jc w:val="left"/>
        <w:rPr>
          <w:rFonts w:hint="eastAsia" w:ascii="仿宋" w:hAnsi="仿宋" w:eastAsia="仿宋" w:cs="仿宋"/>
          <w:b/>
          <w:bCs/>
          <w:color w:val="000000" w:themeColor="text1"/>
          <w:szCs w:val="21"/>
          <w:highlight w:val="none"/>
          <w14:textFill>
            <w14:solidFill>
              <w14:schemeClr w14:val="tx1"/>
            </w14:solidFill>
          </w14:textFill>
        </w:rPr>
      </w:pPr>
    </w:p>
    <w:p w14:paraId="501D961C">
      <w:pPr>
        <w:spacing w:line="380" w:lineRule="exact"/>
        <w:ind w:left="359" w:leftChars="171"/>
        <w:rPr>
          <w:rFonts w:hint="eastAsia" w:ascii="仿宋" w:hAnsi="仿宋" w:eastAsia="仿宋" w:cs="仿宋"/>
          <w:color w:val="000000" w:themeColor="text1"/>
          <w:sz w:val="22"/>
          <w:szCs w:val="22"/>
          <w:highlight w:val="none"/>
          <w14:textFill>
            <w14:solidFill>
              <w14:schemeClr w14:val="tx1"/>
            </w14:solidFill>
          </w14:textFill>
        </w:rPr>
      </w:pPr>
    </w:p>
    <w:p w14:paraId="25C97456">
      <w:pPr>
        <w:spacing w:line="380" w:lineRule="exact"/>
        <w:ind w:left="359" w:leftChars="171"/>
        <w:rPr>
          <w:rFonts w:hint="eastAsia" w:ascii="仿宋" w:hAnsi="仿宋" w:eastAsia="仿宋" w:cs="仿宋"/>
          <w:color w:val="000000" w:themeColor="text1"/>
          <w:sz w:val="22"/>
          <w:szCs w:val="22"/>
          <w:highlight w:val="none"/>
          <w14:textFill>
            <w14:solidFill>
              <w14:schemeClr w14:val="tx1"/>
            </w14:solidFill>
          </w14:textFill>
        </w:rPr>
      </w:pPr>
    </w:p>
    <w:p w14:paraId="5355E393">
      <w:pPr>
        <w:spacing w:line="380" w:lineRule="exact"/>
        <w:ind w:left="359" w:leftChars="171"/>
        <w:rPr>
          <w:rFonts w:hint="eastAsia" w:ascii="仿宋" w:hAnsi="仿宋" w:eastAsia="仿宋" w:cs="仿宋"/>
          <w:color w:val="000000" w:themeColor="text1"/>
          <w:sz w:val="22"/>
          <w:szCs w:val="22"/>
          <w:highlight w:val="none"/>
          <w14:textFill>
            <w14:solidFill>
              <w14:schemeClr w14:val="tx1"/>
            </w14:solidFill>
          </w14:textFill>
        </w:rPr>
      </w:pPr>
    </w:p>
    <w:p w14:paraId="794B0705">
      <w:pPr>
        <w:spacing w:line="380" w:lineRule="exact"/>
        <w:ind w:left="359" w:leftChars="171"/>
        <w:rPr>
          <w:rFonts w:hint="eastAsia" w:ascii="仿宋" w:hAnsi="仿宋" w:eastAsia="仿宋" w:cs="仿宋"/>
          <w:color w:val="000000" w:themeColor="text1"/>
          <w:sz w:val="22"/>
          <w:szCs w:val="22"/>
          <w:highlight w:val="none"/>
          <w14:textFill>
            <w14:solidFill>
              <w14:schemeClr w14:val="tx1"/>
            </w14:solidFill>
          </w14:textFill>
        </w:rPr>
      </w:pPr>
    </w:p>
    <w:p w14:paraId="045C7C1C">
      <w:pPr>
        <w:spacing w:line="380" w:lineRule="exact"/>
        <w:ind w:left="359" w:leftChars="171"/>
        <w:rPr>
          <w:rFonts w:hint="eastAsia" w:ascii="仿宋" w:hAnsi="仿宋" w:eastAsia="仿宋" w:cs="仿宋"/>
          <w:color w:val="000000" w:themeColor="text1"/>
          <w:sz w:val="22"/>
          <w:szCs w:val="22"/>
          <w:highlight w:val="none"/>
          <w14:textFill>
            <w14:solidFill>
              <w14:schemeClr w14:val="tx1"/>
            </w14:solidFill>
          </w14:textFill>
        </w:rPr>
      </w:pPr>
    </w:p>
    <w:p w14:paraId="3A397132">
      <w:pPr>
        <w:rPr>
          <w:rFonts w:hint="eastAsia" w:ascii="仿宋" w:hAnsi="仿宋" w:eastAsia="仿宋" w:cs="仿宋"/>
          <w:color w:val="000000" w:themeColor="text1"/>
          <w:highlight w:val="none"/>
          <w14:textFill>
            <w14:solidFill>
              <w14:schemeClr w14:val="tx1"/>
            </w14:solidFill>
          </w14:textFill>
        </w:rPr>
      </w:pPr>
    </w:p>
    <w:p w14:paraId="1529439B">
      <w:pPr>
        <w:pStyle w:val="12"/>
        <w:ind w:left="0" w:leftChars="0" w:firstLine="0" w:firstLineChars="0"/>
        <w:rPr>
          <w:rFonts w:hint="eastAsia" w:ascii="仿宋" w:hAnsi="仿宋" w:eastAsia="仿宋" w:cs="仿宋"/>
          <w:color w:val="000000" w:themeColor="text1"/>
          <w:highlight w:val="none"/>
          <w14:textFill>
            <w14:solidFill>
              <w14:schemeClr w14:val="tx1"/>
            </w14:solidFill>
          </w14:textFill>
        </w:rPr>
      </w:pPr>
    </w:p>
    <w:p w14:paraId="6250F7CB">
      <w:pPr>
        <w:pStyle w:val="13"/>
        <w:rPr>
          <w:rFonts w:hint="eastAsia" w:ascii="仿宋" w:hAnsi="仿宋" w:eastAsia="仿宋" w:cs="仿宋"/>
          <w:color w:val="000000" w:themeColor="text1"/>
          <w:highlight w:val="none"/>
          <w14:textFill>
            <w14:solidFill>
              <w14:schemeClr w14:val="tx1"/>
            </w14:solidFill>
          </w14:textFill>
        </w:rPr>
      </w:pPr>
    </w:p>
    <w:p w14:paraId="111463D2">
      <w:pPr>
        <w:widowControl/>
        <w:spacing w:line="420" w:lineRule="atLeast"/>
        <w:jc w:val="center"/>
        <w:outlineLvl w:val="1"/>
        <w:rPr>
          <w:rFonts w:hint="eastAsia" w:ascii="仿宋" w:hAnsi="仿宋" w:eastAsia="仿宋" w:cs="仿宋"/>
          <w:b/>
          <w:bCs/>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政府采购活动现场确认声明书</w:t>
      </w:r>
    </w:p>
    <w:p w14:paraId="6C00F770">
      <w:pPr>
        <w:pStyle w:val="51"/>
        <w:widowControl w:val="0"/>
        <w:snapToGrid w:val="0"/>
        <w:spacing w:line="40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p>
    <w:p w14:paraId="1C4B5AA5">
      <w:pPr>
        <w:pStyle w:val="51"/>
        <w:widowControl w:val="0"/>
        <w:snapToGrid w:val="0"/>
        <w:spacing w:line="40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p>
    <w:p w14:paraId="5053B927">
      <w:pPr>
        <w:pStyle w:val="51"/>
        <w:widowControl w:val="0"/>
        <w:snapToGrid w:val="0"/>
        <w:spacing w:line="400" w:lineRule="exact"/>
        <w:jc w:val="both"/>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 w:val="28"/>
          <w:highlight w:val="non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浙江中正工程项目管理有限公司</w:t>
      </w:r>
      <w:r>
        <w:rPr>
          <w:rFonts w:hint="eastAsia" w:ascii="仿宋" w:hAnsi="仿宋" w:eastAsia="仿宋" w:cs="仿宋"/>
          <w:color w:val="000000" w:themeColor="text1"/>
          <w:kern w:val="0"/>
          <w:sz w:val="24"/>
          <w:szCs w:val="24"/>
          <w:highlight w:val="none"/>
          <w14:textFill>
            <w14:solidFill>
              <w14:schemeClr w14:val="tx1"/>
            </w14:solidFill>
          </w14:textFill>
        </w:rPr>
        <w:t>（采购组织机构名称）：</w:t>
      </w:r>
    </w:p>
    <w:p w14:paraId="03B842FB">
      <w:pPr>
        <w:adjustRightInd w:val="0"/>
        <w:ind w:firstLine="504" w:firstLineChars="200"/>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w:t>
      </w:r>
      <w:r>
        <w:rPr>
          <w:rFonts w:hint="eastAsia" w:ascii="仿宋" w:hAnsi="仿宋" w:eastAsia="仿宋" w:cs="仿宋"/>
          <w:color w:val="000000"/>
          <w:spacing w:val="6"/>
          <w:sz w:val="24"/>
          <w:szCs w:val="24"/>
          <w:u w:val="single"/>
        </w:rPr>
        <w:t xml:space="preserve">授权代表姓名       </w:t>
      </w:r>
      <w:r>
        <w:rPr>
          <w:rFonts w:hint="eastAsia" w:ascii="仿宋" w:hAnsi="仿宋" w:eastAsia="仿宋" w:cs="仿宋"/>
          <w:color w:val="000000"/>
          <w:spacing w:val="6"/>
          <w:sz w:val="24"/>
          <w:szCs w:val="24"/>
        </w:rPr>
        <w:t>），经由（</w:t>
      </w:r>
      <w:r>
        <w:rPr>
          <w:rFonts w:hint="eastAsia" w:ascii="仿宋" w:hAnsi="仿宋" w:eastAsia="仿宋" w:cs="仿宋"/>
          <w:color w:val="000000"/>
          <w:spacing w:val="6"/>
          <w:sz w:val="24"/>
          <w:szCs w:val="24"/>
          <w:u w:val="single"/>
        </w:rPr>
        <w:t xml:space="preserve">单位名称       </w:t>
      </w:r>
      <w:r>
        <w:rPr>
          <w:rFonts w:hint="eastAsia" w:ascii="仿宋" w:hAnsi="仿宋" w:eastAsia="仿宋" w:cs="仿宋"/>
          <w:color w:val="000000"/>
          <w:spacing w:val="6"/>
          <w:sz w:val="24"/>
          <w:szCs w:val="24"/>
        </w:rPr>
        <w:t>）【</w:t>
      </w:r>
      <w:r>
        <w:rPr>
          <w:rFonts w:hint="eastAsia" w:ascii="仿宋" w:hAnsi="仿宋" w:eastAsia="仿宋" w:cs="仿宋"/>
          <w:color w:val="000000"/>
          <w:spacing w:val="6"/>
          <w:sz w:val="24"/>
          <w:szCs w:val="24"/>
          <w:u w:val="single"/>
        </w:rPr>
        <w:t>法定代表人（单位负责人）姓名     】</w:t>
      </w:r>
      <w:r>
        <w:rPr>
          <w:rFonts w:hint="eastAsia" w:ascii="仿宋" w:hAnsi="仿宋" w:eastAsia="仿宋" w:cs="仿宋"/>
          <w:color w:val="000000"/>
          <w:spacing w:val="6"/>
          <w:sz w:val="24"/>
          <w:szCs w:val="24"/>
        </w:rPr>
        <w:t>合法授权参加</w:t>
      </w:r>
      <w:r>
        <w:rPr>
          <w:rFonts w:hint="eastAsia" w:ascii="仿宋" w:hAnsi="仿宋" w:eastAsia="仿宋" w:cs="仿宋"/>
          <w:sz w:val="24"/>
          <w:szCs w:val="24"/>
          <w:u w:val="single"/>
        </w:rPr>
        <w:t xml:space="preserve"> 项目名称                 </w:t>
      </w:r>
      <w:r>
        <w:rPr>
          <w:rFonts w:hint="eastAsia" w:ascii="仿宋" w:hAnsi="仿宋" w:eastAsia="仿宋" w:cs="仿宋"/>
          <w:color w:val="000000"/>
          <w:spacing w:val="6"/>
          <w:sz w:val="24"/>
          <w:szCs w:val="24"/>
          <w:u w:val="single"/>
        </w:rPr>
        <w:t>（编号：   ）</w:t>
      </w:r>
      <w:r>
        <w:rPr>
          <w:rFonts w:hint="eastAsia" w:ascii="仿宋" w:hAnsi="仿宋" w:eastAsia="仿宋" w:cs="仿宋"/>
          <w:color w:val="000000"/>
          <w:spacing w:val="6"/>
          <w:sz w:val="24"/>
          <w:szCs w:val="24"/>
        </w:rPr>
        <w:t>政府采购活动，经与本单位法人代表（负责人）联系确认，现就有关公平竞争</w:t>
      </w:r>
      <w:r>
        <w:rPr>
          <w:rFonts w:hint="eastAsia" w:ascii="仿宋" w:hAnsi="仿宋" w:eastAsia="仿宋" w:cs="仿宋"/>
          <w:sz w:val="24"/>
          <w:szCs w:val="24"/>
        </w:rPr>
        <w:t>事项</w:t>
      </w:r>
      <w:r>
        <w:rPr>
          <w:rFonts w:hint="eastAsia" w:ascii="仿宋" w:hAnsi="仿宋" w:eastAsia="仿宋" w:cs="仿宋"/>
          <w:color w:val="000000"/>
          <w:spacing w:val="6"/>
          <w:sz w:val="24"/>
          <w:szCs w:val="24"/>
        </w:rPr>
        <w:t>郑重声明如下：</w:t>
      </w:r>
    </w:p>
    <w:p w14:paraId="4BE7A00B">
      <w:pPr>
        <w:ind w:firstLine="480" w:firstLineChars="200"/>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一、本单位与采购人之间</w:t>
      </w:r>
      <w:r>
        <w:rPr>
          <w:rFonts w:hint="eastAsia" w:ascii="仿宋" w:hAnsi="仿宋" w:eastAsia="仿宋" w:cs="仿宋"/>
          <w:color w:val="000000"/>
          <w:kern w:val="0"/>
          <w:sz w:val="24"/>
          <w:szCs w:val="24"/>
        </w:rPr>
        <w:sym w:font="Wingdings" w:char="F0A8"/>
      </w:r>
      <w:r>
        <w:rPr>
          <w:rFonts w:hint="eastAsia" w:ascii="仿宋" w:hAnsi="仿宋" w:eastAsia="仿宋" w:cs="仿宋"/>
          <w:color w:val="000000"/>
          <w:kern w:val="0"/>
          <w:sz w:val="24"/>
          <w:szCs w:val="24"/>
        </w:rPr>
        <w:t>不存在利害关系</w:t>
      </w:r>
      <w:r>
        <w:rPr>
          <w:rFonts w:hint="eastAsia" w:ascii="仿宋" w:hAnsi="仿宋" w:eastAsia="仿宋" w:cs="仿宋"/>
          <w:color w:val="000000"/>
          <w:kern w:val="0"/>
          <w:sz w:val="24"/>
          <w:szCs w:val="24"/>
        </w:rPr>
        <w:sym w:font="Wingdings" w:char="F0A8"/>
      </w:r>
      <w:r>
        <w:rPr>
          <w:rFonts w:hint="eastAsia" w:ascii="仿宋" w:hAnsi="仿宋" w:eastAsia="仿宋" w:cs="仿宋"/>
          <w:color w:val="000000"/>
          <w:kern w:val="0"/>
          <w:sz w:val="24"/>
          <w:szCs w:val="24"/>
        </w:rPr>
        <w:t>存在下列利害关系：</w:t>
      </w:r>
      <w:r>
        <w:rPr>
          <w:rFonts w:hint="eastAsia" w:ascii="仿宋" w:hAnsi="仿宋" w:eastAsia="仿宋" w:cs="仿宋"/>
          <w:color w:val="000000"/>
          <w:kern w:val="0"/>
          <w:sz w:val="24"/>
          <w:szCs w:val="24"/>
          <w:u w:val="single"/>
        </w:rPr>
        <w:t xml:space="preserve">         </w:t>
      </w:r>
    </w:p>
    <w:p w14:paraId="2DA246F4">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A.投资关系    B.行政隶属关系    C.业务指导关系</w:t>
      </w:r>
    </w:p>
    <w:p w14:paraId="0AF118F6">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3CA96063">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二、现已清楚知道参加本项目采购活动的其他所有投标人名称，本单位□与其他</w:t>
      </w:r>
      <w:r>
        <w:rPr>
          <w:rFonts w:hint="eastAsia" w:ascii="仿宋" w:hAnsi="仿宋" w:eastAsia="仿宋" w:cs="仿宋"/>
          <w:sz w:val="24"/>
          <w:szCs w:val="24"/>
        </w:rPr>
        <w:t>所有</w:t>
      </w:r>
      <w:r>
        <w:rPr>
          <w:rFonts w:hint="eastAsia" w:ascii="仿宋" w:hAnsi="仿宋" w:eastAsia="仿宋" w:cs="仿宋"/>
          <w:color w:val="000000"/>
          <w:kern w:val="0"/>
          <w:sz w:val="24"/>
          <w:szCs w:val="24"/>
        </w:rPr>
        <w:t>投标人之间均不存在利害关系□与（投标人名称）之间存在下列利害</w:t>
      </w:r>
      <w:r>
        <w:rPr>
          <w:rFonts w:hint="eastAsia" w:ascii="仿宋" w:hAnsi="仿宋" w:eastAsia="仿宋" w:cs="仿宋"/>
          <w:sz w:val="24"/>
          <w:szCs w:val="24"/>
        </w:rPr>
        <w:t>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0BC99418">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00421184">
      <w:pPr>
        <w:ind w:firstLine="480" w:firstLineChars="200"/>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0A390D66">
      <w:pPr>
        <w:ind w:firstLine="480" w:firstLineChars="200"/>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3AD5E404">
      <w:pPr>
        <w:ind w:firstLine="480" w:firstLineChars="200"/>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134C8FB8">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E.法定代表人或负责人或实际控制人存在近姻亲关系</w:t>
      </w:r>
    </w:p>
    <w:p w14:paraId="2BF022C7">
      <w:pPr>
        <w:ind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0B9FC7C4">
      <w:pPr>
        <w:ind w:firstLine="480" w:firstLineChars="200"/>
        <w:rPr>
          <w:rFonts w:hint="eastAsia" w:ascii="仿宋" w:hAnsi="仿宋" w:eastAsia="仿宋" w:cs="仿宋"/>
          <w:color w:val="000000"/>
          <w:kern w:val="0"/>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G.存在共同直接或间接投资设立子公司、联营企业和合营企业情况</w:t>
      </w:r>
    </w:p>
    <w:p w14:paraId="289F62FF">
      <w:pPr>
        <w:ind w:firstLine="480" w:firstLineChars="200"/>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w:t>
      </w:r>
      <w:r>
        <w:rPr>
          <w:rFonts w:hint="eastAsia" w:ascii="仿宋" w:hAnsi="仿宋" w:eastAsia="仿宋" w:cs="仿宋"/>
          <w:sz w:val="24"/>
          <w:szCs w:val="24"/>
        </w:rPr>
        <w:t>关系</w:t>
      </w:r>
    </w:p>
    <w:p w14:paraId="4618C552">
      <w:pPr>
        <w:ind w:firstLine="480" w:firstLineChars="200"/>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6AB9F3FB">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sz w:val="24"/>
          <w:szCs w:val="24"/>
        </w:rPr>
        <w:t>三、现已清楚知道并</w:t>
      </w:r>
      <w:r>
        <w:rPr>
          <w:rFonts w:hint="eastAsia" w:ascii="仿宋" w:hAnsi="仿宋" w:eastAsia="仿宋" w:cs="仿宋"/>
          <w:color w:val="000000"/>
          <w:kern w:val="0"/>
          <w:sz w:val="24"/>
          <w:szCs w:val="24"/>
        </w:rPr>
        <w:t>严格遵守政府采购法律法规和现场纪律。</w:t>
      </w:r>
    </w:p>
    <w:p w14:paraId="2BBDF7F3">
      <w:pPr>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四、我发现投标人之间存在或可能存在上述第二条第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08FBF671">
      <w:pPr>
        <w:pStyle w:val="51"/>
        <w:widowControl w:val="0"/>
        <w:snapToGrid w:val="0"/>
        <w:spacing w:line="400" w:lineRule="exact"/>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（供应商代表签名）</w:t>
      </w:r>
    </w:p>
    <w:p w14:paraId="39A51479">
      <w:pPr>
        <w:pStyle w:val="51"/>
        <w:widowControl w:val="0"/>
        <w:snapToGrid w:val="0"/>
        <w:spacing w:line="400" w:lineRule="exact"/>
        <w:ind w:firstLine="480" w:firstLineChars="2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5335B17">
      <w:pPr>
        <w:pStyle w:val="51"/>
        <w:widowControl w:val="0"/>
        <w:snapToGrid w:val="0"/>
        <w:spacing w:line="400" w:lineRule="exact"/>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年     月     日</w:t>
      </w:r>
    </w:p>
    <w:p w14:paraId="27D985B5">
      <w:pPr>
        <w:pStyle w:val="51"/>
        <w:widowControl w:val="0"/>
        <w:snapToGrid w:val="0"/>
        <w:spacing w:line="400" w:lineRule="exact"/>
        <w:jc w:val="both"/>
        <w:rPr>
          <w:rFonts w:hint="eastAsia" w:ascii="仿宋" w:hAnsi="仿宋" w:eastAsia="仿宋" w:cs="仿宋"/>
          <w:color w:val="000000" w:themeColor="text1"/>
          <w:sz w:val="24"/>
          <w:szCs w:val="24"/>
          <w:highlight w:val="none"/>
          <w14:textFill>
            <w14:solidFill>
              <w14:schemeClr w14:val="tx1"/>
            </w14:solidFill>
          </w14:textFill>
        </w:rPr>
      </w:pPr>
    </w:p>
    <w:p w14:paraId="3522D1C3">
      <w:pPr>
        <w:pStyle w:val="51"/>
        <w:widowControl w:val="0"/>
        <w:snapToGrid w:val="0"/>
        <w:spacing w:line="400" w:lineRule="exact"/>
        <w:jc w:val="both"/>
        <w:rPr>
          <w:rFonts w:hint="eastAsia" w:ascii="仿宋" w:hAnsi="仿宋" w:eastAsia="仿宋" w:cs="仿宋"/>
          <w:color w:val="000000" w:themeColor="text1"/>
          <w:sz w:val="24"/>
          <w:szCs w:val="24"/>
          <w:highlight w:val="none"/>
          <w14:textFill>
            <w14:solidFill>
              <w14:schemeClr w14:val="tx1"/>
            </w14:solidFill>
          </w14:textFill>
        </w:rPr>
      </w:pPr>
    </w:p>
    <w:p w14:paraId="1B61DAA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w:t>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"mailto:解密完成后，填写本确认书后扫描件回传至代理机构418262295@qq.com"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35"/>
          <w:rFonts w:hint="eastAsia" w:ascii="仿宋" w:hAnsi="仿宋" w:eastAsia="仿宋" w:cs="仿宋"/>
          <w:color w:val="000000" w:themeColor="text1"/>
          <w:highlight w:val="none"/>
          <w14:textFill>
            <w14:solidFill>
              <w14:schemeClr w14:val="tx1"/>
            </w14:solidFill>
          </w14:textFill>
        </w:rPr>
        <w:t>解密完成后，填写本确认书后扫描件回传至代理机构</w:t>
      </w:r>
      <w:r>
        <w:rPr>
          <w:rStyle w:val="35"/>
          <w:rFonts w:hint="eastAsia" w:ascii="仿宋" w:hAnsi="仿宋" w:eastAsia="仿宋" w:cs="仿宋"/>
          <w:color w:val="000000" w:themeColor="text1"/>
          <w:highlight w:val="none"/>
          <w:lang w:eastAsia="zh-CN"/>
          <w14:textFill>
            <w14:solidFill>
              <w14:schemeClr w14:val="tx1"/>
            </w14:solidFill>
          </w14:textFill>
        </w:rPr>
        <w:t>414767833@qq.com</w:t>
      </w:r>
      <w:r>
        <w:rPr>
          <w:rFonts w:hint="eastAsia" w:ascii="仿宋" w:hAnsi="仿宋" w:eastAsia="仿宋" w:cs="仿宋"/>
          <w:color w:val="000000" w:themeColor="text1"/>
          <w:highlight w:val="none"/>
          <w14:textFill>
            <w14:solidFill>
              <w14:schemeClr w14:val="tx1"/>
            </w14:solidFill>
          </w14:textFill>
        </w:rPr>
        <w:fldChar w:fldCharType="end"/>
      </w:r>
    </w:p>
    <w:p w14:paraId="77EB4877">
      <w:pPr>
        <w:rPr>
          <w:rFonts w:hint="eastAsia" w:ascii="仿宋" w:hAnsi="仿宋" w:eastAsia="仿宋" w:cs="仿宋"/>
          <w:color w:val="000000" w:themeColor="text1"/>
          <w:highlight w:val="none"/>
          <w14:textFill>
            <w14:solidFill>
              <w14:schemeClr w14:val="tx1"/>
            </w14:solidFill>
          </w14:textFill>
        </w:rPr>
      </w:pPr>
    </w:p>
    <w:sectPr>
      <w:headerReference r:id="rId8" w:type="default"/>
      <w:footerReference r:id="rId9" w:type="default"/>
      <w:pgSz w:w="11906" w:h="16838"/>
      <w:pgMar w:top="1440" w:right="850" w:bottom="1440" w:left="850"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953DB">
    <w:pPr>
      <w:pStyle w:val="21"/>
      <w:jc w:val="both"/>
      <w:rPr>
        <w:rFonts w:hint="eastAsia" w:eastAsia="宋体"/>
        <w:b/>
        <w:bCs/>
        <w:sz w:val="21"/>
        <w:szCs w:val="21"/>
        <w:lang w:eastAsia="zh-CN"/>
      </w:rPr>
    </w:pPr>
    <w:r>
      <w:rPr>
        <w:b/>
        <w:bCs/>
        <w:sz w:val="21"/>
        <w:szCs w:val="21"/>
      </w:rPr>
      <w:drawing>
        <wp:inline distT="0" distB="0" distL="114300" distR="114300">
          <wp:extent cx="271780" cy="310515"/>
          <wp:effectExtent l="0" t="0" r="13970" b="13335"/>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1"/>
                  <a:stretch>
                    <a:fillRect/>
                  </a:stretch>
                </pic:blipFill>
                <pic:spPr>
                  <a:xfrm>
                    <a:off x="0" y="0"/>
                    <a:ext cx="271780" cy="310515"/>
                  </a:xfrm>
                  <a:prstGeom prst="rect">
                    <a:avLst/>
                  </a:prstGeom>
                  <a:noFill/>
                  <a:ln>
                    <a:noFill/>
                  </a:ln>
                </pic:spPr>
              </pic:pic>
            </a:graphicData>
          </a:graphic>
        </wp:inline>
      </w:drawing>
    </w:r>
    <w:r>
      <w:rPr>
        <w:rFonts w:hint="eastAsia"/>
        <w:b/>
        <w:bCs/>
        <w:sz w:val="21"/>
        <w:szCs w:val="21"/>
        <w:lang w:eastAsia="zh-CN"/>
      </w:rPr>
      <w:t>浙江中正工程项目管理有限公司</w:t>
    </w:r>
  </w:p>
  <w:p w14:paraId="27D7C878">
    <w:pPr>
      <w:pStyle w:val="2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DE2D">
    <w:pPr>
      <w:pStyle w:val="21"/>
      <w:jc w:val="both"/>
      <w:rPr>
        <w:rFonts w:hint="eastAsia" w:eastAsia="宋体"/>
        <w:b/>
        <w:bCs/>
        <w:sz w:val="21"/>
        <w:szCs w:val="21"/>
        <w:lang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B72A5">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8DB72A5">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b/>
        <w:bCs/>
        <w:sz w:val="21"/>
        <w:szCs w:val="21"/>
      </w:rPr>
      <w:drawing>
        <wp:inline distT="0" distB="0" distL="114300" distR="114300">
          <wp:extent cx="271780" cy="310515"/>
          <wp:effectExtent l="0" t="0" r="13970" b="1333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
                  <a:stretch>
                    <a:fillRect/>
                  </a:stretch>
                </pic:blipFill>
                <pic:spPr>
                  <a:xfrm>
                    <a:off x="0" y="0"/>
                    <a:ext cx="271780" cy="310515"/>
                  </a:xfrm>
                  <a:prstGeom prst="rect">
                    <a:avLst/>
                  </a:prstGeom>
                  <a:noFill/>
                  <a:ln>
                    <a:noFill/>
                  </a:ln>
                </pic:spPr>
              </pic:pic>
            </a:graphicData>
          </a:graphic>
        </wp:inline>
      </w:drawing>
    </w:r>
    <w:r>
      <w:rPr>
        <w:rFonts w:hint="eastAsia"/>
        <w:b/>
        <w:bCs/>
        <w:sz w:val="21"/>
        <w:szCs w:val="21"/>
        <w:lang w:eastAsia="zh-CN"/>
      </w:rPr>
      <w:t>浙江中正工程项目管理有限公司</w:t>
    </w:r>
  </w:p>
  <w:p w14:paraId="686B2712">
    <w:pPr>
      <w:pStyle w:val="2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4272">
    <w:pPr>
      <w:pStyle w:val="21"/>
      <w:jc w:val="both"/>
      <w:rPr>
        <w:rFonts w:hint="eastAsia" w:eastAsia="宋体"/>
        <w:b/>
        <w:bCs/>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DD7C8">
                          <w:pPr>
                            <w:pStyle w:val="20"/>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9FDD7C8">
                    <w:pPr>
                      <w:pStyle w:val="20"/>
                    </w:pPr>
                    <w:r>
                      <w:fldChar w:fldCharType="begin"/>
                    </w:r>
                    <w:r>
                      <w:instrText xml:space="preserve"> PAGE  \* MERGEFORMAT </w:instrText>
                    </w:r>
                    <w:r>
                      <w:fldChar w:fldCharType="separate"/>
                    </w:r>
                    <w:r>
                      <w:t>- 3 -</w:t>
                    </w:r>
                    <w:r>
                      <w:fldChar w:fldCharType="end"/>
                    </w:r>
                  </w:p>
                </w:txbxContent>
              </v:textbox>
            </v:shape>
          </w:pict>
        </mc:Fallback>
      </mc:AlternateContent>
    </w:r>
    <w:r>
      <w:rPr>
        <w:b/>
        <w:bCs/>
        <w:sz w:val="21"/>
        <w:szCs w:val="21"/>
      </w:rPr>
      <w:drawing>
        <wp:inline distT="0" distB="0" distL="114300" distR="114300">
          <wp:extent cx="271780" cy="287020"/>
          <wp:effectExtent l="0" t="0" r="2540" b="2540"/>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pic:cNvPicPr>
                    <a:picLocks noChangeAspect="1"/>
                  </pic:cNvPicPr>
                </pic:nvPicPr>
                <pic:blipFill>
                  <a:blip r:embed="rId1"/>
                  <a:stretch>
                    <a:fillRect/>
                  </a:stretch>
                </pic:blipFill>
                <pic:spPr>
                  <a:xfrm>
                    <a:off x="0" y="0"/>
                    <a:ext cx="271780" cy="287020"/>
                  </a:xfrm>
                  <a:prstGeom prst="rect">
                    <a:avLst/>
                  </a:prstGeom>
                  <a:noFill/>
                  <a:ln>
                    <a:noFill/>
                  </a:ln>
                </pic:spPr>
              </pic:pic>
            </a:graphicData>
          </a:graphic>
        </wp:inline>
      </w:drawing>
    </w:r>
    <w:r>
      <w:rPr>
        <w:rFonts w:hint="eastAsia"/>
        <w:b/>
        <w:bCs/>
        <w:sz w:val="21"/>
        <w:szCs w:val="21"/>
        <w:lang w:eastAsia="zh-CN"/>
      </w:rPr>
      <w:t>浙江中正工程项目管理有限公司</w:t>
    </w:r>
  </w:p>
  <w:p w14:paraId="7380C244">
    <w:pPr>
      <w:spacing w:line="196" w:lineRule="auto"/>
      <w:ind w:left="5034"/>
      <w:rPr>
        <w:rFonts w:ascii="Times New Roman" w:hAnsi="Times New Roman" w:eastAsia="Times New Roman" w:cs="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B8A07">
    <w:pPr>
      <w:pStyle w:val="21"/>
      <w:jc w:val="both"/>
      <w:rPr>
        <w:rFonts w:hint="eastAsia" w:eastAsia="宋体"/>
        <w:b/>
        <w:bCs/>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30A57">
                          <w:pPr>
                            <w:pStyle w:val="20"/>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3630A57">
                    <w:pPr>
                      <w:pStyle w:val="20"/>
                    </w:pPr>
                    <w:r>
                      <w:fldChar w:fldCharType="begin"/>
                    </w:r>
                    <w:r>
                      <w:instrText xml:space="preserve"> PAGE  \* MERGEFORMAT </w:instrText>
                    </w:r>
                    <w:r>
                      <w:fldChar w:fldCharType="separate"/>
                    </w:r>
                    <w:r>
                      <w:t>- 53 -</w:t>
                    </w:r>
                    <w:r>
                      <w:fldChar w:fldCharType="end"/>
                    </w:r>
                  </w:p>
                </w:txbxContent>
              </v:textbox>
            </v:shape>
          </w:pict>
        </mc:Fallback>
      </mc:AlternateContent>
    </w:r>
    <w:r>
      <w:rPr>
        <w:b/>
        <w:bCs/>
        <w:sz w:val="21"/>
        <w:szCs w:val="21"/>
      </w:rPr>
      <w:drawing>
        <wp:inline distT="0" distB="0" distL="114300" distR="114300">
          <wp:extent cx="271780" cy="287020"/>
          <wp:effectExtent l="0" t="0" r="13970" b="17780"/>
          <wp:docPr id="1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
                  <pic:cNvPicPr>
                    <a:picLocks noChangeAspect="1"/>
                  </pic:cNvPicPr>
                </pic:nvPicPr>
                <pic:blipFill>
                  <a:blip r:embed="rId1"/>
                  <a:stretch>
                    <a:fillRect/>
                  </a:stretch>
                </pic:blipFill>
                <pic:spPr>
                  <a:xfrm>
                    <a:off x="0" y="0"/>
                    <a:ext cx="271780" cy="287020"/>
                  </a:xfrm>
                  <a:prstGeom prst="rect">
                    <a:avLst/>
                  </a:prstGeom>
                  <a:noFill/>
                  <a:ln>
                    <a:noFill/>
                  </a:ln>
                </pic:spPr>
              </pic:pic>
            </a:graphicData>
          </a:graphic>
        </wp:inline>
      </w:drawing>
    </w:r>
    <w:r>
      <w:rPr>
        <w:rFonts w:hint="eastAsia"/>
        <w:b/>
        <w:bCs/>
        <w:sz w:val="21"/>
        <w:szCs w:val="21"/>
        <w:lang w:eastAsia="zh-CN"/>
      </w:rPr>
      <w:t>浙江中正工程项目管理有限公司</w:t>
    </w:r>
  </w:p>
  <w:p w14:paraId="3B4228C3">
    <w:pPr>
      <w:pStyle w:val="20"/>
      <w:jc w:val="both"/>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EBC7ED0">
      <w:pPr>
        <w:pStyle w:val="24"/>
        <w:rPr>
          <w:rFonts w:hint="default"/>
        </w:rPr>
      </w:pPr>
      <w:r>
        <w:rPr>
          <w:rStyle w:val="36"/>
          <w:rFonts w:hint="eastAsia"/>
          <w:sz w:val="18"/>
        </w:rPr>
        <w:footnoteRef/>
      </w:r>
      <w:r>
        <w:rPr>
          <w:rFonts w:ascii="宋体" w:hAnsi="宋体"/>
          <w:sz w:val="21"/>
        </w:rPr>
        <w:t>从业人员、营业收入、资产总额填报上一年度数据，无上一年度数据的新成立企业可不填报。</w:t>
      </w:r>
    </w:p>
  </w:footnote>
  <w:footnote w:id="1">
    <w:p w14:paraId="27A516C2">
      <w:pPr>
        <w:pStyle w:val="24"/>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8ED0">
    <w:pPr>
      <w:pStyle w:val="21"/>
      <w:pBdr>
        <w:bottom w:val="dashDotStroked" w:color="auto" w:sz="24" w:space="1"/>
      </w:pBdr>
      <w:ind w:firstLine="361" w:firstLineChars="200"/>
      <w:rPr>
        <w:rFonts w:hint="eastAsia"/>
        <w:lang w:eastAsia="zh-CN"/>
      </w:rPr>
    </w:pPr>
    <w:r>
      <w:rPr>
        <w:rFonts w:hint="eastAsia"/>
        <w:b/>
        <w:bCs/>
        <w:lang w:eastAsia="zh-CN"/>
      </w:rPr>
      <w:t>2024-2025年特邀调解员服务项目</w:t>
    </w:r>
    <w:r>
      <w:rPr>
        <w:rFonts w:hint="eastAsia"/>
        <w:b/>
        <w:bCs/>
        <w:color w:val="auto"/>
        <w:lang w:val="en-US" w:eastAsia="zh-CN"/>
      </w:rPr>
      <w:t xml:space="preserve">                                      </w:t>
    </w:r>
    <w:r>
      <w:rPr>
        <w:rFonts w:hint="eastAsia"/>
        <w:b/>
        <w:bCs/>
      </w:rPr>
      <w:t>招标文件</w:t>
    </w:r>
  </w:p>
  <w:p w14:paraId="6AC9D3BB">
    <w:pPr>
      <w:pStyle w:val="21"/>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B562">
    <w:pPr>
      <w:pStyle w:val="21"/>
      <w:pBdr>
        <w:bottom w:val="dashDotStroked" w:color="auto" w:sz="24" w:space="1"/>
      </w:pBdr>
      <w:rPr>
        <w:rFonts w:hint="eastAsia"/>
        <w:lang w:eastAsia="zh-CN"/>
      </w:rPr>
    </w:pPr>
    <w:r>
      <w:rPr>
        <w:rFonts w:hint="eastAsia"/>
        <w:b/>
        <w:bCs/>
        <w:lang w:eastAsia="zh-CN"/>
      </w:rPr>
      <w:t>2024-2025年特邀调解员服务项目</w:t>
    </w:r>
    <w:r>
      <w:rPr>
        <w:rFonts w:hint="eastAsia"/>
        <w:b/>
        <w:bCs/>
        <w:color w:val="auto"/>
        <w:lang w:val="en-US" w:eastAsia="zh-CN"/>
      </w:rPr>
      <w:t xml:space="preserve">                         </w:t>
    </w:r>
    <w:r>
      <w:rPr>
        <w:rFonts w:hint="eastAsia"/>
        <w:b/>
        <w:bCs/>
      </w:rPr>
      <w:t>招标文件</w:t>
    </w:r>
  </w:p>
  <w:p w14:paraId="5B317A16">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85DE2"/>
    <w:multiLevelType w:val="singleLevel"/>
    <w:tmpl w:val="99D85DE2"/>
    <w:lvl w:ilvl="0" w:tentative="0">
      <w:start w:val="1"/>
      <w:numFmt w:val="decimal"/>
      <w:suff w:val="nothing"/>
      <w:lvlText w:val="（%1）"/>
      <w:lvlJc w:val="left"/>
    </w:lvl>
  </w:abstractNum>
  <w:abstractNum w:abstractNumId="1">
    <w:nsid w:val="B5F9559F"/>
    <w:multiLevelType w:val="singleLevel"/>
    <w:tmpl w:val="B5F9559F"/>
    <w:lvl w:ilvl="0" w:tentative="0">
      <w:start w:val="2"/>
      <w:numFmt w:val="decimal"/>
      <w:suff w:val="nothing"/>
      <w:lvlText w:val="%1、"/>
      <w:lvlJc w:val="left"/>
    </w:lvl>
  </w:abstractNum>
  <w:abstractNum w:abstractNumId="2">
    <w:nsid w:val="BE2221C5"/>
    <w:multiLevelType w:val="singleLevel"/>
    <w:tmpl w:val="BE2221C5"/>
    <w:lvl w:ilvl="0" w:tentative="0">
      <w:start w:val="1"/>
      <w:numFmt w:val="decimal"/>
      <w:lvlText w:val="%1."/>
      <w:lvlJc w:val="left"/>
      <w:pPr>
        <w:tabs>
          <w:tab w:val="left" w:pos="312"/>
        </w:tabs>
      </w:pPr>
    </w:lvl>
  </w:abstractNum>
  <w:abstractNum w:abstractNumId="3">
    <w:nsid w:val="5545CB81"/>
    <w:multiLevelType w:val="singleLevel"/>
    <w:tmpl w:val="5545CB81"/>
    <w:lvl w:ilvl="0" w:tentative="0">
      <w:start w:val="1"/>
      <w:numFmt w:val="chineseCounting"/>
      <w:suff w:val="space"/>
      <w:lvlText w:val="第%1章"/>
      <w:lvlJc w:val="left"/>
      <w:pPr>
        <w:ind w:left="2752"/>
      </w:pPr>
    </w:lvl>
  </w:abstractNum>
  <w:abstractNum w:abstractNumId="4">
    <w:nsid w:val="78FB6C86"/>
    <w:multiLevelType w:val="multilevel"/>
    <w:tmpl w:val="78FB6C86"/>
    <w:lvl w:ilvl="0" w:tentative="0">
      <w:start w:val="1"/>
      <w:numFmt w:val="decimal"/>
      <w:pStyle w:val="6"/>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ZDIxZDk4YzM5MjVmNTdjMWU5Y2EzN2IyZjY2M2QifQ=="/>
    <w:docVar w:name="KSO_WPS_MARK_KEY" w:val="e0663743-a35d-433c-8261-bb26490932c6"/>
  </w:docVars>
  <w:rsids>
    <w:rsidRoot w:val="00000000"/>
    <w:rsid w:val="003B5858"/>
    <w:rsid w:val="00885B23"/>
    <w:rsid w:val="00B95CDD"/>
    <w:rsid w:val="01483505"/>
    <w:rsid w:val="022B0236"/>
    <w:rsid w:val="02576316"/>
    <w:rsid w:val="025E67FA"/>
    <w:rsid w:val="03444DA6"/>
    <w:rsid w:val="036B30BE"/>
    <w:rsid w:val="03E52ED2"/>
    <w:rsid w:val="03F139E0"/>
    <w:rsid w:val="03F4536E"/>
    <w:rsid w:val="041F679F"/>
    <w:rsid w:val="04574F42"/>
    <w:rsid w:val="046C12B8"/>
    <w:rsid w:val="04F75026"/>
    <w:rsid w:val="05151950"/>
    <w:rsid w:val="05455025"/>
    <w:rsid w:val="058E4BCC"/>
    <w:rsid w:val="060379FA"/>
    <w:rsid w:val="063301A8"/>
    <w:rsid w:val="06F04422"/>
    <w:rsid w:val="070C4947"/>
    <w:rsid w:val="078B7CA7"/>
    <w:rsid w:val="0808754A"/>
    <w:rsid w:val="086B34D7"/>
    <w:rsid w:val="08C47915"/>
    <w:rsid w:val="08FC70AE"/>
    <w:rsid w:val="09410F65"/>
    <w:rsid w:val="098A46BA"/>
    <w:rsid w:val="09C000DC"/>
    <w:rsid w:val="09FC6C3A"/>
    <w:rsid w:val="0A301804"/>
    <w:rsid w:val="0A3823DD"/>
    <w:rsid w:val="0A5D3B7D"/>
    <w:rsid w:val="0A8455AD"/>
    <w:rsid w:val="0AD57BB7"/>
    <w:rsid w:val="0ADE5D3C"/>
    <w:rsid w:val="0AF32B54"/>
    <w:rsid w:val="0B1F3EE9"/>
    <w:rsid w:val="0B422D73"/>
    <w:rsid w:val="0B5331D2"/>
    <w:rsid w:val="0BEF3134"/>
    <w:rsid w:val="0C065811"/>
    <w:rsid w:val="0C460641"/>
    <w:rsid w:val="0C601702"/>
    <w:rsid w:val="0CE00A95"/>
    <w:rsid w:val="0D58687D"/>
    <w:rsid w:val="0D9F44AC"/>
    <w:rsid w:val="0DAB5BEC"/>
    <w:rsid w:val="0DE75C81"/>
    <w:rsid w:val="0E0132C0"/>
    <w:rsid w:val="0E2D7D0A"/>
    <w:rsid w:val="0E574324"/>
    <w:rsid w:val="0E7D2A40"/>
    <w:rsid w:val="0ECD6DF7"/>
    <w:rsid w:val="0F301A20"/>
    <w:rsid w:val="0F591ED5"/>
    <w:rsid w:val="0FE32712"/>
    <w:rsid w:val="10017243"/>
    <w:rsid w:val="10A32505"/>
    <w:rsid w:val="10CF50A9"/>
    <w:rsid w:val="10FB5E9E"/>
    <w:rsid w:val="11547472"/>
    <w:rsid w:val="117D4B05"/>
    <w:rsid w:val="11C52008"/>
    <w:rsid w:val="122F22A3"/>
    <w:rsid w:val="127001C5"/>
    <w:rsid w:val="12AF5192"/>
    <w:rsid w:val="12EC0194"/>
    <w:rsid w:val="131D659F"/>
    <w:rsid w:val="13416211"/>
    <w:rsid w:val="14123C2A"/>
    <w:rsid w:val="14193B6C"/>
    <w:rsid w:val="141C0ED1"/>
    <w:rsid w:val="14667AD2"/>
    <w:rsid w:val="14E35F89"/>
    <w:rsid w:val="153876C0"/>
    <w:rsid w:val="158521DA"/>
    <w:rsid w:val="15EF3AF7"/>
    <w:rsid w:val="16445BF1"/>
    <w:rsid w:val="16923B57"/>
    <w:rsid w:val="16D4057F"/>
    <w:rsid w:val="16FA2753"/>
    <w:rsid w:val="17474BB8"/>
    <w:rsid w:val="1780009A"/>
    <w:rsid w:val="17F17FFA"/>
    <w:rsid w:val="182A3C40"/>
    <w:rsid w:val="18B93E10"/>
    <w:rsid w:val="19BD40CC"/>
    <w:rsid w:val="1A3D25DD"/>
    <w:rsid w:val="1A4C776A"/>
    <w:rsid w:val="1B0E6FF3"/>
    <w:rsid w:val="1C3B255D"/>
    <w:rsid w:val="1C47627A"/>
    <w:rsid w:val="1C4E5A1B"/>
    <w:rsid w:val="1C8327F2"/>
    <w:rsid w:val="1C9E770D"/>
    <w:rsid w:val="1CA3355D"/>
    <w:rsid w:val="1D1C05E0"/>
    <w:rsid w:val="1D37025D"/>
    <w:rsid w:val="1D4809E3"/>
    <w:rsid w:val="1D6E79F7"/>
    <w:rsid w:val="1DC835AB"/>
    <w:rsid w:val="1DFC5003"/>
    <w:rsid w:val="1E845724"/>
    <w:rsid w:val="1E9C74B2"/>
    <w:rsid w:val="1EDF295B"/>
    <w:rsid w:val="1EE51B32"/>
    <w:rsid w:val="1F3A2287"/>
    <w:rsid w:val="1F7F413E"/>
    <w:rsid w:val="1FCB1131"/>
    <w:rsid w:val="200603BB"/>
    <w:rsid w:val="202A58A0"/>
    <w:rsid w:val="20631BE8"/>
    <w:rsid w:val="20B56069"/>
    <w:rsid w:val="20DD2ECA"/>
    <w:rsid w:val="20E406FC"/>
    <w:rsid w:val="212B00D9"/>
    <w:rsid w:val="219240E0"/>
    <w:rsid w:val="21D06ED2"/>
    <w:rsid w:val="22563B6C"/>
    <w:rsid w:val="225A3338"/>
    <w:rsid w:val="227855A0"/>
    <w:rsid w:val="229C0B63"/>
    <w:rsid w:val="22AC349C"/>
    <w:rsid w:val="22B46D64"/>
    <w:rsid w:val="22BD32E6"/>
    <w:rsid w:val="2305496B"/>
    <w:rsid w:val="23307C29"/>
    <w:rsid w:val="239C52BE"/>
    <w:rsid w:val="23B54AAC"/>
    <w:rsid w:val="240321A7"/>
    <w:rsid w:val="240370EB"/>
    <w:rsid w:val="242D20C6"/>
    <w:rsid w:val="2471674B"/>
    <w:rsid w:val="24AC780B"/>
    <w:rsid w:val="25781375"/>
    <w:rsid w:val="25A8619C"/>
    <w:rsid w:val="25E62DD2"/>
    <w:rsid w:val="25FA62CC"/>
    <w:rsid w:val="2642035C"/>
    <w:rsid w:val="26580766"/>
    <w:rsid w:val="2659017E"/>
    <w:rsid w:val="268F2EB8"/>
    <w:rsid w:val="269E7FB9"/>
    <w:rsid w:val="27CB43C4"/>
    <w:rsid w:val="28883CD4"/>
    <w:rsid w:val="288A1B89"/>
    <w:rsid w:val="28E33128"/>
    <w:rsid w:val="294F4B81"/>
    <w:rsid w:val="29B82726"/>
    <w:rsid w:val="29F6217B"/>
    <w:rsid w:val="2A337FFE"/>
    <w:rsid w:val="2A636B36"/>
    <w:rsid w:val="2B084FE7"/>
    <w:rsid w:val="2B807273"/>
    <w:rsid w:val="2B920D55"/>
    <w:rsid w:val="2BDD7322"/>
    <w:rsid w:val="2BFC0FF0"/>
    <w:rsid w:val="2C6426F1"/>
    <w:rsid w:val="2CB20696"/>
    <w:rsid w:val="2D614E83"/>
    <w:rsid w:val="2E1C667E"/>
    <w:rsid w:val="2E2E745B"/>
    <w:rsid w:val="2E426A62"/>
    <w:rsid w:val="2E964E15"/>
    <w:rsid w:val="2E9A064C"/>
    <w:rsid w:val="2ED2428A"/>
    <w:rsid w:val="2F397E65"/>
    <w:rsid w:val="2F882B9B"/>
    <w:rsid w:val="301D3360"/>
    <w:rsid w:val="308E2433"/>
    <w:rsid w:val="309D08C8"/>
    <w:rsid w:val="31C3435E"/>
    <w:rsid w:val="324F174E"/>
    <w:rsid w:val="32D22AAA"/>
    <w:rsid w:val="32EF17DE"/>
    <w:rsid w:val="343A3593"/>
    <w:rsid w:val="343B2B6E"/>
    <w:rsid w:val="347656B7"/>
    <w:rsid w:val="34A42225"/>
    <w:rsid w:val="34C44675"/>
    <w:rsid w:val="35064C8D"/>
    <w:rsid w:val="35BB5A78"/>
    <w:rsid w:val="35E0728C"/>
    <w:rsid w:val="37183DF8"/>
    <w:rsid w:val="372F14A0"/>
    <w:rsid w:val="37D921E5"/>
    <w:rsid w:val="384D672F"/>
    <w:rsid w:val="38AE7CD3"/>
    <w:rsid w:val="391F631E"/>
    <w:rsid w:val="393A4F06"/>
    <w:rsid w:val="394B3436"/>
    <w:rsid w:val="396C0E37"/>
    <w:rsid w:val="39BC1DBE"/>
    <w:rsid w:val="39E6508D"/>
    <w:rsid w:val="39E92488"/>
    <w:rsid w:val="39F5707E"/>
    <w:rsid w:val="3A0D50E9"/>
    <w:rsid w:val="3A244EA7"/>
    <w:rsid w:val="3A2A7FEF"/>
    <w:rsid w:val="3A3F4736"/>
    <w:rsid w:val="3AC2225A"/>
    <w:rsid w:val="3AC54CA3"/>
    <w:rsid w:val="3BA532D3"/>
    <w:rsid w:val="3D605157"/>
    <w:rsid w:val="3DC96858"/>
    <w:rsid w:val="3E2148E6"/>
    <w:rsid w:val="3F1E2DF6"/>
    <w:rsid w:val="3F696545"/>
    <w:rsid w:val="3F7C29CC"/>
    <w:rsid w:val="3F8F587F"/>
    <w:rsid w:val="3FF102E8"/>
    <w:rsid w:val="40812897"/>
    <w:rsid w:val="40A778AE"/>
    <w:rsid w:val="40C66E83"/>
    <w:rsid w:val="414C3A28"/>
    <w:rsid w:val="418F600A"/>
    <w:rsid w:val="419548D3"/>
    <w:rsid w:val="419B050B"/>
    <w:rsid w:val="42F26851"/>
    <w:rsid w:val="43215020"/>
    <w:rsid w:val="43430E5B"/>
    <w:rsid w:val="44E81112"/>
    <w:rsid w:val="45712379"/>
    <w:rsid w:val="45970C00"/>
    <w:rsid w:val="45D03D4C"/>
    <w:rsid w:val="46735367"/>
    <w:rsid w:val="47BB1907"/>
    <w:rsid w:val="47CB3875"/>
    <w:rsid w:val="47F210A1"/>
    <w:rsid w:val="482F5E51"/>
    <w:rsid w:val="499248EA"/>
    <w:rsid w:val="499A554C"/>
    <w:rsid w:val="49A62143"/>
    <w:rsid w:val="49B40021"/>
    <w:rsid w:val="49BC54C3"/>
    <w:rsid w:val="4AC40AD3"/>
    <w:rsid w:val="4AD52CE0"/>
    <w:rsid w:val="4BF0515F"/>
    <w:rsid w:val="4C341C88"/>
    <w:rsid w:val="4CFF4044"/>
    <w:rsid w:val="4D3C7046"/>
    <w:rsid w:val="4D752558"/>
    <w:rsid w:val="4DD23507"/>
    <w:rsid w:val="4E5C54C6"/>
    <w:rsid w:val="4E8D01BD"/>
    <w:rsid w:val="4F2E0C11"/>
    <w:rsid w:val="507C59AC"/>
    <w:rsid w:val="50893447"/>
    <w:rsid w:val="51556929"/>
    <w:rsid w:val="51BB2504"/>
    <w:rsid w:val="51DC0DF8"/>
    <w:rsid w:val="51E8779D"/>
    <w:rsid w:val="525210BA"/>
    <w:rsid w:val="52AA2CA4"/>
    <w:rsid w:val="53861EF6"/>
    <w:rsid w:val="541D4512"/>
    <w:rsid w:val="54C00ABF"/>
    <w:rsid w:val="54E51D72"/>
    <w:rsid w:val="55085A60"/>
    <w:rsid w:val="561F5757"/>
    <w:rsid w:val="56521689"/>
    <w:rsid w:val="56A31EE4"/>
    <w:rsid w:val="56B71025"/>
    <w:rsid w:val="56B7773E"/>
    <w:rsid w:val="56B860AB"/>
    <w:rsid w:val="56C41E5B"/>
    <w:rsid w:val="56F444EE"/>
    <w:rsid w:val="56FC33A3"/>
    <w:rsid w:val="5746660D"/>
    <w:rsid w:val="57603931"/>
    <w:rsid w:val="5814471C"/>
    <w:rsid w:val="586B0FB3"/>
    <w:rsid w:val="588418A2"/>
    <w:rsid w:val="58900246"/>
    <w:rsid w:val="589A07FB"/>
    <w:rsid w:val="58F52C71"/>
    <w:rsid w:val="59DB54EA"/>
    <w:rsid w:val="5A0F6902"/>
    <w:rsid w:val="5A113609"/>
    <w:rsid w:val="5A294130"/>
    <w:rsid w:val="5A5F25C6"/>
    <w:rsid w:val="5AC8016B"/>
    <w:rsid w:val="5AF80325"/>
    <w:rsid w:val="5B6346F0"/>
    <w:rsid w:val="5B76247F"/>
    <w:rsid w:val="5BDB2720"/>
    <w:rsid w:val="5C6F53A8"/>
    <w:rsid w:val="5CA17B4A"/>
    <w:rsid w:val="5CAA3CE0"/>
    <w:rsid w:val="5CC11316"/>
    <w:rsid w:val="5D292A17"/>
    <w:rsid w:val="5D83481E"/>
    <w:rsid w:val="5D8F31C2"/>
    <w:rsid w:val="5E1C257C"/>
    <w:rsid w:val="5FBB029F"/>
    <w:rsid w:val="5FEF02BF"/>
    <w:rsid w:val="60681AA9"/>
    <w:rsid w:val="60E05AE3"/>
    <w:rsid w:val="60E17954"/>
    <w:rsid w:val="60FA6BA5"/>
    <w:rsid w:val="61357BDD"/>
    <w:rsid w:val="6177777B"/>
    <w:rsid w:val="61AD2C5A"/>
    <w:rsid w:val="625B42A7"/>
    <w:rsid w:val="62E27821"/>
    <w:rsid w:val="62F12229"/>
    <w:rsid w:val="632048BD"/>
    <w:rsid w:val="63822E81"/>
    <w:rsid w:val="64177A6E"/>
    <w:rsid w:val="647714FD"/>
    <w:rsid w:val="64A357A5"/>
    <w:rsid w:val="64E57B6C"/>
    <w:rsid w:val="652561BA"/>
    <w:rsid w:val="658E58B8"/>
    <w:rsid w:val="65D57BE0"/>
    <w:rsid w:val="65DD6A95"/>
    <w:rsid w:val="660D737A"/>
    <w:rsid w:val="66473001"/>
    <w:rsid w:val="67542D87"/>
    <w:rsid w:val="67852F40"/>
    <w:rsid w:val="68091DC3"/>
    <w:rsid w:val="681D13CB"/>
    <w:rsid w:val="68307350"/>
    <w:rsid w:val="68835B1E"/>
    <w:rsid w:val="68953657"/>
    <w:rsid w:val="68A35D74"/>
    <w:rsid w:val="69821E2D"/>
    <w:rsid w:val="69B56B52"/>
    <w:rsid w:val="6A162576"/>
    <w:rsid w:val="6A975464"/>
    <w:rsid w:val="6AE6019A"/>
    <w:rsid w:val="6B405AFC"/>
    <w:rsid w:val="6C0A77AB"/>
    <w:rsid w:val="6C465394"/>
    <w:rsid w:val="6C501D6F"/>
    <w:rsid w:val="6D0D7C60"/>
    <w:rsid w:val="6DC26BBC"/>
    <w:rsid w:val="6E1C57B7"/>
    <w:rsid w:val="6E4461E5"/>
    <w:rsid w:val="6E7F693B"/>
    <w:rsid w:val="6FAA5C3A"/>
    <w:rsid w:val="701B2694"/>
    <w:rsid w:val="703F45D4"/>
    <w:rsid w:val="70A1703D"/>
    <w:rsid w:val="70B825D8"/>
    <w:rsid w:val="710650F2"/>
    <w:rsid w:val="71241A1C"/>
    <w:rsid w:val="71614A1E"/>
    <w:rsid w:val="718F7A6C"/>
    <w:rsid w:val="71BA7C8A"/>
    <w:rsid w:val="71F47AFD"/>
    <w:rsid w:val="721750DD"/>
    <w:rsid w:val="723839D1"/>
    <w:rsid w:val="723E08BB"/>
    <w:rsid w:val="724A7260"/>
    <w:rsid w:val="72700791"/>
    <w:rsid w:val="72DF5BFA"/>
    <w:rsid w:val="733B70AB"/>
    <w:rsid w:val="73C315CB"/>
    <w:rsid w:val="73D6524F"/>
    <w:rsid w:val="74387CB8"/>
    <w:rsid w:val="75D363E9"/>
    <w:rsid w:val="760A106F"/>
    <w:rsid w:val="762F50EB"/>
    <w:rsid w:val="76D42F6D"/>
    <w:rsid w:val="76D96E05"/>
    <w:rsid w:val="770E3436"/>
    <w:rsid w:val="77440722"/>
    <w:rsid w:val="7839241C"/>
    <w:rsid w:val="79081DA1"/>
    <w:rsid w:val="79231EBF"/>
    <w:rsid w:val="793D18CD"/>
    <w:rsid w:val="793F73F3"/>
    <w:rsid w:val="798B088A"/>
    <w:rsid w:val="7A2605B3"/>
    <w:rsid w:val="7A3902E6"/>
    <w:rsid w:val="7A4D1FE3"/>
    <w:rsid w:val="7B84469D"/>
    <w:rsid w:val="7BB8348D"/>
    <w:rsid w:val="7BD83B2F"/>
    <w:rsid w:val="7D162B61"/>
    <w:rsid w:val="7D22313B"/>
    <w:rsid w:val="7D39684F"/>
    <w:rsid w:val="7D423956"/>
    <w:rsid w:val="7D692C90"/>
    <w:rsid w:val="7DB14637"/>
    <w:rsid w:val="7E551467"/>
    <w:rsid w:val="7E694F12"/>
    <w:rsid w:val="7E843AFA"/>
    <w:rsid w:val="7EEF3669"/>
    <w:rsid w:val="7F5931D8"/>
    <w:rsid w:val="7F61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楷体_GB2312" w:eastAsia="楷体_GB2312"/>
      <w:b/>
      <w:bCs/>
    </w:rPr>
  </w:style>
  <w:style w:type="paragraph" w:styleId="3">
    <w:name w:val="heading 2"/>
    <w:basedOn w:val="1"/>
    <w:next w:val="1"/>
    <w:link w:val="66"/>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paragraph" w:styleId="6">
    <w:name w:val="heading 5"/>
    <w:basedOn w:val="1"/>
    <w:next w:val="1"/>
    <w:qFormat/>
    <w:uiPriority w:val="0"/>
    <w:pPr>
      <w:keepNext/>
      <w:keepLines/>
      <w:numPr>
        <w:ilvl w:val="0"/>
        <w:numId w:val="1"/>
      </w:numPr>
      <w:spacing w:beforeLines="0" w:line="288" w:lineRule="auto"/>
      <w:ind w:left="0" w:firstLine="0" w:firstLineChars="0"/>
      <w:outlineLvl w:val="4"/>
    </w:pPr>
    <w:rPr>
      <w:bCs/>
      <w:szCs w:val="24"/>
    </w:rPr>
  </w:style>
  <w:style w:type="paragraph" w:styleId="7">
    <w:name w:val="heading 6"/>
    <w:basedOn w:val="1"/>
    <w:next w:val="1"/>
    <w:qFormat/>
    <w:uiPriority w:val="0"/>
    <w:pPr>
      <w:keepNext/>
      <w:widowControl w:val="0"/>
      <w:autoSpaceDE w:val="0"/>
      <w:autoSpaceDN w:val="0"/>
      <w:adjustRightInd w:val="0"/>
      <w:snapToGrid w:val="0"/>
      <w:spacing w:before="240" w:after="64" w:line="320" w:lineRule="auto"/>
      <w:jc w:val="both"/>
      <w:outlineLvl w:val="5"/>
    </w:pPr>
    <w:rPr>
      <w:rFonts w:ascii="Arial" w:hAnsi="Arial" w:eastAsia="黑体"/>
      <w:b/>
      <w:color w:val="000000"/>
      <w:sz w:val="24"/>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8">
    <w:name w:val="Normal Indent"/>
    <w:basedOn w:val="1"/>
    <w:next w:val="1"/>
    <w:unhideWhenUsed/>
    <w:qFormat/>
    <w:uiPriority w:val="99"/>
    <w:pPr>
      <w:adjustRightInd w:val="0"/>
      <w:spacing w:line="312" w:lineRule="atLeast"/>
      <w:ind w:firstLine="420"/>
    </w:pPr>
    <w:rPr>
      <w:rFonts w:ascii="Calibri" w:hAnsi="Calibri" w:eastAsia="宋体" w:cs="黑体"/>
      <w:szCs w:val="22"/>
    </w:rPr>
  </w:style>
  <w:style w:type="paragraph" w:styleId="9">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0">
    <w:name w:val="annotation text"/>
    <w:basedOn w:val="1"/>
    <w:qFormat/>
    <w:uiPriority w:val="0"/>
    <w:pPr>
      <w:jc w:val="left"/>
    </w:pPr>
  </w:style>
  <w:style w:type="paragraph" w:styleId="11">
    <w:name w:val="Body Text"/>
    <w:basedOn w:val="1"/>
    <w:next w:val="12"/>
    <w:link w:val="58"/>
    <w:unhideWhenUsed/>
    <w:qFormat/>
    <w:uiPriority w:val="99"/>
    <w:pPr>
      <w:spacing w:after="120"/>
    </w:pPr>
  </w:style>
  <w:style w:type="paragraph" w:styleId="12">
    <w:name w:val="Body Text First Indent"/>
    <w:basedOn w:val="11"/>
    <w:next w:val="13"/>
    <w:qFormat/>
    <w:uiPriority w:val="0"/>
    <w:pPr>
      <w:autoSpaceDE w:val="0"/>
      <w:autoSpaceDN w:val="0"/>
      <w:adjustRightInd w:val="0"/>
      <w:ind w:firstLine="420" w:firstLineChars="100"/>
      <w:textAlignment w:val="baseline"/>
    </w:pPr>
    <w:rPr>
      <w:sz w:val="24"/>
      <w:szCs w:val="20"/>
    </w:rPr>
  </w:style>
  <w:style w:type="paragraph" w:styleId="13">
    <w:name w:val="toc 6"/>
    <w:basedOn w:val="1"/>
    <w:next w:val="1"/>
    <w:semiHidden/>
    <w:qFormat/>
    <w:uiPriority w:val="0"/>
    <w:pPr>
      <w:ind w:left="1050"/>
      <w:jc w:val="left"/>
    </w:pPr>
    <w:rPr>
      <w:sz w:val="18"/>
      <w:szCs w:val="18"/>
    </w:rPr>
  </w:style>
  <w:style w:type="paragraph" w:styleId="14">
    <w:name w:val="Body Text Indent"/>
    <w:basedOn w:val="1"/>
    <w:next w:val="1"/>
    <w:unhideWhenUsed/>
    <w:qFormat/>
    <w:uiPriority w:val="99"/>
    <w:pPr>
      <w:ind w:left="480" w:hanging="480" w:hangingChars="200"/>
    </w:pPr>
    <w:rPr>
      <w:sz w:val="24"/>
    </w:rPr>
  </w:style>
  <w:style w:type="paragraph" w:styleId="15">
    <w:name w:val="Block Text"/>
    <w:basedOn w:val="1"/>
    <w:qFormat/>
    <w:uiPriority w:val="0"/>
    <w:pPr>
      <w:spacing w:beforeLines="50" w:afterLines="50"/>
      <w:ind w:left="426" w:right="-11" w:hanging="426" w:hangingChars="203"/>
    </w:pPr>
    <w:rPr>
      <w:rFonts w:eastAsia="楷体_GB2312"/>
    </w:rPr>
  </w:style>
  <w:style w:type="paragraph" w:styleId="16">
    <w:name w:val="Plain Text"/>
    <w:basedOn w:val="1"/>
    <w:next w:val="17"/>
    <w:unhideWhenUsed/>
    <w:qFormat/>
    <w:uiPriority w:val="99"/>
    <w:pPr>
      <w:widowControl/>
      <w:overflowPunct w:val="0"/>
      <w:autoSpaceDE w:val="0"/>
      <w:autoSpaceDN w:val="0"/>
      <w:adjustRightInd w:val="0"/>
      <w:jc w:val="left"/>
    </w:pPr>
    <w:rPr>
      <w:rFonts w:ascii="宋体" w:hAnsi="Courier New" w:cs="黑体"/>
      <w:szCs w:val="21"/>
    </w:rPr>
  </w:style>
  <w:style w:type="paragraph" w:styleId="17">
    <w:name w:val="Date"/>
    <w:basedOn w:val="1"/>
    <w:next w:val="1"/>
    <w:qFormat/>
    <w:uiPriority w:val="99"/>
    <w:pPr>
      <w:ind w:left="2500" w:leftChars="2500"/>
    </w:pPr>
    <w:rPr>
      <w:rFonts w:eastAsia="楷体_GB2312"/>
      <w:sz w:val="32"/>
      <w:szCs w:val="20"/>
    </w:rPr>
  </w:style>
  <w:style w:type="paragraph" w:styleId="18">
    <w:name w:val="Body Text Indent 2"/>
    <w:basedOn w:val="1"/>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qFormat/>
    <w:uiPriority w:val="99"/>
  </w:style>
  <w:style w:type="paragraph" w:styleId="2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4">
    <w:name w:val="footnote text"/>
    <w:basedOn w:val="1"/>
    <w:qFormat/>
    <w:uiPriority w:val="99"/>
    <w:pPr>
      <w:snapToGrid w:val="0"/>
      <w:jc w:val="left"/>
    </w:pPr>
    <w:rPr>
      <w:rFonts w:ascii="Calibri" w:hAnsi="Calibri"/>
      <w:sz w:val="18"/>
    </w:r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qFormat/>
    <w:uiPriority w:val="99"/>
    <w:pPr>
      <w:ind w:left="420" w:leftChars="200"/>
    </w:pPr>
  </w:style>
  <w:style w:type="paragraph" w:styleId="27">
    <w:name w:val="Body Text 2"/>
    <w:basedOn w:val="1"/>
    <w:unhideWhenUsed/>
    <w:qFormat/>
    <w:uiPriority w:val="99"/>
    <w:pPr>
      <w:spacing w:after="120" w:line="480" w:lineRule="auto"/>
    </w:pPr>
  </w:style>
  <w:style w:type="paragraph" w:styleId="28">
    <w:name w:val="Normal (Web)"/>
    <w:basedOn w:val="1"/>
    <w:next w:val="26"/>
    <w:unhideWhenUsed/>
    <w:qFormat/>
    <w:uiPriority w:val="99"/>
    <w:pPr>
      <w:widowControl/>
      <w:spacing w:before="100" w:beforeLines="0" w:beforeAutospacing="1" w:after="100" w:afterLines="0" w:afterAutospacing="1"/>
      <w:jc w:val="left"/>
    </w:pPr>
    <w:rPr>
      <w:rFonts w:ascii="宋体" w:hAnsi="宋体"/>
      <w:kern w:val="0"/>
      <w:sz w:val="24"/>
    </w:rPr>
  </w:style>
  <w:style w:type="paragraph" w:styleId="29">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30">
    <w:name w:val="Body Text First Indent 2"/>
    <w:basedOn w:val="14"/>
    <w:next w:val="12"/>
    <w:unhideWhenUsed/>
    <w:qFormat/>
    <w:uiPriority w:val="99"/>
    <w:pPr>
      <w:spacing w:after="120" w:line="240" w:lineRule="auto"/>
      <w:ind w:left="420" w:leftChars="200" w:firstLine="420"/>
    </w:pPr>
    <w:rPr>
      <w:rFonts w:cs="宋体"/>
      <w:sz w:val="21"/>
      <w:szCs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unhideWhenUsed/>
    <w:qFormat/>
    <w:uiPriority w:val="99"/>
    <w:rPr>
      <w:color w:val="000000"/>
      <w:u w:val="none"/>
    </w:rPr>
  </w:style>
  <w:style w:type="character" w:styleId="35">
    <w:name w:val="Hyperlink"/>
    <w:basedOn w:val="33"/>
    <w:unhideWhenUsed/>
    <w:qFormat/>
    <w:uiPriority w:val="99"/>
    <w:rPr>
      <w:color w:val="000000"/>
      <w:sz w:val="20"/>
      <w:szCs w:val="20"/>
      <w:u w:val="none"/>
    </w:rPr>
  </w:style>
  <w:style w:type="character" w:styleId="36">
    <w:name w:val="footnote reference"/>
    <w:basedOn w:val="33"/>
    <w:qFormat/>
    <w:uiPriority w:val="99"/>
    <w:rPr>
      <w:rFonts w:ascii="Times New Roman" w:cs="Times New Roman"/>
      <w:sz w:val="24"/>
      <w:vertAlign w:val="superscript"/>
    </w:rPr>
  </w:style>
  <w:style w:type="paragraph" w:customStyle="1" w:styleId="37">
    <w:name w:val="Default"/>
    <w:next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目录 71"/>
    <w:next w:val="1"/>
    <w:qFormat/>
    <w:uiPriority w:val="0"/>
    <w:pPr>
      <w:wordWrap w:val="0"/>
      <w:ind w:left="2550"/>
      <w:jc w:val="both"/>
    </w:pPr>
    <w:rPr>
      <w:rFonts w:asciiTheme="minorHAnsi" w:hAnsiTheme="minorHAnsi" w:eastAsiaTheme="minorEastAsia" w:cstheme="minorBidi"/>
      <w:sz w:val="21"/>
      <w:szCs w:val="22"/>
      <w:lang w:val="en-US" w:eastAsia="zh-CN" w:bidi="ar-SA"/>
    </w:rPr>
  </w:style>
  <w:style w:type="paragraph" w:customStyle="1" w:styleId="3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0">
    <w:name w:val="Normal Indent1"/>
    <w:basedOn w:val="1"/>
    <w:qFormat/>
    <w:uiPriority w:val="0"/>
    <w:pPr>
      <w:ind w:firstLine="420" w:firstLineChars="200"/>
    </w:pPr>
  </w:style>
  <w:style w:type="paragraph" w:customStyle="1" w:styleId="41">
    <w:name w:val="表格文字"/>
    <w:basedOn w:val="16"/>
    <w:next w:val="11"/>
    <w:qFormat/>
    <w:uiPriority w:val="0"/>
    <w:pPr>
      <w:adjustRightInd w:val="0"/>
      <w:spacing w:line="420" w:lineRule="atLeast"/>
      <w:textAlignment w:val="baseline"/>
    </w:pPr>
  </w:style>
  <w:style w:type="paragraph" w:customStyle="1" w:styleId="42">
    <w:name w:val="BodyText1I"/>
    <w:basedOn w:val="43"/>
    <w:qFormat/>
    <w:uiPriority w:val="0"/>
    <w:pPr>
      <w:autoSpaceDE/>
      <w:autoSpaceDN/>
      <w:spacing w:after="120"/>
      <w:ind w:firstLine="420"/>
      <w:jc w:val="both"/>
      <w:textAlignment w:val="baseline"/>
    </w:pPr>
    <w:rPr>
      <w:rFonts w:ascii="仿宋_GB2312" w:hAnsi="Times New Roman" w:eastAsia="仿宋_GB2312"/>
      <w:kern w:val="2"/>
      <w:sz w:val="28"/>
      <w:szCs w:val="24"/>
      <w:lang w:val="zh-CN" w:eastAsia="zh-CN" w:bidi="ar-SA"/>
    </w:rPr>
  </w:style>
  <w:style w:type="paragraph" w:customStyle="1" w:styleId="43">
    <w:name w:val="BodyText"/>
    <w:basedOn w:val="1"/>
    <w:qFormat/>
    <w:uiPriority w:val="0"/>
    <w:pPr>
      <w:textAlignment w:val="baseline"/>
    </w:pPr>
    <w:rPr>
      <w:rFonts w:ascii="仿宋" w:hAnsi="仿宋" w:eastAsia="仿宋"/>
      <w:sz w:val="24"/>
      <w:szCs w:val="24"/>
      <w:lang w:val="zh-CN" w:eastAsia="zh-CN" w:bidi="zh-CN"/>
    </w:rPr>
  </w:style>
  <w:style w:type="paragraph" w:customStyle="1" w:styleId="4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样式1"/>
    <w:basedOn w:val="21"/>
    <w:qFormat/>
    <w:uiPriority w:val="0"/>
    <w:pPr>
      <w:spacing w:line="360" w:lineRule="exact"/>
      <w:ind w:firstLine="200" w:firstLineChars="200"/>
    </w:pPr>
    <w:rPr>
      <w:rFonts w:ascii="Arial" w:hAnsi="Arial"/>
    </w:rPr>
  </w:style>
  <w:style w:type="paragraph" w:customStyle="1" w:styleId="47">
    <w:name w:val="Fließtext"/>
    <w:basedOn w:val="1"/>
    <w:qFormat/>
    <w:uiPriority w:val="0"/>
    <w:pPr>
      <w:overflowPunct w:val="0"/>
      <w:autoSpaceDE w:val="0"/>
      <w:autoSpaceDN w:val="0"/>
      <w:adjustRightInd w:val="0"/>
      <w:textAlignment w:val="baseline"/>
    </w:pPr>
    <w:rPr>
      <w:kern w:val="28"/>
      <w:szCs w:val="20"/>
    </w:rPr>
  </w:style>
  <w:style w:type="paragraph" w:customStyle="1" w:styleId="4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章正文"/>
    <w:basedOn w:val="1"/>
    <w:qFormat/>
    <w:uiPriority w:val="0"/>
    <w:pPr>
      <w:spacing w:beforeLines="50" w:after="120" w:line="300" w:lineRule="auto"/>
      <w:ind w:firstLine="480"/>
    </w:pPr>
    <w:rPr>
      <w:rFonts w:ascii="Helvetica" w:hAnsi="Helvetica"/>
      <w:kern w:val="0"/>
      <w:sz w:val="24"/>
    </w:rPr>
  </w:style>
  <w:style w:type="character" w:customStyle="1" w:styleId="50">
    <w:name w:val="NormalCharacter"/>
    <w:qFormat/>
    <w:uiPriority w:val="0"/>
  </w:style>
  <w:style w:type="paragraph" w:customStyle="1" w:styleId="51">
    <w:name w:val="Plain Text"/>
    <w:basedOn w:val="52"/>
    <w:next w:val="1"/>
    <w:qFormat/>
    <w:uiPriority w:val="0"/>
    <w:pPr>
      <w:widowControl/>
      <w:overflowPunct w:val="0"/>
      <w:autoSpaceDE w:val="0"/>
      <w:autoSpaceDN w:val="0"/>
      <w:adjustRightInd w:val="0"/>
      <w:jc w:val="left"/>
    </w:pPr>
    <w:rPr>
      <w:rFonts w:hint="eastAsia" w:ascii="宋体" w:hAnsi="Courier New" w:eastAsia="宋体"/>
    </w:rPr>
  </w:style>
  <w:style w:type="paragraph" w:customStyle="1" w:styleId="52">
    <w:name w:val="Normal"/>
    <w:qFormat/>
    <w:uiPriority w:val="0"/>
    <w:pPr>
      <w:widowControl w:val="0"/>
      <w:jc w:val="both"/>
    </w:pPr>
    <w:rPr>
      <w:rFonts w:hint="eastAsia" w:ascii="Calibri" w:hAnsi="Calibri" w:eastAsia="宋体" w:cs="Times New Roman"/>
      <w:kern w:val="2"/>
      <w:sz w:val="21"/>
      <w:lang w:val="en-US" w:eastAsia="zh-CN" w:bidi="ar-SA"/>
    </w:rPr>
  </w:style>
  <w:style w:type="paragraph" w:customStyle="1" w:styleId="53">
    <w:name w:val="纯文本1"/>
    <w:basedOn w:val="54"/>
    <w:qFormat/>
    <w:uiPriority w:val="99"/>
    <w:pPr>
      <w:widowControl/>
      <w:jc w:val="left"/>
    </w:pPr>
    <w:rPr>
      <w:rFonts w:ascii="宋体" w:hAnsi="Courier New" w:cs="宋体"/>
    </w:rPr>
  </w:style>
  <w:style w:type="paragraph" w:customStyle="1" w:styleId="54">
    <w:name w:val="正文1"/>
    <w:next w:val="55"/>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55">
    <w:name w:val="自动更正"/>
    <w:next w:val="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xl39"/>
    <w:basedOn w:val="1"/>
    <w:next w:val="57"/>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57">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58">
    <w:name w:val="正文文本 Char"/>
    <w:link w:val="11"/>
    <w:qFormat/>
    <w:uiPriority w:val="99"/>
  </w:style>
  <w:style w:type="paragraph" w:styleId="59">
    <w:name w:val="List Paragraph"/>
    <w:basedOn w:val="1"/>
    <w:qFormat/>
    <w:uiPriority w:val="1"/>
    <w:pPr>
      <w:ind w:left="253" w:firstLine="420"/>
    </w:pPr>
    <w:rPr>
      <w:rFonts w:ascii="宋体" w:hAnsi="宋体" w:eastAsia="宋体" w:cs="宋体"/>
      <w:lang w:val="zh-CN" w:eastAsia="zh-CN" w:bidi="zh-CN"/>
    </w:rPr>
  </w:style>
  <w:style w:type="paragraph" w:customStyle="1" w:styleId="60">
    <w:name w:val="文档正文"/>
    <w:basedOn w:val="1"/>
    <w:qFormat/>
    <w:uiPriority w:val="0"/>
    <w:rPr>
      <w:rFonts w:ascii="宋体" w:hAnsi="宋体" w:cs="Arial"/>
      <w:bCs/>
      <w:szCs w:val="21"/>
    </w:rPr>
  </w:style>
  <w:style w:type="paragraph" w:customStyle="1" w:styleId="61">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62">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63">
    <w:name w:val="[Normal]"/>
    <w:autoRedefine/>
    <w:qFormat/>
    <w:uiPriority w:val="0"/>
    <w:rPr>
      <w:rFonts w:ascii="宋体" w:hAnsi="宋体" w:eastAsia="宋体" w:cs="Times New Roman"/>
      <w:sz w:val="24"/>
      <w:szCs w:val="22"/>
      <w:lang w:val="zh-CN" w:eastAsia="zh-CN" w:bidi="ar-SA"/>
    </w:rPr>
  </w:style>
  <w:style w:type="paragraph" w:customStyle="1" w:styleId="64">
    <w:name w:val="正文2"/>
    <w:basedOn w:val="1"/>
    <w:autoRedefine/>
    <w:qFormat/>
    <w:uiPriority w:val="0"/>
    <w:pPr>
      <w:spacing w:before="156" w:line="360" w:lineRule="auto"/>
      <w:ind w:firstLine="510" w:firstLineChars="200"/>
    </w:pPr>
    <w:rPr>
      <w:rFonts w:eastAsia="宋体"/>
      <w:sz w:val="24"/>
      <w:szCs w:val="20"/>
    </w:rPr>
  </w:style>
  <w:style w:type="paragraph" w:customStyle="1" w:styleId="65">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character" w:customStyle="1" w:styleId="66">
    <w:name w:val="标题 2 Char"/>
    <w:link w:val="3"/>
    <w:qFormat/>
    <w:uiPriority w:val="9"/>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27671</Words>
  <Characters>29953</Characters>
  <Lines>0</Lines>
  <Paragraphs>0</Paragraphs>
  <TotalTime>34</TotalTime>
  <ScaleCrop>false</ScaleCrop>
  <LinksUpToDate>false</LinksUpToDate>
  <CharactersWithSpaces>32483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2022-07-14T08:34:00Z</dcterms:created>
  <dc:creator>Administrator</dc:creator>
  <cp:lastModifiedBy>微信用户</cp:lastModifiedBy>
  <cp:lastPrinted>2023-03-09T08:33:00Z</cp:lastPrinted>
  <dcterms:modified xsi:type="dcterms:W3CDTF">2024-09-18T08:14:36Z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228E96A31F674559B676B4970A58DD2D</vt:lpwstr>
  </property>
</Properties>
</file>