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adjustRightInd/>
        <w:spacing w:line="360" w:lineRule="auto"/>
        <w:rPr>
          <w:rFonts w:ascii="仿宋" w:hAnsi="仿宋" w:eastAsia="仿宋" w:cs="FangSong_GB2312"/>
          <w:b/>
          <w:color w:val="000000" w:themeColor="text1"/>
          <w:sz w:val="44"/>
          <w:szCs w:val="44"/>
          <w:highlight w:val="none"/>
          <w14:textFill>
            <w14:solidFill>
              <w14:schemeClr w14:val="tx1"/>
            </w14:solidFill>
          </w14:textFill>
        </w:rPr>
      </w:pPr>
    </w:p>
    <w:p>
      <w:pPr>
        <w:shd w:val="clear"/>
        <w:spacing w:line="600" w:lineRule="exact"/>
        <w:ind w:left="-141" w:leftChars="-67" w:right="-170" w:rightChars="-81"/>
        <w:jc w:val="center"/>
        <w:rPr>
          <w:rFonts w:hint="eastAsia" w:ascii="仿宋_GB2312" w:hAnsi="仿宋_GB2312" w:eastAsia="仿宋_GB2312" w:cs="仿宋_GB2312"/>
          <w:b/>
          <w:color w:val="000000" w:themeColor="text1"/>
          <w:kern w:val="0"/>
          <w:sz w:val="44"/>
          <w:szCs w:val="44"/>
          <w:highlight w:val="none"/>
          <w:lang w:eastAsia="zh-CN"/>
          <w14:textFill>
            <w14:solidFill>
              <w14:schemeClr w14:val="tx1"/>
            </w14:solidFill>
          </w14:textFill>
        </w:rPr>
      </w:pPr>
      <w:bookmarkStart w:id="0" w:name="OLE_LINK4"/>
      <w:r>
        <w:rPr>
          <w:rFonts w:hint="eastAsia" w:ascii="仿宋_GB2312" w:hAnsi="仿宋_GB2312" w:eastAsia="仿宋_GB2312" w:cs="仿宋_GB2312"/>
          <w:b/>
          <w:color w:val="000000" w:themeColor="text1"/>
          <w:kern w:val="0"/>
          <w:sz w:val="44"/>
          <w:szCs w:val="44"/>
          <w:highlight w:val="none"/>
          <w:lang w:eastAsia="zh-CN"/>
          <w14:textFill>
            <w14:solidFill>
              <w14:schemeClr w14:val="tx1"/>
            </w14:solidFill>
          </w14:textFill>
        </w:rPr>
        <w:t>江山市水库建设管理服务中心</w:t>
      </w:r>
    </w:p>
    <w:p>
      <w:pPr>
        <w:shd w:val="clear"/>
        <w:spacing w:line="600" w:lineRule="exact"/>
        <w:ind w:left="-141" w:leftChars="-67" w:right="-170" w:rightChars="-81"/>
        <w:jc w:val="center"/>
        <w:rPr>
          <w:rFonts w:hint="eastAsia" w:ascii="仿宋_GB2312" w:hAnsi="仿宋_GB2312" w:eastAsia="仿宋_GB2312" w:cs="仿宋_GB2312"/>
          <w:b/>
          <w:color w:val="000000" w:themeColor="text1"/>
          <w:kern w:val="0"/>
          <w:sz w:val="44"/>
          <w:szCs w:val="44"/>
          <w:highlight w:val="none"/>
          <w:lang w:eastAsia="zh-CN"/>
          <w14:textFill>
            <w14:solidFill>
              <w14:schemeClr w14:val="tx1"/>
            </w14:solidFill>
          </w14:textFill>
        </w:rPr>
      </w:pPr>
      <w:r>
        <w:rPr>
          <w:rFonts w:hint="eastAsia" w:ascii="仿宋_GB2312" w:hAnsi="仿宋_GB2312" w:eastAsia="仿宋_GB2312" w:cs="仿宋_GB2312"/>
          <w:b/>
          <w:color w:val="000000" w:themeColor="text1"/>
          <w:kern w:val="0"/>
          <w:sz w:val="44"/>
          <w:szCs w:val="44"/>
          <w:highlight w:val="none"/>
          <w:lang w:eastAsia="zh-CN"/>
          <w14:textFill>
            <w14:solidFill>
              <w14:schemeClr w14:val="tx1"/>
            </w14:solidFill>
          </w14:textFill>
        </w:rPr>
        <w:t xml:space="preserve">2025年度维修养护 </w:t>
      </w:r>
    </w:p>
    <w:bookmarkEnd w:id="0"/>
    <w:p>
      <w:pPr>
        <w:shd w:val="clear"/>
        <w:spacing w:line="600" w:lineRule="exact"/>
        <w:ind w:left="-141" w:leftChars="-67" w:right="-170" w:rightChars="-81"/>
        <w:jc w:val="center"/>
        <w:rPr>
          <w:rFonts w:hint="eastAsia" w:ascii="仿宋_GB2312" w:hAnsi="仿宋_GB2312" w:eastAsia="仿宋_GB2312" w:cs="仿宋_GB2312"/>
          <w:bCs/>
          <w:color w:val="000000" w:themeColor="text1"/>
          <w:sz w:val="32"/>
          <w:szCs w:val="32"/>
          <w:highlight w:val="none"/>
          <w14:textFill>
            <w14:solidFill>
              <w14:schemeClr w14:val="tx1"/>
            </w14:solidFill>
          </w14:textFill>
        </w:rPr>
      </w:pPr>
      <w:r>
        <w:rPr>
          <w:rFonts w:hint="eastAsia" w:ascii="仿宋_GB2312" w:hAnsi="仿宋_GB2312" w:eastAsia="仿宋_GB2312" w:cs="仿宋_GB2312"/>
          <w:bCs/>
          <w:color w:val="000000" w:themeColor="text1"/>
          <w:sz w:val="32"/>
          <w:szCs w:val="32"/>
          <w:highlight w:val="none"/>
          <w14:textFill>
            <w14:solidFill>
              <w14:schemeClr w14:val="tx1"/>
            </w14:solidFill>
          </w14:textFill>
        </w:rPr>
        <w:t>项目编号：</w:t>
      </w:r>
      <w:r>
        <w:rPr>
          <w:rFonts w:hint="eastAsia" w:ascii="仿宋_GB2312" w:hAnsi="仿宋_GB2312" w:eastAsia="仿宋_GB2312" w:cs="仿宋_GB2312"/>
          <w:bCs/>
          <w:color w:val="000000" w:themeColor="text1"/>
          <w:sz w:val="32"/>
          <w:szCs w:val="32"/>
          <w:highlight w:val="none"/>
          <w:lang w:eastAsia="zh-CN"/>
          <w14:textFill>
            <w14:solidFill>
              <w14:schemeClr w14:val="tx1"/>
            </w14:solidFill>
          </w14:textFill>
        </w:rPr>
        <w:t>jshjzf-20250226</w:t>
      </w:r>
    </w:p>
    <w:p>
      <w:pPr>
        <w:shd w:val="clear"/>
        <w:adjustRightInd/>
        <w:spacing w:line="360" w:lineRule="auto"/>
        <w:jc w:val="center"/>
        <w:rPr>
          <w:rFonts w:hint="eastAsia" w:ascii="仿宋_GB2312" w:hAnsi="仿宋_GB2312" w:eastAsia="仿宋_GB2312" w:cs="仿宋_GB2312"/>
          <w:color w:val="000000" w:themeColor="text1"/>
          <w:highlight w:val="none"/>
          <w14:textFill>
            <w14:solidFill>
              <w14:schemeClr w14:val="tx1"/>
            </w14:solidFill>
          </w14:textFill>
        </w:rPr>
      </w:pPr>
      <w:r>
        <w:rPr>
          <w:rFonts w:hint="eastAsia" w:ascii="仿宋_GB2312" w:hAnsi="仿宋_GB2312" w:eastAsia="仿宋_GB2312" w:cs="仿宋_GB2312"/>
          <w:b/>
          <w:color w:val="000000" w:themeColor="text1"/>
          <w:sz w:val="44"/>
          <w:szCs w:val="44"/>
          <w:highlight w:val="none"/>
          <w14:textFill>
            <w14:solidFill>
              <w14:schemeClr w14:val="tx1"/>
            </w14:solidFill>
          </w14:textFill>
        </w:rPr>
        <w:t>（电子招投标）</w:t>
      </w:r>
    </w:p>
    <w:p>
      <w:pPr>
        <w:pStyle w:val="15"/>
        <w:shd w:val="clear"/>
        <w:rPr>
          <w:rFonts w:hint="eastAsia" w:ascii="仿宋_GB2312" w:hAnsi="仿宋_GB2312" w:eastAsia="仿宋_GB2312" w:cs="仿宋_GB2312"/>
          <w:color w:val="000000" w:themeColor="text1"/>
          <w:highlight w:val="none"/>
          <w14:textFill>
            <w14:solidFill>
              <w14:schemeClr w14:val="tx1"/>
            </w14:solidFill>
          </w14:textFill>
        </w:rPr>
      </w:pPr>
    </w:p>
    <w:p>
      <w:pPr>
        <w:shd w:val="clear"/>
        <w:spacing w:after="100" w:afterAutospacing="1" w:line="880" w:lineRule="exact"/>
        <w:ind w:right="-108"/>
        <w:jc w:val="cente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pPr>
      <w: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t>公</w:t>
      </w:r>
    </w:p>
    <w:p>
      <w:pPr>
        <w:shd w:val="clear"/>
        <w:spacing w:after="100" w:afterAutospacing="1" w:line="880" w:lineRule="exact"/>
        <w:ind w:right="-108"/>
        <w:jc w:val="cente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pPr>
      <w: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t>开</w:t>
      </w:r>
    </w:p>
    <w:p>
      <w:pPr>
        <w:shd w:val="clear"/>
        <w:spacing w:after="100" w:afterAutospacing="1" w:line="880" w:lineRule="exact"/>
        <w:ind w:right="-108"/>
        <w:jc w:val="cente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pPr>
      <w: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t>招</w:t>
      </w:r>
    </w:p>
    <w:p>
      <w:pPr>
        <w:shd w:val="clear"/>
        <w:spacing w:after="100" w:afterAutospacing="1" w:line="880" w:lineRule="exact"/>
        <w:ind w:right="-108"/>
        <w:jc w:val="cente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pPr>
      <w: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t>标</w:t>
      </w:r>
    </w:p>
    <w:p>
      <w:pPr>
        <w:shd w:val="clear"/>
        <w:spacing w:after="100" w:afterAutospacing="1" w:line="880" w:lineRule="exact"/>
        <w:ind w:right="-108"/>
        <w:jc w:val="cente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pPr>
      <w: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t>文</w:t>
      </w:r>
    </w:p>
    <w:p>
      <w:pPr>
        <w:shd w:val="clear"/>
        <w:spacing w:after="100" w:afterAutospacing="1" w:line="880" w:lineRule="exact"/>
        <w:ind w:right="-108"/>
        <w:jc w:val="cente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pPr>
      <w:r>
        <w:rPr>
          <w:rFonts w:hint="eastAsia" w:ascii="仿宋_GB2312" w:hAnsi="仿宋_GB2312" w:eastAsia="仿宋_GB2312" w:cs="仿宋_GB2312"/>
          <w:b/>
          <w:color w:val="000000" w:themeColor="text1"/>
          <w:spacing w:val="40"/>
          <w:sz w:val="84"/>
          <w:szCs w:val="84"/>
          <w:highlight w:val="none"/>
          <w14:textFill>
            <w14:solidFill>
              <w14:schemeClr w14:val="tx1"/>
            </w14:solidFill>
          </w14:textFill>
        </w:rPr>
        <w:t>件</w:t>
      </w:r>
    </w:p>
    <w:p>
      <w:pPr>
        <w:shd w:val="clear"/>
        <w:tabs>
          <w:tab w:val="left" w:pos="10440"/>
        </w:tabs>
        <w:spacing w:line="500" w:lineRule="exact"/>
        <w:ind w:right="25" w:rightChars="12" w:firstLine="720" w:firstLineChars="200"/>
        <w:jc w:val="left"/>
        <w:rPr>
          <w:rFonts w:hint="eastAsia" w:ascii="仿宋_GB2312" w:hAnsi="仿宋_GB2312" w:eastAsia="仿宋_GB2312" w:cs="仿宋_GB2312"/>
          <w:bCs/>
          <w:color w:val="000000" w:themeColor="text1"/>
          <w:sz w:val="36"/>
          <w:szCs w:val="36"/>
          <w:highlight w:val="none"/>
          <w14:textFill>
            <w14:solidFill>
              <w14:schemeClr w14:val="tx1"/>
            </w14:solidFill>
          </w14:textFill>
        </w:rPr>
      </w:pPr>
      <w:r>
        <w:rPr>
          <w:rFonts w:hint="eastAsia" w:ascii="仿宋_GB2312" w:hAnsi="仿宋_GB2312" w:eastAsia="仿宋_GB2312" w:cs="仿宋_GB2312"/>
          <w:bCs/>
          <w:color w:val="000000" w:themeColor="text1"/>
          <w:sz w:val="36"/>
          <w:szCs w:val="36"/>
          <w:highlight w:val="none"/>
          <w14:textFill>
            <w14:solidFill>
              <w14:schemeClr w14:val="tx1"/>
            </w14:solidFill>
          </w14:textFill>
        </w:rPr>
        <w:t xml:space="preserve">采购单位: </w:t>
      </w:r>
      <w:r>
        <w:rPr>
          <w:rFonts w:hint="eastAsia" w:ascii="仿宋_GB2312" w:hAnsi="仿宋_GB2312" w:eastAsia="仿宋_GB2312" w:cs="仿宋_GB2312"/>
          <w:color w:val="000000" w:themeColor="text1"/>
          <w:sz w:val="36"/>
          <w:szCs w:val="36"/>
          <w:highlight w:val="none"/>
          <w:lang w:eastAsia="zh-CN"/>
          <w14:textFill>
            <w14:solidFill>
              <w14:schemeClr w14:val="tx1"/>
            </w14:solidFill>
          </w14:textFill>
        </w:rPr>
        <w:t xml:space="preserve">江山市水库建设管理服务中心 </w:t>
      </w:r>
    </w:p>
    <w:p>
      <w:pPr>
        <w:shd w:val="clear"/>
        <w:spacing w:line="500" w:lineRule="exact"/>
        <w:ind w:right="25" w:rightChars="12" w:firstLine="720" w:firstLineChars="200"/>
        <w:jc w:val="left"/>
        <w:rPr>
          <w:rFonts w:hint="eastAsia" w:ascii="仿宋_GB2312" w:hAnsi="仿宋_GB2312" w:eastAsia="仿宋_GB2312" w:cs="仿宋_GB2312"/>
          <w:bCs/>
          <w:color w:val="000000" w:themeColor="text1"/>
          <w:sz w:val="36"/>
          <w:szCs w:val="36"/>
          <w:highlight w:val="none"/>
          <w14:textFill>
            <w14:solidFill>
              <w14:schemeClr w14:val="tx1"/>
            </w14:solidFill>
          </w14:textFill>
        </w:rPr>
      </w:pPr>
      <w:r>
        <w:rPr>
          <w:rFonts w:hint="eastAsia" w:ascii="仿宋_GB2312" w:hAnsi="仿宋_GB2312" w:eastAsia="仿宋_GB2312" w:cs="仿宋_GB2312"/>
          <w:bCs/>
          <w:color w:val="000000" w:themeColor="text1"/>
          <w:sz w:val="36"/>
          <w:szCs w:val="36"/>
          <w:highlight w:val="none"/>
          <w14:textFill>
            <w14:solidFill>
              <w14:schemeClr w14:val="tx1"/>
            </w14:solidFill>
          </w14:textFill>
        </w:rPr>
        <w:t>备案单位：江山市财政局</w:t>
      </w:r>
    </w:p>
    <w:p>
      <w:pPr>
        <w:shd w:val="clear"/>
        <w:spacing w:line="500" w:lineRule="exact"/>
        <w:ind w:right="531" w:rightChars="253" w:firstLine="720" w:firstLineChars="200"/>
        <w:jc w:val="left"/>
        <w:rPr>
          <w:rFonts w:hint="eastAsia" w:ascii="仿宋_GB2312" w:hAnsi="仿宋_GB2312" w:eastAsia="仿宋_GB2312" w:cs="仿宋_GB2312"/>
          <w:bCs/>
          <w:color w:val="000000" w:themeColor="text1"/>
          <w:sz w:val="36"/>
          <w:szCs w:val="36"/>
          <w:highlight w:val="none"/>
          <w14:textFill>
            <w14:solidFill>
              <w14:schemeClr w14:val="tx1"/>
            </w14:solidFill>
          </w14:textFill>
        </w:rPr>
      </w:pPr>
      <w:r>
        <w:rPr>
          <w:rFonts w:hint="eastAsia" w:ascii="仿宋_GB2312" w:hAnsi="仿宋_GB2312" w:eastAsia="仿宋_GB2312" w:cs="仿宋_GB2312"/>
          <w:bCs/>
          <w:color w:val="000000" w:themeColor="text1"/>
          <w:sz w:val="36"/>
          <w:szCs w:val="36"/>
          <w:highlight w:val="none"/>
          <w14:textFill>
            <w14:solidFill>
              <w14:schemeClr w14:val="tx1"/>
            </w14:solidFill>
          </w14:textFill>
        </w:rPr>
        <w:t>代理机构：江山惠捷信息技术咨询有限公司</w:t>
      </w:r>
    </w:p>
    <w:p>
      <w:pPr>
        <w:shd w:val="clear"/>
        <w:snapToGrid w:val="0"/>
        <w:ind w:right="-158"/>
        <w:jc w:val="left"/>
        <w:rPr>
          <w:rFonts w:hint="eastAsia" w:ascii="仿宋_GB2312" w:hAnsi="仿宋_GB2312" w:eastAsia="仿宋_GB2312" w:cs="仿宋_GB2312"/>
          <w:b/>
          <w:color w:val="000000" w:themeColor="text1"/>
          <w:sz w:val="24"/>
          <w:highlight w:val="none"/>
          <w14:textFill>
            <w14:solidFill>
              <w14:schemeClr w14:val="tx1"/>
            </w14:solidFill>
          </w14:textFill>
        </w:rPr>
      </w:pPr>
    </w:p>
    <w:p>
      <w:pPr>
        <w:shd w:val="clear"/>
        <w:snapToGrid w:val="0"/>
        <w:ind w:right="-158"/>
        <w:jc w:val="center"/>
        <w:rPr>
          <w:rFonts w:hint="eastAsia" w:ascii="仿宋_GB2312" w:hAnsi="仿宋_GB2312" w:eastAsia="仿宋_GB2312" w:cs="仿宋_GB2312"/>
          <w:b/>
          <w:color w:val="000000" w:themeColor="text1"/>
          <w:sz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44"/>
          <w:szCs w:val="44"/>
          <w:highlight w:val="none"/>
          <w14:textFill>
            <w14:solidFill>
              <w14:schemeClr w14:val="tx1"/>
            </w14:solidFill>
          </w14:textFill>
        </w:rPr>
        <w:t>二○二</w:t>
      </w:r>
      <w:r>
        <w:rPr>
          <w:rFonts w:hint="eastAsia" w:ascii="仿宋_GB2312" w:hAnsi="仿宋_GB2312" w:eastAsia="仿宋_GB2312" w:cs="仿宋_GB2312"/>
          <w:b/>
          <w:color w:val="000000" w:themeColor="text1"/>
          <w:sz w:val="44"/>
          <w:szCs w:val="44"/>
          <w:highlight w:val="none"/>
          <w:lang w:val="en-US" w:eastAsia="zh-CN"/>
          <w14:textFill>
            <w14:solidFill>
              <w14:schemeClr w14:val="tx1"/>
            </w14:solidFill>
          </w14:textFill>
        </w:rPr>
        <w:t>五</w:t>
      </w:r>
      <w:r>
        <w:rPr>
          <w:rFonts w:hint="eastAsia" w:ascii="仿宋_GB2312" w:hAnsi="仿宋_GB2312" w:eastAsia="仿宋_GB2312" w:cs="仿宋_GB2312"/>
          <w:b/>
          <w:color w:val="000000" w:themeColor="text1"/>
          <w:sz w:val="44"/>
          <w:szCs w:val="44"/>
          <w:highlight w:val="none"/>
          <w14:textFill>
            <w14:solidFill>
              <w14:schemeClr w14:val="tx1"/>
            </w14:solidFill>
          </w14:textFill>
        </w:rPr>
        <w:t>年</w:t>
      </w:r>
      <w:r>
        <w:rPr>
          <w:rFonts w:hint="eastAsia" w:ascii="仿宋_GB2312" w:hAnsi="仿宋_GB2312" w:eastAsia="仿宋_GB2312" w:cs="仿宋_GB2312"/>
          <w:b/>
          <w:color w:val="000000" w:themeColor="text1"/>
          <w:sz w:val="44"/>
          <w:szCs w:val="44"/>
          <w:highlight w:val="none"/>
          <w:lang w:val="en-US" w:eastAsia="zh-CN"/>
          <w14:textFill>
            <w14:solidFill>
              <w14:schemeClr w14:val="tx1"/>
            </w14:solidFill>
          </w14:textFill>
        </w:rPr>
        <w:t>四</w:t>
      </w:r>
      <w:r>
        <w:rPr>
          <w:rFonts w:hint="eastAsia" w:ascii="仿宋_GB2312" w:hAnsi="仿宋_GB2312" w:eastAsia="仿宋_GB2312" w:cs="仿宋_GB2312"/>
          <w:b/>
          <w:color w:val="000000" w:themeColor="text1"/>
          <w:sz w:val="44"/>
          <w:szCs w:val="44"/>
          <w:highlight w:val="none"/>
          <w14:textFill>
            <w14:solidFill>
              <w14:schemeClr w14:val="tx1"/>
            </w14:solidFill>
          </w14:textFill>
        </w:rPr>
        <w:t>月</w:t>
      </w:r>
    </w:p>
    <w:p>
      <w:pPr>
        <w:shd w:val="clear"/>
        <w:spacing w:line="360" w:lineRule="auto"/>
        <w:jc w:val="both"/>
        <w:rPr>
          <w:rFonts w:hint="eastAsia" w:ascii="仿宋" w:hAnsi="仿宋" w:eastAsia="仿宋" w:cs="FangSong_GB2312"/>
          <w:b/>
          <w:color w:val="000000" w:themeColor="text1"/>
          <w:sz w:val="48"/>
          <w:szCs w:val="48"/>
          <w:highlight w:val="none"/>
          <w14:textFill>
            <w14:solidFill>
              <w14:schemeClr w14:val="tx1"/>
            </w14:solidFill>
          </w14:textFill>
        </w:rPr>
      </w:pPr>
    </w:p>
    <w:p>
      <w:pPr>
        <w:shd w:val="clear"/>
        <w:spacing w:line="360" w:lineRule="auto"/>
        <w:jc w:val="center"/>
        <w:rPr>
          <w:rFonts w:ascii="仿宋" w:hAnsi="仿宋" w:eastAsia="仿宋" w:cs="FangSong_GB2312"/>
          <w:b/>
          <w:color w:val="000000" w:themeColor="text1"/>
          <w:sz w:val="48"/>
          <w:szCs w:val="48"/>
          <w:highlight w:val="none"/>
          <w14:textFill>
            <w14:solidFill>
              <w14:schemeClr w14:val="tx1"/>
            </w14:solidFill>
          </w14:textFill>
        </w:rPr>
      </w:pPr>
      <w:r>
        <w:rPr>
          <w:rFonts w:hint="eastAsia" w:ascii="仿宋" w:hAnsi="仿宋" w:eastAsia="仿宋" w:cs="FangSong_GB2312"/>
          <w:b/>
          <w:color w:val="000000" w:themeColor="text1"/>
          <w:sz w:val="48"/>
          <w:szCs w:val="48"/>
          <w:highlight w:val="none"/>
          <w14:textFill>
            <w14:solidFill>
              <w14:schemeClr w14:val="tx1"/>
            </w14:solidFill>
          </w14:textFill>
        </w:rPr>
        <w:t>目</w:t>
      </w:r>
      <w:r>
        <w:rPr>
          <w:rFonts w:hint="eastAsia" w:ascii="仿宋" w:hAnsi="仿宋" w:eastAsia="仿宋" w:cs="FangSong_GB2312"/>
          <w:b/>
          <w:color w:val="000000" w:themeColor="text1"/>
          <w:sz w:val="48"/>
          <w:szCs w:val="48"/>
          <w:highlight w:val="none"/>
          <w:lang w:val="en-US" w:eastAsia="zh-CN"/>
          <w14:textFill>
            <w14:solidFill>
              <w14:schemeClr w14:val="tx1"/>
            </w14:solidFill>
          </w14:textFill>
        </w:rPr>
        <w:t xml:space="preserve">  </w:t>
      </w:r>
      <w:r>
        <w:rPr>
          <w:rFonts w:hint="eastAsia" w:ascii="仿宋" w:hAnsi="仿宋" w:eastAsia="仿宋" w:cs="FangSong_GB2312"/>
          <w:b/>
          <w:color w:val="000000" w:themeColor="text1"/>
          <w:sz w:val="48"/>
          <w:szCs w:val="48"/>
          <w:highlight w:val="none"/>
          <w14:textFill>
            <w14:solidFill>
              <w14:schemeClr w14:val="tx1"/>
            </w14:solidFill>
          </w14:textFill>
        </w:rPr>
        <w:t>录</w:t>
      </w:r>
    </w:p>
    <w:p>
      <w:pPr>
        <w:shd w:val="clear"/>
        <w:spacing w:line="480" w:lineRule="auto"/>
        <w:rPr>
          <w:rFonts w:ascii="仿宋" w:hAnsi="仿宋" w:eastAsia="仿宋" w:cs="仿宋"/>
          <w:color w:val="000000" w:themeColor="text1"/>
          <w:sz w:val="28"/>
          <w:szCs w:val="28"/>
          <w:highlight w:val="none"/>
          <w14:textFill>
            <w14:solidFill>
              <w14:schemeClr w14:val="tx1"/>
            </w14:solidFill>
          </w14:textFill>
        </w:rPr>
      </w:pPr>
    </w:p>
    <w:p>
      <w:pPr>
        <w:shd w:val="clear"/>
        <w:spacing w:line="480" w:lineRule="auto"/>
        <w:rPr>
          <w:rFonts w:ascii="仿宋" w:hAnsi="仿宋" w:eastAsia="仿宋" w:cs="仿宋"/>
          <w:color w:val="000000" w:themeColor="text1"/>
          <w:sz w:val="28"/>
          <w:szCs w:val="28"/>
          <w:highlight w:val="none"/>
          <w14:textFill>
            <w14:solidFill>
              <w14:schemeClr w14:val="tx1"/>
            </w14:solidFill>
          </w14:textFill>
        </w:rPr>
      </w:pP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bookmarkStart w:id="1" w:name="_Hlt91233176"/>
      <w:bookmarkEnd w:id="1"/>
      <w:bookmarkStart w:id="2" w:name="_Toc91899869"/>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TOC \o "1-3" \h \u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HYPERLINK \l "_Toc4826"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第一部分 招标公告</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3</w: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HYPERLINK \l "_Toc10828"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第二部分 投标人须知</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HYPERLINK \l "_Toc14727"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第三部分 采购需求</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PAGEREF _Toc14727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21</w: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HYPERLINK \l "_Toc32514"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第四部分 评标办法</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PAGEREF _Toc32514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26</w: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HYPERLINK \l "_Toc11270"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第五部分 拟签订的合同文本</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32</w: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14:textFill>
            <w14:solidFill>
              <w14:schemeClr w14:val="tx1"/>
            </w14:solidFill>
          </w14:textFill>
        </w:rPr>
        <w:instrText xml:space="preserve"> HYPERLINK \l "_Toc11460" </w:instrText>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separate"/>
      </w:r>
      <w:r>
        <w:rPr>
          <w:rFonts w:hint="eastAsia" w:ascii="仿宋_GB2312" w:hAnsi="仿宋_GB2312" w:eastAsia="仿宋_GB2312" w:cs="仿宋_GB2312"/>
          <w:color w:val="000000" w:themeColor="text1"/>
          <w:sz w:val="24"/>
          <w:szCs w:val="24"/>
          <w:highlight w:val="none"/>
          <w14:textFill>
            <w14:solidFill>
              <w14:schemeClr w14:val="tx1"/>
            </w14:solidFill>
          </w14:textFill>
        </w:rPr>
        <w:t>第六部分 应提交的有关格式范例</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36</w:t>
      </w:r>
    </w:p>
    <w:p>
      <w:pPr>
        <w:pStyle w:val="40"/>
        <w:shd w:val="clear"/>
        <w:tabs>
          <w:tab w:val="right" w:leader="dot" w:pos="9070"/>
        </w:tabs>
        <w:spacing w:line="48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48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fldChar w:fldCharType="end"/>
      </w: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549" w:firstLineChars="229"/>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3" w:name="第一部分"/>
      <w:r>
        <w:rPr>
          <w:rFonts w:hint="eastAsia" w:ascii="仿宋_GB2312" w:hAnsi="仿宋_GB2312" w:eastAsia="仿宋_GB2312" w:cs="仿宋_GB2312"/>
          <w:b/>
          <w:color w:val="000000" w:themeColor="text1"/>
          <w:sz w:val="24"/>
          <w:szCs w:val="24"/>
          <w:highlight w:val="none"/>
          <w14:textFill>
            <w14:solidFill>
              <w14:schemeClr w14:val="tx1"/>
            </w14:solidFill>
          </w14:textFill>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_Toc4826"/>
      <w:bookmarkStart w:id="9" w:name="_Toc22654"/>
      <w:bookmarkStart w:id="10" w:name="第二部分"/>
      <w:bookmarkStart w:id="11" w:name="_Toc91899870"/>
      <w:bookmarkStart w:id="12" w:name="_Toc91899871"/>
      <w:r>
        <w:rPr>
          <w:rFonts w:hint="eastAsia" w:ascii="仿宋_GB2312" w:hAnsi="仿宋_GB2312" w:eastAsia="仿宋_GB2312" w:cs="仿宋_GB2312"/>
          <w:b/>
          <w:color w:val="000000" w:themeColor="text1"/>
          <w:sz w:val="24"/>
          <w:szCs w:val="24"/>
          <w:highlight w:val="none"/>
          <w14:textFill>
            <w14:solidFill>
              <w14:schemeClr w14:val="tx1"/>
            </w14:solidFill>
          </w14:textFill>
        </w:rPr>
        <w:t>第一部分招标公告</w:t>
      </w:r>
      <w:bookmarkEnd w:id="8"/>
      <w:bookmarkEnd w:id="9"/>
    </w:p>
    <w:p>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u w:val="none"/>
          <w:lang w:eastAsia="zh-CN"/>
          <w14:textFill>
            <w14:solidFill>
              <w14:schemeClr w14:val="tx1"/>
            </w14:solidFill>
          </w14:textFill>
        </w:rPr>
        <w:t>江山市水库建设管理服务中心2025年度维修养护</w:t>
      </w:r>
      <w:r>
        <w:rPr>
          <w:rFonts w:hint="eastAsia" w:ascii="仿宋_GB2312" w:hAnsi="仿宋_GB2312" w:eastAsia="仿宋_GB2312" w:cs="仿宋_GB2312"/>
          <w:color w:val="000000" w:themeColor="text1"/>
          <w:sz w:val="24"/>
          <w:szCs w:val="24"/>
          <w:highlight w:val="none"/>
          <w14:textFill>
            <w14:solidFill>
              <w14:schemeClr w14:val="tx1"/>
            </w14:solidFill>
          </w14:textFill>
        </w:rPr>
        <w:t>招标项目的潜在投标人应在政采云平台（</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fldChar w:fldCharType="begin"/>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instrText xml:space="preserve"> HYPERLINK "https://www.zcygov.cn/）获取（下载）招标文件，并于2021年" </w:instrTex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fldChar w:fldCharType="separate"/>
      </w:r>
      <w:r>
        <w:rPr>
          <w:rStyle w:val="70"/>
          <w:rFonts w:hint="eastAsia" w:ascii="仿宋_GB2312" w:hAnsi="仿宋_GB2312" w:eastAsia="仿宋_GB2312" w:cs="仿宋_GB2312"/>
          <w:snapToGrid/>
          <w:color w:val="000000" w:themeColor="text1"/>
          <w:kern w:val="2"/>
          <w:sz w:val="24"/>
          <w:szCs w:val="24"/>
          <w:highlight w:val="none"/>
          <w:u w:val="none"/>
          <w14:textFill>
            <w14:solidFill>
              <w14:schemeClr w14:val="tx1"/>
            </w14:solidFill>
          </w14:textFill>
        </w:rPr>
        <w:t>https://www.zcygov.cn/）获取（下载）招标文件，并于</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t>202</w:t>
      </w:r>
      <w:r>
        <w:rPr>
          <w:rFonts w:hint="eastAsia" w:ascii="仿宋_GB2312" w:hAnsi="仿宋_GB2312" w:eastAsia="仿宋_GB2312" w:cs="仿宋_GB2312"/>
          <w:color w:val="000000" w:themeColor="text1"/>
          <w:sz w:val="24"/>
          <w:szCs w:val="24"/>
          <w:highlight w:val="none"/>
          <w:u w:val="none"/>
          <w:lang w:val="en-US"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none"/>
          <w:lang w:val="en-US" w:eastAsia="zh-CN"/>
          <w14:textFill>
            <w14:solidFill>
              <w14:schemeClr w14:val="tx1"/>
            </w14:solidFill>
          </w14:textFill>
        </w:rPr>
        <w:t>04</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none"/>
          <w:lang w:val="en-US" w:eastAsia="zh-CN"/>
          <w14:textFill>
            <w14:solidFill>
              <w14:schemeClr w14:val="tx1"/>
            </w14:solidFill>
          </w14:textFill>
        </w:rPr>
        <w:t>24</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t>日</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fldChar w:fldCharType="end"/>
      </w:r>
      <w:r>
        <w:rPr>
          <w:rFonts w:hint="eastAsia" w:ascii="仿宋_GB2312" w:hAnsi="仿宋_GB2312" w:eastAsia="仿宋_GB2312" w:cs="仿宋_GB2312"/>
          <w:color w:val="000000" w:themeColor="text1"/>
          <w:sz w:val="24"/>
          <w:szCs w:val="24"/>
          <w:highlight w:val="none"/>
          <w:u w:val="none"/>
          <w:lang w:val="en-US" w:eastAsia="zh-CN"/>
          <w14:textFill>
            <w14:solidFill>
              <w14:schemeClr w14:val="tx1"/>
            </w14:solidFill>
          </w14:textFill>
        </w:rPr>
        <w:t>09</w:t>
      </w:r>
      <w:r>
        <w:rPr>
          <w:rFonts w:hint="eastAsia" w:ascii="仿宋_GB2312" w:hAnsi="仿宋_GB2312" w:eastAsia="仿宋_GB2312" w:cs="仿宋_GB2312"/>
          <w:bCs/>
          <w:color w:val="000000" w:themeColor="text1"/>
          <w:sz w:val="24"/>
          <w:szCs w:val="24"/>
          <w:highlight w:val="none"/>
          <w:u w:val="none"/>
          <w14:textFill>
            <w14:solidFill>
              <w14:schemeClr w14:val="tx1"/>
            </w14:solidFill>
          </w14:textFill>
        </w:rPr>
        <w:t>:</w:t>
      </w:r>
      <w:r>
        <w:rPr>
          <w:rFonts w:hint="eastAsia" w:ascii="仿宋_GB2312" w:hAnsi="仿宋_GB2312" w:eastAsia="仿宋_GB2312" w:cs="仿宋_GB2312"/>
          <w:bCs/>
          <w:color w:val="000000" w:themeColor="text1"/>
          <w:sz w:val="24"/>
          <w:szCs w:val="24"/>
          <w:highlight w:val="none"/>
          <w:u w:val="none"/>
          <w:lang w:val="en-US" w:eastAsia="zh-CN"/>
          <w14:textFill>
            <w14:solidFill>
              <w14:schemeClr w14:val="tx1"/>
            </w14:solidFill>
          </w14:textFill>
        </w:rPr>
        <w:t>0</w:t>
      </w:r>
      <w:r>
        <w:rPr>
          <w:rFonts w:hint="eastAsia" w:ascii="仿宋_GB2312" w:hAnsi="仿宋_GB2312" w:eastAsia="仿宋_GB2312" w:cs="仿宋_GB2312"/>
          <w:bCs/>
          <w:color w:val="000000" w:themeColor="text1"/>
          <w:sz w:val="24"/>
          <w:szCs w:val="24"/>
          <w:highlight w:val="none"/>
          <w:u w:val="none"/>
          <w14:textFill>
            <w14:solidFill>
              <w14:schemeClr w14:val="tx1"/>
            </w14:solidFill>
          </w14:textFill>
        </w:rPr>
        <w:t>0</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（北京时间）前</w:t>
      </w:r>
      <w:r>
        <w:rPr>
          <w:rFonts w:hint="eastAsia" w:ascii="仿宋_GB2312" w:hAnsi="仿宋_GB2312" w:eastAsia="仿宋_GB2312" w:cs="仿宋_GB2312"/>
          <w:color w:val="000000" w:themeColor="text1"/>
          <w:sz w:val="24"/>
          <w:szCs w:val="24"/>
          <w:highlight w:val="none"/>
          <w14:textFill>
            <w14:solidFill>
              <w14:schemeClr w14:val="tx1"/>
            </w14:solidFill>
          </w14:textFill>
        </w:rPr>
        <w:t>递交（上传）投标文件。</w:t>
      </w:r>
    </w:p>
    <w:p>
      <w:pPr>
        <w:pStyle w:val="260"/>
        <w:numPr>
          <w:ilvl w:val="0"/>
          <w:numId w:val="1"/>
        </w:numPr>
        <w:shd w:val="clear"/>
        <w:ind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招标公告发布前事项：</w:t>
      </w:r>
    </w:p>
    <w:p>
      <w:pPr>
        <w:pStyle w:val="260"/>
        <w:numPr>
          <w:ilvl w:val="0"/>
          <w:numId w:val="2"/>
        </w:numPr>
        <w:shd w:val="clear"/>
        <w:ind w:left="720" w:firstLine="0" w:firstLineChars="0"/>
        <w:jc w:val="left"/>
        <w:rPr>
          <w:rFonts w:hint="eastAsia" w:ascii="仿宋_GB2312" w:hAnsi="仿宋_GB2312" w:eastAsia="仿宋_GB2312" w:cs="仿宋_GB2312"/>
          <w:color w:val="000000" w:themeColor="text1"/>
          <w:sz w:val="24"/>
          <w:szCs w:val="24"/>
          <w:highlight w:val="none"/>
          <w:u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意向公开的发布链接</w:t>
      </w:r>
      <w:bookmarkStart w:id="471" w:name="_GoBack"/>
      <w:bookmarkEnd w:id="471"/>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t>https://zfcg.czt.zj.gov.cn/site/detail?parentId=600007&amp;articleId=arzfKk2mQfM2CtU83XeXKg%3D%3D</w:t>
      </w:r>
    </w:p>
    <w:p>
      <w:pPr>
        <w:pStyle w:val="260"/>
        <w:numPr>
          <w:ilvl w:val="0"/>
          <w:numId w:val="1"/>
        </w:numPr>
        <w:shd w:val="clear"/>
        <w:ind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项目基本情况</w:t>
      </w:r>
    </w:p>
    <w:p>
      <w:pPr>
        <w:shd w:val="clear"/>
        <w:spacing w:line="360" w:lineRule="auto"/>
        <w:ind w:firstLine="480" w:firstLineChars="200"/>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w:t>
      </w:r>
      <w:r>
        <w:rPr>
          <w:rFonts w:hint="eastAsia" w:ascii="仿宋_GB2312" w:hAnsi="仿宋_GB2312" w:eastAsia="仿宋_GB2312" w:cs="仿宋_GB2312"/>
          <w:b/>
          <w:color w:val="000000" w:themeColor="text1"/>
          <w:sz w:val="24"/>
          <w:szCs w:val="24"/>
          <w:highlight w:val="none"/>
          <w14:textFill>
            <w14:solidFill>
              <w14:schemeClr w14:val="tx1"/>
            </w14:solidFill>
          </w14:textFill>
        </w:rPr>
        <w:t>项目编号：</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jshjzf-20250226</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2.项目名称：</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 xml:space="preserve">江山市水库建设管理服务中心2025年度维修养护 </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lang w:val="en-US"/>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3.预算金额（元）：</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550万</w:t>
      </w:r>
    </w:p>
    <w:p>
      <w:pPr>
        <w:shd w:val="clear"/>
        <w:spacing w:line="300" w:lineRule="exact"/>
        <w:ind w:firstLine="482" w:firstLineChars="200"/>
        <w:jc w:val="both"/>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4.最高限价（元）：</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最高限价：标项一为250.9870万元；标项二为153.1070万元  ；标项三为141.1246万元</w:t>
      </w:r>
    </w:p>
    <w:p>
      <w:pPr>
        <w:shd w:val="clear"/>
        <w:spacing w:line="400" w:lineRule="exact"/>
        <w:ind w:firstLine="482" w:firstLineChars="200"/>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5.采购需求：</w:t>
      </w:r>
    </w:p>
    <w:tbl>
      <w:tblPr>
        <w:tblStyle w:val="73"/>
        <w:tblW w:w="91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8"/>
        <w:gridCol w:w="4087"/>
        <w:gridCol w:w="948"/>
        <w:gridCol w:w="1728"/>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101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标项</w:t>
            </w:r>
            <w:r>
              <w:rPr>
                <w:rFonts w:hint="eastAsia" w:ascii="仿宋_GB2312" w:hAnsi="仿宋_GB2312" w:eastAsia="仿宋_GB2312" w:cs="仿宋_GB2312"/>
                <w:color w:val="000000" w:themeColor="text1"/>
                <w:sz w:val="24"/>
                <w:szCs w:val="24"/>
                <w:highlight w:val="none"/>
                <w14:textFill>
                  <w14:solidFill>
                    <w14:schemeClr w14:val="tx1"/>
                  </w14:solidFill>
                </w14:textFill>
              </w:rPr>
              <w:t>号</w:t>
            </w:r>
          </w:p>
        </w:tc>
        <w:tc>
          <w:tcPr>
            <w:tcW w:w="4087"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采购内容</w:t>
            </w:r>
          </w:p>
        </w:tc>
        <w:tc>
          <w:tcPr>
            <w:tcW w:w="948" w:type="dxa"/>
            <w:vAlign w:val="center"/>
          </w:tcPr>
          <w:p>
            <w:pPr>
              <w:keepNext w:val="0"/>
              <w:keepLines w:val="0"/>
              <w:suppressLineNumbers w:val="0"/>
              <w:shd w:val="clear"/>
              <w:spacing w:before="0" w:beforeAutospacing="0" w:after="0" w:afterAutospacing="0" w:line="300" w:lineRule="exact"/>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数量</w:t>
            </w:r>
          </w:p>
        </w:tc>
        <w:tc>
          <w:tcPr>
            <w:tcW w:w="1728" w:type="dxa"/>
            <w:vAlign w:val="center"/>
          </w:tcPr>
          <w:p>
            <w:pPr>
              <w:keepNext w:val="0"/>
              <w:keepLines w:val="0"/>
              <w:suppressLineNumbers w:val="0"/>
              <w:shd w:val="clear"/>
              <w:spacing w:before="0" w:beforeAutospacing="0" w:after="0" w:afterAutospacing="0" w:line="300" w:lineRule="exact"/>
              <w:ind w:left="0" w:right="0" w:firstLine="240" w:firstLineChars="1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预算价</w:t>
            </w:r>
          </w:p>
        </w:tc>
        <w:tc>
          <w:tcPr>
            <w:tcW w:w="1320"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01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标项</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一</w:t>
            </w:r>
          </w:p>
        </w:tc>
        <w:tc>
          <w:tcPr>
            <w:tcW w:w="4087" w:type="dxa"/>
            <w:vAlign w:val="center"/>
          </w:tcPr>
          <w:p>
            <w:pPr>
              <w:keepNext w:val="0"/>
              <w:keepLines w:val="0"/>
              <w:suppressLineNumbers w:val="0"/>
              <w:shd w:val="clear"/>
              <w:spacing w:before="0" w:beforeAutospacing="0" w:after="0" w:afterAutospacing="0" w:line="300" w:lineRule="exact"/>
              <w:ind w:left="0" w:right="0"/>
              <w:jc w:val="left"/>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碗窑水库2025年度维修养护</w:t>
            </w:r>
          </w:p>
        </w:tc>
        <w:tc>
          <w:tcPr>
            <w:tcW w:w="94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1项</w:t>
            </w:r>
          </w:p>
        </w:tc>
        <w:tc>
          <w:tcPr>
            <w:tcW w:w="172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252万</w:t>
            </w:r>
            <w:r>
              <w:rPr>
                <w:rFonts w:hint="eastAsia" w:ascii="仿宋_GB2312" w:hAnsi="仿宋_GB2312" w:eastAsia="仿宋_GB2312" w:cs="仿宋_GB2312"/>
                <w:color w:val="000000" w:themeColor="text1"/>
                <w:sz w:val="24"/>
                <w:szCs w:val="24"/>
                <w:highlight w:val="none"/>
                <w14:textFill>
                  <w14:solidFill>
                    <w14:schemeClr w14:val="tx1"/>
                  </w14:solidFill>
                </w14:textFill>
              </w:rPr>
              <w:t>元</w:t>
            </w:r>
          </w:p>
        </w:tc>
        <w:tc>
          <w:tcPr>
            <w:tcW w:w="1320" w:type="dxa"/>
            <w:vMerge w:val="restart"/>
            <w:vAlign w:val="center"/>
          </w:tcPr>
          <w:p>
            <w:pPr>
              <w:keepNext w:val="0"/>
              <w:keepLines w:val="0"/>
              <w:suppressLineNumbers w:val="0"/>
              <w:shd w:val="clear"/>
              <w:spacing w:before="0" w:beforeAutospacing="0" w:after="0" w:afterAutospacing="0" w:line="300" w:lineRule="exact"/>
              <w:ind w:left="0" w:right="0"/>
              <w:jc w:val="both"/>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详见第三部分采购需求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trPr>
        <w:tc>
          <w:tcPr>
            <w:tcW w:w="101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标项</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二</w:t>
            </w:r>
          </w:p>
        </w:tc>
        <w:tc>
          <w:tcPr>
            <w:tcW w:w="4087" w:type="dxa"/>
            <w:vAlign w:val="center"/>
          </w:tcPr>
          <w:p>
            <w:pPr>
              <w:keepNext w:val="0"/>
              <w:keepLines w:val="0"/>
              <w:suppressLineNumbers w:val="0"/>
              <w:shd w:val="clear"/>
              <w:spacing w:before="0" w:beforeAutospacing="0" w:after="0" w:afterAutospacing="0" w:line="300" w:lineRule="exact"/>
              <w:ind w:left="0" w:right="0"/>
              <w:jc w:val="left"/>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白水坑、峡口水库2025年度维修养护</w:t>
            </w:r>
          </w:p>
        </w:tc>
        <w:tc>
          <w:tcPr>
            <w:tcW w:w="94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1项</w:t>
            </w:r>
          </w:p>
        </w:tc>
        <w:tc>
          <w:tcPr>
            <w:tcW w:w="172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155万元</w:t>
            </w:r>
          </w:p>
        </w:tc>
        <w:tc>
          <w:tcPr>
            <w:tcW w:w="1320" w:type="dxa"/>
            <w:vMerge w:val="continue"/>
            <w:vAlign w:val="center"/>
          </w:tcPr>
          <w:p>
            <w:pPr>
              <w:keepNext w:val="0"/>
              <w:keepLines w:val="0"/>
              <w:suppressLineNumbers w:val="0"/>
              <w:shd w:val="clear"/>
              <w:spacing w:before="0" w:beforeAutospacing="0" w:after="0" w:afterAutospacing="0" w:line="300" w:lineRule="exact"/>
              <w:ind w:left="0" w:right="0"/>
              <w:jc w:val="both"/>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01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标项</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三</w:t>
            </w:r>
          </w:p>
        </w:tc>
        <w:tc>
          <w:tcPr>
            <w:tcW w:w="4087" w:type="dxa"/>
            <w:vAlign w:val="center"/>
          </w:tcPr>
          <w:p>
            <w:pPr>
              <w:keepNext w:val="0"/>
              <w:keepLines w:val="0"/>
              <w:suppressLineNumbers w:val="0"/>
              <w:shd w:val="clear"/>
              <w:spacing w:before="0" w:beforeAutospacing="0" w:after="0" w:afterAutospacing="0" w:line="300" w:lineRule="exact"/>
              <w:ind w:left="0" w:right="0"/>
              <w:jc w:val="left"/>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bookmarkStart w:id="13" w:name="OLE_LINK3"/>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碗窑灌区2025年度维修养护</w:t>
            </w:r>
            <w:bookmarkEnd w:id="13"/>
          </w:p>
        </w:tc>
        <w:tc>
          <w:tcPr>
            <w:tcW w:w="94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1项</w:t>
            </w:r>
          </w:p>
        </w:tc>
        <w:tc>
          <w:tcPr>
            <w:tcW w:w="1728" w:type="dxa"/>
            <w:vAlign w:val="center"/>
          </w:tcPr>
          <w:p>
            <w:pPr>
              <w:keepNext w:val="0"/>
              <w:keepLines w:val="0"/>
              <w:suppressLineNumbers w:val="0"/>
              <w:shd w:val="clear"/>
              <w:spacing w:before="0" w:beforeAutospacing="0" w:after="0" w:afterAutospacing="0" w:line="300" w:lineRule="exact"/>
              <w:ind w:left="0" w:right="0"/>
              <w:jc w:val="cente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143万元</w:t>
            </w:r>
          </w:p>
        </w:tc>
        <w:tc>
          <w:tcPr>
            <w:tcW w:w="1320" w:type="dxa"/>
            <w:vMerge w:val="continue"/>
            <w:vAlign w:val="center"/>
          </w:tcPr>
          <w:p>
            <w:pPr>
              <w:keepNext w:val="0"/>
              <w:keepLines w:val="0"/>
              <w:suppressLineNumbers w:val="0"/>
              <w:shd w:val="clear"/>
              <w:spacing w:before="0" w:beforeAutospacing="0" w:after="0" w:afterAutospacing="0" w:line="300" w:lineRule="exact"/>
              <w:ind w:left="0" w:right="0"/>
              <w:jc w:val="both"/>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p>
        </w:tc>
      </w:tr>
    </w:tbl>
    <w:p>
      <w:pPr>
        <w:pStyle w:val="133"/>
        <w:shd w:val="clear"/>
        <w:ind w:firstLine="480"/>
        <w:outlineLvl w:val="2"/>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pPr>
      <w:bookmarkStart w:id="14" w:name="_Toc2281"/>
      <w:bookmarkStart w:id="15" w:name="_Toc11939"/>
      <w:r>
        <w:rPr>
          <w:rFonts w:hint="eastAsia" w:ascii="仿宋_GB2312" w:hAnsi="仿宋_GB2312" w:eastAsia="仿宋_GB2312" w:cs="仿宋_GB2312"/>
          <w:b/>
          <w:color w:val="000000" w:themeColor="text1"/>
          <w:sz w:val="24"/>
          <w:szCs w:val="24"/>
          <w:highlight w:val="none"/>
          <w14:textFill>
            <w14:solidFill>
              <w14:schemeClr w14:val="tx1"/>
            </w14:solidFill>
          </w14:textFill>
        </w:rPr>
        <w:t>注：</w:t>
      </w: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本采购项目共分3个标项，各投标人可参与所有标项的投标，但最多允许成为一个标项的成交候选人（按标项顺序）。</w:t>
      </w:r>
    </w:p>
    <w:p>
      <w:pPr>
        <w:pStyle w:val="133"/>
        <w:shd w:val="clear"/>
        <w:ind w:firstLine="480"/>
        <w:outlineLvl w:val="2"/>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6.合同履约期限：</w:t>
      </w:r>
      <w:bookmarkEnd w:id="14"/>
      <w:bookmarkEnd w:id="15"/>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合同签订之日起12个月。</w:t>
      </w:r>
    </w:p>
    <w:p>
      <w:pPr>
        <w:pStyle w:val="19"/>
        <w:shd w:val="clear"/>
        <w:spacing w:line="360" w:lineRule="auto"/>
        <w:ind w:firstLine="48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7.本项目接受联合体投标：</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00A8"/>
      </w:r>
      <w:r>
        <w:rPr>
          <w:rFonts w:hint="eastAsia" w:ascii="仿宋_GB2312" w:hAnsi="仿宋_GB2312" w:eastAsia="仿宋_GB2312" w:cs="仿宋_GB2312"/>
          <w:b/>
          <w:color w:val="000000" w:themeColor="text1"/>
          <w:sz w:val="24"/>
          <w:szCs w:val="24"/>
          <w:highlight w:val="none"/>
          <w14:textFill>
            <w14:solidFill>
              <w14:schemeClr w14:val="tx1"/>
            </w14:solidFill>
          </w14:textFill>
        </w:rPr>
        <w:t>是，</w:t>
      </w: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32"/>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00FE"/>
          </w:r>
        </w:sdtContent>
      </w:sdt>
      <w:r>
        <w:rPr>
          <w:rFonts w:hint="eastAsia" w:ascii="仿宋_GB2312" w:hAnsi="仿宋_GB2312" w:eastAsia="仿宋_GB2312" w:cs="仿宋_GB2312"/>
          <w:b/>
          <w:color w:val="000000" w:themeColor="text1"/>
          <w:sz w:val="24"/>
          <w:szCs w:val="24"/>
          <w:highlight w:val="none"/>
          <w14:textFill>
            <w14:solidFill>
              <w14:schemeClr w14:val="tx1"/>
            </w14:solidFill>
          </w14:textFill>
        </w:rPr>
        <w:t>否</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三、申请人的资格要求：</w:t>
      </w:r>
    </w:p>
    <w:p>
      <w:pPr>
        <w:shd w:val="clear"/>
        <w:spacing w:line="360" w:lineRule="auto"/>
        <w:ind w:firstLine="480"/>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pP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pPr>
        <w:shd w:val="clear"/>
        <w:spacing w:line="360" w:lineRule="auto"/>
        <w:ind w:firstLine="480" w:firstLineChars="200"/>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pP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2.落实政府采购政策需满足的资格要求：</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928616923"/>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024704304"/>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152604937"/>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928616923"/>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00FE"/>
              </w:r>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024704304"/>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无；</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152604937"/>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专</w:t>
      </w:r>
      <w:r>
        <w:rPr>
          <w:rFonts w:hint="eastAsia" w:ascii="仿宋_GB2312" w:hAnsi="仿宋_GB2312" w:eastAsia="仿宋_GB2312" w:cs="仿宋_GB2312"/>
          <w:color w:val="000000" w:themeColor="text1"/>
          <w:sz w:val="24"/>
          <w:szCs w:val="24"/>
          <w:highlight w:val="none"/>
          <w14:textFill>
            <w14:solidFill>
              <w14:schemeClr w14:val="tx1"/>
            </w14:solidFill>
          </w14:textFill>
        </w:rPr>
        <w:t>门面向中小企业</w:t>
      </w:r>
    </w:p>
    <w:p>
      <w:pPr>
        <w:shd w:val="clear"/>
        <w:spacing w:line="360" w:lineRule="auto"/>
        <w:ind w:firstLine="897" w:firstLineChars="374"/>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152604937"/>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924730588"/>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货物全部由符合政策要求的中小企业制造，提供中小企业声明函；</w:t>
      </w:r>
    </w:p>
    <w:p>
      <w:pPr>
        <w:shd w:val="clear"/>
        <w:spacing w:line="360" w:lineRule="auto"/>
        <w:ind w:firstLine="897" w:firstLineChars="374"/>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152604937"/>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bookmarkStart w:id="16" w:name="OLE_LINK5"/>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bookmarkEnd w:id="16"/>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货物全部由符合政策要求的小微企业制造，提供中小企业声明函；</w:t>
      </w:r>
    </w:p>
    <w:p>
      <w:pPr>
        <w:shd w:val="clear"/>
        <w:spacing w:line="360" w:lineRule="auto"/>
        <w:ind w:firstLine="897" w:firstLineChars="374"/>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928616923"/>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152604937"/>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333685401"/>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024704304"/>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服务全部由符合政策要求的中小企业承接，提供中小企业声明函；</w:t>
      </w:r>
    </w:p>
    <w:p>
      <w:pPr>
        <w:shd w:val="clear"/>
        <w:spacing w:line="360" w:lineRule="auto"/>
        <w:ind w:firstLine="897" w:firstLineChars="374"/>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2141025358"/>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服务全部由符合政策要求的小微企业承接，提供中小企业声明函；</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985607795"/>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要求以联合体形式参加，提供联合协议和中小企业声明函，联合协议中中小企业合同金额应当达到%，小微企业合同金额应当达到%;</w:t>
      </w:r>
      <w:r>
        <w:rPr>
          <w:rFonts w:hint="eastAsia" w:ascii="仿宋_GB2312" w:hAnsi="仿宋_GB2312" w:eastAsia="仿宋_GB2312" w:cs="仿宋_GB2312"/>
          <w:color w:val="000000" w:themeColor="text1"/>
          <w:spacing w:val="8"/>
          <w:kern w:val="0"/>
          <w:sz w:val="24"/>
          <w:szCs w:val="24"/>
          <w:highlight w:val="none"/>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928616923"/>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985607795"/>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34630645"/>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2035453831"/>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要求合同分包，提供分包意向协议和中小企业声明函，分包意向协议中中小企业合同金额应当达到达到</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40</w:t>
      </w:r>
      <w:r>
        <w:rPr>
          <w:rFonts w:hint="eastAsia" w:ascii="仿宋_GB2312" w:hAnsi="仿宋_GB2312" w:eastAsia="仿宋_GB2312" w:cs="仿宋_GB2312"/>
          <w:color w:val="000000" w:themeColor="text1"/>
          <w:sz w:val="24"/>
          <w:szCs w:val="24"/>
          <w:highlight w:val="none"/>
          <w14:textFill>
            <w14:solidFill>
              <w14:schemeClr w14:val="tx1"/>
            </w14:solidFill>
          </w14:textFill>
        </w:rPr>
        <w:t>% ，</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其中预留给</w:t>
      </w:r>
      <w:r>
        <w:rPr>
          <w:rFonts w:hint="eastAsia" w:ascii="仿宋_GB2312" w:hAnsi="仿宋_GB2312" w:eastAsia="仿宋_GB2312" w:cs="仿宋_GB2312"/>
          <w:color w:val="000000" w:themeColor="text1"/>
          <w:sz w:val="24"/>
          <w:szCs w:val="24"/>
          <w:highlight w:val="none"/>
          <w14:textFill>
            <w14:solidFill>
              <w14:schemeClr w14:val="tx1"/>
            </w14:solidFill>
          </w14:textFill>
        </w:rPr>
        <w:t>小微企业合同金额应当达到</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70</w:t>
      </w:r>
      <w:r>
        <w:rPr>
          <w:rFonts w:hint="eastAsia" w:ascii="仿宋_GB2312" w:hAnsi="仿宋_GB2312" w:eastAsia="仿宋_GB2312" w:cs="仿宋_GB2312"/>
          <w:color w:val="000000" w:themeColor="text1"/>
          <w:sz w:val="24"/>
          <w:szCs w:val="24"/>
          <w:highlight w:val="none"/>
          <w:u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w:t>
      </w:r>
      <w:r>
        <w:rPr>
          <w:rFonts w:hint="eastAsia" w:ascii="仿宋_GB2312" w:hAnsi="仿宋_GB2312" w:eastAsia="仿宋_GB2312" w:cs="仿宋_GB2312"/>
          <w:color w:val="000000" w:themeColor="text1"/>
          <w:spacing w:val="8"/>
          <w:kern w:val="0"/>
          <w:sz w:val="24"/>
          <w:szCs w:val="24"/>
          <w:highlight w:val="none"/>
          <w14:textFill>
            <w14:solidFill>
              <w14:schemeClr w14:val="tx1"/>
            </w14:solidFill>
          </w14:textFill>
        </w:rPr>
        <w:t>如果供应商本身提供所有标的均由中小企业制造、承建或承接，视同符合了资格条件，无需再向中小企业分包，无需提供分包意向协议</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numPr>
          <w:ilvl w:val="0"/>
          <w:numId w:val="3"/>
        </w:numPr>
        <w:shd w:val="clear"/>
        <w:spacing w:line="360" w:lineRule="auto"/>
        <w:ind w:firstLine="480" w:firstLineChars="200"/>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本项目的特定资格要求：</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投标人具有浙江省水利水电工程物业管理服务能力评价水库山塘类甲级资格或水利水电工程总承包三级及以上资格（标项一、标项二）；投标人具有浙江省水利水电工程物业管理服务能力评价灌区类甲级资格或河道堤防类乙级及以上资格或水利水电工程总承包三级及以上资格（标项三）。</w:t>
      </w:r>
    </w:p>
    <w:p>
      <w:pPr>
        <w:numPr>
          <w:ilvl w:val="0"/>
          <w:numId w:val="3"/>
        </w:num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四、获取招标文件</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时间：</w:t>
      </w:r>
      <w:r>
        <w:rPr>
          <w:rFonts w:hint="eastAsia" w:ascii="仿宋_GB2312" w:hAnsi="仿宋_GB2312" w:eastAsia="仿宋_GB2312" w:cs="仿宋_GB2312"/>
          <w:color w:val="000000" w:themeColor="text1"/>
          <w:sz w:val="24"/>
          <w:szCs w:val="24"/>
          <w:highlight w:val="none"/>
          <w14:textFill>
            <w14:solidFill>
              <w14:schemeClr w14:val="tx1"/>
            </w14:solidFill>
          </w14:textFill>
        </w:rPr>
        <w:t>/至</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202</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u w:val="single"/>
          <w:lang w:eastAsia="zh-CN"/>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04</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24</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日</w:t>
      </w:r>
      <w:r>
        <w:rPr>
          <w:rFonts w:hint="eastAsia" w:ascii="仿宋_GB2312" w:hAnsi="仿宋_GB2312" w:eastAsia="仿宋_GB2312" w:cs="仿宋_GB2312"/>
          <w:color w:val="000000" w:themeColor="text1"/>
          <w:sz w:val="24"/>
          <w:szCs w:val="24"/>
          <w:highlight w:val="none"/>
          <w14:textFill>
            <w14:solidFill>
              <w14:schemeClr w14:val="tx1"/>
            </w14:solidFill>
          </w14:textFill>
        </w:rPr>
        <w:t>，每天上午00:00至12:00 ，下午12:00至23:59（北京时间，线上获取法定节假日均可）</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地点（网址）：</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政采云平台（https://www.zcygov.cn/） </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方式：</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售价（元）：</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0 </w:t>
      </w:r>
      <w:r>
        <w:rPr>
          <w:rFonts w:hint="eastAsia" w:ascii="仿宋_GB2312" w:hAnsi="仿宋_GB2312" w:eastAsia="仿宋_GB2312" w:cs="仿宋_GB2312"/>
          <w:color w:val="000000" w:themeColor="text1"/>
          <w:sz w:val="24"/>
          <w:szCs w:val="24"/>
          <w:highlight w:val="none"/>
          <w14:textFill>
            <w14:solidFill>
              <w14:schemeClr w14:val="tx1"/>
            </w14:solidFill>
          </w14:textFill>
        </w:rPr>
        <w:tab/>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五、提交投标文件截止时间、开标时间和地点</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提交投标文件截止时间：</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202</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04</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24</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日</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09</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0</w:t>
      </w:r>
      <w:r>
        <w:rPr>
          <w:rFonts w:hint="eastAsia" w:ascii="仿宋_GB2312" w:hAnsi="仿宋_GB2312" w:eastAsia="仿宋_GB2312" w:cs="仿宋_GB2312"/>
          <w:color w:val="000000" w:themeColor="text1"/>
          <w:sz w:val="24"/>
          <w:szCs w:val="24"/>
          <w:highlight w:val="none"/>
          <w14:textFill>
            <w14:solidFill>
              <w14:schemeClr w14:val="tx1"/>
            </w14:solidFill>
          </w14:textFill>
        </w:rPr>
        <w:t>（北京时间）</w:t>
      </w:r>
    </w:p>
    <w:p>
      <w:pPr>
        <w:shd w:val="clear"/>
        <w:spacing w:line="360" w:lineRule="auto"/>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投标地点（网址）：</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政采云平台（https://www.zcygov.cn/） </w:t>
      </w:r>
    </w:p>
    <w:p>
      <w:pPr>
        <w:shd w:val="clear"/>
        <w:spacing w:line="360" w:lineRule="auto"/>
        <w:ind w:firstLine="482" w:firstLineChars="200"/>
        <w:rPr>
          <w:rFonts w:hint="eastAsia" w:ascii="仿宋_GB2312" w:hAnsi="仿宋_GB2312" w:eastAsia="仿宋_GB2312" w:cs="仿宋_GB2312"/>
          <w:bCs/>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开标时间：</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202</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04</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24</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日</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09</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0</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0</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开标地点：</w:t>
      </w:r>
      <w:r>
        <w:rPr>
          <w:rFonts w:hint="eastAsia" w:ascii="仿宋_GB2312" w:hAnsi="仿宋_GB2312" w:eastAsia="仿宋_GB2312" w:cs="仿宋_GB2312"/>
          <w:color w:val="000000" w:themeColor="text1"/>
          <w:sz w:val="24"/>
          <w:szCs w:val="24"/>
          <w:highlight w:val="none"/>
          <w14:textFill>
            <w14:solidFill>
              <w14:schemeClr w14:val="tx1"/>
            </w14:solidFill>
          </w14:textFill>
        </w:rPr>
        <w:t>江山市公共资源交易中心</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t>号评标室。</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六、公告期限</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自本公告发布之日起5个工作日。</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七、其他补充事宜</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八、对本次采购提出询问、质疑、投诉，请按以下方式联系</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1.采购人信息</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名称：</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 xml:space="preserve">江山市水库建设管理服务中心 </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江山市江东大道131号</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项目联系人（询问）：</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毛</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先生</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lang w:val="en-US"/>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项目联系方式（询问）：</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0570-4052381、</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13867000741</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项目质疑联系人：</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徐</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先生</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项目质疑联系方式：</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13867000741</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2、采购代理机构名称：江山惠捷信息技术咨询有限公司</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联系人： 周女士</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联系电话：15957012209</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联系人： 陈女士</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联系电话：18057052517</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地址：江山市鹿溪北路228幢振辉商务广场9楼901室</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3、同级政府采购监督管理部门名称：江山市财政局政府采购监管科</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联系人：王先生</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监督投诉电话：0570-4033811</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地址：江山市鹿溪中路240号</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CA问题联系电话（人工）：汇信CA 400-888-4636；天谷CA 400-087-8198。</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br w:type="page"/>
      </w:r>
      <w:bookmarkStart w:id="17" w:name="_Toc10828"/>
      <w:bookmarkStart w:id="18" w:name="_Toc18357"/>
      <w:r>
        <w:rPr>
          <w:rFonts w:hint="eastAsia" w:ascii="仿宋_GB2312" w:hAnsi="仿宋_GB2312" w:eastAsia="仿宋_GB2312" w:cs="仿宋_GB2312"/>
          <w:b/>
          <w:color w:val="000000" w:themeColor="text1"/>
          <w:sz w:val="24"/>
          <w:szCs w:val="24"/>
          <w:highlight w:val="none"/>
          <w14:textFill>
            <w14:solidFill>
              <w14:schemeClr w14:val="tx1"/>
            </w14:solidFill>
          </w14:textFill>
        </w:rPr>
        <w:t>第二部分</w:t>
      </w:r>
      <w:bookmarkEnd w:id="10"/>
      <w:r>
        <w:rPr>
          <w:rFonts w:hint="eastAsia" w:ascii="仿宋_GB2312" w:hAnsi="仿宋_GB2312" w:eastAsia="仿宋_GB2312" w:cs="仿宋_GB2312"/>
          <w:b/>
          <w:color w:val="000000" w:themeColor="text1"/>
          <w:sz w:val="24"/>
          <w:szCs w:val="24"/>
          <w:highlight w:val="none"/>
          <w14:textFill>
            <w14:solidFill>
              <w14:schemeClr w14:val="tx1"/>
            </w14:solidFill>
          </w14:textFill>
        </w:rPr>
        <w:t xml:space="preserve"> 投标人须知</w:t>
      </w:r>
      <w:bookmarkEnd w:id="11"/>
      <w:bookmarkEnd w:id="17"/>
      <w:bookmarkEnd w:id="18"/>
      <w:r>
        <w:rPr>
          <w:rFonts w:hint="eastAsia" w:ascii="仿宋_GB2312" w:hAnsi="仿宋_GB2312" w:eastAsia="仿宋_GB2312" w:cs="仿宋_GB2312"/>
          <w:b/>
          <w:color w:val="000000" w:themeColor="text1"/>
          <w:sz w:val="24"/>
          <w:szCs w:val="24"/>
          <w:highlight w:val="none"/>
          <w14:textFill>
            <w14:solidFill>
              <w14:schemeClr w14:val="tx1"/>
            </w14:solidFill>
          </w14:textFill>
        </w:rPr>
        <w:t>前附表</w:t>
      </w:r>
    </w:p>
    <w:tbl>
      <w:tblPr>
        <w:tblStyle w:val="7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1"/>
        <w:gridCol w:w="624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序号</w:t>
            </w:r>
          </w:p>
        </w:tc>
        <w:tc>
          <w:tcPr>
            <w:tcW w:w="1691"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事项</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w:t>
            </w:r>
          </w:p>
        </w:tc>
        <w:tc>
          <w:tcPr>
            <w:tcW w:w="1691"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报价要求</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有关本项目实施所需的所有费用（含税费）均计入报价。</w:t>
            </w:r>
            <w:r>
              <w:rPr>
                <w:rFonts w:hint="eastAsia" w:ascii="仿宋_GB2312" w:hAnsi="仿宋_GB2312" w:eastAsia="仿宋_GB2312" w:cs="仿宋_GB2312"/>
                <w:color w:val="000000" w:themeColor="text1"/>
                <w:sz w:val="24"/>
                <w:szCs w:val="24"/>
                <w:highlight w:val="none"/>
                <w14:textFill>
                  <w14:solidFill>
                    <w14:schemeClr w14:val="tx1"/>
                  </w14:solidFill>
                </w14:textFill>
              </w:rPr>
              <w:t>开标一览表（报价表）是报价的唯一载体</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。投标文件中价格全部采用人民币报价。招标文件未列明，而投标人认为必需的费用也需列入报价。</w:t>
            </w:r>
          </w:p>
          <w:p>
            <w:pPr>
              <w:keepNext w:val="0"/>
              <w:keepLines w:val="0"/>
              <w:suppressLineNumbers w:val="0"/>
              <w:shd w:val="clear"/>
              <w:snapToGrid w:val="0"/>
              <w:spacing w:before="0" w:beforeAutospacing="0" w:after="0" w:afterAutospacing="0" w:line="360" w:lineRule="auto"/>
              <w:ind w:left="0" w:right="0" w:firstLine="241" w:firstLineChars="100"/>
              <w:jc w:val="left"/>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投标报价出现下列情形的，投标无效：</w:t>
            </w:r>
          </w:p>
          <w:p>
            <w:pPr>
              <w:keepNext w:val="0"/>
              <w:keepLines w:val="0"/>
              <w:suppressLineNumbers w:val="0"/>
              <w:shd w:val="clear"/>
              <w:snapToGrid w:val="0"/>
              <w:spacing w:before="0" w:beforeAutospacing="0" w:after="0" w:afterAutospacing="0" w:line="360" w:lineRule="auto"/>
              <w:ind w:left="0" w:right="0" w:firstLine="241" w:firstLineChars="100"/>
              <w:jc w:val="left"/>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投标文件出现不是唯一的、有选择性投标报价的；</w:t>
            </w:r>
          </w:p>
          <w:p>
            <w:pPr>
              <w:keepNext w:val="0"/>
              <w:keepLines w:val="0"/>
              <w:suppressLineNumbers w:val="0"/>
              <w:shd w:val="clear"/>
              <w:snapToGrid w:val="0"/>
              <w:spacing w:before="0" w:beforeAutospacing="0" w:after="0" w:afterAutospacing="0" w:line="360" w:lineRule="auto"/>
              <w:ind w:left="0" w:right="0" w:firstLine="241" w:firstLineChars="1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投标报价超过招标文件中规定的预算金额或者最高限价的;</w:t>
            </w:r>
          </w:p>
          <w:p>
            <w:pPr>
              <w:keepNext w:val="0"/>
              <w:keepLines w:val="0"/>
              <w:suppressLineNumbers w:val="0"/>
              <w:shd w:val="clear"/>
              <w:spacing w:before="0" w:beforeAutospacing="0" w:after="0" w:afterAutospacing="0" w:line="360" w:lineRule="auto"/>
              <w:ind w:left="0" w:right="0" w:firstLine="241" w:firstLineChars="1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仿宋_GB2312" w:hAnsi="仿宋_GB2312" w:eastAsia="仿宋_GB2312" w:cs="仿宋_GB2312"/>
                <w:b/>
                <w:color w:val="000000" w:themeColor="text1"/>
                <w:sz w:val="24"/>
                <w:szCs w:val="24"/>
                <w:highlight w:val="none"/>
                <w14:textFill>
                  <w14:solidFill>
                    <w14:schemeClr w14:val="tx1"/>
                  </w14:solidFill>
                </w14:textFill>
              </w:rPr>
              <w:t>;</w:t>
            </w:r>
          </w:p>
          <w:p>
            <w:pPr>
              <w:keepNext w:val="0"/>
              <w:keepLines w:val="0"/>
              <w:suppressLineNumbers w:val="0"/>
              <w:shd w:val="clear"/>
              <w:spacing w:before="0" w:beforeAutospacing="0" w:after="0" w:afterAutospacing="0" w:line="360" w:lineRule="auto"/>
              <w:ind w:left="0" w:right="0" w:firstLine="241" w:firstLineChars="1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投标人对根据修正原则修正后的报价不确认的</w:t>
            </w:r>
            <w:r>
              <w:rPr>
                <w:rFonts w:hint="eastAsia" w:ascii="仿宋_GB2312" w:hAnsi="仿宋_GB2312" w:eastAsia="仿宋_GB2312" w:cs="仿宋_GB2312"/>
                <w:b/>
                <w:color w:val="000000" w:themeColor="text1"/>
                <w:sz w:val="24"/>
                <w:szCs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w:t>
            </w:r>
          </w:p>
        </w:tc>
        <w:tc>
          <w:tcPr>
            <w:tcW w:w="1691"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分包</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240" w:right="0" w:hanging="240" w:hangingChars="1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39"/>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0"/>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39"/>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A</w:t>
                    </w:r>
                    <w:r>
                      <w:rPr>
                        <w:rFonts w:hint="eastAsia" w:ascii="仿宋_GB2312" w:hAnsi="仿宋_GB2312" w:eastAsia="仿宋_GB2312" w:cs="仿宋_GB2312"/>
                        <w:color w:val="000000" w:themeColor="text1"/>
                        <w:sz w:val="24"/>
                        <w:szCs w:val="24"/>
                        <w:highlight w:val="none"/>
                        <w14:textFill>
                          <w14:solidFill>
                            <w14:schemeClr w14:val="tx1"/>
                          </w14:solidFill>
                        </w14:textFill>
                      </w:rPr>
                      <w:t>同意将非主体、非关键性的工作分包。</w:t>
                    </w: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0"/>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w:t>
                        </w:r>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39"/>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F0FE"/>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B</w:t>
                    </w:r>
                    <w:r>
                      <w:rPr>
                        <w:rFonts w:hint="eastAsia" w:ascii="仿宋_GB2312" w:hAnsi="仿宋_GB2312" w:eastAsia="仿宋_GB2312" w:cs="仿宋_GB2312"/>
                        <w:color w:val="000000" w:themeColor="text1"/>
                        <w:sz w:val="24"/>
                        <w:szCs w:val="24"/>
                        <w:highlight w:val="none"/>
                        <w14:textFill>
                          <w14:solidFill>
                            <w14:schemeClr w14:val="tx1"/>
                          </w14:solidFill>
                        </w14:textFill>
                      </w:rPr>
                      <w:t>不同意分包。</w:t>
                    </w:r>
                  </w:sdtContent>
                </w:sdt>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w:t>
            </w:r>
          </w:p>
        </w:tc>
        <w:tc>
          <w:tcPr>
            <w:tcW w:w="1691" w:type="dxa"/>
            <w:vMerge w:val="restart"/>
            <w:tcBorders>
              <w:top w:val="single" w:color="000000" w:sz="8" w:space="0"/>
              <w:left w:val="single" w:color="auto" w:sz="4"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投标人应当提供的资格、资信证明文件</w:t>
            </w:r>
          </w:p>
        </w:tc>
        <w:tc>
          <w:tcPr>
            <w:tcW w:w="6247" w:type="dxa"/>
            <w:tcBorders>
              <w:top w:val="single" w:color="000000" w:sz="8" w:space="0"/>
              <w:left w:val="single" w:color="000000" w:sz="2" w:space="0"/>
              <w:bottom w:val="single" w:color="auto" w:sz="4"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（1）资格证明文件：见招标文件第二部分11.1。</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snapToGrid w:val="0"/>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tc>
        <w:tc>
          <w:tcPr>
            <w:tcW w:w="1691" w:type="dxa"/>
            <w:vMerge w:val="continue"/>
            <w:tcBorders>
              <w:left w:val="single" w:color="auto" w:sz="4"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p>
        </w:tc>
        <w:tc>
          <w:tcPr>
            <w:tcW w:w="6247" w:type="dxa"/>
            <w:tcBorders>
              <w:top w:val="single" w:color="auto" w:sz="4"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w:t>
            </w:r>
          </w:p>
        </w:tc>
        <w:tc>
          <w:tcPr>
            <w:tcW w:w="1691"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开标前答疑会或现场考察</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1"/>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F0FE"/>
                </w: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不组织。</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2"/>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B组织，</w:t>
            </w:r>
            <w:r>
              <w:rPr>
                <w:rFonts w:hint="eastAsia" w:ascii="仿宋_GB2312" w:hAnsi="仿宋_GB2312" w:eastAsia="仿宋_GB2312" w:cs="仿宋_GB2312"/>
                <w:color w:val="000000" w:themeColor="text1"/>
                <w:sz w:val="24"/>
                <w:szCs w:val="24"/>
                <w:highlight w:val="none"/>
                <w14:textFill>
                  <w14:solidFill>
                    <w14:schemeClr w14:val="tx1"/>
                  </w14:solidFill>
                </w14:textFill>
              </w:rPr>
              <w:t>时间：,地点：，联系人：，联系方式：。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w:t>
            </w:r>
          </w:p>
        </w:tc>
        <w:tc>
          <w:tcPr>
            <w:tcW w:w="1691"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样品提供</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3"/>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F0FE"/>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A</w:t>
            </w:r>
            <w:r>
              <w:rPr>
                <w:rFonts w:hint="eastAsia" w:ascii="仿宋_GB2312" w:hAnsi="仿宋_GB2312" w:eastAsia="仿宋_GB2312" w:cs="仿宋_GB2312"/>
                <w:color w:val="000000" w:themeColor="text1"/>
                <w:sz w:val="24"/>
                <w:szCs w:val="24"/>
                <w:highlight w:val="none"/>
                <w14:textFill>
                  <w14:solidFill>
                    <w14:schemeClr w14:val="tx1"/>
                  </w14:solidFill>
                </w14:textFill>
              </w:rPr>
              <w:t>不要求提供。</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☐B要求提供，</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w:t>
            </w: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样品：</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w:t>
            </w: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样品制作的标准和要求：</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（3）样品的评审方法以及评审标准</w:t>
            </w: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：详见</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评标办法</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（4）是否需要随样品提交检测报告：</w:t>
            </w: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303421454"/>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00A8"/>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否；</w:t>
            </w: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621728433"/>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是，检测机构的要求</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；检测内容</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（5）提供样品的时间：</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；地点：；联系人</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kern w:val="28"/>
                <w:sz w:val="24"/>
                <w:szCs w:val="24"/>
                <w:highlight w:val="none"/>
                <w14:textFill>
                  <w14:solidFill>
                    <w14:schemeClr w14:val="tx1"/>
                  </w14:solidFill>
                </w14:textFill>
              </w:rPr>
              <w:t>联系电话：</w:t>
            </w:r>
            <w:r>
              <w:rPr>
                <w:rFonts w:hint="eastAsia" w:ascii="仿宋_GB2312" w:hAnsi="仿宋_GB2312" w:eastAsia="仿宋_GB2312" w:cs="仿宋_GB2312"/>
                <w:color w:val="000000" w:themeColor="text1"/>
                <w:sz w:val="24"/>
                <w:szCs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方案讲解演示</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026831988"/>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F0FE"/>
                </w:r>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A</w:t>
            </w:r>
            <w:r>
              <w:rPr>
                <w:rFonts w:hint="eastAsia" w:ascii="仿宋_GB2312" w:hAnsi="仿宋_GB2312" w:eastAsia="仿宋_GB2312" w:cs="仿宋_GB2312"/>
                <w:color w:val="000000" w:themeColor="text1"/>
                <w:sz w:val="24"/>
                <w:szCs w:val="24"/>
                <w:highlight w:val="none"/>
                <w14:textFill>
                  <w14:solidFill>
                    <w14:schemeClr w14:val="tx1"/>
                  </w14:solidFill>
                </w14:textFill>
              </w:rPr>
              <w:t>不组织。</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026831988"/>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4"/>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sdtContent>
            </w:sd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1174071719"/>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4"/>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44"/>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Content>
                </w:sdt>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7</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是否允许采购进口产品</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F0FE"/>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本项目不允许采购进口产品。</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8</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项目属性与核心产品</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sdt>
              <w:sdtPr>
                <w:rPr>
                  <w:rFonts w:hint="eastAsia" w:ascii="仿宋_GB2312" w:hAnsi="仿宋_GB2312" w:eastAsia="仿宋_GB2312" w:cs="仿宋_GB2312"/>
                  <w:color w:val="000000" w:themeColor="text1"/>
                  <w:sz w:val="24"/>
                  <w:szCs w:val="24"/>
                  <w:highlight w:val="none"/>
                  <w14:textFill>
                    <w14:solidFill>
                      <w14:schemeClr w14:val="tx1"/>
                    </w14:solidFill>
                  </w14:textFill>
                </w:rPr>
                <w:id w:val="474885559"/>
              </w:sdtPr>
              <w:sdtEndPr>
                <w:rPr>
                  <w:rFonts w:hint="eastAsia" w:ascii="仿宋_GB2312" w:hAnsi="仿宋_GB2312" w:eastAsia="仿宋_GB2312" w:cs="仿宋_GB2312"/>
                  <w:color w:val="000000" w:themeColor="text1"/>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A</w:t>
            </w:r>
            <w:r>
              <w:rPr>
                <w:rFonts w:hint="eastAsia" w:ascii="仿宋_GB2312" w:hAnsi="仿宋_GB2312" w:eastAsia="仿宋_GB2312" w:cs="仿宋_GB2312"/>
                <w:color w:val="000000" w:themeColor="text1"/>
                <w:sz w:val="24"/>
                <w:szCs w:val="24"/>
                <w:highlight w:val="none"/>
                <w14:textFill>
                  <w14:solidFill>
                    <w14:schemeClr w14:val="tx1"/>
                  </w14:solidFill>
                </w14:textFill>
              </w:rPr>
              <w:t>货物类，</w:t>
            </w:r>
            <w:sdt>
              <w:sdtPr>
                <w:rPr>
                  <w:rFonts w:hint="eastAsia" w:ascii="仿宋_GB2312" w:hAnsi="仿宋_GB2312" w:eastAsia="仿宋_GB2312" w:cs="仿宋_GB2312"/>
                  <w:color w:val="000000" w:themeColor="text1"/>
                  <w:sz w:val="24"/>
                  <w:szCs w:val="24"/>
                  <w:highlight w:val="none"/>
                  <w14:textFill>
                    <w14:solidFill>
                      <w14:schemeClr w14:val="tx1"/>
                    </w14:solidFill>
                  </w14:textFill>
                </w:rPr>
                <w:id w:val="474885559"/>
              </w:sdtPr>
              <w:sdtEndPr>
                <w:rPr>
                  <w:rFonts w:hint="eastAsia" w:ascii="仿宋_GB2312" w:hAnsi="仿宋_GB2312" w:eastAsia="仿宋_GB2312" w:cs="仿宋_GB2312"/>
                  <w:color w:val="000000" w:themeColor="text1"/>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单一产品或</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核心产品为：</w:t>
            </w:r>
          </w:p>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2" w:char="0052"/>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B</w:t>
            </w:r>
            <w:r>
              <w:rPr>
                <w:rFonts w:hint="eastAsia" w:ascii="仿宋_GB2312" w:hAnsi="仿宋_GB2312" w:eastAsia="仿宋_GB2312" w:cs="仿宋_GB2312"/>
                <w:color w:val="000000" w:themeColor="text1"/>
                <w:sz w:val="24"/>
                <w:szCs w:val="24"/>
                <w:highlight w:val="none"/>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9</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采购标的对应的中小企业划分标准所属行业</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（1）标的：</w:t>
            </w:r>
            <w:r>
              <w:rPr>
                <w:rFonts w:hint="eastAsia" w:ascii="仿宋_GB2312" w:hAnsi="仿宋_GB2312" w:eastAsia="仿宋_GB2312" w:cs="仿宋_GB2312"/>
                <w:bCs/>
                <w:color w:val="000000" w:themeColor="text1"/>
                <w:sz w:val="24"/>
                <w:szCs w:val="24"/>
                <w:highlight w:val="none"/>
                <w:u w:val="none"/>
                <w:lang w:eastAsia="zh-CN"/>
                <w14:textFill>
                  <w14:solidFill>
                    <w14:schemeClr w14:val="tx1"/>
                  </w14:solidFill>
                </w14:textFill>
              </w:rPr>
              <w:t>江山市水库建设管理服务中心2025年度维修养护</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，属于</w:t>
            </w:r>
            <w:r>
              <w:rPr>
                <w:rFonts w:hint="eastAsia" w:ascii="仿宋_GB2312" w:hAnsi="仿宋_GB2312" w:eastAsia="仿宋_GB2312" w:cs="仿宋_GB2312"/>
                <w:color w:val="000000" w:themeColor="text1"/>
                <w:kern w:val="0"/>
                <w:sz w:val="24"/>
                <w:szCs w:val="24"/>
                <w:highlight w:val="none"/>
                <w:u w:val="none"/>
                <w:lang w:eastAsia="zh-CN"/>
                <w14:textFill>
                  <w14:solidFill>
                    <w14:schemeClr w14:val="tx1"/>
                  </w14:solidFill>
                </w14:textFill>
              </w:rPr>
              <w:t>其他未列明行业</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10</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节能产品、环境标志产品</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2177" w:hRule="atLeast"/>
          <w:tblHeader/>
        </w:trPr>
        <w:tc>
          <w:tcPr>
            <w:tcW w:w="629" w:type="dxa"/>
            <w:tcBorders>
              <w:top w:val="single" w:color="auto" w:sz="4" w:space="0"/>
              <w:left w:val="single" w:color="000000" w:sz="8"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w:t>
            </w:r>
          </w:p>
        </w:tc>
        <w:tc>
          <w:tcPr>
            <w:tcW w:w="1691" w:type="dxa"/>
            <w:tcBorders>
              <w:top w:val="single" w:color="000000" w:sz="8" w:space="0"/>
              <w:left w:val="single" w:color="000000" w:sz="2"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中小企业信用融资</w:t>
            </w:r>
          </w:p>
        </w:tc>
        <w:tc>
          <w:tcPr>
            <w:tcW w:w="6247" w:type="dxa"/>
            <w:tcBorders>
              <w:top w:val="single" w:color="000000" w:sz="8" w:space="0"/>
              <w:left w:val="single" w:color="000000" w:sz="2"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pP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供应商中标后也可在“政采云”平台申请政采贷：操作路径：登录政采云平台 - 金融服务中心 -【融资服务】，可在热门申请中选择产品直接申请，或者在可申请项目中根据该项目进行申请。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12</w:t>
            </w:r>
          </w:p>
        </w:tc>
        <w:tc>
          <w:tcPr>
            <w:tcW w:w="1691" w:type="dxa"/>
            <w:tcBorders>
              <w:top w:val="single" w:color="000000" w:sz="8" w:space="0"/>
              <w:left w:val="single" w:color="000000" w:sz="2" w:space="0"/>
              <w:bottom w:val="single" w:color="000000" w:sz="8" w:space="0"/>
              <w:right w:val="single" w:color="000000" w:sz="8" w:space="0"/>
            </w:tcBorders>
            <w:vAlign w:val="center"/>
          </w:tcPr>
          <w:p>
            <w:pPr>
              <w:pStyle w:val="35"/>
              <w:keepNext w:val="0"/>
              <w:keepLines w:val="0"/>
              <w:suppressLineNumbers w:val="0"/>
              <w:shd w:val="clear"/>
              <w:spacing w:before="0" w:beforeAutospacing="0" w:after="0" w:afterAutospacing="0" w:line="380" w:lineRule="exact"/>
              <w:ind w:left="0" w:right="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备份文件</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ind w:left="0" w:right="0" w:firstLine="480" w:firstLineChars="200"/>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为确保采购项目顺利实施，避免因政采云上电子投标文件解密失败导致投标方投标无效，投标方可在</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202</w:t>
            </w:r>
            <w:r>
              <w:rPr>
                <w:rFonts w:hint="eastAsia" w:ascii="仿宋_GB2312" w:hAnsi="仿宋_GB2312" w:eastAsia="仿宋_GB2312" w:cs="仿宋_GB2312"/>
                <w:color w:val="000000" w:themeColor="text1"/>
                <w:kern w:val="0"/>
                <w:sz w:val="24"/>
                <w:szCs w:val="24"/>
                <w:highlight w:val="none"/>
                <w:u w:val="none"/>
                <w:lang w:val="en-US" w:eastAsia="zh-CN"/>
                <w14:textFill>
                  <w14:solidFill>
                    <w14:schemeClr w14:val="tx1"/>
                  </w14:solidFill>
                </w14:textFill>
              </w:rPr>
              <w:t>5</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年</w:t>
            </w:r>
            <w:r>
              <w:rPr>
                <w:rFonts w:hint="eastAsia" w:ascii="仿宋_GB2312" w:hAnsi="仿宋_GB2312" w:eastAsia="仿宋_GB2312" w:cs="仿宋_GB2312"/>
                <w:color w:val="000000" w:themeColor="text1"/>
                <w:kern w:val="0"/>
                <w:sz w:val="24"/>
                <w:szCs w:val="24"/>
                <w:highlight w:val="none"/>
                <w:u w:val="none"/>
                <w:lang w:val="en-US" w:eastAsia="zh-CN"/>
                <w14:textFill>
                  <w14:solidFill>
                    <w14:schemeClr w14:val="tx1"/>
                  </w14:solidFill>
                </w14:textFill>
              </w:rPr>
              <w:t>04</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 xml:space="preserve">月 </w:t>
            </w:r>
            <w:r>
              <w:rPr>
                <w:rFonts w:hint="eastAsia" w:ascii="仿宋_GB2312" w:hAnsi="仿宋_GB2312" w:eastAsia="仿宋_GB2312" w:cs="仿宋_GB2312"/>
                <w:color w:val="000000" w:themeColor="text1"/>
                <w:kern w:val="0"/>
                <w:sz w:val="24"/>
                <w:szCs w:val="24"/>
                <w:highlight w:val="none"/>
                <w:u w:val="none"/>
                <w:lang w:val="en-US" w:eastAsia="zh-CN"/>
                <w14:textFill>
                  <w14:solidFill>
                    <w14:schemeClr w14:val="tx1"/>
                  </w14:solidFill>
                </w14:textFill>
              </w:rPr>
              <w:t>24</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日</w:t>
            </w:r>
            <w:r>
              <w:rPr>
                <w:rFonts w:hint="eastAsia" w:ascii="仿宋_GB2312" w:hAnsi="仿宋_GB2312" w:eastAsia="仿宋_GB2312" w:cs="仿宋_GB2312"/>
                <w:color w:val="000000" w:themeColor="text1"/>
                <w:kern w:val="0"/>
                <w:sz w:val="24"/>
                <w:szCs w:val="24"/>
                <w:highlight w:val="none"/>
                <w:u w:val="none"/>
                <w:lang w:val="en-US" w:eastAsia="zh-CN"/>
                <w14:textFill>
                  <w14:solidFill>
                    <w14:schemeClr w14:val="tx1"/>
                  </w14:solidFill>
                </w14:textFill>
              </w:rPr>
              <w:t>09</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时</w:t>
            </w:r>
            <w:r>
              <w:rPr>
                <w:rFonts w:hint="eastAsia" w:ascii="仿宋_GB2312" w:hAnsi="仿宋_GB2312" w:eastAsia="仿宋_GB2312" w:cs="仿宋_GB2312"/>
                <w:color w:val="000000" w:themeColor="text1"/>
                <w:kern w:val="0"/>
                <w:sz w:val="24"/>
                <w:szCs w:val="24"/>
                <w:highlight w:val="none"/>
                <w:u w:val="none"/>
                <w:lang w:val="en-US" w:eastAsia="zh-CN"/>
                <w14:textFill>
                  <w14:solidFill>
                    <w14:schemeClr w14:val="tx1"/>
                  </w14:solidFill>
                </w14:textFill>
              </w:rPr>
              <w:t>0</w:t>
            </w:r>
            <w:r>
              <w:rPr>
                <w:rFonts w:hint="eastAsia" w:ascii="仿宋_GB2312" w:hAnsi="仿宋_GB2312" w:eastAsia="仿宋_GB2312" w:cs="仿宋_GB2312"/>
                <w:color w:val="000000" w:themeColor="text1"/>
                <w:kern w:val="0"/>
                <w:sz w:val="24"/>
                <w:szCs w:val="24"/>
                <w:highlight w:val="none"/>
                <w:u w:val="none"/>
                <w14:textFill>
                  <w14:solidFill>
                    <w14:schemeClr w14:val="tx1"/>
                  </w14:solidFill>
                </w14:textFill>
              </w:rPr>
              <w:t>0分</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前将在政采云平台上最后生成的具备电子签章的备份加密投标文件（文件名后缀为备份文件四字的首字母）以电子邮件方式传送至邮箱（jshjxxjs2020@163.com），传送的备份电子投标文件需打包压缩并加密，加密密码由投标方自行保管，如政采云上电子投标文件出现解密失败情况（开标后半小时内进行解密），投标方可按照自身意愿确认是否同意提供加密密码解密传送至邮箱（jshjxxjs2020@163.com）的备份文件，并以备份文件作为替代电子投标文件，如投标方未按照规定时间及要求提供有效备份文件，同时政采云上投标文件解密失败的，将导致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13</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特别说明</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kern w:val="28"/>
                <w:sz w:val="24"/>
                <w:szCs w:val="24"/>
                <w:highlight w:val="none"/>
                <w:u w:val="none"/>
                <w:lang w:val="zh-CN"/>
                <w14:textFill>
                  <w14:solidFill>
                    <w14:schemeClr w14:val="tx1"/>
                  </w14:solidFill>
                </w14:textFill>
              </w:rPr>
            </w:pP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21172207"/>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21172208"/>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7237939"/>
                        <w:showingPlcHdr/>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ym w:font="Wingdings" w:char="F0FE"/>
                        </w:r>
                      </w:sdtContent>
                    </w:sdt>
                  </w:sdtContent>
                </w:sdt>
              </w:sdtContent>
            </w:sd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有。具体说明：</w:t>
            </w:r>
            <w:r>
              <w:rPr>
                <w:rFonts w:hint="eastAsia" w:ascii="仿宋_GB2312" w:hAnsi="仿宋_GB2312" w:eastAsia="仿宋_GB2312" w:cs="仿宋_GB2312"/>
                <w:color w:val="000000" w:themeColor="text1"/>
                <w:kern w:val="28"/>
                <w:sz w:val="24"/>
                <w:szCs w:val="24"/>
                <w:highlight w:val="none"/>
                <w:u w:val="none"/>
                <w:lang w:val="zh-CN"/>
                <w14:textFill>
                  <w14:solidFill>
                    <w14:schemeClr w14:val="tx1"/>
                  </w14:solidFill>
                </w14:textFill>
              </w:rPr>
              <w:t>中标单位须提供纸质响应文件各</w:t>
            </w:r>
            <w:r>
              <w:rPr>
                <w:rFonts w:hint="eastAsia" w:ascii="仿宋_GB2312" w:hAnsi="仿宋_GB2312" w:eastAsia="仿宋_GB2312" w:cs="仿宋_GB2312"/>
                <w:color w:val="000000" w:themeColor="text1"/>
                <w:kern w:val="28"/>
                <w:sz w:val="24"/>
                <w:szCs w:val="24"/>
                <w:highlight w:val="none"/>
                <w:u w:val="none"/>
                <w:lang w:val="en-US" w:eastAsia="zh-CN"/>
                <w14:textFill>
                  <w14:solidFill>
                    <w14:schemeClr w14:val="tx1"/>
                  </w14:solidFill>
                </w14:textFill>
              </w:rPr>
              <w:t>二</w:t>
            </w:r>
            <w:r>
              <w:rPr>
                <w:rFonts w:hint="eastAsia" w:ascii="仿宋_GB2312" w:hAnsi="仿宋_GB2312" w:eastAsia="仿宋_GB2312" w:cs="仿宋_GB2312"/>
                <w:color w:val="000000" w:themeColor="text1"/>
                <w:kern w:val="28"/>
                <w:sz w:val="24"/>
                <w:szCs w:val="24"/>
                <w:highlight w:val="none"/>
                <w:u w:val="none"/>
                <w:lang w:val="zh-CN"/>
                <w14:textFill>
                  <w14:solidFill>
                    <w14:schemeClr w14:val="tx1"/>
                  </w14:solidFill>
                </w14:textFill>
              </w:rPr>
              <w:t>套给代理公司备案。</w:t>
            </w:r>
          </w:p>
          <w:p>
            <w:pPr>
              <w:pStyle w:val="3"/>
              <w:suppressLineNumbers w:val="0"/>
              <w:shd w:val="clear"/>
              <w:spacing w:before="0" w:beforeAutospacing="0" w:after="0" w:afterAutospacing="0"/>
              <w:ind w:right="0"/>
              <w:rPr>
                <w:rFonts w:hint="eastAsia" w:ascii="仿宋_GB2312" w:hAnsi="仿宋_GB2312" w:eastAsia="仿宋_GB2312" w:cs="仿宋_GB2312"/>
                <w:color w:val="000000" w:themeColor="text1"/>
                <w:sz w:val="24"/>
                <w:szCs w:val="24"/>
                <w:highlight w:val="none"/>
                <w:lang w:val="en-US"/>
                <w14:textFill>
                  <w14:solidFill>
                    <w14:schemeClr w14:val="tx1"/>
                  </w14:solidFill>
                </w14:textFill>
              </w:rPr>
            </w:pPr>
            <w:bookmarkStart w:id="19" w:name="_Toc373"/>
            <w:bookmarkStart w:id="20" w:name="_Toc23317"/>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☐无。</w:t>
            </w:r>
            <w:bookmarkEnd w:id="19"/>
            <w:bookmarkEnd w:id="20"/>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Ex>
        <w:trPr>
          <w:trHeight w:val="1060"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14</w:t>
            </w:r>
          </w:p>
        </w:tc>
        <w:tc>
          <w:tcPr>
            <w:tcW w:w="1691"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napToGrid w:val="0"/>
              <w:spacing w:before="0" w:beforeAutospacing="0" w:after="0" w:afterAutospacing="0" w:line="360" w:lineRule="auto"/>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项目代理费</w:t>
            </w:r>
          </w:p>
        </w:tc>
        <w:tc>
          <w:tcPr>
            <w:tcW w:w="6247"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代理服务费</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每个标项各8000元，</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由中标单位承担，在中标单位领取中标通知书时支付给采购代理机构。</w:t>
            </w:r>
          </w:p>
        </w:tc>
      </w:tr>
    </w:tbl>
    <w:p>
      <w:pPr>
        <w:shd w:val="clear"/>
        <w:snapToGrid w:val="0"/>
        <w:spacing w:line="360" w:lineRule="auto"/>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pStyle w:val="14"/>
        <w:shd w:val="clea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pStyle w:val="62"/>
        <w:shd w:val="clear"/>
        <w:rPr>
          <w:rFonts w:hint="eastAsia"/>
          <w:color w:val="000000" w:themeColor="text1"/>
          <w:highlight w:val="none"/>
          <w14:textFill>
            <w14:solidFill>
              <w14:schemeClr w14:val="tx1"/>
            </w14:solidFill>
          </w14:textFill>
        </w:rPr>
      </w:pPr>
    </w:p>
    <w:bookmarkEnd w:id="12"/>
    <w:p>
      <w:pPr>
        <w:shd w:val="clear"/>
        <w:adjustRightInd/>
        <w:spacing w:line="360" w:lineRule="auto"/>
        <w:ind w:firstLine="2884" w:firstLineChars="1197"/>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21" w:name="_Toc12767"/>
      <w:bookmarkStart w:id="22" w:name="_Toc14335"/>
      <w:bookmarkStart w:id="23" w:name="第三部分"/>
      <w:bookmarkStart w:id="24" w:name="_Toc164416483"/>
      <w:r>
        <w:rPr>
          <w:rFonts w:hint="eastAsia" w:ascii="仿宋_GB2312" w:hAnsi="仿宋_GB2312" w:eastAsia="仿宋_GB2312" w:cs="仿宋_GB2312"/>
          <w:b/>
          <w:color w:val="000000" w:themeColor="text1"/>
          <w:sz w:val="24"/>
          <w:szCs w:val="24"/>
          <w:highlight w:val="none"/>
          <w14:textFill>
            <w14:solidFill>
              <w14:schemeClr w14:val="tx1"/>
            </w14:solidFill>
          </w14:textFill>
        </w:rPr>
        <w:t>一、总则</w:t>
      </w:r>
      <w:bookmarkEnd w:id="21"/>
      <w:bookmarkEnd w:id="22"/>
    </w:p>
    <w:p>
      <w:pPr>
        <w:shd w:val="clear"/>
        <w:snapToGrid w:val="0"/>
        <w:spacing w:line="360" w:lineRule="auto"/>
        <w:ind w:firstLine="361" w:firstLineChars="150"/>
        <w:jc w:val="left"/>
        <w:outlineLvl w:val="1"/>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25" w:name="_Toc20737"/>
      <w:bookmarkStart w:id="26" w:name="_Toc14900"/>
      <w:r>
        <w:rPr>
          <w:rFonts w:hint="eastAsia" w:ascii="仿宋_GB2312" w:hAnsi="仿宋_GB2312" w:eastAsia="仿宋_GB2312" w:cs="仿宋_GB2312"/>
          <w:b/>
          <w:color w:val="000000" w:themeColor="text1"/>
          <w:sz w:val="24"/>
          <w:szCs w:val="24"/>
          <w:highlight w:val="none"/>
          <w14:textFill>
            <w14:solidFill>
              <w14:schemeClr w14:val="tx1"/>
            </w14:solidFill>
          </w14:textFill>
        </w:rPr>
        <w:t>1. 适用范围</w:t>
      </w:r>
      <w:bookmarkEnd w:id="25"/>
      <w:bookmarkEnd w:id="26"/>
    </w:p>
    <w:p>
      <w:pPr>
        <w:shd w:val="clear"/>
        <w:snapToGrid w:val="0"/>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pPr>
        <w:shd w:val="clear"/>
        <w:adjustRightInd/>
        <w:spacing w:line="360" w:lineRule="auto"/>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27" w:name="_Toc31942"/>
      <w:bookmarkStart w:id="28" w:name="_Toc15875"/>
      <w:r>
        <w:rPr>
          <w:rFonts w:hint="eastAsia" w:ascii="仿宋_GB2312" w:hAnsi="仿宋_GB2312" w:eastAsia="仿宋_GB2312" w:cs="仿宋_GB2312"/>
          <w:b/>
          <w:color w:val="000000" w:themeColor="text1"/>
          <w:sz w:val="24"/>
          <w:szCs w:val="24"/>
          <w:highlight w:val="none"/>
          <w14:textFill>
            <w14:solidFill>
              <w14:schemeClr w14:val="tx1"/>
            </w14:solidFill>
          </w14:textFill>
        </w:rPr>
        <w:t>2.定义</w:t>
      </w:r>
      <w:bookmarkEnd w:id="27"/>
      <w:bookmarkEnd w:id="28"/>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2.1 “采购人”系指招标公告中载明的本项目的采购人。</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2.2 “采购机构”系指招标公告中载明的本项目的采购机构。</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2.3 “投标人”系指是指响应招标、参加投标竞争的法人、其他组织或者自然人。</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2.4 “负责人”系指法人企业的法定负责人，或其他组织为法律、行政法规规定代表单位行使职权的主要负责人，或自然人本人。</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2.6“电子交易平台”是指本项目政府采购活动所依托的政府采购云平台（https://www.zcygov.cn/）。</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2.7 “▲”系指实质性要求条款，“</w:t>
      </w: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512970236"/>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”系指适用本项目的要求，“</w:t>
      </w:r>
      <w:sdt>
        <w:sdt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id w:val="404888855"/>
        </w:sdtPr>
        <w:sdtEndPr>
          <w:rPr>
            <w:rFonts w:hint="eastAsia" w:ascii="仿宋_GB2312" w:hAnsi="仿宋_GB2312" w:eastAsia="仿宋_GB2312" w:cs="仿宋_GB2312"/>
            <w:color w:val="000000" w:themeColor="text1"/>
            <w:kern w:val="0"/>
            <w:sz w:val="24"/>
            <w:szCs w:val="24"/>
            <w:highlight w:val="none"/>
            <w14:textFill>
              <w14:solidFill>
                <w14:schemeClr w14:val="tx1"/>
              </w14:solidFill>
            </w14:textFill>
          </w:rPr>
        </w:sdtEndPr>
        <w:sdtContent>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sdtContent>
      </w:sdt>
      <w:r>
        <w:rPr>
          <w:rFonts w:hint="eastAsia" w:ascii="仿宋_GB2312" w:hAnsi="仿宋_GB2312" w:eastAsia="仿宋_GB2312" w:cs="仿宋_GB2312"/>
          <w:color w:val="000000" w:themeColor="text1"/>
          <w:sz w:val="24"/>
          <w:szCs w:val="24"/>
          <w:highlight w:val="none"/>
          <w14:textFill>
            <w14:solidFill>
              <w14:schemeClr w14:val="tx1"/>
            </w14:solidFill>
          </w14:textFill>
        </w:rPr>
        <w:t>”系指不适用本项目的要求。</w:t>
      </w:r>
    </w:p>
    <w:p>
      <w:pPr>
        <w:shd w:val="clear"/>
        <w:spacing w:line="360" w:lineRule="auto"/>
        <w:ind w:firstLine="241" w:firstLineChars="1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3.采购项目需要落实的政府采购政策</w:t>
      </w:r>
    </w:p>
    <w:p>
      <w:pPr>
        <w:shd w:val="clear"/>
        <w:spacing w:line="360" w:lineRule="auto"/>
        <w:ind w:firstLine="240" w:firstLineChars="1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hd w:val="clear"/>
        <w:spacing w:line="360" w:lineRule="auto"/>
        <w:ind w:firstLine="240" w:firstLineChars="1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3.2 支持绿色发展</w:t>
      </w:r>
    </w:p>
    <w:p>
      <w:pPr>
        <w:shd w:val="clear"/>
        <w:spacing w:line="360" w:lineRule="auto"/>
        <w:ind w:firstLine="480"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_GB2312" w:eastAsia="仿宋_GB2312" w:cs="仿宋_GB2312"/>
          <w:b/>
          <w:color w:val="000000" w:themeColor="text1"/>
          <w:sz w:val="24"/>
          <w:szCs w:val="24"/>
          <w:highlight w:val="none"/>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采购人拟采购的产品属于政府强制采购的节能产品品目清单范围的，投标人未按招标文件要求提供国家确定的认证机构出具的、处于有效期之内的节能产品认证证书的，投标无效。</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3.2.2 修缮、装修类项目采购建材的，采购人应将绿色建筑和绿色建材性能、指标等作为实质性条件纳入招标文件和合同。</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hd w:val="clear"/>
        <w:spacing w:line="360" w:lineRule="auto"/>
        <w:ind w:firstLine="240" w:firstLineChars="1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3.3支持中小企业发展</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符合中小企业划分标准的个体工商户，在政府采购活动中视同中小企业。</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3.3.2</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在政府采购活动中，投标人提供的货物、工程或者服务符合下列情形的，享受中小企业扶持政策：</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3.3.2.1在货物采购项目中，货物由中小企业制造，即货物由中小企业生产且使用该中小企业商号或者注册商标；</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3.3.2.2在工程采购项目中，工程由中小企业承建，即工程施工单位为中小企业；</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3.3.2.3在服务采购项目中，服务由中小企业承接，即提供服务的人员为中小企业依照《中华人民共和国劳动合同法》订立劳动合同的从业人员。</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在货物采购项目中，投标人提供的货物既有中小企业制造货物，也有大型企业制造货物的，不享受中小企业扶持政策。</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以联合体形式参加政府采购活动，联合体各方均为中小企业的，联合体视同中小企业。其中，联合体各方均为小微企业的，联合体视同小微企业，联合体家各方数不得超过2家。</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3.3.3对于未预留份额专门面向中小企业的政府采购货物或服务项目，以及预留份额政府采购货物或服务项目中的非预留部分标项，对小型和微型企业的投标报价给予</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2</w:t>
      </w:r>
      <w:r>
        <w:rPr>
          <w:rFonts w:hint="eastAsia" w:ascii="仿宋_GB2312" w:hAnsi="仿宋_GB2312" w:eastAsia="仿宋_GB2312" w:cs="仿宋_GB2312"/>
          <w:color w:val="000000" w:themeColor="text1"/>
          <w:sz w:val="24"/>
          <w:szCs w:val="24"/>
          <w:highlight w:val="none"/>
          <w14:textFill>
            <w14:solidFill>
              <w14:schemeClr w14:val="tx1"/>
            </w14:solidFill>
          </w14:textFill>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6</w:t>
      </w:r>
      <w:r>
        <w:rPr>
          <w:rFonts w:hint="eastAsia" w:ascii="仿宋_GB2312" w:hAnsi="仿宋_GB2312" w:eastAsia="仿宋_GB2312" w:cs="仿宋_GB2312"/>
          <w:color w:val="000000" w:themeColor="text1"/>
          <w:sz w:val="24"/>
          <w:szCs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pPr>
        <w:shd w:val="clear"/>
        <w:spacing w:line="360" w:lineRule="auto"/>
        <w:ind w:firstLine="240" w:firstLineChars="1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3.4</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支持创新发展</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3.4.1 采购人优先采购被认定为首台套产品和“制造精品”的自主创新产品。</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cr/>
      </w:r>
      <w:r>
        <w:rPr>
          <w:rFonts w:hint="eastAsia" w:ascii="仿宋_GB2312" w:hAnsi="仿宋_GB2312" w:eastAsia="仿宋_GB2312" w:cs="仿宋_GB2312"/>
          <w:b/>
          <w:color w:val="000000" w:themeColor="text1"/>
          <w:sz w:val="24"/>
          <w:szCs w:val="24"/>
          <w:highlight w:val="none"/>
          <w14:textFill>
            <w14:solidFill>
              <w14:schemeClr w14:val="tx1"/>
            </w14:solidFill>
          </w14:textFill>
        </w:rPr>
        <w:t>4. 询问、质疑、投诉</w:t>
      </w:r>
    </w:p>
    <w:p>
      <w:pPr>
        <w:shd w:val="clear"/>
        <w:autoSpaceDE w:val="0"/>
        <w:autoSpaceDN w:val="0"/>
        <w:spacing w:line="360" w:lineRule="auto"/>
        <w:ind w:firstLine="240" w:firstLineChars="1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4.1供应商询问</w:t>
      </w:r>
    </w:p>
    <w:p>
      <w:pPr>
        <w:shd w:val="clear"/>
        <w:autoSpaceDE w:val="0"/>
        <w:autoSpaceDN w:val="0"/>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hd w:val="clear"/>
        <w:autoSpaceDE w:val="0"/>
        <w:autoSpaceDN w:val="0"/>
        <w:spacing w:line="360" w:lineRule="auto"/>
        <w:ind w:firstLine="240" w:firstLineChars="1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4.2供应商质疑</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4.2</w:t>
      </w:r>
      <w:r>
        <w:rPr>
          <w:rFonts w:hint="eastAsia" w:ascii="仿宋_GB2312" w:hAnsi="仿宋_GB2312" w:eastAsia="仿宋_GB2312" w:cs="仿宋_GB2312"/>
          <w:color w:val="000000" w:themeColor="text1"/>
          <w:sz w:val="24"/>
          <w:szCs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4.2</w:t>
      </w:r>
      <w:r>
        <w:rPr>
          <w:rFonts w:hint="eastAsia" w:ascii="仿宋_GB2312" w:hAnsi="仿宋_GB2312" w:eastAsia="仿宋_GB2312" w:cs="仿宋_GB2312"/>
          <w:color w:val="000000" w:themeColor="text1"/>
          <w:sz w:val="24"/>
          <w:szCs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9"/>
        <w:shd w:val="clear"/>
        <w:spacing w:line="360" w:lineRule="auto"/>
        <w:ind w:firstLine="480" w:firstLineChars="200"/>
        <w:rPr>
          <w:rFonts w:hint="eastAsia" w:ascii="仿宋_GB2312" w:hAnsi="仿宋_GB2312" w:eastAsia="仿宋_GB2312" w:cs="仿宋_GB2312"/>
          <w:snapToGrid/>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snapToGrid/>
          <w:color w:val="000000" w:themeColor="text1"/>
          <w:kern w:val="2"/>
          <w:sz w:val="24"/>
          <w:szCs w:val="24"/>
          <w:highlight w:val="none"/>
          <w14:textFill>
            <w14:solidFill>
              <w14:schemeClr w14:val="tx1"/>
            </w14:solidFill>
          </w14:textFill>
        </w:rPr>
        <w:t>4.2.2.1对招标文件提出质疑的，质疑期限为供应商获得招标文件之日或者招标文件公告期限届满之日起计算。</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4.2.2.2对采购过程提出质疑的，质疑期限为各采购程序环节结束之日起计算。对同一采购程序环节的质疑，供应商须一次性提出。</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4.2.2.3对采购结果提出质疑的，质疑期限自采购结果公告期限届满之日起计算。</w:t>
      </w:r>
    </w:p>
    <w:p>
      <w:pPr>
        <w:pStyle w:val="35"/>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4.2.3</w:t>
      </w:r>
      <w:r>
        <w:rPr>
          <w:rFonts w:hint="eastAsia" w:ascii="仿宋_GB2312" w:hAnsi="仿宋_GB2312" w:eastAsia="仿宋_GB2312" w:cs="仿宋_GB2312"/>
          <w:color w:val="000000" w:themeColor="text1"/>
          <w:sz w:val="24"/>
          <w:szCs w:val="24"/>
          <w:highlight w:val="none"/>
          <w14:textFill>
            <w14:solidFill>
              <w14:schemeClr w14:val="tx1"/>
            </w14:solidFill>
          </w14:textFill>
        </w:rPr>
        <w:t>供应商提出质疑应当提交质疑函和必要的证明材料。质疑函应当包括下列内容：</w:t>
      </w:r>
    </w:p>
    <w:p>
      <w:pPr>
        <w:pStyle w:val="35"/>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4.2.3.1供应商的姓名或者名称、地址、邮编、联系人及联系电话；</w:t>
      </w:r>
    </w:p>
    <w:p>
      <w:pPr>
        <w:pStyle w:val="35"/>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4.2.3.2质疑项目的名称、编号；</w:t>
      </w:r>
    </w:p>
    <w:p>
      <w:pPr>
        <w:pStyle w:val="35"/>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4.2.3.3具体、明确的质疑事项和与质疑事项相关的请求；</w:t>
      </w:r>
    </w:p>
    <w:p>
      <w:pPr>
        <w:pStyle w:val="35"/>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4.2.3.4事实依据；</w:t>
      </w:r>
    </w:p>
    <w:p>
      <w:pPr>
        <w:pStyle w:val="35"/>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4.2.3.5必要的法律依据；</w:t>
      </w:r>
    </w:p>
    <w:p>
      <w:pPr>
        <w:pStyle w:val="35"/>
        <w:shd w:val="clear"/>
        <w:spacing w:line="360" w:lineRule="auto"/>
        <w:ind w:firstLine="960" w:firstLineChars="4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4.2.3.6提出质疑的日期。</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w:t>
      </w:r>
      <w:r>
        <w:rPr>
          <w:rFonts w:hint="eastAsia" w:ascii="仿宋_GB2312" w:hAnsi="仿宋_GB2312" w:eastAsia="仿宋_GB2312" w:cs="仿宋_GB2312"/>
          <w:b/>
          <w:color w:val="000000" w:themeColor="text1"/>
          <w:sz w:val="24"/>
          <w:szCs w:val="24"/>
          <w:highlight w:val="none"/>
          <w14:textFill>
            <w14:solidFill>
              <w14:schemeClr w14:val="tx1"/>
            </w14:solidFill>
          </w14:textFill>
        </w:rPr>
        <w:t>（授权代表提供投标前三个月的在本公司的社保证明）</w:t>
      </w:r>
      <w:r>
        <w:rPr>
          <w:rFonts w:hint="eastAsia" w:ascii="仿宋_GB2312" w:hAnsi="仿宋_GB2312" w:eastAsia="仿宋_GB2312" w:cs="仿宋_GB2312"/>
          <w:color w:val="000000" w:themeColor="text1"/>
          <w:sz w:val="24"/>
          <w:szCs w:val="24"/>
          <w:highlight w:val="none"/>
          <w14:textFill>
            <w14:solidFill>
              <w14:schemeClr w14:val="tx1"/>
            </w14:solidFill>
          </w14:textFill>
        </w:rPr>
        <w:t>或者盖章，并加盖公章。</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质疑函范本及制作说明详见附件2。</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4.2</w:t>
      </w:r>
      <w:r>
        <w:rPr>
          <w:rFonts w:hint="eastAsia" w:ascii="仿宋_GB2312" w:hAnsi="仿宋_GB2312" w:eastAsia="仿宋_GB2312" w:cs="仿宋_GB2312"/>
          <w:color w:val="000000" w:themeColor="text1"/>
          <w:sz w:val="24"/>
          <w:szCs w:val="24"/>
          <w:highlight w:val="none"/>
          <w14:textFill>
            <w14:solidFill>
              <w14:schemeClr w14:val="tx1"/>
            </w14:solidFill>
          </w14:textFill>
        </w:rPr>
        <w:t>.4采购人或者采购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4.2</w:t>
      </w:r>
      <w:r>
        <w:rPr>
          <w:rFonts w:hint="eastAsia" w:ascii="仿宋_GB2312" w:hAnsi="仿宋_GB2312" w:eastAsia="仿宋_GB2312" w:cs="仿宋_GB2312"/>
          <w:color w:val="000000" w:themeColor="text1"/>
          <w:sz w:val="24"/>
          <w:szCs w:val="24"/>
          <w:highlight w:val="none"/>
          <w14:textFill>
            <w14:solidFill>
              <w14:schemeClr w14:val="tx1"/>
            </w14:solidFill>
          </w14:textFill>
        </w:rPr>
        <w:t>.5询问或者质疑事项可能影响采购结果的，采购人应当暂停签订合同，已经签订合同的，应当中止履行合同。</w:t>
      </w:r>
    </w:p>
    <w:p>
      <w:pPr>
        <w:pStyle w:val="889"/>
        <w:shd w:val="clear" w:color="auto"/>
        <w:snapToGrid w:val="0"/>
        <w:spacing w:after="240" w:afterAutospacing="0" w:line="360" w:lineRule="auto"/>
        <w:ind w:firstLine="480" w:firstLineChars="200"/>
        <w:contextualSpacing/>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4.3供应商投诉</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4.3.1质疑供应商对采购人、采购代理机构的答复不满意或者采购人、采购代理机构未在规定的时间内作出答复的，可以在答复期满后十五个工作日内向同级政府采购监督管理部门提出投诉。</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4.3.</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2</w:t>
      </w:r>
      <w:r>
        <w:rPr>
          <w:rFonts w:hint="eastAsia" w:ascii="仿宋_GB2312" w:hAnsi="仿宋_GB2312" w:eastAsia="仿宋_GB2312" w:cs="仿宋_GB2312"/>
          <w:color w:val="000000" w:themeColor="text1"/>
          <w:sz w:val="24"/>
          <w:szCs w:val="24"/>
          <w:highlight w:val="none"/>
          <w14:textFill>
            <w14:solidFill>
              <w14:schemeClr w14:val="tx1"/>
            </w14:solidFill>
          </w14:textFill>
        </w:rPr>
        <w:t>供应商投诉的事项不得超出已质疑事项的范围，基于质疑答复内容提出的投诉事项除外。</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4.3.3供应商投诉应当有明确的请求和必要的证明材料。</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4.3.</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以联合体形式参加政府采购活动的，其投诉应当由组成联合体的所有供应商共同提出。</w:t>
      </w:r>
    </w:p>
    <w:p>
      <w:pPr>
        <w:pStyle w:val="889"/>
        <w:shd w:val="clear" w:color="auto"/>
        <w:snapToGrid w:val="0"/>
        <w:spacing w:after="240" w:afterAutospacing="0" w:line="360" w:lineRule="auto"/>
        <w:ind w:firstLine="4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投诉书范本及制作说明详见附件3。</w:t>
      </w:r>
    </w:p>
    <w:p>
      <w:pPr>
        <w:pStyle w:val="133"/>
        <w:shd w:val="clear"/>
        <w:snapToGrid w:val="0"/>
        <w:spacing w:before="0"/>
        <w:ind w:firstLine="36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29" w:name="_Toc23883"/>
      <w:bookmarkStart w:id="30" w:name="_Toc17686"/>
      <w:r>
        <w:rPr>
          <w:rFonts w:hint="eastAsia" w:ascii="仿宋_GB2312" w:hAnsi="仿宋_GB2312" w:eastAsia="仿宋_GB2312" w:cs="仿宋_GB2312"/>
          <w:b/>
          <w:color w:val="000000" w:themeColor="text1"/>
          <w:sz w:val="24"/>
          <w:szCs w:val="24"/>
          <w:highlight w:val="none"/>
          <w14:textFill>
            <w14:solidFill>
              <w14:schemeClr w14:val="tx1"/>
            </w14:solidFill>
          </w14:textFill>
        </w:rPr>
        <w:t>二、招标文件的构成、澄清、修改</w:t>
      </w:r>
      <w:bookmarkEnd w:id="29"/>
      <w:bookmarkEnd w:id="30"/>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5．招标文件的构成</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 招标文件包括下列文件及附件：</w:t>
      </w:r>
    </w:p>
    <w:p>
      <w:pPr>
        <w:pStyle w:val="35"/>
        <w:shd w:val="clear"/>
        <w:tabs>
          <w:tab w:val="left" w:pos="840"/>
        </w:tabs>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5.1.1招标公告；</w:t>
      </w:r>
    </w:p>
    <w:p>
      <w:pPr>
        <w:pStyle w:val="35"/>
        <w:shd w:val="clear"/>
        <w:tabs>
          <w:tab w:val="left" w:pos="840"/>
        </w:tabs>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5.1.2投标人须知；</w:t>
      </w:r>
    </w:p>
    <w:p>
      <w:pPr>
        <w:pStyle w:val="35"/>
        <w:shd w:val="clear"/>
        <w:tabs>
          <w:tab w:val="left" w:pos="840"/>
        </w:tabs>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5.1.3采购需求；</w:t>
      </w:r>
    </w:p>
    <w:p>
      <w:pPr>
        <w:pStyle w:val="35"/>
        <w:shd w:val="clear"/>
        <w:tabs>
          <w:tab w:val="left" w:pos="840"/>
        </w:tabs>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5.1.4评标办法；</w:t>
      </w:r>
    </w:p>
    <w:p>
      <w:pPr>
        <w:pStyle w:val="35"/>
        <w:shd w:val="clear"/>
        <w:tabs>
          <w:tab w:val="left" w:pos="840"/>
        </w:tabs>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5.1.5拟签订的合同文本；</w:t>
      </w:r>
    </w:p>
    <w:p>
      <w:pPr>
        <w:pStyle w:val="35"/>
        <w:shd w:val="clear"/>
        <w:tabs>
          <w:tab w:val="left" w:pos="840"/>
        </w:tabs>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5.1.6应提交的有关格式范例。</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5.2与本项目有关的</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澄清或者修改的内容为招标文件的组成部分</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6. 招标文件的澄清、修改</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6.1已获取招标文件的潜在投标人，若有问题需要澄清，应于投标截止时间前，以书面形式向采购机构提出。</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15"/>
        <w:shd w:val="clear"/>
        <w:rPr>
          <w:rFonts w:hint="eastAsia" w:ascii="仿宋_GB2312" w:hAnsi="仿宋_GB2312" w:eastAsia="仿宋_GB2312" w:cs="仿宋_GB2312"/>
          <w:color w:val="000000" w:themeColor="text1"/>
          <w:sz w:val="24"/>
          <w:szCs w:val="24"/>
          <w:highlight w:val="none"/>
          <w:lang w:val="en-US"/>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31" w:name="_Toc21055"/>
      <w:bookmarkStart w:id="32" w:name="_Toc8965"/>
      <w:r>
        <w:rPr>
          <w:rFonts w:hint="eastAsia" w:ascii="仿宋_GB2312" w:hAnsi="仿宋_GB2312" w:eastAsia="仿宋_GB2312" w:cs="仿宋_GB2312"/>
          <w:b/>
          <w:color w:val="000000" w:themeColor="text1"/>
          <w:sz w:val="24"/>
          <w:szCs w:val="24"/>
          <w:highlight w:val="none"/>
          <w14:textFill>
            <w14:solidFill>
              <w14:schemeClr w14:val="tx1"/>
            </w14:solidFill>
          </w14:textFill>
        </w:rPr>
        <w:t>三、投标</w:t>
      </w:r>
      <w:bookmarkEnd w:id="31"/>
      <w:bookmarkEnd w:id="32"/>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7. 招标文件的获取</w:t>
      </w:r>
    </w:p>
    <w:p>
      <w:pPr>
        <w:shd w:val="clear"/>
        <w:spacing w:line="360" w:lineRule="auto"/>
        <w:ind w:firstLine="480" w:firstLineChars="200"/>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pPr>
      <w:r>
        <w:rPr>
          <w:rFonts w:hint="eastAsia" w:ascii="仿宋_GB2312" w:hAnsi="仿宋_GB2312" w:eastAsia="仿宋_GB2312" w:cs="仿宋_GB2312"/>
          <w:snapToGrid w:val="0"/>
          <w:color w:val="000000" w:themeColor="text1"/>
          <w:kern w:val="28"/>
          <w:sz w:val="24"/>
          <w:szCs w:val="24"/>
          <w:highlight w:val="none"/>
          <w14:textFill>
            <w14:solidFill>
              <w14:schemeClr w14:val="tx1"/>
            </w14:solidFill>
          </w14:textFill>
        </w:rPr>
        <w:t>详见招标公告中获取招标文件的时间期限、地点、方式及招标文件售价。</w:t>
      </w:r>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8.开标前答疑会或现场考察</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28"/>
          <w:sz w:val="24"/>
          <w:szCs w:val="24"/>
          <w:highlight w:val="none"/>
          <w14:textFill>
            <w14:solidFill>
              <w14:schemeClr w14:val="tx1"/>
            </w14:solidFill>
          </w14:textFill>
        </w:rPr>
        <w:t>9.投标保证金</w:t>
      </w:r>
    </w:p>
    <w:p>
      <w:pPr>
        <w:pStyle w:val="19"/>
        <w:shd w:val="clear"/>
        <w:spacing w:line="360" w:lineRule="auto"/>
        <w:ind w:firstLine="470" w:firstLineChars="196"/>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本项目不需缴纳投标保证金。</w:t>
      </w:r>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10. 投标文件的语言</w:t>
      </w:r>
    </w:p>
    <w:p>
      <w:pPr>
        <w:shd w:val="clear"/>
        <w:autoSpaceDE w:val="0"/>
        <w:autoSpaceDN w:val="0"/>
        <w:spacing w:line="360" w:lineRule="auto"/>
        <w:ind w:firstLine="480" w:firstLineChars="2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投标文件及投标人与采购有关的来往通知、函件和文件均应使用中文。</w:t>
      </w:r>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11. 投标文件的组成</w:t>
      </w:r>
    </w:p>
    <w:p>
      <w:pPr>
        <w:shd w:val="clear"/>
        <w:snapToGrid w:val="0"/>
        <w:spacing w:line="360" w:lineRule="auto"/>
        <w:ind w:firstLine="482" w:firstLineChars="200"/>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11.1资格文件：</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11.1.1资格文件封面；</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11.1.2▲符合参加政府采购活动应当具备的一般条件的承诺函；</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11.1.3▲落实政府采购政策需满足的资格要求；</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11.1.4▲有效的《企业法人营业执照》副本扫描件；</w:t>
      </w:r>
    </w:p>
    <w:p>
      <w:pPr>
        <w:shd w:val="clear"/>
        <w:snapToGrid w:val="0"/>
        <w:spacing w:line="360" w:lineRule="auto"/>
        <w:ind w:left="479" w:leftChars="228"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11.1.5▲授权委托书或法定代表人（单位负责人、自然人本人）身份证明；被授权人身份证明、被授权人投标前3个月在本单位社保证明。</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11.1.6▲投标函；</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11.1.7信用中国等网站信用查询结果；</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11.1.8</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政府采购活动现场确认声明书；</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11.1.9▲</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政府采购供应商廉洁自律承诺书；</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lang w:val="zh-CN"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11.1.10▲</w:t>
      </w:r>
      <w:r>
        <w:rPr>
          <w:rFonts w:hint="eastAsia" w:ascii="仿宋_GB2312" w:hAnsi="仿宋_GB2312" w:eastAsia="仿宋_GB2312" w:cs="仿宋_GB2312"/>
          <w:color w:val="000000" w:themeColor="text1"/>
          <w:sz w:val="24"/>
          <w:szCs w:val="24"/>
          <w:highlight w:val="none"/>
          <w:lang w:val="zh-CN" w:eastAsia="zh-CN"/>
          <w14:textFill>
            <w14:solidFill>
              <w14:schemeClr w14:val="tx1"/>
            </w14:solidFill>
          </w14:textFill>
        </w:rPr>
        <w:t>投标人具有浙江省水利水电工程物业管理服务能力评价水库山塘类甲级资格或水利水电工程总承包三级及以上资格（标项一、标项二）；投标人具有浙江省水利水电工程物业管理服务能力评价灌区类甲级资格或河道堤防类乙级及以上资格或水利水电工程总承包三级及以上资格（标项三）。</w:t>
      </w:r>
    </w:p>
    <w:p>
      <w:pPr>
        <w:shd w:val="clear"/>
        <w:snapToGrid w:val="0"/>
        <w:spacing w:line="360" w:lineRule="auto"/>
        <w:rPr>
          <w:rFonts w:hint="eastAsia" w:ascii="仿宋_GB2312" w:hAnsi="仿宋_GB2312" w:eastAsia="仿宋_GB2312" w:cs="仿宋_GB2312"/>
          <w:b/>
          <w:bCs/>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val="zh-CN"/>
          <w14:textFill>
            <w14:solidFill>
              <w14:schemeClr w14:val="tx1"/>
            </w14:solidFill>
          </w14:textFill>
        </w:rPr>
        <w:t>11.</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2商务技术</w:t>
      </w:r>
      <w:r>
        <w:rPr>
          <w:rFonts w:hint="eastAsia" w:ascii="仿宋_GB2312" w:hAnsi="仿宋_GB2312" w:eastAsia="仿宋_GB2312" w:cs="仿宋_GB2312"/>
          <w:b/>
          <w:bCs/>
          <w:color w:val="000000" w:themeColor="text1"/>
          <w:sz w:val="24"/>
          <w:szCs w:val="24"/>
          <w:highlight w:val="none"/>
          <w:lang w:val="zh-CN"/>
          <w14:textFill>
            <w14:solidFill>
              <w14:schemeClr w14:val="tx1"/>
            </w14:solidFill>
          </w14:textFill>
        </w:rPr>
        <w:t>文件：</w:t>
      </w:r>
    </w:p>
    <w:p>
      <w:pPr>
        <w:shd w:val="clear"/>
        <w:snapToGrid w:val="0"/>
        <w:spacing w:line="360" w:lineRule="auto"/>
        <w:ind w:firstLine="960" w:firstLineChars="400"/>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11.2.1商务技术</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文件封面；</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11.2.2符合性审查资料；</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11.2.3评标标准相应的商务技术资料；</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11.2.4商务技术偏离表；</w:t>
      </w:r>
    </w:p>
    <w:p>
      <w:pPr>
        <w:shd w:val="clear"/>
        <w:snapToGrid w:val="0"/>
        <w:spacing w:line="360" w:lineRule="auto"/>
        <w:rPr>
          <w:rFonts w:hint="eastAsia" w:ascii="仿宋_GB2312" w:hAnsi="仿宋_GB2312" w:eastAsia="仿宋_GB2312" w:cs="仿宋_GB2312"/>
          <w:b/>
          <w:bCs/>
          <w:color w:val="000000" w:themeColor="text1"/>
          <w:sz w:val="24"/>
          <w:szCs w:val="24"/>
          <w:highlight w:val="none"/>
          <w:u w:val="single"/>
          <w:lang w:val="zh-CN"/>
          <w14:textFill>
            <w14:solidFill>
              <w14:schemeClr w14:val="tx1"/>
            </w14:solidFill>
          </w14:textFill>
        </w:rPr>
      </w:pPr>
      <w:r>
        <w:rPr>
          <w:rFonts w:hint="eastAsia" w:ascii="仿宋_GB2312" w:hAnsi="仿宋_GB2312" w:eastAsia="仿宋_GB2312" w:cs="仿宋_GB2312"/>
          <w:b/>
          <w:bCs/>
          <w:color w:val="000000" w:themeColor="text1"/>
          <w:kern w:val="0"/>
          <w:sz w:val="24"/>
          <w:szCs w:val="24"/>
          <w:highlight w:val="none"/>
          <w:lang w:val="zh-CN"/>
          <w14:textFill>
            <w14:solidFill>
              <w14:schemeClr w14:val="tx1"/>
            </w14:solidFill>
          </w14:textFill>
        </w:rPr>
        <w:t>11.</w:t>
      </w:r>
      <w:r>
        <w:rPr>
          <w:rFonts w:hint="eastAsia" w:ascii="仿宋_GB2312" w:hAnsi="仿宋_GB2312" w:eastAsia="仿宋_GB2312" w:cs="仿宋_GB2312"/>
          <w:b/>
          <w:bCs/>
          <w:color w:val="000000" w:themeColor="text1"/>
          <w:kern w:val="0"/>
          <w:sz w:val="24"/>
          <w:szCs w:val="24"/>
          <w:highlight w:val="none"/>
          <w14:textFill>
            <w14:solidFill>
              <w14:schemeClr w14:val="tx1"/>
            </w14:solidFill>
          </w14:textFill>
        </w:rPr>
        <w:t>3</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报价文件：</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11.3.1</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报价文件封面；</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11.3.2▲开标一览表（报价表）；</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11.3.3中小企业声明函。</w:t>
      </w:r>
    </w:p>
    <w:p>
      <w:pPr>
        <w:shd w:val="clear"/>
        <w:spacing w:line="360" w:lineRule="auto"/>
        <w:ind w:firstLine="723" w:firstLineChars="3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投标人提供虚假材料投标的，投标无效。</w:t>
      </w:r>
    </w:p>
    <w:p>
      <w:pPr>
        <w:pStyle w:val="133"/>
        <w:shd w:val="clear"/>
        <w:snapToGrid w:val="0"/>
        <w:spacing w:before="0"/>
        <w:ind w:firstLine="0" w:firstLineChars="0"/>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33" w:name="_Toc22389"/>
      <w:bookmarkStart w:id="34" w:name="_Toc16973"/>
      <w:r>
        <w:rPr>
          <w:rFonts w:hint="eastAsia" w:ascii="仿宋_GB2312" w:hAnsi="仿宋_GB2312" w:eastAsia="仿宋_GB2312" w:cs="仿宋_GB2312"/>
          <w:b/>
          <w:color w:val="000000" w:themeColor="text1"/>
          <w:sz w:val="24"/>
          <w:szCs w:val="24"/>
          <w:highlight w:val="none"/>
          <w14:textFill>
            <w14:solidFill>
              <w14:schemeClr w14:val="tx1"/>
            </w14:solidFill>
          </w14:textFill>
        </w:rPr>
        <w:t>12</w:t>
      </w: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 xml:space="preserve">. </w:t>
      </w: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投标文件的编制</w:t>
      </w:r>
      <w:bookmarkEnd w:id="33"/>
      <w:bookmarkEnd w:id="34"/>
    </w:p>
    <w:p>
      <w:pPr>
        <w:shd w:val="clear"/>
        <w:spacing w:line="360" w:lineRule="auto"/>
        <w:ind w:firstLine="480"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pPr>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shd w:val="clear"/>
        <w:snapToGrid w:val="0"/>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13.投标文件的签署、盖章</w:t>
      </w:r>
    </w:p>
    <w:p>
      <w:pPr>
        <w:pStyle w:val="133"/>
        <w:shd w:val="clear"/>
        <w:snapToGrid w:val="0"/>
        <w:spacing w:before="0"/>
        <w:ind w:firstLine="48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13.1投标文件按照招标文件第六部分格式要求进行签署、盖章。</w:t>
      </w: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投标人的投标文件未按照招标文件要求签署、盖章的，其投标无效</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13.2为确保网上操作合法、有效和安全，投标人应当在投标截止时间前完成在“政府采购云平台”的身份认证，确保在电子投标过程中能够对相关数据电文进行加密和使用电子签章。</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13.3招标文件对投标文件盖章的要求适用于电子签章。</w:t>
      </w:r>
    </w:p>
    <w:p>
      <w:pPr>
        <w:pStyle w:val="133"/>
        <w:shd w:val="clear"/>
        <w:spacing w:before="0"/>
        <w:ind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14. 投标文件的提交、补充、修改、撤回</w:t>
      </w:r>
    </w:p>
    <w:p>
      <w:pPr>
        <w:pStyle w:val="133"/>
        <w:shd w:val="clear"/>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14.3采购人、采购机构可以视情况延长投标文件提交的截止时间。在上述情况下，采购机构与投标人以前在投标截止期方面的全部权利、责任和义务，将适用于延长至新的投标截止期。</w:t>
      </w:r>
    </w:p>
    <w:p>
      <w:pPr>
        <w:pStyle w:val="35"/>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15.备份投标文件</w:t>
      </w:r>
    </w:p>
    <w:p>
      <w:pPr>
        <w:pStyle w:val="35"/>
        <w:shd w:val="clear"/>
        <w:spacing w:line="360" w:lineRule="auto"/>
        <w:ind w:firstLine="360" w:firstLineChars="15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w:t>
      </w:r>
      <w:r>
        <w:rPr>
          <w:rFonts w:hint="eastAsia" w:ascii="仿宋_GB2312" w:hAnsi="仿宋_GB2312" w:eastAsia="仿宋_GB2312" w:cs="仿宋_GB2312"/>
          <w:b/>
          <w:color w:val="000000" w:themeColor="text1"/>
          <w:sz w:val="24"/>
          <w:szCs w:val="24"/>
          <w:highlight w:val="none"/>
          <w14:textFill>
            <w14:solidFill>
              <w14:schemeClr w14:val="tx1"/>
            </w14:solidFill>
          </w14:textFill>
        </w:rPr>
        <w:t>但采购人、采购机构不强制或变相强制投标人提交备份投标文件。</w:t>
      </w:r>
    </w:p>
    <w:p>
      <w:pPr>
        <w:pStyle w:val="35"/>
        <w:shd w:val="clear"/>
        <w:spacing w:line="360" w:lineRule="auto"/>
        <w:ind w:firstLine="480"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15.2备份投标文件须在“政采云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_GB2312" w:hAnsi="仿宋_GB2312" w:eastAsia="仿宋_GB2312" w:cs="仿宋_GB2312"/>
          <w:b/>
          <w:color w:val="000000" w:themeColor="text1"/>
          <w:sz w:val="24"/>
          <w:szCs w:val="24"/>
          <w:highlight w:val="none"/>
          <w14:textFill>
            <w14:solidFill>
              <w14:schemeClr w14:val="tx1"/>
            </w14:solidFill>
          </w14:textFill>
        </w:rPr>
        <w:t>不符合上述制作、存储、密封规定的备份投标文件将被视为无效或者被拒绝接收。</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15.3直接提交备份投标文件的，投标人应于投标截止时间前在招标公告中载明的开标地点将备份投标文件提交给采购机构，采购机构将拒绝接受逾期送达的备份投标文件。</w:t>
      </w:r>
    </w:p>
    <w:p>
      <w:pPr>
        <w:pStyle w:val="35"/>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w:t>
      </w:r>
      <w:r>
        <w:rPr>
          <w:rFonts w:hint="eastAsia" w:ascii="仿宋_GB2312" w:hAnsi="仿宋_GB2312" w:eastAsia="仿宋_GB2312" w:cs="仿宋_GB2312"/>
          <w:snapToGrid/>
          <w:color w:val="000000" w:themeColor="text1"/>
          <w:sz w:val="24"/>
          <w:szCs w:val="24"/>
          <w:highlight w:val="none"/>
          <w14:textFill>
            <w14:solidFill>
              <w14:schemeClr w14:val="tx1"/>
            </w14:solidFill>
          </w14:textFill>
        </w:rPr>
        <w:t>招标文件第二部分投标人须知前附表规定的备份投标文件送达地点；</w:t>
      </w:r>
      <w:r>
        <w:rPr>
          <w:rFonts w:hint="eastAsia" w:ascii="仿宋_GB2312" w:hAnsi="仿宋_GB2312" w:eastAsia="仿宋_GB2312" w:cs="仿宋_GB2312"/>
          <w:color w:val="000000" w:themeColor="text1"/>
          <w:sz w:val="24"/>
          <w:szCs w:val="24"/>
          <w:highlight w:val="none"/>
          <w14:textFill>
            <w14:solidFill>
              <w14:schemeClr w14:val="tx1"/>
            </w14:solidFill>
          </w14:textFill>
        </w:rPr>
        <w:t>送达时间以签收人签收时间为准。采购机构将拒绝接受逾期送达的备份投标文件。邮寄过程中，电子备份投标文件发生泄露、遗失、损坏或延期送达等情况的，由投标人自行负责。</w:t>
      </w:r>
    </w:p>
    <w:p>
      <w:pPr>
        <w:pStyle w:val="35"/>
        <w:shd w:val="clear"/>
        <w:spacing w:line="360" w:lineRule="auto"/>
        <w:ind w:firstLine="479" w:firstLineChars="199"/>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15.5投标人仅提交备份投标文件，没有在电子交易平台传输递交投标文件的，投标无效。</w:t>
      </w:r>
    </w:p>
    <w:p>
      <w:pPr>
        <w:pStyle w:val="133"/>
        <w:shd w:val="clear"/>
        <w:spacing w:before="0"/>
        <w:ind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16.投标文件的无效处理</w:t>
      </w:r>
    </w:p>
    <w:p>
      <w:pPr>
        <w:pStyle w:val="20"/>
        <w:shd w:val="clear"/>
        <w:spacing w:line="360" w:lineRule="auto"/>
        <w:ind w:firstLine="360"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有招标文件第四部分第13项规定的情形之一的，投标无效：</w:t>
      </w:r>
    </w:p>
    <w:p>
      <w:pPr>
        <w:pStyle w:val="133"/>
        <w:shd w:val="clear"/>
        <w:spacing w:before="0"/>
        <w:ind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17.投标有效期</w:t>
      </w:r>
    </w:p>
    <w:p>
      <w:pPr>
        <w:shd w:val="clear"/>
        <w:spacing w:line="360" w:lineRule="auto"/>
        <w:ind w:firstLine="480"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17.1投标有效期为从提交投标文件的截止之日起90天。</w:t>
      </w: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投标人的投标文件中承诺的投标有效期少于招标文件中载明的投标有效期的，投标无效。</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17.2投标文件合格投递后，自投标截止日期起，在投标有效期内有效。</w:t>
      </w:r>
    </w:p>
    <w:p>
      <w:pPr>
        <w:pStyle w:val="133"/>
        <w:shd w:val="clear"/>
        <w:spacing w:before="0"/>
        <w:ind w:firstLine="641"/>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pStyle w:val="133"/>
        <w:shd w:val="clear"/>
        <w:spacing w:before="0"/>
        <w:ind w:firstLine="1446" w:firstLineChars="60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四、开标、资格审查与信用信息查询</w:t>
      </w:r>
    </w:p>
    <w:p>
      <w:pPr>
        <w:pStyle w:val="559"/>
        <w:shd w:val="clear"/>
        <w:spacing w:before="0" w:line="360" w:lineRule="auto"/>
        <w:ind w:left="0" w:firstLine="241" w:firstLineChars="1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18.开标</w:t>
      </w:r>
    </w:p>
    <w:p>
      <w:pPr>
        <w:pStyle w:val="559"/>
        <w:shd w:val="clear"/>
        <w:spacing w:before="0" w:line="360" w:lineRule="auto"/>
        <w:ind w:left="0" w:firstLine="480" w:firstLineChars="2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18.1采购机构按照招标文件规定的时间通过电子交易平台组织开标，所有投标人均应当准时在线参加。投标人不足3家的，不得开标。</w:t>
      </w:r>
    </w:p>
    <w:p>
      <w:pPr>
        <w:pStyle w:val="559"/>
        <w:shd w:val="clear"/>
        <w:spacing w:before="0" w:line="360" w:lineRule="auto"/>
        <w:ind w:left="0" w:firstLine="240" w:firstLineChars="100"/>
        <w:contextualSpacing/>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18.2开标时，电子交易平台按开标时间自动提取所有投标文件。采购机构依托电子交易平台发起开始解密指令，投标人按照平台提示和招标文件的规定在</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半</w:t>
      </w:r>
      <w:r>
        <w:rPr>
          <w:rFonts w:hint="eastAsia" w:ascii="仿宋_GB2312" w:hAnsi="仿宋_GB2312" w:eastAsia="仿宋_GB2312" w:cs="仿宋_GB2312"/>
          <w:b/>
          <w:color w:val="000000" w:themeColor="text1"/>
          <w:sz w:val="24"/>
          <w:szCs w:val="24"/>
          <w:highlight w:val="none"/>
          <w14:textFill>
            <w14:solidFill>
              <w14:schemeClr w14:val="tx1"/>
            </w14:solidFill>
          </w14:textFill>
        </w:rPr>
        <w:t>小时内</w:t>
      </w:r>
      <w:r>
        <w:rPr>
          <w:rFonts w:hint="eastAsia" w:ascii="仿宋_GB2312" w:hAnsi="仿宋_GB2312" w:eastAsia="仿宋_GB2312" w:cs="仿宋_GB2312"/>
          <w:color w:val="000000" w:themeColor="text1"/>
          <w:sz w:val="24"/>
          <w:szCs w:val="24"/>
          <w:highlight w:val="none"/>
          <w14:textFill>
            <w14:solidFill>
              <w14:schemeClr w14:val="tx1"/>
            </w14:solidFill>
          </w14:textFill>
        </w:rPr>
        <w:t>完成在线解密。</w:t>
      </w:r>
    </w:p>
    <w:p>
      <w:pPr>
        <w:pStyle w:val="559"/>
        <w:shd w:val="clear"/>
        <w:spacing w:before="0" w:line="360" w:lineRule="auto"/>
        <w:ind w:left="0" w:firstLine="240" w:firstLineChars="100"/>
        <w:contextualSpacing/>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18.3</w:t>
      </w: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pPr>
        <w:widowControl/>
        <w:shd w:val="clear"/>
        <w:spacing w:before="100" w:beforeAutospacing="1" w:after="240" w:line="360" w:lineRule="auto"/>
        <w:jc w:val="lef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　19、资格审查</w:t>
      </w:r>
    </w:p>
    <w:p>
      <w:pPr>
        <w:pStyle w:val="133"/>
        <w:shd w:val="clear"/>
        <w:spacing w:before="0"/>
        <w:ind w:firstLine="48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19.1开标后，采购人或采购机构将依法对投标人的资格进行审查。</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19.2</w:t>
      </w: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采购人或采购机构依据法律法规和招标文件的规定，对投标人的基本资格条件、特定资格条件进行审查。</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19.3投标人未按照招标文件要求提供与</w:t>
      </w:r>
      <w:r>
        <w:rPr>
          <w:rFonts w:hint="eastAsia" w:ascii="仿宋_GB2312" w:hAnsi="仿宋_GB2312" w:eastAsia="仿宋_GB2312" w:cs="仿宋_GB2312"/>
          <w:color w:val="000000" w:themeColor="text1"/>
          <w:sz w:val="24"/>
          <w:szCs w:val="24"/>
          <w:highlight w:val="none"/>
          <w14:textFill>
            <w14:solidFill>
              <w14:schemeClr w14:val="tx1"/>
            </w14:solidFill>
          </w14:textFill>
        </w:rPr>
        <w:t>基本资格条件、特定资格条件相应的</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有效资格证明材料的，视为</w:t>
      </w:r>
      <w:r>
        <w:rPr>
          <w:rFonts w:hint="eastAsia" w:ascii="仿宋_GB2312" w:hAnsi="仿宋_GB2312" w:eastAsia="仿宋_GB2312" w:cs="仿宋_GB2312"/>
          <w:color w:val="000000" w:themeColor="text1"/>
          <w:sz w:val="24"/>
          <w:szCs w:val="24"/>
          <w:highlight w:val="none"/>
          <w14:textFill>
            <w14:solidFill>
              <w14:schemeClr w14:val="tx1"/>
            </w14:solidFill>
          </w14:textFill>
        </w:rPr>
        <w:t>投标人不具备招标文件中规定的资格要求，其投标无效。</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19.</w:t>
      </w:r>
      <w:r>
        <w:rPr>
          <w:rFonts w:hint="eastAsia" w:ascii="仿宋_GB2312" w:hAnsi="仿宋_GB2312" w:eastAsia="仿宋_GB2312" w:cs="仿宋_GB2312"/>
          <w:color w:val="000000" w:themeColor="text1"/>
          <w:sz w:val="24"/>
          <w:szCs w:val="24"/>
          <w:highlight w:val="none"/>
          <w14:textFill>
            <w14:solidFill>
              <w14:schemeClr w14:val="tx1"/>
            </w14:solidFill>
          </w14:textFill>
        </w:rPr>
        <w:t>4对未通过资格审查的投标人，采购人或采购机构告知其未通过的原因。</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19.</w:t>
      </w:r>
      <w:r>
        <w:rPr>
          <w:rFonts w:hint="eastAsia" w:ascii="仿宋_GB2312" w:hAnsi="仿宋_GB2312" w:eastAsia="仿宋_GB2312" w:cs="仿宋_GB2312"/>
          <w:color w:val="000000" w:themeColor="text1"/>
          <w:sz w:val="24"/>
          <w:szCs w:val="24"/>
          <w:highlight w:val="none"/>
          <w14:textFill>
            <w14:solidFill>
              <w14:schemeClr w14:val="tx1"/>
            </w14:solidFill>
          </w14:textFill>
        </w:rPr>
        <w:t>5合格投标人不足3家的，不再评标。</w:t>
      </w:r>
    </w:p>
    <w:p>
      <w:pPr>
        <w:pStyle w:val="133"/>
        <w:shd w:val="clear"/>
        <w:spacing w:before="0"/>
        <w:ind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20、信用信息查询</w:t>
      </w:r>
    </w:p>
    <w:p>
      <w:pPr>
        <w:pStyle w:val="133"/>
        <w:shd w:val="clear"/>
        <w:spacing w:before="0"/>
        <w:ind w:firstLine="495" w:firstLineChars="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20.1信用信息查询渠道及截止时间：采购机构将通过“信用中国”网站(www.creditchina.gov.cn)、中国政府采购网(www.ccgp.gov.cn)渠道查询投标人投标截止时间当天的信用记录。</w:t>
      </w:r>
    </w:p>
    <w:p>
      <w:pPr>
        <w:pStyle w:val="133"/>
        <w:shd w:val="clear"/>
        <w:spacing w:before="0"/>
        <w:ind w:firstLine="495" w:firstLineChars="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20.2信用信息查询记录和证据留存的具体方式：现场查询的投标人的信用记录、查询结果经确认后将与采购文件一起存档。</w:t>
      </w:r>
    </w:p>
    <w:p>
      <w:pPr>
        <w:pStyle w:val="133"/>
        <w:shd w:val="clear"/>
        <w:spacing w:before="0"/>
        <w:ind w:firstLine="495" w:firstLineChars="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pPr>
        <w:pStyle w:val="133"/>
        <w:shd w:val="clear"/>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pStyle w:val="133"/>
        <w:shd w:val="clear"/>
        <w:spacing w:before="0"/>
        <w:ind w:firstLine="0" w:firstLineChars="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p>
    <w:p>
      <w:pPr>
        <w:shd w:val="clear"/>
        <w:snapToGrid w:val="0"/>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35" w:name="_Toc6236"/>
      <w:bookmarkStart w:id="36" w:name="_Toc3603"/>
      <w:r>
        <w:rPr>
          <w:rFonts w:hint="eastAsia" w:ascii="仿宋_GB2312" w:hAnsi="仿宋_GB2312" w:eastAsia="仿宋_GB2312" w:cs="仿宋_GB2312"/>
          <w:b/>
          <w:color w:val="000000" w:themeColor="text1"/>
          <w:sz w:val="24"/>
          <w:szCs w:val="24"/>
          <w:highlight w:val="none"/>
          <w14:textFill>
            <w14:solidFill>
              <w14:schemeClr w14:val="tx1"/>
            </w14:solidFill>
          </w14:textFill>
        </w:rPr>
        <w:t>五、评标</w:t>
      </w:r>
      <w:bookmarkEnd w:id="35"/>
      <w:bookmarkEnd w:id="36"/>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37" w:name="_Toc91899903"/>
      <w:r>
        <w:rPr>
          <w:rFonts w:hint="eastAsia" w:ascii="仿宋_GB2312" w:hAnsi="仿宋_GB2312" w:eastAsia="仿宋_GB2312" w:cs="仿宋_GB2312"/>
          <w:b/>
          <w:color w:val="000000" w:themeColor="text1"/>
          <w:sz w:val="24"/>
          <w:szCs w:val="24"/>
          <w:highlight w:val="none"/>
          <w14:textFill>
            <w14:solidFill>
              <w14:schemeClr w14:val="tx1"/>
            </w14:solidFill>
          </w14:textFill>
        </w:rPr>
        <w:t>21.</w:t>
      </w:r>
      <w:r>
        <w:rPr>
          <w:rFonts w:hint="eastAsia" w:ascii="仿宋_GB2312" w:hAnsi="仿宋_GB2312" w:eastAsia="仿宋_GB2312" w:cs="仿宋_GB2312"/>
          <w:color w:val="000000" w:themeColor="text1"/>
          <w:sz w:val="24"/>
          <w:szCs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_GB2312" w:eastAsia="仿宋_GB2312" w:cs="仿宋_GB2312"/>
          <w:b/>
          <w:color w:val="000000" w:themeColor="text1"/>
          <w:sz w:val="24"/>
          <w:szCs w:val="24"/>
          <w:highlight w:val="none"/>
          <w14:textFill>
            <w14:solidFill>
              <w14:schemeClr w14:val="tx1"/>
            </w14:solidFill>
          </w14:textFill>
        </w:rPr>
        <w:t>详见招标文件第四部分评标办法。</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napToGrid w:val="0"/>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38" w:name="_Toc31968"/>
      <w:bookmarkStart w:id="39" w:name="_Toc8241"/>
      <w:r>
        <w:rPr>
          <w:rFonts w:hint="eastAsia" w:ascii="仿宋_GB2312" w:hAnsi="仿宋_GB2312" w:eastAsia="仿宋_GB2312" w:cs="仿宋_GB2312"/>
          <w:b/>
          <w:color w:val="000000" w:themeColor="text1"/>
          <w:sz w:val="24"/>
          <w:szCs w:val="24"/>
          <w:highlight w:val="none"/>
          <w14:textFill>
            <w14:solidFill>
              <w14:schemeClr w14:val="tx1"/>
            </w14:solidFill>
          </w14:textFill>
        </w:rPr>
        <w:t>六、定标</w:t>
      </w:r>
      <w:bookmarkEnd w:id="38"/>
      <w:bookmarkEnd w:id="39"/>
    </w:p>
    <w:p>
      <w:pPr>
        <w:pStyle w:val="20"/>
        <w:shd w:val="clear"/>
        <w:spacing w:line="360" w:lineRule="auto"/>
        <w:ind w:left="478" w:hanging="479" w:hangingChars="199"/>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22. 确定中标供应商</w:t>
      </w:r>
    </w:p>
    <w:p>
      <w:pPr>
        <w:pStyle w:val="133"/>
        <w:shd w:val="clear"/>
        <w:snapToGrid w:val="0"/>
        <w:spacing w:before="0"/>
        <w:ind w:firstLine="48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采购人将自收到评审报告之日起5个工作日内通过电子交易平台在评审报告推荐的中标候选人中按顺序确定中标供应商。</w:t>
      </w:r>
    </w:p>
    <w:p>
      <w:pPr>
        <w:pStyle w:val="133"/>
        <w:shd w:val="clear"/>
        <w:snapToGrid w:val="0"/>
        <w:spacing w:before="0"/>
        <w:ind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23. 中标通知与中标结果公告</w:t>
      </w:r>
    </w:p>
    <w:p>
      <w:pPr>
        <w:widowControl/>
        <w:shd w:val="clear" w:color="auto"/>
        <w:spacing w:line="360" w:lineRule="auto"/>
        <w:ind w:firstLine="48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23.1自中标人确定之日起2个工作日内，采购机构通过电子交易平台向中标人发出中标通知书，同时编制发布采购结果公告。采购机构也可以以纸质形式进行中标通知。</w:t>
      </w:r>
    </w:p>
    <w:p>
      <w:pPr>
        <w:widowControl/>
        <w:shd w:val="clear" w:color="auto"/>
        <w:spacing w:line="360" w:lineRule="auto"/>
        <w:ind w:firstLine="48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23.2公告期限为1个工作日。</w:t>
      </w:r>
    </w:p>
    <w:p>
      <w:pPr>
        <w:shd w:val="clear"/>
        <w:snapToGrid w:val="0"/>
        <w:spacing w:line="360" w:lineRule="auto"/>
        <w:ind w:left="120" w:leftChars="57" w:firstLine="361" w:firstLineChars="15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napToGrid w:val="0"/>
        <w:spacing w:line="360" w:lineRule="auto"/>
        <w:ind w:left="120" w:leftChars="57" w:firstLine="361" w:firstLineChars="15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七、合同授予</w:t>
      </w:r>
    </w:p>
    <w:p>
      <w:pPr>
        <w:pStyle w:val="20"/>
        <w:shd w:val="clear"/>
        <w:spacing w:line="360" w:lineRule="auto"/>
        <w:ind w:left="478" w:hanging="479" w:hangingChars="199"/>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 xml:space="preserve">24. </w:t>
      </w:r>
      <w:r>
        <w:rPr>
          <w:rFonts w:hint="eastAsia" w:ascii="仿宋_GB2312" w:hAnsi="仿宋_GB2312" w:eastAsia="仿宋_GB2312" w:cs="仿宋_GB2312"/>
          <w:color w:val="000000" w:themeColor="text1"/>
          <w:sz w:val="24"/>
          <w:szCs w:val="24"/>
          <w:highlight w:val="none"/>
          <w14:textFill>
            <w14:solidFill>
              <w14:schemeClr w14:val="tx1"/>
            </w14:solidFill>
          </w14:textFill>
        </w:rPr>
        <w:t>合同主要条款详见第五部分拟签订的合同文本。</w:t>
      </w:r>
    </w:p>
    <w:p>
      <w:pPr>
        <w:pStyle w:val="20"/>
        <w:shd w:val="clear"/>
        <w:spacing w:line="360" w:lineRule="auto"/>
        <w:ind w:left="478" w:hanging="479" w:hangingChars="199"/>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25. 合同的签订</w:t>
      </w:r>
    </w:p>
    <w:p>
      <w:pPr>
        <w:widowControl/>
        <w:shd w:val="clear" w:color="auto"/>
        <w:spacing w:line="360" w:lineRule="auto"/>
        <w:ind w:firstLine="48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25.1</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 xml:space="preserve"> 采购人与中标人应当通过电子交易平台在中标通知书发出之日起三十日内，按照招标文件确定的事项签订政府采购合同，并在合同签订之日起2个工作日内依法发布合同公告。</w:t>
      </w:r>
    </w:p>
    <w:p>
      <w:pPr>
        <w:pStyle w:val="133"/>
        <w:shd w:val="clear"/>
        <w:snapToGrid w:val="0"/>
        <w:spacing w:before="0"/>
        <w:ind w:firstLine="48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25.3如签订合同并生效后，供应商无故拒绝或延期，除按照合同条款处理外，列入不良行为记录一次，并给予通报。</w:t>
      </w:r>
    </w:p>
    <w:p>
      <w:pPr>
        <w:pStyle w:val="133"/>
        <w:shd w:val="clear"/>
        <w:snapToGrid w:val="0"/>
        <w:spacing w:before="0" w:after="12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25.4采购合同由采购人与中标供应商根据招标文件、投标文件等内容通过政府采购电子交易平台在线签订，并备案。</w:t>
      </w:r>
    </w:p>
    <w:p>
      <w:pPr>
        <w:pStyle w:val="20"/>
        <w:shd w:val="clear"/>
        <w:spacing w:line="360" w:lineRule="auto"/>
        <w:ind w:left="478" w:hanging="479" w:hangingChars="199"/>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26. 履约保证金</w:t>
      </w:r>
    </w:p>
    <w:p>
      <w:pPr>
        <w:shd w:val="clear"/>
        <w:tabs>
          <w:tab w:val="left" w:pos="0"/>
        </w:tabs>
        <w:spacing w:line="360" w:lineRule="auto"/>
        <w:ind w:firstLine="482"/>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标项一、标项二不收取履约保证金。标项三履约保证金金额为合同金额的1%，乙方可以金融机构、担保机构出具的保函等非现金形式或以转账的形式提交履约保证金，如以转账的方式缴纳，项目经验收合格，无服务质量问题，1个月内无息退还履约保证金。</w:t>
      </w:r>
    </w:p>
    <w:p>
      <w:pPr>
        <w:shd w:val="clear"/>
        <w:tabs>
          <w:tab w:val="left" w:pos="0"/>
        </w:tabs>
        <w:spacing w:line="360" w:lineRule="auto"/>
        <w:ind w:firstLine="482"/>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hd w:val="clear"/>
        <w:snapToGrid w:val="0"/>
        <w:spacing w:line="360" w:lineRule="auto"/>
        <w:ind w:firstLine="2518" w:firstLineChars="1045"/>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napToGrid w:val="0"/>
        <w:spacing w:line="360" w:lineRule="auto"/>
        <w:ind w:firstLine="2995" w:firstLineChars="1243"/>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八、电子交易活动的中止</w:t>
      </w:r>
    </w:p>
    <w:p>
      <w:pPr>
        <w:pStyle w:val="133"/>
        <w:shd w:val="clear"/>
        <w:snapToGrid w:val="0"/>
        <w:spacing w:before="0"/>
        <w:ind w:firstLine="0" w:firstLineChar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w:t>
      </w:r>
      <w:r>
        <w:rPr>
          <w:rFonts w:hint="eastAsia" w:ascii="仿宋_GB2312" w:hAnsi="仿宋_GB2312" w:eastAsia="仿宋_GB2312" w:cs="仿宋_GB2312"/>
          <w:b/>
          <w:color w:val="000000" w:themeColor="text1"/>
          <w:sz w:val="24"/>
          <w:szCs w:val="24"/>
          <w:highlight w:val="none"/>
          <w14:textFill>
            <w14:solidFill>
              <w14:schemeClr w14:val="tx1"/>
            </w14:solidFill>
          </w14:textFill>
        </w:rPr>
        <w:t>7. 电子交易活动的中止。</w:t>
      </w:r>
      <w:r>
        <w:rPr>
          <w:rFonts w:hint="eastAsia" w:ascii="仿宋_GB2312" w:hAnsi="仿宋_GB2312" w:eastAsia="仿宋_GB2312" w:cs="仿宋_GB2312"/>
          <w:color w:val="000000" w:themeColor="text1"/>
          <w:sz w:val="24"/>
          <w:szCs w:val="24"/>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27.1电子交易平台发生故障而无法登录访问的； </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27.2电子交易平台应用或数据库出现错误，不能进行正常操作的；</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27.3电子交易平台发现严重安全漏洞，有潜在泄密危险的；</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27.4病毒发作导致不能进行正常操作的； </w:t>
      </w:r>
    </w:p>
    <w:p>
      <w:pPr>
        <w:pStyle w:val="133"/>
        <w:shd w:val="clear"/>
        <w:snapToGrid w:val="0"/>
        <w:spacing w:before="0"/>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27.5其他无法保证电子交易的公平、公正和安全的情况。</w:t>
      </w:r>
    </w:p>
    <w:p>
      <w:pPr>
        <w:pStyle w:val="133"/>
        <w:shd w:val="clear"/>
        <w:snapToGrid w:val="0"/>
        <w:spacing w:before="0"/>
        <w:ind w:firstLine="0" w:firstLineChar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28.出现以上情形，不影响采购公平、公正性的，采购组织机构可以待上述情形消除后继续组织电子交易活动；影响或可能影响采购公平、公正性的，应当重新采购。</w:t>
      </w:r>
    </w:p>
    <w:p>
      <w:pPr>
        <w:shd w:val="clear"/>
        <w:tabs>
          <w:tab w:val="left" w:pos="0"/>
        </w:tabs>
        <w:spacing w:line="360" w:lineRule="auto"/>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left="120" w:leftChars="57" w:firstLine="361" w:firstLineChars="15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九、验收</w:t>
      </w:r>
    </w:p>
    <w:p>
      <w:pPr>
        <w:pStyle w:val="20"/>
        <w:shd w:val="clear"/>
        <w:spacing w:line="360" w:lineRule="auto"/>
        <w:ind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29.验收</w:t>
      </w:r>
    </w:p>
    <w:p>
      <w:pPr>
        <w:shd w:val="clear"/>
        <w:tabs>
          <w:tab w:val="left" w:pos="0"/>
        </w:tabs>
        <w:spacing w:line="360" w:lineRule="auto"/>
        <w:ind w:firstLine="48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hd w:val="clear"/>
        <w:tabs>
          <w:tab w:val="left" w:pos="0"/>
        </w:tabs>
        <w:spacing w:line="360" w:lineRule="auto"/>
        <w:ind w:firstLine="48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29.2采购人可以邀请参加本项目的其他投标人或者第三方机构参与验收。参与验收的投标人或者第三方机构的意见作为验收书的参考资料一并存档。</w:t>
      </w:r>
    </w:p>
    <w:p>
      <w:pPr>
        <w:shd w:val="clear"/>
        <w:tabs>
          <w:tab w:val="left" w:pos="0"/>
        </w:tabs>
        <w:spacing w:line="360" w:lineRule="auto"/>
        <w:ind w:firstLine="48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shd w:val="clear"/>
        <w:tabs>
          <w:tab w:val="left" w:pos="0"/>
        </w:tabs>
        <w:spacing w:line="360" w:lineRule="auto"/>
        <w:ind w:firstLine="48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7"/>
    <w:p>
      <w:pPr>
        <w:shd w:val="clear"/>
        <w:tabs>
          <w:tab w:val="left" w:pos="0"/>
        </w:tabs>
        <w:spacing w:line="360" w:lineRule="auto"/>
        <w:ind w:firstLine="480"/>
        <w:rPr>
          <w:rFonts w:hint="eastAsia" w:ascii="仿宋_GB2312" w:hAnsi="仿宋_GB2312" w:eastAsia="仿宋_GB2312" w:cs="仿宋_GB2312"/>
          <w:color w:val="000000" w:themeColor="text1"/>
          <w:kern w:val="0"/>
          <w:sz w:val="24"/>
          <w:szCs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40" w:name="_Hlt74707468"/>
      <w:bookmarkEnd w:id="40"/>
      <w:bookmarkStart w:id="41" w:name="_Hlt74730295"/>
      <w:bookmarkEnd w:id="41"/>
      <w:bookmarkStart w:id="42" w:name="_Hlt68072998"/>
      <w:bookmarkEnd w:id="42"/>
      <w:bookmarkStart w:id="43" w:name="_Hlt68403820"/>
      <w:bookmarkEnd w:id="43"/>
      <w:bookmarkStart w:id="44" w:name="_Hlt68072990"/>
      <w:bookmarkEnd w:id="44"/>
      <w:bookmarkStart w:id="45" w:name="_Hlt68057669"/>
      <w:bookmarkEnd w:id="45"/>
      <w:bookmarkStart w:id="46" w:name="_Hlt68073093"/>
      <w:bookmarkEnd w:id="46"/>
      <w:bookmarkStart w:id="47" w:name="_Hlt74729768"/>
      <w:bookmarkEnd w:id="47"/>
      <w:bookmarkStart w:id="48" w:name="_Hlt75236011"/>
      <w:bookmarkEnd w:id="48"/>
      <w:bookmarkStart w:id="49" w:name="_Hlt75236290"/>
      <w:bookmarkEnd w:id="49"/>
      <w:bookmarkStart w:id="50" w:name="_Hlt75236101"/>
      <w:bookmarkEnd w:id="50"/>
      <w:bookmarkStart w:id="51" w:name="_Hlt74714665"/>
      <w:bookmarkEnd w:id="51"/>
    </w:p>
    <w:bookmarkEnd w:id="23"/>
    <w:bookmarkEnd w:id="24"/>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52" w:name="_Toc2126"/>
      <w:bookmarkStart w:id="53" w:name="_Toc14727"/>
      <w:bookmarkStart w:id="54" w:name="第四部分"/>
      <w:r>
        <w:rPr>
          <w:rFonts w:hint="eastAsia" w:ascii="仿宋_GB2312" w:hAnsi="仿宋_GB2312" w:eastAsia="仿宋_GB2312" w:cs="仿宋_GB2312"/>
          <w:b/>
          <w:color w:val="000000" w:themeColor="text1"/>
          <w:sz w:val="24"/>
          <w:szCs w:val="24"/>
          <w:highlight w:val="none"/>
          <w14:textFill>
            <w14:solidFill>
              <w14:schemeClr w14:val="tx1"/>
            </w14:solidFill>
          </w14:textFill>
        </w:rPr>
        <w:t>第三部分采购需求</w:t>
      </w:r>
      <w:bookmarkEnd w:id="52"/>
      <w:bookmarkEnd w:id="53"/>
    </w:p>
    <w:p>
      <w:pPr>
        <w:shd w:val="clear"/>
        <w:spacing w:beforeLines="0" w:afterLines="0"/>
        <w:jc w:val="cente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标项一、碗窑水库2025年度维修养护</w:t>
      </w:r>
    </w:p>
    <w:p>
      <w:pPr>
        <w:pStyle w:val="62"/>
        <w:shd w:val="clear"/>
        <w:rPr>
          <w:rFonts w:hint="eastAsia"/>
          <w:color w:val="000000" w:themeColor="text1"/>
          <w:highlight w:val="none"/>
          <w14:textFill>
            <w14:solidFill>
              <w14:schemeClr w14:val="tx1"/>
            </w14:solidFill>
          </w14:textFill>
        </w:rPr>
      </w:pPr>
    </w:p>
    <w:p>
      <w:pPr>
        <w:pStyle w:val="3"/>
        <w:numPr>
          <w:ilvl w:val="1"/>
          <w:numId w:val="0"/>
        </w:numPr>
        <w:shd w:val="clear"/>
        <w:tabs>
          <w:tab w:val="left" w:pos="420"/>
        </w:tabs>
        <w:adjustRightInd w:val="0"/>
        <w:snapToGrid w:val="0"/>
        <w:ind w:left="0" w:firstLine="482" w:firstLineChars="200"/>
        <w:rPr>
          <w:rFonts w:hint="eastAsia" w:ascii="仿宋_GB2312" w:hAnsi="仿宋_GB2312" w:eastAsia="仿宋_GB2312" w:cs="仿宋_GB2312"/>
          <w:b/>
          <w:bCs w:val="0"/>
          <w:color w:val="000000" w:themeColor="text1"/>
          <w:sz w:val="24"/>
          <w:highlight w:val="none"/>
          <w14:textFill>
            <w14:solidFill>
              <w14:schemeClr w14:val="tx1"/>
            </w14:solidFill>
          </w14:textFill>
        </w:rPr>
      </w:pPr>
      <w:bookmarkStart w:id="55" w:name="_Toc226613547"/>
      <w:bookmarkStart w:id="56" w:name="_Toc226692177"/>
      <w:bookmarkStart w:id="57" w:name="_Toc26483"/>
      <w:bookmarkStart w:id="58" w:name="_Toc339284182"/>
      <w:r>
        <w:rPr>
          <w:rFonts w:hint="eastAsia" w:ascii="仿宋_GB2312" w:hAnsi="仿宋_GB2312" w:eastAsia="仿宋_GB2312" w:cs="仿宋_GB2312"/>
          <w:b/>
          <w:bCs w:val="0"/>
          <w:color w:val="000000" w:themeColor="text1"/>
          <w:sz w:val="24"/>
          <w:highlight w:val="none"/>
          <w14:textFill>
            <w14:solidFill>
              <w14:schemeClr w14:val="tx1"/>
            </w14:solidFill>
          </w14:textFill>
        </w:rPr>
        <w:t>一、维修养护项目和内容</w:t>
      </w:r>
    </w:p>
    <w:p>
      <w:pPr>
        <w:pStyle w:val="3"/>
        <w:numPr>
          <w:ilvl w:val="1"/>
          <w:numId w:val="0"/>
        </w:numPr>
        <w:shd w:val="clear"/>
        <w:tabs>
          <w:tab w:val="left" w:pos="420"/>
        </w:tabs>
        <w:adjustRightInd w:val="0"/>
        <w:snapToGrid w:val="0"/>
        <w:ind w:left="0" w:firstLine="482" w:firstLineChars="200"/>
        <w:rPr>
          <w:rFonts w:hint="eastAsia" w:ascii="仿宋_GB2312" w:hAnsi="仿宋_GB2312" w:eastAsia="仿宋_GB2312" w:cs="仿宋_GB2312"/>
          <w:b/>
          <w:bCs w:val="0"/>
          <w:color w:val="000000" w:themeColor="text1"/>
          <w:sz w:val="24"/>
          <w:highlight w:val="none"/>
          <w14:textFill>
            <w14:solidFill>
              <w14:schemeClr w14:val="tx1"/>
            </w14:solidFill>
          </w14:textFill>
        </w:rPr>
      </w:pPr>
      <w:r>
        <w:rPr>
          <w:rFonts w:hint="eastAsia" w:ascii="仿宋_GB2312" w:hAnsi="仿宋_GB2312" w:eastAsia="仿宋_GB2312" w:cs="仿宋_GB2312"/>
          <w:b/>
          <w:bCs w:val="0"/>
          <w:color w:val="000000" w:themeColor="text1"/>
          <w:sz w:val="24"/>
          <w:highlight w:val="none"/>
          <w14:textFill>
            <w14:solidFill>
              <w14:schemeClr w14:val="tx1"/>
            </w14:solidFill>
          </w14:textFill>
        </w:rPr>
        <w:t>水库工程</w:t>
      </w:r>
    </w:p>
    <w:p>
      <w:pPr>
        <w:pStyle w:val="3"/>
        <w:numPr>
          <w:ilvl w:val="1"/>
          <w:numId w:val="0"/>
        </w:numPr>
        <w:shd w:val="clear"/>
        <w:tabs>
          <w:tab w:val="left" w:pos="420"/>
        </w:tabs>
        <w:adjustRightInd w:val="0"/>
        <w:snapToGrid w:val="0"/>
        <w:ind w:left="0" w:firstLine="480" w:firstLineChars="200"/>
        <w:rPr>
          <w:rFonts w:hint="eastAsia" w:ascii="仿宋_GB2312" w:hAnsi="仿宋_GB2312" w:eastAsia="仿宋_GB2312" w:cs="仿宋_GB2312"/>
          <w:b w:val="0"/>
          <w:color w:val="000000" w:themeColor="text1"/>
          <w:sz w:val="24"/>
          <w:highlight w:val="none"/>
          <w14:textFill>
            <w14:solidFill>
              <w14:schemeClr w14:val="tx1"/>
            </w14:solidFill>
          </w14:textFill>
        </w:rPr>
      </w:pPr>
      <w:r>
        <w:rPr>
          <w:rFonts w:hint="eastAsia" w:ascii="仿宋_GB2312" w:hAnsi="仿宋_GB2312" w:eastAsia="仿宋_GB2312" w:cs="仿宋_GB2312"/>
          <w:b w:val="0"/>
          <w:color w:val="000000" w:themeColor="text1"/>
          <w:sz w:val="24"/>
          <w:highlight w:val="none"/>
          <w14:textFill>
            <w14:solidFill>
              <w14:schemeClr w14:val="tx1"/>
            </w14:solidFill>
          </w14:textFill>
        </w:rPr>
        <w:t>水库工程2025年维修养护包括碗窑水库、长坑垄水库及长安水库的主体工程维修养护、闸门维修养护、启闭机维修养护项目、机电设备维修养护、设备配件更换、自备发电机组维修养护、防汛专用通道维修养护、绿化养护、标识标牌维修养护、库面保洁、坝区保洁、库区防护工程维修养护、排水系统维修养护等。</w:t>
      </w:r>
    </w:p>
    <w:p>
      <w:pPr>
        <w:pStyle w:val="3"/>
        <w:numPr>
          <w:ilvl w:val="1"/>
          <w:numId w:val="0"/>
        </w:numPr>
        <w:shd w:val="clear"/>
        <w:tabs>
          <w:tab w:val="left" w:pos="420"/>
        </w:tabs>
        <w:adjustRightInd w:val="0"/>
        <w:snapToGrid w:val="0"/>
        <w:ind w:left="0" w:firstLine="482" w:firstLineChars="200"/>
        <w:rPr>
          <w:rFonts w:hint="eastAsia" w:ascii="仿宋_GB2312" w:hAnsi="仿宋_GB2312" w:eastAsia="仿宋_GB2312" w:cs="仿宋_GB2312"/>
          <w:b/>
          <w:bCs w:val="0"/>
          <w:color w:val="000000" w:themeColor="text1"/>
          <w:sz w:val="24"/>
          <w:highlight w:val="none"/>
          <w14:textFill>
            <w14:solidFill>
              <w14:schemeClr w14:val="tx1"/>
            </w14:solidFill>
          </w14:textFill>
        </w:rPr>
      </w:pPr>
      <w:r>
        <w:rPr>
          <w:rFonts w:hint="eastAsia" w:ascii="仿宋_GB2312" w:hAnsi="仿宋_GB2312" w:eastAsia="仿宋_GB2312" w:cs="仿宋_GB2312"/>
          <w:b/>
          <w:bCs w:val="0"/>
          <w:color w:val="000000" w:themeColor="text1"/>
          <w:sz w:val="24"/>
          <w:highlight w:val="none"/>
          <w14:textFill>
            <w14:solidFill>
              <w14:schemeClr w14:val="tx1"/>
            </w14:solidFill>
          </w14:textFill>
        </w:rPr>
        <w:t>长台溪引水工程</w:t>
      </w:r>
    </w:p>
    <w:p>
      <w:pPr>
        <w:pStyle w:val="3"/>
        <w:numPr>
          <w:ilvl w:val="1"/>
          <w:numId w:val="0"/>
        </w:numPr>
        <w:shd w:val="clear"/>
        <w:tabs>
          <w:tab w:val="left" w:pos="420"/>
        </w:tabs>
        <w:adjustRightInd w:val="0"/>
        <w:snapToGrid w:val="0"/>
        <w:ind w:left="0" w:firstLine="480" w:firstLineChars="200"/>
        <w:rPr>
          <w:rFonts w:hint="eastAsia" w:ascii="仿宋_GB2312" w:hAnsi="仿宋_GB2312" w:eastAsia="仿宋_GB2312" w:cs="仿宋_GB2312"/>
          <w:b w:val="0"/>
          <w:color w:val="000000" w:themeColor="text1"/>
          <w:sz w:val="24"/>
          <w:highlight w:val="none"/>
          <w14:textFill>
            <w14:solidFill>
              <w14:schemeClr w14:val="tx1"/>
            </w14:solidFill>
          </w14:textFill>
        </w:rPr>
      </w:pPr>
      <w:r>
        <w:rPr>
          <w:rFonts w:hint="eastAsia" w:ascii="仿宋_GB2312" w:hAnsi="仿宋_GB2312" w:eastAsia="仿宋_GB2312" w:cs="仿宋_GB2312"/>
          <w:b w:val="0"/>
          <w:color w:val="000000" w:themeColor="text1"/>
          <w:sz w:val="24"/>
          <w:highlight w:val="none"/>
          <w14:textFill>
            <w14:solidFill>
              <w14:schemeClr w14:val="tx1"/>
            </w14:solidFill>
          </w14:textFill>
        </w:rPr>
        <w:t>长台溪引水工程2025年度维修养护项目包括：渠道工程维修养护、暗涵维修养护、生产交通桥维修养护、渠下涵闸及放水涵闸维修养护、渠顶路面维修养护、涵洞清淤等。</w:t>
      </w:r>
    </w:p>
    <w:p>
      <w:pPr>
        <w:pStyle w:val="3"/>
        <w:numPr>
          <w:ilvl w:val="1"/>
          <w:numId w:val="0"/>
        </w:numPr>
        <w:shd w:val="clear"/>
        <w:tabs>
          <w:tab w:val="left" w:pos="420"/>
        </w:tabs>
        <w:adjustRightInd w:val="0"/>
        <w:snapToGrid w:val="0"/>
        <w:ind w:left="0" w:firstLine="482" w:firstLineChars="200"/>
        <w:rPr>
          <w:rFonts w:hint="eastAsia" w:ascii="仿宋_GB2312" w:hAnsi="仿宋_GB2312" w:eastAsia="仿宋_GB2312" w:cs="仿宋_GB2312"/>
          <w:b/>
          <w:bCs w:val="0"/>
          <w:color w:val="000000" w:themeColor="text1"/>
          <w:sz w:val="24"/>
          <w:highlight w:val="none"/>
          <w14:textFill>
            <w14:solidFill>
              <w14:schemeClr w14:val="tx1"/>
            </w14:solidFill>
          </w14:textFill>
        </w:rPr>
      </w:pPr>
      <w:r>
        <w:rPr>
          <w:rFonts w:hint="eastAsia" w:ascii="仿宋_GB2312" w:hAnsi="仿宋_GB2312" w:eastAsia="仿宋_GB2312" w:cs="仿宋_GB2312"/>
          <w:b/>
          <w:bCs w:val="0"/>
          <w:color w:val="000000" w:themeColor="text1"/>
          <w:sz w:val="24"/>
          <w:highlight w:val="none"/>
          <w14:textFill>
            <w14:solidFill>
              <w14:schemeClr w14:val="tx1"/>
            </w14:solidFill>
          </w14:textFill>
        </w:rPr>
        <w:t>总干渠工程</w:t>
      </w:r>
    </w:p>
    <w:p>
      <w:pPr>
        <w:pStyle w:val="3"/>
        <w:numPr>
          <w:ilvl w:val="1"/>
          <w:numId w:val="0"/>
        </w:numPr>
        <w:shd w:val="clear"/>
        <w:tabs>
          <w:tab w:val="left" w:pos="420"/>
        </w:tabs>
        <w:adjustRightInd w:val="0"/>
        <w:snapToGrid w:val="0"/>
        <w:ind w:left="0" w:firstLine="480" w:firstLineChars="200"/>
        <w:rPr>
          <w:rFonts w:hint="eastAsia" w:ascii="仿宋_GB2312" w:hAnsi="仿宋_GB2312" w:eastAsia="仿宋_GB2312" w:cs="仿宋_GB2312"/>
          <w:b w:val="0"/>
          <w:color w:val="000000" w:themeColor="text1"/>
          <w:sz w:val="24"/>
          <w:highlight w:val="none"/>
          <w14:textFill>
            <w14:solidFill>
              <w14:schemeClr w14:val="tx1"/>
            </w14:solidFill>
          </w14:textFill>
        </w:rPr>
      </w:pPr>
      <w:r>
        <w:rPr>
          <w:rFonts w:hint="eastAsia" w:ascii="仿宋_GB2312" w:hAnsi="仿宋_GB2312" w:eastAsia="仿宋_GB2312" w:cs="仿宋_GB2312"/>
          <w:b w:val="0"/>
          <w:color w:val="000000" w:themeColor="text1"/>
          <w:sz w:val="24"/>
          <w:highlight w:val="none"/>
          <w14:textFill>
            <w14:solidFill>
              <w14:schemeClr w14:val="tx1"/>
            </w14:solidFill>
          </w14:textFill>
        </w:rPr>
        <w:t>总干渠工程2025年度维修养护包括渠道工程维修养护、渡槽工程维修养护、滚水坝工程维修养护、护渠林养护、生产交通桥维修养护、渠下涵闸及放水涵闸维修养护、撇洪沟维修养护、渠顶路面维修养护、管理房维修养护、管理区绿化养护、围墙护栏维修养护、标识标牌维修养护、视频监控设施维修养护等。</w:t>
      </w:r>
    </w:p>
    <w:p>
      <w:pPr>
        <w:pStyle w:val="3"/>
        <w:numPr>
          <w:ilvl w:val="1"/>
          <w:numId w:val="0"/>
        </w:numPr>
        <w:shd w:val="clear"/>
        <w:tabs>
          <w:tab w:val="left" w:pos="420"/>
        </w:tabs>
        <w:adjustRightInd w:val="0"/>
        <w:snapToGrid w:val="0"/>
        <w:ind w:left="0" w:firstLine="482" w:firstLineChars="20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lang w:val="en-US"/>
          <w14:textFill>
            <w14:solidFill>
              <w14:schemeClr w14:val="tx1"/>
            </w14:solidFill>
          </w14:textFill>
        </w:rPr>
        <w:t>二、</w:t>
      </w:r>
      <w:r>
        <w:rPr>
          <w:rFonts w:hint="eastAsia" w:ascii="仿宋_GB2312" w:hAnsi="仿宋_GB2312" w:eastAsia="仿宋_GB2312" w:cs="仿宋_GB2312"/>
          <w:color w:val="000000" w:themeColor="text1"/>
          <w:sz w:val="24"/>
          <w:highlight w:val="none"/>
          <w14:textFill>
            <w14:solidFill>
              <w14:schemeClr w14:val="tx1"/>
            </w14:solidFill>
          </w14:textFill>
        </w:rPr>
        <w:t xml:space="preserve"> </w:t>
      </w:r>
      <w:bookmarkEnd w:id="55"/>
      <w:bookmarkEnd w:id="56"/>
      <w:r>
        <w:rPr>
          <w:rFonts w:hint="eastAsia" w:ascii="仿宋_GB2312" w:hAnsi="仿宋_GB2312" w:eastAsia="仿宋_GB2312" w:cs="仿宋_GB2312"/>
          <w:color w:val="000000" w:themeColor="text1"/>
          <w:sz w:val="24"/>
          <w:highlight w:val="none"/>
          <w:lang w:val="en-US"/>
          <w14:textFill>
            <w14:solidFill>
              <w14:schemeClr w14:val="tx1"/>
            </w14:solidFill>
          </w14:textFill>
        </w:rPr>
        <w:t>日常</w:t>
      </w:r>
      <w:r>
        <w:rPr>
          <w:rFonts w:hint="eastAsia" w:ascii="仿宋_GB2312" w:hAnsi="仿宋_GB2312" w:eastAsia="仿宋_GB2312" w:cs="仿宋_GB2312"/>
          <w:color w:val="000000" w:themeColor="text1"/>
          <w:sz w:val="24"/>
          <w:highlight w:val="none"/>
          <w14:textFill>
            <w14:solidFill>
              <w14:schemeClr w14:val="tx1"/>
            </w14:solidFill>
          </w14:textFill>
        </w:rPr>
        <w:t>维修养护内容</w:t>
      </w:r>
      <w:bookmarkEnd w:id="57"/>
      <w:bookmarkEnd w:id="58"/>
    </w:p>
    <w:p>
      <w:pPr>
        <w:shd w:val="clear"/>
        <w:snapToGrid w:val="0"/>
        <w:spacing w:beforeLines="0" w:afterLines="0" w:line="360" w:lineRule="auto"/>
        <w:ind w:firstLine="482" w:firstLineChars="200"/>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水库工程</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 水库大坝维修养护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（1）溢流堰混凝土剥蚀空蚀磨损处理</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（2）坝体表面混凝土表面裂缝处理</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（3）下游防冲混凝土破损修复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（4）下游防冲浆砌石翻修</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（5）对坝顶路面进行经常性整理，及时清除杂草和散落物。</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（6）对土坝顶、坝坡出现的雨淋沟、坑凹、沟槽现象要及时平垫、夯实；对大坝块石护坡及混凝土预制块护坡损坏部分应进行及时整修；对护坡草皮应进行经常修整、清除杂草、保持完整美观。</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7）定期对坝下防冲工程进行翻修；及时清理、疏通坝面、廊道等表面排水沟及坝体、基础等排水孔；对坝上金属构件应进行经常性保养，及时处理局部锈蚀现象；对大坝安全监测设施进行经常性养护，保持各类监测设施完好、清洁。</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 闸门与启闭机维修养护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定期对闸门（放水涵闸）进行保养，及时处理金属件表面锈蚀，及时清理闸门吊耳、门槽、弧形门支铰及结构夹缝处等部位的杂物、附着的水生物、泥砂和漂浮物等；运转部位的加油设施完好、畅通，并定期加油，闸门滚轮、弧形门支铰等难以加油部位，应采取适当方法进行润滑。</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（2）定期对启闭机进行进行保养，及时处理机体表面锈蚀；定期对钢丝绳进行涂油保护，确保无断丝、锈蚀；定期对传（制）动系统维修养护，保持设备运转灵活、制动性能良好。</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 机电设备维修养护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（1）定期电动机进行保养，保持机体表面无尘、无污、无锈，轴承润滑良好，各种开关、继电保护装置保持干净，触点良好，接头牢固。</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（2）定期对备用柴油发电机进行保养并启动试运行，保持各种连接附件及启动装置安全可靠，调速器、运动部件操作灵活；油路和接头处不漏油、不存气，水管接头不漏水。</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（3）定期对变压器进行巡查保养，保持变压器及其附件、保护装置、控制设备完整，操作灵活可靠，接地装置完好、仪表指示正常。</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（4）定期对集水井水泵进行保养，保持部件和零件完整，自动装置、信号装置、保护装置完好，动作可靠。</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（5）定期对输电线路进行维护，保持电力线路、电缆线路、照明线路正常，接头牢固。</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 水雨情测报系统维修养护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（1）定期对库区遥测站进行保养，保持中心站及遥测站各类设备运行正常、信号畅通，发生故障及时排除，使之尽快恢复正常运行。</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（2）定期清洗雨量计的承雨器、漏斗、翻斗等部件，清理水位井进水口的水草、淤沙，清洁太阳能电池板表面、检查各线缆连接情况。</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（3）定期维护蓄电池，保持蓄电池有足够电量，遇长期阴雨导致电池亏电时，应及时充电，及时修复并重新校正损坏的水位观测尺。</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 水质保护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保持水库库面清洁，库区无垃圾、库面无漂浮物。定期巡查，定期清理水面漂浮物，随时清除各类水质污染物。依法打击排放、倾倒有害物质等污染水质的行为。</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 附属工程维修养护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（1）对管理房、启闭机房开展经常性维护，发现墙体裂缝、墙皮脱落、房（屋）顶漏水、门窗损坏等现象要及时修复。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（2）定期清洗、刷漆、维修、更新各类公里桩、高程标志桩、指示牌、标志牌、警示牌等。</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（3）对大坝廊道内动力、照明线路，通讯及安全防护设施等应进行经常维护，出现故障及时修复。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（4）对管理区范围内（坝下办公区门卫至大坝）绿化应经常修整、清除杂草并进行经常性保洁，保持完整美观。</w:t>
      </w:r>
    </w:p>
    <w:p>
      <w:pPr>
        <w:shd w:val="clear"/>
        <w:snapToGrid w:val="0"/>
        <w:spacing w:beforeLines="0" w:afterLines="0" w:line="360" w:lineRule="auto"/>
        <w:ind w:firstLine="241" w:firstLineChars="100"/>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 xml:space="preserve"> 长台溪引水工程</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 渠道枢纽维修养护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（1）定期检查维护拦河堰坝及闸墩，及时修复混凝土表面裂缝、非正常磨损和剥蚀，保持建筑物完好、平整。</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（2）定期维护闸门，及时清理闸门门体、门槽等部位的杂物、附着的水生物、泥砂和漂浮物等；及时修复局部损坏，保持钢筋混凝土闸门无变形、剥蚀、露筋，支承行走机构运转灵活，止水装置完好。</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（3）定期对启闭设备进行保养，更换磨损严重的机件，定期对运转部位加油，及时处理机体表面锈蚀，保持设备运转灵活、制动性能良好，螺杆无弯曲变形。</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（4）定期保养机电设备，保持线路正常，接头牢固，安全保护装置动作准确可靠。</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 渠道维修养护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（1）对渠顶凹陷、坑洼、冲沟及时进行补土填平、夯实，保持渠顶路面平坦、无明显坑洼。</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（2）保持砌石渠堤坡面平顺、清洁，砌石无松动、变形，如有损坏，应及时修复。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（3）保持渠道混凝土衬砌光滑、平整，及时修复混凝土表面裂缝、非正常磨损、剥蚀，定期清除苔藓等附着生物及渠道淤积物，保持渠道通畅。</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（4）定期清洗、刷漆、维修、更新各类管理标牌，保持标牌完好齐全，醒目美观；定期对防护栏、交通桥、闸涵进行养护，及时修复破损部位。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 暗涵维修养护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输水暗涵应保持平顺、清洁，及时清除暗涵内及进出口的柴草、砖石、树木等堆积物或淤积物；混凝土表面应保持清洁完好，如有裂缝、非正常磨损和剥蚀等损坏，应及时修复。</w:t>
      </w:r>
    </w:p>
    <w:p>
      <w:pPr>
        <w:shd w:val="clear"/>
        <w:snapToGrid w:val="0"/>
        <w:spacing w:beforeLines="0" w:afterLines="0" w:line="360" w:lineRule="auto"/>
        <w:ind w:firstLine="482" w:firstLineChars="200"/>
        <w:rPr>
          <w:rFonts w:hint="eastAsia" w:ascii="仿宋_GB2312" w:hAnsi="仿宋_GB2312" w:eastAsia="仿宋_GB2312" w:cs="仿宋_GB2312"/>
          <w:b/>
          <w:color w:val="000000" w:themeColor="text1"/>
          <w:sz w:val="24"/>
          <w:highlight w:val="none"/>
          <w14:textFill>
            <w14:solidFill>
              <w14:schemeClr w14:val="tx1"/>
            </w14:solidFill>
          </w14:textFill>
        </w:rPr>
      </w:pPr>
      <w:r>
        <w:rPr>
          <w:rFonts w:hint="eastAsia" w:ascii="仿宋_GB2312" w:hAnsi="仿宋_GB2312" w:eastAsia="仿宋_GB2312" w:cs="仿宋_GB2312"/>
          <w:b/>
          <w:color w:val="000000" w:themeColor="text1"/>
          <w:sz w:val="24"/>
          <w:highlight w:val="none"/>
          <w14:textFill>
            <w14:solidFill>
              <w14:schemeClr w14:val="tx1"/>
            </w14:solidFill>
          </w14:textFill>
        </w:rPr>
        <w:t>总干渠工程</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 渠道枢纽维修养护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（1）定期维护拦河堰坝及闸墩，及时修复混凝土表面裂缝、非正常磨损和剥蚀，保持建筑物完好、平整。</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（2）定期维护闸门，及时清理闸门门体、门槽等部位的杂物、附着的水生物、泥砂和漂浮物等；及时修复局部损坏，保持钢筋混凝土闸门无变形、剥蚀、露筋，支承行走机构运转灵活，止水装置完好。</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（3）定期对启闭设备进行保养，更换磨损严重的机件，定期对运转部位加油，及时处理机体表面锈蚀，保持设备运转灵活、制动性能良好，螺杆无弯曲变形。</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（4）定期保养机电设备，保持线路正常，接头牢固，安全保护装置动作准确可靠。</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 渠道维修养护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（1）对渠顶因雨水冲刷、车辆行驶等形成的凹陷、坑洼、冲沟及时按原设计标准修复。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及时修复渠堤外坡的雨淋沟、塌陷和堤坡残缺；经常清除排水沟沟内杂物并对局部损坏部分进行修补；经常修整护坡草皮，清除杂草，保持完整美观；保持浆砌石渠堤坡面平顺、清洁，灰缝无脱落，无松动、变形，如有损坏，应及时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（3）保持渠道混凝土衬砌光滑、平整，及时修复混凝土表面裂缝、非正常磨损、剥蚀，定期清除苔藓等附着生物。</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（4）及时清除渠道内阻碍水流的杂草、砖石、土块等堆积物，定期清除渠道淤积物，保持渠道通畅。</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（5）定期清洗、刷漆、维修、更新各类管理标牌，保持标牌完好齐全，醒目美观；定期对防护栏、交通桥、闸涵进行养护，及时修复破损部位。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 渡槽维修养护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及时清除槽内及伸缩缝隙内的柴草、砖石、树木等杂物和淤积物，保持渡槽平顺、清洁，对砂浆抹面掉落、剥蚀或浆砌石松动、隆起，应立即按原设计修复。</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 隧洞维修养护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隧洞应保持平顺、清洁，洞内无柴草、砖石、树木等堆积物和淤积物；混凝土衬砌表面应保持清洁完好，及时修复混凝土表面裂缝、非正常磨蚀、剥蚀。</w:t>
      </w:r>
    </w:p>
    <w:p>
      <w:pPr>
        <w:pStyle w:val="3"/>
        <w:numPr>
          <w:ilvl w:val="1"/>
          <w:numId w:val="0"/>
        </w:numPr>
        <w:shd w:val="clear"/>
        <w:tabs>
          <w:tab w:val="left" w:pos="420"/>
        </w:tabs>
        <w:adjustRightInd w:val="0"/>
        <w:snapToGrid w:val="0"/>
        <w:ind w:left="0" w:firstLine="482" w:firstLineChars="200"/>
        <w:rPr>
          <w:rFonts w:hint="eastAsia" w:ascii="仿宋_GB2312" w:hAnsi="仿宋_GB2312" w:eastAsia="仿宋_GB2312" w:cs="仿宋_GB2312"/>
          <w:color w:val="000000" w:themeColor="text1"/>
          <w:sz w:val="24"/>
          <w:highlight w:val="none"/>
          <w14:textFill>
            <w14:solidFill>
              <w14:schemeClr w14:val="tx1"/>
            </w14:solidFill>
          </w14:textFill>
        </w:rPr>
      </w:pPr>
      <w:bookmarkStart w:id="59" w:name="_Toc20984"/>
      <w:r>
        <w:rPr>
          <w:rFonts w:hint="eastAsia" w:ascii="仿宋_GB2312" w:hAnsi="仿宋_GB2312" w:eastAsia="仿宋_GB2312" w:cs="仿宋_GB2312"/>
          <w:color w:val="000000" w:themeColor="text1"/>
          <w:sz w:val="24"/>
          <w:highlight w:val="none"/>
          <w:lang w:val="en-US"/>
          <w14:textFill>
            <w14:solidFill>
              <w14:schemeClr w14:val="tx1"/>
            </w14:solidFill>
          </w14:textFill>
        </w:rPr>
        <w:t>三、</w:t>
      </w:r>
      <w:r>
        <w:rPr>
          <w:rFonts w:hint="eastAsia" w:ascii="仿宋_GB2312" w:hAnsi="仿宋_GB2312" w:eastAsia="仿宋_GB2312" w:cs="仿宋_GB2312"/>
          <w:color w:val="000000" w:themeColor="text1"/>
          <w:sz w:val="24"/>
          <w:highlight w:val="none"/>
          <w14:textFill>
            <w14:solidFill>
              <w14:schemeClr w14:val="tx1"/>
            </w14:solidFill>
          </w14:textFill>
        </w:rPr>
        <w:t xml:space="preserve"> 专项维修养护内容</w:t>
      </w:r>
      <w:bookmarkEnd w:id="59"/>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碗窑水库工程</w:t>
      </w:r>
    </w:p>
    <w:p>
      <w:pPr>
        <w:pStyle w:val="972"/>
        <w:numPr>
          <w:ilvl w:val="0"/>
          <w:numId w:val="4"/>
        </w:numPr>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大坝右坝头水位尺区改造提升。对大坝右坝头水位尺进行更新，踏步两侧干砌石加固，踏步表面铺贴火烧板，以提升质量和外观面貌。</w:t>
      </w:r>
    </w:p>
    <w:p>
      <w:pPr>
        <w:pStyle w:val="972"/>
        <w:numPr>
          <w:ilvl w:val="0"/>
          <w:numId w:val="0"/>
        </w:numPr>
        <w:shd w:val="clear"/>
        <w:spacing w:beforeLines="0" w:afterLines="0"/>
        <w:ind w:firstLine="48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2、隔离栅更换。对破损严重隔离栅进行更换，以保证水源保护隔离栅防护效果。</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3、办公楼墙面粉刷。对中心办公楼房间脱落掉皮墙面及旋转楼梯涂料进行铲除重新粉刷。</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4、福赐德房屋漏水处理。对福赐德房屋二楼露台进行防水处理，对掉皮污损墙面铲除粉刷层重新粉刷。</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5、长坑垄管理房维修。对长坑垄管理站防汛仓库、食堂进行瓦面更换、内墙面粉刷，对办公楼、厂房配电箱进行更换。</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6、长坑垄坝下右侧山体防护。对长坑垄坝下通行道路右侧山体进边坡进行清理，底部设置砖砌挡墙进行防护。</w:t>
      </w:r>
    </w:p>
    <w:p>
      <w:pPr>
        <w:pStyle w:val="972"/>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总干渠工程</w:t>
      </w:r>
    </w:p>
    <w:p>
      <w:pPr>
        <w:pStyle w:val="972"/>
        <w:numPr>
          <w:ilvl w:val="0"/>
          <w:numId w:val="5"/>
        </w:numPr>
        <w:shd w:val="clear"/>
        <w:spacing w:beforeLines="0" w:afterLines="0"/>
        <w:ind w:firstLine="56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渠道防渗面板及边坡修复。对约36m渠道衬砌面板进行修复及边坡修整，对大填方段长约36m外边坡进行护砌。</w:t>
      </w:r>
    </w:p>
    <w:p>
      <w:pPr>
        <w:pStyle w:val="972"/>
        <w:numPr>
          <w:ilvl w:val="0"/>
          <w:numId w:val="0"/>
        </w:numPr>
        <w:shd w:val="clear"/>
        <w:spacing w:beforeLines="0" w:afterLines="0"/>
        <w:ind w:firstLine="482"/>
        <w:rPr>
          <w:rFonts w:hint="eastAsia" w:ascii="仿宋_GB2312" w:hAnsi="仿宋_GB2312" w:eastAsia="仿宋_GB2312" w:cs="仿宋_GB2312"/>
          <w:b/>
          <w:color w:val="000000" w:themeColor="text1"/>
          <w:sz w:val="24"/>
          <w:highlight w:val="none"/>
          <w:lang w:val="zh-CN"/>
          <w14:textFill>
            <w14:solidFill>
              <w14:schemeClr w14:val="tx1"/>
            </w14:solidFill>
          </w14:textFill>
        </w:rPr>
      </w:pPr>
      <w:r>
        <w:rPr>
          <w:rFonts w:hint="eastAsia" w:ascii="仿宋_GB2312" w:hAnsi="仿宋_GB2312" w:eastAsia="仿宋_GB2312" w:cs="仿宋_GB2312"/>
          <w:b/>
          <w:color w:val="000000" w:themeColor="text1"/>
          <w:sz w:val="24"/>
          <w:highlight w:val="none"/>
          <w:lang w:val="zh-CN"/>
          <w14:textFill>
            <w14:solidFill>
              <w14:schemeClr w14:val="tx1"/>
            </w14:solidFill>
          </w14:textFill>
        </w:rPr>
        <w:t>四、其他</w:t>
      </w:r>
    </w:p>
    <w:p>
      <w:pPr>
        <w:pStyle w:val="972"/>
        <w:numPr>
          <w:ilvl w:val="0"/>
          <w:numId w:val="0"/>
        </w:numPr>
        <w:shd w:val="clear"/>
        <w:spacing w:beforeLines="0" w:afterLines="0"/>
        <w:ind w:firstLine="48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1、库区需保证</w:t>
      </w:r>
      <w:r>
        <w:rPr>
          <w:rFonts w:hint="eastAsia" w:ascii="仿宋_GB2312" w:hAnsi="仿宋_GB2312" w:eastAsia="仿宋_GB2312" w:cs="仿宋_GB2312"/>
          <w:color w:val="000000" w:themeColor="text1"/>
          <w:sz w:val="24"/>
          <w:highlight w:val="none"/>
          <w:lang w:val="en-US" w:eastAsia="zh-CN"/>
          <w14:textFill>
            <w14:solidFill>
              <w14:schemeClr w14:val="tx1"/>
            </w14:solidFill>
          </w14:textFill>
        </w:rPr>
        <w:t>一</w:t>
      </w:r>
      <w:r>
        <w:rPr>
          <w:rFonts w:hint="eastAsia" w:ascii="仿宋_GB2312" w:hAnsi="仿宋_GB2312" w:eastAsia="仿宋_GB2312" w:cs="仿宋_GB2312"/>
          <w:color w:val="000000" w:themeColor="text1"/>
          <w:sz w:val="24"/>
          <w:highlight w:val="none"/>
          <w14:textFill>
            <w14:solidFill>
              <w14:schemeClr w14:val="tx1"/>
            </w14:solidFill>
          </w14:textFill>
        </w:rPr>
        <w:t>名有船员适任证书的人员常驻，负责库面保洁及巡查工作。</w:t>
      </w:r>
    </w:p>
    <w:p>
      <w:pPr>
        <w:pStyle w:val="972"/>
        <w:numPr>
          <w:ilvl w:val="0"/>
          <w:numId w:val="0"/>
        </w:numPr>
        <w:shd w:val="clear"/>
        <w:spacing w:beforeLines="0" w:afterLines="0"/>
        <w:ind w:firstLine="48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2、碗窑水库坝顶需保证24小时有人值守，负责坝区安保及保洁工作。2025年1月以来到合同开始的坝项门卫费用包含在本项目中，由中标人支付，具体金额由中标人与门卫协调确定。</w:t>
      </w:r>
    </w:p>
    <w:p>
      <w:pPr>
        <w:numPr>
          <w:ilvl w:val="0"/>
          <w:numId w:val="0"/>
        </w:numPr>
        <w:shd w:val="clear"/>
        <w:snapToGrid w:val="0"/>
        <w:spacing w:beforeLines="0" w:afterLines="0" w:line="360" w:lineRule="auto"/>
        <w:ind w:firstLine="480" w:firstLineChars="200"/>
        <w:rPr>
          <w:rFonts w:hint="eastAsia" w:ascii="仿宋_GB2312" w:hAnsi="仿宋_GB2312" w:eastAsia="仿宋_GB2312" w:cs="仿宋_GB2312"/>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3、结算规则。供应商应服从采购人的统一安排，完成采购人交办的工作。经常性维养项目按照总价包干计算，合同期内不再调整；维修项目按照单价和实际发生的工程量计算，未列明的维修项目，本项目有类似单价的，参照本项目的单价；无类似单价的，按照《浙江省水利水电工程设计概(预)算编制规定(2021年)》；《浙江省水利水电建筑工程预算定额(2021年)》；《浙江省水利水电安装工程预算定额(2021年)》；《浙江省水利水电工程施工机械台班费定额(2021年)》；《浙江省水利水电工程工程量清单计价办法(2022年)》(浙水建〔2022〕7号)组价（浙江省水利工程定额不能满足计价的，可采用</w:t>
      </w:r>
      <w:r>
        <w:rPr>
          <w:rFonts w:hint="eastAsia" w:ascii="仿宋_GB2312" w:hAnsi="仿宋_GB2312" w:eastAsia="仿宋_GB2312" w:cs="仿宋_GB2312"/>
          <w:color w:val="000000" w:themeColor="text1"/>
          <w:sz w:val="24"/>
          <w:highlight w:val="none"/>
          <w:lang w:val="zh-CN"/>
          <w14:textFill>
            <w14:solidFill>
              <w14:schemeClr w14:val="tx1"/>
            </w14:solidFill>
          </w14:textFill>
        </w:rPr>
        <w:t>《浙江省市政工程预算定额》(2018版)、《浙江省通用安装工程预算定额》(2018版)</w:t>
      </w:r>
      <w:r>
        <w:rPr>
          <w:rFonts w:hint="eastAsia" w:ascii="仿宋_GB2312" w:hAnsi="仿宋_GB2312" w:eastAsia="仿宋_GB2312" w:cs="仿宋_GB2312"/>
          <w:color w:val="000000" w:themeColor="text1"/>
          <w:sz w:val="24"/>
          <w:highlight w:val="none"/>
          <w14:textFill>
            <w14:solidFill>
              <w14:schemeClr w14:val="tx1"/>
            </w14:solidFill>
          </w14:textFill>
        </w:rPr>
        <w:t>等行业定额计价），并按照投标时的综合优惠率进行计算。</w:t>
      </w:r>
    </w:p>
    <w:p>
      <w:pPr>
        <w:numPr>
          <w:ilvl w:val="0"/>
          <w:numId w:val="0"/>
        </w:numPr>
        <w:shd w:val="clear"/>
        <w:snapToGrid w:val="0"/>
        <w:spacing w:beforeLines="0" w:afterLines="0"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highlight w:val="none"/>
          <w14:textFill>
            <w14:solidFill>
              <w14:schemeClr w14:val="tx1"/>
            </w14:solidFill>
          </w14:textFill>
        </w:rPr>
        <w:t>4、实行考核管理。采购人对供应商实施维修养护工作定期进行考核，及时解决发现的问题，考核结果与工程款支付挂钩，按照采购人制定的考核办法执行。工程完工后按照相关规范和标准进行验收，切实保证维修养护工程取得实效。</w:t>
      </w:r>
    </w:p>
    <w:p>
      <w:pPr>
        <w:pStyle w:val="972"/>
        <w:numPr>
          <w:ilvl w:val="0"/>
          <w:numId w:val="0"/>
        </w:numPr>
        <w:shd w:val="clear"/>
        <w:ind w:firstLine="480"/>
        <w:jc w:val="cente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标项二、白水坑、峡口水库2025年度维修养护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bookmarkStart w:id="60" w:name="OLE_LINK1"/>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一、</w:t>
      </w: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 xml:space="preserve"> </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维修养护项目和内容</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水库工程</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2025年度维修养护项目包括：包括主体工程维修养护、闸门维修养护、启闭机维修养护、自备发电机组维修养护</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机电设备、水电系统维修养护、水雨情观测设施维修养护、防汛专用通道维修养护、生产管理用房维修养护、绿化养护；混凝土表面裂缝处理和破损修复、输变电系统维修、闸门启闭机金属件防腐处理、大坝安全监测设施配件、水雨情观测设施等更换及维修、峡里湖</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0001号钢板船保养维修费、标识牌维修养护、白水坑峡口大坝专项维修</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等。</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水库大坝维修养护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）对白水坑上游面板及坝顶路面进行经常性整理，及时清除杂草和散落物；对坝体混凝土剥蚀空蚀磨损及表面裂缝，应根据其成因，采取相应措施进行处理；对下游坝坡塌陷、松动块石护坡及时进行整修。</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）对混凝土坝面和坝顶路面进行经常性整理，及时清除杂草和散落物；对坝体混凝土剥蚀空蚀磨损及表面裂缝，应根据其成因，采取相应措施进行处理；对伸缩缝充填物老化脱落，应及时充填封堵。</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(3)</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坝下防冲工程进行翻修；及时清理、疏通坝面、廊道等表面排水沟及坝体、基础等排水孔；对坝上金属构件应进行经常性保养，及时处理中心部锈蚀现象；对大坝安全监测设施进行经常性养护，保持各类监测设施完好、清洁。</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闸门与启闭机维修养护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闸门进行保养，及时处理金属件表面锈蚀，及时清理闸门吊耳、门槽、弧形门支铰及结构夹缝处等部位的杂物、附着的水生物、泥砂和漂浮物等；运转部位的加油设施完好、畅通，并定期加油，闸门滚轮、弧形门支铰等难以加油部位，应采取适当方法进行润滑。</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）定期对启闭机进行进行保养，及时处理机体表面锈蚀；定期对钢丝绳进行涂油保护，确保无断丝、锈蚀；定期对传（制）动系统维修养护，保持设备运转灵活、制动性能良好。</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3、</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机电设备维修养护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）定期电动机进行保养，保持机体表面无尘、无污、无锈，轴承润滑良好，各种开关、继电保护装置保持干净，触点良好，接头牢固。</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）定期对备用柴油发电机进行保养，保持各种连接附件及启动装置安全可靠，调速器、运动部件操作灵活；油路和接头处不漏油、不存气，水管接头不漏水。</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3</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）定期对变压器进行保养，保持变压器及其附件、保护装置、控制设备完整，操作灵活可靠，接地装置完好、仪表指示正常。</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4</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）定期对集水井水泵进行保养，保持部件和零件完整，自动装置、信号装置、保护装置完好，动作可靠。</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5</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）定期对输电线路进行维护，保持电力线路、电缆线路、照明线路正常，接头牢固。</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4、</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水雨情观测设施维修养护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）定期对库区遥测站进行保养，保持遥测站各类设备运行正常、信号畅通，发生故障及时排除，使之尽快恢复正常运行。</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）定期清洗翻斗雨量计的承雨器、漏斗、翻斗等部件，清理水位井进水口的水草、淤沙，清洁太阳能电池板表面、检查各线路连接情况。</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3</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）定期维护蓄电池，保持蓄电池有足够电量，遇长期阴雨导致电池亏电时，应及时充电，及时修复并重新校正损坏的水位观测尺。</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5、</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防汛、巡查道路养护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清除路边杂草，清理落石，疏通排水沟，及时排除山坡水，防止路面冲毁。</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6、生产管理用房</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维修养护</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）对管理房、启闭机房开展经常性维护，发现墙体裂缝、墙皮脱落、房（屋顶）渗漏、门窗损坏等现象要及时修复。</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）定期清洁启闭机、闸门等设备。</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3</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）定期清洗、刷漆、维修、更新各类高程标志桩、指示牌、标志牌、警示牌等。</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4</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）对大坝廊道内动力、照明线路、库区管理用船用车、通讯及安全防护设施等应进行经常维护，出现故障及时修复。</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5</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）对监控设备和传输线路进行定期检查，对监控设备进行除尘清理，用无水酒精将摄像机镜头擦干净，调整清晰度等。</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6</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）对管理范围内绿化应经常修整、清除杂草、保持完整美观。</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7、</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白水坑、峡口大坝专项维修</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白水坑大坝专项维修主要包括：大坝左侧面板巡查通道新增不锈钢垂直爬梯及外侧防护罩、</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1#-4#</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号启闭机和大坝背水坡观测房房屋面防水、配电房地面裂缝、墙面裂缝处理、大坝上新增集装箱仓库（值班室）、泄洪闸配电房小仓库大门更换、巡查通道更换</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2个摄像头、值班室供电线路更换、发电进水口更换门柱和不锈钢门、进水口检修闸门巡查通道浇筑混凝土台阶和不锈钢栏杆、防汛值班室更换不锈钢防盗门、防汛值班室二楼、三楼阳台铝合金窗包封、雨量站设备房屋面防水和更换不锈钢门内墙面及天棚刷乳胶漆等。</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宋体" w:hAnsi="宋体" w:eastAsia="宋体"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峡口大坝专项维修主要包括：廊道</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9#-10#坝段接缝处空鼓维修、廊道3#-4#地面新做火烧面花岗岩面层铺装、坝顶花岗岩墙面及花岗岩踢脚线维修、坝顶石质栏杆裂口清理及维修、警务室原铁门拆除后新做不锈钢门、室外原铝芯线拆除后新做YJV-4*6电缆线、水位尺旁斜坡C25混凝土浇筑面层、水位尺旁原有混凝土台阶拆除后新做1.5m宽混凝土台阶面层采用8cm后老石板面层、值班室内衣柜、窗帘、纱门、吸顶灯、值班室厕所百叶窗带纱窗、值班室休息间屋面原防水、宣传栏绿化、森工站围墙及门柱、巡查通道不锈钢门、新做排水沟、廊道新做不锈钢门、凉亭处新增1.2m高不锈钢栏杆、原办公室内墙拆除打通为防汛仓库</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w:t>
      </w:r>
    </w:p>
    <w:p>
      <w:pPr>
        <w:pStyle w:val="3"/>
        <w:keepNext w:val="0"/>
        <w:keepLines w:val="0"/>
        <w:widowControl w:val="0"/>
        <w:suppressLineNumbers w:val="0"/>
        <w:shd w:val="clear"/>
        <w:spacing w:beforeLines="0" w:beforeAutospacing="0" w:afterLines="0" w:afterAutospacing="0" w:line="560" w:lineRule="exact"/>
        <w:ind w:left="434" w:leftChars="202" w:hanging="10" w:hangingChars="4"/>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eastAsia="仿宋_GB2312" w:cs="仿宋_GB2312"/>
          <w:b/>
          <w:color w:val="000000" w:themeColor="text1"/>
          <w:kern w:val="2"/>
          <w:sz w:val="24"/>
          <w:szCs w:val="24"/>
          <w:highlight w:val="none"/>
          <w14:textFill>
            <w14:solidFill>
              <w14:schemeClr w14:val="tx1"/>
            </w14:solidFill>
          </w14:textFill>
        </w:rPr>
        <w:t>二、维修养护的管理</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1、</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项目建设管理</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成立专门的管理机构。水库建设管理服务中心成立工程维修养护工作领导小组，以加强维修养护项目管理及资金的使用监督，确保工程维修养护工作顺利开展。</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在工程维护前，项目工作组须认真审查维护公司提交的施工组织设计及施工方案，核查维修养护公司人员、设备、制度和措施的落实情况；工程维护过程中，须由专人在现场对工程原材料、构配件进行检验，并对施工过程进行旁站监督，发现问题及时指出改正；工程完工后，根据相关标准和验收办法严格执行并形成综合验收意见，验收合格方可按合同支付维修养护工程款，不合格则要求返工处理或采取措施进行补救。</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2" w:firstLineChars="200"/>
        <w:jc w:val="both"/>
        <w:rPr>
          <w:rFonts w:hint="eastAsia" w:ascii="仿宋_GB2312" w:eastAsia="仿宋_GB2312" w:cs="Times New Roman"/>
          <w:b/>
          <w:color w:val="000000" w:themeColor="text1"/>
          <w:kern w:val="2"/>
          <w:sz w:val="24"/>
          <w:szCs w:val="24"/>
          <w:highlight w:val="none"/>
          <w14:textFill>
            <w14:solidFill>
              <w14:schemeClr w14:val="tx1"/>
            </w14:solidFill>
          </w14:textFill>
        </w:rPr>
      </w:pPr>
      <w:r>
        <w:rPr>
          <w:rFonts w:hint="eastAsia" w:ascii="仿宋_GB2312" w:hAnsi="Times New Roman" w:eastAsia="仿宋_GB2312" w:cs="Times New Roman"/>
          <w:b/>
          <w:color w:val="000000" w:themeColor="text1"/>
          <w:kern w:val="2"/>
          <w:sz w:val="24"/>
          <w:szCs w:val="24"/>
          <w:highlight w:val="none"/>
          <w:lang w:val="en-US" w:eastAsia="zh-CN" w:bidi="ar"/>
          <w14:textFill>
            <w14:solidFill>
              <w14:schemeClr w14:val="tx1"/>
            </w14:solidFill>
          </w14:textFill>
        </w:rPr>
        <w:t>2、</w:t>
      </w:r>
      <w:r>
        <w:rPr>
          <w:rFonts w:hint="eastAsia" w:ascii="仿宋_GB2312" w:hAnsi="Times New Roman" w:eastAsia="仿宋_GB2312" w:cs="仿宋_GB2312"/>
          <w:b/>
          <w:color w:val="000000" w:themeColor="text1"/>
          <w:kern w:val="2"/>
          <w:sz w:val="24"/>
          <w:szCs w:val="24"/>
          <w:highlight w:val="none"/>
          <w:lang w:val="en-US" w:eastAsia="zh-CN" w:bidi="ar"/>
          <w14:textFill>
            <w14:solidFill>
              <w14:schemeClr w14:val="tx1"/>
            </w14:solidFill>
          </w14:textFill>
        </w:rPr>
        <w:t>项目资金管理</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加强资金的使用监管，确保维修养护资金专款专用和合理使用。严格执行专款专用和专账核算制度，实行资金的专人、专帐管理，严格按照</w:t>
      </w: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专项管理、专款专用，单独建账、单独核算”的原则，对项目投资计划下达、资金拨付、资金使用和账务处理的全过程实行规范化管理。要严格按《基本建设财务管理规定》等要求组织财务管理工作，进行会计核算，建立规范的工程价款结算制度，确保工程资金支付程序符合规定、支付凭证齐全等，不截留、挤占、挪作他用等情况。</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三、其他</w:t>
      </w:r>
    </w:p>
    <w:p>
      <w:pPr>
        <w:pStyle w:val="974"/>
        <w:widowControl/>
        <w:shd w:val="clear"/>
        <w:spacing w:beforeLines="0" w:beforeAutospacing="0" w:afterLines="0" w:afterAutospacing="0"/>
        <w:ind w:left="0" w:firstLine="480"/>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eastAsia="仿宋_GB2312" w:cs="Times New Roman"/>
          <w:color w:val="000000" w:themeColor="text1"/>
          <w:kern w:val="2"/>
          <w:sz w:val="24"/>
          <w:szCs w:val="24"/>
          <w:highlight w:val="none"/>
          <w14:textFill>
            <w14:solidFill>
              <w14:schemeClr w14:val="tx1"/>
            </w14:solidFill>
          </w14:textFill>
        </w:rPr>
        <w:t>1、</w:t>
      </w:r>
      <w:r>
        <w:rPr>
          <w:rFonts w:hint="eastAsia" w:ascii="仿宋_GB2312" w:eastAsia="仿宋_GB2312" w:cs="仿宋_GB2312"/>
          <w:color w:val="000000" w:themeColor="text1"/>
          <w:kern w:val="2"/>
          <w:sz w:val="24"/>
          <w:szCs w:val="24"/>
          <w:highlight w:val="none"/>
          <w14:textFill>
            <w14:solidFill>
              <w14:schemeClr w14:val="tx1"/>
            </w14:solidFill>
          </w14:textFill>
        </w:rPr>
        <w:t>白水坑、峡口大坝需保证有人员和车辆常驻，负责日常维养、巡查和保洁工作。</w:t>
      </w:r>
    </w:p>
    <w:p>
      <w:pPr>
        <w:pStyle w:val="974"/>
        <w:widowControl/>
        <w:shd w:val="clear"/>
        <w:spacing w:beforeLines="0" w:beforeAutospacing="0" w:afterLines="0" w:afterAutospacing="0"/>
        <w:ind w:left="0" w:firstLine="480"/>
        <w:rPr>
          <w:rFonts w:hint="eastAsia" w:ascii="仿宋_GB2312" w:eastAsia="仿宋_GB2312" w:cs="Times New Roman"/>
          <w:color w:val="000000" w:themeColor="text1"/>
          <w:kern w:val="2"/>
          <w:sz w:val="24"/>
          <w:szCs w:val="24"/>
          <w:highlight w:val="none"/>
          <w14:textFill>
            <w14:solidFill>
              <w14:schemeClr w14:val="tx1"/>
            </w14:solidFill>
          </w14:textFill>
        </w:rPr>
      </w:pPr>
      <w:r>
        <w:rPr>
          <w:rFonts w:hint="eastAsia" w:ascii="仿宋_GB2312" w:eastAsia="仿宋_GB2312" w:cs="Times New Roman"/>
          <w:color w:val="000000" w:themeColor="text1"/>
          <w:kern w:val="2"/>
          <w:sz w:val="24"/>
          <w:szCs w:val="24"/>
          <w:highlight w:val="none"/>
          <w14:textFill>
            <w14:solidFill>
              <w14:schemeClr w14:val="tx1"/>
            </w14:solidFill>
          </w14:textFill>
        </w:rPr>
        <w:t>2</w:t>
      </w:r>
      <w:r>
        <w:rPr>
          <w:rFonts w:hint="eastAsia" w:ascii="仿宋_GB2312" w:eastAsia="仿宋_GB2312" w:cs="仿宋_GB2312"/>
          <w:color w:val="000000" w:themeColor="text1"/>
          <w:kern w:val="2"/>
          <w:sz w:val="24"/>
          <w:szCs w:val="24"/>
          <w:highlight w:val="none"/>
          <w14:textFill>
            <w14:solidFill>
              <w14:schemeClr w14:val="tx1"/>
            </w14:solidFill>
          </w14:textFill>
        </w:rPr>
        <w:t>、结算规则。供应商应服从采购人的统一安排，完成采购人交办的工作。经常性维养项目按照总价包干计算，合同期内不再调整；维修项目按照单价和实际发生的工程量计算，未列明的维修项目，本项目有类似单价的，参照本项目的单价；无类似单价的，按照《浙江省水利水电工程设计概</w:t>
      </w:r>
      <w:r>
        <w:rPr>
          <w:rFonts w:hint="eastAsia" w:ascii="仿宋_GB2312" w:eastAsia="仿宋_GB2312" w:cs="Times New Roman"/>
          <w:color w:val="000000" w:themeColor="text1"/>
          <w:kern w:val="2"/>
          <w:sz w:val="24"/>
          <w:szCs w:val="24"/>
          <w:highlight w:val="none"/>
          <w14:textFill>
            <w14:solidFill>
              <w14:schemeClr w14:val="tx1"/>
            </w14:solidFill>
          </w14:textFill>
        </w:rPr>
        <w:t>(预)算编制规定(2021年)》；《浙江省水利水电建筑工程预算定额(2021年)》；《浙江省水利水电安装工程预算定额(2021年)》；《浙江省水利水电工程施工机械台班费定额(2021年)》；《浙江省水利水电工程工程量清单计价办法(2022年)》(浙水建〔2022〕7号)组价（浙江省水利工程定额不能满足计价的，可采用</w:t>
      </w:r>
      <w:r>
        <w:rPr>
          <w:rFonts w:hint="eastAsia" w:ascii="仿宋_GB2312" w:eastAsia="仿宋_GB2312" w:cs="仿宋_GB2312"/>
          <w:color w:val="000000" w:themeColor="text1"/>
          <w:kern w:val="2"/>
          <w:sz w:val="24"/>
          <w:szCs w:val="24"/>
          <w:highlight w:val="none"/>
          <w14:textFill>
            <w14:solidFill>
              <w14:schemeClr w14:val="tx1"/>
            </w14:solidFill>
          </w14:textFill>
        </w:rPr>
        <w:t>《浙江省市政工程预算定额》</w:t>
      </w:r>
      <w:r>
        <w:rPr>
          <w:rFonts w:hint="eastAsia" w:ascii="仿宋_GB2312" w:eastAsia="仿宋_GB2312" w:cs="Times New Roman"/>
          <w:color w:val="000000" w:themeColor="text1"/>
          <w:kern w:val="2"/>
          <w:sz w:val="24"/>
          <w:szCs w:val="24"/>
          <w:highlight w:val="none"/>
          <w14:textFill>
            <w14:solidFill>
              <w14:schemeClr w14:val="tx1"/>
            </w14:solidFill>
          </w14:textFill>
        </w:rPr>
        <w:t>(2018版)、《浙江省通用安装工程预算定额》(2018版)</w:t>
      </w:r>
      <w:r>
        <w:rPr>
          <w:rFonts w:hint="eastAsia" w:ascii="仿宋_GB2312" w:eastAsia="仿宋_GB2312" w:cs="仿宋_GB2312"/>
          <w:color w:val="000000" w:themeColor="text1"/>
          <w:kern w:val="2"/>
          <w:sz w:val="24"/>
          <w:szCs w:val="24"/>
          <w:highlight w:val="none"/>
          <w14:textFill>
            <w14:solidFill>
              <w14:schemeClr w14:val="tx1"/>
            </w14:solidFill>
          </w14:textFill>
        </w:rPr>
        <w:t>等行业定额计价），并按照投标时的综合优惠率进行计算。</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default"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pPr>
      <w:r>
        <w:rPr>
          <w:rFonts w:hint="eastAsia" w:ascii="仿宋_GB2312" w:hAnsi="Times New Roman" w:eastAsia="仿宋_GB2312" w:cs="Times New Roman"/>
          <w:color w:val="000000" w:themeColor="text1"/>
          <w:kern w:val="2"/>
          <w:sz w:val="24"/>
          <w:szCs w:val="24"/>
          <w:highlight w:val="none"/>
          <w:lang w:val="en-US" w:eastAsia="zh-CN" w:bidi="ar"/>
          <w14:textFill>
            <w14:solidFill>
              <w14:schemeClr w14:val="tx1"/>
            </w14:solidFill>
          </w14:textFill>
        </w:rPr>
        <w:t>3</w:t>
      </w:r>
      <w:r>
        <w:rPr>
          <w:rFonts w:hint="eastAsia" w:ascii="仿宋_GB2312" w:hAnsi="Times New Roman" w:eastAsia="仿宋_GB2312" w:cs="仿宋_GB2312"/>
          <w:color w:val="000000" w:themeColor="text1"/>
          <w:kern w:val="2"/>
          <w:sz w:val="24"/>
          <w:szCs w:val="24"/>
          <w:highlight w:val="none"/>
          <w:lang w:val="en-US" w:eastAsia="zh-CN" w:bidi="ar"/>
          <w14:textFill>
            <w14:solidFill>
              <w14:schemeClr w14:val="tx1"/>
            </w14:solidFill>
          </w14:textFill>
        </w:rPr>
        <w:t>、实行考核管理。采购人对供应商实施维修养护工作定期进行考核，及时解决发现的问题，考核结果与工程款支付挂钩，按照采购人制定的考核办法执行。工程完工后按照相关规范和标准进行验收，切实保证维修养护工程取得实效。</w:t>
      </w:r>
    </w:p>
    <w:p>
      <w:pPr>
        <w:shd w:val="clear"/>
        <w:spacing w:beforeLines="0" w:afterLines="0" w:line="560" w:lineRule="exact"/>
        <w:ind w:firstLine="480" w:firstLineChars="200"/>
        <w:rPr>
          <w:rFonts w:hint="eastAsia" w:ascii="仿宋_GB2312" w:hAnsi="仿宋_GB2312" w:eastAsia="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szCs w:val="24"/>
          <w:highlight w:val="none"/>
          <w:lang w:val="en-US" w:eastAsia="zh-CN"/>
          <w14:textFill>
            <w14:solidFill>
              <w14:schemeClr w14:val="tx1"/>
            </w14:solidFill>
          </w14:textFill>
        </w:rPr>
        <w:t>标项一、标项二考核表</w:t>
      </w:r>
    </w:p>
    <w:bookmarkEnd w:id="60"/>
    <w:p>
      <w:pPr>
        <w:pStyle w:val="973"/>
        <w:widowControl/>
        <w:shd w:val="clear"/>
        <w:spacing w:line="600" w:lineRule="exact"/>
        <w:jc w:val="center"/>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江山市大中型水库维修养护考核办法</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为进一步强化激励机制，全面提升水库维修养护管理水平，推动维修养护工作取得实效，根据相关法律、法规和规范标准，结合水库维修养护工程实际情况，制定本考核办法。</w:t>
      </w:r>
    </w:p>
    <w:p>
      <w:pPr>
        <w:pStyle w:val="973"/>
        <w:keepNext w:val="0"/>
        <w:keepLines w:val="0"/>
        <w:widowControl/>
        <w:suppressLineNumbers w:val="0"/>
        <w:shd w:val="clear"/>
        <w:autoSpaceDE w:val="0"/>
        <w:autoSpaceDN/>
        <w:spacing w:line="360" w:lineRule="auto"/>
        <w:jc w:val="left"/>
        <w:rPr>
          <w:rFonts w:hint="eastAsia" w:ascii="黑体" w:hAnsi="Arial" w:eastAsia="黑体" w:cs="Arial"/>
          <w:color w:val="000000" w:themeColor="text1"/>
          <w:kern w:val="0"/>
          <w:sz w:val="24"/>
          <w:szCs w:val="24"/>
          <w:highlight w:val="none"/>
          <w14:textFill>
            <w14:solidFill>
              <w14:schemeClr w14:val="tx1"/>
            </w14:solidFill>
          </w14:textFill>
        </w:rPr>
      </w:pPr>
      <w:r>
        <w:rPr>
          <w:rFonts w:hint="eastAsia" w:ascii="黑体" w:hAnsi="Arial" w:eastAsia="黑体" w:cs="Arial"/>
          <w:color w:val="000000" w:themeColor="text1"/>
          <w:kern w:val="0"/>
          <w:sz w:val="24"/>
          <w:szCs w:val="24"/>
          <w:highlight w:val="none"/>
          <w14:textFill>
            <w14:solidFill>
              <w14:schemeClr w14:val="tx1"/>
            </w14:solidFill>
          </w14:textFill>
        </w:rPr>
        <w:t xml:space="preserve">    </w:t>
      </w:r>
      <w:r>
        <w:rPr>
          <w:rFonts w:hint="eastAsia" w:ascii="黑体" w:hAnsi="宋体" w:eastAsia="黑体" w:cs="黑体"/>
          <w:color w:val="000000" w:themeColor="text1"/>
          <w:kern w:val="0"/>
          <w:sz w:val="24"/>
          <w:szCs w:val="24"/>
          <w:highlight w:val="none"/>
          <w14:textFill>
            <w14:solidFill>
              <w14:schemeClr w14:val="tx1"/>
            </w14:solidFill>
          </w14:textFill>
        </w:rPr>
        <w:t>一、总则</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（一）考核原则</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客观、公正、全面。</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（二）适用范围</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spacing w:val="-6"/>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本办法大中型水库维修养护工作</w:t>
      </w:r>
      <w:r>
        <w:rPr>
          <w:rFonts w:hint="eastAsia" w:ascii="仿宋_GB2312" w:hAnsi="Arial" w:eastAsia="仿宋_GB2312" w:cs="仿宋_GB2312"/>
          <w:color w:val="000000" w:themeColor="text1"/>
          <w:spacing w:val="-6"/>
          <w:kern w:val="0"/>
          <w:sz w:val="24"/>
          <w:szCs w:val="24"/>
          <w:highlight w:val="none"/>
          <w14:textFill>
            <w14:solidFill>
              <w14:schemeClr w14:val="tx1"/>
            </w14:solidFill>
          </w14:textFill>
        </w:rPr>
        <w:t>。</w:t>
      </w:r>
    </w:p>
    <w:p>
      <w:pPr>
        <w:pStyle w:val="973"/>
        <w:keepNext w:val="0"/>
        <w:keepLines w:val="0"/>
        <w:widowControl/>
        <w:suppressLineNumbers w:val="0"/>
        <w:shd w:val="clear"/>
        <w:autoSpaceDE w:val="0"/>
        <w:autoSpaceDN/>
        <w:spacing w:line="360" w:lineRule="auto"/>
        <w:ind w:left="0" w:firstLine="456" w:firstLineChars="200"/>
        <w:jc w:val="left"/>
        <w:rPr>
          <w:rFonts w:hint="eastAsia" w:ascii="仿宋_GB2312" w:hAnsi="Arial" w:eastAsia="仿宋_GB2312" w:cs="Arial"/>
          <w:color w:val="000000" w:themeColor="text1"/>
          <w:spacing w:val="-6"/>
          <w:kern w:val="0"/>
          <w:sz w:val="24"/>
          <w:szCs w:val="24"/>
          <w:highlight w:val="none"/>
          <w14:textFill>
            <w14:solidFill>
              <w14:schemeClr w14:val="tx1"/>
            </w14:solidFill>
          </w14:textFill>
        </w:rPr>
      </w:pPr>
      <w:r>
        <w:rPr>
          <w:rFonts w:hint="eastAsia" w:ascii="仿宋_GB2312" w:hAnsi="Arial" w:eastAsia="仿宋_GB2312" w:cs="仿宋_GB2312"/>
          <w:color w:val="000000" w:themeColor="text1"/>
          <w:spacing w:val="-6"/>
          <w:kern w:val="0"/>
          <w:sz w:val="24"/>
          <w:szCs w:val="24"/>
          <w:highlight w:val="none"/>
          <w14:textFill>
            <w14:solidFill>
              <w14:schemeClr w14:val="tx1"/>
            </w14:solidFill>
          </w14:textFill>
        </w:rPr>
        <w:t>（三）考核对象</w:t>
      </w:r>
    </w:p>
    <w:p>
      <w:pPr>
        <w:pStyle w:val="973"/>
        <w:keepNext w:val="0"/>
        <w:keepLines w:val="0"/>
        <w:widowControl/>
        <w:suppressLineNumbers w:val="0"/>
        <w:shd w:val="clear"/>
        <w:autoSpaceDE w:val="0"/>
        <w:autoSpaceDN/>
        <w:spacing w:line="360" w:lineRule="auto"/>
        <w:ind w:left="0" w:firstLine="456"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spacing w:val="-6"/>
          <w:kern w:val="0"/>
          <w:sz w:val="24"/>
          <w:szCs w:val="24"/>
          <w:highlight w:val="none"/>
          <w14:textFill>
            <w14:solidFill>
              <w14:schemeClr w14:val="tx1"/>
            </w14:solidFill>
          </w14:textFill>
        </w:rPr>
        <w:t>大中型水库维修养护承包单位（以下简称公司）。</w:t>
      </w:r>
    </w:p>
    <w:p>
      <w:pPr>
        <w:pStyle w:val="973"/>
        <w:keepNext w:val="0"/>
        <w:keepLines w:val="0"/>
        <w:widowControl/>
        <w:suppressLineNumbers w:val="0"/>
        <w:shd w:val="clear"/>
        <w:autoSpaceDE w:val="0"/>
        <w:autoSpaceDN/>
        <w:spacing w:line="360" w:lineRule="auto"/>
        <w:jc w:val="left"/>
        <w:rPr>
          <w:rFonts w:hint="eastAsia" w:ascii="黑体" w:hAnsi="Arial" w:eastAsia="黑体" w:cs="Arial"/>
          <w:color w:val="000000" w:themeColor="text1"/>
          <w:kern w:val="0"/>
          <w:sz w:val="24"/>
          <w:szCs w:val="24"/>
          <w:highlight w:val="none"/>
          <w14:textFill>
            <w14:solidFill>
              <w14:schemeClr w14:val="tx1"/>
            </w14:solidFill>
          </w14:textFill>
        </w:rPr>
      </w:pPr>
      <w:r>
        <w:rPr>
          <w:rFonts w:hint="eastAsia" w:ascii="黑体" w:hAnsi="Arial" w:eastAsia="黑体" w:cs="Arial"/>
          <w:color w:val="000000" w:themeColor="text1"/>
          <w:kern w:val="0"/>
          <w:sz w:val="24"/>
          <w:szCs w:val="24"/>
          <w:highlight w:val="none"/>
          <w14:textFill>
            <w14:solidFill>
              <w14:schemeClr w14:val="tx1"/>
            </w14:solidFill>
          </w14:textFill>
        </w:rPr>
        <w:t xml:space="preserve">    </w:t>
      </w:r>
      <w:r>
        <w:rPr>
          <w:rFonts w:hint="eastAsia" w:ascii="黑体" w:hAnsi="宋体" w:eastAsia="黑体" w:cs="黑体"/>
          <w:color w:val="000000" w:themeColor="text1"/>
          <w:kern w:val="0"/>
          <w:sz w:val="24"/>
          <w:szCs w:val="24"/>
          <w:highlight w:val="none"/>
          <w14:textFill>
            <w14:solidFill>
              <w14:schemeClr w14:val="tx1"/>
            </w14:solidFill>
          </w14:textFill>
        </w:rPr>
        <w:t>二、考核标准</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pP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（一）评分标准和计分办法</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pP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本办法考核以检查评分表的形式进行（具体见大中型水库维修养护考核评分表），每季度考核一次。评分表总分值为</w:t>
      </w:r>
      <w:r>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t>100分，考核等级分为：合格、不合格。80分（含80分）</w:t>
      </w: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以上为合格，</w:t>
      </w:r>
      <w:r>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t>80分以下为不合格。年度综合得分为季度考核得分的平均值。</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pP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（二）考核内容</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pP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考核日常维修养护质量、进度、安全文明、资料、其他等五个方面。质量方面分值</w:t>
      </w:r>
      <w:r>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t>30分，</w:t>
      </w: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进度方面分值</w:t>
      </w:r>
      <w:r>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t>20分，安全文明方面分值20分，资料方面分值20分</w:t>
      </w: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、其他方面分值</w:t>
      </w:r>
      <w:r>
        <w:rPr>
          <w:rFonts w:hint="eastAsia" w:ascii="仿宋_GB2312" w:hAnsi="Times New Roman" w:eastAsia="仿宋_GB2312" w:cs="宋体"/>
          <w:color w:val="000000" w:themeColor="text1"/>
          <w:kern w:val="0"/>
          <w:sz w:val="24"/>
          <w:szCs w:val="24"/>
          <w:highlight w:val="none"/>
          <w:shd w:val="clear" w:fill="FFFFFF"/>
          <w14:textFill>
            <w14:solidFill>
              <w14:schemeClr w14:val="tx1"/>
            </w14:solidFill>
          </w14:textFill>
        </w:rPr>
        <w:t>10分</w:t>
      </w:r>
      <w:r>
        <w:rPr>
          <w:rFonts w:hint="eastAsia" w:ascii="仿宋_GB2312" w:hAnsi="Times New Roman" w:eastAsia="仿宋_GB2312" w:cs="仿宋_GB2312"/>
          <w:color w:val="000000" w:themeColor="text1"/>
          <w:kern w:val="0"/>
          <w:sz w:val="24"/>
          <w:szCs w:val="24"/>
          <w:highlight w:val="none"/>
          <w:shd w:val="clear" w:fill="FFFFFF"/>
          <w14:textFill>
            <w14:solidFill>
              <w14:schemeClr w14:val="tx1"/>
            </w14:solidFill>
          </w14:textFill>
        </w:rPr>
        <w:t>。</w:t>
      </w:r>
    </w:p>
    <w:p>
      <w:pPr>
        <w:keepNext w:val="0"/>
        <w:keepLines w:val="0"/>
        <w:widowControl w:val="0"/>
        <w:suppressLineNumbers w:val="0"/>
        <w:shd w:val="clear"/>
        <w:autoSpaceDE w:val="0"/>
        <w:autoSpaceDN/>
        <w:spacing w:before="0" w:beforeAutospacing="0" w:after="0" w:afterAutospacing="0" w:line="360" w:lineRule="auto"/>
        <w:ind w:left="0" w:right="0"/>
        <w:jc w:val="both"/>
        <w:rPr>
          <w:rFonts w:hint="eastAsia" w:ascii="仿宋_GB2312" w:hAnsi="Calibri" w:eastAsia="仿宋_GB2312" w:cs="宋体"/>
          <w:color w:val="000000" w:themeColor="text1"/>
          <w:kern w:val="0"/>
          <w:sz w:val="24"/>
          <w:szCs w:val="24"/>
          <w:highlight w:val="none"/>
          <w14:textFill>
            <w14:solidFill>
              <w14:schemeClr w14:val="tx1"/>
            </w14:solidFill>
          </w14:textFill>
        </w:rPr>
      </w:pPr>
      <w:r>
        <w:rPr>
          <w:rFonts w:hint="eastAsia" w:ascii="仿宋_GB2312" w:hAnsi="Calibri" w:eastAsia="仿宋_GB2312" w:cs="宋体"/>
          <w:color w:val="000000" w:themeColor="text1"/>
          <w:kern w:val="0"/>
          <w:sz w:val="24"/>
          <w:szCs w:val="24"/>
          <w:highlight w:val="none"/>
          <w:lang w:val="en-US" w:eastAsia="zh-CN" w:bidi="ar"/>
          <w14:textFill>
            <w14:solidFill>
              <w14:schemeClr w14:val="tx1"/>
            </w14:solidFill>
          </w14:textFill>
        </w:rPr>
        <w:t xml:space="preserve">    </w:t>
      </w:r>
      <w:r>
        <w:rPr>
          <w:rFonts w:hint="eastAsia" w:ascii="仿宋_GB2312" w:hAnsi="Calibri" w:eastAsia="仿宋_GB2312" w:cs="仿宋_GB2312"/>
          <w:color w:val="000000" w:themeColor="text1"/>
          <w:kern w:val="0"/>
          <w:sz w:val="24"/>
          <w:szCs w:val="24"/>
          <w:highlight w:val="none"/>
          <w:lang w:val="en-US" w:eastAsia="zh-CN" w:bidi="ar"/>
          <w14:textFill>
            <w14:solidFill>
              <w14:schemeClr w14:val="tx1"/>
            </w14:solidFill>
          </w14:textFill>
        </w:rPr>
        <w:t>（三）一票否决内容</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凡维修养护施工过程中发生以下情况的，均实行一票否决，当季季度考核等级为不合格。</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1、因施工现场发生安全生产死亡责任事故，</w:t>
      </w:r>
      <w:r>
        <w:rPr>
          <w:rFonts w:hint="eastAsia" w:ascii="仿宋_GB2312" w:hAnsi="Arial" w:eastAsia="仿宋_GB2312" w:cs="仿宋_GB2312"/>
          <w:color w:val="000000" w:themeColor="text1"/>
          <w:kern w:val="0"/>
          <w:sz w:val="24"/>
          <w:szCs w:val="24"/>
          <w:highlight w:val="none"/>
          <w14:textFill>
            <w14:solidFill>
              <w14:schemeClr w14:val="tx1"/>
            </w14:solidFill>
          </w14:textFill>
        </w:rPr>
        <w:t>企业承担事故责任的。</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2、因工程质量不符合规范或设计要求，被责令停工的。</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3、因施工组织不当，管理不到位或违反管理规定和指令而导致施工进度滞后30天以上或造成经济损失一万元以上的。</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4、受到行政主管部门、监督机构和媒体通报批评或行政处罚的。</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（四）考核加分内容</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公司凡获得以下表彰奖励且无一票否决情形的，均可在当季考核评分时，实行加分奖励，多个奖励加分的以最高加分为准，加分后满分不超过</w:t>
      </w:r>
      <w:r>
        <w:rPr>
          <w:rFonts w:hint="eastAsia" w:ascii="仿宋_GB2312" w:hAnsi="Arial" w:eastAsia="仿宋_GB2312" w:cs="Arial"/>
          <w:color w:val="000000" w:themeColor="text1"/>
          <w:kern w:val="0"/>
          <w:sz w:val="24"/>
          <w:szCs w:val="24"/>
          <w:highlight w:val="none"/>
          <w14:textFill>
            <w14:solidFill>
              <w14:schemeClr w14:val="tx1"/>
            </w14:solidFill>
          </w14:textFill>
        </w:rPr>
        <w:t>100分。</w:t>
      </w:r>
    </w:p>
    <w:p>
      <w:pPr>
        <w:pStyle w:val="973"/>
        <w:keepNext w:val="0"/>
        <w:keepLines w:val="0"/>
        <w:widowControl/>
        <w:numPr>
          <w:ilvl w:val="0"/>
          <w:numId w:val="6"/>
        </w:numPr>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获得水库中心奖励表彰，加</w:t>
      </w:r>
      <w:r>
        <w:rPr>
          <w:rFonts w:hint="eastAsia" w:ascii="仿宋_GB2312" w:hAnsi="Arial" w:eastAsia="仿宋_GB2312" w:cs="Arial"/>
          <w:color w:val="000000" w:themeColor="text1"/>
          <w:kern w:val="0"/>
          <w:sz w:val="24"/>
          <w:szCs w:val="24"/>
          <w:highlight w:val="none"/>
          <w14:textFill>
            <w14:solidFill>
              <w14:schemeClr w14:val="tx1"/>
            </w14:solidFill>
          </w14:textFill>
        </w:rPr>
        <w:t>2分。</w:t>
      </w:r>
    </w:p>
    <w:p>
      <w:pPr>
        <w:pStyle w:val="973"/>
        <w:keepNext w:val="0"/>
        <w:keepLines w:val="0"/>
        <w:widowControl/>
        <w:suppressLineNumbers w:val="0"/>
        <w:shd w:val="clear"/>
        <w:autoSpaceDE w:val="0"/>
        <w:autoSpaceDN/>
        <w:spacing w:line="360" w:lineRule="auto"/>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 xml:space="preserve">    2、获得媒体通报表彰，加3分；</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3、获得市级奖励表彰，加5分</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4、获得地区级及以上奖励表彰，加10分。</w:t>
      </w:r>
    </w:p>
    <w:p>
      <w:pPr>
        <w:pStyle w:val="973"/>
        <w:keepNext w:val="0"/>
        <w:keepLines w:val="0"/>
        <w:widowControl/>
        <w:suppressLineNumbers w:val="0"/>
        <w:shd w:val="clear"/>
        <w:autoSpaceDE w:val="0"/>
        <w:autoSpaceDN/>
        <w:spacing w:line="360" w:lineRule="auto"/>
        <w:ind w:left="0" w:firstLine="480" w:firstLineChars="200"/>
        <w:jc w:val="left"/>
        <w:rPr>
          <w:rFonts w:hint="eastAsia" w:ascii="黑体" w:hAnsi="Arial" w:eastAsia="黑体" w:cs="Arial"/>
          <w:color w:val="000000" w:themeColor="text1"/>
          <w:kern w:val="0"/>
          <w:sz w:val="24"/>
          <w:szCs w:val="24"/>
          <w:highlight w:val="none"/>
          <w14:textFill>
            <w14:solidFill>
              <w14:schemeClr w14:val="tx1"/>
            </w14:solidFill>
          </w14:textFill>
        </w:rPr>
      </w:pPr>
      <w:r>
        <w:rPr>
          <w:rFonts w:hint="eastAsia" w:ascii="黑体" w:hAnsi="宋体" w:eastAsia="黑体" w:cs="黑体"/>
          <w:color w:val="000000" w:themeColor="text1"/>
          <w:kern w:val="0"/>
          <w:sz w:val="24"/>
          <w:szCs w:val="24"/>
          <w:highlight w:val="none"/>
          <w14:textFill>
            <w14:solidFill>
              <w14:schemeClr w14:val="tx1"/>
            </w14:solidFill>
          </w14:textFill>
        </w:rPr>
        <w:t>三、考核程序</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（一）考核周期</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季度考核按自然季为周期，每季对公司开展一次考核，原则上每季末或次季初进行考核。</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（二）考核人员</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由水库建设管理服务中心（以下简称中心）组成考核组，考核组人员不得少于三人，考核结果由考核组负责解释。</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（三）考核流程</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1、现场检查工程养护情况并查阅养护资料。</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2、听取养护情况汇报。</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3、按照评分表各项内容评定得分，确定考核等级。</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Arial"/>
          <w:color w:val="000000" w:themeColor="text1"/>
          <w:kern w:val="0"/>
          <w:sz w:val="24"/>
          <w:szCs w:val="24"/>
          <w:highlight w:val="none"/>
          <w14:textFill>
            <w14:solidFill>
              <w14:schemeClr w14:val="tx1"/>
            </w14:solidFill>
          </w14:textFill>
        </w:rPr>
        <w:t>4、相关人员签字。</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（四）考核监督</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中心纪检组将对考核过程和考核结果实施全程监督，同时受理考核投诉等相关事宜。</w:t>
      </w:r>
    </w:p>
    <w:p>
      <w:pPr>
        <w:pStyle w:val="973"/>
        <w:keepNext w:val="0"/>
        <w:keepLines w:val="0"/>
        <w:widowControl/>
        <w:suppressLineNumbers w:val="0"/>
        <w:shd w:val="clear"/>
        <w:autoSpaceDE w:val="0"/>
        <w:autoSpaceDN/>
        <w:spacing w:line="360" w:lineRule="auto"/>
        <w:jc w:val="left"/>
        <w:rPr>
          <w:rFonts w:hint="eastAsia" w:ascii="黑体" w:hAnsi="Arial" w:eastAsia="黑体" w:cs="Arial"/>
          <w:color w:val="000000" w:themeColor="text1"/>
          <w:kern w:val="0"/>
          <w:sz w:val="24"/>
          <w:szCs w:val="24"/>
          <w:highlight w:val="none"/>
          <w14:textFill>
            <w14:solidFill>
              <w14:schemeClr w14:val="tx1"/>
            </w14:solidFill>
          </w14:textFill>
        </w:rPr>
      </w:pPr>
      <w:r>
        <w:rPr>
          <w:rFonts w:hint="eastAsia" w:ascii="黑体" w:hAnsi="Arial" w:eastAsia="黑体" w:cs="Arial"/>
          <w:color w:val="000000" w:themeColor="text1"/>
          <w:kern w:val="0"/>
          <w:sz w:val="24"/>
          <w:szCs w:val="24"/>
          <w:highlight w:val="none"/>
          <w14:textFill>
            <w14:solidFill>
              <w14:schemeClr w14:val="tx1"/>
            </w14:solidFill>
          </w14:textFill>
        </w:rPr>
        <w:t xml:space="preserve">    </w:t>
      </w:r>
      <w:r>
        <w:rPr>
          <w:rFonts w:hint="eastAsia" w:ascii="黑体" w:hAnsi="宋体" w:eastAsia="黑体" w:cs="黑体"/>
          <w:color w:val="000000" w:themeColor="text1"/>
          <w:kern w:val="0"/>
          <w:sz w:val="24"/>
          <w:szCs w:val="24"/>
          <w:highlight w:val="none"/>
          <w14:textFill>
            <w14:solidFill>
              <w14:schemeClr w14:val="tx1"/>
            </w14:solidFill>
          </w14:textFill>
        </w:rPr>
        <w:t>四、考核奖惩</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24"/>
          <w:szCs w:val="24"/>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核定考核等级为不合格的，中心立即下发书面整改通知，公司应在规定整改时限内对存在问题整改到位。</w:t>
      </w:r>
    </w:p>
    <w:p>
      <w:pPr>
        <w:pStyle w:val="973"/>
        <w:keepNext w:val="0"/>
        <w:keepLines w:val="0"/>
        <w:widowControl/>
        <w:suppressLineNumbers w:val="0"/>
        <w:shd w:val="clear"/>
        <w:autoSpaceDE w:val="0"/>
        <w:autoSpaceDN/>
        <w:spacing w:line="360" w:lineRule="auto"/>
        <w:ind w:left="0" w:firstLine="480" w:firstLineChars="200"/>
        <w:jc w:val="left"/>
        <w:rPr>
          <w:rFonts w:hint="eastAsia" w:ascii="仿宋_GB2312" w:hAnsi="Arial" w:eastAsia="仿宋_GB2312" w:cs="Arial"/>
          <w:color w:val="000000" w:themeColor="text1"/>
          <w:kern w:val="0"/>
          <w:sz w:val="32"/>
          <w:szCs w:val="32"/>
          <w:highlight w:val="none"/>
          <w14:textFill>
            <w14:solidFill>
              <w14:schemeClr w14:val="tx1"/>
            </w14:solidFill>
          </w14:textFill>
        </w:rPr>
      </w:pPr>
      <w:r>
        <w:rPr>
          <w:rFonts w:hint="eastAsia" w:ascii="仿宋_GB2312" w:hAnsi="Arial" w:eastAsia="仿宋_GB2312" w:cs="仿宋_GB2312"/>
          <w:color w:val="000000" w:themeColor="text1"/>
          <w:kern w:val="0"/>
          <w:sz w:val="24"/>
          <w:szCs w:val="24"/>
          <w:highlight w:val="none"/>
          <w14:textFill>
            <w14:solidFill>
              <w14:schemeClr w14:val="tx1"/>
            </w14:solidFill>
          </w14:textFill>
        </w:rPr>
        <w:t>季度考核不合格每次扣罚合同养护款的</w:t>
      </w:r>
      <w:r>
        <w:rPr>
          <w:rFonts w:hint="eastAsia" w:ascii="仿宋_GB2312" w:hAnsi="Arial" w:eastAsia="仿宋_GB2312" w:cs="Arial"/>
          <w:color w:val="000000" w:themeColor="text1"/>
          <w:kern w:val="0"/>
          <w:sz w:val="24"/>
          <w:szCs w:val="24"/>
          <w:highlight w:val="none"/>
          <w14:textFill>
            <w14:solidFill>
              <w14:schemeClr w14:val="tx1"/>
            </w14:solidFill>
          </w14:textFill>
        </w:rPr>
        <w:t>10%，年度综合</w:t>
      </w:r>
      <w:r>
        <w:rPr>
          <w:rFonts w:hint="eastAsia" w:ascii="仿宋_GB2312" w:hAnsi="Arial" w:eastAsia="仿宋_GB2312" w:cs="仿宋_GB2312"/>
          <w:color w:val="000000" w:themeColor="text1"/>
          <w:kern w:val="0"/>
          <w:sz w:val="24"/>
          <w:szCs w:val="24"/>
          <w:highlight w:val="none"/>
          <w14:textFill>
            <w14:solidFill>
              <w14:schemeClr w14:val="tx1"/>
            </w14:solidFill>
          </w14:textFill>
        </w:rPr>
        <w:t>得分不合格再扣罚合同养护款的</w:t>
      </w:r>
      <w:r>
        <w:rPr>
          <w:rFonts w:hint="eastAsia" w:ascii="仿宋_GB2312" w:hAnsi="Arial" w:eastAsia="仿宋_GB2312" w:cs="Arial"/>
          <w:color w:val="000000" w:themeColor="text1"/>
          <w:kern w:val="0"/>
          <w:sz w:val="24"/>
          <w:szCs w:val="24"/>
          <w:highlight w:val="none"/>
          <w14:textFill>
            <w14:solidFill>
              <w14:schemeClr w14:val="tx1"/>
            </w14:solidFill>
          </w14:textFill>
        </w:rPr>
        <w:t>10%。</w:t>
      </w:r>
    </w:p>
    <w:p>
      <w:pPr>
        <w:keepNext w:val="0"/>
        <w:keepLines w:val="0"/>
        <w:widowControl w:val="0"/>
        <w:suppressLineNumbers w:val="0"/>
        <w:shd w:val="clear"/>
        <w:autoSpaceDE w:val="0"/>
        <w:autoSpaceDN/>
        <w:spacing w:before="0" w:beforeAutospacing="0" w:after="0" w:afterAutospacing="0" w:line="360" w:lineRule="auto"/>
        <w:ind w:left="0" w:right="0"/>
        <w:jc w:val="center"/>
        <w:rPr>
          <w:rFonts w:hint="eastAsia" w:ascii="仿宋_GB2312" w:hAnsi="仿宋_GB2312" w:eastAsia="仿宋_GB2312" w:cs="仿宋_GB2312"/>
          <w:b w:val="0"/>
          <w:bCs/>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大中型水库维修养护</w:t>
      </w:r>
      <w:r>
        <w:rPr>
          <w:rFonts w:hint="eastAsia" w:ascii="仿宋_GB2312" w:hAnsi="仿宋_GB2312" w:eastAsia="仿宋_GB2312" w:cs="仿宋_GB2312"/>
          <w:b w:val="0"/>
          <w:bCs/>
          <w:color w:val="000000" w:themeColor="text1"/>
          <w:kern w:val="2"/>
          <w:sz w:val="24"/>
          <w:szCs w:val="24"/>
          <w:highlight w:val="none"/>
          <w:lang w:val="en-US" w:eastAsia="zh-CN" w:bidi="ar"/>
          <w14:textFill>
            <w14:solidFill>
              <w14:schemeClr w14:val="tx1"/>
            </w14:solidFill>
          </w14:textFill>
        </w:rPr>
        <w:t>考核评分表</w:t>
      </w:r>
    </w:p>
    <w:p>
      <w:pPr>
        <w:keepNext w:val="0"/>
        <w:keepLines w:val="0"/>
        <w:widowControl w:val="0"/>
        <w:suppressLineNumbers w:val="0"/>
        <w:shd w:val="clear"/>
        <w:autoSpaceDE w:val="0"/>
        <w:autoSpaceDN/>
        <w:spacing w:before="0" w:beforeAutospacing="0" w:after="0" w:afterAutospacing="0" w:line="360" w:lineRule="auto"/>
        <w:ind w:left="0" w:right="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 xml:space="preserve">                                           年    月</w:t>
      </w:r>
    </w:p>
    <w:tbl>
      <w:tblPr>
        <w:tblStyle w:val="73"/>
        <w:tblW w:w="9100" w:type="dxa"/>
        <w:jc w:val="center"/>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
      <w:tblGrid>
        <w:gridCol w:w="530"/>
        <w:gridCol w:w="435"/>
        <w:gridCol w:w="5280"/>
        <w:gridCol w:w="840"/>
        <w:gridCol w:w="165"/>
        <w:gridCol w:w="960"/>
        <w:gridCol w:w="89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92" w:hRule="atLeast"/>
          <w:jc w:val="center"/>
        </w:trPr>
        <w:tc>
          <w:tcPr>
            <w:tcW w:w="530" w:type="dxa"/>
            <w:tcBorders>
              <w:top w:val="single" w:color="auto" w:sz="12"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序号</w:t>
            </w:r>
          </w:p>
        </w:tc>
        <w:tc>
          <w:tcPr>
            <w:tcW w:w="5715" w:type="dxa"/>
            <w:gridSpan w:val="2"/>
            <w:tcBorders>
              <w:top w:val="single" w:color="auto" w:sz="12"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考核内容及扣分标准</w:t>
            </w:r>
          </w:p>
        </w:tc>
        <w:tc>
          <w:tcPr>
            <w:tcW w:w="840" w:type="dxa"/>
            <w:tcBorders>
              <w:top w:val="single" w:color="auto" w:sz="12"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应得分</w:t>
            </w:r>
          </w:p>
        </w:tc>
        <w:tc>
          <w:tcPr>
            <w:tcW w:w="1125" w:type="dxa"/>
            <w:gridSpan w:val="2"/>
            <w:tcBorders>
              <w:top w:val="single" w:color="auto" w:sz="12"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扣减分数</w:t>
            </w:r>
          </w:p>
        </w:tc>
        <w:tc>
          <w:tcPr>
            <w:tcW w:w="890" w:type="dxa"/>
            <w:tcBorders>
              <w:top w:val="single" w:color="auto" w:sz="12"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实得分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一</w:t>
            </w:r>
          </w:p>
        </w:tc>
        <w:tc>
          <w:tcPr>
            <w:tcW w:w="435" w:type="dxa"/>
            <w:vMerge w:val="restart"/>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质量方面30分</w:t>
            </w: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1、未按规定进行工地施工质量检查，并做好检查台帐记录，扣2分；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2、未按图纸和施工标准、规范进行施工扣2分，擅自修改工程设计扣2分；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3、偷工减料扣1分，发现不合格材料扣1分；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4、发现一般施工质量问题每处扣2分，严重施工质量问题每处扣4分；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5、施工过程中隐瞒质量问题，弄虚作假每次扣2分；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6、收到工程暂停令扣3分；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3</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7、工程整改不及时或整改仍未达到要求扣3分；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3</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8、单元工程不合格每个扣2分，分部工程不合格每个扣4分；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530"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二</w:t>
            </w:r>
          </w:p>
        </w:tc>
        <w:tc>
          <w:tcPr>
            <w:tcW w:w="435" w:type="dxa"/>
            <w:vMerge w:val="restart"/>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进度方面20分</w:t>
            </w: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1、未及时上报月进度计划扣2分；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2、因承包方原因未按发包方批准的进度计划完成相应工程扣2-5分；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3、执行发包方工作指令不及时完成每次扣3分；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4、现场代表记录本和施工日志记录不及时，不完整扣3分；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397" w:hRule="atLeast"/>
          <w:jc w:val="center"/>
        </w:trPr>
        <w:tc>
          <w:tcPr>
            <w:tcW w:w="530"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三</w:t>
            </w:r>
          </w:p>
        </w:tc>
        <w:tc>
          <w:tcPr>
            <w:tcW w:w="435" w:type="dxa"/>
            <w:vMerge w:val="restart"/>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安全文明方面20分</w:t>
            </w: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1、安全员管理不到位的扣2分；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2、临时用电不符合规范要求每一处扣1分；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3、现场人员未戴安全帽扣1分/人；</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4、安全带、安全设施、安全防护不符合要求每一处扣1分；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5、施工器具、设备、机械使用不符合要求每一处扣1分；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6、发生事故扣2—4分；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7、各类材料、设备、土方堆置有一处不符合要求扣1分；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39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8、不安全文明施工引起投诉每次扣1分，受到上级领导批评每次扣2分；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67" w:hRule="atLeast"/>
          <w:jc w:val="center"/>
        </w:trPr>
        <w:tc>
          <w:tcPr>
            <w:tcW w:w="530"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四</w:t>
            </w:r>
          </w:p>
        </w:tc>
        <w:tc>
          <w:tcPr>
            <w:tcW w:w="435" w:type="dxa"/>
            <w:vMerge w:val="restart"/>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资料方面</w:t>
            </w:r>
          </w:p>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20分</w:t>
            </w:r>
          </w:p>
        </w:tc>
        <w:tc>
          <w:tcPr>
            <w:tcW w:w="52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1、工程资料未按要求及时上报，与施工不同步每次扣2  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6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2、工程资料不准确、不完整、不规范每处扣2分；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6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3、工程签证不及时、不准确、不完整每处扣2分；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4</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6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4、工程资料弄虚作假发现一次扣3分；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6</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67" w:hRule="atLeast"/>
          <w:jc w:val="center"/>
        </w:trPr>
        <w:tc>
          <w:tcPr>
            <w:tcW w:w="530" w:type="dxa"/>
            <w:vMerge w:val="restart"/>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五</w:t>
            </w:r>
          </w:p>
        </w:tc>
        <w:tc>
          <w:tcPr>
            <w:tcW w:w="435" w:type="dxa"/>
            <w:vMerge w:val="restart"/>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其它方面</w:t>
            </w:r>
          </w:p>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10分</w:t>
            </w:r>
          </w:p>
        </w:tc>
        <w:tc>
          <w:tcPr>
            <w:tcW w:w="52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1、未按规定办理手续扣2-5分；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5</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657" w:hRule="atLeast"/>
          <w:jc w:val="center"/>
        </w:trPr>
        <w:tc>
          <w:tcPr>
            <w:tcW w:w="530" w:type="dxa"/>
            <w:vMerge w:val="continue"/>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435" w:type="dxa"/>
            <w:vMerge w:val="continue"/>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4"/>
                <w:szCs w:val="24"/>
                <w:highlight w:val="none"/>
                <w14:textFill>
                  <w14:solidFill>
                    <w14:schemeClr w14:val="tx1"/>
                  </w14:solidFill>
                </w14:textFill>
              </w:rPr>
            </w:pPr>
          </w:p>
        </w:tc>
        <w:tc>
          <w:tcPr>
            <w:tcW w:w="528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2、与相关单位配合不积极、未及时与相关单位协调沟通、推诿拖延的扣2-5分；</w:t>
            </w:r>
          </w:p>
        </w:tc>
        <w:tc>
          <w:tcPr>
            <w:tcW w:w="840" w:type="dxa"/>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5</w:t>
            </w:r>
          </w:p>
        </w:tc>
        <w:tc>
          <w:tcPr>
            <w:tcW w:w="1125" w:type="dxa"/>
            <w:gridSpan w:val="2"/>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567" w:hRule="atLeast"/>
          <w:jc w:val="center"/>
        </w:trPr>
        <w:tc>
          <w:tcPr>
            <w:tcW w:w="530" w:type="dxa"/>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570" w:type="dxa"/>
            <w:gridSpan w:val="6"/>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注：各单项分数扣完为止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1047" w:hRule="atLeast"/>
          <w:jc w:val="center"/>
        </w:trPr>
        <w:tc>
          <w:tcPr>
            <w:tcW w:w="530" w:type="dxa"/>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六</w:t>
            </w:r>
          </w:p>
        </w:tc>
        <w:tc>
          <w:tcPr>
            <w:tcW w:w="5715"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一票否决项</w:t>
            </w:r>
          </w:p>
        </w:tc>
        <w:tc>
          <w:tcPr>
            <w:tcW w:w="1965" w:type="dxa"/>
            <w:gridSpan w:val="3"/>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有一票否决项，</w:t>
            </w:r>
          </w:p>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本表最高得分为70分</w:t>
            </w: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1220" w:hRule="atLeast"/>
          <w:jc w:val="center"/>
        </w:trPr>
        <w:tc>
          <w:tcPr>
            <w:tcW w:w="530" w:type="dxa"/>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七</w:t>
            </w:r>
          </w:p>
        </w:tc>
        <w:tc>
          <w:tcPr>
            <w:tcW w:w="5715"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加分项</w:t>
            </w:r>
          </w:p>
        </w:tc>
        <w:tc>
          <w:tcPr>
            <w:tcW w:w="1965" w:type="dxa"/>
            <w:gridSpan w:val="3"/>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中心表彰加2分；媒体表彰加3分，市级表彰加5分；地区级表彰加10分</w:t>
            </w: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shd w:val="clear" w:color="auto" w:fill="auto"/>
          <w:tblLayout w:type="fixed"/>
          <w:tblCellMar>
            <w:top w:w="0" w:type="dxa"/>
            <w:left w:w="0" w:type="dxa"/>
            <w:bottom w:w="0" w:type="dxa"/>
            <w:right w:w="0" w:type="dxa"/>
          </w:tblCellMar>
        </w:tblPrEx>
        <w:trPr>
          <w:trHeight w:val="732" w:hRule="atLeast"/>
          <w:jc w:val="center"/>
        </w:trPr>
        <w:tc>
          <w:tcPr>
            <w:tcW w:w="530" w:type="dxa"/>
            <w:tcBorders>
              <w:top w:val="single" w:color="auto" w:sz="6" w:space="0"/>
              <w:left w:val="single" w:color="auto" w:sz="12"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八</w:t>
            </w:r>
          </w:p>
        </w:tc>
        <w:tc>
          <w:tcPr>
            <w:tcW w:w="5715"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合计分</w:t>
            </w:r>
          </w:p>
        </w:tc>
        <w:tc>
          <w:tcPr>
            <w:tcW w:w="1005" w:type="dxa"/>
            <w:gridSpan w:val="2"/>
            <w:tcBorders>
              <w:top w:val="single" w:color="auto" w:sz="6" w:space="0"/>
              <w:left w:val="single" w:color="auto" w:sz="6" w:space="0"/>
              <w:bottom w:val="single" w:color="auto" w:sz="6"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100分</w:t>
            </w:r>
          </w:p>
        </w:tc>
        <w:tc>
          <w:tcPr>
            <w:tcW w:w="960" w:type="dxa"/>
            <w:tcBorders>
              <w:top w:val="single" w:color="auto" w:sz="6" w:space="0"/>
              <w:left w:val="single" w:color="auto" w:sz="6" w:space="0"/>
              <w:bottom w:val="single" w:color="auto" w:sz="6" w:space="0"/>
              <w:right w:val="single" w:color="auto" w:sz="6" w:space="0"/>
            </w:tcBorders>
            <w:shd w:val="clear" w:color="auto" w:fill="auto"/>
            <w:tcMar>
              <w:left w:w="108" w:type="dxa"/>
              <w:right w:w="108" w:type="dxa"/>
            </w:tcMar>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c>
          <w:tcPr>
            <w:tcW w:w="890" w:type="dxa"/>
            <w:tcBorders>
              <w:top w:val="single" w:color="auto" w:sz="6" w:space="0"/>
              <w:left w:val="single" w:color="auto" w:sz="6" w:space="0"/>
              <w:bottom w:val="single" w:color="auto" w:sz="6"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Ex>
        <w:trPr>
          <w:trHeight w:val="1062" w:hRule="atLeast"/>
          <w:jc w:val="center"/>
        </w:trPr>
        <w:tc>
          <w:tcPr>
            <w:tcW w:w="530" w:type="dxa"/>
            <w:tcBorders>
              <w:top w:val="single" w:color="auto" w:sz="6" w:space="0"/>
              <w:left w:val="single" w:color="auto" w:sz="12" w:space="0"/>
              <w:bottom w:val="single" w:color="auto" w:sz="12" w:space="0"/>
              <w:right w:val="single" w:color="auto" w:sz="6" w:space="0"/>
            </w:tcBorders>
            <w:shd w:val="clear" w:color="auto" w:fill="auto"/>
            <w:vAlign w:val="center"/>
          </w:tcPr>
          <w:p>
            <w:pPr>
              <w:keepNext w:val="0"/>
              <w:keepLines w:val="0"/>
              <w:widowControl w:val="0"/>
              <w:suppressLineNumbers w:val="0"/>
              <w:shd w:val="clear"/>
              <w:spacing w:before="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九</w:t>
            </w:r>
          </w:p>
        </w:tc>
        <w:tc>
          <w:tcPr>
            <w:tcW w:w="8570" w:type="dxa"/>
            <w:gridSpan w:val="6"/>
            <w:tcBorders>
              <w:top w:val="single" w:color="auto" w:sz="6" w:space="0"/>
              <w:left w:val="single" w:color="auto" w:sz="6" w:space="0"/>
              <w:bottom w:val="single" w:color="auto" w:sz="12" w:space="0"/>
              <w:right w:val="single" w:color="auto" w:sz="12" w:space="0"/>
            </w:tcBorders>
            <w:shd w:val="clear" w:color="auto" w:fill="auto"/>
            <w:vAlign w:val="center"/>
          </w:tcPr>
          <w:p>
            <w:pPr>
              <w:keepNext w:val="0"/>
              <w:keepLines w:val="0"/>
              <w:widowControl w:val="0"/>
              <w:suppressLineNumbers w:val="0"/>
              <w:shd w:val="clear"/>
              <w:spacing w:before="0" w:beforeAutospacing="0" w:after="0" w:afterAutospacing="0"/>
              <w:ind w:left="0" w:right="0"/>
              <w:jc w:val="center"/>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得分：                 考核等级：            （80分及以上为合格，80分以下为不合格）</w:t>
            </w:r>
          </w:p>
        </w:tc>
      </w:tr>
    </w:tbl>
    <w:p>
      <w:pPr>
        <w:keepNext w:val="0"/>
        <w:keepLines w:val="0"/>
        <w:widowControl w:val="0"/>
        <w:suppressLineNumbers w:val="0"/>
        <w:shd w:val="clear"/>
        <w:autoSpaceDE w:val="0"/>
        <w:autoSpaceDN/>
        <w:spacing w:before="313" w:beforeLines="10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w:t>
      </w:r>
    </w:p>
    <w:p>
      <w:pPr>
        <w:keepNext w:val="0"/>
        <w:keepLines w:val="0"/>
        <w:widowControl w:val="0"/>
        <w:suppressLineNumbers w:val="0"/>
        <w:shd w:val="clear"/>
        <w:autoSpaceDE w:val="0"/>
        <w:autoSpaceDN/>
        <w:spacing w:before="313" w:beforeLines="10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项目经理（签字）：                        </w:t>
      </w:r>
    </w:p>
    <w:p>
      <w:pPr>
        <w:keepNext w:val="0"/>
        <w:keepLines w:val="0"/>
        <w:widowControl w:val="0"/>
        <w:suppressLineNumbers w:val="0"/>
        <w:shd w:val="clear"/>
        <w:autoSpaceDE w:val="0"/>
        <w:autoSpaceDN/>
        <w:spacing w:before="313" w:beforeLines="10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w:t>
      </w:r>
    </w:p>
    <w:p>
      <w:pPr>
        <w:keepNext w:val="0"/>
        <w:keepLines w:val="0"/>
        <w:widowControl w:val="0"/>
        <w:suppressLineNumbers w:val="0"/>
        <w:shd w:val="clear"/>
        <w:autoSpaceDE w:val="0"/>
        <w:autoSpaceDN/>
        <w:spacing w:before="313" w:beforeLines="10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 xml:space="preserve"> </w:t>
      </w:r>
    </w:p>
    <w:p>
      <w:pPr>
        <w:keepNext w:val="0"/>
        <w:keepLines w:val="0"/>
        <w:widowControl w:val="0"/>
        <w:suppressLineNumbers w:val="0"/>
        <w:shd w:val="clear"/>
        <w:autoSpaceDE w:val="0"/>
        <w:autoSpaceDN/>
        <w:spacing w:before="313" w:beforeLines="100" w:beforeAutospacing="0" w:after="0" w:afterAutospacing="0"/>
        <w:ind w:left="0" w:right="0"/>
        <w:jc w:val="both"/>
        <w:rPr>
          <w:rFonts w:hint="eastAsia" w:ascii="仿宋" w:hAnsi="仿宋" w:eastAsia="仿宋" w:cs="仿宋"/>
          <w:color w:val="000000" w:themeColor="text1"/>
          <w:kern w:val="2"/>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考核组（签字）：</w:t>
      </w:r>
    </w:p>
    <w:p>
      <w:pPr>
        <w:shd w:val="clear"/>
        <w:spacing w:beforeLines="0" w:afterLines="0" w:line="560" w:lineRule="exact"/>
        <w:ind w:firstLine="480" w:firstLineChars="200"/>
        <w:rPr>
          <w:rFonts w:hint="eastAsia" w:ascii="仿宋_GB2312" w:hAnsi="仿宋_GB2312" w:eastAsia="仿宋_GB2312"/>
          <w:color w:val="000000" w:themeColor="text1"/>
          <w:sz w:val="24"/>
          <w:szCs w:val="24"/>
          <w:highlight w:val="none"/>
          <w14:textFill>
            <w14:solidFill>
              <w14:schemeClr w14:val="tx1"/>
            </w14:solidFill>
          </w14:textFill>
        </w:rPr>
      </w:pPr>
    </w:p>
    <w:p>
      <w:pPr>
        <w:shd w:val="clear"/>
        <w:spacing w:beforeLines="0" w:afterLines="0" w:line="560" w:lineRule="exact"/>
        <w:ind w:firstLine="480" w:firstLineChars="200"/>
        <w:rPr>
          <w:rFonts w:hint="eastAsia" w:ascii="仿宋_GB2312" w:hAnsi="仿宋_GB2312" w:eastAsia="仿宋_GB2312"/>
          <w:color w:val="000000" w:themeColor="text1"/>
          <w:sz w:val="24"/>
          <w:szCs w:val="24"/>
          <w:highlight w:val="none"/>
          <w14:textFill>
            <w14:solidFill>
              <w14:schemeClr w14:val="tx1"/>
            </w14:solidFill>
          </w14:textFill>
        </w:rPr>
      </w:pPr>
    </w:p>
    <w:p>
      <w:pPr>
        <w:shd w:val="clear"/>
        <w:spacing w:beforeLines="0" w:afterLines="0" w:line="560" w:lineRule="exact"/>
        <w:ind w:firstLine="480" w:firstLineChars="200"/>
        <w:rPr>
          <w:rFonts w:hint="eastAsia" w:ascii="仿宋_GB2312" w:hAnsi="仿宋_GB2312" w:eastAsia="仿宋_GB2312"/>
          <w:color w:val="000000" w:themeColor="text1"/>
          <w:sz w:val="24"/>
          <w:szCs w:val="24"/>
          <w:highlight w:val="none"/>
          <w14:textFill>
            <w14:solidFill>
              <w14:schemeClr w14:val="tx1"/>
            </w14:solidFill>
          </w14:textFill>
        </w:rPr>
        <w:sectPr>
          <w:type w:val="continuous"/>
          <w:pgSz w:w="11907" w:h="16840"/>
          <w:pgMar w:top="1701" w:right="1417" w:bottom="1191" w:left="1701" w:header="1134" w:footer="992" w:gutter="0"/>
          <w:pgBorders>
            <w:top w:val="none" w:sz="0" w:space="0"/>
            <w:left w:val="none" w:sz="0" w:space="0"/>
            <w:bottom w:val="none" w:sz="0" w:space="0"/>
            <w:right w:val="none" w:sz="0" w:space="0"/>
          </w:pgBorders>
          <w:lnNumType w:countBy="0" w:distance="360"/>
          <w:cols w:space="720" w:num="1"/>
          <w:docGrid w:linePitch="380" w:charSpace="0"/>
        </w:sectPr>
      </w:pPr>
    </w:p>
    <w:p>
      <w:pPr>
        <w:pStyle w:val="972"/>
        <w:numPr>
          <w:ilvl w:val="0"/>
          <w:numId w:val="0"/>
        </w:numPr>
        <w:shd w:val="clear"/>
        <w:ind w:firstLine="480"/>
        <w:jc w:val="cente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bookmarkStart w:id="61" w:name="OLE_LINK2"/>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标项三、碗窑灌区2025年度维修养护</w:t>
      </w:r>
    </w:p>
    <w:bookmarkEnd w:id="61"/>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一、服务项目概况</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本次江山市水库建设管理服务中心“江山市碗窑灌区2025年度渠道维修养护服务项目”服务周期为12个月，最高限价141.1246万元（包含管理费、税金、安全措施费等完成该服务项目所有费用）。江山市碗窑灌区(峡口片)东西干渠内的养护工程（渠道割草、渠道保洁、渠道清淤、渠堤路面平整、渡槽外坡杂草处理、倒虹吸拦污栅进口管护等养护工程）、标段内的日常维修养护和标识标牌更换及零星雇工、水毁工程、应急抢险工程。江山市碗窑灌区(峡口片)内的东西106公里干渠，东干渠47.4公里(0+000-35+110，东分干渠0+000-12+983)；西干渠58.6公里(0+000-58+600)。</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二、服务内容和要求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（一）服务内容</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1、养护工程：</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（1）渠道割草。</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（2）渠道清淤。</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（3）渠道保洁。</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（4）渠道边坡或山体滑坡，滑坡或塌方，由中标人及时清理。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（5）渠顶路面凹陷、坑洼的平整。</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（6）渡槽外坡上下游50米杂草处理。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（7）倒虹吸拦污栅进口管护（东渠中山头和早田坂倒虹吸进口）。</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 xml:space="preserve">     （8）水闸管理房内保洁。</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2、灌区日常维修养护工程和标识标牌：渠道日常损坏维修、水闸止水橡皮损坏更换、护栏新增维修更换、渡槽节头更换、管理房修缮和标识标牌更换等与灌区相关的损坏工程。</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3、水毁工程、应急抢险工程和零星雇工：在台汛、特大暴雨及灌溉和生态用水等时段发生的灾情。因不确定，如产生费用则另行计算。</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（二）服务要求：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1.养护目标</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(1)渠道范围内无乱挖、乱种、乱倒、乱建。</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(2)渠堤面及内坡无杂柴、杂草。</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(3)渠内无影响流水的石块、淤泥等障碍物。</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(4)渠道路面平整、无明显的凹陷和坑洼，保持路面通畅。</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(5)渠道管理范围内无死猪、猪粪、生活垃圾。</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(6)渠内水利设施完好，运行正常。</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(7)及时发现渡槽外坡渗水现象，保证安全运行。</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2.管理要求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(1)割草要求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①承包方应根据杂草生长情况每年进行3次以上彻底割草，割草时可以使用除草剂。主道路的割草范围为巡查道路5米范围内，不是主道路的割草范围为渠沿线外水平2米；渡槽外坡割草范围为坡脚线以外前后50米；特殊地形的渠段由灌区管理科人员到现场决定。</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②日常三面衬砌渠道内全面清理干净，伸缩缝处理干净。</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③承包方应根据种植物的季节对渠段管理范围的作物进行不定期清除。</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④承包方在割草中若发现渠道的安全隐患和水利设施损坏应及时向所管辖的渠道管理站站长汇报。</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⑤承包方在渠道割草等施工作业时要确保水利设施不被损坏，发生损坏负责修复，并承担所产生的一切费用。</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⑥承包方要经常检查渠道沿途乱垦乱种、违障建筑和乱倒垃圾等现象，若发现有新增的以上情况应及时制止，若不能制止处理的需及时汇报各渠管站站长。</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(2)保洁要求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①渠道日常保洁实行每月检查一次。</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②各类水闸口、暗涵进口、隧洞前、渡槽进口、跌水口处、渠尾拦污栅前等极易堆积杂物和垃圾，需要及时进行清理。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③渠道内坡、渠堤两侧(左右)管理范围内死牲畜、猪粪、白色垃圾、烂橘子、枯枝、障碍物等垃圾需要及时做无公害处理(或运送到当地政府指定的垃圾处理点)。</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(3)清淤要求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①日常三面衬砌渠道内不得有明显淤积且保持渠道畅通。</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②渠道内山体滑坡及塌方方量，由中标人及时清理。含汛期内山体滑坡，造成渠内集中成堆的淤积，或沿渠引水口带来集中成堆的淤积。</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③淤泥弃置点应在渠道管理范围5米之外。</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④承包方在清淤中若发现渠道的安全隐患和水利设施损坏应及时向所管辖的渠道管理站站长汇报。</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⑤承包方在渠道清淤等施工作业时要确保水利设施不被损坏，发生损坏要负责修复，并承担所产生的一切费用。</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⑥下半年枯水期承包方应对渠内边坡、渠底进行一次集中彻底清淤，并于每年的12月5日完成。</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(4)倒虹吸进口的拦污栅管护要求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 xml:space="preserve">东渠中山头和早田坂倒虹吸进口的拦污栅在渠道通水前后及通水期间(含供水及大雨等)必须及时清理垃圾和杂物，确保倒虹吸进口的拦污栅前无明显垃圾和杂物。  </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(5)渠堤路面平整要求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因雨后沿线乡镇村居民三轮机动车碾压，造成渠堤路面平整度较差，多凹陷、坑洼，承包方应及时对承包渠段进行平整，确保管理人员在检查工程时的人身安全和工程美观。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(6)水毁工程、应急抢险的要求</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台汛、特大暴雨及灌溉和生态用水等时段，若遇渠道存在安全隐患时，承包方在接到渠道管理站相关人员的电话应及时赶赴现场协助参加抢险、调控闸门及渠道安全巡查等工作，如产生费用则另行计算。</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3、养护管理办法</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1、渠道清淤割草养护工程实行管理站日常检查考核，验收小组每次进行验收考核。</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灌区管理科将渠道范围的割草、清淤和保洁分为N段(每1000米为一小段)，具体每小段桩号及位置由灌区管理科提供。各渠道管理站对划分的渠道进行检查，每段检查结果分：合格(80分以上)、不合格(80分以下)两类。</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3、对某小段渠道检查结果为不合格的，责令限期改正，若未在规定的限期内完成则在付款时扣除该段应支付费用。扣除标准为：年平均服务费/12个月/N小段(如本次不合格段数为2段则*2，以此类推)。</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4、如本次不合格段数超过3段，或三次不合格段数超过6段，则视同承包方违规，水库中心有权单方面解除合同。</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5、各渠道管理站对本辖段范围内渠道清淤、割草、保洁情况进行检查、监督，当考核分达到80分以上，才能提请验收小组进行验收。《管理站灌区东西干渠养护工程(割草、保洁、清淤)考核标准》</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6、割草验收时间：第一次6月10日前，第二次8月10日，第三次12月5日前。保洁验收时间：次月25日前。清淤验收时间：每年的12月5日前完成。</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7、对因承包方出现违约(未按期完成割草、清淤和保洁)而导致江山市水库建设管理服务中心解除合同的，江山市水库建设管理服务中心有权没收全部履约保证金，同时没收一次应付服务费，并追究应承包方违约给江山市水库建设管理服务中心带来的其它损失。</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8、在承包管护期内，在渠道管理范围内发现新增乱垦乱种、违障建筑和乱倒垃圾，若没有及时制止和汇报渠道管理站站长的，每一处扣100元，扣款在服务费中扣除。</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9、承包方原则上要服从管理站相关人员的工作安排，不服的，第一次扣除服务费100元，第二次扣除服务费300元，第三次有权要求更换养护人员。但管理站人员不得故意为难承包人，若经核实认定故意为难行为，将根据我中心相关制度追究管理人员责任。</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10、承包人应为参加养护人员购买赔偿额度不少于100万元人身意外险，在服务期内承包人雇佣人员发生安全意外及人身伤亡事故均由承包人全权负责并承担所有责任。</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11、因服务不到位等发生上级领导批评、受到主管部门行业通报的、新闻媒体曝光或12345热线投诉等造成较大社会影响的，江山市水库建设管理服务中心可根据实际情况要求整改、考核不合格，直至单方面解除合同。</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12、考核办法最终解释权归江山市水库建设管理服务中心所有。</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三、其他</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1、结算规则。</w:t>
      </w:r>
    </w:p>
    <w:p>
      <w:pPr>
        <w:keepNext w:val="0"/>
        <w:keepLines w:val="0"/>
        <w:widowControl w:val="0"/>
        <w:suppressLineNumbers w:val="0"/>
        <w:shd w:val="clear"/>
        <w:spacing w:before="0" w:beforeAutospacing="0" w:after="0" w:afterAutospacing="0"/>
        <w:ind w:left="0" w:leftChars="0" w:right="0" w:rightChars="0" w:firstLine="240" w:firstLineChars="1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（1）供应商应服从采购人的统一安排，完成采购人交办的工作。</w:t>
      </w:r>
    </w:p>
    <w:p>
      <w:pPr>
        <w:keepNext w:val="0"/>
        <w:keepLines w:val="0"/>
        <w:widowControl w:val="0"/>
        <w:suppressLineNumbers w:val="0"/>
        <w:shd w:val="clear"/>
        <w:spacing w:before="0" w:beforeAutospacing="0" w:after="0" w:afterAutospacing="0"/>
        <w:ind w:left="0" w:leftChars="0" w:right="0" w:rightChars="0" w:firstLine="240" w:firstLineChars="1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（2）养护工程：渠道割草、渠道清淤、渠道保洁、渠堤平整、水闸房保洁、渡槽外坡割草等经常性维养项目按照固定总价考核计算，合同期内不再调整。</w:t>
      </w:r>
    </w:p>
    <w:p>
      <w:pPr>
        <w:keepNext w:val="0"/>
        <w:keepLines w:val="0"/>
        <w:widowControl w:val="0"/>
        <w:suppressLineNumbers w:val="0"/>
        <w:shd w:val="clear"/>
        <w:spacing w:before="0" w:beforeAutospacing="0" w:after="0" w:afterAutospacing="0"/>
        <w:ind w:left="0" w:leftChars="0" w:right="0" w:rightChars="0" w:firstLine="240" w:firstLineChars="1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3）灌区日常维修项目和标识标牌按照单价和实际发生的工程量计算，未列明的维修项目，本项目有类似单价的，参照本项目的单价；无类似单价的，按照《浙江省水利水电工程设计概(预)算编制规定(2021年)》；《浙江省水利水电建筑工程预算定额(2021年)》；《浙江省水利水电安装工程预算定额(2021年)》；《浙江省水利水电工程施工机械台班费定额(2021年)》；《浙江省水利水电工程工程量清单计价办法(2022年)》(浙水建〔2022〕7号)组价（浙江省水利工程定额不能满足计价的，可采用《浙江省市政工程预算定额》(2018版)、《浙江省通用安装工程预算定额》(2018版)等行业定额计价），并按照投标时的综合优惠率进行计算。</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4）水毁工程、应急抢险工程、零星雇工：工程量按实，单价参照灌区日常维修的，无类似单价，按照《浙江省水利水电工程设计概(预)算编制规定(2021年)》；《浙江省水利水电建筑工程预算定额(2021年)》；《浙江省水利水电安装工程预算定额(2021年)》；《浙江省水利水电工程施工机械台班费定额(2021年)》；《浙江省水利水电工程工程量清单计价办法(2022年)》(浙水建〔2022〕7号)组价（浙江省水利工程定额不能满足计价的，可采用《浙江省市政工程预算定额》(2018版)、《浙江省通用安装工程预算定额》(2018版)等行业定额计价），并按照投标时的综合优惠率进行计算。</w:t>
      </w:r>
    </w:p>
    <w:p>
      <w:pPr>
        <w:keepNext w:val="0"/>
        <w:keepLines w:val="0"/>
        <w:widowControl w:val="0"/>
        <w:suppressLineNumbers w:val="0"/>
        <w:shd w:val="clear"/>
        <w:spacing w:before="0" w:beforeAutospacing="0" w:after="0" w:afterAutospacing="0"/>
        <w:ind w:left="0" w:leftChars="0" w:right="0" w:rightChars="0" w:firstLine="480" w:firstLineChars="200"/>
        <w:jc w:val="both"/>
        <w:rPr>
          <w:rFonts w:hint="eastAsia" w:ascii="楷体_GB2312" w:hAnsi="Calibri" w:eastAsia="楷体_GB2312" w:cs="楷体_GB2312"/>
          <w:b/>
          <w:color w:val="000000" w:themeColor="text1"/>
          <w:kern w:val="2"/>
          <w:sz w:val="28"/>
          <w:szCs w:val="28"/>
          <w:highlight w:val="none"/>
          <w:lang w:val="en-US" w:eastAsia="zh-CN" w:bidi="ar"/>
          <w14:textFill>
            <w14:solidFill>
              <w14:schemeClr w14:val="tx1"/>
            </w14:solidFill>
          </w14:textFill>
        </w:rPr>
      </w:pPr>
      <w:r>
        <w:rPr>
          <w:rFonts w:hint="eastAsia" w:ascii="仿宋_GB2312" w:hAnsi="Calibri" w:eastAsia="仿宋_GB2312" w:cs="仿宋_GB2312"/>
          <w:b w:val="0"/>
          <w:bCs/>
          <w:color w:val="000000" w:themeColor="text1"/>
          <w:kern w:val="2"/>
          <w:sz w:val="24"/>
          <w:szCs w:val="24"/>
          <w:highlight w:val="none"/>
          <w:lang w:val="en-US" w:eastAsia="zh-CN" w:bidi="ar"/>
          <w14:textFill>
            <w14:solidFill>
              <w14:schemeClr w14:val="tx1"/>
            </w14:solidFill>
          </w14:textFill>
        </w:rPr>
        <w:t>2、实行考核管理。采购人对供应商实施维修养护工作定期进行考核，及时解决发现的问题，考核结果与工程款支付挂钩，按照采购人制定的考核办法执行。工程完工后按照相关规范和标准进行验收，切实保证维修养护工程取得实效。</w:t>
      </w:r>
    </w:p>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2"/>
          <w:sz w:val="24"/>
          <w:szCs w:val="24"/>
          <w:highlight w:val="none"/>
          <w:lang w:val="en-US" w:eastAsia="zh-CN" w:bidi="ar"/>
          <w14:textFill>
            <w14:solidFill>
              <w14:schemeClr w14:val="tx1"/>
            </w14:solidFill>
          </w14:textFill>
        </w:rPr>
        <w:t xml:space="preserve">附表1：    灌区东西干渠养护工程施工日记    </w:t>
      </w:r>
    </w:p>
    <w:p>
      <w:pPr>
        <w:keepNext w:val="0"/>
        <w:keepLines w:val="0"/>
        <w:widowControl w:val="0"/>
        <w:suppressLineNumbers w:val="0"/>
        <w:shd w:val="clear"/>
        <w:spacing w:before="0" w:beforeAutospacing="0" w:after="0" w:afterAutospacing="0"/>
        <w:ind w:left="0" w:leftChars="0" w:right="0" w:rightChars="0" w:firstLine="482" w:firstLineChars="20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2"/>
          <w:sz w:val="24"/>
          <w:szCs w:val="24"/>
          <w:highlight w:val="none"/>
          <w:lang w:val="en-US" w:eastAsia="zh-CN" w:bidi="ar"/>
          <w14:textFill>
            <w14:solidFill>
              <w14:schemeClr w14:val="tx1"/>
            </w14:solidFill>
          </w14:textFill>
        </w:rPr>
        <w:t xml:space="preserve">  </w:t>
      </w:r>
      <w:r>
        <w:rPr>
          <w:rFonts w:hint="eastAsia" w:ascii="仿宋_GB2312" w:hAnsi="仿宋_GB2312" w:eastAsia="仿宋_GB2312" w:cs="仿宋_GB2312"/>
          <w:b/>
          <w:i w:val="0"/>
          <w:color w:val="000000" w:themeColor="text1"/>
          <w:kern w:val="2"/>
          <w:sz w:val="24"/>
          <w:szCs w:val="24"/>
          <w:highlight w:val="none"/>
          <w:lang w:val="en-US" w:eastAsia="zh-CN" w:bidi="ar"/>
          <w14:textFill>
            <w14:solidFill>
              <w14:schemeClr w14:val="tx1"/>
            </w14:solidFill>
          </w14:textFill>
        </w:rPr>
        <w:t>灌区东西干渠养护工程施工日记</w:t>
      </w:r>
    </w:p>
    <w:tbl>
      <w:tblPr>
        <w:tblStyle w:val="73"/>
        <w:tblW w:w="90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771"/>
        <w:gridCol w:w="1410"/>
        <w:gridCol w:w="838"/>
        <w:gridCol w:w="1317"/>
        <w:gridCol w:w="838"/>
        <w:gridCol w:w="898"/>
        <w:gridCol w:w="1152"/>
        <w:gridCol w:w="8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PrEx>
        <w:trPr>
          <w:trHeight w:val="807"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渠管站站长</w:t>
            </w:r>
          </w:p>
        </w:tc>
        <w:tc>
          <w:tcPr>
            <w:tcW w:w="141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c>
          <w:tcPr>
            <w:tcW w:w="838"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天气</w:t>
            </w:r>
          </w:p>
        </w:tc>
        <w:tc>
          <w:tcPr>
            <w:tcW w:w="131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上午</w:t>
            </w: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c>
          <w:tcPr>
            <w:tcW w:w="898" w:type="dxa"/>
            <w:vMerge w:val="restart"/>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气</w:t>
            </w: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温</w:t>
            </w:r>
          </w:p>
        </w:tc>
        <w:tc>
          <w:tcPr>
            <w:tcW w:w="115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最高</w:t>
            </w:r>
          </w:p>
        </w:tc>
        <w:tc>
          <w:tcPr>
            <w:tcW w:w="82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829"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现场管理人员</w:t>
            </w:r>
          </w:p>
        </w:tc>
        <w:tc>
          <w:tcPr>
            <w:tcW w:w="1410"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c>
          <w:tcPr>
            <w:tcW w:w="838"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p>
        </w:tc>
        <w:tc>
          <w:tcPr>
            <w:tcW w:w="1317"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下午</w:t>
            </w:r>
          </w:p>
        </w:tc>
        <w:tc>
          <w:tcPr>
            <w:tcW w:w="83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c>
          <w:tcPr>
            <w:tcW w:w="898" w:type="dxa"/>
            <w:vMerge w:val="continue"/>
            <w:tcBorders>
              <w:top w:val="single" w:color="auto" w:sz="4" w:space="0"/>
              <w:left w:val="nil"/>
              <w:bottom w:val="single" w:color="auto" w:sz="4" w:space="0"/>
              <w:right w:val="single" w:color="auto" w:sz="4" w:space="0"/>
            </w:tcBorders>
            <w:shd w:val="clear" w:color="auto" w:fill="auto"/>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p>
        </w:tc>
        <w:tc>
          <w:tcPr>
            <w:tcW w:w="115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最低</w:t>
            </w:r>
          </w:p>
        </w:tc>
        <w:tc>
          <w:tcPr>
            <w:tcW w:w="824" w:type="dxa"/>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813"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施工部位、施工内容、施工形象及资源投入情况、完成工程</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40"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原材料进场的品种、数量等</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45"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验收部位及参与人员</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1245"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现场安全状况</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5"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施工作业存在的问题，检查意见以及对处理意见的落实情况</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812"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变更情况</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50" w:hRule="atLeast"/>
        </w:trPr>
        <w:tc>
          <w:tcPr>
            <w:tcW w:w="1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其他情况</w:t>
            </w:r>
          </w:p>
        </w:tc>
        <w:tc>
          <w:tcPr>
            <w:tcW w:w="7277" w:type="dxa"/>
            <w:gridSpan w:val="7"/>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803" w:hRule="atLeast"/>
        </w:trPr>
        <w:tc>
          <w:tcPr>
            <w:tcW w:w="9048"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left"/>
              <w:rPr>
                <w:rFonts w:hint="eastAsia" w:ascii="仿宋_GB2312" w:hAnsi="仿宋_GB2312" w:eastAsia="仿宋_GB2312" w:cs="仿宋_GB2312"/>
                <w:b/>
                <w:i w:val="0"/>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记录人：                                              年       月       日</w:t>
            </w:r>
          </w:p>
        </w:tc>
      </w:tr>
    </w:tbl>
    <w:p>
      <w:pPr>
        <w:keepNext w:val="0"/>
        <w:keepLines w:val="0"/>
        <w:widowControl w:val="0"/>
        <w:suppressLineNumbers w:val="0"/>
        <w:shd w:val="clear"/>
        <w:spacing w:before="0" w:beforeAutospacing="0" w:after="0" w:afterAutospacing="0"/>
        <w:ind w:left="0" w:leftChars="0" w:right="0" w:rightChars="0" w:firstLine="480" w:firstLineChars="200"/>
        <w:jc w:val="left"/>
        <w:rPr>
          <w:rFonts w:hint="eastAsia" w:ascii="仿宋_GB2312" w:hAnsi="仿宋_GB2312" w:eastAsia="仿宋_GB2312" w:cs="仿宋_GB2312"/>
          <w:b/>
          <w:color w:val="000000" w:themeColor="text1"/>
          <w:kern w:val="2"/>
          <w:sz w:val="24"/>
          <w:szCs w:val="24"/>
          <w:highlight w:val="none"/>
          <w:lang w:val="en-US" w:eastAsia="zh-CN" w:bidi="ar"/>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说明：本表由渠管站指定专人负责记录、填写，年底装订成册。</w:t>
      </w:r>
    </w:p>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color w:val="000000" w:themeColor="text1"/>
          <w:kern w:val="2"/>
          <w:sz w:val="24"/>
          <w:szCs w:val="24"/>
          <w:highlight w:val="none"/>
          <w:u w:val="single"/>
          <w14:textFill>
            <w14:solidFill>
              <w14:schemeClr w14:val="tx1"/>
            </w14:solidFill>
          </w14:textFill>
        </w:rPr>
      </w:pPr>
      <w:r>
        <w:rPr>
          <w:rFonts w:hint="eastAsia" w:ascii="仿宋_GB2312" w:hAnsi="仿宋_GB2312" w:eastAsia="仿宋_GB2312" w:cs="仿宋_GB2312"/>
          <w:b/>
          <w:color w:val="000000" w:themeColor="text1"/>
          <w:kern w:val="2"/>
          <w:sz w:val="24"/>
          <w:szCs w:val="24"/>
          <w:highlight w:val="none"/>
          <w:lang w:val="en-US" w:eastAsia="zh-CN" w:bidi="ar"/>
          <w14:textFill>
            <w14:solidFill>
              <w14:schemeClr w14:val="tx1"/>
            </w14:solidFill>
          </w14:textFill>
        </w:rPr>
        <w:t xml:space="preserve">附表2： 东西干渠养护工程照片收集表  </w:t>
      </w:r>
    </w:p>
    <w:p>
      <w:pPr>
        <w:keepNext w:val="0"/>
        <w:keepLines w:val="0"/>
        <w:widowControl w:val="0"/>
        <w:suppressLineNumbers w:val="0"/>
        <w:shd w:val="clear"/>
        <w:spacing w:before="0" w:beforeAutospacing="0" w:after="0" w:afterAutospacing="0"/>
        <w:ind w:left="0" w:leftChars="0" w:right="0" w:rightChars="0" w:firstLine="2891" w:firstLineChars="1200"/>
        <w:jc w:val="both"/>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b/>
          <w:i w:val="0"/>
          <w:color w:val="000000" w:themeColor="text1"/>
          <w:kern w:val="2"/>
          <w:sz w:val="24"/>
          <w:szCs w:val="24"/>
          <w:highlight w:val="none"/>
          <w:lang w:val="en-US" w:eastAsia="zh-CN" w:bidi="ar"/>
          <w14:textFill>
            <w14:solidFill>
              <w14:schemeClr w14:val="tx1"/>
            </w14:solidFill>
          </w14:textFill>
        </w:rPr>
        <w:t>东西干渠养护工程照片收集表</w:t>
      </w:r>
    </w:p>
    <w:tbl>
      <w:tblPr>
        <w:tblStyle w:val="73"/>
        <w:tblW w:w="92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652"/>
        <w:gridCol w:w="3928"/>
        <w:gridCol w:w="1489"/>
        <w:gridCol w:w="2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64" w:hRule="atLeast"/>
          <w:jc w:val="center"/>
        </w:trPr>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序号</w:t>
            </w:r>
          </w:p>
        </w:tc>
        <w:tc>
          <w:tcPr>
            <w:tcW w:w="7628" w:type="dxa"/>
            <w:gridSpan w:val="3"/>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64" w:hRule="atLeast"/>
          <w:jc w:val="center"/>
        </w:trPr>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事项</w:t>
            </w:r>
          </w:p>
        </w:tc>
        <w:tc>
          <w:tcPr>
            <w:tcW w:w="392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p>
        </w:tc>
        <w:tc>
          <w:tcPr>
            <w:tcW w:w="148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地点</w:t>
            </w:r>
          </w:p>
        </w:tc>
        <w:tc>
          <w:tcPr>
            <w:tcW w:w="221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textAlignment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64" w:hRule="atLeast"/>
          <w:jc w:val="center"/>
        </w:trPr>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渠管站</w:t>
            </w:r>
          </w:p>
        </w:tc>
        <w:tc>
          <w:tcPr>
            <w:tcW w:w="392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p>
        </w:tc>
        <w:tc>
          <w:tcPr>
            <w:tcW w:w="148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处置方式</w:t>
            </w:r>
          </w:p>
        </w:tc>
        <w:tc>
          <w:tcPr>
            <w:tcW w:w="221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64" w:hRule="atLeast"/>
          <w:jc w:val="center"/>
        </w:trPr>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上报时间</w:t>
            </w:r>
          </w:p>
        </w:tc>
        <w:tc>
          <w:tcPr>
            <w:tcW w:w="3928"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p>
        </w:tc>
        <w:tc>
          <w:tcPr>
            <w:tcW w:w="1489"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2"/>
                <w:sz w:val="24"/>
                <w:szCs w:val="24"/>
                <w:highlight w:val="none"/>
                <w:lang w:val="en-US" w:eastAsia="zh-CN" w:bidi="ar"/>
                <w14:textFill>
                  <w14:solidFill>
                    <w14:schemeClr w14:val="tx1"/>
                  </w14:solidFill>
                </w14:textFill>
              </w:rPr>
              <w:t>治理时间</w:t>
            </w:r>
          </w:p>
        </w:tc>
        <w:tc>
          <w:tcPr>
            <w:tcW w:w="2211"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90" w:hRule="atLeast"/>
          <w:jc w:val="center"/>
        </w:trPr>
        <w:tc>
          <w:tcPr>
            <w:tcW w:w="1652"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2"/>
                <w:sz w:val="24"/>
                <w:szCs w:val="24"/>
                <w:highlight w:val="none"/>
                <w:lang w:val="en-US" w:eastAsia="zh-CN" w:bidi="ar"/>
                <w14:textFill>
                  <w14:solidFill>
                    <w14:schemeClr w14:val="tx1"/>
                  </w14:solidFill>
                </w14:textFill>
              </w:rPr>
              <w:t>治理前</w:t>
            </w: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c>
          <w:tcPr>
            <w:tcW w:w="7628" w:type="dxa"/>
            <w:gridSpan w:val="3"/>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 w:hRule="atLeast"/>
          <w:jc w:val="center"/>
        </w:trPr>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keepNext w:val="0"/>
              <w:keepLines w:val="0"/>
              <w:widowControl w:val="0"/>
              <w:suppressLineNumbers w:val="0"/>
              <w:shd w:val="clear"/>
              <w:spacing w:before="0" w:beforeAutospacing="0" w:after="0" w:afterAutospacing="0"/>
              <w:ind w:left="0" w:leftChars="0" w:right="0" w:rightChars="0"/>
              <w:jc w:val="center"/>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2"/>
                <w:sz w:val="24"/>
                <w:szCs w:val="24"/>
                <w:highlight w:val="none"/>
                <w:lang w:val="en-US" w:eastAsia="zh-CN" w:bidi="ar"/>
                <w14:textFill>
                  <w14:solidFill>
                    <w14:schemeClr w14:val="tx1"/>
                  </w14:solidFill>
                </w14:textFill>
              </w:rPr>
              <w:t>治理后</w:t>
            </w:r>
          </w:p>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tc>
        <w:tc>
          <w:tcPr>
            <w:tcW w:w="7628" w:type="dxa"/>
            <w:gridSpan w:val="3"/>
            <w:tcBorders>
              <w:top w:val="single" w:color="auto" w:sz="4" w:space="0"/>
              <w:left w:val="nil"/>
              <w:bottom w:val="single" w:color="auto" w:sz="4" w:space="0"/>
              <w:right w:val="single" w:color="auto" w:sz="4" w:space="0"/>
            </w:tcBorders>
            <w:shd w:val="clear" w:color="auto" w:fill="auto"/>
            <w:vAlign w:val="top"/>
          </w:tcPr>
          <w:p>
            <w:pPr>
              <w:keepNext w:val="0"/>
              <w:keepLines w:val="0"/>
              <w:widowControl w:val="0"/>
              <w:suppressLineNumbers w:val="0"/>
              <w:shd w:val="clear"/>
              <w:spacing w:before="0" w:beforeAutospacing="0" w:after="0" w:afterAutospacing="0"/>
              <w:ind w:left="0" w:leftChars="0" w:right="0" w:rightChars="0"/>
              <w:jc w:val="both"/>
              <w:rPr>
                <w:rFonts w:hint="eastAsia" w:ascii="仿宋_GB2312" w:hAnsi="仿宋_GB2312" w:eastAsia="仿宋_GB2312" w:cs="仿宋_GB2312"/>
                <w:b/>
                <w:color w:val="000000" w:themeColor="text1"/>
                <w:kern w:val="2"/>
                <w:sz w:val="24"/>
                <w:szCs w:val="24"/>
                <w:highlight w:val="none"/>
                <w14:textFill>
                  <w14:solidFill>
                    <w14:schemeClr w14:val="tx1"/>
                  </w14:solidFill>
                </w14:textFill>
              </w:rPr>
            </w:pPr>
          </w:p>
          <w:p>
            <w:pPr>
              <w:pStyle w:val="61"/>
              <w:keepNext w:val="0"/>
              <w:keepLines w:val="0"/>
              <w:widowControl w:val="0"/>
              <w:suppressLineNumbers w:val="0"/>
              <w:shd w:val="clear"/>
              <w:spacing w:before="0" w:beforeAutospacing="1" w:after="0" w:afterAutospacing="0"/>
              <w:ind w:left="0" w:leftChars="0" w:right="0" w:rightChars="0" w:firstLine="480" w:firstLineChars="200"/>
              <w:jc w:val="both"/>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p>
          <w:p>
            <w:pPr>
              <w:pStyle w:val="61"/>
              <w:keepNext w:val="0"/>
              <w:keepLines w:val="0"/>
              <w:widowControl w:val="0"/>
              <w:suppressLineNumbers w:val="0"/>
              <w:shd w:val="clear"/>
              <w:spacing w:before="0" w:beforeAutospacing="1" w:after="0" w:afterAutospacing="0"/>
              <w:ind w:left="0" w:leftChars="0" w:right="0" w:rightChars="0" w:firstLine="480" w:firstLineChars="200"/>
              <w:jc w:val="both"/>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p>
          <w:p>
            <w:pPr>
              <w:pStyle w:val="61"/>
              <w:keepNext w:val="0"/>
              <w:keepLines w:val="0"/>
              <w:widowControl w:val="0"/>
              <w:suppressLineNumbers w:val="0"/>
              <w:shd w:val="clear"/>
              <w:spacing w:before="0" w:beforeAutospacing="1" w:after="0" w:afterAutospacing="0"/>
              <w:ind w:left="0" w:leftChars="0" w:right="0" w:rightChars="0" w:firstLine="480" w:firstLineChars="200"/>
              <w:jc w:val="both"/>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p>
          <w:p>
            <w:pPr>
              <w:pStyle w:val="61"/>
              <w:keepNext w:val="0"/>
              <w:keepLines w:val="0"/>
              <w:widowControl w:val="0"/>
              <w:suppressLineNumbers w:val="0"/>
              <w:shd w:val="clear"/>
              <w:spacing w:before="0" w:beforeAutospacing="1" w:after="0" w:afterAutospacing="0"/>
              <w:ind w:left="0" w:leftChars="0" w:right="0" w:rightChars="0" w:firstLine="480" w:firstLineChars="200"/>
              <w:jc w:val="both"/>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p>
          <w:p>
            <w:pPr>
              <w:pStyle w:val="61"/>
              <w:keepNext w:val="0"/>
              <w:keepLines w:val="0"/>
              <w:widowControl w:val="0"/>
              <w:suppressLineNumbers w:val="0"/>
              <w:shd w:val="clear"/>
              <w:spacing w:before="0" w:beforeAutospacing="1" w:after="0" w:afterAutospacing="0"/>
              <w:ind w:left="0" w:leftChars="0" w:right="0" w:rightChars="0" w:firstLine="0" w:firstLineChars="0"/>
              <w:jc w:val="both"/>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p>
        </w:tc>
      </w:tr>
    </w:tbl>
    <w:p>
      <w:pPr>
        <w:shd w:val="clear"/>
        <w:rPr>
          <w:rFonts w:hint="eastAsia" w:ascii="楷体_GB2312" w:eastAsia="楷体_GB2312" w:cs="楷体_GB2312"/>
          <w:b/>
          <w:color w:val="000000" w:themeColor="text1"/>
          <w:kern w:val="2"/>
          <w:sz w:val="28"/>
          <w:szCs w:val="28"/>
          <w:highlight w:val="none"/>
          <w14:textFill>
            <w14:solidFill>
              <w14:schemeClr w14:val="tx1"/>
            </w14:solidFill>
          </w14:textFill>
        </w:rPr>
        <w:sectPr>
          <w:pgSz w:w="11906" w:h="16838"/>
          <w:pgMar w:top="1701" w:right="1797" w:bottom="1701" w:left="1797" w:header="851" w:footer="851" w:gutter="0"/>
          <w:pgBorders w:offsetFrom="page">
            <w:top w:val="none" w:sz="0" w:space="0"/>
            <w:left w:val="none" w:sz="0" w:space="0"/>
            <w:bottom w:val="none" w:sz="0" w:space="0"/>
            <w:right w:val="none" w:sz="0" w:space="0"/>
          </w:pgBorders>
          <w:cols w:space="720" w:num="1"/>
          <w:docGrid w:type="lines" w:linePitch="395" w:charSpace="0"/>
        </w:sectPr>
      </w:pPr>
    </w:p>
    <w:p>
      <w:pPr>
        <w:keepNext w:val="0"/>
        <w:keepLines w:val="0"/>
        <w:widowControl w:val="0"/>
        <w:suppressLineNumbers w:val="0"/>
        <w:shd w:val="clear"/>
        <w:spacing w:before="0" w:beforeAutospacing="0" w:after="0" w:afterAutospacing="0"/>
        <w:ind w:left="0" w:leftChars="0" w:right="0" w:rightChars="0"/>
        <w:jc w:val="both"/>
        <w:rPr>
          <w:rFonts w:hint="eastAsia" w:ascii="楷体_GB2312" w:hAnsi="Calibri" w:eastAsia="楷体_GB2312" w:cs="楷体_GB2312"/>
          <w:b/>
          <w:color w:val="000000" w:themeColor="text1"/>
          <w:kern w:val="2"/>
          <w:sz w:val="28"/>
          <w:szCs w:val="28"/>
          <w:highlight w:val="none"/>
          <w:lang w:val="en-US" w:eastAsia="zh-CN" w:bidi="ar"/>
          <w14:textFill>
            <w14:solidFill>
              <w14:schemeClr w14:val="tx1"/>
            </w14:solidFill>
          </w14:textFill>
        </w:rPr>
      </w:pPr>
    </w:p>
    <w:tbl>
      <w:tblPr>
        <w:tblStyle w:val="73"/>
        <w:tblW w:w="14496" w:type="dxa"/>
        <w:tblInd w:w="93" w:type="dxa"/>
        <w:shd w:val="clear" w:color="auto" w:fill="auto"/>
        <w:tblLayout w:type="fixed"/>
        <w:tblCellMar>
          <w:top w:w="0" w:type="dxa"/>
          <w:left w:w="0" w:type="dxa"/>
          <w:bottom w:w="0" w:type="dxa"/>
          <w:right w:w="0" w:type="dxa"/>
        </w:tblCellMar>
      </w:tblPr>
      <w:tblGrid>
        <w:gridCol w:w="726"/>
        <w:gridCol w:w="900"/>
        <w:gridCol w:w="3360"/>
        <w:gridCol w:w="810"/>
        <w:gridCol w:w="7890"/>
        <w:gridCol w:w="810"/>
      </w:tblGrid>
      <w:tr>
        <w:tblPrEx>
          <w:shd w:val="clear" w:color="auto" w:fill="auto"/>
          <w:tblLayout w:type="fixed"/>
          <w:tblCellMar>
            <w:top w:w="0" w:type="dxa"/>
            <w:left w:w="0" w:type="dxa"/>
            <w:bottom w:w="0" w:type="dxa"/>
            <w:right w:w="0" w:type="dxa"/>
          </w:tblCellMar>
        </w:tblPrEx>
        <w:trPr>
          <w:trHeight w:val="945" w:hRule="atLeast"/>
        </w:trPr>
        <w:tc>
          <w:tcPr>
            <w:tcW w:w="14496" w:type="dxa"/>
            <w:gridSpan w:val="6"/>
            <w:tcBorders>
              <w:top w:val="nil"/>
              <w:left w:val="nil"/>
              <w:bottom w:val="nil"/>
              <w:right w:val="nil"/>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楷体_GB2312" w:eastAsia="楷体_GB2312" w:cs="楷体_GB2312"/>
                <w:b/>
                <w:color w:val="000000" w:themeColor="text1"/>
                <w:kern w:val="2"/>
                <w:sz w:val="28"/>
                <w:szCs w:val="28"/>
                <w:highlight w:val="none"/>
                <w14:textFill>
                  <w14:solidFill>
                    <w14:schemeClr w14:val="tx1"/>
                  </w14:solidFill>
                </w14:textFill>
              </w:rPr>
            </w:pPr>
            <w:r>
              <w:rPr>
                <w:rFonts w:hint="eastAsia" w:ascii="楷体_GB2312" w:hAnsi="Calibri" w:eastAsia="楷体_GB2312" w:cs="楷体_GB2312"/>
                <w:b/>
                <w:color w:val="000000" w:themeColor="text1"/>
                <w:kern w:val="2"/>
                <w:sz w:val="28"/>
                <w:szCs w:val="28"/>
                <w:highlight w:val="none"/>
                <w:lang w:val="en-US" w:eastAsia="zh-CN" w:bidi="ar"/>
                <w14:textFill>
                  <w14:solidFill>
                    <w14:schemeClr w14:val="tx1"/>
                  </w14:solidFill>
                </w14:textFill>
              </w:rPr>
              <w:t>附表3：碗窑灌区（峡口片）东西干渠养护工程（除草）考核标准</w:t>
            </w:r>
          </w:p>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8"/>
                <w:szCs w:val="28"/>
                <w:highlight w:val="none"/>
                <w14:textFill>
                  <w14:solidFill>
                    <w14:schemeClr w14:val="tx1"/>
                  </w14:solidFill>
                </w14:textFill>
              </w:rPr>
            </w:pPr>
            <w:r>
              <w:rPr>
                <w:rFonts w:hint="eastAsia" w:ascii="黑体" w:hAnsi="宋体" w:eastAsia="黑体" w:cs="宋体"/>
                <w:color w:val="000000" w:themeColor="text1"/>
                <w:kern w:val="0"/>
                <w:sz w:val="36"/>
                <w:szCs w:val="36"/>
                <w:highlight w:val="none"/>
                <w:lang w:val="en-US" w:eastAsia="zh-CN" w:bidi="ar"/>
                <w14:textFill>
                  <w14:solidFill>
                    <w14:schemeClr w14:val="tx1"/>
                  </w14:solidFill>
                </w14:textFill>
              </w:rPr>
              <w:t>碗窑灌区（峡口片）东西干渠养护工程（除草）考核标准</w:t>
            </w:r>
          </w:p>
        </w:tc>
      </w:tr>
      <w:tr>
        <w:tblPrEx>
          <w:shd w:val="clear" w:color="auto" w:fill="auto"/>
          <w:tblLayout w:type="fixed"/>
          <w:tblCellMar>
            <w:top w:w="0" w:type="dxa"/>
            <w:left w:w="0" w:type="dxa"/>
            <w:bottom w:w="0" w:type="dxa"/>
            <w:right w:w="0" w:type="dxa"/>
          </w:tblCellMar>
        </w:tblPrEx>
        <w:trPr>
          <w:trHeight w:val="600" w:hRule="atLeast"/>
        </w:trPr>
        <w:tc>
          <w:tcPr>
            <w:tcW w:w="726"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类别</w:t>
            </w:r>
          </w:p>
        </w:tc>
        <w:tc>
          <w:tcPr>
            <w:tcW w:w="900" w:type="dxa"/>
            <w:tcBorders>
              <w:top w:val="single" w:color="000000" w:sz="4" w:space="0"/>
              <w:left w:val="nil"/>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项目</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考核内容</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标准分</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考核扣分原则</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得分</w:t>
            </w:r>
          </w:p>
        </w:tc>
      </w:tr>
      <w:tr>
        <w:tblPrEx>
          <w:shd w:val="clear" w:color="auto" w:fill="auto"/>
          <w:tblLayout w:type="fixed"/>
          <w:tblCellMar>
            <w:top w:w="0" w:type="dxa"/>
            <w:left w:w="0" w:type="dxa"/>
            <w:bottom w:w="0" w:type="dxa"/>
            <w:right w:w="0" w:type="dxa"/>
          </w:tblCellMar>
        </w:tblPrEx>
        <w:trPr>
          <w:trHeight w:val="1655" w:hRule="atLeast"/>
        </w:trPr>
        <w:tc>
          <w:tcPr>
            <w:tcW w:w="72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碗窑灌区（峡口片）养护工程（除草）考核标准（100分）</w:t>
            </w: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1.渠道、渠系建筑物检查</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渠道及渠系建筑物（含标准化创建验收时安装的公里桩和百米桩）按养护工程实施方案内的管理要求执行，发现有损坏需及时汇报，应急时需参加抢险。</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（1）在除草中若发现渠道的有安全隐患和水利设施损坏应及时向所管辖的渠道管理站站长汇报。未按要求上报的，每次扣5分；本承包标段范围内的渠段如出现险情，由其他人员汇报到中心的，每次扣3分。                                                                                                             （2）通水时发现渠内有障碍物需及时清理，未清理引起渠道安全事故的，承担损坏渠道的修复任务，费用自理；未造成安全事故，每次扣5分。                                                    （3）台汛、特大暴雨及灌溉和生态用水等时段，若遇渠道存在安全隐患时，承包方在接到渠道管理站相关人员的电话应及时赶赴现场协助参加抢险、调控闸门及渠道安全巡查等，无故不到达现场的，本项不得分。未及时到达的每次扣5分。</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1425"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2.除草工程</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做好每年3次以上的渠内、渠堤除草（主道路的除草范围为巡查道路5米范围内，不是主道路的除草范围为渠沿线外水平2米；特殊地形的渠段由渠道管理科人员到现场决定）。</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center"/>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0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（1）验收时，若渠内、渠堤有杂草的每50米未除的扣5分；每50米除草不彻底的扣3分（不足50米均以50米计算）。                                                   （2）验收时，发现虽进行清理，但在清理后的因清理不到位导致杂草重新掉入渠内的，每发现一处扣3分。                                                                             （3）验收时，发现伸缩缝有1处杂草未清理的每处扣1分，处理不彻底的每处扣0.5分。                                                                     （4）验收时发现工程质量未达到维养方案要求不合格需要返工的，每处扣5分。</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970"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3.管理范围内农作物及违章设施清理</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承包范围内乱垦乱种、违章设施现象。</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（1）验收时或临时抽查时，发现渠段管理范围的作物未进行清除，发现不合格的每50米扣5分（不足50米按50米计算），每处扣3分。                                                       （2）验收时或临时抽查时，发现渠道沿途乱垦乱种、违障建筑和乱倒垃圾等现象，未制止或未及时汇报各渠管站站长的，每发现1处扣5分。</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1480"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4.其他</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因服务不到位等发生上级领导批评、通报、新闻媒体曝光等现象和工程廉政情况。</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 xml:space="preserve">（1）因服务不到位等发生上级领导批评、受到主管部门行业通报的、新闻媒体曝光或12345热线投诉等造成较大社会影响的，峡口水库管理中心可根据实际情况要求整改、考核不合格，直至单方面解除合同。                                                      （2）在工程管理过程中，有私自行贿渠道管理人员好处的未履行工程廉政责任的，本项不得分；若渠道管理人员私自收取承包人好处的未履行工程廉政责任的，并按中心相关规定进行处罚。                 </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both"/>
              <w:rPr>
                <w:rFonts w:hint="eastAsia" w:ascii="宋体" w:hAnsi="宋体" w:eastAsia="宋体" w:cs="宋体"/>
                <w:color w:val="000000" w:themeColor="text1"/>
                <w:kern w:val="2"/>
                <w:sz w:val="24"/>
                <w:szCs w:val="24"/>
                <w:highlight w:val="none"/>
                <w14:textFill>
                  <w14:solidFill>
                    <w14:schemeClr w14:val="tx1"/>
                  </w14:solidFill>
                </w14:textFill>
              </w:rPr>
            </w:pPr>
          </w:p>
        </w:tc>
      </w:tr>
    </w:tbl>
    <w:p>
      <w:pPr>
        <w:keepNext w:val="0"/>
        <w:keepLines w:val="0"/>
        <w:widowControl w:val="0"/>
        <w:suppressLineNumbers w:val="0"/>
        <w:shd w:val="clear"/>
        <w:spacing w:before="0" w:beforeAutospacing="0" w:after="0" w:afterAutospacing="0"/>
        <w:ind w:left="0" w:leftChars="0" w:right="0" w:rightChars="0"/>
        <w:jc w:val="left"/>
        <w:rPr>
          <w:rFonts w:hint="eastAsia" w:ascii="楷体_GB2312" w:eastAsia="楷体_GB2312" w:cs="楷体_GB2312"/>
          <w:b/>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注：（1）此表格用于各渠管站对承包人养护项目考核用，综合分达80分以上，递交验收小组组织验收。（2）由各渠管站站长签名后上交。</w:t>
      </w:r>
    </w:p>
    <w:p>
      <w:pPr>
        <w:pStyle w:val="61"/>
        <w:keepNext w:val="0"/>
        <w:keepLines w:val="0"/>
        <w:widowControl w:val="0"/>
        <w:suppressLineNumbers w:val="0"/>
        <w:shd w:val="clear"/>
        <w:spacing w:before="0" w:beforeAutospacing="1" w:after="0" w:afterAutospacing="0" w:line="240" w:lineRule="exact"/>
        <w:ind w:left="0" w:leftChars="0" w:right="0" w:rightChars="0" w:firstLine="0" w:firstLineChars="0"/>
        <w:jc w:val="both"/>
        <w:rPr>
          <w:rFonts w:hint="eastAsia" w:ascii="等线" w:hAnsi="等线" w:eastAsia="等线" w:cs="等线"/>
          <w:color w:val="000000" w:themeColor="text1"/>
          <w:kern w:val="0"/>
          <w:sz w:val="20"/>
          <w:szCs w:val="20"/>
          <w:highlight w:val="none"/>
          <w14:textFill>
            <w14:solidFill>
              <w14:schemeClr w14:val="tx1"/>
            </w14:solidFill>
          </w14:textFill>
        </w:rPr>
      </w:pPr>
      <w:r>
        <w:rPr>
          <w:rFonts w:hint="eastAsia" w:ascii="等线" w:hAnsi="等线" w:eastAsia="等线" w:cs="等线"/>
          <w:color w:val="000000" w:themeColor="text1"/>
          <w:kern w:val="0"/>
          <w:sz w:val="20"/>
          <w:szCs w:val="20"/>
          <w:highlight w:val="none"/>
          <w:lang w:val="en-US" w:eastAsia="zh-CN" w:bidi="ar"/>
          <w14:textFill>
            <w14:solidFill>
              <w14:schemeClr w14:val="tx1"/>
            </w14:solidFill>
          </w14:textFill>
        </w:rPr>
        <w:t xml:space="preserve"> </w:t>
      </w:r>
    </w:p>
    <w:tbl>
      <w:tblPr>
        <w:tblStyle w:val="73"/>
        <w:tblW w:w="14496" w:type="dxa"/>
        <w:tblInd w:w="93" w:type="dxa"/>
        <w:shd w:val="clear" w:color="auto" w:fill="auto"/>
        <w:tblLayout w:type="fixed"/>
        <w:tblCellMar>
          <w:top w:w="0" w:type="dxa"/>
          <w:left w:w="0" w:type="dxa"/>
          <w:bottom w:w="0" w:type="dxa"/>
          <w:right w:w="0" w:type="dxa"/>
        </w:tblCellMar>
      </w:tblPr>
      <w:tblGrid>
        <w:gridCol w:w="726"/>
        <w:gridCol w:w="900"/>
        <w:gridCol w:w="3360"/>
        <w:gridCol w:w="810"/>
        <w:gridCol w:w="7890"/>
        <w:gridCol w:w="810"/>
      </w:tblGrid>
      <w:tr>
        <w:tblPrEx>
          <w:shd w:val="clear" w:color="auto" w:fill="auto"/>
          <w:tblLayout w:type="fixed"/>
          <w:tblCellMar>
            <w:top w:w="0" w:type="dxa"/>
            <w:left w:w="0" w:type="dxa"/>
            <w:bottom w:w="0" w:type="dxa"/>
            <w:right w:w="0" w:type="dxa"/>
          </w:tblCellMar>
        </w:tblPrEx>
        <w:trPr>
          <w:trHeight w:val="945" w:hRule="atLeast"/>
        </w:trPr>
        <w:tc>
          <w:tcPr>
            <w:tcW w:w="14496" w:type="dxa"/>
            <w:gridSpan w:val="6"/>
            <w:tcBorders>
              <w:top w:val="nil"/>
              <w:left w:val="nil"/>
              <w:bottom w:val="nil"/>
              <w:right w:val="nil"/>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楷体_GB2312" w:eastAsia="楷体_GB2312" w:cs="楷体_GB2312"/>
                <w:b/>
                <w:color w:val="000000" w:themeColor="text1"/>
                <w:kern w:val="2"/>
                <w:sz w:val="28"/>
                <w:szCs w:val="28"/>
                <w:highlight w:val="none"/>
                <w14:textFill>
                  <w14:solidFill>
                    <w14:schemeClr w14:val="tx1"/>
                  </w14:solidFill>
                </w14:textFill>
              </w:rPr>
            </w:pPr>
            <w:r>
              <w:rPr>
                <w:rFonts w:hint="eastAsia" w:ascii="楷体_GB2312" w:hAnsi="Calibri" w:eastAsia="楷体_GB2312" w:cs="楷体_GB2312"/>
                <w:b/>
                <w:color w:val="000000" w:themeColor="text1"/>
                <w:kern w:val="2"/>
                <w:sz w:val="28"/>
                <w:szCs w:val="28"/>
                <w:highlight w:val="none"/>
                <w:lang w:val="en-US" w:eastAsia="zh-CN" w:bidi="ar"/>
                <w14:textFill>
                  <w14:solidFill>
                    <w14:schemeClr w14:val="tx1"/>
                  </w14:solidFill>
                </w14:textFill>
              </w:rPr>
              <w:t>附表4：碗窑灌区（峡口片）东西干渠养护工程（保洁）考核标准</w:t>
            </w:r>
          </w:p>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8"/>
                <w:szCs w:val="28"/>
                <w:highlight w:val="none"/>
                <w14:textFill>
                  <w14:solidFill>
                    <w14:schemeClr w14:val="tx1"/>
                  </w14:solidFill>
                </w14:textFill>
              </w:rPr>
            </w:pPr>
            <w:r>
              <w:rPr>
                <w:rFonts w:hint="eastAsia" w:ascii="黑体" w:hAnsi="宋体" w:eastAsia="黑体" w:cs="宋体"/>
                <w:color w:val="000000" w:themeColor="text1"/>
                <w:kern w:val="0"/>
                <w:sz w:val="36"/>
                <w:szCs w:val="36"/>
                <w:highlight w:val="none"/>
                <w:lang w:val="en-US" w:eastAsia="zh-CN" w:bidi="ar"/>
                <w14:textFill>
                  <w14:solidFill>
                    <w14:schemeClr w14:val="tx1"/>
                  </w14:solidFill>
                </w14:textFill>
              </w:rPr>
              <w:t>碗窑灌区（峡口片）东西干渠养护工程（保洁）考核标准</w:t>
            </w:r>
          </w:p>
        </w:tc>
      </w:tr>
      <w:tr>
        <w:tblPrEx>
          <w:shd w:val="clear" w:color="auto" w:fill="auto"/>
          <w:tblLayout w:type="fixed"/>
          <w:tblCellMar>
            <w:top w:w="0" w:type="dxa"/>
            <w:left w:w="0" w:type="dxa"/>
            <w:bottom w:w="0" w:type="dxa"/>
            <w:right w:w="0" w:type="dxa"/>
          </w:tblCellMar>
        </w:tblPrEx>
        <w:trPr>
          <w:trHeight w:val="600" w:hRule="atLeast"/>
        </w:trPr>
        <w:tc>
          <w:tcPr>
            <w:tcW w:w="726"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类别</w:t>
            </w:r>
          </w:p>
        </w:tc>
        <w:tc>
          <w:tcPr>
            <w:tcW w:w="900" w:type="dxa"/>
            <w:tcBorders>
              <w:top w:val="single" w:color="000000" w:sz="4" w:space="0"/>
              <w:left w:val="nil"/>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项目</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考核内容</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标准分</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考核扣分原则</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得分</w:t>
            </w:r>
          </w:p>
        </w:tc>
      </w:tr>
      <w:tr>
        <w:tblPrEx>
          <w:shd w:val="clear" w:color="auto" w:fill="auto"/>
          <w:tblLayout w:type="fixed"/>
          <w:tblCellMar>
            <w:top w:w="0" w:type="dxa"/>
            <w:left w:w="0" w:type="dxa"/>
            <w:bottom w:w="0" w:type="dxa"/>
            <w:right w:w="0" w:type="dxa"/>
          </w:tblCellMar>
        </w:tblPrEx>
        <w:trPr>
          <w:trHeight w:val="1269" w:hRule="atLeast"/>
        </w:trPr>
        <w:tc>
          <w:tcPr>
            <w:tcW w:w="72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碗窑灌区（峡口片）养护工程（保洁）考核标准（100分）</w:t>
            </w: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1.渠道、渠系建筑物检查</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渠道保洁按养护工程实施方案内的管理要求执行，发现有损坏需及时汇报，应急时需参加抢险。</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（1）在保洁中若发现渠道的有安全隐患和水利设施损坏应及时向所管辖的渠道管理站站长汇报。未按要求上报的，每次扣5分；本承包标段范围内的渠段如出现险情，由其他人员汇报到中心的，每次扣3分。                                                                                                             （2）台汛、特大暴雨及灌溉和生态用水等时段，若遇渠道存在安全隐患时，承包方在接到渠道管理站相关人员的电话应及时赶赴现场协助参加抢险、调控闸门及渠道安全巡查等，无故不到达现场的，本项不得分。未及时到达的每次扣5分。</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2095"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2.保洁工作</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渠道日常保洁实行每月检查一次。</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center"/>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 xml:space="preserve">（1）各类水闸口、暗涵进口、隧洞前、渡槽进口、跌水口处、渠尾拦污栅前等极易堆积杂物和垃圾，需要及时进行清理。验收时，若发现1处未清理的，每处扣5分；                                                   （2）验收时，发现虽进行保洁处理，但因保洁不到位导致杂物或垃圾重新掉入渠内的，每发现1处扣3分。                                                                （3）渠道内坡、渠堤两侧（左右）管理范围内死牲畜、猪粪、白色垃圾、烂橘子、枯枝、障碍物等垃圾需要及时做无公害处理（或运送到当地政府指定的垃圾处理点）。验收时，每发现以上情况1处，扣5分。                                                                                                                                                                                                                                         （4）验收时或临时抽查时，发现渠段管理范围的垃圾和杂物未清除，发现不合格的每50米扣5分（不足50米按50米计算）。                                               （5）验收时发现工程质量未达到维养方案要求不合格需要返工的，每处扣5分。  </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782"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3.倒虹吸管护</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576" w:lineRule="exact"/>
              <w:ind w:left="0" w:leftChars="0" w:right="0" w:rightChars="0"/>
              <w:jc w:val="both"/>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倒虹吸进口的拦污栅管护</w:t>
            </w:r>
          </w:p>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center"/>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both"/>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东渠中山头和西干渠早田坂倒虹吸进口的拦污栅在渠道通水前后及通水期间（含供水及大雨等）必须及时清理垃圾和杂物，发现未清理的，本项不得分；清理不彻底的，每次扣5分，扣完为止。</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tblLayout w:type="fixed"/>
          <w:tblCellMar>
            <w:top w:w="0" w:type="dxa"/>
            <w:left w:w="0" w:type="dxa"/>
            <w:bottom w:w="0" w:type="dxa"/>
            <w:right w:w="0" w:type="dxa"/>
          </w:tblCellMar>
        </w:tblPrEx>
        <w:trPr>
          <w:trHeight w:val="1480"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4.其他</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因服务不到位等发生上级领导批评、通报、新闻媒体曝光等现象和工程廉政情况。</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 xml:space="preserve">（1）因服务不到位等发生上级领导批评、受到主管部门行业通报的、新闻媒体曝光或12345热线投诉等造成较大社会影响的，峡口水库管理中心可根据实际情况要求整改、考核不合格，直至单方面解除合同。                                                      （2）在工程管理过程中，有私自行贿渠道管理人员好处的未履行工程廉政责任的，本项不得分；若渠道管理人员私自收取承包人好处的未履行工程廉政责任的，并按中心相关规定进行处罚。                 </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both"/>
              <w:rPr>
                <w:rFonts w:hint="eastAsia" w:ascii="宋体" w:hAnsi="宋体" w:eastAsia="宋体" w:cs="宋体"/>
                <w:color w:val="000000" w:themeColor="text1"/>
                <w:kern w:val="2"/>
                <w:sz w:val="24"/>
                <w:szCs w:val="24"/>
                <w:highlight w:val="none"/>
                <w14:textFill>
                  <w14:solidFill>
                    <w14:schemeClr w14:val="tx1"/>
                  </w14:solidFill>
                </w14:textFill>
              </w:rPr>
            </w:pPr>
          </w:p>
        </w:tc>
      </w:tr>
    </w:tbl>
    <w:p>
      <w:pPr>
        <w:keepNext w:val="0"/>
        <w:keepLines w:val="0"/>
        <w:widowControl w:val="0"/>
        <w:suppressLineNumbers w:val="0"/>
        <w:shd w:val="clear"/>
        <w:spacing w:before="0" w:beforeAutospacing="0" w:after="0" w:afterAutospacing="0"/>
        <w:ind w:left="0" w:leftChars="0" w:right="0" w:rightChars="0"/>
        <w:jc w:val="left"/>
        <w:rPr>
          <w:rFonts w:hint="eastAsia" w:ascii="楷体_GB2312" w:eastAsia="楷体_GB2312" w:cs="楷体_GB2312"/>
          <w:b/>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注：（1）此表格用于各渠管站对承包人养护项目考核用，综合分达80分以上，递交验收小组组织验收。（2）由各渠管站站长签名后上交。</w:t>
      </w:r>
    </w:p>
    <w:p>
      <w:pPr>
        <w:pStyle w:val="61"/>
        <w:keepNext w:val="0"/>
        <w:keepLines w:val="0"/>
        <w:widowControl w:val="0"/>
        <w:suppressLineNumbers w:val="0"/>
        <w:shd w:val="clear"/>
        <w:spacing w:before="0" w:beforeAutospacing="1" w:after="0" w:afterAutospacing="0" w:line="240" w:lineRule="exact"/>
        <w:ind w:left="0" w:leftChars="0" w:right="0" w:rightChars="0" w:firstLine="0" w:firstLineChars="0"/>
        <w:jc w:val="both"/>
        <w:rPr>
          <w:rFonts w:hint="eastAsia" w:ascii="等线" w:hAnsi="等线" w:eastAsia="等线" w:cs="等线"/>
          <w:color w:val="000000" w:themeColor="text1"/>
          <w:kern w:val="0"/>
          <w:sz w:val="20"/>
          <w:szCs w:val="20"/>
          <w:highlight w:val="none"/>
          <w14:textFill>
            <w14:solidFill>
              <w14:schemeClr w14:val="tx1"/>
            </w14:solidFill>
          </w14:textFill>
        </w:rPr>
      </w:pPr>
      <w:r>
        <w:rPr>
          <w:rFonts w:hint="eastAsia" w:ascii="等线" w:hAnsi="等线" w:eastAsia="等线" w:cs="等线"/>
          <w:color w:val="000000" w:themeColor="text1"/>
          <w:kern w:val="0"/>
          <w:sz w:val="20"/>
          <w:szCs w:val="20"/>
          <w:highlight w:val="none"/>
          <w:lang w:val="en-US" w:eastAsia="zh-CN" w:bidi="ar"/>
          <w14:textFill>
            <w14:solidFill>
              <w14:schemeClr w14:val="tx1"/>
            </w14:solidFill>
          </w14:textFill>
        </w:rPr>
        <w:t xml:space="preserve"> </w:t>
      </w:r>
    </w:p>
    <w:tbl>
      <w:tblPr>
        <w:tblStyle w:val="73"/>
        <w:tblW w:w="14496" w:type="dxa"/>
        <w:tblInd w:w="93" w:type="dxa"/>
        <w:shd w:val="clear" w:color="auto" w:fill="auto"/>
        <w:tblLayout w:type="fixed"/>
        <w:tblCellMar>
          <w:top w:w="0" w:type="dxa"/>
          <w:left w:w="0" w:type="dxa"/>
          <w:bottom w:w="0" w:type="dxa"/>
          <w:right w:w="0" w:type="dxa"/>
        </w:tblCellMar>
      </w:tblPr>
      <w:tblGrid>
        <w:gridCol w:w="726"/>
        <w:gridCol w:w="900"/>
        <w:gridCol w:w="3360"/>
        <w:gridCol w:w="810"/>
        <w:gridCol w:w="7890"/>
        <w:gridCol w:w="810"/>
      </w:tblGrid>
      <w:tr>
        <w:tblPrEx>
          <w:shd w:val="clear" w:color="auto" w:fill="auto"/>
          <w:tblLayout w:type="fixed"/>
          <w:tblCellMar>
            <w:top w:w="0" w:type="dxa"/>
            <w:left w:w="0" w:type="dxa"/>
            <w:bottom w:w="0" w:type="dxa"/>
            <w:right w:w="0" w:type="dxa"/>
          </w:tblCellMar>
        </w:tblPrEx>
        <w:trPr>
          <w:trHeight w:val="945" w:hRule="atLeast"/>
        </w:trPr>
        <w:tc>
          <w:tcPr>
            <w:tcW w:w="14496" w:type="dxa"/>
            <w:gridSpan w:val="6"/>
            <w:tcBorders>
              <w:top w:val="nil"/>
              <w:left w:val="nil"/>
              <w:bottom w:val="nil"/>
              <w:right w:val="nil"/>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ind w:left="0" w:leftChars="0" w:right="0" w:rightChars="0"/>
              <w:jc w:val="both"/>
              <w:rPr>
                <w:rFonts w:hint="eastAsia" w:ascii="楷体_GB2312" w:eastAsia="楷体_GB2312" w:cs="楷体_GB2312"/>
                <w:b/>
                <w:color w:val="000000" w:themeColor="text1"/>
                <w:kern w:val="2"/>
                <w:sz w:val="28"/>
                <w:szCs w:val="28"/>
                <w:highlight w:val="none"/>
                <w14:textFill>
                  <w14:solidFill>
                    <w14:schemeClr w14:val="tx1"/>
                  </w14:solidFill>
                </w14:textFill>
              </w:rPr>
            </w:pPr>
            <w:r>
              <w:rPr>
                <w:rFonts w:hint="eastAsia" w:ascii="楷体_GB2312" w:hAnsi="Calibri" w:eastAsia="楷体_GB2312" w:cs="楷体_GB2312"/>
                <w:b/>
                <w:color w:val="000000" w:themeColor="text1"/>
                <w:kern w:val="2"/>
                <w:sz w:val="28"/>
                <w:szCs w:val="28"/>
                <w:highlight w:val="none"/>
                <w:lang w:val="en-US" w:eastAsia="zh-CN" w:bidi="ar"/>
                <w14:textFill>
                  <w14:solidFill>
                    <w14:schemeClr w14:val="tx1"/>
                  </w14:solidFill>
                </w14:textFill>
              </w:rPr>
              <w:t>附表5：碗窑灌区（峡口片）东西干渠养护工程（清淤）考核标准</w:t>
            </w:r>
          </w:p>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8"/>
                <w:szCs w:val="28"/>
                <w:highlight w:val="none"/>
                <w14:textFill>
                  <w14:solidFill>
                    <w14:schemeClr w14:val="tx1"/>
                  </w14:solidFill>
                </w14:textFill>
              </w:rPr>
            </w:pPr>
            <w:r>
              <w:rPr>
                <w:rFonts w:hint="eastAsia" w:ascii="黑体" w:hAnsi="宋体" w:eastAsia="黑体" w:cs="宋体"/>
                <w:color w:val="000000" w:themeColor="text1"/>
                <w:kern w:val="0"/>
                <w:sz w:val="36"/>
                <w:szCs w:val="36"/>
                <w:highlight w:val="none"/>
                <w:lang w:val="en-US" w:eastAsia="zh-CN" w:bidi="ar"/>
                <w14:textFill>
                  <w14:solidFill>
                    <w14:schemeClr w14:val="tx1"/>
                  </w14:solidFill>
                </w14:textFill>
              </w:rPr>
              <w:t>碗窑灌区（峡口片）东西干渠养护工程（清淤）考核标准</w:t>
            </w:r>
          </w:p>
        </w:tc>
      </w:tr>
      <w:tr>
        <w:tblPrEx>
          <w:shd w:val="clear" w:color="auto" w:fill="auto"/>
          <w:tblLayout w:type="fixed"/>
          <w:tblCellMar>
            <w:top w:w="0" w:type="dxa"/>
            <w:left w:w="0" w:type="dxa"/>
            <w:bottom w:w="0" w:type="dxa"/>
            <w:right w:w="0" w:type="dxa"/>
          </w:tblCellMar>
        </w:tblPrEx>
        <w:trPr>
          <w:trHeight w:val="600" w:hRule="atLeast"/>
        </w:trPr>
        <w:tc>
          <w:tcPr>
            <w:tcW w:w="726"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类别</w:t>
            </w:r>
          </w:p>
        </w:tc>
        <w:tc>
          <w:tcPr>
            <w:tcW w:w="900" w:type="dxa"/>
            <w:tcBorders>
              <w:top w:val="single" w:color="000000" w:sz="4" w:space="0"/>
              <w:left w:val="nil"/>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项目</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考核内容</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标准分</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考核扣分原则</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ind w:left="0" w:leftChars="0" w:right="0" w:rightChars="0"/>
              <w:jc w:val="center"/>
              <w:textAlignment w:val="center"/>
              <w:rPr>
                <w:rFonts w:hint="eastAsia" w:ascii="宋体" w:hAnsi="宋体" w:eastAsia="宋体" w:cs="宋体"/>
                <w:b/>
                <w:color w:val="000000" w:themeColor="text1"/>
                <w:kern w:val="2"/>
                <w:sz w:val="20"/>
                <w:szCs w:val="20"/>
                <w:highlight w:val="none"/>
                <w14:textFill>
                  <w14:solidFill>
                    <w14:schemeClr w14:val="tx1"/>
                  </w14:solidFill>
                </w14:textFill>
              </w:rPr>
            </w:pPr>
            <w:r>
              <w:rPr>
                <w:rFonts w:hint="eastAsia" w:ascii="宋体" w:hAnsi="宋体" w:eastAsia="宋体" w:cs="宋体"/>
                <w:b/>
                <w:color w:val="000000" w:themeColor="text1"/>
                <w:kern w:val="0"/>
                <w:sz w:val="20"/>
                <w:szCs w:val="20"/>
                <w:highlight w:val="none"/>
                <w:lang w:val="en-US" w:eastAsia="zh-CN" w:bidi="ar"/>
                <w14:textFill>
                  <w14:solidFill>
                    <w14:schemeClr w14:val="tx1"/>
                  </w14:solidFill>
                </w14:textFill>
              </w:rPr>
              <w:t>得分</w:t>
            </w:r>
          </w:p>
        </w:tc>
      </w:tr>
      <w:tr>
        <w:tblPrEx>
          <w:shd w:val="clear" w:color="auto" w:fill="auto"/>
          <w:tblLayout w:type="fixed"/>
          <w:tblCellMar>
            <w:top w:w="0" w:type="dxa"/>
            <w:left w:w="0" w:type="dxa"/>
            <w:bottom w:w="0" w:type="dxa"/>
            <w:right w:w="0" w:type="dxa"/>
          </w:tblCellMar>
        </w:tblPrEx>
        <w:trPr>
          <w:trHeight w:val="1836" w:hRule="atLeast"/>
        </w:trPr>
        <w:tc>
          <w:tcPr>
            <w:tcW w:w="72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碗窑灌区（峡口片）养护工程（清淤）考核标准（100分）</w:t>
            </w: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1.渠道、渠系建筑物检查</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渠道及渠系建筑物（含标准化创建验收时安装的公里桩和百米桩）按养护工程实施方案内的管理要求执行，发现有损坏需及时汇报，应急时需参加抢险。</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（1）在清淤中若发现渠道的有安全隐患和水利设施损坏应及时向所管辖的渠道管理站站长汇报。未按要求上报的，每次扣5分；本承包标段范围内的渠段如出现险情，由其他人员汇报到中心的，每次扣3分。                                                                                                             （2）通水时发现渠内有山体滑坡或渠内淤泥过多影响渠道通水的，需及时清理，未清理引起渠道安全事故的，承担损坏渠道的修复任务，费用自理；未造成安全事故，每次扣5分。                                                    （3）台汛、特大暴雨及灌溉和生态用水等时段，若遇渠道存在安全隐患时，承包方在接到渠道管理站相关人员的电话应及时赶赴现场协助参加抢险、调控闸门及渠道安全巡查等，无故不到达现场的，本项不得分。未及时到达的每次扣5分。</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1806"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2.清淤工程</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承包方做好渠内清淤。</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40" w:lineRule="exact"/>
              <w:ind w:left="0" w:leftChars="0" w:right="0" w:rightChars="0"/>
              <w:jc w:val="center"/>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35</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hd w:val="clear"/>
              <w:spacing w:before="0" w:beforeAutospacing="0" w:after="0" w:afterAutospacing="0" w:line="200" w:lineRule="exact"/>
              <w:ind w:left="0" w:leftChars="0" w:right="0" w:rightChars="0"/>
              <w:jc w:val="left"/>
              <w:textAlignment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（1）验收时，若渠内有淤积未清的每50米扣5分，清理不彻底的每50米扣3分（不足50米均以50米计算）。                                                                               （2）验收时，发现虽进行清理，但在清理后的因清理不到位导致淤积重新掉入渠内的，每发现1处扣3分。                                                                      （3）验收时发现工程质量未达到维养方案要求不合格需要返工的，每处扣5分。         （4）淤泥弃置点应在渠道管理范围5米之外，未按要求弃置每发现1处扣3分。           （5）台汛期、灌溉时、特大暴雨期渠内有淤泥影响渠内通水，应根据渠道安全情况及时进行清理，无故不清的，本项不得分。未及时到达的每次扣10分。</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default" w:ascii="Calibri" w:hAnsi="Calibri" w:cs="Calibri"/>
                <w:color w:val="000000" w:themeColor="text1"/>
                <w:kern w:val="2"/>
                <w:sz w:val="22"/>
                <w:szCs w:val="22"/>
                <w:highlight w:val="none"/>
                <w14:textFill>
                  <w14:solidFill>
                    <w14:schemeClr w14:val="tx1"/>
                  </w14:solidFill>
                </w14:textFill>
              </w:rPr>
            </w:pPr>
          </w:p>
        </w:tc>
      </w:tr>
      <w:tr>
        <w:tblPrEx>
          <w:shd w:val="clear" w:color="auto" w:fill="auto"/>
          <w:tblLayout w:type="fixed"/>
          <w:tblCellMar>
            <w:top w:w="0" w:type="dxa"/>
            <w:left w:w="0" w:type="dxa"/>
            <w:bottom w:w="0" w:type="dxa"/>
            <w:right w:w="0" w:type="dxa"/>
          </w:tblCellMar>
        </w:tblPrEx>
        <w:trPr>
          <w:trHeight w:val="1480" w:hRule="atLeast"/>
        </w:trPr>
        <w:tc>
          <w:tcPr>
            <w:tcW w:w="72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9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3.其他</w:t>
            </w:r>
          </w:p>
        </w:tc>
        <w:tc>
          <w:tcPr>
            <w:tcW w:w="336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因服务不到位等发生上级领导批评、通报、新闻媒体曝光等现象和工程廉政情况。</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center"/>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30</w:t>
            </w:r>
          </w:p>
        </w:tc>
        <w:tc>
          <w:tcPr>
            <w:tcW w:w="78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00" w:lineRule="exact"/>
              <w:ind w:left="0" w:leftChars="0" w:right="0" w:rightChars="0"/>
              <w:jc w:val="left"/>
              <w:rPr>
                <w:rFonts w:hint="eastAsia" w:ascii="宋体" w:hAnsi="宋体" w:eastAsia="宋体" w:cs="宋体"/>
                <w:color w:val="000000" w:themeColor="text1"/>
                <w:kern w:val="0"/>
                <w:sz w:val="20"/>
                <w:szCs w:val="20"/>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 xml:space="preserve">（1）因服务不到位等发生上级领导批评、受到主管部门行业通报的、新闻媒体曝光或12345热线投诉等造成较大社会影响的，峡口水库管理中心可根据实际情况要求整改、考核不合格，直至单方面解除合同。                                                      （2）在工程管理过程中，有私自行贿渠道管理人员好处的未履行工程廉政责任的，本项不得分；若渠道管理人员私自收取承包人好处的未履行工程廉政责任的，并按中心相关规定进行处罚。                 </w:t>
            </w:r>
          </w:p>
        </w:tc>
        <w:tc>
          <w:tcPr>
            <w:tcW w:w="81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val="0"/>
              <w:suppressLineNumbers w:val="0"/>
              <w:shd w:val="clear"/>
              <w:spacing w:before="0" w:beforeAutospacing="0" w:after="0" w:afterAutospacing="0" w:line="240" w:lineRule="exact"/>
              <w:ind w:left="0" w:leftChars="0" w:right="0" w:rightChars="0"/>
              <w:jc w:val="both"/>
              <w:rPr>
                <w:rFonts w:hint="eastAsia" w:ascii="宋体" w:hAnsi="宋体" w:eastAsia="宋体" w:cs="宋体"/>
                <w:color w:val="000000" w:themeColor="text1"/>
                <w:kern w:val="2"/>
                <w:sz w:val="24"/>
                <w:szCs w:val="24"/>
                <w:highlight w:val="none"/>
                <w14:textFill>
                  <w14:solidFill>
                    <w14:schemeClr w14:val="tx1"/>
                  </w14:solidFill>
                </w14:textFill>
              </w:rPr>
            </w:pPr>
          </w:p>
        </w:tc>
      </w:tr>
    </w:tbl>
    <w:p>
      <w:pPr>
        <w:keepNext w:val="0"/>
        <w:keepLines w:val="0"/>
        <w:widowControl w:val="0"/>
        <w:suppressLineNumbers w:val="0"/>
        <w:shd w:val="clear"/>
        <w:spacing w:before="0" w:beforeAutospacing="0" w:after="0" w:afterAutospacing="0"/>
        <w:ind w:left="0" w:leftChars="0" w:right="0" w:rightChars="0"/>
        <w:jc w:val="left"/>
        <w:rPr>
          <w:rFonts w:hint="eastAsia" w:ascii="等线" w:hAnsi="等线" w:eastAsia="等线" w:cs="等线"/>
          <w:color w:val="000000" w:themeColor="text1"/>
          <w:kern w:val="2"/>
          <w:sz w:val="28"/>
          <w:szCs w:val="28"/>
          <w:highlight w:val="none"/>
          <w14:textFill>
            <w14:solidFill>
              <w14:schemeClr w14:val="tx1"/>
            </w14:solidFill>
          </w14:textFill>
        </w:rPr>
      </w:pPr>
      <w:r>
        <w:rPr>
          <w:rFonts w:hint="eastAsia" w:ascii="宋体" w:hAnsi="宋体" w:eastAsia="宋体" w:cs="宋体"/>
          <w:color w:val="000000" w:themeColor="text1"/>
          <w:kern w:val="0"/>
          <w:sz w:val="20"/>
          <w:szCs w:val="20"/>
          <w:highlight w:val="none"/>
          <w:lang w:val="en-US" w:eastAsia="zh-CN" w:bidi="ar"/>
          <w14:textFill>
            <w14:solidFill>
              <w14:schemeClr w14:val="tx1"/>
            </w14:solidFill>
          </w14:textFill>
        </w:rPr>
        <w:t>注：（1）此表格用于各渠管站对承包人养护项目考核用，综合分达80分以上，递交验收小组组织验收。（2）由各渠管站站长签名后上交。</w:t>
      </w:r>
    </w:p>
    <w:p>
      <w:pPr>
        <w:keepNext w:val="0"/>
        <w:keepLines w:val="0"/>
        <w:widowControl w:val="0"/>
        <w:suppressLineNumbers w:val="0"/>
        <w:shd w:val="clear"/>
        <w:autoSpaceDE w:val="0"/>
        <w:autoSpaceDN/>
        <w:spacing w:before="0" w:beforeAutospacing="0" w:after="0" w:afterAutospacing="0"/>
        <w:ind w:left="0" w:right="0" w:firstLine="600" w:firstLineChars="200"/>
        <w:jc w:val="both"/>
        <w:rPr>
          <w:rFonts w:hint="eastAsia" w:ascii="仿宋_GB2312" w:eastAsia="仿宋_GB2312" w:cs="仿宋_GB2312"/>
          <w:color w:val="000000" w:themeColor="text1"/>
          <w:kern w:val="2"/>
          <w:sz w:val="30"/>
          <w:szCs w:val="30"/>
          <w:highlight w:val="none"/>
          <w14:textFill>
            <w14:solidFill>
              <w14:schemeClr w14:val="tx1"/>
            </w14:solidFill>
          </w14:textFill>
        </w:rPr>
        <w:sectPr>
          <w:pgSz w:w="16840" w:h="11907" w:orient="landscape"/>
          <w:pgMar w:top="1814" w:right="1474" w:bottom="1814" w:left="1474" w:header="851" w:footer="851" w:gutter="0"/>
          <w:pgBorders>
            <w:top w:val="none" w:sz="0" w:space="0"/>
            <w:left w:val="none" w:sz="0" w:space="0"/>
            <w:bottom w:val="none" w:sz="0" w:space="0"/>
            <w:right w:val="none" w:sz="0" w:space="0"/>
          </w:pgBorders>
          <w:cols w:space="720" w:num="1"/>
        </w:sectPr>
      </w:pPr>
      <w:r>
        <w:rPr>
          <w:rFonts w:hint="eastAsia" w:ascii="仿宋_GB2312" w:eastAsia="仿宋_GB2312" w:cs="仿宋_GB2312"/>
          <w:color w:val="000000" w:themeColor="text1"/>
          <w:kern w:val="2"/>
          <w:sz w:val="30"/>
          <w:szCs w:val="30"/>
          <w:highlight w:val="none"/>
          <w14:textFill>
            <w14:solidFill>
              <w14:schemeClr w14:val="tx1"/>
            </w14:solidFill>
          </w14:textFill>
        </w:rPr>
        <w:br w:type="page"/>
      </w:r>
    </w:p>
    <w:p>
      <w:pPr>
        <w:keepNext w:val="0"/>
        <w:keepLines w:val="0"/>
        <w:widowControl w:val="0"/>
        <w:suppressLineNumbers w:val="0"/>
        <w:shd w:val="clear"/>
        <w:autoSpaceDE w:val="0"/>
        <w:autoSpaceDN/>
        <w:spacing w:before="0" w:beforeAutospacing="0" w:after="0" w:afterAutospacing="0"/>
        <w:ind w:left="0" w:right="0" w:firstLine="600" w:firstLineChars="200"/>
        <w:jc w:val="both"/>
        <w:rPr>
          <w:rFonts w:hint="eastAsia" w:ascii="仿宋_GB2312" w:eastAsia="仿宋_GB2312" w:cs="仿宋_GB2312"/>
          <w:color w:val="000000" w:themeColor="text1"/>
          <w:kern w:val="2"/>
          <w:sz w:val="30"/>
          <w:szCs w:val="30"/>
          <w:highlight w:val="none"/>
          <w14:textFill>
            <w14:solidFill>
              <w14:schemeClr w14:val="tx1"/>
            </w14:solidFill>
          </w14:textFill>
        </w:rPr>
      </w:pPr>
    </w:p>
    <w:p>
      <w:pPr>
        <w:keepNext w:val="0"/>
        <w:keepLines w:val="0"/>
        <w:widowControl w:val="0"/>
        <w:suppressLineNumbers w:val="0"/>
        <w:shd w:val="clear"/>
        <w:autoSpaceDE w:val="0"/>
        <w:autoSpaceDN/>
        <w:spacing w:before="0" w:beforeAutospacing="0" w:after="0" w:afterAutospacing="0"/>
        <w:ind w:right="0"/>
        <w:jc w:val="both"/>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p>
    <w:p>
      <w:pPr>
        <w:pStyle w:val="972"/>
        <w:keepNext w:val="0"/>
        <w:keepLines w:val="0"/>
        <w:pageBreakBefore w:val="0"/>
        <w:widowControl w:val="0"/>
        <w:numPr>
          <w:ilvl w:val="0"/>
          <w:numId w:val="0"/>
        </w:numPr>
        <w:shd w:val="clear"/>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outlineLvl w:val="9"/>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▲3、投标人在取得中标资格后，需提供以下证明材料</w:t>
      </w:r>
    </w:p>
    <w:p>
      <w:pPr>
        <w:pStyle w:val="972"/>
        <w:keepNext w:val="0"/>
        <w:keepLines w:val="0"/>
        <w:pageBreakBefore w:val="0"/>
        <w:widowControl w:val="0"/>
        <w:numPr>
          <w:ilvl w:val="0"/>
          <w:numId w:val="0"/>
        </w:numPr>
        <w:shd w:val="clear"/>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outlineLvl w:val="9"/>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3.1在江山市设立固定服务网点，在合同签订后的10个工作日提供网点设立证明材料。</w:t>
      </w:r>
    </w:p>
    <w:p>
      <w:pPr>
        <w:pStyle w:val="972"/>
        <w:keepNext w:val="0"/>
        <w:keepLines w:val="0"/>
        <w:pageBreakBefore w:val="0"/>
        <w:widowControl w:val="0"/>
        <w:numPr>
          <w:ilvl w:val="0"/>
          <w:numId w:val="0"/>
        </w:numPr>
        <w:shd w:val="clear"/>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outlineLvl w:val="9"/>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3.2中标人至少为本项目配置3名专业人员（都应持有水利行业中级技术职称且有2年相关工作经验）和2辆运维车辆。提供3名及以上专业人员证书原件扫描件及投标人为其缴纳的合同签订前近三个月中任意一个月的社保缴纳材料。</w:t>
      </w:r>
    </w:p>
    <w:p>
      <w:pPr>
        <w:pStyle w:val="972"/>
        <w:keepNext w:val="0"/>
        <w:keepLines w:val="0"/>
        <w:pageBreakBefore w:val="0"/>
        <w:widowControl w:val="0"/>
        <w:numPr>
          <w:ilvl w:val="0"/>
          <w:numId w:val="0"/>
        </w:numPr>
        <w:shd w:val="clear"/>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outlineLvl w:val="9"/>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3.3投标人提供2辆运维车辆的行驶证原件扫描件（车辆所有人必须与投标人名称一致）</w:t>
      </w:r>
    </w:p>
    <w:p>
      <w:pPr>
        <w:pStyle w:val="972"/>
        <w:keepNext w:val="0"/>
        <w:keepLines w:val="0"/>
        <w:pageBreakBefore w:val="0"/>
        <w:widowControl w:val="0"/>
        <w:numPr>
          <w:ilvl w:val="0"/>
          <w:numId w:val="0"/>
        </w:numPr>
        <w:shd w:val="clear"/>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outlineLvl w:val="9"/>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3.4本项目履约期间，技术人员及车辆必须驻扎在江山市，投标人在取得中标资格后不得擅自撤换技术人员，如因人员辞职或调动的，须先征得采购人同意，并立即替补同等资格能力的人员到位。</w:t>
      </w: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第四部分</w:t>
      </w:r>
      <w:bookmarkStart w:id="62" w:name="_Toc184314441"/>
      <w:bookmarkEnd w:id="62"/>
      <w:bookmarkStart w:id="63" w:name="_Toc184310304"/>
      <w:bookmarkEnd w:id="63"/>
      <w:bookmarkStart w:id="64" w:name="_Toc184308042"/>
      <w:bookmarkEnd w:id="64"/>
      <w:bookmarkStart w:id="65" w:name="_Toc184312111"/>
      <w:bookmarkEnd w:id="65"/>
      <w:bookmarkStart w:id="66" w:name="_Toc184313272"/>
      <w:bookmarkEnd w:id="66"/>
      <w:bookmarkStart w:id="67" w:name="_Toc184310338"/>
      <w:bookmarkEnd w:id="67"/>
      <w:bookmarkStart w:id="68" w:name="_Toc184312120"/>
      <w:bookmarkEnd w:id="68"/>
      <w:bookmarkStart w:id="69" w:name="_Toc184312114"/>
      <w:bookmarkEnd w:id="69"/>
      <w:bookmarkStart w:id="70" w:name="_Toc184313300"/>
      <w:bookmarkEnd w:id="70"/>
      <w:bookmarkStart w:id="71" w:name="_Toc184312089"/>
      <w:bookmarkEnd w:id="71"/>
      <w:bookmarkStart w:id="72" w:name="_Toc184308068"/>
      <w:bookmarkEnd w:id="72"/>
      <w:bookmarkStart w:id="73" w:name="_Toc184314450"/>
      <w:bookmarkEnd w:id="73"/>
      <w:bookmarkStart w:id="74" w:name="_Toc184313281"/>
      <w:bookmarkEnd w:id="74"/>
      <w:bookmarkStart w:id="75" w:name="_Toc184314481"/>
      <w:bookmarkEnd w:id="75"/>
      <w:bookmarkStart w:id="76" w:name="_Toc184312132"/>
      <w:bookmarkEnd w:id="76"/>
      <w:bookmarkStart w:id="77" w:name="_Toc184312136"/>
      <w:bookmarkEnd w:id="77"/>
      <w:bookmarkStart w:id="78" w:name="_Toc184308065"/>
      <w:bookmarkEnd w:id="78"/>
      <w:bookmarkStart w:id="79" w:name="_Toc184308104"/>
      <w:bookmarkEnd w:id="79"/>
      <w:bookmarkStart w:id="80" w:name="_Toc184310284"/>
      <w:bookmarkEnd w:id="80"/>
      <w:bookmarkStart w:id="81" w:name="_Toc184308046"/>
      <w:bookmarkEnd w:id="81"/>
      <w:bookmarkStart w:id="82" w:name="_Toc184310302"/>
      <w:bookmarkEnd w:id="82"/>
      <w:bookmarkStart w:id="83" w:name="_Toc184313269"/>
      <w:bookmarkEnd w:id="83"/>
      <w:bookmarkStart w:id="84" w:name="_Toc184313276"/>
      <w:bookmarkEnd w:id="84"/>
      <w:bookmarkStart w:id="85" w:name="_Toc184313259"/>
      <w:bookmarkEnd w:id="85"/>
      <w:bookmarkStart w:id="86" w:name="_Toc184310293"/>
      <w:bookmarkEnd w:id="86"/>
      <w:bookmarkStart w:id="87" w:name="_Toc184312113"/>
      <w:bookmarkEnd w:id="87"/>
      <w:bookmarkStart w:id="88" w:name="_Toc184310279"/>
      <w:bookmarkEnd w:id="88"/>
      <w:bookmarkStart w:id="89" w:name="_Toc184314418"/>
      <w:bookmarkEnd w:id="89"/>
      <w:bookmarkStart w:id="90" w:name="_Toc184313297"/>
      <w:bookmarkEnd w:id="90"/>
      <w:bookmarkStart w:id="91" w:name="_Toc184314457"/>
      <w:bookmarkEnd w:id="91"/>
      <w:bookmarkStart w:id="92" w:name="_Toc184313306"/>
      <w:bookmarkEnd w:id="92"/>
      <w:bookmarkStart w:id="93" w:name="_Toc184313288"/>
      <w:bookmarkEnd w:id="93"/>
      <w:bookmarkStart w:id="94" w:name="_Toc184314469"/>
      <w:bookmarkEnd w:id="94"/>
      <w:bookmarkStart w:id="95" w:name="_Toc184314426"/>
      <w:bookmarkEnd w:id="95"/>
      <w:bookmarkStart w:id="96" w:name="_Toc184308100"/>
      <w:bookmarkEnd w:id="96"/>
      <w:bookmarkStart w:id="97" w:name="_Toc184312079"/>
      <w:bookmarkEnd w:id="97"/>
      <w:bookmarkStart w:id="98" w:name="_Toc184314453"/>
      <w:bookmarkEnd w:id="98"/>
      <w:bookmarkStart w:id="99" w:name="_Toc184308090"/>
      <w:bookmarkEnd w:id="99"/>
      <w:bookmarkStart w:id="100" w:name="_Toc184314460"/>
      <w:bookmarkEnd w:id="100"/>
      <w:bookmarkStart w:id="101" w:name="_Toc184310313"/>
      <w:bookmarkEnd w:id="101"/>
      <w:bookmarkStart w:id="102" w:name="_Toc184308071"/>
      <w:bookmarkEnd w:id="102"/>
      <w:bookmarkStart w:id="103" w:name="_Toc184313240"/>
      <w:bookmarkEnd w:id="103"/>
      <w:bookmarkStart w:id="104" w:name="_Toc184312075"/>
      <w:bookmarkEnd w:id="104"/>
      <w:bookmarkStart w:id="105" w:name="_Toc184310343"/>
      <w:bookmarkEnd w:id="105"/>
      <w:bookmarkStart w:id="106" w:name="_Toc184312069"/>
      <w:bookmarkEnd w:id="106"/>
      <w:bookmarkStart w:id="107" w:name="_Toc184313310"/>
      <w:bookmarkEnd w:id="107"/>
      <w:bookmarkStart w:id="108" w:name="_Toc184312107"/>
      <w:bookmarkEnd w:id="108"/>
      <w:bookmarkStart w:id="109" w:name="_Toc184308063"/>
      <w:bookmarkEnd w:id="109"/>
      <w:bookmarkStart w:id="110" w:name="_Toc184313238"/>
      <w:bookmarkEnd w:id="110"/>
      <w:bookmarkStart w:id="111" w:name="_Toc184312127"/>
      <w:bookmarkEnd w:id="111"/>
      <w:bookmarkStart w:id="112" w:name="_Toc184313279"/>
      <w:bookmarkEnd w:id="112"/>
      <w:bookmarkStart w:id="113" w:name="_Toc184313292"/>
      <w:bookmarkEnd w:id="113"/>
      <w:bookmarkStart w:id="114" w:name="_Toc184308092"/>
      <w:bookmarkEnd w:id="114"/>
      <w:bookmarkStart w:id="115" w:name="_Toc184313245"/>
      <w:bookmarkEnd w:id="115"/>
      <w:bookmarkStart w:id="116" w:name="_Toc184308069"/>
      <w:bookmarkEnd w:id="116"/>
      <w:bookmarkStart w:id="117" w:name="_Toc184308086"/>
      <w:bookmarkEnd w:id="117"/>
      <w:bookmarkStart w:id="118" w:name="_Toc184308097"/>
      <w:bookmarkEnd w:id="118"/>
      <w:bookmarkStart w:id="119" w:name="_Toc184308079"/>
      <w:bookmarkEnd w:id="119"/>
      <w:bookmarkStart w:id="120" w:name="_Toc184313258"/>
      <w:bookmarkEnd w:id="120"/>
      <w:bookmarkStart w:id="121" w:name="_Toc184314413"/>
      <w:bookmarkEnd w:id="121"/>
      <w:bookmarkStart w:id="122" w:name="_Toc184313247"/>
      <w:bookmarkEnd w:id="122"/>
      <w:bookmarkStart w:id="123" w:name="_Toc184314440"/>
      <w:bookmarkEnd w:id="123"/>
      <w:bookmarkStart w:id="124" w:name="_Toc184308083"/>
      <w:bookmarkEnd w:id="124"/>
      <w:bookmarkStart w:id="125" w:name="_Toc184313265"/>
      <w:bookmarkEnd w:id="125"/>
      <w:bookmarkStart w:id="126" w:name="_Toc184312126"/>
      <w:bookmarkEnd w:id="126"/>
      <w:bookmarkStart w:id="127" w:name="_Toc184310301"/>
      <w:bookmarkEnd w:id="127"/>
      <w:bookmarkStart w:id="128" w:name="_Toc184312101"/>
      <w:bookmarkEnd w:id="128"/>
      <w:bookmarkStart w:id="129" w:name="_Toc184310319"/>
      <w:bookmarkEnd w:id="129"/>
      <w:bookmarkStart w:id="130" w:name="_Toc184310296"/>
      <w:bookmarkEnd w:id="130"/>
      <w:bookmarkStart w:id="131" w:name="_Toc184310303"/>
      <w:bookmarkEnd w:id="131"/>
      <w:bookmarkStart w:id="132" w:name="_Toc184310287"/>
      <w:bookmarkEnd w:id="132"/>
      <w:bookmarkStart w:id="133" w:name="_Toc184308082"/>
      <w:bookmarkEnd w:id="133"/>
      <w:bookmarkStart w:id="134" w:name="_Toc184313268"/>
      <w:bookmarkEnd w:id="134"/>
      <w:bookmarkStart w:id="135" w:name="_Toc184313298"/>
      <w:bookmarkEnd w:id="135"/>
      <w:bookmarkStart w:id="136" w:name="_Toc184308047"/>
      <w:bookmarkEnd w:id="136"/>
      <w:bookmarkStart w:id="137" w:name="_Toc184314435"/>
      <w:bookmarkEnd w:id="137"/>
      <w:bookmarkStart w:id="138" w:name="_Toc184310277"/>
      <w:bookmarkEnd w:id="138"/>
      <w:bookmarkStart w:id="139" w:name="_Toc184310337"/>
      <w:bookmarkEnd w:id="139"/>
      <w:bookmarkStart w:id="140" w:name="_Toc184314451"/>
      <w:bookmarkEnd w:id="140"/>
      <w:bookmarkStart w:id="141" w:name="_Toc184314434"/>
      <w:bookmarkEnd w:id="141"/>
      <w:bookmarkStart w:id="142" w:name="_Toc184308060"/>
      <w:bookmarkEnd w:id="142"/>
      <w:bookmarkStart w:id="143" w:name="_Toc184313290"/>
      <w:bookmarkEnd w:id="143"/>
      <w:bookmarkStart w:id="144" w:name="_Toc184312124"/>
      <w:bookmarkEnd w:id="144"/>
      <w:bookmarkStart w:id="145" w:name="_Toc184312105"/>
      <w:bookmarkEnd w:id="145"/>
      <w:bookmarkStart w:id="146" w:name="_Toc184310306"/>
      <w:bookmarkEnd w:id="146"/>
      <w:bookmarkStart w:id="147" w:name="_Toc184312080"/>
      <w:bookmarkEnd w:id="147"/>
      <w:bookmarkStart w:id="148" w:name="_Toc184314427"/>
      <w:bookmarkEnd w:id="148"/>
      <w:bookmarkStart w:id="149" w:name="_Toc184310298"/>
      <w:bookmarkEnd w:id="149"/>
      <w:bookmarkStart w:id="150" w:name="_Toc184313301"/>
      <w:bookmarkEnd w:id="150"/>
      <w:bookmarkStart w:id="151" w:name="_Toc184312078"/>
      <w:bookmarkEnd w:id="151"/>
      <w:bookmarkStart w:id="152" w:name="_Toc184314474"/>
      <w:bookmarkEnd w:id="152"/>
      <w:bookmarkStart w:id="153" w:name="_Toc184313243"/>
      <w:bookmarkEnd w:id="153"/>
      <w:bookmarkStart w:id="154" w:name="_Toc184308043"/>
      <w:bookmarkEnd w:id="154"/>
      <w:bookmarkStart w:id="155" w:name="_Toc184313295"/>
      <w:bookmarkEnd w:id="155"/>
      <w:bookmarkStart w:id="156" w:name="_Toc184312071"/>
      <w:bookmarkEnd w:id="156"/>
      <w:bookmarkStart w:id="157" w:name="_Toc184308048"/>
      <w:bookmarkEnd w:id="157"/>
      <w:bookmarkStart w:id="158" w:name="_Toc184308076"/>
      <w:bookmarkEnd w:id="158"/>
      <w:bookmarkStart w:id="159" w:name="_Toc184314470"/>
      <w:bookmarkEnd w:id="159"/>
      <w:bookmarkStart w:id="160" w:name="_Toc184310282"/>
      <w:bookmarkEnd w:id="160"/>
      <w:bookmarkStart w:id="161" w:name="_Toc184310280"/>
      <w:bookmarkEnd w:id="161"/>
      <w:bookmarkStart w:id="162" w:name="_Toc184312085"/>
      <w:bookmarkEnd w:id="162"/>
      <w:bookmarkStart w:id="163" w:name="_Toc184314447"/>
      <w:bookmarkEnd w:id="163"/>
      <w:bookmarkStart w:id="164" w:name="_Toc184314462"/>
      <w:bookmarkEnd w:id="164"/>
      <w:bookmarkStart w:id="165" w:name="_Toc184308049"/>
      <w:bookmarkEnd w:id="165"/>
      <w:bookmarkStart w:id="166" w:name="_Toc184310299"/>
      <w:bookmarkEnd w:id="166"/>
      <w:bookmarkStart w:id="167" w:name="_Toc184308095"/>
      <w:bookmarkEnd w:id="167"/>
      <w:bookmarkStart w:id="168" w:name="_Toc184312133"/>
      <w:bookmarkEnd w:id="168"/>
      <w:bookmarkStart w:id="169" w:name="_Toc184314429"/>
      <w:bookmarkEnd w:id="169"/>
      <w:bookmarkStart w:id="170" w:name="_Toc184308059"/>
      <w:bookmarkEnd w:id="170"/>
      <w:bookmarkStart w:id="171" w:name="_Toc184313296"/>
      <w:bookmarkEnd w:id="171"/>
      <w:bookmarkStart w:id="172" w:name="_Toc184314476"/>
      <w:bookmarkEnd w:id="172"/>
      <w:bookmarkStart w:id="173" w:name="_Toc184314417"/>
      <w:bookmarkEnd w:id="173"/>
      <w:bookmarkStart w:id="174" w:name="_Toc184312122"/>
      <w:bookmarkEnd w:id="174"/>
      <w:bookmarkStart w:id="175" w:name="_Toc184314459"/>
      <w:bookmarkEnd w:id="175"/>
      <w:bookmarkStart w:id="176" w:name="_Toc184313270"/>
      <w:bookmarkEnd w:id="176"/>
      <w:bookmarkStart w:id="177" w:name="_Toc184308044"/>
      <w:bookmarkEnd w:id="177"/>
      <w:bookmarkStart w:id="178" w:name="_Toc184310311"/>
      <w:bookmarkEnd w:id="178"/>
      <w:bookmarkStart w:id="179" w:name="_Toc184313261"/>
      <w:bookmarkEnd w:id="179"/>
      <w:bookmarkStart w:id="180" w:name="_Toc184314456"/>
      <w:bookmarkEnd w:id="180"/>
      <w:bookmarkStart w:id="181" w:name="_Toc184312137"/>
      <w:bookmarkEnd w:id="181"/>
      <w:bookmarkStart w:id="182" w:name="_Toc184314467"/>
      <w:bookmarkEnd w:id="182"/>
      <w:bookmarkStart w:id="183" w:name="_Toc184310331"/>
      <w:bookmarkEnd w:id="183"/>
      <w:bookmarkStart w:id="184" w:name="_Toc184314448"/>
      <w:bookmarkEnd w:id="184"/>
      <w:bookmarkStart w:id="185" w:name="_Toc184313307"/>
      <w:bookmarkEnd w:id="185"/>
      <w:bookmarkStart w:id="186" w:name="_Toc184310339"/>
      <w:bookmarkEnd w:id="186"/>
      <w:bookmarkStart w:id="187" w:name="_Toc184314416"/>
      <w:bookmarkEnd w:id="187"/>
      <w:bookmarkStart w:id="188" w:name="_Toc184312115"/>
      <w:bookmarkEnd w:id="188"/>
      <w:bookmarkStart w:id="189" w:name="_Toc184312087"/>
      <w:bookmarkEnd w:id="189"/>
      <w:bookmarkStart w:id="190" w:name="_Toc184312106"/>
      <w:bookmarkEnd w:id="190"/>
      <w:bookmarkStart w:id="191" w:name="_Toc184310327"/>
      <w:bookmarkEnd w:id="191"/>
      <w:bookmarkStart w:id="192" w:name="_Toc184314465"/>
      <w:bookmarkEnd w:id="192"/>
      <w:bookmarkStart w:id="193" w:name="_Toc184308058"/>
      <w:bookmarkEnd w:id="193"/>
      <w:bookmarkStart w:id="194" w:name="_Toc184308061"/>
      <w:bookmarkEnd w:id="194"/>
      <w:bookmarkStart w:id="195" w:name="_Toc184310317"/>
      <w:bookmarkEnd w:id="195"/>
      <w:bookmarkStart w:id="196" w:name="_Toc184313277"/>
      <w:bookmarkEnd w:id="196"/>
      <w:bookmarkStart w:id="197" w:name="_Toc184310273"/>
      <w:bookmarkEnd w:id="197"/>
      <w:bookmarkStart w:id="198" w:name="_Toc184314478"/>
      <w:bookmarkEnd w:id="198"/>
      <w:bookmarkStart w:id="199" w:name="_Toc184312092"/>
      <w:bookmarkEnd w:id="199"/>
      <w:bookmarkStart w:id="200" w:name="_Toc184312081"/>
      <w:bookmarkEnd w:id="200"/>
      <w:bookmarkStart w:id="201" w:name="_Toc184314443"/>
      <w:bookmarkEnd w:id="201"/>
      <w:bookmarkStart w:id="202" w:name="_Toc184314419"/>
      <w:bookmarkEnd w:id="202"/>
      <w:bookmarkStart w:id="203" w:name="_Toc184312110"/>
      <w:bookmarkEnd w:id="203"/>
      <w:bookmarkStart w:id="204" w:name="_Toc184313244"/>
      <w:bookmarkEnd w:id="204"/>
      <w:bookmarkStart w:id="205" w:name="_Toc184312088"/>
      <w:bookmarkEnd w:id="205"/>
      <w:bookmarkStart w:id="206" w:name="_Toc184312073"/>
      <w:bookmarkEnd w:id="206"/>
      <w:bookmarkStart w:id="207" w:name="_Toc184314414"/>
      <w:bookmarkEnd w:id="207"/>
      <w:bookmarkStart w:id="208" w:name="_Toc184310291"/>
      <w:bookmarkEnd w:id="208"/>
      <w:bookmarkStart w:id="209" w:name="_Toc184310335"/>
      <w:bookmarkEnd w:id="209"/>
      <w:bookmarkStart w:id="210" w:name="_Toc184312072"/>
      <w:bookmarkEnd w:id="210"/>
      <w:bookmarkStart w:id="211" w:name="_Toc184313278"/>
      <w:bookmarkEnd w:id="211"/>
      <w:bookmarkStart w:id="212" w:name="_Toc184312084"/>
      <w:bookmarkEnd w:id="212"/>
      <w:bookmarkStart w:id="213" w:name="_Toc184313302"/>
      <w:bookmarkEnd w:id="213"/>
      <w:bookmarkStart w:id="214" w:name="_Toc184308072"/>
      <w:bookmarkEnd w:id="214"/>
      <w:bookmarkStart w:id="215" w:name="_Toc184310276"/>
      <w:bookmarkEnd w:id="215"/>
      <w:bookmarkStart w:id="216" w:name="_Toc184310312"/>
      <w:bookmarkEnd w:id="216"/>
      <w:bookmarkStart w:id="217" w:name="_Toc184313266"/>
      <w:bookmarkEnd w:id="217"/>
      <w:bookmarkStart w:id="218" w:name="_Toc184310300"/>
      <w:bookmarkEnd w:id="218"/>
      <w:bookmarkStart w:id="219" w:name="_Toc184312097"/>
      <w:bookmarkEnd w:id="219"/>
      <w:bookmarkStart w:id="220" w:name="_Toc184314431"/>
      <w:bookmarkEnd w:id="220"/>
      <w:bookmarkStart w:id="221" w:name="_Toc184313257"/>
      <w:bookmarkEnd w:id="221"/>
      <w:bookmarkStart w:id="222" w:name="_Toc184313251"/>
      <w:bookmarkEnd w:id="222"/>
      <w:bookmarkStart w:id="223" w:name="_Toc184312108"/>
      <w:bookmarkEnd w:id="223"/>
      <w:bookmarkStart w:id="224" w:name="_Toc184312119"/>
      <w:bookmarkEnd w:id="224"/>
      <w:bookmarkStart w:id="225" w:name="_Toc184313299"/>
      <w:bookmarkEnd w:id="225"/>
      <w:bookmarkStart w:id="226" w:name="_Toc184313291"/>
      <w:bookmarkEnd w:id="226"/>
      <w:bookmarkStart w:id="227" w:name="_Toc184313275"/>
      <w:bookmarkEnd w:id="227"/>
      <w:bookmarkStart w:id="228" w:name="_Toc184308045"/>
      <w:bookmarkEnd w:id="228"/>
      <w:bookmarkStart w:id="229" w:name="_Toc184313309"/>
      <w:bookmarkEnd w:id="229"/>
      <w:bookmarkStart w:id="230" w:name="_Toc184312117"/>
      <w:bookmarkEnd w:id="230"/>
      <w:bookmarkStart w:id="231" w:name="_Toc184308085"/>
      <w:bookmarkEnd w:id="231"/>
      <w:bookmarkStart w:id="232" w:name="_Toc184314442"/>
      <w:bookmarkEnd w:id="232"/>
      <w:bookmarkStart w:id="233" w:name="_Toc184308054"/>
      <w:bookmarkEnd w:id="233"/>
      <w:bookmarkStart w:id="234" w:name="_Toc184314452"/>
      <w:bookmarkEnd w:id="234"/>
      <w:bookmarkStart w:id="235" w:name="_Toc184308051"/>
      <w:bookmarkEnd w:id="235"/>
      <w:bookmarkStart w:id="236" w:name="_Toc184310323"/>
      <w:bookmarkEnd w:id="236"/>
      <w:bookmarkStart w:id="237" w:name="_Toc184313285"/>
      <w:bookmarkEnd w:id="237"/>
      <w:bookmarkStart w:id="238" w:name="_Toc184308074"/>
      <w:bookmarkEnd w:id="238"/>
      <w:bookmarkStart w:id="239" w:name="_Toc184312086"/>
      <w:bookmarkEnd w:id="239"/>
      <w:bookmarkStart w:id="240" w:name="_Toc184308101"/>
      <w:bookmarkEnd w:id="240"/>
      <w:bookmarkStart w:id="241" w:name="_Toc184314455"/>
      <w:bookmarkEnd w:id="241"/>
      <w:bookmarkStart w:id="242" w:name="_Toc184308067"/>
      <w:bookmarkEnd w:id="242"/>
      <w:bookmarkStart w:id="243" w:name="_Toc184308073"/>
      <w:bookmarkEnd w:id="243"/>
      <w:bookmarkStart w:id="244" w:name="_Toc184314449"/>
      <w:bookmarkEnd w:id="244"/>
      <w:bookmarkStart w:id="245" w:name="_Toc184310325"/>
      <w:bookmarkEnd w:id="245"/>
      <w:bookmarkStart w:id="246" w:name="_Toc184312068"/>
      <w:bookmarkEnd w:id="246"/>
      <w:bookmarkStart w:id="247" w:name="_Toc184313263"/>
      <w:bookmarkEnd w:id="247"/>
      <w:bookmarkStart w:id="248" w:name="_Toc184314464"/>
      <w:bookmarkEnd w:id="248"/>
      <w:bookmarkStart w:id="249" w:name="_Toc184310324"/>
      <w:bookmarkEnd w:id="249"/>
      <w:bookmarkStart w:id="250" w:name="_Toc184308087"/>
      <w:bookmarkEnd w:id="250"/>
      <w:bookmarkStart w:id="251" w:name="_Toc184314428"/>
      <w:bookmarkEnd w:id="251"/>
      <w:bookmarkStart w:id="252" w:name="_Toc184312095"/>
      <w:bookmarkEnd w:id="252"/>
      <w:bookmarkStart w:id="253" w:name="_Toc184313255"/>
      <w:bookmarkEnd w:id="253"/>
      <w:bookmarkStart w:id="254" w:name="_Toc184314415"/>
      <w:bookmarkEnd w:id="254"/>
      <w:bookmarkStart w:id="255" w:name="_Toc184313253"/>
      <w:bookmarkEnd w:id="255"/>
      <w:bookmarkStart w:id="256" w:name="_Toc184310289"/>
      <w:bookmarkEnd w:id="256"/>
      <w:bookmarkStart w:id="257" w:name="_Toc184312098"/>
      <w:bookmarkEnd w:id="257"/>
      <w:bookmarkStart w:id="258" w:name="_Toc184310309"/>
      <w:bookmarkEnd w:id="258"/>
      <w:bookmarkStart w:id="259" w:name="_Toc184313304"/>
      <w:bookmarkEnd w:id="259"/>
      <w:bookmarkStart w:id="260" w:name="_Toc184308064"/>
      <w:bookmarkEnd w:id="260"/>
      <w:bookmarkStart w:id="261" w:name="_Toc184314463"/>
      <w:bookmarkEnd w:id="261"/>
      <w:bookmarkStart w:id="262" w:name="_Toc184314411"/>
      <w:bookmarkEnd w:id="262"/>
      <w:bookmarkStart w:id="263" w:name="_Toc184314437"/>
      <w:bookmarkEnd w:id="263"/>
      <w:bookmarkStart w:id="264" w:name="_Toc184312094"/>
      <w:bookmarkEnd w:id="264"/>
      <w:bookmarkStart w:id="265" w:name="_Toc184312138"/>
      <w:bookmarkEnd w:id="265"/>
      <w:bookmarkStart w:id="266" w:name="_Toc184308062"/>
      <w:bookmarkEnd w:id="266"/>
      <w:bookmarkStart w:id="267" w:name="_Toc184308093"/>
      <w:bookmarkEnd w:id="267"/>
      <w:bookmarkStart w:id="268" w:name="_Toc184308075"/>
      <w:bookmarkEnd w:id="268"/>
      <w:bookmarkStart w:id="269" w:name="_Toc184313264"/>
      <w:bookmarkEnd w:id="269"/>
      <w:bookmarkStart w:id="270" w:name="_Toc184308098"/>
      <w:bookmarkEnd w:id="270"/>
      <w:bookmarkStart w:id="271" w:name="_Toc184310290"/>
      <w:bookmarkEnd w:id="271"/>
      <w:bookmarkStart w:id="272" w:name="_Toc184312125"/>
      <w:bookmarkEnd w:id="272"/>
      <w:bookmarkStart w:id="273" w:name="_Toc184308056"/>
      <w:bookmarkEnd w:id="273"/>
      <w:bookmarkStart w:id="274" w:name="_Toc184314439"/>
      <w:bookmarkEnd w:id="274"/>
      <w:bookmarkStart w:id="275" w:name="_Toc184314425"/>
      <w:bookmarkEnd w:id="275"/>
      <w:bookmarkStart w:id="276" w:name="_Toc184314424"/>
      <w:bookmarkEnd w:id="276"/>
      <w:bookmarkStart w:id="277" w:name="_Toc184314430"/>
      <w:bookmarkEnd w:id="277"/>
      <w:bookmarkStart w:id="278" w:name="_Toc184314422"/>
      <w:bookmarkEnd w:id="278"/>
      <w:bookmarkStart w:id="279" w:name="_Toc184308078"/>
      <w:bookmarkEnd w:id="279"/>
      <w:bookmarkStart w:id="280" w:name="_Toc184308107"/>
      <w:bookmarkEnd w:id="280"/>
      <w:bookmarkStart w:id="281" w:name="_Toc184308066"/>
      <w:bookmarkEnd w:id="281"/>
      <w:bookmarkStart w:id="282" w:name="_Toc184312118"/>
      <w:bookmarkEnd w:id="282"/>
      <w:bookmarkStart w:id="283" w:name="_Toc184308088"/>
      <w:bookmarkEnd w:id="283"/>
      <w:bookmarkStart w:id="284" w:name="_Toc184308077"/>
      <w:bookmarkEnd w:id="284"/>
      <w:bookmarkStart w:id="285" w:name="_Toc184312090"/>
      <w:bookmarkEnd w:id="285"/>
      <w:bookmarkStart w:id="286" w:name="_Toc184313271"/>
      <w:bookmarkEnd w:id="286"/>
      <w:bookmarkStart w:id="287" w:name="_Toc184313262"/>
      <w:bookmarkEnd w:id="287"/>
      <w:bookmarkStart w:id="288" w:name="_Toc184308108"/>
      <w:bookmarkEnd w:id="288"/>
      <w:bookmarkStart w:id="289" w:name="_Toc184310320"/>
      <w:bookmarkEnd w:id="289"/>
      <w:bookmarkStart w:id="290" w:name="_Toc184312103"/>
      <w:bookmarkEnd w:id="290"/>
      <w:bookmarkStart w:id="291" w:name="_Toc184310275"/>
      <w:bookmarkEnd w:id="291"/>
      <w:bookmarkStart w:id="292" w:name="_Toc184308052"/>
      <w:bookmarkEnd w:id="292"/>
      <w:bookmarkStart w:id="293" w:name="_Toc184314472"/>
      <w:bookmarkEnd w:id="293"/>
      <w:bookmarkStart w:id="294" w:name="_Toc184310332"/>
      <w:bookmarkEnd w:id="294"/>
      <w:bookmarkStart w:id="295" w:name="_Toc184310272"/>
      <w:bookmarkEnd w:id="295"/>
      <w:bookmarkStart w:id="296" w:name="_Toc184310286"/>
      <w:bookmarkEnd w:id="296"/>
      <w:bookmarkStart w:id="297" w:name="_Toc184312070"/>
      <w:bookmarkEnd w:id="297"/>
      <w:bookmarkStart w:id="298" w:name="_Toc184310283"/>
      <w:bookmarkEnd w:id="298"/>
      <w:bookmarkStart w:id="299" w:name="_Toc184312077"/>
      <w:bookmarkEnd w:id="299"/>
      <w:bookmarkStart w:id="300" w:name="_Toc184313256"/>
      <w:bookmarkEnd w:id="300"/>
      <w:bookmarkStart w:id="301" w:name="_Toc184313284"/>
      <w:bookmarkEnd w:id="301"/>
      <w:bookmarkStart w:id="302" w:name="_Toc184308096"/>
      <w:bookmarkEnd w:id="302"/>
      <w:bookmarkStart w:id="303" w:name="_Toc184310307"/>
      <w:bookmarkEnd w:id="303"/>
      <w:bookmarkStart w:id="304" w:name="_Toc184308080"/>
      <w:bookmarkEnd w:id="304"/>
      <w:bookmarkStart w:id="305" w:name="_Toc184312130"/>
      <w:bookmarkEnd w:id="305"/>
      <w:bookmarkStart w:id="306" w:name="_Toc184314475"/>
      <w:bookmarkEnd w:id="306"/>
      <w:bookmarkStart w:id="307" w:name="_Toc184313241"/>
      <w:bookmarkEnd w:id="307"/>
      <w:bookmarkStart w:id="308" w:name="_Toc184313308"/>
      <w:bookmarkEnd w:id="308"/>
      <w:bookmarkStart w:id="309" w:name="_Toc184313249"/>
      <w:bookmarkEnd w:id="309"/>
      <w:bookmarkStart w:id="310" w:name="_Toc184314444"/>
      <w:bookmarkEnd w:id="310"/>
      <w:bookmarkStart w:id="311" w:name="_Toc184308039"/>
      <w:bookmarkEnd w:id="311"/>
      <w:bookmarkStart w:id="312" w:name="_Toc184312102"/>
      <w:bookmarkEnd w:id="312"/>
      <w:bookmarkStart w:id="313" w:name="_Toc184308106"/>
      <w:bookmarkEnd w:id="313"/>
      <w:bookmarkStart w:id="314" w:name="_Toc184313289"/>
      <w:bookmarkEnd w:id="314"/>
      <w:bookmarkStart w:id="315" w:name="_Toc184310341"/>
      <w:bookmarkEnd w:id="315"/>
      <w:bookmarkStart w:id="316" w:name="_Toc184308057"/>
      <w:bookmarkEnd w:id="316"/>
      <w:bookmarkStart w:id="317" w:name="_Toc184310305"/>
      <w:bookmarkEnd w:id="317"/>
      <w:bookmarkStart w:id="318" w:name="_Toc184314421"/>
      <w:bookmarkEnd w:id="318"/>
      <w:bookmarkStart w:id="319" w:name="_Toc184312082"/>
      <w:bookmarkEnd w:id="319"/>
      <w:bookmarkStart w:id="320" w:name="_Toc184314479"/>
      <w:bookmarkEnd w:id="320"/>
      <w:bookmarkStart w:id="321" w:name="_Toc184308105"/>
      <w:bookmarkEnd w:id="321"/>
      <w:bookmarkStart w:id="322" w:name="_Toc184314480"/>
      <w:bookmarkEnd w:id="322"/>
      <w:bookmarkStart w:id="323" w:name="_Toc184314423"/>
      <w:bookmarkEnd w:id="323"/>
      <w:bookmarkStart w:id="324" w:name="_Toc184313274"/>
      <w:bookmarkEnd w:id="324"/>
      <w:bookmarkStart w:id="325" w:name="_Toc184310316"/>
      <w:bookmarkEnd w:id="325"/>
      <w:bookmarkStart w:id="326" w:name="_Toc184308099"/>
      <w:bookmarkEnd w:id="326"/>
      <w:bookmarkStart w:id="327" w:name="_Toc184310318"/>
      <w:bookmarkEnd w:id="327"/>
      <w:bookmarkStart w:id="328" w:name="_Toc184308089"/>
      <w:bookmarkEnd w:id="328"/>
      <w:bookmarkStart w:id="329" w:name="_Toc184308081"/>
      <w:bookmarkEnd w:id="329"/>
      <w:bookmarkStart w:id="330" w:name="_Toc184310321"/>
      <w:bookmarkEnd w:id="330"/>
      <w:bookmarkStart w:id="331" w:name="_Toc184308070"/>
      <w:bookmarkEnd w:id="331"/>
      <w:bookmarkStart w:id="332" w:name="_Toc184312109"/>
      <w:bookmarkEnd w:id="332"/>
      <w:bookmarkStart w:id="333" w:name="_Toc184308053"/>
      <w:bookmarkEnd w:id="333"/>
      <w:bookmarkStart w:id="334" w:name="_Toc184312083"/>
      <w:bookmarkEnd w:id="334"/>
      <w:bookmarkStart w:id="335" w:name="_Toc184312074"/>
      <w:bookmarkEnd w:id="335"/>
      <w:bookmarkStart w:id="336" w:name="_Toc184314466"/>
      <w:bookmarkEnd w:id="336"/>
      <w:bookmarkStart w:id="337" w:name="_Toc184308037"/>
      <w:bookmarkEnd w:id="337"/>
      <w:bookmarkStart w:id="338" w:name="_Toc184310315"/>
      <w:bookmarkEnd w:id="338"/>
      <w:bookmarkStart w:id="339" w:name="_Toc184312076"/>
      <w:bookmarkEnd w:id="339"/>
      <w:bookmarkStart w:id="340" w:name="_Toc184314454"/>
      <w:bookmarkEnd w:id="340"/>
      <w:bookmarkStart w:id="341" w:name="_Toc184314471"/>
      <w:bookmarkEnd w:id="341"/>
      <w:bookmarkStart w:id="342" w:name="_Toc184310295"/>
      <w:bookmarkEnd w:id="342"/>
      <w:bookmarkStart w:id="343" w:name="_Toc184310314"/>
      <w:bookmarkEnd w:id="343"/>
      <w:bookmarkStart w:id="344" w:name="_Toc184308103"/>
      <w:bookmarkEnd w:id="344"/>
      <w:bookmarkStart w:id="345" w:name="_Toc184313282"/>
      <w:bookmarkEnd w:id="345"/>
      <w:bookmarkStart w:id="346" w:name="_Toc184314433"/>
      <w:bookmarkEnd w:id="346"/>
      <w:bookmarkStart w:id="347" w:name="_Toc184310330"/>
      <w:bookmarkEnd w:id="347"/>
      <w:bookmarkStart w:id="348" w:name="_Toc184312134"/>
      <w:bookmarkEnd w:id="348"/>
      <w:bookmarkStart w:id="349" w:name="_Toc184308036"/>
      <w:bookmarkEnd w:id="349"/>
      <w:bookmarkStart w:id="350" w:name="_Toc184308094"/>
      <w:bookmarkEnd w:id="350"/>
      <w:bookmarkStart w:id="351" w:name="_Toc184313293"/>
      <w:bookmarkEnd w:id="351"/>
      <w:bookmarkStart w:id="352" w:name="_Toc184312135"/>
      <w:bookmarkEnd w:id="352"/>
      <w:bookmarkStart w:id="353" w:name="_Toc184310342"/>
      <w:bookmarkEnd w:id="353"/>
      <w:bookmarkStart w:id="354" w:name="_Toc184308102"/>
      <w:bookmarkEnd w:id="354"/>
      <w:bookmarkStart w:id="355" w:name="_Toc184310310"/>
      <w:bookmarkEnd w:id="355"/>
      <w:bookmarkStart w:id="356" w:name="_Toc184314473"/>
      <w:bookmarkEnd w:id="356"/>
      <w:bookmarkStart w:id="357" w:name="_Toc184313239"/>
      <w:bookmarkEnd w:id="357"/>
      <w:bookmarkStart w:id="358" w:name="_Toc184312129"/>
      <w:bookmarkEnd w:id="358"/>
      <w:bookmarkStart w:id="359" w:name="_Toc184313303"/>
      <w:bookmarkEnd w:id="359"/>
      <w:bookmarkStart w:id="360" w:name="_Toc184313252"/>
      <w:bookmarkEnd w:id="360"/>
      <w:bookmarkStart w:id="361" w:name="_Toc184312100"/>
      <w:bookmarkEnd w:id="361"/>
      <w:bookmarkStart w:id="362" w:name="_Toc184310333"/>
      <w:bookmarkEnd w:id="362"/>
      <w:bookmarkStart w:id="363" w:name="_Toc184310294"/>
      <w:bookmarkEnd w:id="363"/>
      <w:bookmarkStart w:id="364" w:name="_Toc184312116"/>
      <w:bookmarkEnd w:id="364"/>
      <w:bookmarkStart w:id="365" w:name="_Toc184310326"/>
      <w:bookmarkEnd w:id="365"/>
      <w:bookmarkStart w:id="366" w:name="_Toc184310288"/>
      <w:bookmarkEnd w:id="366"/>
      <w:bookmarkStart w:id="367" w:name="_Toc184313294"/>
      <w:bookmarkEnd w:id="367"/>
      <w:bookmarkStart w:id="368" w:name="_Toc184310334"/>
      <w:bookmarkEnd w:id="368"/>
      <w:bookmarkStart w:id="369" w:name="_Toc184310308"/>
      <w:bookmarkEnd w:id="369"/>
      <w:bookmarkStart w:id="370" w:name="_Toc184308040"/>
      <w:bookmarkEnd w:id="370"/>
      <w:bookmarkStart w:id="371" w:name="_Toc184310322"/>
      <w:bookmarkEnd w:id="371"/>
      <w:bookmarkStart w:id="372" w:name="_Toc184312096"/>
      <w:bookmarkEnd w:id="372"/>
      <w:bookmarkStart w:id="373" w:name="_Toc184310281"/>
      <w:bookmarkEnd w:id="373"/>
      <w:bookmarkStart w:id="374" w:name="_Toc184313246"/>
      <w:bookmarkEnd w:id="374"/>
      <w:bookmarkStart w:id="375" w:name="_Toc184313250"/>
      <w:bookmarkEnd w:id="375"/>
      <w:bookmarkStart w:id="376" w:name="_Toc184310292"/>
      <w:bookmarkEnd w:id="376"/>
      <w:bookmarkStart w:id="377" w:name="_Toc184313248"/>
      <w:bookmarkEnd w:id="377"/>
      <w:bookmarkStart w:id="378" w:name="_Toc184312123"/>
      <w:bookmarkEnd w:id="378"/>
      <w:bookmarkStart w:id="379" w:name="_Toc184308038"/>
      <w:bookmarkEnd w:id="379"/>
      <w:bookmarkStart w:id="380" w:name="_Toc184313280"/>
      <w:bookmarkEnd w:id="380"/>
      <w:bookmarkStart w:id="381" w:name="_Toc184313260"/>
      <w:bookmarkEnd w:id="381"/>
      <w:bookmarkStart w:id="382" w:name="_Toc184308084"/>
      <w:bookmarkEnd w:id="382"/>
      <w:bookmarkStart w:id="383" w:name="_Toc184313305"/>
      <w:bookmarkEnd w:id="383"/>
      <w:bookmarkStart w:id="384" w:name="_Toc184308041"/>
      <w:bookmarkEnd w:id="384"/>
      <w:bookmarkStart w:id="385" w:name="_Toc184312128"/>
      <w:bookmarkEnd w:id="385"/>
      <w:bookmarkStart w:id="386" w:name="_Toc184312067"/>
      <w:bookmarkEnd w:id="386"/>
      <w:bookmarkStart w:id="387" w:name="_Toc184312093"/>
      <w:bookmarkEnd w:id="387"/>
      <w:bookmarkStart w:id="388" w:name="_Toc184314436"/>
      <w:bookmarkEnd w:id="388"/>
      <w:bookmarkStart w:id="389" w:name="_Toc184314477"/>
      <w:bookmarkEnd w:id="389"/>
      <w:bookmarkStart w:id="390" w:name="_Toc184313287"/>
      <w:bookmarkEnd w:id="390"/>
      <w:bookmarkStart w:id="391" w:name="_Toc184312121"/>
      <w:bookmarkEnd w:id="391"/>
      <w:bookmarkStart w:id="392" w:name="_Toc184308055"/>
      <w:bookmarkEnd w:id="392"/>
      <w:bookmarkStart w:id="393" w:name="_Toc184313273"/>
      <w:bookmarkEnd w:id="393"/>
      <w:bookmarkStart w:id="394" w:name="_Toc184312104"/>
      <w:bookmarkEnd w:id="394"/>
      <w:bookmarkStart w:id="395" w:name="_Toc184308050"/>
      <w:bookmarkEnd w:id="395"/>
      <w:bookmarkStart w:id="396" w:name="_Toc184312139"/>
      <w:bookmarkEnd w:id="396"/>
      <w:bookmarkStart w:id="397" w:name="_Toc184313283"/>
      <w:bookmarkEnd w:id="397"/>
      <w:bookmarkStart w:id="398" w:name="_Toc184312099"/>
      <w:bookmarkEnd w:id="398"/>
      <w:bookmarkStart w:id="399" w:name="_Toc184308091"/>
      <w:bookmarkEnd w:id="399"/>
      <w:bookmarkStart w:id="400" w:name="_Toc184314468"/>
      <w:bookmarkEnd w:id="400"/>
      <w:bookmarkStart w:id="401" w:name="_Toc184314445"/>
      <w:bookmarkEnd w:id="401"/>
      <w:bookmarkStart w:id="402" w:name="_Toc184310278"/>
      <w:bookmarkEnd w:id="402"/>
      <w:bookmarkStart w:id="403" w:name="_Toc184313267"/>
      <w:bookmarkEnd w:id="403"/>
      <w:bookmarkStart w:id="404" w:name="_Toc184310340"/>
      <w:bookmarkEnd w:id="404"/>
      <w:bookmarkStart w:id="405" w:name="_Toc184310329"/>
      <w:bookmarkEnd w:id="405"/>
      <w:bookmarkStart w:id="406" w:name="_Toc184314410"/>
      <w:bookmarkEnd w:id="406"/>
      <w:bookmarkStart w:id="407" w:name="_Toc184312131"/>
      <w:bookmarkEnd w:id="407"/>
      <w:bookmarkStart w:id="408" w:name="_Toc184312091"/>
      <w:bookmarkEnd w:id="408"/>
      <w:bookmarkStart w:id="409" w:name="_Toc184310336"/>
      <w:bookmarkEnd w:id="409"/>
      <w:bookmarkStart w:id="410" w:name="_Toc184314420"/>
      <w:bookmarkEnd w:id="410"/>
      <w:bookmarkStart w:id="411" w:name="_Toc184314461"/>
      <w:bookmarkEnd w:id="411"/>
      <w:bookmarkStart w:id="412" w:name="_Toc184314432"/>
      <w:bookmarkEnd w:id="412"/>
      <w:bookmarkStart w:id="413" w:name="_Toc184310297"/>
      <w:bookmarkEnd w:id="413"/>
      <w:bookmarkStart w:id="414" w:name="_Toc184314482"/>
      <w:bookmarkEnd w:id="414"/>
      <w:bookmarkStart w:id="415" w:name="_Toc184310274"/>
      <w:bookmarkEnd w:id="415"/>
      <w:bookmarkStart w:id="416" w:name="_Toc184314412"/>
      <w:bookmarkEnd w:id="416"/>
      <w:bookmarkStart w:id="417" w:name="_Toc184314446"/>
      <w:bookmarkEnd w:id="417"/>
      <w:bookmarkStart w:id="418" w:name="_Toc184313242"/>
      <w:bookmarkEnd w:id="418"/>
      <w:bookmarkStart w:id="419" w:name="_Toc184312112"/>
      <w:bookmarkEnd w:id="419"/>
      <w:bookmarkStart w:id="420" w:name="_Toc184314438"/>
      <w:bookmarkEnd w:id="420"/>
      <w:bookmarkStart w:id="421" w:name="_Toc184310285"/>
      <w:bookmarkEnd w:id="421"/>
      <w:bookmarkStart w:id="422" w:name="_Toc184314458"/>
      <w:bookmarkEnd w:id="422"/>
      <w:bookmarkStart w:id="423" w:name="_Toc184310328"/>
      <w:bookmarkEnd w:id="423"/>
      <w:bookmarkStart w:id="424" w:name="_Toc184310344"/>
      <w:bookmarkEnd w:id="424"/>
      <w:bookmarkStart w:id="425" w:name="_Toc184313286"/>
      <w:bookmarkEnd w:id="425"/>
      <w:bookmarkStart w:id="426" w:name="_Toc184313254"/>
      <w:bookmarkEnd w:id="426"/>
      <w:r>
        <w:rPr>
          <w:rFonts w:hint="eastAsia" w:ascii="仿宋_GB2312" w:hAnsi="仿宋_GB2312" w:eastAsia="仿宋_GB2312" w:cs="仿宋_GB2312"/>
          <w:b/>
          <w:color w:val="000000" w:themeColor="text1"/>
          <w:sz w:val="24"/>
          <w:szCs w:val="24"/>
          <w:highlight w:val="none"/>
          <w14:textFill>
            <w14:solidFill>
              <w14:schemeClr w14:val="tx1"/>
            </w14:solidFill>
          </w14:textFill>
        </w:rPr>
        <w:t>评标办法</w:t>
      </w:r>
    </w:p>
    <w:p>
      <w:pPr>
        <w:shd w:val="clear"/>
        <w:snapToGrid w:val="0"/>
        <w:spacing w:beforeLines="0" w:afterLines="0" w:line="360" w:lineRule="auto"/>
        <w:jc w:val="both"/>
        <w:rPr>
          <w:rFonts w:hint="eastAsia" w:ascii="仿宋_GB2312" w:hAnsi="仿宋_GB2312" w:eastAsia="仿宋_GB2312"/>
          <w:b/>
          <w:color w:val="000000" w:themeColor="text1"/>
          <w:sz w:val="24"/>
          <w:highlight w:val="none"/>
          <w14:textFill>
            <w14:solidFill>
              <w14:schemeClr w14:val="tx1"/>
            </w14:solidFill>
          </w14:textFill>
        </w:rPr>
      </w:pPr>
      <w:r>
        <w:rPr>
          <w:rFonts w:hint="eastAsia" w:ascii="仿宋_GB2312" w:hAnsi="仿宋_GB2312" w:eastAsia="仿宋_GB2312"/>
          <w:b/>
          <w:color w:val="000000" w:themeColor="text1"/>
          <w:sz w:val="24"/>
          <w:highlight w:val="none"/>
          <w14:textFill>
            <w14:solidFill>
              <w14:schemeClr w14:val="tx1"/>
            </w14:solidFill>
          </w14:textFill>
        </w:rPr>
        <w:t>标</w:t>
      </w:r>
      <w:r>
        <w:rPr>
          <w:rFonts w:hint="eastAsia" w:ascii="仿宋_GB2312" w:hAnsi="仿宋_GB2312" w:eastAsia="仿宋_GB2312"/>
          <w:b/>
          <w:color w:val="000000" w:themeColor="text1"/>
          <w:sz w:val="24"/>
          <w:highlight w:val="none"/>
          <w:lang w:val="en-US" w:eastAsia="zh-CN"/>
          <w14:textFill>
            <w14:solidFill>
              <w14:schemeClr w14:val="tx1"/>
            </w14:solidFill>
          </w14:textFill>
        </w:rPr>
        <w:t>项一</w:t>
      </w:r>
    </w:p>
    <w:tbl>
      <w:tblPr>
        <w:tblStyle w:val="73"/>
        <w:tblW w:w="850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96"/>
        <w:gridCol w:w="1064"/>
        <w:gridCol w:w="5323"/>
        <w:gridCol w:w="13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12" w:hRule="atLeast"/>
        </w:trPr>
        <w:tc>
          <w:tcPr>
            <w:tcW w:w="796"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jc w:val="center"/>
              <w:outlineLvl w:val="0"/>
              <w:rPr>
                <w:rFonts w:hint="eastAsia" w:ascii="仿宋_GB2312" w:hAnsi="仿宋_GB2312" w:eastAsia="仿宋_GB2312"/>
                <w:b/>
                <w:color w:val="000000" w:themeColor="text1"/>
                <w:sz w:val="24"/>
                <w:highlight w:val="none"/>
                <w14:textFill>
                  <w14:solidFill>
                    <w14:schemeClr w14:val="tx1"/>
                  </w14:solidFill>
                </w14:textFill>
              </w:rPr>
            </w:pPr>
            <w:bookmarkStart w:id="427" w:name="_Toc32514"/>
            <w:r>
              <w:rPr>
                <w:rFonts w:hint="eastAsia" w:ascii="仿宋_GB2312" w:hAnsi="仿宋_GB2312" w:eastAsia="仿宋_GB2312"/>
                <w:color w:val="000000" w:themeColor="text1"/>
                <w:sz w:val="24"/>
                <w:highlight w:val="none"/>
                <w14:textFill>
                  <w14:solidFill>
                    <w14:schemeClr w14:val="tx1"/>
                  </w14:solidFill>
                </w14:textFill>
              </w:rPr>
              <w:t>序号</w:t>
            </w:r>
          </w:p>
        </w:tc>
        <w:tc>
          <w:tcPr>
            <w:tcW w:w="6387" w:type="dxa"/>
            <w:gridSpan w:val="2"/>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firstLine="1560" w:firstLineChars="650"/>
              <w:jc w:val="both"/>
              <w:outlineLvl w:val="0"/>
              <w:rPr>
                <w:rFonts w:hint="eastAsia" w:ascii="仿宋_GB2312" w:hAnsi="仿宋_GB2312" w:eastAsia="仿宋_GB2312"/>
                <w:b/>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评标标准</w:t>
            </w:r>
          </w:p>
        </w:tc>
        <w:tc>
          <w:tcPr>
            <w:tcW w:w="1320"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outlineLvl w:val="0"/>
              <w:rPr>
                <w:rFonts w:hint="eastAsia" w:ascii="仿宋_GB2312" w:hAnsi="仿宋_GB2312" w:eastAsia="仿宋_GB2312"/>
                <w:b/>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权重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7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1</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类似业绩</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投标人自2020年1月1日以来（以合同签订时间为准）承担过类似项目业绩(指大型水库维修养护)的，每提供一个业绩得0.5分，本项最高得1分。</w:t>
            </w: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（提供类似项目合同彩色扫描件加盖公章，未提供不得分，合同签订时间不明确的不得分）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4"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2</w:t>
            </w:r>
          </w:p>
        </w:tc>
        <w:tc>
          <w:tcPr>
            <w:tcW w:w="1064" w:type="dxa"/>
            <w:vMerge w:val="restart"/>
            <w:tcBorders>
              <w:top w:val="nil"/>
              <w:left w:val="single" w:color="000000" w:sz="8" w:space="0"/>
              <w:bottom w:val="nil"/>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人员配置</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lang w:val="en-US" w:eastAsia="zh-CN"/>
                <w14:textFill>
                  <w14:solidFill>
                    <w14:schemeClr w14:val="tx1"/>
                  </w14:solidFill>
                </w14:textFill>
              </w:rPr>
            </w:pPr>
            <w:r>
              <w:rPr>
                <w:rFonts w:hint="eastAsia" w:ascii="仿宋_GB2312" w:hAnsi="仿宋_GB2312" w:eastAsia="仿宋_GB2312"/>
                <w:color w:val="000000" w:themeColor="text1"/>
                <w:kern w:val="0"/>
                <w:sz w:val="24"/>
                <w:highlight w:val="none"/>
                <w:lang w:val="en-US" w:eastAsia="zh-CN"/>
                <w14:textFill>
                  <w14:solidFill>
                    <w14:schemeClr w14:val="tx1"/>
                  </w14:solidFill>
                </w14:textFill>
              </w:rPr>
              <w:t>项目负责人具有水利工程二级注册建造师的得1分，水利工程一级注册建造师证书的得1.5分，本项最高得1.5分；同时具有水利行业中级技术职称的加1分，水利行业高级及以上技术职称的加1.5分；项目负责人最高得3分。</w:t>
            </w: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lang w:val="en-US" w:eastAsia="zh-CN"/>
                <w14:textFill>
                  <w14:solidFill>
                    <w14:schemeClr w14:val="tx1"/>
                  </w14:solidFill>
                </w14:textFill>
              </w:rPr>
            </w:pP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技术负责人具有水利行业中级技术职称的得1.5分，水利行业高级及以上技术职称的得2分；本项最高得2分。</w:t>
            </w: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（项目负责人、技术负责人与专业运行人员不可以兼任，提供上述相关人员有效证书及近三个月的社保缴费证明彩色扫描件加盖公章，未提供不得分）</w:t>
            </w:r>
            <w:r>
              <w:rPr>
                <w:rFonts w:hint="eastAsia" w:ascii="仿宋_GB2312" w:hAnsi="仿宋_GB2312" w:eastAsia="仿宋_GB2312"/>
                <w:color w:val="000000" w:themeColor="text1"/>
                <w:kern w:val="0"/>
                <w:sz w:val="24"/>
                <w:highlight w:val="none"/>
                <w:lang w:eastAsia="zh-CN"/>
                <w14:textFill>
                  <w14:solidFill>
                    <w14:schemeClr w14:val="tx1"/>
                  </w14:solidFill>
                </w14:textFill>
              </w:rPr>
              <w:t>，</w:t>
            </w:r>
            <w:r>
              <w:rPr>
                <w:rFonts w:hint="eastAsia" w:ascii="仿宋_GB2312" w:hAnsi="仿宋_GB2312" w:eastAsia="仿宋_GB2312"/>
                <w:color w:val="000000" w:themeColor="text1"/>
                <w:kern w:val="0"/>
                <w:sz w:val="24"/>
                <w:highlight w:val="none"/>
                <w:lang w:val="en-US" w:eastAsia="zh-CN"/>
                <w14:textFill>
                  <w14:solidFill>
                    <w14:schemeClr w14:val="tx1"/>
                  </w14:solidFill>
                </w14:textFill>
              </w:rPr>
              <w:t>退休人员不得分。</w:t>
            </w: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国家职业资格证书、职业技能等级证书查询网址 http://www.mohrss.gov.cn/SYrlzyhshbzb/ztzl/zyzghzyjndjrdcx 全国人力资源和社会保障政务服务平台https://12333.gov.cn/ 中国人事考试网http://www.cpta.com.cn/</w:t>
            </w:r>
          </w:p>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96"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3</w:t>
            </w:r>
          </w:p>
        </w:tc>
        <w:tc>
          <w:tcPr>
            <w:tcW w:w="1064" w:type="dxa"/>
            <w:vMerge w:val="continue"/>
            <w:tcBorders>
              <w:top w:val="nil"/>
              <w:left w:val="single" w:color="000000" w:sz="8" w:space="0"/>
              <w:bottom w:val="nil"/>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配置专业运行人员，包括水工监测工或闸门运行工（专业工种需提供证书（含培训证）彩色扫描件加盖公章）每个得1分，最高得5分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（项目负责人、技术负责人与专业运行人员不可以兼任，提供上述相关人员有效证书及近三个月的社保缴费证明彩色扫描件加盖公章，未提供不得分）</w:t>
            </w:r>
            <w:r>
              <w:rPr>
                <w:rFonts w:hint="eastAsia" w:ascii="仿宋_GB2312" w:hAnsi="仿宋_GB2312" w:eastAsia="仿宋_GB2312"/>
                <w:color w:val="000000" w:themeColor="text1"/>
                <w:kern w:val="0"/>
                <w:sz w:val="24"/>
                <w:highlight w:val="none"/>
                <w:lang w:eastAsia="zh-CN"/>
                <w14:textFill>
                  <w14:solidFill>
                    <w14:schemeClr w14:val="tx1"/>
                  </w14:solidFill>
                </w14:textFill>
              </w:rPr>
              <w:t>，</w:t>
            </w:r>
            <w:r>
              <w:rPr>
                <w:rFonts w:hint="eastAsia" w:ascii="仿宋_GB2312" w:hAnsi="仿宋_GB2312" w:eastAsia="仿宋_GB2312"/>
                <w:color w:val="000000" w:themeColor="text1"/>
                <w:kern w:val="0"/>
                <w:sz w:val="24"/>
                <w:highlight w:val="none"/>
                <w:lang w:val="en-US" w:eastAsia="zh-CN"/>
                <w14:textFill>
                  <w14:solidFill>
                    <w14:schemeClr w14:val="tx1"/>
                  </w14:solidFill>
                </w14:textFill>
              </w:rPr>
              <w:t>退休人员不得分。</w:t>
            </w:r>
          </w:p>
          <w:p>
            <w:pPr>
              <w:keepNext w:val="0"/>
              <w:keepLines w:val="0"/>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 国家职业资格证书、职业技能等级证书查询网址 http://www.mohrss.gov.cn/SYrlzyhshbzb/ztzl/zyzghzyjndjrdcx 全国人力资源和社会保障政务服务平台https://12333.gov.cn/ 中国人事考试网</w:t>
            </w:r>
            <w:r>
              <w:rPr>
                <w:rFonts w:hint="eastAsia" w:ascii="仿宋_GB2312" w:hAnsi="仿宋_GB2312" w:eastAsia="仿宋_GB2312"/>
                <w:color w:val="000000" w:themeColor="text1"/>
                <w:kern w:val="0"/>
                <w:sz w:val="24"/>
                <w:highlight w:val="none"/>
                <w14:textFill>
                  <w14:solidFill>
                    <w14:schemeClr w14:val="tx1"/>
                  </w14:solidFill>
                </w14:textFill>
              </w:rPr>
              <w:fldChar w:fldCharType="begin"/>
            </w:r>
            <w:r>
              <w:rPr>
                <w:rFonts w:hint="eastAsia" w:ascii="仿宋_GB2312" w:hAnsi="仿宋_GB2312" w:eastAsia="仿宋_GB2312"/>
                <w:color w:val="000000" w:themeColor="text1"/>
                <w:kern w:val="0"/>
                <w:sz w:val="24"/>
                <w:highlight w:val="none"/>
                <w14:textFill>
                  <w14:solidFill>
                    <w14:schemeClr w14:val="tx1"/>
                  </w14:solidFill>
                </w14:textFill>
              </w:rPr>
              <w:instrText xml:space="preserve"> HYPERLINK "http://www.cpta.com.cn/" </w:instrText>
            </w:r>
            <w:r>
              <w:rPr>
                <w:rFonts w:hint="eastAsia" w:ascii="仿宋_GB2312" w:hAnsi="仿宋_GB2312" w:eastAsia="仿宋_GB2312"/>
                <w:color w:val="000000" w:themeColor="text1"/>
                <w:kern w:val="0"/>
                <w:sz w:val="24"/>
                <w:highlight w:val="none"/>
                <w14:textFill>
                  <w14:solidFill>
                    <w14:schemeClr w14:val="tx1"/>
                  </w14:solidFill>
                </w14:textFill>
              </w:rPr>
              <w:fldChar w:fldCharType="separate"/>
            </w:r>
            <w:r>
              <w:rPr>
                <w:rStyle w:val="70"/>
                <w:rFonts w:hint="eastAsia" w:ascii="仿宋_GB2312" w:hAnsi="仿宋_GB2312" w:eastAsia="仿宋_GB2312"/>
                <w:color w:val="000000" w:themeColor="text1"/>
                <w:sz w:val="24"/>
                <w:highlight w:val="none"/>
                <w14:textFill>
                  <w14:solidFill>
                    <w14:schemeClr w14:val="tx1"/>
                  </w14:solidFill>
                </w14:textFill>
              </w:rPr>
              <w:t>http://www.cpta.com.cn/</w:t>
            </w:r>
            <w:r>
              <w:rPr>
                <w:rStyle w:val="70"/>
                <w:rFonts w:hint="eastAsia" w:ascii="仿宋_GB2312" w:hAnsi="仿宋_GB2312" w:eastAsia="仿宋_GB2312"/>
                <w:color w:val="000000" w:themeColor="text1"/>
                <w:sz w:val="24"/>
                <w:highlight w:val="none"/>
                <w14:textFill>
                  <w14:solidFill>
                    <w14:schemeClr w14:val="tx1"/>
                  </w14:solidFill>
                </w14:textFill>
              </w:rPr>
              <w:fldChar w:fldCharType="end"/>
            </w:r>
          </w:p>
          <w:p>
            <w:pPr>
              <w:keepNext w:val="0"/>
              <w:keepLines w:val="0"/>
              <w:suppressLineNumbers w:val="0"/>
              <w:shd w:val="clear"/>
              <w:spacing w:before="0" w:beforeLines="0" w:beforeAutospacing="0" w:after="0" w:afterLines="0" w:afterAutospacing="0" w:line="240" w:lineRule="exact"/>
              <w:ind w:left="0" w:right="0"/>
              <w:jc w:val="left"/>
              <w:rPr>
                <w:rFonts w:hint="eastAsia" w:ascii="宋体" w:hAnsi="宋体"/>
                <w:color w:val="000000" w:themeColor="text1"/>
                <w:kern w:val="0"/>
                <w:sz w:val="21"/>
                <w:highlight w:val="none"/>
                <w14:textFill>
                  <w14:solidFill>
                    <w14:schemeClr w14:val="tx1"/>
                  </w14:solidFill>
                </w14:textFill>
              </w:rPr>
            </w:pPr>
            <w:r>
              <w:rPr>
                <w:rFonts w:hint="default" w:ascii="仿宋_GB2312" w:hAnsi="仿宋_GB2312" w:eastAsia="仿宋_GB2312"/>
                <w:color w:val="000000" w:themeColor="text1"/>
                <w:kern w:val="0"/>
                <w:sz w:val="24"/>
                <w:highlight w:val="none"/>
                <w14:textFill>
                  <w14:solidFill>
                    <w14:schemeClr w14:val="tx1"/>
                  </w14:solidFill>
                </w14:textFill>
              </w:rPr>
              <w:t>技能人才评价证书全国联网查询（https://zscx.osta.org.cn/）</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62"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4</w:t>
            </w:r>
          </w:p>
        </w:tc>
        <w:tc>
          <w:tcPr>
            <w:tcW w:w="1064" w:type="dxa"/>
            <w:vMerge w:val="continue"/>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提供投标人自有船舶船员适任证书的，每提供一个得1分，最高得4分</w:t>
            </w:r>
            <w:r>
              <w:rPr>
                <w:rFonts w:hint="eastAsia" w:ascii="仿宋_GB2312" w:hAnsi="仿宋_GB2312" w:eastAsia="仿宋_GB2312"/>
                <w:color w:val="000000" w:themeColor="text1"/>
                <w:kern w:val="0"/>
                <w:sz w:val="24"/>
                <w:highlight w:val="none"/>
                <w14:textFill>
                  <w14:solidFill>
                    <w14:schemeClr w14:val="tx1"/>
                  </w14:solidFill>
                </w14:textFill>
              </w:rPr>
              <w:t>（提供人员有效证书及近三个月的社保缴费证明彩色扫描件加盖公章，未提供不得分）</w:t>
            </w:r>
            <w:r>
              <w:rPr>
                <w:rFonts w:hint="eastAsia" w:ascii="仿宋_GB2312" w:hAnsi="仿宋_GB2312" w:eastAsia="仿宋_GB2312"/>
                <w:color w:val="000000" w:themeColor="text1"/>
                <w:kern w:val="0"/>
                <w:sz w:val="24"/>
                <w:highlight w:val="none"/>
                <w:lang w:eastAsia="zh-CN"/>
                <w14:textFill>
                  <w14:solidFill>
                    <w14:schemeClr w14:val="tx1"/>
                  </w14:solidFill>
                </w14:textFill>
              </w:rPr>
              <w:t>，</w:t>
            </w:r>
            <w:r>
              <w:rPr>
                <w:rFonts w:hint="eastAsia" w:ascii="仿宋_GB2312" w:hAnsi="仿宋_GB2312" w:eastAsia="仿宋_GB2312"/>
                <w:color w:val="000000" w:themeColor="text1"/>
                <w:kern w:val="0"/>
                <w:sz w:val="24"/>
                <w:highlight w:val="none"/>
                <w:lang w:val="en-US" w:eastAsia="zh-CN"/>
                <w14:textFill>
                  <w14:solidFill>
                    <w14:schemeClr w14:val="tx1"/>
                  </w14:solidFill>
                </w14:textFill>
              </w:rPr>
              <w:t>退休人员不得分。</w:t>
            </w:r>
            <w:r>
              <w:rPr>
                <w:rFonts w:hint="eastAsia" w:ascii="仿宋_GB2312" w:hAnsi="仿宋_GB2312" w:eastAsia="仿宋_GB2312"/>
                <w:color w:val="000000" w:themeColor="text1"/>
                <w:kern w:val="0"/>
                <w:sz w:val="24"/>
                <w:highlight w:val="none"/>
                <w14:textFill>
                  <w14:solidFill>
                    <w14:schemeClr w14:val="tx1"/>
                  </w14:solidFill>
                </w14:textFill>
              </w:rPr>
              <w:t> 证书查询网址 https://cyxx.msa.gov.cn/crew_qey/qry/welcome.action</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0-4分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5</w:t>
            </w:r>
          </w:p>
        </w:tc>
        <w:tc>
          <w:tcPr>
            <w:tcW w:w="1064" w:type="dxa"/>
            <w:vMerge w:val="continue"/>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提供巡查、维护、养护、检修等专业人员配置及分工情况的得5分，（提供专业人员配置及分工情况表(格式自拟、加盖公章，未提供不得分）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84" w:hRule="atLeast"/>
        </w:trPr>
        <w:tc>
          <w:tcPr>
            <w:tcW w:w="796"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6</w:t>
            </w:r>
          </w:p>
        </w:tc>
        <w:tc>
          <w:tcPr>
            <w:tcW w:w="1064"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设备物资投入情况</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根据投标人结合本项目实际情况拟投入的机械设备、车辆等情况进行打分。投标人拥有本公司自有车辆的得2分；投标人拥有本公司自有船舶的得3分，本项最高得5分（提供车辆行驶证或船舶</w:t>
            </w:r>
            <w:r>
              <w:rPr>
                <w:rFonts w:hint="eastAsia" w:ascii="仿宋_GB2312" w:hAnsi="仿宋_GB2312" w:eastAsia="仿宋_GB2312"/>
                <w:color w:val="000000" w:themeColor="text1"/>
                <w:sz w:val="24"/>
                <w:highlight w:val="none"/>
                <w:lang w:val="en-US" w:eastAsia="zh-CN"/>
                <w14:textFill>
                  <w14:solidFill>
                    <w14:schemeClr w14:val="tx1"/>
                  </w14:solidFill>
                </w14:textFill>
              </w:rPr>
              <w:t>出厂合格证、</w:t>
            </w:r>
            <w:r>
              <w:rPr>
                <w:rFonts w:hint="eastAsia" w:ascii="仿宋_GB2312" w:hAnsi="仿宋_GB2312" w:eastAsia="仿宋_GB2312"/>
                <w:color w:val="000000" w:themeColor="text1"/>
                <w:sz w:val="24"/>
                <w:highlight w:val="none"/>
                <w14:textFill>
                  <w14:solidFill>
                    <w14:schemeClr w14:val="tx1"/>
                  </w14:solidFill>
                </w14:textFill>
              </w:rPr>
              <w:t>所有权登记证书的彩色扫描件加盖公章，未提供不得分）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516" w:hRule="atLeast"/>
        </w:trPr>
        <w:tc>
          <w:tcPr>
            <w:tcW w:w="796"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7</w:t>
            </w:r>
          </w:p>
        </w:tc>
        <w:tc>
          <w:tcPr>
            <w:tcW w:w="1064" w:type="dxa"/>
            <w:vMerge w:val="restart"/>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项目实施方案</w:t>
            </w:r>
          </w:p>
        </w:tc>
        <w:tc>
          <w:tcPr>
            <w:tcW w:w="5323"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根据投标人对本项目现有情况的了解程度及现状分析进行打分。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96" w:hRule="atLeast"/>
        </w:trPr>
        <w:tc>
          <w:tcPr>
            <w:tcW w:w="796" w:type="dxa"/>
            <w:tcBorders>
              <w:top w:val="single" w:color="000000" w:sz="8" w:space="0"/>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8</w:t>
            </w:r>
          </w:p>
        </w:tc>
        <w:tc>
          <w:tcPr>
            <w:tcW w:w="1064" w:type="dxa"/>
            <w:vMerge w:val="continue"/>
            <w:tcBorders>
              <w:top w:val="single" w:color="000000" w:sz="8" w:space="0"/>
              <w:left w:val="single" w:color="000000" w:sz="8" w:space="0"/>
              <w:bottom w:val="nil"/>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p>
        </w:tc>
        <w:tc>
          <w:tcPr>
            <w:tcW w:w="5323"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根据投标人结合本项目采购需求，就如何完成本项目的各项任务（启闭设施的养护及检查、工程维修、工程保洁、数据管理等）的具体实施方案、工作方法的可行性、可操作性等综合评分。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726"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9</w:t>
            </w:r>
          </w:p>
        </w:tc>
        <w:tc>
          <w:tcPr>
            <w:tcW w:w="1064" w:type="dxa"/>
            <w:vMerge w:val="continue"/>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根据投标人结合本项目采购需求制定的工作交接、合理化建议和做法等方案进行评分。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374"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10</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安全文明作业方案</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根据投标人结合本项目采购需求制定的安全文明作业方案（安全文明制度、作业安全保证体系、设施设备安全检查、安全事故处理方法）的具体实施方案、工作方法的可行性、可操作性等综合评分。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7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11</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重点、难点</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根据投标人对项目现状、存在的问题和水库管理养护的难点、要点等问题进行调查剖析，并针对性的提出克服难点和要点技术措施等进行打分。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206"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12</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岗位职责、内部管理、考核制度</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根据投标人针对本项目实际情况制定岗位职责、内部管理制度（组织架构、人员管理方案、人员待遇规章制度方案、人员培训方案等）、内部考核制度的完善性、合理性等进行评分。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5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13</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重大活动、突发事件应急预案</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根据投标人针对本项目实际情况制定的重大活动及突发事件应急预案（极端天气应急保障方案、恶性事故应急方案等）是否科学、合理、完整及可行性、针对性进行评分。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6</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0-9分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3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jc w:val="center"/>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14</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项目服务质量承诺</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jc w:val="left"/>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根据投标人服务质量承诺（包括服务响应时间、本地化服务承诺、服务网点设置、安全承诺、投诉渠道、优惠承诺等）及详细的培训计划方案进行打分。</w:t>
            </w:r>
          </w:p>
          <w:p>
            <w:pPr>
              <w:keepNext w:val="0"/>
              <w:keepLines w:val="0"/>
              <w:suppressLineNumbers w:val="0"/>
              <w:shd w:val="clear"/>
              <w:spacing w:before="0" w:beforeLines="0" w:beforeAutospacing="0" w:after="0" w:afterLines="0" w:afterAutospacing="0" w:line="240" w:lineRule="exact"/>
              <w:ind w:left="0" w:right="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lang w:val="zh-CN" w:eastAsia="zh-CN"/>
                <w14:textFill>
                  <w14:solidFill>
                    <w14:schemeClr w14:val="tx1"/>
                  </w14:solidFill>
                </w14:textFill>
              </w:rPr>
              <w:t>提供的得基本分</w:t>
            </w:r>
            <w:r>
              <w:rPr>
                <w:rFonts w:hint="eastAsia" w:ascii="仿宋_GB2312" w:hAnsi="仿宋_GB2312" w:eastAsia="仿宋_GB2312"/>
                <w:color w:val="000000" w:themeColor="text1"/>
                <w:sz w:val="24"/>
                <w:highlight w:val="none"/>
                <w:lang w:val="en-US" w:eastAsia="zh-CN"/>
                <w14:textFill>
                  <w14:solidFill>
                    <w14:schemeClr w14:val="tx1"/>
                  </w14:solidFill>
                </w14:textFill>
              </w:rPr>
              <w:t>5</w:t>
            </w:r>
            <w:r>
              <w:rPr>
                <w:rFonts w:hint="eastAsia" w:ascii="仿宋_GB2312" w:hAnsi="仿宋_GB2312" w:eastAsia="仿宋_GB2312"/>
                <w:color w:val="000000" w:themeColor="text1"/>
                <w:sz w:val="24"/>
                <w:highlight w:val="none"/>
                <w:lang w:val="zh-CN" w:eastAsia="zh-CN"/>
                <w14:textFill>
                  <w14:solidFill>
                    <w14:schemeClr w14:val="tx1"/>
                  </w14:solidFill>
                </w14:textFill>
              </w:rPr>
              <w:t>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napToGrid w:val="0"/>
              <w:spacing w:before="0" w:beforeLines="0" w:beforeAutospacing="0" w:after="0" w:afterLines="0" w:afterAutospacing="0" w:line="240" w:lineRule="exact"/>
              <w:ind w:left="0" w:right="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446" w:hRule="atLeast"/>
        </w:trPr>
        <w:tc>
          <w:tcPr>
            <w:tcW w:w="1860" w:type="dxa"/>
            <w:gridSpan w:val="2"/>
            <w:tcBorders>
              <w:top w:val="single" w:color="auto" w:sz="4" w:space="0"/>
              <w:left w:val="single" w:color="000000" w:sz="8" w:space="0"/>
              <w:bottom w:val="single" w:color="000000" w:sz="8" w:space="0"/>
              <w:right w:val="single" w:color="000000" w:sz="8" w:space="0"/>
              <w:tl2br w:val="nil"/>
              <w:tr2bl w:val="nil"/>
            </w:tcBorders>
            <w:vAlign w:val="center"/>
          </w:tcPr>
          <w:p>
            <w:pPr>
              <w:keepNext w:val="0"/>
              <w:keepLines w:val="0"/>
              <w:suppressLineNumbers w:val="0"/>
              <w:shd w:val="clear"/>
              <w:spacing w:before="0" w:beforeLines="0" w:beforeAutospacing="0" w:after="0" w:afterLines="0" w:afterAutospacing="0" w:line="240" w:lineRule="exact"/>
              <w:ind w:left="0" w:right="0"/>
              <w:jc w:val="center"/>
              <w:outlineLvl w:val="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报价分</w:t>
            </w:r>
          </w:p>
        </w:tc>
        <w:tc>
          <w:tcPr>
            <w:tcW w:w="5323" w:type="dxa"/>
            <w:tcBorders>
              <w:top w:val="single" w:color="auto" w:sz="4" w:space="0"/>
              <w:left w:val="single" w:color="000000" w:sz="8" w:space="0"/>
              <w:bottom w:val="single" w:color="000000" w:sz="8" w:space="0"/>
              <w:right w:val="single" w:color="000000" w:sz="8" w:space="0"/>
              <w:tl2br w:val="nil"/>
              <w:tr2bl w:val="nil"/>
            </w:tcBorders>
            <w:vAlign w:val="top"/>
          </w:tcPr>
          <w:p>
            <w:pPr>
              <w:keepNext w:val="0"/>
              <w:keepLines w:val="0"/>
              <w:suppressLineNumbers w:val="0"/>
              <w:shd w:val="clear"/>
              <w:spacing w:before="0" w:beforeLines="0" w:beforeAutospacing="0" w:after="0" w:afterLines="0" w:afterAutospacing="0" w:line="240" w:lineRule="exact"/>
              <w:ind w:left="0" w:right="0"/>
              <w:outlineLvl w:val="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有效投标报价的最低价作为评标基准价，其最低报价为满分；</w:t>
            </w:r>
          </w:p>
          <w:p>
            <w:pPr>
              <w:keepNext w:val="0"/>
              <w:keepLines w:val="0"/>
              <w:suppressLineNumbers w:val="0"/>
              <w:shd w:val="clear"/>
              <w:spacing w:before="0" w:beforeLines="0" w:beforeAutospacing="0" w:after="0" w:afterLines="0" w:afterAutospacing="0" w:line="240" w:lineRule="exact"/>
              <w:ind w:left="0" w:right="0"/>
              <w:outlineLvl w:val="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按投标报价得分=（评标基准价/投标报价）*10的计算公式计算。</w:t>
            </w:r>
          </w:p>
          <w:p>
            <w:pPr>
              <w:keepNext w:val="0"/>
              <w:keepLines w:val="0"/>
              <w:suppressLineNumbers w:val="0"/>
              <w:shd w:val="clear"/>
              <w:spacing w:before="0" w:beforeLines="0" w:beforeAutospacing="0" w:after="0" w:afterLines="0" w:afterAutospacing="0" w:line="240" w:lineRule="exact"/>
              <w:ind w:left="0" w:right="0"/>
              <w:outlineLvl w:val="0"/>
              <w:rPr>
                <w:rFonts w:hint="eastAsia" w:ascii="仿宋_GB2312" w:hAnsi="仿宋_GB2312" w:eastAsia="仿宋_GB2312"/>
                <w:color w:val="000000" w:themeColor="text1"/>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评标过程中，不得去掉报价中的最高报价和最低报价。</w:t>
            </w:r>
          </w:p>
          <w:p>
            <w:pPr>
              <w:keepNext w:val="0"/>
              <w:keepLines w:val="0"/>
              <w:suppressLineNumbers w:val="0"/>
              <w:shd w:val="clear"/>
              <w:spacing w:before="0" w:beforeLines="0" w:beforeAutospacing="0" w:after="0" w:afterLines="0" w:afterAutospacing="0" w:line="240" w:lineRule="exact"/>
              <w:ind w:left="0" w:right="0"/>
              <w:outlineLvl w:val="0"/>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sz w:val="24"/>
                <w:highlight w:val="none"/>
                <w14:textFill>
                  <w14:solidFill>
                    <w14:schemeClr w14:val="tx1"/>
                  </w14:solidFill>
                </w14:textFill>
              </w:rPr>
              <w:t>因落实政府采购政策需要进行价格调整的，以调整后的价格计算评标基准价和投标报价。</w:t>
            </w:r>
          </w:p>
        </w:tc>
        <w:tc>
          <w:tcPr>
            <w:tcW w:w="1320" w:type="dxa"/>
            <w:tcBorders>
              <w:top w:val="single" w:color="auto" w:sz="4" w:space="0"/>
              <w:left w:val="single" w:color="000000" w:sz="8" w:space="0"/>
              <w:bottom w:val="single" w:color="000000" w:sz="8" w:space="0"/>
              <w:right w:val="single" w:color="000000" w:sz="8" w:space="0"/>
              <w:tl2br w:val="nil"/>
              <w:tr2bl w:val="nil"/>
            </w:tcBorders>
            <w:vAlign w:val="center"/>
          </w:tcPr>
          <w:p>
            <w:pPr>
              <w:keepNext w:val="0"/>
              <w:keepLines w:val="0"/>
              <w:widowControl/>
              <w:suppressLineNumbers w:val="0"/>
              <w:shd w:val="clear"/>
              <w:spacing w:before="0" w:beforeLines="0" w:beforeAutospacing="0" w:after="0" w:afterLines="0" w:afterAutospacing="0" w:line="240" w:lineRule="exact"/>
              <w:ind w:left="0" w:right="0"/>
              <w:textAlignment w:val="center"/>
              <w:rPr>
                <w:rFonts w:hint="eastAsia" w:ascii="仿宋_GB2312" w:hAnsi="仿宋_GB2312" w:eastAsia="仿宋_GB2312"/>
                <w:color w:val="000000" w:themeColor="text1"/>
                <w:kern w:val="0"/>
                <w:sz w:val="24"/>
                <w:highlight w:val="none"/>
                <w14:textFill>
                  <w14:solidFill>
                    <w14:schemeClr w14:val="tx1"/>
                  </w14:solidFill>
                </w14:textFill>
              </w:rPr>
            </w:pPr>
            <w:r>
              <w:rPr>
                <w:rFonts w:hint="eastAsia" w:ascii="仿宋_GB2312" w:hAnsi="仿宋_GB2312" w:eastAsia="仿宋_GB2312"/>
                <w:color w:val="000000" w:themeColor="text1"/>
                <w:kern w:val="0"/>
                <w:sz w:val="24"/>
                <w:highlight w:val="none"/>
                <w14:textFill>
                  <w14:solidFill>
                    <w14:schemeClr w14:val="tx1"/>
                  </w14:solidFill>
                </w14:textFill>
              </w:rPr>
              <w:t>10分</w:t>
            </w:r>
          </w:p>
        </w:tc>
      </w:tr>
      <w:bookmarkEnd w:id="427"/>
    </w:tbl>
    <w:p>
      <w:pPr>
        <w:numPr>
          <w:ilvl w:val="0"/>
          <w:numId w:val="0"/>
        </w:numPr>
        <w:shd w:val="clear"/>
        <w:spacing w:beforeLines="0" w:afterLines="0"/>
        <w:ind w:firstLine="480" w:firstLineChars="200"/>
        <w:jc w:val="left"/>
        <w:rPr>
          <w:rFonts w:hint="eastAsia" w:ascii="仿宋_GB2312" w:hAnsi="仿宋_GB2312" w:eastAsia="仿宋_GB2312"/>
          <w:color w:val="000000" w:themeColor="text1"/>
          <w:sz w:val="24"/>
          <w:highlight w:val="none"/>
          <w14:textFill>
            <w14:solidFill>
              <w14:schemeClr w14:val="tx1"/>
            </w14:solidFill>
          </w14:textFill>
        </w:rPr>
      </w:pPr>
    </w:p>
    <w:p>
      <w:pPr>
        <w:numPr>
          <w:ilvl w:val="0"/>
          <w:numId w:val="0"/>
        </w:numPr>
        <w:shd w:val="clear"/>
        <w:spacing w:beforeLines="0" w:afterLines="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标项二</w:t>
      </w:r>
    </w:p>
    <w:tbl>
      <w:tblPr>
        <w:tblStyle w:val="73"/>
        <w:tblW w:w="850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96"/>
        <w:gridCol w:w="1064"/>
        <w:gridCol w:w="5323"/>
        <w:gridCol w:w="13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12" w:hRule="atLeast"/>
        </w:trPr>
        <w:tc>
          <w:tcPr>
            <w:tcW w:w="796"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序号</w:t>
            </w:r>
          </w:p>
        </w:tc>
        <w:tc>
          <w:tcPr>
            <w:tcW w:w="6387" w:type="dxa"/>
            <w:gridSpan w:val="2"/>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评标标准</w:t>
            </w:r>
          </w:p>
        </w:tc>
        <w:tc>
          <w:tcPr>
            <w:tcW w:w="1320"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权重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7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1</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类似业绩</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投标人自2020年1月1日以来（以合同签订时间为准）承担过类似项目业绩(指大型水库维修养护)的，每提供一个业绩得0.5分，本项最高得1分。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（提供类似项目合同彩色扫描件加盖公章，未提供不得分，合同签订时间不明确的不得分）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4"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2</w:t>
            </w:r>
          </w:p>
        </w:tc>
        <w:tc>
          <w:tcPr>
            <w:tcW w:w="1064" w:type="dxa"/>
            <w:vMerge w:val="restart"/>
            <w:tcBorders>
              <w:top w:val="nil"/>
              <w:left w:val="single" w:color="000000" w:sz="8" w:space="0"/>
              <w:bottom w:val="nil"/>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人员配置</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项目负责人具有水利工程二级注册建造师的得1分，水利工程一级注册建造师证书的得1.5分，本项最高得1.5分；同时具有水利行业中级技术职称的加1分，水利行业高级及以上技术职称的加1.5分；项目负责人最高得3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技术负责人具有水利行业中级技术职称的得1.5分，水利行业高级及以上技术职称的得2分；本项最高得2分。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（项目负责人、技术负责人与专业运行人员不可以兼任，提供上述相关人员有效证书及近三个月的社保缴费证明彩色扫描件加盖公章，未提供不得分），退休人员不得分。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国家职业资格证书、职业技能等级证书查询网址 http://www.mohrss.gov.cn/SYrlzyhshbzb/ztzl/zyzghzyjndjrdcx 全国人力资源和社会保障政务服务平台https://12333.gov.cn/ 中国人事考试网http://www.cpta.com.cn/</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96"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3</w:t>
            </w:r>
          </w:p>
        </w:tc>
        <w:tc>
          <w:tcPr>
            <w:tcW w:w="1064" w:type="dxa"/>
            <w:vMerge w:val="continue"/>
            <w:tcBorders>
              <w:top w:val="nil"/>
              <w:left w:val="single" w:color="000000" w:sz="8" w:space="0"/>
              <w:bottom w:val="nil"/>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配置专业运行人员，包括水工监测工或闸门运行工（专业工种需提供证书（含培训证）彩色扫描件加盖公章）每个得1分，最高得5分。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（项目负责人、技术负责人与专业运行人员不可以兼任，提供上述相关人员有效证书及近三个月的社保缴费证明彩色扫描件加盖公章，未提供不得分），退休人员不得分。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 国家职业资格证书、职业技能等级证书查询网址 http://www.mohrss.gov.cn/SYrlzyhshbzb/ztzl/zyzghzyjndjrdcx 全国人力资源和社会保障政务服务平台https://12333.gov.cn/ 中国人事考试网</w:t>
            </w:r>
            <w:r>
              <w:rPr>
                <w:rFonts w:hint="eastAsia" w:ascii="仿宋_GB2312" w:hAnsi="仿宋_GB2312" w:eastAsia="仿宋_GB2312"/>
                <w:color w:val="000000" w:themeColor="text1"/>
                <w:sz w:val="24"/>
                <w:highlight w:val="none"/>
                <w:lang w:val="en-US" w:eastAsia="zh-CN"/>
                <w14:textFill>
                  <w14:solidFill>
                    <w14:schemeClr w14:val="tx1"/>
                  </w14:solidFill>
                </w14:textFill>
              </w:rPr>
              <w:fldChar w:fldCharType="begin"/>
            </w:r>
            <w:r>
              <w:rPr>
                <w:rFonts w:hint="eastAsia" w:ascii="仿宋_GB2312" w:hAnsi="仿宋_GB2312" w:eastAsia="仿宋_GB2312"/>
                <w:color w:val="000000" w:themeColor="text1"/>
                <w:sz w:val="24"/>
                <w:highlight w:val="none"/>
                <w:lang w:val="en-US" w:eastAsia="zh-CN"/>
                <w14:textFill>
                  <w14:solidFill>
                    <w14:schemeClr w14:val="tx1"/>
                  </w14:solidFill>
                </w14:textFill>
              </w:rPr>
              <w:instrText xml:space="preserve"> HYPERLINK "http://www.cpta.com.cn/" </w:instrText>
            </w:r>
            <w:r>
              <w:rPr>
                <w:rFonts w:hint="eastAsia" w:ascii="仿宋_GB2312" w:hAnsi="仿宋_GB2312" w:eastAsia="仿宋_GB2312"/>
                <w:color w:val="000000" w:themeColor="text1"/>
                <w:sz w:val="24"/>
                <w:highlight w:val="none"/>
                <w:lang w:val="en-US" w:eastAsia="zh-CN"/>
                <w14:textFill>
                  <w14:solidFill>
                    <w14:schemeClr w14:val="tx1"/>
                  </w14:solidFill>
                </w14:textFill>
              </w:rPr>
              <w:fldChar w:fldCharType="separate"/>
            </w:r>
            <w:r>
              <w:rPr>
                <w:rFonts w:hint="eastAsia" w:ascii="仿宋_GB2312" w:hAnsi="仿宋_GB2312" w:eastAsia="仿宋_GB2312"/>
                <w:color w:val="000000" w:themeColor="text1"/>
                <w:sz w:val="24"/>
                <w:highlight w:val="none"/>
                <w:lang w:val="en-US" w:eastAsia="zh-CN"/>
                <w14:textFill>
                  <w14:solidFill>
                    <w14:schemeClr w14:val="tx1"/>
                  </w14:solidFill>
                </w14:textFill>
              </w:rPr>
              <w:t>http://www.cpta.com.cn/</w:t>
            </w:r>
            <w:r>
              <w:rPr>
                <w:rFonts w:hint="eastAsia" w:ascii="仿宋_GB2312" w:hAnsi="仿宋_GB2312" w:eastAsia="仿宋_GB2312"/>
                <w:color w:val="000000" w:themeColor="text1"/>
                <w:sz w:val="24"/>
                <w:highlight w:val="none"/>
                <w:lang w:val="en-US" w:eastAsia="zh-CN"/>
                <w14:textFill>
                  <w14:solidFill>
                    <w14:schemeClr w14:val="tx1"/>
                  </w14:solidFill>
                </w14:textFill>
              </w:rPr>
              <w:fldChar w:fldCharType="end"/>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 xml:space="preserve">技能人才评价证书全国联网查询（https://zscx.osta.org.cn/） </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42"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4</w:t>
            </w:r>
          </w:p>
        </w:tc>
        <w:tc>
          <w:tcPr>
            <w:tcW w:w="1064" w:type="dxa"/>
            <w:vMerge w:val="continue"/>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提供巡查、维护、养护、检修等专业人员配置及分工情况的得5分，（提供专业人员配置及分工情况表(格式自拟、加盖公章，未提供不得分）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84" w:hRule="atLeast"/>
        </w:trPr>
        <w:tc>
          <w:tcPr>
            <w:tcW w:w="796"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5</w:t>
            </w:r>
          </w:p>
        </w:tc>
        <w:tc>
          <w:tcPr>
            <w:tcW w:w="1064"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设备物资投入情况</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根据投标人结合本项目实际情况拟投入的机械设备、车辆等情况进行打分。投标人拥有本公司自有车辆的得5分；本项最高得5分（提供车辆行驶证的彩色扫描件加盖公章，未提供不得分）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516" w:hRule="atLeast"/>
        </w:trPr>
        <w:tc>
          <w:tcPr>
            <w:tcW w:w="796"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6</w:t>
            </w:r>
          </w:p>
        </w:tc>
        <w:tc>
          <w:tcPr>
            <w:tcW w:w="1064" w:type="dxa"/>
            <w:vMerge w:val="restart"/>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项目实施方案</w:t>
            </w:r>
          </w:p>
        </w:tc>
        <w:tc>
          <w:tcPr>
            <w:tcW w:w="5323"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根据投标人对本项目现有情况的了解程度及现状分析进行打分。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提供的得基本分7分，方案内容可行、合理的加3分；方案内容基本可行、基本合理的加1分；方案内容一般的加0.5分;未提供不得分。</w:t>
            </w:r>
          </w:p>
        </w:tc>
        <w:tc>
          <w:tcPr>
            <w:tcW w:w="1320"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96" w:hRule="atLeast"/>
        </w:trPr>
        <w:tc>
          <w:tcPr>
            <w:tcW w:w="796" w:type="dxa"/>
            <w:tcBorders>
              <w:top w:val="single" w:color="000000" w:sz="8" w:space="0"/>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7</w:t>
            </w:r>
          </w:p>
        </w:tc>
        <w:tc>
          <w:tcPr>
            <w:tcW w:w="1064" w:type="dxa"/>
            <w:vMerge w:val="continue"/>
            <w:tcBorders>
              <w:top w:val="single" w:color="000000" w:sz="8" w:space="0"/>
              <w:left w:val="single" w:color="000000" w:sz="8" w:space="0"/>
              <w:bottom w:val="nil"/>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tc>
        <w:tc>
          <w:tcPr>
            <w:tcW w:w="5323"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根据投标人结合本项目采购需求，就如何完成本项目的各项任务（启闭设施的养护及检查、工程维修、工程保洁、数据管理等）的具体实施方案、工作方法的可行性、可操作性等综合评分。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提供的得基本分7分，方案内容可行、合理的加3分；方案内容基本可行、基本合理的加1分；方案内容一般的加0.5分;未提供不得分。</w:t>
            </w:r>
          </w:p>
        </w:tc>
        <w:tc>
          <w:tcPr>
            <w:tcW w:w="1320" w:type="dxa"/>
            <w:tcBorders>
              <w:top w:val="single" w:color="000000" w:sz="8"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726"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8</w:t>
            </w:r>
          </w:p>
        </w:tc>
        <w:tc>
          <w:tcPr>
            <w:tcW w:w="1064" w:type="dxa"/>
            <w:vMerge w:val="continue"/>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根据投标人结合本项目采购需求制定的工作交接、合理化建议和做法等方案进行评分。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提供的得基本分5分，方案内容可行、合理的加3分；方案内容基本可行、基本合理的加1分；方案内容一般的加0.5分;未提供不得分。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374"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9</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安全文明作业方案</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根据投标人结合本项目采购需求制定的安全文明作业方案（安全文明制度、作业安全保证体系、设施设备安全检查、安全事故处理方法）的具体实施方案、工作方法的可行性、可操作性等综合评分。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提供的得基本分5分，方案内容可行、合理的加3分；方案内容基本可行、基本合理的加1分；方案内容一般的加0.5分;未提供不得分。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97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10</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重点、难点</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根据投标人对项目现状、存在的问题和水库管理养护的难点、要点等问题进行调查剖析，并针对性的提出克服难点和要点技术措施等进行打分。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提供的得基本分6分，方案内容可行、合理的加3分；方案内容基本可行、基本合理的加1分；方案内容一般的加0.5分;未提供不得分。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0-9分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206"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11</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岗位职责、内部管理、考核制度</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根据投标人针对本项目实际情况制定岗位职责、内部管理制度（组织架构、人员管理方案、人员待遇规章制度方案、人员培训方案等）、内部考核制度的完善性、合理性等进行评分。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提供的得基本分5分，方案内容可行、合理的加3分；方案内容基本可行、基本合理的加1分；方案内容一般的加0.5分;未提供不得分。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15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12</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重大活动、突发事件应急预案</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根据投标人针对本项目实际情况制定的重大活动及突发事件应急预案（极端天气应急保障方案、恶性事故应急方案等）是否科学、合理、完整及可行性、针对性进行评分。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提供的得基本分5分，方案内容可行、合理的加3分；方案内容基本可行、基本合理的加1分；方案内容一般的加0.5分;未提供不得分。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038" w:hRule="atLeast"/>
        </w:trPr>
        <w:tc>
          <w:tcPr>
            <w:tcW w:w="796"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13</w:t>
            </w:r>
          </w:p>
        </w:tc>
        <w:tc>
          <w:tcPr>
            <w:tcW w:w="1064" w:type="dxa"/>
            <w:tcBorders>
              <w:top w:val="nil"/>
              <w:left w:val="single" w:color="000000" w:sz="8" w:space="0"/>
              <w:bottom w:val="single" w:color="auto" w:sz="4"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项目服务质量承诺</w:t>
            </w:r>
          </w:p>
        </w:tc>
        <w:tc>
          <w:tcPr>
            <w:tcW w:w="5323"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根据投标人服务质量承诺（包括服务响应时间、本地化服务承诺、服务网点设置、安全承诺、投诉渠道、优惠承诺等）及详细的培训计划方案进行打分。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提供的得基本分5分，方案内容可行、合理的加3分；方案内容基本可行、基本合理的加1分；方案内容一般的加0.5分;未提供不得分。</w:t>
            </w:r>
          </w:p>
        </w:tc>
        <w:tc>
          <w:tcPr>
            <w:tcW w:w="1320" w:type="dxa"/>
            <w:tcBorders>
              <w:top w:val="nil"/>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0-8分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446" w:hRule="atLeast"/>
        </w:trPr>
        <w:tc>
          <w:tcPr>
            <w:tcW w:w="1860" w:type="dxa"/>
            <w:gridSpan w:val="2"/>
            <w:tcBorders>
              <w:top w:val="single" w:color="auto" w:sz="4"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报价分</w:t>
            </w:r>
          </w:p>
        </w:tc>
        <w:tc>
          <w:tcPr>
            <w:tcW w:w="5323" w:type="dxa"/>
            <w:tcBorders>
              <w:top w:val="single" w:color="auto" w:sz="4" w:space="0"/>
              <w:left w:val="single" w:color="000000" w:sz="8" w:space="0"/>
              <w:bottom w:val="single" w:color="000000" w:sz="8" w:space="0"/>
              <w:right w:val="single" w:color="000000" w:sz="8" w:space="0"/>
              <w:tl2br w:val="nil"/>
              <w:tr2bl w:val="nil"/>
            </w:tcBorders>
            <w:vAlign w:val="top"/>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有效投标报价的最低价作为评标基准价，其最低报价为满分；</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按［投标报价得分=（评标基准价/投标报价）*10］的计算公式计算。</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评标过程中，不得去掉报价中的最高报价和最低报价。</w:t>
            </w:r>
          </w:p>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因落实政府采购政策需要进行价格调整的，以调整后的价格计算评标基准价和投标报价。</w:t>
            </w:r>
          </w:p>
        </w:tc>
        <w:tc>
          <w:tcPr>
            <w:tcW w:w="1320" w:type="dxa"/>
            <w:tcBorders>
              <w:top w:val="single" w:color="auto" w:sz="4" w:space="0"/>
              <w:left w:val="single" w:color="000000" w:sz="8" w:space="0"/>
              <w:bottom w:val="single" w:color="000000" w:sz="8" w:space="0"/>
              <w:right w:val="single" w:color="000000" w:sz="8" w:space="0"/>
              <w:tl2br w:val="nil"/>
              <w:tr2bl w:val="nil"/>
            </w:tcBorders>
            <w:vAlign w:val="center"/>
          </w:tcPr>
          <w:p>
            <w:pPr>
              <w:keepNext w:val="0"/>
              <w:keepLines w:val="0"/>
              <w:numPr>
                <w:ilvl w:val="0"/>
                <w:numId w:val="0"/>
              </w:numPr>
              <w:suppressLineNumbers w:val="0"/>
              <w:shd w:val="clear"/>
              <w:spacing w:before="0" w:beforeLines="0" w:beforeAutospacing="0" w:after="0" w:afterLines="0" w:afterAutospacing="0"/>
              <w:ind w:left="0" w:right="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r>
              <w:rPr>
                <w:rFonts w:hint="eastAsia" w:ascii="仿宋_GB2312" w:hAnsi="仿宋_GB2312" w:eastAsia="仿宋_GB2312"/>
                <w:color w:val="000000" w:themeColor="text1"/>
                <w:sz w:val="24"/>
                <w:highlight w:val="none"/>
                <w:lang w:val="en-US" w:eastAsia="zh-CN"/>
                <w14:textFill>
                  <w14:solidFill>
                    <w14:schemeClr w14:val="tx1"/>
                  </w14:solidFill>
                </w14:textFill>
              </w:rPr>
              <w:t>0-10分</w:t>
            </w:r>
          </w:p>
        </w:tc>
      </w:tr>
    </w:tbl>
    <w:p>
      <w:pPr>
        <w:numPr>
          <w:ilvl w:val="0"/>
          <w:numId w:val="0"/>
        </w:numPr>
        <w:shd w:val="clear"/>
        <w:spacing w:beforeLines="0" w:afterLines="0"/>
        <w:jc w:val="left"/>
        <w:rPr>
          <w:rFonts w:hint="eastAsia" w:ascii="仿宋_GB2312" w:hAnsi="仿宋_GB2312" w:eastAsia="仿宋_GB2312"/>
          <w:color w:val="000000" w:themeColor="text1"/>
          <w:sz w:val="24"/>
          <w:highlight w:val="none"/>
          <w:lang w:val="en-US" w:eastAsia="zh-CN"/>
          <w14:textFill>
            <w14:solidFill>
              <w14:schemeClr w14:val="tx1"/>
            </w14:solidFill>
          </w14:textFill>
        </w:rPr>
      </w:pPr>
    </w:p>
    <w:p>
      <w:pPr>
        <w:shd w:val="clear"/>
        <w:snapToGrid w:val="0"/>
        <w:spacing w:beforeLines="0" w:afterLines="0" w:line="360" w:lineRule="auto"/>
        <w:jc w:val="both"/>
        <w:rPr>
          <w:rFonts w:hint="eastAsia" w:ascii="仿宋_GB2312" w:hAnsi="仿宋_GB2312" w:eastAsia="仿宋_GB2312"/>
          <w:b/>
          <w:color w:val="000000" w:themeColor="text1"/>
          <w:sz w:val="24"/>
          <w:highlight w:val="none"/>
          <w14:textFill>
            <w14:solidFill>
              <w14:schemeClr w14:val="tx1"/>
            </w14:solidFill>
          </w14:textFill>
        </w:rPr>
      </w:pPr>
      <w:r>
        <w:rPr>
          <w:rFonts w:hint="eastAsia" w:ascii="仿宋_GB2312" w:hAnsi="仿宋_GB2312" w:eastAsia="仿宋_GB2312"/>
          <w:b/>
          <w:color w:val="000000" w:themeColor="text1"/>
          <w:sz w:val="24"/>
          <w:highlight w:val="none"/>
          <w14:textFill>
            <w14:solidFill>
              <w14:schemeClr w14:val="tx1"/>
            </w14:solidFill>
          </w14:textFill>
        </w:rPr>
        <w:t>标</w:t>
      </w:r>
      <w:r>
        <w:rPr>
          <w:rFonts w:hint="eastAsia" w:ascii="仿宋_GB2312" w:hAnsi="仿宋_GB2312" w:eastAsia="仿宋_GB2312"/>
          <w:b/>
          <w:color w:val="000000" w:themeColor="text1"/>
          <w:sz w:val="24"/>
          <w:highlight w:val="none"/>
          <w:lang w:val="en-US" w:eastAsia="zh-CN"/>
          <w14:textFill>
            <w14:solidFill>
              <w14:schemeClr w14:val="tx1"/>
            </w14:solidFill>
          </w14:textFill>
        </w:rPr>
        <w:t>项三</w:t>
      </w:r>
    </w:p>
    <w:tbl>
      <w:tblPr>
        <w:tblStyle w:val="73"/>
        <w:tblW w:w="8395"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
      <w:tblGrid>
        <w:gridCol w:w="796"/>
        <w:gridCol w:w="1263"/>
        <w:gridCol w:w="5256"/>
        <w:gridCol w:w="108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1224"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序号</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评分内容</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评分细则</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分值</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90"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类似业绩</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投标人自2020年1月1日以来（以合同签订时间为准）承担过类似水利工程物业化管理项目的，每提供一个业绩得0.5分，本项最高得1分。</w:t>
            </w:r>
          </w:p>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（提供类似项目合同彩色扫描件加盖公章，未提供不得分，合同签订时间不明确的不得分）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0-1分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5617"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2</w:t>
            </w:r>
          </w:p>
        </w:tc>
        <w:tc>
          <w:tcPr>
            <w:tcW w:w="1263" w:type="dxa"/>
            <w:vMerge w:val="restart"/>
            <w:tcBorders>
              <w:top w:val="nil"/>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人员配置</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项目负责人具有水利工程二级注册建造师的得1分，水利工程一级注册建造师证书的得1.5分，本项最高得1.5分；同时具有水利行业中级技术职称的加1分，水利行业高级及以上技术职称的加1.5分；项目负责人最高得3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技术负责人具有水利行业中级技术职称的得1.5分，水利行业高级及以上技术职称的得2分；本项最高得2分。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（项目负责人、技术负责人与专业运行人员不可以兼任，提供上述相关人员有效证书及投标截止日期前近三个月的社保缴费证明彩色扫描件加盖公章，未提供不得分，退休人员不得分。）</w:t>
            </w:r>
          </w:p>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国家职业资格证书、职业技能等级证书查询网址 http://www.mohrss.gov.cn/SYrlzyhshbzb/ztzl/zyzghzyjndjrdcx 全国人力资源和社会保障政务服务平台https://12333.gov.cn/中国人事考试网http://www.cpta.com.cn/</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0-5分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1136"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3</w:t>
            </w:r>
          </w:p>
        </w:tc>
        <w:tc>
          <w:tcPr>
            <w:tcW w:w="1263" w:type="dxa"/>
            <w:vMerge w:val="continue"/>
            <w:tcBorders>
              <w:top w:val="nil"/>
              <w:left w:val="nil"/>
              <w:bottom w:val="single" w:color="000000" w:sz="8" w:space="0"/>
              <w:right w:val="single" w:color="000000" w:sz="8"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提供维护、养护、检修等专业人员配置及分工情况的得5分，（提供专业人员配置及分工情况表(格式自拟、加盖公章，未提供不得分）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0-5分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1884"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4</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设备物资投入情况</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根据投标人拟投入本项目的养护设备、工器具、车辆、抢险设备等情况进行打分。投标人拥有自有车辆的得5分；本项最高得5分（提供车辆行驶证的彩色扫描件加盖公章，未提供不得分）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0-5分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1516"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7</w:t>
            </w:r>
          </w:p>
        </w:tc>
        <w:tc>
          <w:tcPr>
            <w:tcW w:w="1263" w:type="dxa"/>
            <w:vMerge w:val="restart"/>
            <w:tcBorders>
              <w:top w:val="nil"/>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项目实施方案</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投标人对本项目现有情况的了解程度及现状分析进行打分。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提供的得基本分6分，方案内容可行、合理的加3分；方案内容基本可行、基本合理的加1分；方案内容一般的加0.5分;未提供不得分。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0-9分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528"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8</w:t>
            </w:r>
          </w:p>
        </w:tc>
        <w:tc>
          <w:tcPr>
            <w:tcW w:w="1263" w:type="dxa"/>
            <w:vMerge w:val="continue"/>
            <w:tcBorders>
              <w:top w:val="nil"/>
              <w:left w:val="nil"/>
              <w:bottom w:val="single" w:color="000000" w:sz="8" w:space="0"/>
              <w:right w:val="single" w:color="000000" w:sz="8"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结合本项目采购需求，就如何完成本项目的各项任务（渠道割草，渠道清淤，渠道保洁，渠道边坡或山体滑坡，渠顶路面凹陷、坑洼的平整，渡槽外坡杂草处理，倒虹吸拦污栅进口管护，闸门房日常保洁，渠道日常工程维修、</w:t>
            </w:r>
            <w:r>
              <w:rPr>
                <w:rFonts w:hint="eastAsia" w:ascii="仿宋_GB2312" w:hAnsi="Calibri" w:eastAsia="仿宋_GB2312" w:cs="仿宋_GB2312"/>
                <w:color w:val="000000" w:themeColor="text1"/>
                <w:kern w:val="0"/>
                <w:sz w:val="24"/>
                <w:szCs w:val="24"/>
                <w:highlight w:val="none"/>
                <w:lang w:val="en-US" w:eastAsia="zh-CN" w:bidi="ar"/>
                <w14:textFill>
                  <w14:solidFill>
                    <w14:schemeClr w14:val="tx1"/>
                  </w14:solidFill>
                </w14:textFill>
              </w:rPr>
              <w:t>水毁工程、应急抢险工程</w:t>
            </w: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等）的具体实施方案、工作方法的可行性、可操作性等综合评分。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提供的得基本分6分，方案内容可行、合理的加3分；方案内容基本可行、基本合理的加1分；方案内容一般的加0.5分;未提供不得分。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0-9分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1726"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9</w:t>
            </w:r>
          </w:p>
        </w:tc>
        <w:tc>
          <w:tcPr>
            <w:tcW w:w="1263" w:type="dxa"/>
            <w:vMerge w:val="continue"/>
            <w:tcBorders>
              <w:top w:val="nil"/>
              <w:left w:val="nil"/>
              <w:bottom w:val="single" w:color="000000" w:sz="8" w:space="0"/>
              <w:right w:val="single" w:color="000000" w:sz="8" w:space="0"/>
            </w:tcBorders>
            <w:shd w:val="clear" w:color="auto" w:fill="auto"/>
            <w:vAlign w:val="center"/>
          </w:tcPr>
          <w:p>
            <w:pPr>
              <w:keepNext w:val="0"/>
              <w:keepLines w:val="0"/>
              <w:suppressLineNumbers w:val="0"/>
              <w:shd w:val="clear"/>
              <w:spacing w:before="0" w:beforeAutospacing="0" w:after="0" w:afterAutospacing="0"/>
              <w:ind w:left="0" w:right="0"/>
              <w:rPr>
                <w:rFonts w:hint="default" w:ascii="Times New Roman" w:hAnsi="Times New Roman" w:cs="Times New Roman"/>
                <w:color w:val="000000" w:themeColor="text1"/>
                <w:sz w:val="20"/>
                <w:szCs w:val="20"/>
                <w:highlight w:val="none"/>
                <w14:textFill>
                  <w14:solidFill>
                    <w14:schemeClr w14:val="tx1"/>
                  </w14:solidFill>
                </w14:textFill>
              </w:rPr>
            </w:pP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根据投标人结合本项目采购需求制定的工作交接、合理化建议和做法等方案进行评分。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提供的得基本分6分，方案内容可行、合理的加3分；方案内容基本可行、基本合理的加1分；方案内容一般的加0.5分;未提供不得分。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0-9分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2374"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10</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安全文明作业方案</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根据投标人结合本项目采购需求制定的安全文明作业方案（安全文明制度、作业安全保证体系、设施设备安全检查、安全事故处理方法）的具体实施方案、工作方法的可行性、可操作性等综合评分。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提供的得基本分6分，方案内容可行、合理的加3分；方案内容基本可行、基本合理的加1分；方案内容一般的加0.5分;未提供不得分。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0-9分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1978"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11</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重点、难点</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根据投标人对项目现状、存在的问题和灌区管理养护的难点、要点等问题进行调查剖析，并针对性的提出克服难点和要点技术措施等进行打分。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提供的得基本分6分，方案内容可行、合理的加3分；方案内容基本可行、基本合理的加1分；方案内容一般的加0.5分;未提供不得分。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0-9分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2206"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12</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岗位职责、内部管理、考核制度</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根据投标人针对本项目实际情况制定岗位职责、内部管理制度（组织架构、人员管理方案、人员待遇规章制度方案、人员培训方案等）、内部考核制度的完善性、合理性等进行评分。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提供的得基本分6分，方案内容可行、合理的加3分；方案内容基本可行、基本合理的加1分；方案内容一般的加0.5分;未提供不得分。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0-9分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2158"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center"/>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13</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突发事件应急预案</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根据投标人针对本项目实际情况制定的突发事件应急预案（极端天气应急保障方案、恶性事故应急方案等）是否科学、合理、完整及可行性、针对性进行评分。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提供的得基本分7分，方案内容可行、合理的加3分；方案内容基本可行、基本合理的加1分；方案内容一般的加0.5分;未提供不得分。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0-10分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2038" w:hRule="atLeast"/>
        </w:trPr>
        <w:tc>
          <w:tcPr>
            <w:tcW w:w="796" w:type="dxa"/>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14</w:t>
            </w:r>
          </w:p>
        </w:tc>
        <w:tc>
          <w:tcPr>
            <w:tcW w:w="1263"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项目服务质量承诺</w:t>
            </w:r>
          </w:p>
        </w:tc>
        <w:tc>
          <w:tcPr>
            <w:tcW w:w="5256"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根据投标人服务质量承诺（包括服务响应时间、本地化服务承诺、服务网点设置、安全承诺、投诉渠道、优惠承诺等）及详细的培训计划方案进行打分。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提供的得基本分7分，方案内容可行、合理的加3分；方案内容基本可行、基本合理的加1分；方案内容一般的加0.5分;未提供不得分。</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0-10分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shd w:val="clear" w:color="auto" w:fill="auto"/>
          <w:tblLayout w:type="fixed"/>
          <w:tblCellMar>
            <w:top w:w="0" w:type="dxa"/>
            <w:left w:w="108" w:type="dxa"/>
            <w:bottom w:w="0" w:type="dxa"/>
            <w:right w:w="108" w:type="dxa"/>
          </w:tblCellMar>
        </w:tblPrEx>
        <w:trPr>
          <w:trHeight w:val="2446" w:hRule="atLeast"/>
        </w:trPr>
        <w:tc>
          <w:tcPr>
            <w:tcW w:w="2059" w:type="dxa"/>
            <w:gridSpan w:val="2"/>
            <w:tcBorders>
              <w:top w:val="single" w:color="000000" w:sz="8" w:space="0"/>
              <w:left w:val="single" w:color="000000" w:sz="8" w:space="0"/>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报价分</w:t>
            </w:r>
          </w:p>
        </w:tc>
        <w:tc>
          <w:tcPr>
            <w:tcW w:w="5256" w:type="dxa"/>
            <w:tcBorders>
              <w:top w:val="single" w:color="000000" w:sz="8" w:space="0"/>
              <w:left w:val="nil"/>
              <w:bottom w:val="single" w:color="000000" w:sz="8" w:space="0"/>
              <w:right w:val="single" w:color="000000" w:sz="8" w:space="0"/>
            </w:tcBorders>
            <w:shd w:val="clear" w:color="auto" w:fill="auto"/>
            <w:vAlign w:val="top"/>
          </w:tcPr>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有效投标报价的最低价作为评标基准价，其最低报价为满分；</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按［投标报价得分=（评标基准价/投标报价）*10］的计算公式计算。</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评标过程中，不得去掉报价中的最高报价和最低报价。</w:t>
            </w:r>
          </w:p>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因落实政府采购政策需要进行价格调整的，以调整后的价格计算评标基准价和投标报价。</w:t>
            </w:r>
          </w:p>
        </w:tc>
        <w:tc>
          <w:tcPr>
            <w:tcW w:w="1080" w:type="dxa"/>
            <w:tcBorders>
              <w:top w:val="single" w:color="000000" w:sz="8" w:space="0"/>
              <w:left w:val="nil"/>
              <w:bottom w:val="single" w:color="000000" w:sz="8" w:space="0"/>
              <w:right w:val="single" w:color="000000" w:sz="8" w:space="0"/>
            </w:tcBorders>
            <w:shd w:val="clear" w:color="auto" w:fill="auto"/>
            <w:vAlign w:val="center"/>
          </w:tcPr>
          <w:p>
            <w:pPr>
              <w:keepNext w:val="0"/>
              <w:keepLines w:val="0"/>
              <w:widowControl w:val="0"/>
              <w:suppressLineNumbers w:val="0"/>
              <w:shd w:val="clear"/>
              <w:adjustRightInd w:val="0"/>
              <w:spacing w:before="0" w:beforeLines="0" w:beforeAutospacing="0" w:after="0" w:afterLines="0" w:afterAutospacing="0" w:line="560" w:lineRule="exact"/>
              <w:ind w:left="0" w:right="0"/>
              <w:jc w:val="both"/>
              <w:rPr>
                <w:rFonts w:hint="eastAsia" w:ascii="仿宋_GB2312" w:eastAsia="仿宋_GB2312" w:cs="仿宋_GB2312"/>
                <w:color w:val="000000" w:themeColor="text1"/>
                <w:kern w:val="2"/>
                <w:sz w:val="24"/>
                <w:szCs w:val="24"/>
                <w:highlight w:val="none"/>
                <w14:textFill>
                  <w14:solidFill>
                    <w14:schemeClr w14:val="tx1"/>
                  </w14:solidFill>
                </w14:textFill>
              </w:rPr>
            </w:pPr>
            <w:r>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t>10分</w:t>
            </w:r>
          </w:p>
        </w:tc>
      </w:tr>
    </w:tbl>
    <w:p>
      <w:pPr>
        <w:keepNext w:val="0"/>
        <w:keepLines w:val="0"/>
        <w:widowControl w:val="0"/>
        <w:suppressLineNumbers w:val="0"/>
        <w:shd w:val="clear"/>
        <w:autoSpaceDE w:val="0"/>
        <w:autoSpaceDN/>
        <w:spacing w:before="0" w:beforeAutospacing="0" w:after="0" w:afterAutospacing="0"/>
        <w:ind w:left="0" w:right="0" w:firstLine="480" w:firstLineChars="200"/>
        <w:jc w:val="both"/>
        <w:rPr>
          <w:rFonts w:hint="eastAsia" w:ascii="仿宋_GB2312" w:hAnsi="Calibri" w:eastAsia="仿宋_GB2312" w:cs="仿宋_GB2312"/>
          <w:color w:val="000000" w:themeColor="text1"/>
          <w:kern w:val="2"/>
          <w:sz w:val="24"/>
          <w:szCs w:val="24"/>
          <w:highlight w:val="none"/>
          <w:lang w:val="en-US" w:eastAsia="zh-CN" w:bidi="ar"/>
          <w14:textFill>
            <w14:solidFill>
              <w14:schemeClr w14:val="tx1"/>
            </w14:solidFill>
          </w14:textFill>
        </w:rPr>
      </w:pPr>
    </w:p>
    <w:p>
      <w:pPr>
        <w:shd w:val="clear"/>
        <w:snapToGrid w:val="0"/>
        <w:spacing w:line="360" w:lineRule="auto"/>
        <w:ind w:firstLine="480"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采购人在评审结束后、合同签订前及时复核供应商材料，涉及得分的证件、证书、合同、报告等均需提供相关扫描件需在官网可查询，提供虚假扫描件的一经查实作虚假应标处理。</w:t>
      </w:r>
    </w:p>
    <w:p>
      <w:pPr>
        <w:shd w:val="clear"/>
        <w:snapToGrid w:val="0"/>
        <w:spacing w:line="360" w:lineRule="auto"/>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一、评标方法</w:t>
      </w:r>
    </w:p>
    <w:p>
      <w:pPr>
        <w:shd w:val="clear"/>
        <w:adjustRightInd/>
        <w:spacing w:line="360" w:lineRule="auto"/>
        <w:ind w:firstLine="472" w:firstLineChars="19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1.本项目采用综合评分法。</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pPr>
        <w:shd w:val="clear"/>
        <w:adjustRightInd/>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二、评标标准</w:t>
      </w:r>
    </w:p>
    <w:p>
      <w:pPr>
        <w:shd w:val="clear"/>
        <w:spacing w:line="360" w:lineRule="auto"/>
        <w:ind w:firstLine="472" w:firstLineChars="196"/>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2.评标标准：</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见评标办法前附表。</w:t>
      </w:r>
    </w:p>
    <w:p>
      <w:pPr>
        <w:shd w:val="clear"/>
        <w:spacing w:line="360" w:lineRule="auto"/>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428" w:name="_Toc1576"/>
      <w:bookmarkStart w:id="429" w:name="_Toc27936"/>
      <w:r>
        <w:rPr>
          <w:rFonts w:hint="eastAsia" w:ascii="仿宋_GB2312" w:hAnsi="仿宋_GB2312" w:eastAsia="仿宋_GB2312" w:cs="仿宋_GB2312"/>
          <w:b/>
          <w:color w:val="000000" w:themeColor="text1"/>
          <w:sz w:val="24"/>
          <w:szCs w:val="24"/>
          <w:highlight w:val="none"/>
          <w14:textFill>
            <w14:solidFill>
              <w14:schemeClr w14:val="tx1"/>
            </w14:solidFill>
          </w14:textFill>
        </w:rPr>
        <w:t>三、评标程序</w:t>
      </w:r>
      <w:bookmarkEnd w:id="428"/>
      <w:bookmarkEnd w:id="429"/>
    </w:p>
    <w:p>
      <w:pPr>
        <w:shd w:val="clear"/>
        <w:spacing w:line="360" w:lineRule="auto"/>
        <w:ind w:firstLine="472" w:firstLineChars="19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3.1符合性审查。</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pPr>
        <w:shd w:val="clear"/>
        <w:spacing w:line="360" w:lineRule="auto"/>
        <w:ind w:firstLine="472" w:firstLineChars="19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3.2 比较与评价。</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pPr>
        <w:shd w:val="clear"/>
        <w:spacing w:line="360" w:lineRule="auto"/>
        <w:ind w:firstLine="472" w:firstLineChars="19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3.3汇总商务技术得分。</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评标委员会各成员应当独立对每个投标人的商务和技术文件进行评价，并汇总商务技术得分情况。</w:t>
      </w:r>
    </w:p>
    <w:p>
      <w:pPr>
        <w:shd w:val="clear"/>
        <w:spacing w:line="360" w:lineRule="auto"/>
        <w:ind w:firstLine="472" w:firstLineChars="196"/>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3.4报价评审。</w:t>
      </w:r>
    </w:p>
    <w:p>
      <w:pPr>
        <w:pStyle w:val="133"/>
        <w:shd w:val="clear"/>
        <w:spacing w:before="0"/>
        <w:ind w:firstLine="508" w:firstLineChars="212"/>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3.4.1投标文件报价出现前后不一致的，按照下列规定修正：</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3.4.1.1投标文件中开标一览表(报价表)内容与投标文件中相应内容不一致的，以开标一览表(报价表)为准;</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3.4.1.2大写金额和小写金额不一致的，以大写金额为准;</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3.4.1.3单价金额小数点或者百分比有明显错位的，以开标一览表的总价为准，并修改单价;</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3.4.1.4总价金额与按单价汇总金额不一致的，以单价金额计算结果为准。</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3.4.2投标文件出现不是唯一的、有选择性投标报价的，投标无效。</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3.4.3投标报价超过招标文件中规定的预算金额或者最高限价的，投标无效。</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3"/>
        <w:shd w:val="clear"/>
        <w:spacing w:before="0"/>
        <w:ind w:firstLine="480"/>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pPr>
      <w:r>
        <w:rPr>
          <w:rFonts w:hint="eastAsia" w:ascii="仿宋_GB2312" w:hAnsi="仿宋_GB2312" w:eastAsia="仿宋_GB2312" w:cs="仿宋_GB2312"/>
          <w:b w:val="0"/>
          <w:bCs/>
          <w:color w:val="000000" w:themeColor="text1"/>
          <w:kern w:val="0"/>
          <w:sz w:val="24"/>
          <w:szCs w:val="24"/>
          <w:highlight w:val="none"/>
          <w:lang w:val="en-US" w:eastAsia="zh-CN" w:bidi="ar-SA"/>
          <w14:textFill>
            <w14:solidFill>
              <w14:schemeClr w14:val="tx1"/>
            </w14:solidFill>
          </w14:textFill>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hd w:val="clear"/>
        <w:spacing w:line="360" w:lineRule="auto"/>
        <w:ind w:firstLine="482"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3.5排序与推荐。</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每个标项分别推荐第一名作为中标候选人，各投标人可参与所有标项的投标，但最多只能成为1个标项的中标候选人（按照标项</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一</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、标项</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二、标项三</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的顺序确定）。</w:t>
      </w:r>
    </w:p>
    <w:p>
      <w:pPr>
        <w:shd w:val="clear"/>
        <w:spacing w:line="420" w:lineRule="exact"/>
        <w:ind w:firstLine="480" w:firstLineChars="20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r>
        <w:rPr>
          <w:rFonts w:hint="eastAsia" w:ascii="仿宋_GB2312" w:hAnsi="仿宋_GB2312" w:eastAsia="仿宋_GB2312" w:cs="仿宋_GB2312"/>
          <w:color w:val="000000" w:themeColor="text1"/>
          <w:kern w:val="0"/>
          <w:sz w:val="24"/>
          <w:szCs w:val="24"/>
          <w:highlight w:val="none"/>
          <w:lang w:eastAsia="zh-CN"/>
          <w14:textFill>
            <w14:solidFill>
              <w14:schemeClr w14:val="tx1"/>
            </w14:solidFill>
          </w14:textFill>
        </w:rPr>
        <w:t>，非核心产品可以相同品牌</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p>
      <w:pPr>
        <w:shd w:val="clear"/>
        <w:spacing w:line="420" w:lineRule="exact"/>
        <w:ind w:firstLine="472" w:firstLineChars="19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3.6编写评标报告。</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adjustRightInd/>
        <w:spacing w:after="225" w:line="420" w:lineRule="exact"/>
        <w:jc w:val="lef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四、评标中的其他事项</w:t>
      </w:r>
    </w:p>
    <w:p>
      <w:pPr>
        <w:pStyle w:val="133"/>
        <w:shd w:val="clear"/>
        <w:spacing w:before="0" w:line="420" w:lineRule="exact"/>
        <w:ind w:firstLine="472" w:firstLineChars="19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4.1投标人澄清、说明或者补正。</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10分钟，投标人已经明确表示澄清说明或补正完毕的除外。投标人的澄清、说明或者补正不得超出投标文件的范围或者改变投标文件的实质性内容。</w:t>
      </w:r>
    </w:p>
    <w:p>
      <w:pPr>
        <w:pStyle w:val="20"/>
        <w:shd w:val="clear"/>
        <w:spacing w:line="400" w:lineRule="exact"/>
        <w:ind w:left="954" w:leftChars="226" w:hanging="479" w:firstLineChar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4.2投标无效。</w:t>
      </w:r>
      <w:r>
        <w:rPr>
          <w:rFonts w:hint="eastAsia" w:ascii="仿宋_GB2312" w:hAnsi="仿宋_GB2312" w:eastAsia="仿宋_GB2312" w:cs="仿宋_GB2312"/>
          <w:color w:val="000000" w:themeColor="text1"/>
          <w:sz w:val="24"/>
          <w:szCs w:val="24"/>
          <w:highlight w:val="none"/>
          <w14:textFill>
            <w14:solidFill>
              <w14:schemeClr w14:val="tx1"/>
            </w14:solidFill>
          </w14:textFill>
        </w:rPr>
        <w:t>有下列情况之一的，投标无效：</w:t>
      </w:r>
    </w:p>
    <w:p>
      <w:pPr>
        <w:shd w:val="clear"/>
        <w:spacing w:line="400" w:lineRule="exact"/>
        <w:ind w:firstLine="480"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4.2.</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1</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投标人对根据修正原则修正后的报价不确认的；</w:t>
      </w:r>
    </w:p>
    <w:p>
      <w:pPr>
        <w:shd w:val="clear"/>
        <w:spacing w:line="400" w:lineRule="exact"/>
        <w:ind w:firstLine="480"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4.2.</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2</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投标人提供虚假材料投标的；</w:t>
      </w:r>
    </w:p>
    <w:p>
      <w:pPr>
        <w:shd w:val="clear"/>
        <w:spacing w:line="400" w:lineRule="exact"/>
        <w:ind w:firstLine="240" w:firstLineChars="1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 xml:space="preserve">  4.2.</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3</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投标人有恶意串通、妨碍其他投标人的竞争行为、损害采购人或者其他投标人的合法权益情形的；</w:t>
      </w:r>
    </w:p>
    <w:p>
      <w:pPr>
        <w:shd w:val="clear"/>
        <w:spacing w:line="400" w:lineRule="exact"/>
        <w:ind w:firstLine="480"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4.2.</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4</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投标人仅提交备份投标文件，没有在电子交易平台传输递交投标文件的，投标无效；</w:t>
      </w:r>
      <w:bookmarkStart w:id="430" w:name="_Toc7813"/>
      <w:bookmarkStart w:id="431" w:name="_Toc10067"/>
    </w:p>
    <w:p>
      <w:pPr>
        <w:shd w:val="clear"/>
        <w:spacing w:line="400" w:lineRule="exact"/>
        <w:ind w:firstLine="480" w:firstLineChars="200"/>
        <w:rPr>
          <w:rFonts w:hint="eastAsia" w:ascii="仿宋_GB2312" w:hAnsi="仿宋_GB2312" w:eastAsia="仿宋_GB2312" w:cs="仿宋_GB2312"/>
          <w:color w:val="000000" w:themeColor="text1"/>
          <w:kern w:val="0"/>
          <w:sz w:val="24"/>
          <w:szCs w:val="24"/>
          <w:highlight w:val="none"/>
          <w:lang w:val="en-US"/>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14:textFill>
            <w14:solidFill>
              <w14:schemeClr w14:val="tx1"/>
            </w14:solidFill>
          </w14:textFill>
        </w:rPr>
        <w:t>4.2.</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5</w:t>
      </w:r>
      <w:r>
        <w:rPr>
          <w:rFonts w:hint="eastAsia" w:ascii="仿宋_GB2312" w:hAnsi="仿宋_GB2312" w:eastAsia="仿宋_GB2312" w:cs="仿宋_GB2312"/>
          <w:color w:val="000000" w:themeColor="text1"/>
          <w:kern w:val="0"/>
          <w:sz w:val="24"/>
          <w:szCs w:val="24"/>
          <w:highlight w:val="none"/>
          <w:lang w:val="en-US"/>
          <w14:textFill>
            <w14:solidFill>
              <w14:schemeClr w14:val="tx1"/>
            </w14:solidFill>
          </w14:textFill>
        </w:rPr>
        <w:t xml:space="preserve"> 投标文件不满足招标文件的其它实质性要求的；</w:t>
      </w:r>
      <w:bookmarkEnd w:id="430"/>
      <w:bookmarkEnd w:id="431"/>
    </w:p>
    <w:p>
      <w:pPr>
        <w:shd w:val="clear"/>
        <w:spacing w:line="400" w:lineRule="exact"/>
        <w:ind w:firstLine="480"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4.2.</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6</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法律、法规、规章（适用本市的）及省级以上规范性文件（适用本市的）规定的其他无效情形。</w:t>
      </w:r>
    </w:p>
    <w:p>
      <w:pPr>
        <w:shd w:val="clear"/>
        <w:spacing w:line="40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pStyle w:val="20"/>
        <w:shd w:val="clear"/>
        <w:snapToGrid w:val="0"/>
        <w:spacing w:line="400" w:lineRule="exact"/>
        <w:ind w:firstLine="472" w:firstLineChars="196"/>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5.废标。</w:t>
      </w:r>
      <w:r>
        <w:rPr>
          <w:rFonts w:hint="eastAsia" w:ascii="仿宋_GB2312" w:hAnsi="仿宋_GB2312" w:eastAsia="仿宋_GB2312" w:cs="仿宋_GB2312"/>
          <w:color w:val="000000" w:themeColor="text1"/>
          <w:sz w:val="24"/>
          <w:szCs w:val="24"/>
          <w:highlight w:val="none"/>
          <w14:textFill>
            <w14:solidFill>
              <w14:schemeClr w14:val="tx1"/>
            </w14:solidFill>
          </w14:textFill>
        </w:rPr>
        <w:t>根据《中华人民共和国政府采购法》第三十六条之规定，在采购中，出现下列情形之一的，应予废标：</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5.1符合专业条件的供应商或者对招标文件作实质响应的供应商不足3家的；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5.2出现影响采购公正的违法、违规行为的；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5.3投标人的报价均超过了采购预算，采购人不能支付的；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5.4因重大变故，采购任务取消的；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5.5不同供应商的电子投标（响应）文件上传计算机的网卡MAC地址或硬盘序列号等硬件信息相同的；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5.6.上传的电子投标（响应）文件若出现使用本项目其他投标（响应）供应商的数字证书加密的，或者加盖本项目其他投标（响应）供应商的电子印章的；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5.7.不同供应商的投标（响应）文件的内容存在三处（含）以上错误一致的；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5.8.不同供应商联系人为同一人或不同联系人的联系电话一致的。</w:t>
      </w:r>
    </w:p>
    <w:p>
      <w:pPr>
        <w:pStyle w:val="20"/>
        <w:shd w:val="clear"/>
        <w:snapToGrid w:val="0"/>
        <w:spacing w:beforeLines="0" w:afterLines="0" w:line="400" w:lineRule="exact"/>
        <w:rPr>
          <w:rFonts w:hint="eastAsia" w:ascii="仿宋_GB2312" w:hAnsi="仿宋" w:eastAsia="仿宋_GB2312"/>
          <w:color w:val="000000" w:themeColor="text1"/>
          <w:sz w:val="24"/>
          <w:highlight w:val="none"/>
          <w14:textFill>
            <w14:solidFill>
              <w14:schemeClr w14:val="tx1"/>
            </w14:solidFill>
          </w14:textFill>
        </w:rPr>
      </w:pPr>
      <w:r>
        <w:rPr>
          <w:rFonts w:hint="eastAsia" w:ascii="仿宋_GB2312" w:hAnsi="仿宋" w:eastAsia="仿宋_GB2312"/>
          <w:color w:val="000000" w:themeColor="text1"/>
          <w:sz w:val="24"/>
          <w:highlight w:val="none"/>
          <w14:textFill>
            <w14:solidFill>
              <w14:schemeClr w14:val="tx1"/>
            </w14:solidFill>
          </w14:textFill>
        </w:rPr>
        <w:t>废标后，采购机构应当将废标理由通知所有投标人。</w:t>
      </w:r>
    </w:p>
    <w:p>
      <w:pPr>
        <w:pStyle w:val="20"/>
        <w:shd w:val="clear"/>
        <w:snapToGrid w:val="0"/>
        <w:spacing w:line="400" w:lineRule="exact"/>
        <w:ind w:firstLine="590" w:firstLineChars="245"/>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6</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.重新开展采购。</w:t>
      </w:r>
      <w:r>
        <w:rPr>
          <w:rFonts w:hint="eastAsia" w:ascii="仿宋_GB2312" w:hAnsi="仿宋_GB2312" w:eastAsia="仿宋_GB2312" w:cs="仿宋_GB2312"/>
          <w:color w:val="000000" w:themeColor="text1"/>
          <w:sz w:val="24"/>
          <w:szCs w:val="24"/>
          <w:highlight w:val="none"/>
          <w14:textFill>
            <w14:solidFill>
              <w14:schemeClr w14:val="tx1"/>
            </w14:solidFill>
          </w14:textFill>
        </w:rPr>
        <w:t>有政府采购法第七十一条、第七十二条规定的违法行为之一，影响或者可能影响中标、成交结果的，依照下列规定处理：</w:t>
      </w:r>
    </w:p>
    <w:p>
      <w:pPr>
        <w:pStyle w:val="20"/>
        <w:shd w:val="clear"/>
        <w:snapToGrid w:val="0"/>
        <w:spacing w:line="400" w:lineRule="exact"/>
        <w:ind w:firstLine="600" w:firstLineChars="2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6.1未确定中标或者中标人的，终止本次政府采购活动，重新开展政府采购活动。</w:t>
      </w:r>
    </w:p>
    <w:p>
      <w:pPr>
        <w:pStyle w:val="20"/>
        <w:shd w:val="clear"/>
        <w:snapToGrid w:val="0"/>
        <w:spacing w:line="400" w:lineRule="exact"/>
        <w:ind w:firstLine="600" w:firstLineChars="2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6.2已确定中标或者中标人但尚未签订政府采购合同的，中标或者成交结果无效，从合格的中标或者成交候选人中另行确定中标或者中标人；没有合格的中标或者成交候选人的，重新开展政府采购活动。</w:t>
      </w:r>
    </w:p>
    <w:p>
      <w:pPr>
        <w:pStyle w:val="20"/>
        <w:shd w:val="clear"/>
        <w:snapToGrid w:val="0"/>
        <w:spacing w:line="400" w:lineRule="exact"/>
        <w:ind w:firstLine="600" w:firstLineChars="2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6.3政府采购合同已签订但尚未履行的，撤销合同，从合格的中标或者成交候选人中另行确定中标或者中标人；没有合格的中标或者成交候选人的，重新开展政府采购活动。</w:t>
      </w:r>
    </w:p>
    <w:p>
      <w:pPr>
        <w:pStyle w:val="20"/>
        <w:shd w:val="clear"/>
        <w:snapToGrid w:val="0"/>
        <w:spacing w:line="40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6.4政府采购合同已经履行，给采购人、供应商造成损失的，由责任人承担赔偿责任。</w:t>
      </w:r>
    </w:p>
    <w:p>
      <w:pPr>
        <w:pStyle w:val="20"/>
        <w:shd w:val="clear"/>
        <w:snapToGrid w:val="0"/>
        <w:spacing w:line="40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6.5政府采购当事人有其他违反政府采购法</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或者政府采购法实施条例等法律法规规定</w:t>
      </w:r>
      <w:r>
        <w:rPr>
          <w:rFonts w:hint="eastAsia" w:ascii="仿宋_GB2312" w:hAnsi="仿宋_GB2312" w:eastAsia="仿宋_GB2312" w:cs="仿宋_GB2312"/>
          <w:color w:val="000000" w:themeColor="text1"/>
          <w:sz w:val="24"/>
          <w:szCs w:val="24"/>
          <w:highlight w:val="none"/>
          <w14:textFill>
            <w14:solidFill>
              <w14:schemeClr w14:val="tx1"/>
            </w14:solidFill>
          </w14:textFill>
        </w:rPr>
        <w:t>的行为，经改正后仍然影响或者可能影响中标、成交结果或者依法被认定为中标、成交无效的。</w:t>
      </w:r>
    </w:p>
    <w:p>
      <w:pPr>
        <w:pStyle w:val="20"/>
        <w:shd w:val="clear"/>
        <w:snapToGrid w:val="0"/>
        <w:spacing w:line="360" w:lineRule="auto"/>
        <w:ind w:firstLine="0" w:firstLineChars="0"/>
        <w:rPr>
          <w:rFonts w:hint="eastAsia" w:ascii="仿宋_GB2312" w:hAnsi="仿宋_GB2312" w:eastAsia="仿宋_GB2312" w:cs="仿宋_GB2312"/>
          <w:color w:val="000000" w:themeColor="text1"/>
          <w:sz w:val="24"/>
          <w:szCs w:val="24"/>
          <w:highlight w:val="none"/>
          <w14:textFill>
            <w14:solidFill>
              <w14:schemeClr w14:val="tx1"/>
            </w14:solidFill>
          </w14:textFill>
        </w:rPr>
      </w:pPr>
    </w:p>
    <w:bookmarkEnd w:id="54"/>
    <w:p>
      <w:pPr>
        <w:shd w:val="clear"/>
        <w:spacing w:line="360" w:lineRule="auto"/>
        <w:ind w:left="720" w:leftChars="343" w:firstLine="723" w:firstLineChars="300"/>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432" w:name="第五部分"/>
      <w:bookmarkStart w:id="433" w:name="_Toc86217003"/>
    </w:p>
    <w:p>
      <w:pPr>
        <w:shd w:val="clear"/>
        <w:spacing w:line="360" w:lineRule="auto"/>
        <w:ind w:left="720" w:leftChars="343" w:firstLine="723" w:firstLineChars="300"/>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434" w:name="_Toc21773"/>
      <w:bookmarkStart w:id="435" w:name="_Toc11270"/>
    </w:p>
    <w:p>
      <w:pPr>
        <w:pStyle w:val="44"/>
        <w:shd w:val="clear"/>
        <w:ind w:left="0" w:leftChars="0" w:firstLine="0" w:firstLineChars="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pStyle w:val="44"/>
        <w:shd w:val="clear"/>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pStyle w:val="14"/>
        <w:shd w:val="clear"/>
        <w:rPr>
          <w:rFonts w:hint="eastAsia"/>
          <w:color w:val="000000" w:themeColor="text1"/>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第五部分拟签订的合同文本</w:t>
      </w:r>
      <w:bookmarkEnd w:id="434"/>
      <w:bookmarkEnd w:id="435"/>
    </w:p>
    <w:p>
      <w:pPr>
        <w:shd w:val="clear"/>
        <w:spacing w:line="360" w:lineRule="auto"/>
        <w:ind w:left="720" w:leftChars="343" w:firstLine="1928" w:firstLineChars="800"/>
        <w:jc w:val="both"/>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(具体以正式签订合同为准)</w:t>
      </w:r>
    </w:p>
    <w:p>
      <w:pPr>
        <w:shd w:val="clear"/>
        <w:spacing w:line="480" w:lineRule="auto"/>
        <w:jc w:val="both"/>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480" w:lineRule="auto"/>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政府采购合同参考范本</w:t>
      </w: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t>项目名称：</w:t>
      </w: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t>项目编号：</w:t>
      </w: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t>甲方：</w:t>
      </w: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t>乙方：</w:t>
      </w: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t>签订日期：年月日</w:t>
      </w:r>
    </w:p>
    <w:p>
      <w:pPr>
        <w:pStyle w:val="35"/>
        <w:shd w:val="clear"/>
        <w:snapToGrid w:val="0"/>
        <w:spacing w:line="320" w:lineRule="exact"/>
        <w:ind w:firstLine="480" w:firstLineChars="200"/>
        <w:rPr>
          <w:rFonts w:hint="eastAsia" w:ascii="仿宋_GB2312" w:hAnsi="仿宋_GB2312" w:eastAsia="仿宋_GB2312" w:cs="仿宋_GB2312"/>
          <w:color w:val="000000" w:themeColor="text1"/>
          <w:kern w:val="1"/>
          <w:sz w:val="24"/>
          <w:szCs w:val="24"/>
          <w:highlight w:val="none"/>
          <w:lang w:val="zh-CN"/>
          <w14:textFill>
            <w14:solidFill>
              <w14:schemeClr w14:val="tx1"/>
            </w14:solidFill>
          </w14:textFill>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pPr>
        <w:shd w:val="clear"/>
        <w:spacing w:beforeLines="0" w:afterLines="0" w:line="40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u w:val="single"/>
          <w:lang w:val="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single"/>
          <w:lang w:val="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single"/>
          <w:lang w:val="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日</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（采购人）   </w:t>
      </w:r>
      <w:r>
        <w:rPr>
          <w:rFonts w:hint="eastAsia" w:ascii="仿宋_GB2312" w:hAnsi="仿宋_GB2312" w:eastAsia="仿宋_GB2312" w:cs="仿宋_GB2312"/>
          <w:color w:val="000000" w:themeColor="text1"/>
          <w:sz w:val="24"/>
          <w:szCs w:val="24"/>
          <w:highlight w:val="none"/>
          <w14:textFill>
            <w14:solidFill>
              <w14:schemeClr w14:val="tx1"/>
            </w14:solidFill>
          </w14:textFill>
        </w:rPr>
        <w:t>以</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（政府采购方式）  </w:t>
      </w:r>
      <w:r>
        <w:rPr>
          <w:rFonts w:hint="eastAsia" w:ascii="仿宋_GB2312" w:hAnsi="仿宋_GB2312" w:eastAsia="仿宋_GB2312" w:cs="仿宋_GB2312"/>
          <w:color w:val="000000" w:themeColor="text1"/>
          <w:sz w:val="24"/>
          <w:szCs w:val="24"/>
          <w:highlight w:val="none"/>
          <w14:textFill>
            <w14:solidFill>
              <w14:schemeClr w14:val="tx1"/>
            </w14:solidFill>
          </w14:textFill>
        </w:rPr>
        <w:t>对</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（项目名称）</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标项</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进行了采购。经</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（相关评定主体名称）   </w:t>
      </w:r>
      <w:r>
        <w:rPr>
          <w:rFonts w:hint="eastAsia" w:ascii="仿宋_GB2312" w:hAnsi="仿宋_GB2312" w:eastAsia="仿宋_GB2312" w:cs="仿宋_GB2312"/>
          <w:color w:val="000000" w:themeColor="text1"/>
          <w:sz w:val="24"/>
          <w:szCs w:val="24"/>
          <w:highlight w:val="none"/>
          <w14:textFill>
            <w14:solidFill>
              <w14:schemeClr w14:val="tx1"/>
            </w14:solidFill>
          </w14:textFill>
        </w:rPr>
        <w:t>评定，</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（成交供应商名称）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为该项目成交供应商。现于成交通知书发出之日起三十日内，按照</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采购</w:t>
      </w:r>
      <w:r>
        <w:rPr>
          <w:rFonts w:hint="eastAsia" w:ascii="仿宋_GB2312" w:hAnsi="仿宋_GB2312" w:eastAsia="仿宋_GB2312" w:cs="仿宋_GB2312"/>
          <w:color w:val="000000" w:themeColor="text1"/>
          <w:sz w:val="24"/>
          <w:szCs w:val="24"/>
          <w:highlight w:val="none"/>
          <w14:textFill>
            <w14:solidFill>
              <w14:schemeClr w14:val="tx1"/>
            </w14:solidFill>
          </w14:textFill>
        </w:rPr>
        <w:t>文件确定的事项签订本合同。</w:t>
      </w:r>
    </w:p>
    <w:p>
      <w:pPr>
        <w:shd w:val="clear"/>
        <w:spacing w:beforeLines="0" w:afterLines="0" w:line="40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根据《中华人民共和国民法典》、《中华人民共和国政府采购法》等相关法律法规之规定，按照平等、自愿、公平、诚实信用的原则，经</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（采购人）   </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(以下简称：甲方)和</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（成交供应商名称）   </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(以下简称：乙方)协商一致，约定以下合同</w:t>
      </w:r>
      <w:r>
        <w:rPr>
          <w:rFonts w:hint="eastAsia" w:ascii="仿宋_GB2312" w:hAnsi="仿宋_GB2312" w:eastAsia="仿宋_GB2312" w:cs="仿宋_GB2312"/>
          <w:color w:val="000000" w:themeColor="text1"/>
          <w:sz w:val="24"/>
          <w:szCs w:val="24"/>
          <w:highlight w:val="none"/>
          <w14:textFill>
            <w14:solidFill>
              <w14:schemeClr w14:val="tx1"/>
            </w14:solidFill>
          </w14:textFill>
        </w:rPr>
        <w:t>条款，以兹共同遵守、全面履行。</w:t>
      </w:r>
    </w:p>
    <w:p>
      <w:pPr>
        <w:pStyle w:val="3"/>
        <w:numPr>
          <w:ilvl w:val="1"/>
          <w:numId w:val="0"/>
        </w:numPr>
        <w:shd w:val="clear"/>
        <w:tabs>
          <w:tab w:val="left" w:pos="420"/>
        </w:tabs>
        <w:spacing w:before="120" w:after="120"/>
        <w:ind w:left="0"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bookmarkStart w:id="436" w:name="_Toc31462"/>
      <w:r>
        <w:rPr>
          <w:rFonts w:hint="eastAsia" w:ascii="仿宋_GB2312" w:hAnsi="仿宋_GB2312" w:eastAsia="仿宋_GB2312" w:cs="仿宋_GB2312"/>
          <w:color w:val="000000" w:themeColor="text1"/>
          <w:sz w:val="24"/>
          <w:szCs w:val="24"/>
          <w:highlight w:val="none"/>
          <w14:textFill>
            <w14:solidFill>
              <w14:schemeClr w14:val="tx1"/>
            </w14:solidFill>
          </w14:textFill>
        </w:rPr>
        <w:t>合同组成部分</w:t>
      </w:r>
      <w:bookmarkEnd w:id="436"/>
    </w:p>
    <w:p>
      <w:pPr>
        <w:shd w:val="clear"/>
        <w:spacing w:beforeLines="0" w:afterLine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下列文件为本合同的组成部分，并构成一个整体，需综合解释、相互补充。如果下列文件内容出现不一致的情形，那么在保证按照采购文件确定的事项的前提下，组成本合同的多个文件的优先适用顺序如下：</w:t>
      </w:r>
    </w:p>
    <w:p>
      <w:pPr>
        <w:shd w:val="clear"/>
        <w:spacing w:beforeLines="0" w:afterLine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1 本合同及其补充合同、变更协议；</w:t>
      </w:r>
    </w:p>
    <w:p>
      <w:pPr>
        <w:shd w:val="clear"/>
        <w:spacing w:beforeLines="0" w:afterLine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2 中标通知书；</w:t>
      </w:r>
    </w:p>
    <w:p>
      <w:pPr>
        <w:shd w:val="clear"/>
        <w:spacing w:beforeLines="0" w:afterLine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3 投标文件（含澄清或者说明文件）；</w:t>
      </w:r>
    </w:p>
    <w:p>
      <w:pPr>
        <w:shd w:val="clear"/>
        <w:spacing w:beforeLines="0" w:afterLine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4 招标文件（含澄清或者修改文件）；</w:t>
      </w:r>
    </w:p>
    <w:p>
      <w:pPr>
        <w:shd w:val="clear"/>
        <w:spacing w:beforeLines="0" w:afterLines="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5 其他相关采购文件。</w:t>
      </w:r>
    </w:p>
    <w:p>
      <w:pPr>
        <w:shd w:val="clear"/>
        <w:spacing w:beforeLines="0" w:afterLines="0" w:line="300" w:lineRule="exact"/>
        <w:ind w:firstLine="482" w:firstLineChars="200"/>
        <w:jc w:val="lef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一、服务内容</w:t>
      </w:r>
    </w:p>
    <w:p>
      <w:pPr>
        <w:shd w:val="clear"/>
        <w:snapToGrid w:val="0"/>
        <w:spacing w:beforeLines="0" w:afterLines="0" w:line="360" w:lineRule="exact"/>
        <w:ind w:firstLine="480" w:firstLineChars="200"/>
        <w:rPr>
          <w:rFonts w:hint="eastAsia" w:ascii="仿宋_GB2312" w:hAnsi="仿宋_GB2312" w:eastAsia="仿宋_GB2312" w:cs="仿宋_GB2312"/>
          <w:b w:val="0"/>
          <w:bCs/>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b w:val="0"/>
          <w:bCs/>
          <w:color w:val="000000" w:themeColor="text1"/>
          <w:sz w:val="24"/>
          <w:szCs w:val="24"/>
          <w:highlight w:val="none"/>
          <w:lang w:val="en-US" w:eastAsia="zh-CN"/>
          <w14:textFill>
            <w14:solidFill>
              <w14:schemeClr w14:val="tx1"/>
            </w14:solidFill>
          </w14:textFill>
        </w:rPr>
        <w:t>详见采购文件第三章内容</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二、合同金额</w:t>
      </w:r>
    </w:p>
    <w:p>
      <w:pPr>
        <w:shd w:val="clear"/>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本合同金额为人民币（大写）：________________元整（小写￥_______元）。</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综合优惠率  %（综合优惠率=中标金额/预算金额*100%）。</w:t>
      </w:r>
    </w:p>
    <w:p>
      <w:pPr>
        <w:numPr>
          <w:ilvl w:val="0"/>
          <w:numId w:val="7"/>
        </w:numPr>
        <w:shd w:val="clear"/>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技术资料</w:t>
      </w:r>
    </w:p>
    <w:p>
      <w:pPr>
        <w:pStyle w:val="3"/>
        <w:numPr>
          <w:ilvl w:val="1"/>
          <w:numId w:val="0"/>
        </w:numPr>
        <w:shd w:val="clear"/>
        <w:tabs>
          <w:tab w:val="left" w:pos="420"/>
        </w:tabs>
        <w:spacing w:line="300" w:lineRule="exact"/>
        <w:ind w:left="0" w:firstLine="0"/>
        <w:rPr>
          <w:rFonts w:hint="eastAsia" w:ascii="仿宋_GB2312" w:hAnsi="仿宋_GB2312" w:eastAsia="仿宋_GB2312" w:cs="仿宋_GB2312"/>
          <w:color w:val="000000" w:themeColor="text1"/>
          <w:sz w:val="24"/>
          <w:szCs w:val="24"/>
          <w:highlight w:val="none"/>
          <w:lang w:val="en-US"/>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14:textFill>
            <w14:solidFill>
              <w14:schemeClr w14:val="tx1"/>
            </w14:solidFill>
          </w14:textFill>
        </w:rPr>
        <w:t xml:space="preserve">  </w:t>
      </w:r>
      <w:r>
        <w:rPr>
          <w:rFonts w:hint="eastAsia" w:ascii="仿宋_GB2312" w:hAnsi="仿宋_GB2312" w:eastAsia="仿宋_GB2312" w:cs="仿宋_GB2312"/>
          <w:b w:val="0"/>
          <w:color w:val="000000" w:themeColor="text1"/>
          <w:sz w:val="24"/>
          <w:szCs w:val="24"/>
          <w:highlight w:val="none"/>
          <w:lang w:val="en-US"/>
          <w14:textFill>
            <w14:solidFill>
              <w14:schemeClr w14:val="tx1"/>
            </w14:solidFill>
          </w14:textFill>
        </w:rPr>
        <w:t xml:space="preserve">  1、乙方在项目实施中需调阅相关资料的甲方应予以积极配合。</w:t>
      </w:r>
    </w:p>
    <w:p>
      <w:pPr>
        <w:shd w:val="clear"/>
        <w:spacing w:beforeLines="0" w:afterLines="0" w:line="30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2、乙方应按</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采购</w:t>
      </w:r>
      <w:r>
        <w:rPr>
          <w:rFonts w:hint="eastAsia" w:ascii="仿宋_GB2312" w:hAnsi="仿宋_GB2312" w:eastAsia="仿宋_GB2312" w:cs="仿宋_GB2312"/>
          <w:color w:val="000000" w:themeColor="text1"/>
          <w:sz w:val="24"/>
          <w:szCs w:val="24"/>
          <w:highlight w:val="none"/>
          <w14:textFill>
            <w14:solidFill>
              <w14:schemeClr w14:val="tx1"/>
            </w14:solidFill>
          </w14:textFill>
        </w:rPr>
        <w:t>文件规定的时间和要求向甲方提供完整的技术资料。</w:t>
      </w:r>
    </w:p>
    <w:p>
      <w:pPr>
        <w:pStyle w:val="3"/>
        <w:numPr>
          <w:ilvl w:val="1"/>
          <w:numId w:val="0"/>
        </w:numPr>
        <w:shd w:val="clear"/>
        <w:tabs>
          <w:tab w:val="left" w:pos="420"/>
        </w:tabs>
        <w:spacing w:line="300" w:lineRule="exact"/>
        <w:ind w:left="0" w:firstLine="481"/>
        <w:rPr>
          <w:rFonts w:hint="eastAsia" w:ascii="仿宋_GB2312" w:hAnsi="仿宋_GB2312" w:eastAsia="仿宋_GB2312" w:cs="仿宋_GB2312"/>
          <w:b w:val="0"/>
          <w:color w:val="000000" w:themeColor="text1"/>
          <w:sz w:val="24"/>
          <w:szCs w:val="24"/>
          <w:highlight w:val="none"/>
          <w:lang w:val="en-US"/>
          <w14:textFill>
            <w14:solidFill>
              <w14:schemeClr w14:val="tx1"/>
            </w14:solidFill>
          </w14:textFill>
        </w:rPr>
      </w:pPr>
      <w:r>
        <w:rPr>
          <w:rFonts w:hint="eastAsia" w:ascii="仿宋_GB2312" w:hAnsi="仿宋_GB2312" w:eastAsia="仿宋_GB2312" w:cs="仿宋_GB2312"/>
          <w:b w:val="0"/>
          <w:color w:val="000000" w:themeColor="text1"/>
          <w:sz w:val="24"/>
          <w:szCs w:val="24"/>
          <w:highlight w:val="none"/>
          <w:lang w:val="en-US"/>
          <w14:textFill>
            <w14:solidFill>
              <w14:schemeClr w14:val="tx1"/>
            </w14:solidFill>
          </w14:textFill>
        </w:rPr>
        <w:t>3、乙方应妥善保管甲方提供的相关资料并尽到保密义务。</w:t>
      </w:r>
    </w:p>
    <w:p>
      <w:pPr>
        <w:shd w:val="clear"/>
        <w:spacing w:beforeLines="0" w:afterLines="0" w:line="360" w:lineRule="exact"/>
        <w:ind w:firstLine="482"/>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4、除法律法规明确规定或合同双方另有书面约定，任何一方均应保证不向任何第三方提供或披露与本项目相关的未公开的信息与资料。</w:t>
      </w:r>
    </w:p>
    <w:p>
      <w:pPr>
        <w:shd w:val="clear"/>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四、知识产权</w:t>
      </w:r>
    </w:p>
    <w:p>
      <w:pPr>
        <w:shd w:val="clear"/>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乙方应保证提供服务过程中不会侵犯任何第三方的知识产权。</w:t>
      </w:r>
    </w:p>
    <w:p>
      <w:pPr>
        <w:shd w:val="clear"/>
        <w:snapToGrid w:val="0"/>
        <w:spacing w:beforeLines="0" w:afterLines="0" w:line="360" w:lineRule="exact"/>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五、履约保证金</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标项一、标项二不收取履约保证金。标项三履约保证金金额为合同金额的1%，乙方可以金融机构、担保机构出具的保函等非现金形式或以转账的形式提交履约保证金，如以转账的方式缴纳，项目经验收合格，无服务质量问题，1个月内无息退还履约保证金。</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六、转</w:t>
      </w: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让</w:t>
      </w:r>
      <w:r>
        <w:rPr>
          <w:rFonts w:hint="eastAsia" w:ascii="仿宋_GB2312" w:hAnsi="仿宋_GB2312" w:eastAsia="仿宋_GB2312" w:cs="仿宋_GB2312"/>
          <w:b/>
          <w:color w:val="000000" w:themeColor="text1"/>
          <w:sz w:val="24"/>
          <w:szCs w:val="24"/>
          <w:highlight w:val="none"/>
          <w14:textFill>
            <w14:solidFill>
              <w14:schemeClr w14:val="tx1"/>
            </w14:solidFill>
          </w14:textFill>
        </w:rPr>
        <w:t>或分包</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1.本合同范围的建设服务，应由乙方直接供应，不得转让他人供应；</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2.除非得到甲方的书面同意，乙方不得将本合同范围的服务全部或部分分包给他人供应；</w:t>
      </w:r>
    </w:p>
    <w:p>
      <w:pPr>
        <w:shd w:val="clear"/>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3.如有转让和未经甲方同意的分包行为，甲方有权解除合同，并追究乙方的违约责任。</w:t>
      </w:r>
    </w:p>
    <w:p>
      <w:pPr>
        <w:shd w:val="clear"/>
        <w:snapToGrid w:val="0"/>
        <w:spacing w:beforeLines="0" w:afterLines="0" w:line="360" w:lineRule="exact"/>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七、服务质量保证期</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1.服务质量保证期</w:t>
      </w:r>
      <w:r>
        <w:rPr>
          <w:rFonts w:hint="eastAsia" w:ascii="仿宋_GB2312" w:hAnsi="仿宋_GB2312" w:eastAsia="仿宋_GB2312" w:cs="仿宋_GB2312"/>
          <w:color w:val="000000" w:themeColor="text1"/>
          <w:sz w:val="24"/>
          <w:szCs w:val="24"/>
          <w:highlight w:val="none"/>
          <w:u w:val="none"/>
          <w:lang w:val="en-US" w:eastAsia="zh-CN"/>
          <w14:textFill>
            <w14:solidFill>
              <w14:schemeClr w14:val="tx1"/>
            </w14:solidFill>
          </w14:textFill>
        </w:rPr>
        <w:t>12</w:t>
      </w:r>
      <w:r>
        <w:rPr>
          <w:rFonts w:hint="eastAsia" w:ascii="仿宋_GB2312" w:hAnsi="仿宋_GB2312" w:eastAsia="仿宋_GB2312" w:cs="仿宋_GB2312"/>
          <w:color w:val="000000" w:themeColor="text1"/>
          <w:sz w:val="24"/>
          <w:szCs w:val="24"/>
          <w:highlight w:val="none"/>
          <w14:textFill>
            <w14:solidFill>
              <w14:schemeClr w14:val="tx1"/>
            </w14:solidFill>
          </w14:textFill>
        </w:rPr>
        <w:t>个月。</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八、合同履行时间、履行方式及履行地点</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1.履行时间：</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合同签订后12个月</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2.履行方式： </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3.履行地点：</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九、款项支付</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付款方式：</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合同生效及具备实施条件后，甲方向乙方支付合同金额40%的预付款，项目实施6个月后支付合同金额的20%，验收合格后按审定价支付剩余款项。</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乙方收款银行：</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乙方收款账号：</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十、税费</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本合同执行中相关的一切税费均由乙方负担</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napToGrid w:val="0"/>
        <w:spacing w:beforeLines="0" w:afterLines="0" w:line="360" w:lineRule="exact"/>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十一、质量保证及后续服务</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1.乙方应按</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采购</w:t>
      </w:r>
      <w:r>
        <w:rPr>
          <w:rFonts w:hint="eastAsia" w:ascii="仿宋_GB2312" w:hAnsi="仿宋_GB2312" w:eastAsia="仿宋_GB2312" w:cs="仿宋_GB2312"/>
          <w:color w:val="000000" w:themeColor="text1"/>
          <w:sz w:val="24"/>
          <w:szCs w:val="24"/>
          <w:highlight w:val="none"/>
          <w14:textFill>
            <w14:solidFill>
              <w14:schemeClr w14:val="tx1"/>
            </w14:solidFill>
          </w14:textFill>
        </w:rPr>
        <w:t>文件规定向甲方提供服务。</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2.乙方提供的服务成果在服务质量保证期内发生问题，乙方应负责免费提供后续服务。对达不到要求者，根据实际情况，经双方协商，可按以下办法处理：</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⑴重做：由乙方承担所发生的全部费用。</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⑵贬值处理：由甲乙双方合议定价。</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⑶解除合同。</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3.如在服务过程中发生问题，乙方在接到甲方通知后在1小时内到达甲方现场。</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4.在服务质量保证期内，乙方应对出现的质量及安全问题负责处理解决并承担一切费用。</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十二、违约责任</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1.甲方无正当理由拒绝接受服务的，甲方向乙方偿付合同款项百分之五作为违约金。</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2．甲方无故逾期验收和办理款项支付手续的,甲方应按逾期付款总额每日万分之五向乙方支付违约金。</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十三、不可抗力事件处理</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1.在合同有效期内，任何一方因不可抗力事件导致不能履行合同，则合同履行期可延长，其延长期与不可抗力影响期相同。</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2.不可抗力事件发生后，应立即通知对方，并寄送有关权威机构出具的证明。</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3.不可抗力事件延续120天以上，双方应通过友好协商，确定是否继续履行合同。</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十四、诉讼</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双方在执行合同中所发生的一切争议，应通过协商解决。如协商不成，可向甲方所在地法院起诉。</w:t>
      </w:r>
    </w:p>
    <w:p>
      <w:pPr>
        <w:shd w:val="clear"/>
        <w:snapToGrid w:val="0"/>
        <w:spacing w:beforeLines="0" w:afterLines="0" w:line="36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十五、合同生效及其它</w:t>
      </w:r>
    </w:p>
    <w:p>
      <w:pPr>
        <w:shd w:val="clear"/>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1.合同执行中涉及采购资金和采购内容修改或补充的，须经政府采购监督管理部门审批，并签书面补充协议报政府采购监督管理部门备案，方可作为主合同不可分割的一部分。</w:t>
      </w:r>
    </w:p>
    <w:p>
      <w:pPr>
        <w:shd w:val="clear"/>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2.本合同未尽事宜，遵照《中华人民共和国民法典》有关条文执行。</w:t>
      </w:r>
    </w:p>
    <w:p>
      <w:pPr>
        <w:shd w:val="clear"/>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3.本合同经甲方、乙方法定代表人或其委托人签字并加盖双方公章，经合同鉴证方鉴证、备案后生效（合同备案前必须公告）。</w:t>
      </w:r>
    </w:p>
    <w:p>
      <w:pPr>
        <w:shd w:val="clear"/>
        <w:spacing w:beforeLines="0" w:afterLines="0" w:line="360" w:lineRule="exact"/>
        <w:ind w:firstLine="436" w:firstLineChars="182"/>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4.本合同一式肆份，甲方贰份、乙方壹份；鉴证方壹份。</w:t>
      </w:r>
    </w:p>
    <w:p>
      <w:pPr>
        <w:shd w:val="clear"/>
        <w:snapToGrid w:val="0"/>
        <w:spacing w:beforeLines="0" w:afterLines="0" w:line="36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autoSpaceDE w:val="0"/>
        <w:autoSpaceDN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甲方：                                   乙方：</w:t>
      </w:r>
    </w:p>
    <w:p>
      <w:pPr>
        <w:shd w:val="clear"/>
        <w:autoSpaceDE w:val="0"/>
        <w:autoSpaceDN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统一社会信用代码：                       统一社会信用代码或身份证号码：</w:t>
      </w:r>
    </w:p>
    <w:p>
      <w:pPr>
        <w:shd w:val="clear"/>
        <w:snapToGrid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地址：                                   地址： </w:t>
      </w:r>
    </w:p>
    <w:p>
      <w:pPr>
        <w:shd w:val="clear"/>
        <w:snapToGrid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法定（授权）代表人：                     法定（授权）代表人：</w:t>
      </w:r>
    </w:p>
    <w:p>
      <w:pPr>
        <w:shd w:val="clear"/>
        <w:snapToGrid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联系电话：                               联系电话：</w:t>
      </w:r>
    </w:p>
    <w:p>
      <w:pPr>
        <w:shd w:val="clear"/>
        <w:snapToGrid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签字日期：    年  月  日                 签字日期：   年  月  日</w:t>
      </w:r>
    </w:p>
    <w:p>
      <w:pPr>
        <w:shd w:val="clear"/>
        <w:autoSpaceDE w:val="0"/>
        <w:autoSpaceDN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开户银行：                               开户银行： </w:t>
      </w:r>
    </w:p>
    <w:p>
      <w:pPr>
        <w:shd w:val="clear"/>
        <w:autoSpaceDE w:val="0"/>
        <w:autoSpaceDN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开户名称：                               开户名称： </w:t>
      </w:r>
    </w:p>
    <w:p>
      <w:pPr>
        <w:shd w:val="clear"/>
        <w:autoSpaceDE w:val="0"/>
        <w:autoSpaceDN w:val="0"/>
        <w:spacing w:beforeLines="0" w:afterLines="0" w:line="380" w:lineRule="exact"/>
        <w:ind w:left="420" w:left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开户账号：                               开户账号：</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合同鉴证方: 江山惠捷信息技术咨询有限公司</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经办人:</w:t>
      </w:r>
    </w:p>
    <w:p>
      <w:pPr>
        <w:shd w:val="clear"/>
        <w:snapToGrid w:val="0"/>
        <w:spacing w:beforeLines="0" w:afterLines="0" w:line="36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鉴证日期:      年  月  日</w:t>
      </w:r>
    </w:p>
    <w:p>
      <w:pPr>
        <w:shd w:val="clear"/>
        <w:spacing w:beforeLines="0" w:afterLines="0" w:line="400" w:lineRule="exact"/>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pStyle w:val="14"/>
        <w:shd w:val="clear"/>
        <w:ind w:left="0" w:leftChars="0" w:firstLine="0" w:firstLineChars="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437" w:name="_Toc11460"/>
      <w:bookmarkStart w:id="438" w:name="_Toc1098"/>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djustRightInd/>
        <w:spacing w:line="360" w:lineRule="auto"/>
        <w:jc w:val="center"/>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第六部分</w:t>
      </w:r>
      <w:bookmarkEnd w:id="432"/>
      <w:bookmarkEnd w:id="433"/>
      <w:r>
        <w:rPr>
          <w:rFonts w:hint="eastAsia" w:ascii="仿宋_GB2312" w:hAnsi="仿宋_GB2312" w:eastAsia="仿宋_GB2312" w:cs="仿宋_GB2312"/>
          <w:b/>
          <w:color w:val="000000" w:themeColor="text1"/>
          <w:sz w:val="24"/>
          <w:szCs w:val="24"/>
          <w:highlight w:val="none"/>
          <w14:textFill>
            <w14:solidFill>
              <w14:schemeClr w14:val="tx1"/>
            </w14:solidFill>
          </w14:textFill>
        </w:rPr>
        <w:t>应提交的有关格式范例</w:t>
      </w:r>
      <w:bookmarkEnd w:id="437"/>
      <w:bookmarkEnd w:id="438"/>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bookmarkStart w:id="439" w:name="_Toc22552"/>
      <w:bookmarkStart w:id="440" w:name="_Toc15249"/>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资格文件部分</w:t>
      </w:r>
      <w:bookmarkEnd w:id="439"/>
      <w:bookmarkEnd w:id="440"/>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bookmarkStart w:id="441" w:name="_Toc32278"/>
      <w:bookmarkStart w:id="442" w:name="_Toc3751"/>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目录</w:t>
      </w:r>
      <w:bookmarkEnd w:id="441"/>
      <w:bookmarkEnd w:id="442"/>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1.资格文件封面；</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2.符合参加政府采购活动应当具备的一般条件的承诺函；</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3.落实政府采购政策需满足的资格要求；</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4.有效的《企业法人营业执照》副本扫描件；</w:t>
      </w:r>
    </w:p>
    <w:p>
      <w:pPr>
        <w:shd w:val="clear"/>
        <w:snapToGrid w:val="0"/>
        <w:spacing w:line="360" w:lineRule="auto"/>
        <w:ind w:left="479" w:leftChars="228"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5.授权委托书或法定代表人（单位负责人、自然人本人）身份证明；被授权人身份证明、被授权人投标前3个月在本单位社保证明。</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6.投标函；</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7.信用中国等网站信用查询结果；</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8.</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政府采购活动现场确认声明书；</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9.</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政府采购供应商廉洁自律承诺书；</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right="480"/>
        <w:jc w:val="center"/>
        <w:rPr>
          <w:rFonts w:hint="eastAsia" w:ascii="仿宋_GB2312" w:hAnsi="仿宋_GB2312" w:eastAsia="仿宋_GB2312" w:cs="仿宋_GB2312"/>
          <w:b/>
          <w:bCs/>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br w:type="page"/>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kern w:val="0"/>
          <w:sz w:val="24"/>
          <w:szCs w:val="24"/>
          <w:highlight w:val="none"/>
          <w:lang w:val="en-US" w:eastAsia="zh-CN"/>
          <w14:textFill>
            <w14:solidFill>
              <w14:schemeClr w14:val="tx1"/>
            </w14:solidFill>
          </w14:textFill>
        </w:rPr>
        <w:t>一、投标文件封面</w:t>
      </w:r>
    </w:p>
    <w:p>
      <w:pPr>
        <w:shd w:val="clear"/>
        <w:snapToGrid w:val="0"/>
        <w:spacing w:line="360" w:lineRule="auto"/>
        <w:ind w:right="480" w:firstLine="2640" w:firstLineChars="110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pStyle w:val="81"/>
        <w:shd w:val="clea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w:t>
      </w:r>
    </w:p>
    <w:p>
      <w:pPr>
        <w:shd w:val="clear"/>
        <w:rPr>
          <w:rFonts w:hint="eastAsia"/>
          <w:color w:val="000000" w:themeColor="text1"/>
          <w:highlight w:val="none"/>
          <w:lang w:val="en-US" w:eastAsia="zh-CN"/>
          <w14:textFill>
            <w14:solidFill>
              <w14:schemeClr w14:val="tx1"/>
            </w14:solidFill>
          </w14:textFill>
        </w:rPr>
      </w:pPr>
    </w:p>
    <w:p>
      <w:pPr>
        <w:shd w:val="clear"/>
        <w:snapToGrid w:val="0"/>
        <w:spacing w:line="360" w:lineRule="auto"/>
        <w:ind w:right="480" w:firstLine="2640" w:firstLineChars="110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firstLine="2640" w:firstLineChars="110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资 格 文 件（商务技术文件、报价文件）</w:t>
      </w:r>
    </w:p>
    <w:p>
      <w:pPr>
        <w:shd w:val="clea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bookmarkStart w:id="443" w:name="_Toc357410802"/>
    </w:p>
    <w:p>
      <w:pPr>
        <w:pStyle w:val="81"/>
        <w:shd w:val="clear"/>
        <w:rPr>
          <w:rFonts w:hint="eastAsia"/>
          <w:color w:val="000000" w:themeColor="text1"/>
          <w:highlight w:val="none"/>
          <w:lang w:val="en-US" w:eastAsia="zh-CN"/>
          <w14:textFill>
            <w14:solidFill>
              <w14:schemeClr w14:val="tx1"/>
            </w14:solidFill>
          </w14:textFill>
        </w:rPr>
      </w:pPr>
    </w:p>
    <w:p>
      <w:pPr>
        <w:shd w:val="clear"/>
        <w:rPr>
          <w:rFonts w:hint="eastAsia"/>
          <w:color w:val="000000" w:themeColor="text1"/>
          <w:highlight w:val="none"/>
          <w:lang w:val="en-US" w:eastAsia="zh-CN"/>
          <w14:textFill>
            <w14:solidFill>
              <w14:schemeClr w14:val="tx1"/>
            </w14:solidFill>
          </w14:textFill>
        </w:rPr>
      </w:pPr>
    </w:p>
    <w:p>
      <w:pPr>
        <w:pStyle w:val="81"/>
        <w:shd w:val="clear"/>
        <w:rPr>
          <w:rFonts w:hint="eastAsia"/>
          <w:color w:val="000000" w:themeColor="text1"/>
          <w:highlight w:val="none"/>
          <w:lang w:val="en-US" w:eastAsia="zh-CN"/>
          <w14:textFill>
            <w14:solidFill>
              <w14:schemeClr w14:val="tx1"/>
            </w14:solidFill>
          </w14:textFill>
        </w:rPr>
      </w:pPr>
    </w:p>
    <w:p>
      <w:pPr>
        <w:shd w:val="clear"/>
        <w:rPr>
          <w:rFonts w:hint="eastAsia"/>
          <w:color w:val="000000" w:themeColor="text1"/>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项目名称：</w:t>
      </w:r>
      <w:bookmarkEnd w:id="443"/>
      <w:bookmarkStart w:id="444" w:name="_Toc357410803"/>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项目编号：</w:t>
      </w:r>
      <w:bookmarkEnd w:id="444"/>
      <w:bookmarkStart w:id="445" w:name="_Toc357410804"/>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响应方名称：</w:t>
      </w:r>
      <w:bookmarkEnd w:id="445"/>
      <w:bookmarkStart w:id="446" w:name="_Toc357410805"/>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日期：  年   月   日</w:t>
      </w:r>
      <w:bookmarkEnd w:id="446"/>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pPr>
    </w:p>
    <w:p>
      <w:pPr>
        <w:shd w:val="clear"/>
        <w:snapToGrid w:val="0"/>
        <w:spacing w:line="360" w:lineRule="auto"/>
        <w:ind w:right="48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二、</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 xml:space="preserve"> 符合参加政府采购活动应当具备的一般条件的承诺函</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（采购人）、（采购代理机构）：</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我方参与（项目名称）【招标编号：（采购编号）】政府采购活动，郑重承诺：</w:t>
      </w:r>
    </w:p>
    <w:p>
      <w:pPr>
        <w:shd w:val="clear"/>
        <w:snapToGrid w:val="0"/>
        <w:spacing w:line="360" w:lineRule="auto"/>
        <w:ind w:firstLine="360"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（一）具备《中华人民共和国政府采购法》第二十二条第一款规定的条件：</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1、具有独立承担民事责任的能力；</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2、具有良好的商业信誉和健全的财务会计制度； </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3、具有履行合同所必需的设备和专业技术能力；</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4、有依法缴纳税收和社会保障资金的良好记录；</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5、参加政府采购活动前三年内，在经营活动中没有重大违法记录；</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6、具有法律、行政法规规定的其他条件。</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（三）不存在以下情况：</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1、单位负责人为同一人或者存在直接控股、管理关系的不同供应商参加同一合同项下的政府采购活动的；</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2、为采购项目提供整体设计、规范编制或者项目管理、监理、检测等服务后再参加该采购项目的其他采购活动的。</w:t>
      </w:r>
    </w:p>
    <w:p>
      <w:pPr>
        <w:shd w:val="clear"/>
        <w:snapToGrid w:val="0"/>
        <w:spacing w:line="360" w:lineRule="auto"/>
        <w:ind w:firstLine="5520" w:firstLineChars="23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投标人名称(电子签名)：</w:t>
      </w:r>
    </w:p>
    <w:p>
      <w:pPr>
        <w:shd w:val="clear"/>
        <w:snapToGrid w:val="0"/>
        <w:spacing w:line="360" w:lineRule="auto"/>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日期</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 xml:space="preserve">：  年  </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月</w:t>
      </w:r>
      <w:r>
        <w:rPr>
          <w:rFonts w:hint="eastAsia" w:ascii="仿宋_GB2312" w:hAnsi="仿宋_GB2312" w:eastAsia="仿宋_GB2312" w:cs="仿宋_GB2312"/>
          <w:color w:val="000000" w:themeColor="text1"/>
          <w:kern w:val="0"/>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日</w:t>
      </w:r>
    </w:p>
    <w:p>
      <w:pPr>
        <w:shd w:val="clear"/>
        <w:snapToGrid w:val="0"/>
        <w:spacing w:line="360" w:lineRule="auto"/>
        <w:ind w:right="48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napToGrid w:val="0"/>
        <w:spacing w:line="360" w:lineRule="auto"/>
        <w:ind w:right="480" w:firstLine="2409" w:firstLineChars="10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三、</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落实政府采购政策需满足的资格要求</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（根据招标公告落实政府采购政策需满足的资格要求选择提供相应的材料；未要求的，无需提供）</w:t>
      </w:r>
    </w:p>
    <w:p>
      <w:pPr>
        <w:shd w:val="clear"/>
        <w:snapToGrid w:val="0"/>
        <w:spacing w:before="50" w:after="50" w:line="360" w:lineRule="auto"/>
        <w:ind w:firstLine="472" w:firstLineChars="196"/>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A</w:t>
      </w:r>
      <w:r>
        <w:rPr>
          <w:rFonts w:hint="eastAsia" w:ascii="仿宋_GB2312" w:hAnsi="仿宋_GB2312" w:eastAsia="仿宋_GB2312" w:cs="仿宋_GB2312"/>
          <w:color w:val="000000" w:themeColor="text1"/>
          <w:sz w:val="24"/>
          <w:szCs w:val="24"/>
          <w:highlight w:val="none"/>
          <w14:textFill>
            <w14:solidFill>
              <w14:schemeClr w14:val="tx1"/>
            </w14:solidFill>
          </w14:textFill>
        </w:rPr>
        <w:t>.专门面向中小企业，货物全部由符合政策要求的中小企业（或小微企业）制造或者服务全部由符合政策要求的中小企业（或小微企业）承接的，提供相应的中小企业声明函（附件5）。</w:t>
      </w:r>
    </w:p>
    <w:p>
      <w:pPr>
        <w:widowControl/>
        <w:shd w:val="clear"/>
        <w:spacing w:line="360" w:lineRule="auto"/>
        <w:ind w:firstLine="48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widowControl/>
        <w:shd w:val="clear"/>
        <w:spacing w:line="360" w:lineRule="auto"/>
        <w:ind w:firstLine="472" w:firstLineChars="196"/>
        <w:jc w:val="left"/>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B.</w:t>
      </w:r>
      <w:r>
        <w:rPr>
          <w:rFonts w:hint="eastAsia" w:ascii="仿宋_GB2312" w:hAnsi="仿宋_GB2312" w:eastAsia="仿宋_GB2312" w:cs="仿宋_GB2312"/>
          <w:color w:val="000000" w:themeColor="text1"/>
          <w:sz w:val="24"/>
          <w:szCs w:val="24"/>
          <w:highlight w:val="none"/>
          <w14:textFill>
            <w14:solidFill>
              <w14:schemeClr w14:val="tx1"/>
            </w14:solidFill>
          </w14:textFill>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hd w:val="clear"/>
        <w:ind w:firstLine="723" w:firstLineChars="300"/>
        <w:jc w:val="cente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p>
    <w:p>
      <w:pPr>
        <w:shd w:val="clear"/>
        <w:ind w:firstLine="1446" w:firstLineChars="600"/>
        <w:jc w:val="both"/>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四、</w:t>
      </w: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有效的《企业法人营业执照》副本；</w:t>
      </w:r>
    </w:p>
    <w:p>
      <w:pPr>
        <w:shd w:val="clear"/>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ind w:firstLine="1446" w:firstLineChars="600"/>
        <w:jc w:val="both"/>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五、</w:t>
      </w: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授权委托书或法定代表人（单位负责人、自然人本人）身份证明</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2154" w:firstLineChars="894"/>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授权委托书（适用于非联合体投标）</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（采购人）、（采购代理机构）</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委托（姓名）为我方代理人（身份证号码：，手机：），以我方名义处理</w:t>
      </w:r>
      <w:r>
        <w:rPr>
          <w:rFonts w:hint="eastAsia" w:ascii="仿宋_GB2312" w:hAnsi="仿宋_GB2312" w:eastAsia="仿宋_GB2312" w:cs="仿宋_GB2312"/>
          <w:color w:val="000000" w:themeColor="text1"/>
          <w:sz w:val="24"/>
          <w:szCs w:val="24"/>
          <w:highlight w:val="none"/>
          <w14:textFill>
            <w14:solidFill>
              <w14:schemeClr w14:val="tx1"/>
            </w14:solidFill>
          </w14:textFill>
        </w:rPr>
        <w:t>（项目名称）【招标编号：（采购编号）】</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政府采购投标的一切事项，其法律后果由我方承担。</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委托期限</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自年月日起至年月日止。</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特此告知。</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投标人名称(电子签名)：</w:t>
      </w:r>
    </w:p>
    <w:p>
      <w:pPr>
        <w:shd w:val="clear"/>
        <w:snapToGrid w:val="0"/>
        <w:spacing w:line="360" w:lineRule="auto"/>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签发日期：  年  月   日</w:t>
      </w: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授权委托书（适用于联合体投标）</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（采购人）、（采购代理机构）</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委托（姓名）为我方代理人（身份证号码：，手机：），以我方名义处理</w:t>
      </w:r>
      <w:r>
        <w:rPr>
          <w:rFonts w:hint="eastAsia" w:ascii="仿宋_GB2312" w:hAnsi="仿宋_GB2312" w:eastAsia="仿宋_GB2312" w:cs="仿宋_GB2312"/>
          <w:color w:val="000000" w:themeColor="text1"/>
          <w:sz w:val="24"/>
          <w:szCs w:val="24"/>
          <w:highlight w:val="none"/>
          <w14:textFill>
            <w14:solidFill>
              <w14:schemeClr w14:val="tx1"/>
            </w14:solidFill>
          </w14:textFill>
        </w:rPr>
        <w:t>（项目名称）【招标编号：（采购编号）】</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政府采购投标的一切事项，其法律后果由我方承担。</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委托期限</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自年月日起至年月日止。</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特此告知。</w:t>
      </w:r>
    </w:p>
    <w:p>
      <w:pPr>
        <w:shd w:val="clea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5040" w:firstLineChars="21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联合体成员名称(电子签名/公章)：</w:t>
      </w:r>
    </w:p>
    <w:p>
      <w:pPr>
        <w:shd w:val="clear"/>
        <w:snapToGrid w:val="0"/>
        <w:spacing w:line="360" w:lineRule="auto"/>
        <w:ind w:firstLine="5040" w:firstLineChars="21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联合体成员名称(电子签名/公章)：</w:t>
      </w:r>
    </w:p>
    <w:p>
      <w:pPr>
        <w:shd w:val="clear"/>
        <w:snapToGrid w:val="0"/>
        <w:spacing w:line="360" w:lineRule="auto"/>
        <w:ind w:firstLine="5760" w:firstLineChars="2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日期：  年  月   日</w:t>
      </w:r>
    </w:p>
    <w:p>
      <w:pPr>
        <w:shd w:val="clear"/>
        <w:autoSpaceDE w:val="0"/>
        <w:autoSpaceDN w:val="0"/>
        <w:spacing w:line="360" w:lineRule="auto"/>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法定代表人、单位负责人或自然人本人</w:t>
      </w:r>
      <w:r>
        <w:rPr>
          <w:rFonts w:hint="eastAsia" w:ascii="仿宋_GB2312" w:hAnsi="仿宋_GB2312" w:eastAsia="仿宋_GB2312" w:cs="仿宋_GB2312"/>
          <w:b/>
          <w:color w:val="000000" w:themeColor="text1"/>
          <w:sz w:val="24"/>
          <w:szCs w:val="24"/>
          <w:highlight w:val="none"/>
          <w14:textFill>
            <w14:solidFill>
              <w14:schemeClr w14:val="tx1"/>
            </w14:solidFill>
          </w14:textFill>
        </w:rPr>
        <w:t>的身份证明（适用于法定代表人、单位负责人或者自然人本人代表投标人参加投标）</w:t>
      </w:r>
    </w:p>
    <w:p>
      <w:pPr>
        <w:pStyle w:val="151"/>
        <w:shd w:val="clear"/>
        <w:spacing w:line="360" w:lineRule="auto"/>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身份证件扫描件：</w:t>
      </w:r>
    </w:p>
    <w:tbl>
      <w:tblPr>
        <w:tblStyle w:val="73"/>
        <w:tblW w:w="92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21" w:hRule="atLeast"/>
          <w:jc w:val="center"/>
        </w:trPr>
        <w:tc>
          <w:tcPr>
            <w:tcW w:w="9207" w:type="dxa"/>
          </w:tcPr>
          <w:p>
            <w:pPr>
              <w:pStyle w:val="151"/>
              <w:keepNext w:val="0"/>
              <w:keepLines w:val="0"/>
              <w:suppressLineNumbers w:val="0"/>
              <w:shd w:val="clear"/>
              <w:adjustRightInd w:val="0"/>
              <w:spacing w:before="0" w:beforeAutospacing="0" w:after="0" w:afterAutospacing="0" w:line="360" w:lineRule="auto"/>
              <w:ind w:left="0" w:right="0"/>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正面：反面：</w:t>
            </w:r>
          </w:p>
          <w:p>
            <w:pPr>
              <w:pStyle w:val="151"/>
              <w:keepNext w:val="0"/>
              <w:keepLines w:val="0"/>
              <w:suppressLineNumbers w:val="0"/>
              <w:shd w:val="clear"/>
              <w:adjustRightInd w:val="0"/>
              <w:spacing w:before="0" w:beforeAutospacing="0" w:after="0" w:afterAutospacing="0" w:line="360" w:lineRule="auto"/>
              <w:ind w:left="0" w:right="0"/>
              <w:rPr>
                <w:rFonts w:hint="eastAsia" w:ascii="仿宋_GB2312" w:hAnsi="仿宋_GB2312" w:eastAsia="仿宋_GB2312" w:cs="仿宋_GB2312"/>
                <w:bCs/>
                <w:color w:val="000000" w:themeColor="text1"/>
                <w:sz w:val="24"/>
                <w:szCs w:val="24"/>
                <w:highlight w:val="none"/>
                <w14:textFill>
                  <w14:solidFill>
                    <w14:schemeClr w14:val="tx1"/>
                  </w14:solidFill>
                </w14:textFill>
              </w:rPr>
            </w:pPr>
          </w:p>
        </w:tc>
      </w:tr>
    </w:tbl>
    <w:p>
      <w:pPr>
        <w:shd w:val="clear"/>
        <w:snapToGrid w:val="0"/>
        <w:spacing w:line="360" w:lineRule="auto"/>
        <w:ind w:firstLine="576"/>
        <w:jc w:val="cente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snapToGrid w:val="0"/>
        <w:spacing w:line="360" w:lineRule="auto"/>
        <w:ind w:firstLine="576"/>
        <w:jc w:val="cente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投标人名称(电子签名)：                              </w:t>
      </w:r>
    </w:p>
    <w:p>
      <w:pPr>
        <w:shd w:val="clear"/>
        <w:spacing w:line="360" w:lineRule="auto"/>
        <w:jc w:val="cente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日期：  年  月  日</w:t>
      </w:r>
    </w:p>
    <w:p>
      <w:pPr>
        <w:shd w:val="clear"/>
        <w:snapToGrid w:val="0"/>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napToGrid w:val="0"/>
        <w:spacing w:line="360" w:lineRule="auto"/>
        <w:ind w:firstLine="4096" w:firstLineChars="1700"/>
        <w:jc w:val="both"/>
        <w:outlineLvl w:val="0"/>
        <w:rPr>
          <w:rFonts w:hint="eastAsia" w:ascii="仿宋_GB2312" w:hAnsi="仿宋_GB2312" w:eastAsia="仿宋_GB2312" w:cs="仿宋_GB2312"/>
          <w:b/>
          <w:color w:val="000000" w:themeColor="text1"/>
          <w:sz w:val="24"/>
          <w:szCs w:val="24"/>
          <w:highlight w:val="none"/>
          <w14:textFill>
            <w14:solidFill>
              <w14:schemeClr w14:val="tx1"/>
            </w14:solidFill>
          </w14:textFill>
        </w:rPr>
      </w:pPr>
      <w:bookmarkStart w:id="447" w:name="_Toc29790"/>
      <w:bookmarkStart w:id="448" w:name="_Toc9811"/>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六</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、投标</w:t>
      </w:r>
      <w:r>
        <w:rPr>
          <w:rFonts w:hint="eastAsia" w:ascii="仿宋_GB2312" w:hAnsi="仿宋_GB2312" w:eastAsia="仿宋_GB2312" w:cs="仿宋_GB2312"/>
          <w:b/>
          <w:color w:val="000000" w:themeColor="text1"/>
          <w:sz w:val="24"/>
          <w:szCs w:val="24"/>
          <w:highlight w:val="none"/>
          <w14:textFill>
            <w14:solidFill>
              <w14:schemeClr w14:val="tx1"/>
            </w14:solidFill>
          </w14:textFill>
        </w:rPr>
        <w:t>函</w:t>
      </w:r>
      <w:bookmarkEnd w:id="447"/>
      <w:bookmarkEnd w:id="448"/>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（采购人）、（采购代理机构）：</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我方参加你方组织的（项目名称）【招标编号：（采购编号）】招标的有关活动，并对此项目进行投标。为此：</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1、我方承诺投标有效期从提交投标文件的截止之日起</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90</w:t>
      </w:r>
      <w:r>
        <w:rPr>
          <w:rFonts w:hint="eastAsia" w:ascii="仿宋_GB2312" w:hAnsi="仿宋_GB2312" w:eastAsia="仿宋_GB2312" w:cs="仿宋_GB2312"/>
          <w:color w:val="000000" w:themeColor="text1"/>
          <w:sz w:val="24"/>
          <w:szCs w:val="24"/>
          <w:highlight w:val="none"/>
          <w14:textFill>
            <w14:solidFill>
              <w14:schemeClr w14:val="tx1"/>
            </w14:solidFill>
          </w14:textFill>
        </w:rPr>
        <w:t>天，本投标文件在投标有效期满之前均具有约束力。</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2、我方承诺除商务技术偏离表列出的偏离外，我方响应招标文件的全部要求。</w:t>
      </w: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3、如我方中标，我方承诺：</w:t>
      </w:r>
    </w:p>
    <w:p>
      <w:pPr>
        <w:shd w:val="clear"/>
        <w:snapToGrid w:val="0"/>
        <w:spacing w:line="360" w:lineRule="auto"/>
        <w:ind w:left="210" w:leftChars="100"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4.1在收到中标通知书后，在中标通知书规定的期限内与你方签订合同； </w:t>
      </w:r>
    </w:p>
    <w:p>
      <w:pPr>
        <w:shd w:val="clear"/>
        <w:snapToGrid w:val="0"/>
        <w:spacing w:line="360" w:lineRule="auto"/>
        <w:ind w:left="210" w:leftChars="100"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4.2在签订合同时不向你方提出附加条件； </w:t>
      </w:r>
    </w:p>
    <w:p>
      <w:pPr>
        <w:shd w:val="clear"/>
        <w:snapToGrid w:val="0"/>
        <w:spacing w:line="360" w:lineRule="auto"/>
        <w:ind w:left="210" w:leftChars="100"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4.3按照招标文件要求提交履约保证金； </w:t>
      </w:r>
    </w:p>
    <w:p>
      <w:pPr>
        <w:shd w:val="clear"/>
        <w:snapToGrid w:val="0"/>
        <w:spacing w:line="360" w:lineRule="auto"/>
        <w:ind w:left="210" w:leftChars="100"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4.4在合同约定的期限内完成合同规定的全部义务。 </w:t>
      </w:r>
    </w:p>
    <w:p>
      <w:pPr>
        <w:numPr>
          <w:ilvl w:val="0"/>
          <w:numId w:val="8"/>
        </w:num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开户银行：</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银行帐号：</w:t>
      </w:r>
    </w:p>
    <w:p>
      <w:pPr>
        <w:shd w:val="clear"/>
        <w:spacing w:line="360" w:lineRule="auto"/>
        <w:ind w:firstLine="3600" w:firstLineChars="15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投标人名称（电子签名）：</w:t>
      </w:r>
    </w:p>
    <w:p>
      <w:pPr>
        <w:shd w:val="clear"/>
        <w:spacing w:line="360" w:lineRule="auto"/>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日期：  年   月   日</w:t>
      </w:r>
    </w:p>
    <w:p>
      <w:pPr>
        <w:shd w:val="clear"/>
        <w:spacing w:line="360" w:lineRule="auto"/>
        <w:ind w:firstLine="2650" w:firstLineChars="1100"/>
        <w:jc w:val="both"/>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pPr>
    </w:p>
    <w:p>
      <w:pPr>
        <w:shd w:val="clear"/>
        <w:spacing w:line="360" w:lineRule="auto"/>
        <w:ind w:firstLine="2650" w:firstLineChars="1100"/>
        <w:jc w:val="both"/>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pPr>
    </w:p>
    <w:p>
      <w:pPr>
        <w:shd w:val="clear"/>
        <w:spacing w:line="360" w:lineRule="auto"/>
        <w:ind w:firstLine="2650" w:firstLineChars="11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七</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信用中国等网站信用查询结果</w:t>
      </w:r>
    </w:p>
    <w:p>
      <w:pPr>
        <w:pStyle w:val="322"/>
        <w:shd w:val="clear"/>
        <w:snapToGrid w:val="0"/>
        <w:spacing w:line="500" w:lineRule="exact"/>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公告发布之日起到开标截止时间之间“信用中国”（www.creditchina.gov.cn）、中国政府采购网（www.ccgp.gov.cn）失信被执行人、重大税收违法案件当事人名单、政府采购严重违法失信行为记录名查询结果截图。</w:t>
      </w:r>
    </w:p>
    <w:p>
      <w:pPr>
        <w:pStyle w:val="322"/>
        <w:shd w:val="clear"/>
        <w:snapToGrid w:val="0"/>
        <w:spacing w:line="500" w:lineRule="exact"/>
        <w:ind w:left="0" w:leftChars="0" w:firstLine="2650" w:firstLineChars="1100"/>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八、</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政府采购活动现场确认声明书</w:t>
      </w:r>
    </w:p>
    <w:p>
      <w:pPr>
        <w:pStyle w:val="967"/>
        <w:widowControl w:val="0"/>
        <w:shd w:val="clear"/>
        <w:snapToGrid w:val="0"/>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 xml:space="preserve"> 江山惠捷信息技术咨询有限公司</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w:t>
      </w:r>
    </w:p>
    <w:p>
      <w:pPr>
        <w:shd w:val="clear"/>
        <w:snapToGrid w:val="0"/>
        <w:spacing w:line="380" w:lineRule="exact"/>
        <w:ind w:left="239" w:leftChars="114" w:firstLine="252" w:firstLineChars="100"/>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t>本人经由（供应商名称）法定代表人合法授权</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参加</w:t>
      </w:r>
      <w:r>
        <w:rPr>
          <w:rFonts w:hint="eastAsia" w:ascii="仿宋_GB2312" w:hAnsi="仿宋_GB2312" w:eastAsia="仿宋_GB2312" w:cs="仿宋_GB2312"/>
          <w:bCs/>
          <w:color w:val="000000" w:themeColor="text1"/>
          <w:kern w:val="0"/>
          <w:sz w:val="24"/>
          <w:szCs w:val="24"/>
          <w:highlight w:val="none"/>
          <w:u w:val="single"/>
          <w:lang w:eastAsia="zh-CN"/>
          <w14:textFill>
            <w14:solidFill>
              <w14:schemeClr w14:val="tx1"/>
            </w14:solidFill>
          </w14:textFill>
        </w:rPr>
        <w:t>江山市水库建设管理服务中心2025年度维修养护</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（编号：）</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招标</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活</w:t>
      </w:r>
      <w:r>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t xml:space="preserve">动，现就有关公平竞争事项郑重声明如下： </w:t>
      </w:r>
    </w:p>
    <w:p>
      <w:pPr>
        <w:pStyle w:val="968"/>
        <w:widowControl/>
        <w:shd w:val="clear"/>
        <w:snapToGrid w:val="0"/>
        <w:spacing w:line="380" w:lineRule="exact"/>
        <w:ind w:firstLine="480"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一、本</w:t>
      </w:r>
      <w:r>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t>公司</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 xml:space="preserve">与采购人之间    </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fldChar w:fldCharType="begin"/>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instrText xml:space="preserve"> eq \o\ac(</w:instrText>
      </w:r>
      <w:r>
        <w:rPr>
          <w:rFonts w:hint="eastAsia" w:ascii="仿宋_GB2312" w:hAnsi="仿宋_GB2312" w:eastAsia="仿宋_GB2312" w:cs="仿宋_GB2312"/>
          <w:bCs/>
          <w:color w:val="000000" w:themeColor="text1"/>
          <w:kern w:val="0"/>
          <w:position w:val="-4"/>
          <w:sz w:val="36"/>
          <w:szCs w:val="24"/>
          <w:highlight w:val="none"/>
          <w14:textFill>
            <w14:solidFill>
              <w14:schemeClr w14:val="tx1"/>
            </w14:solidFill>
          </w14:textFill>
        </w:rPr>
        <w:instrText xml:space="preserve">□</w:instrText>
      </w:r>
      <w:r>
        <w:rPr>
          <w:rFonts w:hint="eastAsia" w:ascii="仿宋_GB2312" w:hAnsi="仿宋_GB2312" w:eastAsia="仿宋_GB2312" w:cs="仿宋_GB2312"/>
          <w:bCs/>
          <w:color w:val="000000" w:themeColor="text1"/>
          <w:kern w:val="0"/>
          <w:position w:val="0"/>
          <w:sz w:val="24"/>
          <w:szCs w:val="24"/>
          <w:highlight w:val="none"/>
          <w14:textFill>
            <w14:solidFill>
              <w14:schemeClr w14:val="tx1"/>
            </w14:solidFill>
          </w14:textFill>
        </w:rPr>
        <w:instrText xml:space="preserve">,√)</w:instrTex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fldChar w:fldCharType="end"/>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不存在利害关系     □存在下列利害关系：</w:t>
      </w:r>
    </w:p>
    <w:p>
      <w:pPr>
        <w:pStyle w:val="968"/>
        <w:widowControl/>
        <w:shd w:val="clear"/>
        <w:snapToGrid w:val="0"/>
        <w:spacing w:line="380" w:lineRule="exact"/>
        <w:ind w:firstLine="480"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A.投资关系    B.行政隶属关系    C.业务指导关系</w:t>
      </w:r>
    </w:p>
    <w:p>
      <w:pPr>
        <w:pStyle w:val="968"/>
        <w:widowControl/>
        <w:shd w:val="clear"/>
        <w:snapToGrid w:val="0"/>
        <w:spacing w:line="380" w:lineRule="exact"/>
        <w:ind w:firstLine="480"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D.其他可能</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影响招标公正的</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利害关系</w:t>
      </w:r>
      <w:r>
        <w:rPr>
          <w:rFonts w:hint="eastAsia" w:ascii="仿宋_GB2312" w:hAnsi="仿宋_GB2312" w:eastAsia="仿宋_GB2312" w:cs="仿宋_GB2312"/>
          <w:bCs/>
          <w:color w:val="000000" w:themeColor="text1"/>
          <w:kern w:val="0"/>
          <w:sz w:val="24"/>
          <w:szCs w:val="24"/>
          <w:highlight w:val="none"/>
          <w:u w:val="single"/>
          <w14:textFill>
            <w14:solidFill>
              <w14:schemeClr w14:val="tx1"/>
            </w14:solidFill>
          </w14:textFill>
        </w:rPr>
        <w:t xml:space="preserve">（如有，请如实说明）             </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w:t>
      </w:r>
    </w:p>
    <w:p>
      <w:pPr>
        <w:pStyle w:val="968"/>
        <w:widowControl/>
        <w:shd w:val="clear"/>
        <w:snapToGrid w:val="0"/>
        <w:spacing w:line="380" w:lineRule="exact"/>
        <w:ind w:firstLine="504"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t>二、</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现已清楚知道参加本项目</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招标</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活动的其他所有供应商名称，本</w:t>
      </w:r>
      <w:r>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t>公司</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fldChar w:fldCharType="begin"/>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instrText xml:space="preserve"> eq \o\ac(</w:instrText>
      </w:r>
      <w:r>
        <w:rPr>
          <w:rFonts w:hint="eastAsia" w:ascii="仿宋_GB2312" w:hAnsi="仿宋_GB2312" w:eastAsia="仿宋_GB2312" w:cs="仿宋_GB2312"/>
          <w:bCs/>
          <w:color w:val="000000" w:themeColor="text1"/>
          <w:kern w:val="0"/>
          <w:position w:val="-4"/>
          <w:sz w:val="36"/>
          <w:szCs w:val="24"/>
          <w:highlight w:val="none"/>
          <w14:textFill>
            <w14:solidFill>
              <w14:schemeClr w14:val="tx1"/>
            </w14:solidFill>
          </w14:textFill>
        </w:rPr>
        <w:instrText xml:space="preserve">□</w:instrText>
      </w:r>
      <w:r>
        <w:rPr>
          <w:rFonts w:hint="eastAsia" w:ascii="仿宋_GB2312" w:hAnsi="仿宋_GB2312" w:eastAsia="仿宋_GB2312" w:cs="仿宋_GB2312"/>
          <w:bCs/>
          <w:color w:val="000000" w:themeColor="text1"/>
          <w:kern w:val="0"/>
          <w:position w:val="0"/>
          <w:sz w:val="24"/>
          <w:szCs w:val="24"/>
          <w:highlight w:val="none"/>
          <w14:textFill>
            <w14:solidFill>
              <w14:schemeClr w14:val="tx1"/>
            </w14:solidFill>
          </w14:textFill>
        </w:rPr>
        <w:instrText xml:space="preserve">,√)</w:instrTex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fldChar w:fldCharType="end"/>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与其他所有供应商之间均不存在利害关系</w:t>
      </w:r>
    </w:p>
    <w:p>
      <w:pPr>
        <w:pStyle w:val="968"/>
        <w:widowControl/>
        <w:shd w:val="clear"/>
        <w:snapToGrid w:val="0"/>
        <w:spacing w:line="380" w:lineRule="exact"/>
        <w:ind w:firstLine="480"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□与</w:t>
      </w:r>
      <w:r>
        <w:rPr>
          <w:rFonts w:hint="eastAsia" w:ascii="仿宋_GB2312" w:hAnsi="仿宋_GB2312" w:eastAsia="仿宋_GB2312" w:cs="仿宋_GB2312"/>
          <w:bCs/>
          <w:color w:val="000000" w:themeColor="text1"/>
          <w:kern w:val="0"/>
          <w:sz w:val="24"/>
          <w:szCs w:val="24"/>
          <w:highlight w:val="none"/>
          <w:u w:val="single"/>
          <w14:textFill>
            <w14:solidFill>
              <w14:schemeClr w14:val="tx1"/>
            </w14:solidFill>
          </w14:textFill>
        </w:rPr>
        <w:t xml:space="preserve">                        （供应商名称）</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之间存在下列利害关系：</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A.法定代表人或负责人或实际控制人是同一人</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B.法定代表人或负责人或实际控制人是夫妻关系</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C.法定代表人或负责人或实际控制人是直系血亲关系</w:t>
      </w:r>
    </w:p>
    <w:p>
      <w:pPr>
        <w:pStyle w:val="967"/>
        <w:widowControl w:val="0"/>
        <w:shd w:val="clear"/>
        <w:snapToGrid w:val="0"/>
        <w:spacing w:line="380" w:lineRule="exact"/>
        <w:ind w:firstLine="464" w:firstLineChars="200"/>
        <w:jc w:val="both"/>
        <w:rPr>
          <w:rFonts w:hint="eastAsia" w:ascii="仿宋_GB2312" w:hAnsi="仿宋_GB2312" w:eastAsia="仿宋_GB2312" w:cs="仿宋_GB2312"/>
          <w:bCs/>
          <w:color w:val="000000" w:themeColor="text1"/>
          <w:spacing w:val="-4"/>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pacing w:val="-4"/>
          <w:kern w:val="0"/>
          <w:sz w:val="24"/>
          <w:szCs w:val="24"/>
          <w:highlight w:val="none"/>
          <w14:textFill>
            <w14:solidFill>
              <w14:schemeClr w14:val="tx1"/>
            </w14:solidFill>
          </w14:textFill>
        </w:rPr>
        <w:t>D.法定代表人或负责人或实际控制人存在三代以内旁系血亲关系</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E.法定代表人或负责人或实际控制人存在近姻亲关系</w:t>
      </w:r>
    </w:p>
    <w:p>
      <w:pPr>
        <w:pStyle w:val="967"/>
        <w:widowControl w:val="0"/>
        <w:shd w:val="clear"/>
        <w:snapToGrid w:val="0"/>
        <w:spacing w:line="380" w:lineRule="exact"/>
        <w:ind w:right="-380" w:rightChars="-181" w:firstLine="480" w:firstLineChars="200"/>
        <w:jc w:val="both"/>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F.法定代表人或负责人或实际控制人存在股份控制或实际控制关系</w:t>
      </w:r>
    </w:p>
    <w:p>
      <w:pPr>
        <w:pStyle w:val="967"/>
        <w:widowControl w:val="0"/>
        <w:shd w:val="clear"/>
        <w:snapToGrid w:val="0"/>
        <w:spacing w:line="380" w:lineRule="exact"/>
        <w:ind w:firstLine="456" w:firstLineChars="200"/>
        <w:jc w:val="both"/>
        <w:outlineLvl w:val="0"/>
        <w:rPr>
          <w:rFonts w:hint="eastAsia" w:ascii="仿宋_GB2312" w:hAnsi="仿宋_GB2312" w:eastAsia="仿宋_GB2312" w:cs="仿宋_GB2312"/>
          <w:bCs/>
          <w:color w:val="000000" w:themeColor="text1"/>
          <w:spacing w:val="-6"/>
          <w:kern w:val="0"/>
          <w:sz w:val="24"/>
          <w:szCs w:val="24"/>
          <w:highlight w:val="none"/>
          <w14:textFill>
            <w14:solidFill>
              <w14:schemeClr w14:val="tx1"/>
            </w14:solidFill>
          </w14:textFill>
        </w:rPr>
      </w:pPr>
      <w:bookmarkStart w:id="449" w:name="_Toc30769"/>
      <w:bookmarkStart w:id="450" w:name="_Toc31091"/>
      <w:bookmarkStart w:id="451" w:name="_Toc31327"/>
      <w:r>
        <w:rPr>
          <w:rFonts w:hint="eastAsia" w:ascii="仿宋_GB2312" w:hAnsi="仿宋_GB2312" w:eastAsia="仿宋_GB2312" w:cs="仿宋_GB2312"/>
          <w:bCs/>
          <w:color w:val="000000" w:themeColor="text1"/>
          <w:spacing w:val="-6"/>
          <w:kern w:val="0"/>
          <w:sz w:val="24"/>
          <w:szCs w:val="24"/>
          <w:highlight w:val="none"/>
          <w14:textFill>
            <w14:solidFill>
              <w14:schemeClr w14:val="tx1"/>
            </w14:solidFill>
          </w14:textFill>
        </w:rPr>
        <w:t>G.存在共同直接或间接投资设立子公司、联营企业和合营企业情况</w:t>
      </w:r>
      <w:bookmarkEnd w:id="449"/>
      <w:bookmarkEnd w:id="450"/>
      <w:bookmarkEnd w:id="451"/>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H.存在分级代理或代销关系、同一生产制造商关系、</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管理关系、重要业务（占主营业务收入50%以上）或重要财务往来关系（如融资）等其他实质性控制关系</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I</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其他利害关系情况</w:t>
      </w:r>
      <w:r>
        <w:rPr>
          <w:rFonts w:hint="eastAsia" w:ascii="仿宋_GB2312" w:hAnsi="仿宋_GB2312" w:eastAsia="仿宋_GB2312" w:cs="仿宋_GB2312"/>
          <w:bCs/>
          <w:color w:val="000000" w:themeColor="text1"/>
          <w:sz w:val="24"/>
          <w:szCs w:val="24"/>
          <w:highlight w:val="none"/>
          <w:u w:val="single"/>
          <w14:textFill>
            <w14:solidFill>
              <w14:schemeClr w14:val="tx1"/>
            </w14:solidFill>
          </w14:textFill>
        </w:rPr>
        <w:t xml:space="preserve">             /                 </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w:t>
      </w:r>
    </w:p>
    <w:p>
      <w:pPr>
        <w:pStyle w:val="968"/>
        <w:widowControl/>
        <w:shd w:val="clear"/>
        <w:snapToGrid w:val="0"/>
        <w:spacing w:line="380" w:lineRule="exact"/>
        <w:ind w:firstLine="480"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三、现已清楚知道并</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严格遵守</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招标</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法律法规和现场纪律。</w:t>
      </w:r>
    </w:p>
    <w:p>
      <w:pPr>
        <w:pStyle w:val="968"/>
        <w:widowControl/>
        <w:shd w:val="clear"/>
        <w:snapToGrid w:val="0"/>
        <w:spacing w:line="380" w:lineRule="exact"/>
        <w:ind w:firstLine="480" w:firstLineChars="200"/>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四、我发现</w:t>
      </w:r>
      <w:r>
        <w:rPr>
          <w:rFonts w:hint="eastAsia" w:ascii="仿宋_GB2312" w:hAnsi="仿宋_GB2312" w:eastAsia="仿宋_GB2312" w:cs="仿宋_GB2312"/>
          <w:bCs/>
          <w:color w:val="000000" w:themeColor="text1"/>
          <w:kern w:val="0"/>
          <w:sz w:val="24"/>
          <w:szCs w:val="24"/>
          <w:highlight w:val="none"/>
          <w:u w:val="single"/>
          <w14:textFill>
            <w14:solidFill>
              <w14:schemeClr w14:val="tx1"/>
            </w14:solidFill>
          </w14:textFill>
        </w:rPr>
        <w:t xml:space="preserve">    /    </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供应商之间存在或可能存在上述第二条第</w:t>
      </w:r>
      <w:r>
        <w:rPr>
          <w:rFonts w:hint="eastAsia" w:ascii="仿宋_GB2312" w:hAnsi="仿宋_GB2312" w:eastAsia="仿宋_GB2312" w:cs="仿宋_GB2312"/>
          <w:bCs/>
          <w:color w:val="000000" w:themeColor="text1"/>
          <w:kern w:val="0"/>
          <w:sz w:val="24"/>
          <w:szCs w:val="24"/>
          <w:highlight w:val="none"/>
          <w:u w:val="single"/>
          <w14:textFill>
            <w14:solidFill>
              <w14:schemeClr w14:val="tx1"/>
            </w14:solidFill>
          </w14:textFill>
        </w:rPr>
        <w:t xml:space="preserve">    /    </w:t>
      </w: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项利害关系。</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z w:val="24"/>
          <w:szCs w:val="24"/>
          <w:highlight w:val="none"/>
          <w14:textFill>
            <w14:solidFill>
              <w14:schemeClr w14:val="tx1"/>
            </w14:solidFill>
          </w14:textFill>
        </w:rPr>
      </w:pP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z w:val="24"/>
          <w:szCs w:val="24"/>
          <w:highlight w:val="none"/>
          <w14:textFill>
            <w14:solidFill>
              <w14:schemeClr w14:val="tx1"/>
            </w14:solidFill>
          </w14:textFill>
        </w:rPr>
      </w:pPr>
    </w:p>
    <w:p>
      <w:pPr>
        <w:pStyle w:val="967"/>
        <w:widowControl w:val="0"/>
        <w:shd w:val="clear"/>
        <w:snapToGrid w:val="0"/>
        <w:spacing w:line="380" w:lineRule="exact"/>
        <w:ind w:firstLine="4800" w:firstLineChars="2000"/>
        <w:jc w:val="both"/>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供应商代表（签字并按手印）：</w:t>
      </w:r>
    </w:p>
    <w:p>
      <w:pPr>
        <w:pStyle w:val="967"/>
        <w:widowControl w:val="0"/>
        <w:shd w:val="clear"/>
        <w:snapToGrid w:val="0"/>
        <w:spacing w:line="380" w:lineRule="exact"/>
        <w:ind w:firstLine="480" w:firstLineChars="200"/>
        <w:jc w:val="both"/>
        <w:rPr>
          <w:rFonts w:hint="eastAsia" w:ascii="仿宋_GB2312" w:hAnsi="仿宋_GB2312" w:eastAsia="仿宋_GB2312" w:cs="仿宋_GB2312"/>
          <w:bCs/>
          <w:color w:val="000000" w:themeColor="text1"/>
          <w:sz w:val="24"/>
          <w:szCs w:val="24"/>
          <w:highlight w:val="none"/>
          <w14:textFill>
            <w14:solidFill>
              <w14:schemeClr w14:val="tx1"/>
            </w14:solidFill>
          </w14:textFill>
        </w:rPr>
      </w:pPr>
    </w:p>
    <w:p>
      <w:pPr>
        <w:shd w:val="clear"/>
        <w:tabs>
          <w:tab w:val="left" w:pos="465"/>
        </w:tabs>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kern w:val="0"/>
          <w:sz w:val="24"/>
          <w:szCs w:val="24"/>
          <w:highlight w:val="none"/>
          <w14:textFill>
            <w14:solidFill>
              <w14:schemeClr w14:val="tx1"/>
            </w14:solidFill>
          </w14:textFill>
        </w:rPr>
        <w:t xml:space="preserve">                                            年  月  日</w:t>
      </w:r>
    </w:p>
    <w:p>
      <w:pPr>
        <w:shd w:val="clear"/>
        <w:autoSpaceDE w:val="0"/>
        <w:autoSpaceDN w:val="0"/>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p>
    <w:p>
      <w:pPr>
        <w:pStyle w:val="45"/>
        <w:shd w:val="clea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ind w:firstLine="2891" w:firstLineChars="12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九</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w:t>
      </w: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政府采购供应商廉洁自律承诺书</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（采购人）、（采购代理机构）</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autoSpaceDE w:val="0"/>
        <w:autoSpaceDN w:val="0"/>
        <w:spacing w:line="360" w:lineRule="auto"/>
        <w:ind w:left="2" w:leftChars="1"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我单位响应你</w:t>
      </w:r>
      <w:r>
        <w:rPr>
          <w:rFonts w:hint="eastAsia" w:ascii="仿宋_GB2312" w:hAnsi="仿宋_GB2312" w:eastAsia="仿宋_GB2312" w:cs="仿宋_GB2312"/>
          <w:color w:val="000000" w:themeColor="text1"/>
          <w:sz w:val="24"/>
          <w:szCs w:val="24"/>
          <w:highlight w:val="none"/>
          <w14:textFill>
            <w14:solidFill>
              <w14:schemeClr w14:val="tx1"/>
            </w14:solidFill>
          </w14:textFill>
        </w:rPr>
        <w:t>单位</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项目招标要求参加投标。在这次投标过程中和中标后，我们将严格遵守国家法律法规要求，并郑重承诺：</w:t>
      </w:r>
    </w:p>
    <w:p>
      <w:pPr>
        <w:shd w:val="clear"/>
        <w:autoSpaceDE w:val="0"/>
        <w:autoSpaceDN w:val="0"/>
        <w:spacing w:line="360" w:lineRule="auto"/>
        <w:ind w:left="2" w:leftChars="1"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一、不向项目有关人员及部门赠送礼金礼物、有价证券、回扣以及中介费、介绍费、咨询费等好处费；</w:t>
      </w:r>
    </w:p>
    <w:p>
      <w:pPr>
        <w:shd w:val="clear"/>
        <w:autoSpaceDE w:val="0"/>
        <w:autoSpaceDN w:val="0"/>
        <w:spacing w:line="360" w:lineRule="auto"/>
        <w:ind w:left="2" w:leftChars="1"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二、不为项目有关人员及部门报销应由你方单位或个人支付的费用；</w:t>
      </w:r>
    </w:p>
    <w:p>
      <w:pPr>
        <w:shd w:val="clear"/>
        <w:autoSpaceDE w:val="0"/>
        <w:autoSpaceDN w:val="0"/>
        <w:spacing w:line="360" w:lineRule="auto"/>
        <w:ind w:left="2" w:leftChars="1"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三、不向项目有关人员及部门提供有可能影响公正的宴请和健身娱乐等活动；</w:t>
      </w:r>
    </w:p>
    <w:p>
      <w:pPr>
        <w:shd w:val="clear"/>
        <w:autoSpaceDE w:val="0"/>
        <w:autoSpaceDN w:val="0"/>
        <w:spacing w:line="360" w:lineRule="auto"/>
        <w:ind w:left="2" w:leftChars="1"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四、不为项目有关人员及部门出国（境）、旅游等提供方便；</w:t>
      </w:r>
    </w:p>
    <w:p>
      <w:pPr>
        <w:shd w:val="clear"/>
        <w:autoSpaceDE w:val="0"/>
        <w:autoSpaceDN w:val="0"/>
        <w:spacing w:line="360" w:lineRule="auto"/>
        <w:ind w:left="481" w:leftChars="229"/>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五、不为项目有关人员个人装修住房、婚丧嫁娶、配偶子女工作安排等提供</w:t>
      </w:r>
    </w:p>
    <w:p>
      <w:pPr>
        <w:shd w:val="clear"/>
        <w:autoSpaceDE w:val="0"/>
        <w:autoSpaceDN w:val="0"/>
        <w:spacing w:line="360" w:lineRule="auto"/>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好处；</w:t>
      </w:r>
    </w:p>
    <w:p>
      <w:pPr>
        <w:shd w:val="clear"/>
        <w:autoSpaceDE w:val="0"/>
        <w:autoSpaceDN w:val="0"/>
        <w:spacing w:line="360" w:lineRule="auto"/>
        <w:ind w:left="481" w:leftChars="229"/>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六、严格遵守《</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中华人民共和国</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政府采购法》《</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中华人民共和国</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招标投标</w:t>
      </w:r>
    </w:p>
    <w:p>
      <w:pPr>
        <w:shd w:val="clear"/>
        <w:autoSpaceDE w:val="0"/>
        <w:autoSpaceDN w:val="0"/>
        <w:spacing w:line="360" w:lineRule="auto"/>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法》</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《中华人民共和国民法典》</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等法律法规，诚实守信，合法经营，坚决抵制各种违法违纪行为。</w:t>
      </w:r>
    </w:p>
    <w:p>
      <w:pPr>
        <w:shd w:val="clear"/>
        <w:autoSpaceDE w:val="0"/>
        <w:autoSpaceDN w:val="0"/>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如违反上述承诺，你</w:t>
      </w:r>
      <w:r>
        <w:rPr>
          <w:rFonts w:hint="eastAsia" w:ascii="仿宋_GB2312" w:hAnsi="仿宋_GB2312" w:eastAsia="仿宋_GB2312" w:cs="仿宋_GB2312"/>
          <w:color w:val="000000" w:themeColor="text1"/>
          <w:sz w:val="24"/>
          <w:szCs w:val="24"/>
          <w:highlight w:val="none"/>
          <w14:textFill>
            <w14:solidFill>
              <w14:schemeClr w14:val="tx1"/>
            </w14:solidFill>
          </w14:textFill>
        </w:rPr>
        <w:t>单位</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_GB2312" w:hAnsi="仿宋_GB2312" w:eastAsia="仿宋_GB2312" w:cs="仿宋_GB2312"/>
          <w:color w:val="000000" w:themeColor="text1"/>
          <w:sz w:val="24"/>
          <w:szCs w:val="24"/>
          <w:highlight w:val="none"/>
          <w14:textFill>
            <w14:solidFill>
              <w14:schemeClr w14:val="tx1"/>
            </w14:solidFill>
          </w14:textFill>
        </w:rPr>
        <w:t>单位</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进行项目建设或其他经营活动，并通报市财政局。由此引起的相应损失均由我单位承担。</w:t>
      </w:r>
    </w:p>
    <w:p>
      <w:pPr>
        <w:shd w:val="clear"/>
        <w:autoSpaceDE w:val="0"/>
        <w:autoSpaceDN w:val="0"/>
        <w:spacing w:line="360" w:lineRule="auto"/>
        <w:ind w:left="2"/>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autoSpaceDE w:val="0"/>
        <w:autoSpaceDN w:val="0"/>
        <w:spacing w:line="360" w:lineRule="auto"/>
        <w:ind w:left="2"/>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autoSpaceDE w:val="0"/>
        <w:autoSpaceDN w:val="0"/>
        <w:spacing w:line="360" w:lineRule="auto"/>
        <w:ind w:left="2"/>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autoSpaceDE w:val="0"/>
        <w:autoSpaceDN w:val="0"/>
        <w:spacing w:line="360" w:lineRule="auto"/>
        <w:ind w:left="2" w:leftChars="1" w:right="1120" w:firstLine="4560" w:firstLineChars="1900"/>
        <w:jc w:val="left"/>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投标人名称（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电子签名</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pacing w:line="360" w:lineRule="auto"/>
        <w:ind w:left="4620" w:leftChars="2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日期</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年   月   日</w:t>
      </w:r>
    </w:p>
    <w:p>
      <w:pPr>
        <w:shd w:val="clear"/>
        <w:snapToGrid w:val="0"/>
        <w:spacing w:before="50" w:after="50" w:line="360" w:lineRule="auto"/>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ind w:right="42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firstLine="3373" w:firstLineChars="14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firstLine="3373" w:firstLineChars="14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firstLine="3373" w:firstLineChars="14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firstLine="3373" w:firstLineChars="14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商务技术文件部分</w:t>
      </w:r>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bookmarkStart w:id="452" w:name="_Toc2774"/>
      <w:bookmarkStart w:id="453" w:name="_Toc6754"/>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目录</w:t>
      </w:r>
      <w:bookmarkEnd w:id="452"/>
      <w:bookmarkEnd w:id="453"/>
    </w:p>
    <w:p>
      <w:pPr>
        <w:shd w:val="clear"/>
        <w:snapToGrid w:val="0"/>
        <w:spacing w:line="360" w:lineRule="auto"/>
        <w:ind w:firstLine="960" w:firstLineChars="400"/>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1.商务技术</w:t>
      </w:r>
      <w:r>
        <w:rPr>
          <w:rFonts w:hint="eastAsia" w:ascii="仿宋_GB2312" w:hAnsi="仿宋_GB2312" w:eastAsia="仿宋_GB2312" w:cs="仿宋_GB2312"/>
          <w:color w:val="000000" w:themeColor="text1"/>
          <w:sz w:val="24"/>
          <w:szCs w:val="24"/>
          <w:highlight w:val="none"/>
          <w:lang w:val="zh-CN"/>
          <w14:textFill>
            <w14:solidFill>
              <w14:schemeClr w14:val="tx1"/>
            </w14:solidFill>
          </w14:textFill>
        </w:rPr>
        <w:t>文件封面；</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2.符合性审查资料；</w:t>
      </w:r>
    </w:p>
    <w:p>
      <w:pPr>
        <w:shd w:val="clear"/>
        <w:snapToGrid w:val="0"/>
        <w:spacing w:line="360" w:lineRule="auto"/>
        <w:ind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3.评标标准相应的商务技术资料；</w:t>
      </w:r>
    </w:p>
    <w:p>
      <w:pPr>
        <w:shd w:val="clear"/>
        <w:snapToGrid w:val="0"/>
        <w:spacing w:line="360" w:lineRule="auto"/>
        <w:ind w:firstLine="960" w:firstLineChars="400"/>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4.商务技术偏离表；</w:t>
      </w:r>
    </w:p>
    <w:p>
      <w:pPr>
        <w:shd w:val="clear"/>
        <w:snapToGrid w:val="0"/>
        <w:spacing w:before="50" w:after="50" w:line="360" w:lineRule="auto"/>
        <w:jc w:val="cente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p>
    <w:p>
      <w:pPr>
        <w:shd w:val="clear"/>
        <w:snapToGrid w:val="0"/>
        <w:spacing w:before="50" w:after="50" w:line="360" w:lineRule="auto"/>
        <w:jc w:val="cente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一、</w:t>
      </w:r>
      <w:r>
        <w:rPr>
          <w:rFonts w:hint="eastAsia" w:ascii="仿宋_GB2312" w:hAnsi="仿宋_GB2312" w:eastAsia="仿宋_GB2312" w:cs="仿宋_GB2312"/>
          <w:b/>
          <w:color w:val="000000" w:themeColor="text1"/>
          <w:kern w:val="0"/>
          <w:sz w:val="24"/>
          <w:szCs w:val="24"/>
          <w:highlight w:val="none"/>
          <w:lang w:val="zh-CN"/>
          <w14:textFill>
            <w14:solidFill>
              <w14:schemeClr w14:val="tx1"/>
            </w14:solidFill>
          </w14:textFill>
        </w:rPr>
        <w:t>联合协议</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（联合体所有成员名称）</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自愿</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组成一个联合体，以一个投标人的身份</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参加</w:t>
      </w:r>
      <w:r>
        <w:rPr>
          <w:rFonts w:hint="eastAsia" w:ascii="仿宋_GB2312" w:hAnsi="仿宋_GB2312" w:eastAsia="仿宋_GB2312" w:cs="仿宋_GB2312"/>
          <w:color w:val="000000" w:themeColor="text1"/>
          <w:sz w:val="24"/>
          <w:szCs w:val="24"/>
          <w:highlight w:val="none"/>
          <w14:textFill>
            <w14:solidFill>
              <w14:schemeClr w14:val="tx1"/>
            </w14:solidFill>
          </w14:textFill>
        </w:rPr>
        <w:t>（项目名称）【招标编号：（采购编号）】</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投标。</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一、各方一致决定，</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（某联合体成员名称）</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为联合体</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牵头人</w:t>
      </w:r>
      <w:r>
        <w:rPr>
          <w:rFonts w:hint="eastAsia" w:ascii="仿宋_GB2312" w:hAnsi="仿宋_GB2312" w:eastAsia="仿宋_GB2312" w:cs="仿宋_GB2312"/>
          <w:color w:val="000000" w:themeColor="text1"/>
          <w:sz w:val="24"/>
          <w:szCs w:val="24"/>
          <w:highlight w:val="none"/>
          <w14:textFill>
            <w14:solidFill>
              <w14:schemeClr w14:val="tx1"/>
            </w14:solidFill>
          </w14:textFill>
        </w:rPr>
        <w:t>，代表所有联合体成员负责投标和合同实施阶段的主办、协调工作</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二、</w:t>
      </w:r>
      <w:r>
        <w:rPr>
          <w:rFonts w:hint="eastAsia" w:ascii="仿宋_GB2312" w:hAnsi="仿宋_GB2312" w:eastAsia="仿宋_GB2312" w:cs="仿宋_GB2312"/>
          <w:color w:val="000000" w:themeColor="text1"/>
          <w:sz w:val="24"/>
          <w:szCs w:val="24"/>
          <w:highlight w:val="none"/>
          <w14:textFill>
            <w14:solidFill>
              <w14:schemeClr w14:val="tx1"/>
            </w14:solidFill>
          </w14:textFill>
        </w:rPr>
        <w:t>所有联合体成员各方签署授权书，授权书载明的</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授权代表根据招标文件规定及投标内容而对采购人、采购机构所作的任何合法承诺，包括书面澄清及相应等均对联合投标各方产生约束力。</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三、本次联合投标中，分工如下：</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（联合体其中一方成员名称）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承担的工作和义务为：；</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（联合体其中一方成员名称）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承担的工作和义务为： ；……。</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四、</w:t>
      </w:r>
      <w:r>
        <w:rPr>
          <w:rFonts w:hint="eastAsia" w:ascii="仿宋_GB2312" w:hAnsi="仿宋_GB2312" w:eastAsia="仿宋_GB2312" w:cs="仿宋_GB2312"/>
          <w:color w:val="000000" w:themeColor="text1"/>
          <w:sz w:val="24"/>
          <w:szCs w:val="24"/>
          <w:highlight w:val="none"/>
          <w14:textFill>
            <w14:solidFill>
              <w14:schemeClr w14:val="tx1"/>
            </w14:solidFill>
          </w14:textFill>
        </w:rPr>
        <w:t>中小企业合同金额达到%，小微企业合同金额达到%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五、如果中标，</w:t>
      </w:r>
      <w:r>
        <w:rPr>
          <w:rFonts w:hint="eastAsia" w:ascii="仿宋_GB2312" w:hAnsi="仿宋_GB2312" w:eastAsia="仿宋_GB2312" w:cs="仿宋_GB2312"/>
          <w:color w:val="000000" w:themeColor="text1"/>
          <w:sz w:val="24"/>
          <w:szCs w:val="24"/>
          <w:highlight w:val="none"/>
          <w14:textFill>
            <w14:solidFill>
              <w14:schemeClr w14:val="tx1"/>
            </w14:solidFill>
          </w14:textFill>
        </w:rPr>
        <w:t>联合体各成员方共同与采购人签订合同，并就采购合同约定的事项对采购人承担连带责任。</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六、有关本次联合投标的其他事宜：</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1、联合体各方不再单独参加或者与其他供应商另外组成联合体参加同一合同项下的政府采购活动。</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2、联合体中有同类资质的各方按照联合体分工承担相同工作的，按照资质等级较低的供应商确定资质等级。</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3、本协议提交采购人、采购机构后，联合体各方不得以任何形式对上述内容进行修改或撤销。</w:t>
      </w:r>
    </w:p>
    <w:p>
      <w:pPr>
        <w:shd w:val="clear"/>
        <w:snapToGrid w:val="0"/>
        <w:spacing w:line="360" w:lineRule="auto"/>
        <w:ind w:firstLine="5040" w:firstLineChars="21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联合体成员名称(电子签名/公章)：</w:t>
      </w:r>
    </w:p>
    <w:p>
      <w:pPr>
        <w:shd w:val="clear"/>
        <w:snapToGrid w:val="0"/>
        <w:spacing w:line="360" w:lineRule="auto"/>
        <w:ind w:firstLine="5040" w:firstLineChars="21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联合体成员名称(电子签名/公章)：</w:t>
      </w:r>
    </w:p>
    <w:p>
      <w:pPr>
        <w:shd w:val="clear"/>
        <w:snapToGrid w:val="0"/>
        <w:spacing w:line="360" w:lineRule="auto"/>
        <w:ind w:firstLine="5760" w:firstLineChars="2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日期：  年  月   日</w:t>
      </w:r>
    </w:p>
    <w:p>
      <w:pPr>
        <w:shd w:val="clear"/>
        <w:spacing w:line="360" w:lineRule="auto"/>
        <w:ind w:firstLine="482"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C、</w:t>
      </w:r>
      <w:r>
        <w:rPr>
          <w:rFonts w:hint="eastAsia" w:ascii="仿宋_GB2312" w:hAnsi="仿宋_GB2312" w:eastAsia="仿宋_GB2312" w:cs="仿宋_GB2312"/>
          <w:color w:val="000000" w:themeColor="text1"/>
          <w:sz w:val="24"/>
          <w:szCs w:val="24"/>
          <w:highlight w:val="none"/>
          <w14:textFill>
            <w14:solidFill>
              <w14:schemeClr w14:val="tx1"/>
            </w14:solidFill>
          </w14:textFill>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hd w:val="clear"/>
        <w:snapToGrid w:val="0"/>
        <w:spacing w:line="360" w:lineRule="auto"/>
        <w:ind w:firstLine="3614" w:firstLineChars="150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二、</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分包意向协议</w:t>
      </w:r>
    </w:p>
    <w:p>
      <w:pPr>
        <w:widowControl/>
        <w:shd w:val="clear"/>
        <w:spacing w:line="360" w:lineRule="auto"/>
        <w:ind w:firstLine="120" w:firstLineChars="5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b/>
          <w:color w:val="000000" w:themeColor="text1"/>
          <w:sz w:val="24"/>
          <w:szCs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（投标人名称）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若成为</w:t>
      </w:r>
      <w:r>
        <w:rPr>
          <w:rFonts w:hint="eastAsia" w:ascii="仿宋_GB2312" w:hAnsi="仿宋_GB2312" w:eastAsia="仿宋_GB2312" w:cs="仿宋_GB2312"/>
          <w:color w:val="000000" w:themeColor="text1"/>
          <w:sz w:val="24"/>
          <w:szCs w:val="24"/>
          <w:highlight w:val="none"/>
          <w14:textFill>
            <w14:solidFill>
              <w14:schemeClr w14:val="tx1"/>
            </w14:solidFill>
          </w14:textFill>
        </w:rPr>
        <w:t>（项目名称）【招标编号：（采购编号）】</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的中标供应商，将依法采取分包方式履行合同。</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（投标人名称）</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与</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（所有分包供应商名称）</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达成分包意向协议</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一、分包标的及数量</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（投标人名称）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将</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XX工作内容   </w:t>
      </w:r>
      <w:r>
        <w:rPr>
          <w:rFonts w:hint="eastAsia" w:ascii="仿宋_GB2312" w:hAnsi="仿宋_GB2312" w:eastAsia="仿宋_GB2312" w:cs="仿宋_GB2312"/>
          <w:color w:val="000000" w:themeColor="text1"/>
          <w:sz w:val="24"/>
          <w:szCs w:val="24"/>
          <w:highlight w:val="none"/>
          <w14:textFill>
            <w14:solidFill>
              <w14:schemeClr w14:val="tx1"/>
            </w14:solidFill>
          </w14:textFill>
        </w:rPr>
        <w:t>分包给</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（某分包供应商名称）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u w:val="single"/>
          <w14:textFill>
            <w14:solidFill>
              <w14:schemeClr w14:val="tx1"/>
            </w14:solidFill>
          </w14:textFill>
        </w:rPr>
        <w:t>（某分包供应商名称），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具备承</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担</w:t>
      </w:r>
      <w:r>
        <w:rPr>
          <w:rFonts w:hint="eastAsia" w:ascii="仿宋_GB2312" w:hAnsi="仿宋_GB2312" w:eastAsia="仿宋_GB2312" w:cs="仿宋_GB2312"/>
          <w:color w:val="000000" w:themeColor="text1"/>
          <w:kern w:val="0"/>
          <w:sz w:val="24"/>
          <w:szCs w:val="24"/>
          <w:highlight w:val="none"/>
          <w:u w:val="single"/>
          <w:lang w:val="zh-CN"/>
          <w14:textFill>
            <w14:solidFill>
              <w14:schemeClr w14:val="tx1"/>
            </w14:solidFill>
          </w14:textFill>
        </w:rPr>
        <w:t>XX工作内容</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相应资质条件且不得再次分包；</w:t>
      </w:r>
    </w:p>
    <w:p>
      <w:pPr>
        <w:pStyle w:val="3"/>
        <w:shd w:val="clear"/>
        <w:ind w:left="664" w:leftChars="316" w:firstLine="229" w:firstLineChars="95"/>
        <w:rPr>
          <w:rFonts w:hint="eastAsia" w:ascii="仿宋_GB2312" w:hAnsi="仿宋_GB2312" w:eastAsia="仿宋_GB2312" w:cs="仿宋_GB2312"/>
          <w:color w:val="000000" w:themeColor="text1"/>
          <w:sz w:val="24"/>
          <w:szCs w:val="24"/>
          <w:highlight w:val="none"/>
          <w14:textFill>
            <w14:solidFill>
              <w14:schemeClr w14:val="tx1"/>
            </w14:solidFill>
          </w14:textFill>
        </w:rPr>
      </w:pPr>
      <w:bookmarkStart w:id="454" w:name="_Toc17857"/>
      <w:bookmarkStart w:id="455" w:name="_Toc27350"/>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bookmarkEnd w:id="454"/>
      <w:bookmarkEnd w:id="455"/>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二、分包工作履行期限、地点、方式</w:t>
      </w:r>
    </w:p>
    <w:p>
      <w:pPr>
        <w:shd w:val="clear"/>
        <w:snapToGrid w:val="0"/>
        <w:spacing w:line="360" w:lineRule="auto"/>
        <w:ind w:firstLine="576"/>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三、质量</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四、价款或者报酬</w:t>
      </w:r>
    </w:p>
    <w:p>
      <w:pPr>
        <w:shd w:val="clear"/>
        <w:snapToGrid w:val="0"/>
        <w:spacing w:line="360" w:lineRule="auto"/>
        <w:ind w:left="573" w:leftChars="273"/>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snapToGrid w:val="0"/>
        <w:spacing w:line="360" w:lineRule="auto"/>
        <w:ind w:left="573" w:leftChars="273"/>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五、违约责任</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六、争议解决的办法</w:t>
      </w: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p>
    <w:p>
      <w:pPr>
        <w:shd w:val="clear"/>
        <w:snapToGrid w:val="0"/>
        <w:spacing w:line="360" w:lineRule="auto"/>
        <w:ind w:firstLine="576"/>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七、其他</w:t>
      </w:r>
    </w:p>
    <w:p>
      <w:pPr>
        <w:shd w:val="clear"/>
        <w:snapToGrid w:val="0"/>
        <w:spacing w:line="360" w:lineRule="auto"/>
        <w:ind w:left="5758" w:leftChars="342" w:hanging="5040" w:hangingChars="210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中小企业合同金额达到%，小微企业合同金额达到%</w:t>
      </w: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                                           投标人名称(电子签名)：</w:t>
      </w:r>
    </w:p>
    <w:p>
      <w:pPr>
        <w:shd w:val="clear"/>
        <w:snapToGrid w:val="0"/>
        <w:spacing w:line="360" w:lineRule="auto"/>
        <w:ind w:firstLine="5640" w:firstLineChars="2350"/>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分包供应商名称：</w:t>
      </w:r>
    </w:p>
    <w:p>
      <w:pPr>
        <w:shd w:val="clear"/>
        <w:snapToGrid w:val="0"/>
        <w:spacing w:line="360" w:lineRule="auto"/>
        <w:ind w:firstLine="5760" w:firstLineChars="2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w:t>
      </w:r>
    </w:p>
    <w:p>
      <w:pPr>
        <w:shd w:val="clear"/>
        <w:spacing w:line="360" w:lineRule="auto"/>
        <w:jc w:val="cente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 xml:space="preserve">                                        日期：  年  月   日</w:t>
      </w: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三</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、符合性审查资料</w:t>
      </w: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bl>
      <w:tblPr>
        <w:tblStyle w:val="7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trPr>
        <w:tc>
          <w:tcPr>
            <w:tcW w:w="646" w:type="dxa"/>
            <w:vAlign w:val="center"/>
          </w:tcPr>
          <w:p>
            <w:pPr>
              <w:keepNext w:val="0"/>
              <w:keepLines w:val="0"/>
              <w:suppressLineNumbers w:val="0"/>
              <w:shd w:val="clear"/>
              <w:snapToGrid w:val="0"/>
              <w:spacing w:before="0" w:beforeAutospacing="0" w:after="0" w:afterAutospacing="0" w:line="240" w:lineRule="atLeast"/>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序号</w:t>
            </w:r>
          </w:p>
        </w:tc>
        <w:tc>
          <w:tcPr>
            <w:tcW w:w="4991" w:type="dxa"/>
            <w:vAlign w:val="center"/>
          </w:tcPr>
          <w:p>
            <w:pPr>
              <w:keepNext w:val="0"/>
              <w:keepLines w:val="0"/>
              <w:suppressLineNumbers w:val="0"/>
              <w:shd w:val="clear"/>
              <w:snapToGrid w:val="0"/>
              <w:spacing w:before="0" w:beforeAutospacing="0" w:after="0" w:afterAutospacing="0" w:line="240" w:lineRule="atLeast"/>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实质性要求</w:t>
            </w:r>
          </w:p>
        </w:tc>
        <w:tc>
          <w:tcPr>
            <w:tcW w:w="2551" w:type="dxa"/>
            <w:vAlign w:val="center"/>
          </w:tcPr>
          <w:p>
            <w:pPr>
              <w:keepNext w:val="0"/>
              <w:keepLines w:val="0"/>
              <w:suppressLineNumbers w:val="0"/>
              <w:shd w:val="clear"/>
              <w:snapToGrid w:val="0"/>
              <w:spacing w:before="0" w:beforeAutospacing="0" w:after="0" w:afterAutospacing="0" w:line="240" w:lineRule="atLeast"/>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需要提供的符合性审查资料</w:t>
            </w:r>
          </w:p>
        </w:tc>
        <w:tc>
          <w:tcPr>
            <w:tcW w:w="1418" w:type="dxa"/>
            <w:vAlign w:val="center"/>
          </w:tcPr>
          <w:p>
            <w:pPr>
              <w:keepNext w:val="0"/>
              <w:keepLines w:val="0"/>
              <w:suppressLineNumbers w:val="0"/>
              <w:shd w:val="clear"/>
              <w:snapToGrid w:val="0"/>
              <w:spacing w:before="0" w:beforeAutospacing="0" w:after="0" w:afterAutospacing="0" w:line="240" w:lineRule="atLeast"/>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投标文件中的</w:t>
            </w:r>
          </w:p>
          <w:p>
            <w:pPr>
              <w:keepNext w:val="0"/>
              <w:keepLines w:val="0"/>
              <w:suppressLineNumbers w:val="0"/>
              <w:shd w:val="clear"/>
              <w:snapToGrid w:val="0"/>
              <w:spacing w:before="0" w:beforeAutospacing="0" w:after="0" w:afterAutospacing="0" w:line="240" w:lineRule="atLeast"/>
              <w:ind w:left="0" w:right="0"/>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w:t>
            </w:r>
          </w:p>
        </w:tc>
        <w:tc>
          <w:tcPr>
            <w:tcW w:w="4991" w:type="dxa"/>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投标文件按照招标文件要求签署、盖章。</w:t>
            </w:r>
          </w:p>
        </w:tc>
        <w:tc>
          <w:tcPr>
            <w:tcW w:w="2551" w:type="dxa"/>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需要使用电子签名或者签字盖章的投标文件的组成部分</w:t>
            </w:r>
          </w:p>
        </w:tc>
        <w:tc>
          <w:tcPr>
            <w:tcW w:w="1418" w:type="dxa"/>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见投标文件</w:t>
            </w:r>
          </w:p>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w:t>
            </w:r>
          </w:p>
        </w:tc>
        <w:tc>
          <w:tcPr>
            <w:tcW w:w="4991" w:type="dxa"/>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投标文件中承诺的投标有效期不少于招标文件中载明的投标有效期。</w:t>
            </w:r>
          </w:p>
        </w:tc>
        <w:tc>
          <w:tcPr>
            <w:tcW w:w="2551" w:type="dxa"/>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投标函</w:t>
            </w:r>
          </w:p>
        </w:tc>
        <w:tc>
          <w:tcPr>
            <w:tcW w:w="1418" w:type="dxa"/>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w:t>
            </w:r>
          </w:p>
        </w:tc>
        <w:tc>
          <w:tcPr>
            <w:tcW w:w="4991" w:type="dxa"/>
          </w:tcPr>
          <w:p>
            <w:pPr>
              <w:keepNext w:val="0"/>
              <w:keepLines w:val="0"/>
              <w:suppressLineNumbers w:val="0"/>
              <w:shd w:val="clear"/>
              <w:spacing w:before="0" w:beforeAutospacing="0" w:after="0" w:afterAutospacing="0" w:line="360" w:lineRule="auto"/>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投标文件满足招标文件的其它实质性要求。</w:t>
            </w:r>
          </w:p>
        </w:tc>
        <w:tc>
          <w:tcPr>
            <w:tcW w:w="2551" w:type="dxa"/>
            <w:vAlign w:val="center"/>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招标文件其它实质性要求相应的材料（“▲”系指实质性要求条款，招标文件无其它实质性要求的，无需提供）</w:t>
            </w:r>
          </w:p>
        </w:tc>
        <w:tc>
          <w:tcPr>
            <w:tcW w:w="1418" w:type="dxa"/>
          </w:tcPr>
          <w:p>
            <w:pPr>
              <w:keepNext w:val="0"/>
              <w:keepLines w:val="0"/>
              <w:suppressLineNumbers w:val="0"/>
              <w:shd w:val="clear"/>
              <w:spacing w:before="0" w:beforeAutospacing="0" w:after="0" w:afterAutospacing="0"/>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见投标文件第页</w:t>
            </w:r>
          </w:p>
        </w:tc>
      </w:tr>
    </w:tbl>
    <w:p>
      <w:pPr>
        <w:pStyle w:val="81"/>
        <w:shd w:val="clear"/>
        <w:rPr>
          <w:rFonts w:hint="eastAsia"/>
          <w:color w:val="000000" w:themeColor="text1"/>
          <w:highlight w:val="none"/>
          <w14:textFill>
            <w14:solidFill>
              <w14:schemeClr w14:val="tx1"/>
            </w14:solidFill>
          </w14:textFill>
        </w:rPr>
      </w:pPr>
    </w:p>
    <w:p>
      <w:pPr>
        <w:shd w:val="clear"/>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四</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、评标标准相应的商务技术资料</w:t>
      </w:r>
    </w:p>
    <w:p>
      <w:pPr>
        <w:shd w:val="clear"/>
        <w:snapToGrid w:val="0"/>
        <w:spacing w:line="360" w:lineRule="auto"/>
        <w:jc w:val="lef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（按招标文件第四部分评标办法前附表中“投标文件中评标标准相应的商务技术资料目录”提供资料）</w:t>
      </w: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ind w:firstLine="2891" w:firstLineChars="1200"/>
        <w:jc w:val="both"/>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b/>
          <w:color w:val="000000" w:themeColor="text1"/>
          <w:kern w:val="0"/>
          <w:sz w:val="24"/>
          <w:szCs w:val="24"/>
          <w:highlight w:val="none"/>
          <w:lang w:val="en-US" w:eastAsia="zh-CN"/>
          <w14:textFill>
            <w14:solidFill>
              <w14:schemeClr w14:val="tx1"/>
            </w14:solidFill>
          </w14:textFill>
        </w:rPr>
        <w:t>五</w:t>
      </w:r>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、商务技术偏离表</w:t>
      </w:r>
    </w:p>
    <w:tbl>
      <w:tblPr>
        <w:tblStyle w:val="7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序号</w:t>
            </w:r>
          </w:p>
        </w:tc>
        <w:tc>
          <w:tcPr>
            <w:tcW w:w="3683"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招标文件章节及具体内容</w:t>
            </w:r>
          </w:p>
        </w:tc>
        <w:tc>
          <w:tcPr>
            <w:tcW w:w="354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投标文件章节及具体内容</w:t>
            </w:r>
          </w:p>
        </w:tc>
        <w:tc>
          <w:tcPr>
            <w:tcW w:w="127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1</w:t>
            </w:r>
          </w:p>
        </w:tc>
        <w:tc>
          <w:tcPr>
            <w:tcW w:w="3683"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c>
          <w:tcPr>
            <w:tcW w:w="354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c>
          <w:tcPr>
            <w:tcW w:w="127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2</w:t>
            </w:r>
          </w:p>
        </w:tc>
        <w:tc>
          <w:tcPr>
            <w:tcW w:w="3683"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c>
          <w:tcPr>
            <w:tcW w:w="354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c>
          <w:tcPr>
            <w:tcW w:w="127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59"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w:t>
            </w:r>
          </w:p>
        </w:tc>
        <w:tc>
          <w:tcPr>
            <w:tcW w:w="3683"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c>
          <w:tcPr>
            <w:tcW w:w="354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c>
          <w:tcPr>
            <w:tcW w:w="1276" w:type="dxa"/>
          </w:tcPr>
          <w:p>
            <w:pPr>
              <w:keepNext w:val="0"/>
              <w:keepLines w:val="0"/>
              <w:suppressLineNumbers w:val="0"/>
              <w:shd w:val="clear"/>
              <w:spacing w:before="0" w:beforeAutospacing="0" w:after="0" w:afterAutospacing="0"/>
              <w:ind w:left="0" w:right="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tc>
      </w:tr>
    </w:tbl>
    <w:p>
      <w:pPr>
        <w:shd w:val="clear"/>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投标人保证：除商务技术偏离表列出的偏离外，投标人响应招标文件的全部要求</w:t>
      </w: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jc w:val="both"/>
        <w:rPr>
          <w:rFonts w:hint="eastAsia" w:ascii="仿宋_GB2312" w:hAnsi="仿宋_GB2312" w:eastAsia="仿宋_GB2312" w:cs="仿宋_GB2312"/>
          <w:b/>
          <w:bCs/>
          <w:color w:val="000000" w:themeColor="text1"/>
          <w:sz w:val="24"/>
          <w:szCs w:val="24"/>
          <w:highlight w:val="none"/>
          <w14:textFill>
            <w14:solidFill>
              <w14:schemeClr w14:val="tx1"/>
            </w14:solidFill>
          </w14:textFill>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bookmarkStart w:id="456" w:name="_Toc21497"/>
      <w:bookmarkStart w:id="457" w:name="_Toc20774"/>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报价文件部分</w:t>
      </w:r>
      <w:bookmarkEnd w:id="456"/>
      <w:bookmarkEnd w:id="457"/>
    </w:p>
    <w:p>
      <w:pPr>
        <w:shd w:val="clear"/>
        <w:spacing w:line="360" w:lineRule="auto"/>
        <w:jc w:val="center"/>
        <w:outlineLvl w:val="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bookmarkStart w:id="458" w:name="_Toc31761"/>
      <w:bookmarkStart w:id="459" w:name="_Toc8676"/>
      <w: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t>目录</w:t>
      </w:r>
      <w:bookmarkEnd w:id="458"/>
      <w:bookmarkEnd w:id="459"/>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1.报价文件封面；</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2.开标一览表；</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3.中小企业声明函；</w:t>
      </w:r>
    </w:p>
    <w:p>
      <w:pPr>
        <w:shd w:val="clear"/>
        <w:snapToGrid w:val="0"/>
        <w:spacing w:line="360" w:lineRule="auto"/>
        <w:ind w:right="48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napToGrid w:val="0"/>
        <w:spacing w:line="360" w:lineRule="auto"/>
        <w:ind w:right="480"/>
        <w:jc w:val="center"/>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 xml:space="preserve"> </w:t>
      </w: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 xml:space="preserve"> </w:t>
      </w:r>
    </w:p>
    <w:p>
      <w:pPr>
        <w:shd w:val="clear"/>
        <w:ind w:firstLine="3132" w:firstLineChars="13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 xml:space="preserve"> </w:t>
      </w: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一、</w:t>
      </w:r>
      <w:r>
        <w:rPr>
          <w:rFonts w:hint="eastAsia" w:ascii="仿宋_GB2312" w:hAnsi="仿宋_GB2312" w:eastAsia="仿宋_GB2312" w:cs="仿宋_GB2312"/>
          <w:b/>
          <w:color w:val="000000" w:themeColor="text1"/>
          <w:sz w:val="24"/>
          <w:szCs w:val="24"/>
          <w:highlight w:val="none"/>
          <w14:textFill>
            <w14:solidFill>
              <w14:schemeClr w14:val="tx1"/>
            </w14:solidFill>
          </w14:textFill>
        </w:rPr>
        <w:t>开标一览表</w:t>
      </w:r>
      <w:r>
        <w:rPr>
          <w:rFonts w:hint="eastAsia" w:ascii="仿宋_GB2312" w:hAnsi="仿宋_GB2312" w:eastAsia="仿宋_GB2312" w:cs="仿宋_GB2312"/>
          <w:b/>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 xml:space="preserve">标项 </w:t>
      </w:r>
      <w:r>
        <w:rPr>
          <w:rFonts w:hint="eastAsia" w:ascii="仿宋_GB2312" w:hAnsi="仿宋_GB2312" w:eastAsia="仿宋_GB2312" w:cs="仿宋_GB2312"/>
          <w:b/>
          <w:color w:val="000000" w:themeColor="text1"/>
          <w:sz w:val="24"/>
          <w:szCs w:val="24"/>
          <w:highlight w:val="none"/>
          <w:lang w:eastAsia="zh-CN"/>
          <w14:textFill>
            <w14:solidFill>
              <w14:schemeClr w14:val="tx1"/>
            </w14:solidFill>
          </w14:textFill>
        </w:rPr>
        <w:t>）</w:t>
      </w:r>
    </w:p>
    <w:p>
      <w:pPr>
        <w:shd w:val="clear"/>
        <w:snapToGrid w:val="0"/>
        <w:spacing w:line="500" w:lineRule="exact"/>
        <w:ind w:right="-153" w:rightChars="-73"/>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项目名称：</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 xml:space="preserve">江山市水库建设管理服务中心2025年度维修养护 </w:t>
      </w:r>
    </w:p>
    <w:p>
      <w:pPr>
        <w:shd w:val="clear"/>
        <w:snapToGrid w:val="0"/>
        <w:spacing w:line="500" w:lineRule="exact"/>
        <w:ind w:right="-153" w:rightChars="-73"/>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项目编号：</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jshjzf-20250226</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金额单位：元</w:t>
      </w:r>
    </w:p>
    <w:tbl>
      <w:tblPr>
        <w:tblStyle w:val="73"/>
        <w:tblW w:w="904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3"/>
        <w:gridCol w:w="1892"/>
        <w:gridCol w:w="3505"/>
        <w:gridCol w:w="1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0" w:hRule="atLeast"/>
          <w:jc w:val="center"/>
        </w:trPr>
        <w:tc>
          <w:tcPr>
            <w:tcW w:w="3575" w:type="dxa"/>
            <w:gridSpan w:val="2"/>
            <w:tcBorders>
              <w:top w:val="thinThickSmallGap" w:color="auto" w:sz="12" w:space="0"/>
              <w:left w:val="thinThickSmallGap" w:color="auto" w:sz="12" w:space="0"/>
              <w:right w:val="single" w:color="auto" w:sz="4" w:space="0"/>
            </w:tcBorders>
            <w:vAlign w:val="center"/>
          </w:tcPr>
          <w:p>
            <w:pPr>
              <w:keepNext w:val="0"/>
              <w:keepLines w:val="0"/>
              <w:suppressLineNumbers w:val="0"/>
              <w:shd w:val="clear"/>
              <w:snapToGrid w:val="0"/>
              <w:spacing w:before="0" w:beforeAutospacing="0" w:after="0" w:afterAutospacing="0" w:line="36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项目名称</w:t>
            </w:r>
          </w:p>
        </w:tc>
        <w:tc>
          <w:tcPr>
            <w:tcW w:w="3505" w:type="dxa"/>
            <w:tcBorders>
              <w:top w:val="thinThickSmallGap" w:color="auto" w:sz="12" w:space="0"/>
              <w:right w:val="single" w:color="auto" w:sz="4" w:space="0"/>
            </w:tcBorders>
            <w:vAlign w:val="center"/>
          </w:tcPr>
          <w:p>
            <w:pPr>
              <w:keepNext w:val="0"/>
              <w:keepLines w:val="0"/>
              <w:widowControl/>
              <w:suppressLineNumbers w:val="0"/>
              <w:shd w:val="clear"/>
              <w:spacing w:before="0" w:beforeAutospacing="0" w:after="0" w:afterAutospacing="0" w:line="300" w:lineRule="atLeas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数量</w:t>
            </w:r>
          </w:p>
        </w:tc>
        <w:tc>
          <w:tcPr>
            <w:tcW w:w="1961" w:type="dxa"/>
            <w:tcBorders>
              <w:top w:val="thinThickSmallGap" w:color="auto" w:sz="12" w:space="0"/>
              <w:right w:val="thickThinSmallGap" w:color="auto" w:sz="12" w:space="0"/>
            </w:tcBorders>
            <w:vAlign w:val="center"/>
          </w:tcPr>
          <w:p>
            <w:pPr>
              <w:keepNext w:val="0"/>
              <w:keepLines w:val="0"/>
              <w:suppressLineNumbers w:val="0"/>
              <w:shd w:val="clear"/>
              <w:snapToGrid w:val="0"/>
              <w:spacing w:before="0" w:beforeAutospacing="0" w:after="0" w:afterAutospacing="0" w:line="36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服务期限（年）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3575" w:type="dxa"/>
            <w:gridSpan w:val="2"/>
            <w:tcBorders>
              <w:left w:val="thinThickSmallGap" w:color="auto" w:sz="12" w:space="0"/>
              <w:right w:val="single" w:color="auto" w:sz="4" w:space="0"/>
            </w:tcBorders>
            <w:vAlign w:val="center"/>
          </w:tcPr>
          <w:p>
            <w:pPr>
              <w:keepNext w:val="0"/>
              <w:keepLines w:val="0"/>
              <w:suppressLineNumbers w:val="0"/>
              <w:shd w:val="clear"/>
              <w:snapToGrid w:val="0"/>
              <w:spacing w:before="0" w:beforeAutospacing="0" w:after="0" w:afterAutospacing="0" w:line="360" w:lineRule="exact"/>
              <w:ind w:left="0" w:right="0"/>
              <w:jc w:val="cente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 xml:space="preserve">江山市水库建设管理服务中心2025年度维修养护 </w:t>
            </w:r>
          </w:p>
        </w:tc>
        <w:tc>
          <w:tcPr>
            <w:tcW w:w="3505" w:type="dxa"/>
            <w:tcBorders>
              <w:right w:val="single" w:color="auto" w:sz="4" w:space="0"/>
            </w:tcBorders>
            <w:vAlign w:val="center"/>
          </w:tcPr>
          <w:p>
            <w:pPr>
              <w:keepNext w:val="0"/>
              <w:keepLines w:val="0"/>
              <w:widowControl/>
              <w:suppressLineNumbers w:val="0"/>
              <w:shd w:val="clear"/>
              <w:spacing w:before="0" w:beforeAutospacing="0" w:after="0" w:afterAutospacing="0" w:line="300" w:lineRule="atLeas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1项</w:t>
            </w:r>
          </w:p>
        </w:tc>
        <w:tc>
          <w:tcPr>
            <w:tcW w:w="1961" w:type="dxa"/>
            <w:tcBorders>
              <w:right w:val="thickThinSmallGap" w:color="auto" w:sz="12" w:space="0"/>
            </w:tcBorders>
            <w:vAlign w:val="center"/>
          </w:tcPr>
          <w:p>
            <w:pPr>
              <w:keepNext w:val="0"/>
              <w:keepLines w:val="0"/>
              <w:suppressLineNumbers w:val="0"/>
              <w:shd w:val="clear"/>
              <w:snapToGrid w:val="0"/>
              <w:spacing w:before="0" w:beforeAutospacing="0" w:after="0" w:afterAutospacing="0" w:line="360" w:lineRule="exact"/>
              <w:ind w:left="0" w:right="0"/>
              <w:jc w:val="cente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一年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1683" w:type="dxa"/>
            <w:tcBorders>
              <w:top w:val="single" w:color="auto" w:sz="4" w:space="0"/>
              <w:left w:val="thinThickSmallGap" w:color="auto" w:sz="12" w:space="0"/>
              <w:bottom w:val="thickThinSmallGap" w:color="auto" w:sz="12" w:space="0"/>
              <w:right w:val="single" w:color="auto" w:sz="4" w:space="0"/>
            </w:tcBorders>
            <w:vAlign w:val="center"/>
          </w:tcPr>
          <w:p>
            <w:pPr>
              <w:keepNext w:val="0"/>
              <w:keepLines w:val="0"/>
              <w:suppressLineNumbers w:val="0"/>
              <w:shd w:val="clear"/>
              <w:snapToGrid w:val="0"/>
              <w:spacing w:before="0" w:beforeAutospacing="0" w:after="0" w:afterAutospacing="0" w:line="36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snapToGrid w:val="0"/>
              <w:spacing w:before="0" w:beforeAutospacing="0" w:after="0" w:afterAutospacing="0" w:line="360" w:lineRule="exact"/>
              <w:ind w:left="0" w:right="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 标 总 价</w:t>
            </w:r>
          </w:p>
        </w:tc>
        <w:tc>
          <w:tcPr>
            <w:tcW w:w="7358" w:type="dxa"/>
            <w:gridSpan w:val="3"/>
            <w:tcBorders>
              <w:top w:val="single" w:color="auto" w:sz="4" w:space="0"/>
              <w:left w:val="single" w:color="auto" w:sz="4" w:space="0"/>
              <w:bottom w:val="thickThinSmallGap" w:color="auto" w:sz="12" w:space="0"/>
              <w:right w:val="thickThinSmallGap" w:color="auto" w:sz="12" w:space="0"/>
            </w:tcBorders>
            <w:vAlign w:val="center"/>
          </w:tcPr>
          <w:p>
            <w:pPr>
              <w:keepNext w:val="0"/>
              <w:keepLines w:val="0"/>
              <w:suppressLineNumbers w:val="0"/>
              <w:shd w:val="clear"/>
              <w:wordWrap w:val="0"/>
              <w:overflowPunct w:val="0"/>
              <w:autoSpaceDE w:val="0"/>
              <w:autoSpaceDN w:val="0"/>
              <w:snapToGrid w:val="0"/>
              <w:spacing w:before="0" w:beforeAutospacing="0" w:after="0" w:afterAutospacing="0" w:line="360" w:lineRule="exact"/>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keepNext w:val="0"/>
              <w:keepLines w:val="0"/>
              <w:suppressLineNumbers w:val="0"/>
              <w:shd w:val="clear"/>
              <w:wordWrap w:val="0"/>
              <w:overflowPunct w:val="0"/>
              <w:autoSpaceDE w:val="0"/>
              <w:autoSpaceDN w:val="0"/>
              <w:snapToGrid w:val="0"/>
              <w:spacing w:before="0" w:beforeAutospacing="0" w:after="0" w:afterAutospacing="0" w:line="360" w:lineRule="exact"/>
              <w:ind w:left="0" w:right="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大写：  （小写：￥              ）</w:t>
            </w:r>
          </w:p>
        </w:tc>
      </w:tr>
    </w:tbl>
    <w:p>
      <w:pPr>
        <w:shd w:val="clear"/>
        <w:spacing w:line="360" w:lineRule="auto"/>
        <w:ind w:firstLine="361" w:firstLineChars="150"/>
        <w:rPr>
          <w:rFonts w:hint="eastAsia" w:ascii="仿宋_GB2312" w:hAnsi="仿宋_GB2312" w:eastAsia="仿宋_GB2312" w:cs="仿宋_GB2312"/>
          <w:b/>
          <w:bCs/>
          <w:color w:val="000000" w:themeColor="text1"/>
          <w:sz w:val="24"/>
          <w:szCs w:val="24"/>
          <w:highlight w:val="none"/>
          <w:lang w:val="zh-CN"/>
          <w14:textFill>
            <w14:solidFill>
              <w14:schemeClr w14:val="tx1"/>
            </w14:solidFill>
          </w14:textFill>
        </w:rPr>
      </w:pPr>
    </w:p>
    <w:p>
      <w:pPr>
        <w:shd w:val="clear"/>
        <w:spacing w:line="360" w:lineRule="auto"/>
        <w:ind w:firstLine="361"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val="zh-CN"/>
          <w14:textFill>
            <w14:solidFill>
              <w14:schemeClr w14:val="tx1"/>
            </w14:solidFill>
          </w14:textFill>
        </w:rPr>
        <w:t>注：</w:t>
      </w:r>
      <w:r>
        <w:rPr>
          <w:rFonts w:hint="eastAsia" w:ascii="仿宋_GB2312" w:hAnsi="仿宋_GB2312" w:eastAsia="仿宋_GB2312" w:cs="仿宋_GB2312"/>
          <w:bCs/>
          <w:color w:val="000000" w:themeColor="text1"/>
          <w:sz w:val="24"/>
          <w:szCs w:val="24"/>
          <w:highlight w:val="none"/>
          <w:lang w:val="zh-CN"/>
          <w14:textFill>
            <w14:solidFill>
              <w14:schemeClr w14:val="tx1"/>
            </w14:solidFill>
          </w14:textFill>
        </w:rPr>
        <w:t>报价应包括完成该项目的所有费用。</w:t>
      </w:r>
    </w:p>
    <w:p>
      <w:pPr>
        <w:shd w:val="clear"/>
        <w:spacing w:line="360" w:lineRule="auto"/>
        <w:ind w:firstLine="360"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360"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投标人名称（</w:t>
      </w:r>
      <w:r>
        <w:rPr>
          <w:rStyle w:val="969"/>
          <w:rFonts w:hint="eastAsia" w:ascii="仿宋_GB2312" w:hAnsi="仿宋_GB2312" w:eastAsia="仿宋_GB2312" w:cs="仿宋_GB2312"/>
          <w:color w:val="000000" w:themeColor="text1"/>
          <w:sz w:val="24"/>
          <w:szCs w:val="24"/>
          <w:highlight w:val="none"/>
          <w14:textFill>
            <w14:solidFill>
              <w14:schemeClr w14:val="tx1"/>
            </w14:solidFill>
          </w14:textFill>
        </w:rPr>
        <w:t>CA签章</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napToGrid w:val="0"/>
        <w:spacing w:line="360" w:lineRule="auto"/>
        <w:ind w:firstLine="360"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法定代表人或其授权代表人（签字）：</w:t>
      </w:r>
    </w:p>
    <w:p>
      <w:pPr>
        <w:shd w:val="clear"/>
        <w:snapToGrid w:val="0"/>
        <w:spacing w:line="360" w:lineRule="auto"/>
        <w:ind w:firstLine="360" w:firstLineChars="150"/>
        <w:rPr>
          <w:rStyle w:val="168"/>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日期：</w:t>
      </w:r>
    </w:p>
    <w:p>
      <w:pPr>
        <w:shd w:val="clear"/>
        <w:snapToGrid w:val="0"/>
        <w:spacing w:line="360" w:lineRule="auto"/>
        <w:ind w:firstLine="361" w:firstLineChars="150"/>
        <w:rPr>
          <w:rStyle w:val="168"/>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ind w:firstLine="361" w:firstLineChars="150"/>
        <w:rPr>
          <w:rStyle w:val="168"/>
          <w:rFonts w:hint="eastAsia" w:ascii="仿宋_GB2312" w:hAnsi="仿宋_GB2312" w:eastAsia="仿宋_GB2312" w:cs="仿宋_GB2312"/>
          <w:color w:val="000000" w:themeColor="text1"/>
          <w:sz w:val="24"/>
          <w:szCs w:val="24"/>
          <w:highlight w:val="none"/>
          <w14:textFill>
            <w14:solidFill>
              <w14:schemeClr w14:val="tx1"/>
            </w14:solidFill>
          </w14:textFill>
        </w:rPr>
      </w:pPr>
    </w:p>
    <w:p>
      <w:pPr>
        <w:pStyle w:val="694"/>
        <w:keepNext w:val="0"/>
        <w:pageBreakBefore w:val="0"/>
        <w:shd w:val="clear"/>
        <w:tabs>
          <w:tab w:val="clear" w:pos="720"/>
        </w:tabs>
        <w:snapToGrid w:val="0"/>
        <w:spacing w:before="120" w:after="120"/>
        <w:outlineLvl w:val="9"/>
        <w:rPr>
          <w:rFonts w:hint="eastAsia" w:ascii="仿宋_GB2312" w:hAnsi="仿宋_GB2312" w:eastAsia="仿宋_GB2312" w:cs="仿宋_GB2312"/>
          <w:color w:val="000000" w:themeColor="text1"/>
          <w:sz w:val="24"/>
          <w:szCs w:val="24"/>
          <w:highlight w:val="none"/>
          <w14:textFill>
            <w14:solidFill>
              <w14:schemeClr w14:val="tx1"/>
            </w14:solidFill>
          </w14:textFill>
        </w:rPr>
      </w:pPr>
      <w:bookmarkStart w:id="460" w:name="_Toc22910"/>
      <w:bookmarkStart w:id="461" w:name="_Toc30141"/>
      <w:r>
        <w:rPr>
          <w:rFonts w:hint="eastAsia" w:ascii="仿宋_GB2312" w:hAnsi="仿宋_GB2312" w:eastAsia="仿宋_GB2312" w:cs="仿宋_GB2312"/>
          <w:color w:val="000000" w:themeColor="text1"/>
          <w:kern w:val="2"/>
          <w:sz w:val="24"/>
          <w:szCs w:val="24"/>
          <w:highlight w:val="none"/>
          <w14:textFill>
            <w14:solidFill>
              <w14:schemeClr w14:val="tx1"/>
            </w14:solidFill>
          </w14:textFill>
        </w:rPr>
        <w:t>二、</w:t>
      </w:r>
      <w:r>
        <w:rPr>
          <w:rFonts w:hint="eastAsia" w:ascii="仿宋_GB2312" w:hAnsi="仿宋_GB2312" w:eastAsia="仿宋_GB2312" w:cs="仿宋_GB2312"/>
          <w:color w:val="000000" w:themeColor="text1"/>
          <w:sz w:val="24"/>
          <w:szCs w:val="24"/>
          <w:highlight w:val="none"/>
          <w14:textFill>
            <w14:solidFill>
              <w14:schemeClr w14:val="tx1"/>
            </w14:solidFill>
          </w14:textFill>
        </w:rPr>
        <w:t>中小企业声明函</w:t>
      </w:r>
      <w:bookmarkEnd w:id="460"/>
      <w:bookmarkEnd w:id="461"/>
    </w:p>
    <w:p>
      <w:pPr>
        <w:widowControl/>
        <w:shd w:val="clear"/>
        <w:spacing w:line="360" w:lineRule="auto"/>
        <w:ind w:firstLine="120" w:firstLineChars="50"/>
        <w:jc w:val="lef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4"/>
        <w:keepNext w:val="0"/>
        <w:pageBreakBefore w:val="0"/>
        <w:shd w:val="clear"/>
        <w:tabs>
          <w:tab w:val="clear" w:pos="720"/>
        </w:tabs>
        <w:snapToGrid w:val="0"/>
        <w:spacing w:before="120" w:after="120"/>
        <w:ind w:firstLine="643"/>
        <w:outlineLvl w:val="9"/>
        <w:rPr>
          <w:rFonts w:hint="eastAsia" w:ascii="仿宋_GB2312" w:hAnsi="仿宋_GB2312" w:eastAsia="仿宋_GB2312" w:cs="仿宋_GB2312"/>
          <w:b w:val="0"/>
          <w:color w:val="000000" w:themeColor="text1"/>
          <w:sz w:val="24"/>
          <w:szCs w:val="24"/>
          <w:highlight w:val="none"/>
          <w14:textFill>
            <w14:solidFill>
              <w14:schemeClr w14:val="tx1"/>
            </w14:solidFill>
          </w14:textFill>
        </w:rPr>
      </w:pPr>
    </w:p>
    <w:p>
      <w:pPr>
        <w:shd w:val="clear"/>
        <w:spacing w:line="360" w:lineRule="auto"/>
        <w:ind w:right="420" w:firstLine="2409" w:firstLineChars="100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firstLine="2409" w:firstLineChars="100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shd w:val="clear"/>
        <w:spacing w:line="360" w:lineRule="auto"/>
        <w:ind w:right="420"/>
        <w:rPr>
          <w:rFonts w:hint="eastAsia" w:ascii="仿宋_GB2312" w:hAnsi="仿宋_GB2312" w:eastAsia="仿宋_GB2312" w:cs="仿宋_GB2312"/>
          <w:b/>
          <w:color w:val="000000" w:themeColor="text1"/>
          <w:kern w:val="0"/>
          <w:sz w:val="24"/>
          <w:szCs w:val="24"/>
          <w:highlight w:val="none"/>
          <w14:textFill>
            <w14:solidFill>
              <w14:schemeClr w14:val="tx1"/>
            </w14:solidFill>
          </w14:textFill>
        </w:rPr>
      </w:pPr>
    </w:p>
    <w:p>
      <w:pPr>
        <w:pStyle w:val="2"/>
        <w:keepNext w:val="0"/>
        <w:keepLines w:val="0"/>
        <w:pageBreakBefore/>
        <w:widowControl/>
        <w:shd w:val="clear"/>
        <w:spacing w:before="100" w:beforeAutospacing="1" w:after="100" w:afterAutospacing="1" w:line="360" w:lineRule="auto"/>
        <w:ind w:left="0" w:firstLine="0"/>
        <w:rPr>
          <w:rFonts w:hint="eastAsia" w:ascii="仿宋_GB2312" w:hAnsi="仿宋_GB2312" w:eastAsia="仿宋_GB2312" w:cs="仿宋_GB2312"/>
          <w:color w:val="000000" w:themeColor="text1"/>
          <w:sz w:val="24"/>
          <w:szCs w:val="24"/>
          <w:highlight w:val="none"/>
          <w14:textFill>
            <w14:solidFill>
              <w14:schemeClr w14:val="tx1"/>
            </w14:solidFill>
          </w14:textFill>
        </w:rPr>
      </w:pPr>
      <w:bookmarkStart w:id="462" w:name="_Toc5209"/>
      <w:bookmarkStart w:id="463" w:name="_Toc23579"/>
      <w:bookmarkStart w:id="464" w:name="_Toc465665161"/>
      <w:r>
        <w:rPr>
          <w:rFonts w:hint="eastAsia" w:ascii="仿宋_GB2312" w:hAnsi="仿宋_GB2312" w:eastAsia="仿宋_GB2312" w:cs="仿宋_GB2312"/>
          <w:color w:val="000000" w:themeColor="text1"/>
          <w:sz w:val="24"/>
          <w:szCs w:val="24"/>
          <w:highlight w:val="none"/>
          <w14:textFill>
            <w14:solidFill>
              <w14:schemeClr w14:val="tx1"/>
            </w14:solidFill>
          </w14:textFill>
        </w:rPr>
        <w:t>附件</w:t>
      </w:r>
      <w:bookmarkEnd w:id="462"/>
      <w:bookmarkEnd w:id="463"/>
      <w:bookmarkEnd w:id="464"/>
    </w:p>
    <w:p>
      <w:pPr>
        <w:shd w:val="clear"/>
        <w:spacing w:line="360" w:lineRule="auto"/>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附件1：</w:t>
      </w: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bookmarkStart w:id="465" w:name="OLE_LINK14"/>
      <w:bookmarkStart w:id="466" w:name="OLE_LINK13"/>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残疾人福利性单位声明函</w:t>
      </w:r>
    </w:p>
    <w:bookmarkEnd w:id="465"/>
    <w:bookmarkEnd w:id="466"/>
    <w:p>
      <w:pPr>
        <w:shd w:val="clear"/>
        <w:spacing w:line="360" w:lineRule="auto"/>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本单位对上述声明的真实性负责。如有虚假，将依法承担相应责任。</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tabs>
          <w:tab w:val="left" w:pos="4860"/>
        </w:tabs>
        <w:spacing w:line="360" w:lineRule="auto"/>
        <w:ind w:right="1560" w:firstLine="480" w:firstLineChars="20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投标人名称（电子签名）</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tabs>
          <w:tab w:val="left" w:pos="4860"/>
        </w:tabs>
        <w:spacing w:line="360" w:lineRule="auto"/>
        <w:ind w:right="1560" w:firstLine="480" w:firstLineChars="20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日  期：</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jc w:val="left"/>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left"/>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附件2：质疑函范本及制作说明</w:t>
      </w: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质疑函范本</w:t>
      </w:r>
    </w:p>
    <w:p>
      <w:pPr>
        <w:shd w:val="clear"/>
        <w:snapToGrid w:val="0"/>
        <w:spacing w:beforeLines="100" w:line="360" w:lineRule="auto"/>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一、质疑供应商基本信息</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质疑供应商：</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地址：邮编：</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联系人：联系电话：</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授权代表：</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联系电话：</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地址：邮编：</w:t>
      </w:r>
    </w:p>
    <w:p>
      <w:pPr>
        <w:shd w:val="clear"/>
        <w:snapToGrid w:val="0"/>
        <w:spacing w:line="360" w:lineRule="auto"/>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二、质疑项目基本情况</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质疑项目的名称：</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质疑项目的编号：包号：</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采购人名称：</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采购文件获取日期：</w:t>
      </w:r>
    </w:p>
    <w:p>
      <w:pPr>
        <w:shd w:val="clear"/>
        <w:snapToGrid w:val="0"/>
        <w:spacing w:line="360" w:lineRule="auto"/>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三、质疑事项具体内容</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质疑事项1：</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事实依据：</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法律依据：</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质疑事项2</w:t>
      </w:r>
    </w:p>
    <w:p>
      <w:pPr>
        <w:shd w:val="clear"/>
        <w:snapToGrid w:val="0"/>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napToGrid w:val="0"/>
        <w:spacing w:line="360" w:lineRule="auto"/>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Cs/>
          <w:color w:val="000000" w:themeColor="text1"/>
          <w:sz w:val="24"/>
          <w:szCs w:val="24"/>
          <w:highlight w:val="none"/>
          <w14:textFill>
            <w14:solidFill>
              <w14:schemeClr w14:val="tx1"/>
            </w14:solidFill>
          </w14:textFill>
        </w:rPr>
        <w:t>四、与质疑事项相关的质疑请求</w:t>
      </w:r>
    </w:p>
    <w:p>
      <w:pPr>
        <w:shd w:val="clear"/>
        <w:snapToGrid w:val="0"/>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请求：</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签字(签章)：                   公章：                      </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日期：</w:t>
      </w:r>
    </w:p>
    <w:p>
      <w:pPr>
        <w:shd w:val="clear"/>
        <w:spacing w:line="360" w:lineRule="auto"/>
        <w:jc w:val="center"/>
        <w:rPr>
          <w:rFonts w:hint="eastAsia" w:ascii="仿宋_GB2312" w:hAnsi="仿宋_GB2312" w:eastAsia="仿宋_GB2312" w:cs="仿宋_GB2312"/>
          <w:b/>
          <w:bCs/>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质疑函制作说明：</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1.供应商提出质疑时，应提交质疑函和必要的证明材料。</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供应商签署的授权委托书。授权委托书应载明代理人的姓名或者名称、代理事项、具体权限、期限和相关事项。</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3.质疑供应商若对项目的某一分包进行质疑，质疑函中应列明具体分包号。</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4.质疑函的质疑事项应具体、明确，并有必要的事实依据和法律依据。</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5.质疑函的质疑请求应与质疑事项相关。</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left"/>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spacing w:line="360" w:lineRule="auto"/>
        <w:jc w:val="left"/>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pStyle w:val="81"/>
        <w:shd w:val="clea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pStyle w:val="81"/>
        <w:shd w:val="clear"/>
        <w:rPr>
          <w:rFonts w:hint="eastAsia"/>
          <w:color w:val="000000" w:themeColor="text1"/>
          <w:highlight w:val="none"/>
          <w14:textFill>
            <w14:solidFill>
              <w14:schemeClr w14:val="tx1"/>
            </w14:solidFill>
          </w14:textFill>
        </w:rPr>
      </w:pPr>
    </w:p>
    <w:p>
      <w:pPr>
        <w:shd w:val="clear"/>
        <w:spacing w:line="360" w:lineRule="auto"/>
        <w:jc w:val="left"/>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附件3：投诉书范本及制作说明</w:t>
      </w:r>
    </w:p>
    <w:p>
      <w:pPr>
        <w:shd w:val="clear"/>
        <w:spacing w:line="360" w:lineRule="auto"/>
        <w:jc w:val="center"/>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投诉书范本</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一、投诉相关主体基本情况</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投诉人：</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地址：邮编：</w:t>
      </w:r>
    </w:p>
    <w:p>
      <w:pPr>
        <w:shd w:val="clear"/>
        <w:tabs>
          <w:tab w:val="left" w:pos="6510"/>
        </w:tabs>
        <w:spacing w:line="360" w:lineRule="auto"/>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法定代表人/主要负责人：</w:t>
      </w:r>
    </w:p>
    <w:p>
      <w:pPr>
        <w:shd w:val="clear"/>
        <w:tabs>
          <w:tab w:val="left" w:pos="6510"/>
        </w:tabs>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联系电话：</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授权代表：联系电话</w:t>
      </w:r>
      <w:r>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t>：</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地址：邮编：</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被投诉人1：</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地址：邮编：</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联系人：联系电话：</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被投诉人2</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相关供应商：</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地址：邮编：</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联系人：联系电话：</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二、投诉项目基本情况</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采购项目名称：</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采购项目编号：包号：</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采购人名称：</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代理机构名称：</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采购文件公告:</w:t>
      </w:r>
      <w:r>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t xml:space="preserve">是/否 </w:t>
      </w:r>
      <w:r>
        <w:rPr>
          <w:rFonts w:hint="eastAsia" w:ascii="仿宋_GB2312" w:hAnsi="仿宋_GB2312" w:eastAsia="仿宋_GB2312" w:cs="仿宋_GB2312"/>
          <w:color w:val="000000" w:themeColor="text1"/>
          <w:sz w:val="24"/>
          <w:szCs w:val="24"/>
          <w:highlight w:val="none"/>
          <w14:textFill>
            <w14:solidFill>
              <w14:schemeClr w14:val="tx1"/>
            </w14:solidFill>
          </w14:textFill>
        </w:rPr>
        <w:t>公告期限：</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采购结果公告:</w:t>
      </w:r>
      <w:r>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t xml:space="preserve">是/否 </w:t>
      </w:r>
      <w:r>
        <w:rPr>
          <w:rFonts w:hint="eastAsia" w:ascii="仿宋_GB2312" w:hAnsi="仿宋_GB2312" w:eastAsia="仿宋_GB2312" w:cs="仿宋_GB2312"/>
          <w:color w:val="000000" w:themeColor="text1"/>
          <w:sz w:val="24"/>
          <w:szCs w:val="24"/>
          <w:highlight w:val="none"/>
          <w14:textFill>
            <w14:solidFill>
              <w14:schemeClr w14:val="tx1"/>
            </w14:solidFill>
          </w14:textFill>
        </w:rPr>
        <w:t>公告期限：</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三、质疑基本情况</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投诉人于年月日,向提出质疑，质疑事项为：</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p>
    <w:p>
      <w:pPr>
        <w:shd w:val="clear"/>
        <w:spacing w:line="360" w:lineRule="auto"/>
        <w:ind w:firstLine="360" w:firstLineChars="15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t>采购人/代理机构</w:t>
      </w:r>
      <w:r>
        <w:rPr>
          <w:rFonts w:hint="eastAsia" w:ascii="仿宋_GB2312" w:hAnsi="仿宋_GB2312" w:eastAsia="仿宋_GB2312" w:cs="仿宋_GB2312"/>
          <w:color w:val="000000" w:themeColor="text1"/>
          <w:sz w:val="24"/>
          <w:szCs w:val="24"/>
          <w:highlight w:val="none"/>
          <w14:textFill>
            <w14:solidFill>
              <w14:schemeClr w14:val="tx1"/>
            </w14:solidFill>
          </w14:textFill>
        </w:rPr>
        <w:t>于年月日,就质疑事项作出了答复/没有在法定期限内作出答复。</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四、投诉事项具体内容</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投诉事项 1：</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事实依据：</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法律依据：</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投诉事项2</w:t>
      </w:r>
    </w:p>
    <w:p>
      <w:pPr>
        <w:shd w:val="clear"/>
        <w:spacing w:line="360" w:lineRule="auto"/>
        <w:rPr>
          <w:rFonts w:hint="eastAsia" w:ascii="仿宋_GB2312" w:hAnsi="仿宋_GB2312" w:eastAsia="仿宋_GB2312" w:cs="仿宋_GB2312"/>
          <w:color w:val="000000" w:themeColor="text1"/>
          <w:sz w:val="24"/>
          <w:szCs w:val="24"/>
          <w:highlight w:val="none"/>
          <w:u w:val="dotted"/>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五、与投诉事项相关的投诉请求</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请求：</w:t>
      </w:r>
    </w:p>
    <w:p>
      <w:pPr>
        <w:shd w:val="clear"/>
        <w:spacing w:line="360" w:lineRule="auto"/>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签字(签章)：                   公章：                      </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日期：</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投诉书制作说明：</w:t>
      </w:r>
    </w:p>
    <w:p>
      <w:pPr>
        <w:widowControl/>
        <w:shd w:val="clear"/>
        <w:spacing w:line="360" w:lineRule="auto"/>
        <w:ind w:firstLine="480" w:firstLineChars="200"/>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_GB2312" w:hAnsi="仿宋_GB2312" w:eastAsia="仿宋_GB2312" w:cs="仿宋_GB2312"/>
          <w:color w:val="000000" w:themeColor="text1"/>
          <w:kern w:val="0"/>
          <w:sz w:val="24"/>
          <w:szCs w:val="24"/>
          <w:highlight w:val="none"/>
          <w14:textFill>
            <w14:solidFill>
              <w14:schemeClr w14:val="tx1"/>
            </w14:solidFill>
          </w14:textFill>
        </w:rPr>
        <w:t>投诉人签署的授权委托书。授权委托书应当载明代理人的姓名或者名称、代理事项、具体权限、期限和相关事项。</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3.投诉人若对项目的某一分包进行投诉，投诉书应列明具体分包号。</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4.投诉书应简要列明质疑事项，质疑函、质疑答复等作为附件材料提供。</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5.投诉书的投诉事项应具体、明确，并有必要的事实依据和法律依据。</w:t>
      </w:r>
    </w:p>
    <w:p>
      <w:pPr>
        <w:widowControl/>
        <w:shd w:val="clea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6.投诉书的投诉请求应与投诉事项相关。</w:t>
      </w:r>
    </w:p>
    <w:p>
      <w:pPr>
        <w:widowControl/>
        <w:shd w:val="clear"/>
        <w:spacing w:line="360" w:lineRule="auto"/>
        <w:ind w:firstLine="480" w:firstLineChars="200"/>
        <w:jc w:val="left"/>
        <w:rPr>
          <w:rFonts w:hint="eastAsia" w:ascii="仿宋_GB2312" w:hAnsi="仿宋_GB2312" w:eastAsia="仿宋_GB2312" w:cs="仿宋_GB2312"/>
          <w:color w:val="000000" w:themeColor="text1"/>
          <w:kern w:val="0"/>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hd w:val="clear"/>
        <w:spacing w:line="360" w:lineRule="auto"/>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both"/>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附件4：</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业务专用章使用说明函</w:t>
      </w:r>
    </w:p>
    <w:p>
      <w:pPr>
        <w:shd w:val="clear"/>
        <w:spacing w:line="360" w:lineRule="auto"/>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（采购人）、（采购代理机构）</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4"/>
          <w:highlight w:val="none"/>
          <w:lang w:val="zh-CN"/>
          <w14:textFill>
            <w14:solidFill>
              <w14:schemeClr w14:val="tx1"/>
            </w14:solidFill>
          </w14:textFill>
        </w:rPr>
        <w:t>我方</w:t>
      </w:r>
      <w:r>
        <w:rPr>
          <w:rFonts w:hint="eastAsia" w:ascii="仿宋_GB2312" w:hAnsi="仿宋_GB2312" w:eastAsia="仿宋_GB2312" w:cs="仿宋_GB2312"/>
          <w:color w:val="000000" w:themeColor="text1"/>
          <w:sz w:val="24"/>
          <w:szCs w:val="24"/>
          <w:highlight w:val="none"/>
          <w14:textFill>
            <w14:solidFill>
              <w14:schemeClr w14:val="tx1"/>
            </w14:solidFill>
          </w14:textFill>
        </w:rPr>
        <w:t>(投标人全称)是中华人民共和国依法登记注册的合法企业，</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在参加</w:t>
      </w:r>
      <w:r>
        <w:rPr>
          <w:rFonts w:hint="eastAsia" w:ascii="仿宋_GB2312" w:hAnsi="仿宋_GB2312" w:eastAsia="仿宋_GB2312" w:cs="仿宋_GB2312"/>
          <w:color w:val="000000" w:themeColor="text1"/>
          <w:sz w:val="24"/>
          <w:szCs w:val="24"/>
          <w:highlight w:val="none"/>
          <w14:textFill>
            <w14:solidFill>
              <w14:schemeClr w14:val="tx1"/>
            </w14:solidFill>
          </w14:textFill>
        </w:rPr>
        <w:t>你方组织的（项目名称）项目【招标编号：（采购编号）】</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投标活动中作如下说明：</w:t>
      </w:r>
      <w:r>
        <w:rPr>
          <w:rFonts w:hint="eastAsia" w:ascii="仿宋_GB2312" w:hAnsi="仿宋_GB2312" w:eastAsia="仿宋_GB2312" w:cs="仿宋_GB2312"/>
          <w:color w:val="000000" w:themeColor="text1"/>
          <w:sz w:val="24"/>
          <w:szCs w:val="24"/>
          <w:highlight w:val="none"/>
          <w14:textFill>
            <w14:solidFill>
              <w14:schemeClr w14:val="tx1"/>
            </w14:solidFill>
          </w14:textFill>
        </w:rPr>
        <w:t>我方所使用的“XX专用章”与法定名称章具有同等的法律效力，对使用“XX专用章”的行为予以完全承认，并愿意承担相应责任。</w:t>
      </w:r>
    </w:p>
    <w:p>
      <w:pPr>
        <w:shd w:val="clea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特此说明。</w:t>
      </w:r>
    </w:p>
    <w:p>
      <w:pPr>
        <w:shd w:val="clear"/>
        <w:spacing w:line="360" w:lineRule="auto"/>
        <w:ind w:firstLine="494"/>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94"/>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94"/>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firstLine="494"/>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line="360" w:lineRule="auto"/>
        <w:ind w:right="480" w:firstLine="4080" w:firstLineChars="17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投标单位（法定名称章）：</w:t>
      </w:r>
    </w:p>
    <w:p>
      <w:pPr>
        <w:shd w:val="clear"/>
        <w:ind w:right="1440" w:firstLine="494"/>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日期：       年     月     日</w:t>
      </w:r>
    </w:p>
    <w:p>
      <w:pPr>
        <w:shd w:val="clea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附：</w:t>
      </w:r>
    </w:p>
    <w:p>
      <w:pPr>
        <w:shd w:val="clear"/>
        <w:spacing w:line="360" w:lineRule="auto"/>
        <w:rPr>
          <w:rFonts w:hint="eastAsia" w:ascii="仿宋_GB2312" w:hAnsi="仿宋_GB2312" w:eastAsia="仿宋_GB2312" w:cs="仿宋_GB2312"/>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1kA8/2AAAAAoBAAAPAAAAAAAA&#10;AAEAIAAAACIAAABkcnMvZG93bnJldi54bWxQSwECFAAUAAAACACHTuJAMqC43hICAAA0BAAADgAA&#10;AAAAAAABACAAAAAnAQAAZHJzL2Uyb0RvYy54bWxQSwUGAAAAAAYABgBZAQAAqwUAAAAA&#10;">
                <v:fill on="t" focussize="0,0"/>
                <v:stroke color="#000000" miterlimit="2" joinstyle="miter"/>
                <v:imagedata o:title=""/>
                <o:lock v:ext="edit" aspectratio="f"/>
              </v:rect>
            </w:pict>
          </mc:Fallback>
        </mc:AlternateConten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mMR6bYAAAACgEAAA8AAAAAAAAA&#10;AQAgAAAAIgAAAGRycy9kb3ducmV2LnhtbFBLAQIUABQAAAAIAIdO4kANqeNkEQIAADQEAAAOAAAA&#10;AAAAAAEAIAAAACcBAABkcnMvZTJvRG9jLnhtbFBLBQYAAAAABgAGAFkBAACqBQAAAAA=&#10;">
                <v:fill on="t" focussize="0,0"/>
                <v:stroke color="#000000" miterlimit="2" joinstyle="miter"/>
                <v:imagedata o:title=""/>
                <o:lock v:ext="edit" aspectratio="f"/>
              </v:rect>
            </w:pict>
          </mc:Fallback>
        </mc:AlternateContent>
      </w:r>
      <w:r>
        <w:rPr>
          <w:rFonts w:hint="eastAsia" w:ascii="仿宋_GB2312" w:hAnsi="仿宋_GB2312" w:eastAsia="仿宋_GB2312" w:cs="仿宋_GB2312"/>
          <w:color w:val="000000" w:themeColor="text1"/>
          <w:sz w:val="24"/>
          <w:szCs w:val="24"/>
          <w:highlight w:val="none"/>
          <w14:textFill>
            <w14:solidFill>
              <w14:schemeClr w14:val="tx1"/>
            </w14:solidFill>
          </w14:textFill>
        </w:rPr>
        <w:t>投标单位法定名称章（印模）投标单位“XX专用章”（印模）</w:t>
      </w: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pStyle w:val="3"/>
        <w:shd w:val="clea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pStyle w:val="80"/>
        <w:shd w:val="clear"/>
        <w:rPr>
          <w:rFonts w:hint="eastAsia"/>
          <w:color w:val="000000" w:themeColor="text1"/>
          <w:highlight w:val="none"/>
          <w14:textFill>
            <w14:solidFill>
              <w14:schemeClr w14:val="tx1"/>
            </w14:solidFill>
          </w14:textFill>
        </w:rPr>
      </w:pPr>
    </w:p>
    <w:p>
      <w:pPr>
        <w:shd w:val="clea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pStyle w:val="3"/>
        <w:shd w:val="clear"/>
        <w:ind w:left="0" w:leftChars="0" w:firstLine="0" w:firstLineChars="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autoSpaceDE w:val="0"/>
        <w:autoSpaceDN w:val="0"/>
        <w:jc w:val="cente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pPr>
    </w:p>
    <w:p>
      <w:pPr>
        <w:shd w:val="clear"/>
        <w:autoSpaceDE w:val="0"/>
        <w:autoSpaceDN w:val="0"/>
        <w:jc w:val="both"/>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pacing w:val="6"/>
          <w:sz w:val="24"/>
          <w:szCs w:val="24"/>
          <w:highlight w:val="none"/>
          <w14:textFill>
            <w14:solidFill>
              <w14:schemeClr w14:val="tx1"/>
            </w14:solidFill>
          </w14:textFill>
        </w:rPr>
        <w:t>附件5：</w:t>
      </w:r>
      <w:r>
        <w:rPr>
          <w:rFonts w:hint="eastAsia" w:ascii="仿宋_GB2312" w:hAnsi="仿宋_GB2312" w:eastAsia="仿宋_GB2312" w:cs="仿宋_GB2312"/>
          <w:b/>
          <w:color w:val="000000" w:themeColor="text1"/>
          <w:sz w:val="24"/>
          <w:szCs w:val="24"/>
          <w:highlight w:val="none"/>
          <w14:textFill>
            <w14:solidFill>
              <w14:schemeClr w14:val="tx1"/>
            </w14:solidFill>
          </w14:textFill>
        </w:rPr>
        <w:t>中小企业声明函</w:t>
      </w:r>
    </w:p>
    <w:p>
      <w:pPr>
        <w:shd w:val="clear"/>
        <w:autoSpaceDE w:val="0"/>
        <w:autoSpaceDN w:val="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中小企业声明函(服务)</w:t>
      </w:r>
    </w:p>
    <w:p>
      <w:pPr>
        <w:shd w:val="clear"/>
        <w:spacing w:beforeLines="0" w:afterLines="0" w:line="380" w:lineRule="exact"/>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beforeLines="0" w:afterLines="0" w:line="380" w:lineRule="exact"/>
        <w:ind w:firstLine="360" w:firstLineChars="15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pPr>
        <w:shd w:val="clear"/>
        <w:spacing w:beforeLines="0" w:afterLines="0" w:line="38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1.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（标的名称）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，属于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w:t>
      </w:r>
      <w:r>
        <w:rPr>
          <w:rFonts w:hint="eastAsia" w:ascii="仿宋_GB2312" w:hAnsi="仿宋_GB2312" w:eastAsia="仿宋_GB2312" w:cs="仿宋_GB2312"/>
          <w:color w:val="000000" w:themeColor="text1"/>
          <w:kern w:val="0"/>
          <w:sz w:val="24"/>
          <w:szCs w:val="24"/>
          <w:highlight w:val="none"/>
          <w:u w:val="single"/>
          <w:lang w:eastAsia="zh-CN"/>
          <w14:textFill>
            <w14:solidFill>
              <w14:schemeClr w14:val="tx1"/>
            </w14:solidFill>
          </w14:textFill>
        </w:rPr>
        <w:t>其他未列明行业</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；承建（承接）企业为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（企业名称）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，从业人员</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人，营业收入为</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万元，资产总额为</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万元属于</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（中型企业、小型企业、微型企业） </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pacing w:beforeLines="0" w:afterLines="0" w:line="38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2.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（标的名称）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，属于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（采购文件中明确的所属行业）</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；承建（承接）企业为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（企业名称）</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，从业人员</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人，营业收入为</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万元，资产总额为</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万元属于</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（中型企业、小型企业、微型企业） </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pacing w:beforeLines="0" w:afterLines="0" w:line="38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pPr>
        <w:shd w:val="clear"/>
        <w:spacing w:beforeLines="0" w:afterLines="0" w:line="38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pPr>
        <w:shd w:val="clear"/>
        <w:spacing w:beforeLines="0" w:afterLines="0" w:line="38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本企业对上述声明内容的真实性负责。如有虚假，将依法承担相应责任。</w:t>
      </w:r>
    </w:p>
    <w:p>
      <w:pPr>
        <w:shd w:val="clear"/>
        <w:tabs>
          <w:tab w:val="left" w:pos="4860"/>
        </w:tabs>
        <w:spacing w:beforeLines="0" w:afterLines="0" w:line="380" w:lineRule="exact"/>
        <w:ind w:left="4620" w:leftChars="2200" w:right="3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响应方全称：（CA签章）</w:t>
      </w:r>
    </w:p>
    <w:p>
      <w:pPr>
        <w:shd w:val="clear"/>
        <w:tabs>
          <w:tab w:val="left" w:pos="4860"/>
        </w:tabs>
        <w:spacing w:beforeLines="0" w:afterLines="0" w:line="380" w:lineRule="exact"/>
        <w:ind w:left="4620" w:leftChars="2200" w:right="3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日  期：</w:t>
      </w:r>
    </w:p>
    <w:p>
      <w:pPr>
        <w:shd w:val="clear"/>
        <w:spacing w:beforeLines="0" w:afterLines="0" w:line="38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p>
    <w:p>
      <w:pPr>
        <w:shd w:val="clear"/>
        <w:spacing w:beforeLines="0" w:afterLines="0" w:line="380" w:lineRule="exact"/>
        <w:ind w:firstLine="482" w:firstLineChars="200"/>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从业人员、营业收入、资产总额填报上一年度数据，无上一年度数据的新成立企业可不填报。</w:t>
      </w:r>
    </w:p>
    <w:p>
      <w:pPr>
        <w:shd w:val="clear"/>
        <w:spacing w:beforeLines="0" w:afterLines="0" w:line="380" w:lineRule="exact"/>
        <w:ind w:right="42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hd w:val="clear"/>
        <w:spacing w:beforeLines="0" w:afterLines="0" w:line="380" w:lineRule="exact"/>
        <w:ind w:right="42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hd w:val="clear"/>
        <w:spacing w:line="360" w:lineRule="auto"/>
        <w:rPr>
          <w:rFonts w:ascii="仿宋" w:hAnsi="仿宋" w:eastAsia="仿宋"/>
          <w:bCs/>
          <w:color w:val="000000" w:themeColor="text1"/>
          <w:sz w:val="24"/>
          <w:highlight w:val="none"/>
          <w14:textFill>
            <w14:solidFill>
              <w14:schemeClr w14:val="tx1"/>
            </w14:solidFill>
          </w14:textFill>
        </w:rPr>
      </w:pPr>
    </w:p>
    <w:sectPr>
      <w:headerReference r:id="rId13" w:type="first"/>
      <w:footerReference r:id="rId16" w:type="first"/>
      <w:headerReference r:id="rId12" w:type="default"/>
      <w:footerReference r:id="rId14" w:type="default"/>
      <w:footerReference r:id="rId15"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200247B" w:usb2="00000009" w:usb3="00000000" w:csb0="200001FF" w:csb1="00000000"/>
  </w:font>
  <w:font w:name="FangSong_GB2312">
    <w:altName w:val="仿宋_GB2312"/>
    <w:panose1 w:val="02010609060101010101"/>
    <w:charset w:val="86"/>
    <w:family w:val="modern"/>
    <w:pitch w:val="default"/>
    <w:sig w:usb0="00000000" w:usb1="00000000" w:usb2="00000016" w:usb3="00000000" w:csb0="00040001"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方正小标宋简体">
    <w:panose1 w:val="03000509000000000000"/>
    <w:charset w:val="86"/>
    <w:family w:val="script"/>
    <w:pitch w:val="default"/>
    <w:sig w:usb0="00000001" w:usb1="080E0000" w:usb2="00000000" w:usb3="00000000" w:csb0="00040000" w:csb1="00000000"/>
  </w:font>
  <w:font w:name="MS Gothic">
    <w:panose1 w:val="020B0609070205080204"/>
    <w:charset w:val="80"/>
    <w:family w:val="modern"/>
    <w:pitch w:val="default"/>
    <w:sig w:usb0="E00002FF" w:usb1="6AC7FDFB" w:usb2="08000012" w:usb3="00000000" w:csb0="4002009F" w:csb1="DFD70000"/>
  </w:font>
  <w:font w:name="PMingLiU">
    <w:altName w:val="PMingLiU-ExtB"/>
    <w:panose1 w:val="02020500000000000000"/>
    <w:charset w:val="88"/>
    <w:family w:val="auto"/>
    <w:pitch w:val="default"/>
    <w:sig w:usb0="00000000" w:usb1="00000000" w:usb2="00000016" w:usb3="00000000" w:csb0="00100001" w:csb1="00000000"/>
  </w:font>
  <w:font w:name="仿宋_GB2312">
    <w:panose1 w:val="02010609030101010101"/>
    <w:charset w:val="86"/>
    <w:family w:val="auto"/>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Franklin Gothic Medium">
    <w:panose1 w:val="020B0603020102020204"/>
    <w:charset w:val="00"/>
    <w:family w:val="auto"/>
    <w:pitch w:val="default"/>
    <w:sig w:usb0="00000287" w:usb1="00000000" w:usb2="00000000" w:usb3="00000000" w:csb0="2000009F" w:csb1="DFD70000"/>
  </w:font>
  <w:font w:name="华文宋体">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华文细黑">
    <w:panose1 w:val="02010600040101010101"/>
    <w:charset w:val="86"/>
    <w:family w:val="auto"/>
    <w:pitch w:val="default"/>
    <w:sig w:usb0="00000287" w:usb1="080F0000" w:usb2="00000000" w:usb3="00000000" w:csb0="0004009F" w:csb1="DFD70000"/>
  </w:font>
  <w:font w:name="FangSong_GB2312">
    <w:altName w:val="仿宋_GB2312"/>
    <w:panose1 w:val="00000000000000000000"/>
    <w:charset w:val="00"/>
    <w:family w:val="auto"/>
    <w:pitch w:val="default"/>
    <w:sig w:usb0="00000000" w:usb1="00000000" w:usb2="00000000" w:usb3="00000000" w:csb0="00000000" w:csb1="00000000"/>
  </w:font>
  <w:font w:name="hakuyoxingshu7000">
    <w:altName w:val="宋体"/>
    <w:panose1 w:val="02000600000000000000"/>
    <w:charset w:val="86"/>
    <w:family w:val="auto"/>
    <w:pitch w:val="default"/>
    <w:sig w:usb0="00000000" w:usb1="00000000" w:usb2="0000003F" w:usb3="00000000" w:csb0="603F00FF" w:csb1="FFFF0000"/>
  </w:font>
  <w:font w:name="Gulim">
    <w:altName w:val="Malgun Gothic"/>
    <w:panose1 w:val="020B0600000101010101"/>
    <w:charset w:val="81"/>
    <w:family w:val="auto"/>
    <w:pitch w:val="default"/>
    <w:sig w:usb0="00000000" w:usb1="00000000" w:usb2="00000030" w:usb3="00000000" w:csb0="4008009F" w:csb1="DFD70000"/>
  </w:font>
  <w:font w:name="NumberOnly">
    <w:altName w:val="Segoe UI Symbol"/>
    <w:panose1 w:val="020B0500000000000000"/>
    <w:charset w:val="00"/>
    <w:family w:val="auto"/>
    <w:pitch w:val="default"/>
    <w:sig w:usb0="00000000" w:usb1="00000000" w:usb2="00000000" w:usb3="00000000" w:csb0="00000111" w:csb1="40000000"/>
  </w:font>
  <w:font w:name="PMingLiU-ExtB">
    <w:panose1 w:val="02020500000000000000"/>
    <w:charset w:val="88"/>
    <w:family w:val="auto"/>
    <w:pitch w:val="default"/>
    <w:sig w:usb0="8000002F" w:usb1="02000008" w:usb2="00000000" w:usb3="00000000" w:csb0="00100001" w:csb1="00000000"/>
  </w:font>
  <w:font w:name="Malgun Gothic">
    <w:panose1 w:val="020B0503020000020004"/>
    <w:charset w:val="81"/>
    <w:family w:val="auto"/>
    <w:pitch w:val="default"/>
    <w:sig w:usb0="9000002F" w:usb1="29D77CFB" w:usb2="00000012" w:usb3="00000000" w:csb0="00080001" w:csb1="00000000"/>
  </w:font>
  <w:font w:name="Segoe UI Symbol">
    <w:panose1 w:val="020B0502040204020203"/>
    <w:charset w:val="00"/>
    <w:family w:val="auto"/>
    <w:pitch w:val="default"/>
    <w:sig w:usb0="800001E3" w:usb1="1200FFEF" w:usb2="00040000" w:usb3="04000000" w:csb0="00000001" w:csb1="40000000"/>
  </w:font>
  <w:font w:name="华文仿宋">
    <w:panose1 w:val="02010600040101010101"/>
    <w:charset w:val="86"/>
    <w:family w:val="auto"/>
    <w:pitch w:val="default"/>
    <w:sig w:usb0="00000287" w:usb1="080F0000" w:usb2="00000000" w:usb3="00000000" w:csb0="0004009F" w:csb1="DFD70000"/>
  </w:font>
  <w:font w:name="Latha">
    <w:altName w:val="Segoe Print"/>
    <w:panose1 w:val="020B0604020202020204"/>
    <w:charset w:val="01"/>
    <w:family w:val="roman"/>
    <w:pitch w:val="default"/>
    <w:sig w:usb0="00000000" w:usb1="00000000" w:usb2="00000000" w:usb3="00000000" w:csb0="00000001" w:csb1="00000000"/>
  </w:font>
  <w:font w:name="仿宋_GB2312">
    <w:panose1 w:val="02010609030101010101"/>
    <w:charset w:val="50"/>
    <w:family w:val="roman"/>
    <w:pitch w:val="default"/>
    <w:sig w:usb0="00000001" w:usb1="080E0000" w:usb2="00000000" w:usb3="00000000" w:csb0="00040000" w:csb1="00000000"/>
  </w:font>
  <w:font w:name=".PingFang SC">
    <w:altName w:val="微软雅黑"/>
    <w:panose1 w:val="00000000000000000000"/>
    <w:charset w:val="00"/>
    <w:family w:val="modern"/>
    <w:pitch w:val="default"/>
    <w:sig w:usb0="00000000" w:usb1="00000000" w:usb2="00000000" w:usb3="00000000" w:csb0="00040001" w:csb1="00000000"/>
  </w:font>
  <w:font w:name="方正公文小标宋">
    <w:altName w:val="宋体"/>
    <w:panose1 w:val="02000500000000000000"/>
    <w:charset w:val="86"/>
    <w:family w:val="auto"/>
    <w:pitch w:val="default"/>
    <w:sig w:usb0="00000000" w:usb1="00000000" w:usb2="00000016" w:usb3="00000000" w:csb0="00040001" w:csb1="00000000"/>
  </w:font>
  <w:font w:name="Wingdings 2">
    <w:panose1 w:val="05020102010507070707"/>
    <w:charset w:val="00"/>
    <w:family w:val="auto"/>
    <w:pitch w:val="default"/>
    <w:sig w:usb0="00000000" w:usb1="00000000" w:usb2="00000000" w:usb3="00000000" w:csb0="80000000" w:csb1="00000000"/>
  </w:font>
  <w:font w:name="Helvetica Neue">
    <w:altName w:val="Corbel"/>
    <w:panose1 w:val="02000503000000020004"/>
    <w:charset w:val="00"/>
    <w:family w:val="auto"/>
    <w:pitch w:val="default"/>
    <w:sig w:usb0="00000000" w:usb1="00000000" w:usb2="00000000" w:usb3="00000000" w:csb0="00000000" w:csb1="00000000"/>
  </w:font>
  <w:font w:name="汉仪书宋二KW">
    <w:altName w:val="宋体"/>
    <w:panose1 w:val="00020600040101010101"/>
    <w:charset w:val="86"/>
    <w:family w:val="auto"/>
    <w:pitch w:val="default"/>
    <w:sig w:usb0="00000000" w:usb1="00000000" w:usb2="00000000" w:usb3="00000000" w:csb0="00160000" w:csb1="00000000"/>
  </w:font>
  <w:font w:name="汉仪中黑KW">
    <w:altName w:val="黑体"/>
    <w:panose1 w:val="00020600040101010101"/>
    <w:charset w:val="86"/>
    <w:family w:val="auto"/>
    <w:pitch w:val="default"/>
    <w:sig w:usb0="00000000" w:usb1="00000000" w:usb2="00000000" w:usb3="00000000" w:csb0="00160000" w:csb1="00000000"/>
  </w:font>
  <w:font w:name="方正仿宋_GBK">
    <w:altName w:val="Arial Unicode MS"/>
    <w:panose1 w:val="02000000000000000000"/>
    <w:charset w:val="86"/>
    <w:family w:val="auto"/>
    <w:pitch w:val="default"/>
    <w:sig w:usb0="00000000" w:usb1="00000000" w:usb2="00000000" w:usb3="00000000" w:csb0="00160000" w:csb1="00000000"/>
  </w:font>
  <w:font w:name="苹方-简">
    <w:altName w:val="宋体"/>
    <w:panose1 w:val="020B0400000000000000"/>
    <w:charset w:val="86"/>
    <w:family w:val="auto"/>
    <w:pitch w:val="default"/>
    <w:sig w:usb0="00000000" w:usb1="00000000" w:usb2="00000000" w:usb3="00000000" w:csb0="00160000" w:csb1="00000000"/>
  </w:font>
  <w:font w:name="汉仪旗黑">
    <w:altName w:val="黑体"/>
    <w:panose1 w:val="00020600040101010101"/>
    <w:charset w:val="86"/>
    <w:family w:val="auto"/>
    <w:pitch w:val="default"/>
    <w:sig w:usb0="00000000" w:usb1="00000000" w:usb2="00000000" w:usb3="00000000" w:csb0="00060000" w:csb1="00000000"/>
  </w:font>
  <w:font w:name="报隶-简">
    <w:altName w:val="隶书"/>
    <w:panose1 w:val="02010600040101010101"/>
    <w:charset w:val="86"/>
    <w:family w:val="auto"/>
    <w:pitch w:val="default"/>
    <w:sig w:usb0="00000000" w:usb1="00000000" w:usb2="00000000" w:usb3="00000000" w:csb0="00160000" w:csb1="00000000"/>
  </w:font>
  <w:font w:name="汉仪楷体简">
    <w:altName w:val="楷体_GB2312"/>
    <w:panose1 w:val="02010600000101010101"/>
    <w:charset w:val="86"/>
    <w:family w:val="auto"/>
    <w:pitch w:val="default"/>
    <w:sig w:usb0="00000000" w:usb1="00000000" w:usb2="00000000" w:usb3="00000000" w:csb0="00060000" w:csb1="00000000"/>
  </w:font>
  <w:font w:name="汉仪中等线KW">
    <w:altName w:val="宋体"/>
    <w:panose1 w:val="01010104010101010101"/>
    <w:charset w:val="86"/>
    <w:family w:val="auto"/>
    <w:pitch w:val="default"/>
    <w:sig w:usb0="00000000" w:usb1="00000000" w:usb2="00000000" w:usb3="00000000" w:csb0="00160000" w:csb1="00000000"/>
  </w:font>
  <w:font w:name="宋体-简">
    <w:altName w:val="宋体"/>
    <w:panose1 w:val="02010600040101010101"/>
    <w:charset w:val="86"/>
    <w:family w:val="auto"/>
    <w:pitch w:val="default"/>
    <w:sig w:usb0="00000000" w:usb1="00000000" w:usb2="00000000" w:usb3="00000000" w:csb0="00160000" w:csb1="00000000"/>
  </w:font>
  <w:font w:name="Kingsoft Sign">
    <w:altName w:val="Segoe Print"/>
    <w:panose1 w:val="05050102010706020507"/>
    <w:charset w:val="00"/>
    <w:family w:val="auto"/>
    <w:pitch w:val="default"/>
    <w:sig w:usb0="00000000" w:usb1="00000000" w:usb2="00000000" w:usb3="00000000" w:csb0="00000000" w:csb1="00000000"/>
  </w:font>
  <w:font w:name="方正书宋_GBK">
    <w:altName w:val="Arial Unicode MS"/>
    <w:panose1 w:val="02000000000000000000"/>
    <w:charset w:val="86"/>
    <w:family w:val="auto"/>
    <w:pitch w:val="default"/>
    <w:sig w:usb0="00000000" w:usb1="00000000" w:usb2="00000000" w:usb3="00000000" w:csb0="00160000" w:csb1="00000000"/>
  </w:font>
  <w:font w:name="汉仪楷体KW">
    <w:altName w:val="楷体_GB2312"/>
    <w:panose1 w:val="00020600040101010101"/>
    <w:charset w:val="86"/>
    <w:family w:val="auto"/>
    <w:pitch w:val="default"/>
    <w:sig w:usb0="00000000" w:usb1="00000000" w:usb2="00000000" w:usb3="00000000" w:csb0="00160000" w:csb1="00000000"/>
  </w:font>
  <w:font w:name="冬青黑体简体中文">
    <w:altName w:val="黑体"/>
    <w:panose1 w:val="020B0300000000000000"/>
    <w:charset w:val="86"/>
    <w:family w:val="auto"/>
    <w:pitch w:val="default"/>
    <w:sig w:usb0="00000000" w:usb1="00000000" w:usb2="00000000" w:usb3="00000000" w:csb0="00160000" w:csb1="00000000"/>
  </w:font>
  <w:font w:name="PingFang SC">
    <w:altName w:val="宋体"/>
    <w:panose1 w:val="020B0400000000000000"/>
    <w:charset w:val="86"/>
    <w:family w:val="auto"/>
    <w:pitch w:val="default"/>
    <w:sig w:usb0="00000000" w:usb1="00000000" w:usb2="00000000" w:usb3="00000000" w:csb0="00160000" w:csb1="00000000"/>
  </w:font>
  <w:font w:name="Corbel">
    <w:panose1 w:val="020B0503020204020204"/>
    <w:charset w:val="00"/>
    <w:family w:val="auto"/>
    <w:pitch w:val="default"/>
    <w:sig w:usb0="A00002EF" w:usb1="4000A44B" w:usb2="00000000" w:usb3="00000000" w:csb0="2000019F" w:csb1="00000000"/>
  </w:font>
  <w:font w:name="Segoe UI Semilight">
    <w:panose1 w:val="020B0402040204020203"/>
    <w:charset w:val="00"/>
    <w:family w:val="auto"/>
    <w:pitch w:val="default"/>
    <w:sig w:usb0="E4002EFF" w:usb1="C000E47F"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MT Extra">
    <w:panose1 w:val="05050102010205020202"/>
    <w:charset w:val="02"/>
    <w:family w:val="roman"/>
    <w:pitch w:val="default"/>
    <w:sig w:usb0="80000000" w:usb1="00000000" w:usb2="00000000" w:usb3="00000000" w:csb0="00000000" w:csb1="00000000"/>
  </w:font>
  <w:font w:name="方正舒体">
    <w:panose1 w:val="02010601030101010101"/>
    <w:charset w:val="86"/>
    <w:family w:val="auto"/>
    <w:pitch w:val="default"/>
    <w:sig w:usb0="00000003" w:usb1="080E0000" w:usb2="00000000" w:usb3="00000000" w:csb0="00040000" w:csb1="00000000"/>
  </w:font>
  <w:font w:name="Futura Bk">
    <w:altName w:val="Segoe Print"/>
    <w:panose1 w:val="00000000000000000000"/>
    <w:charset w:val="B1"/>
    <w:family w:val="swiss"/>
    <w:pitch w:val="default"/>
    <w:sig w:usb0="00000000" w:usb1="00000000" w:usb2="00000000" w:usb3="00000000" w:csb0="000001FB" w:csb1="00000000"/>
  </w:font>
  <w:font w:name="Source Sans Pro Light">
    <w:altName w:val="Malgun Gothic"/>
    <w:panose1 w:val="020B0403030403020204"/>
    <w:charset w:val="00"/>
    <w:family w:val="auto"/>
    <w:pitch w:val="default"/>
    <w:sig w:usb0="00000000" w:usb1="00000000" w:usb2="00000000" w:usb3="00000000" w:csb0="2000019F" w:csb1="00000000"/>
  </w:font>
  <w:font w:name="Yu Gothic UI Semilight">
    <w:panose1 w:val="020B0400000000000000"/>
    <w:charset w:val="80"/>
    <w:family w:val="auto"/>
    <w:pitch w:val="default"/>
    <w:sig w:usb0="E00002FF" w:usb1="2AC7FDFF" w:usb2="00000016" w:usb3="00000000" w:csb0="2002009F" w:csb1="00000000"/>
  </w:font>
  <w:font w:name="方正美黑简体">
    <w:altName w:val="黑体"/>
    <w:panose1 w:val="03000509000000000000"/>
    <w:charset w:val="86"/>
    <w:family w:val="script"/>
    <w:pitch w:val="default"/>
    <w:sig w:usb0="00000000" w:usb1="00000000" w:usb2="0000001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FuturaA Bk BT">
    <w:altName w:val="Segoe Print"/>
    <w:panose1 w:val="00000000000000000000"/>
    <w:charset w:val="00"/>
    <w:family w:val="swiss"/>
    <w:pitch w:val="default"/>
    <w:sig w:usb0="00000000" w:usb1="00000000" w:usb2="00000000" w:usb3="00000000" w:csb0="0000001B" w:csb1="00000000"/>
  </w:font>
  <w:font w:name="Garamond">
    <w:panose1 w:val="02020404030301010803"/>
    <w:charset w:val="00"/>
    <w:family w:val="roman"/>
    <w:pitch w:val="default"/>
    <w:sig w:usb0="00000287" w:usb1="00000000" w:usb2="00000000" w:usb3="00000000" w:csb0="0000009F" w:csb1="DFD70000"/>
  </w:font>
  <w:font w:name="方正艺黑简体">
    <w:altName w:val="黑体"/>
    <w:panose1 w:val="03000509000000000000"/>
    <w:charset w:val="86"/>
    <w:family w:val="script"/>
    <w:pitch w:val="default"/>
    <w:sig w:usb0="00000000" w:usb1="00000000" w:usb2="00000010" w:usb3="00000000" w:csb0="00040000" w:csb1="00000000"/>
  </w:font>
  <w:font w:name="Book Antiqua">
    <w:panose1 w:val="02040602050305030304"/>
    <w:charset w:val="00"/>
    <w:family w:val="roman"/>
    <w:pitch w:val="default"/>
    <w:sig w:usb0="00000287" w:usb1="00000000" w:usb2="00000000" w:usb3="00000000" w:csb0="2000009F" w:csb1="DFD70000"/>
  </w:font>
  <w:font w:name="全真中明體">
    <w:altName w:val="MingLiU-ExtB"/>
    <w:panose1 w:val="00000000000000000000"/>
    <w:charset w:val="88"/>
    <w:family w:val="modern"/>
    <w:pitch w:val="default"/>
    <w:sig w:usb0="00000000" w:usb1="00000000" w:usb2="00000010" w:usb3="00000000" w:csb0="00100000" w:csb1="00000000"/>
  </w:font>
  <w:font w:name="Univers">
    <w:altName w:val="Segoe Print"/>
    <w:panose1 w:val="00000000000000000000"/>
    <w:charset w:val="00"/>
    <w:family w:val="swiss"/>
    <w:pitch w:val="default"/>
    <w:sig w:usb0="00000000" w:usb1="00000000" w:usb2="00000000" w:usb3="00000000" w:csb0="0000000F" w:csb1="00000000"/>
  </w:font>
  <w:font w:name="MingLiU-ExtB">
    <w:panose1 w:val="02020500000000000000"/>
    <w:charset w:val="88"/>
    <w:family w:val="auto"/>
    <w:pitch w:val="default"/>
    <w:sig w:usb0="8000002F" w:usb1="02000008" w:usb2="00000000" w:usb3="00000000" w:csb0="00100001" w:csb1="00000000"/>
  </w:font>
  <w:font w:name="方正黑体简体">
    <w:panose1 w:val="02010601030101010101"/>
    <w:charset w:val="86"/>
    <w:family w:val="auto"/>
    <w:pitch w:val="default"/>
    <w:sig w:usb0="00000001" w:usb1="080E0000" w:usb2="00000000" w:usb3="00000000" w:csb0="00040000" w:csb1="00000000"/>
  </w:font>
  <w:font w:name="Vrinda">
    <w:altName w:val="Segoe UI Symbol"/>
    <w:panose1 w:val="020B0502040204020203"/>
    <w:charset w:val="00"/>
    <w:family w:val="auto"/>
    <w:pitch w:val="default"/>
    <w:sig w:usb0="00000000" w:usb1="00000000" w:usb2="00000000" w:usb3="00000000" w:csb0="00000001" w:csb1="00000000"/>
  </w:font>
  <w:font w:name="FuturaA Bk BT">
    <w:altName w:val="Segoe Print"/>
    <w:panose1 w:val="00000000000000000000"/>
    <w:charset w:val="01"/>
    <w:family w:val="auto"/>
    <w:pitch w:val="default"/>
    <w:sig w:usb0="00000000" w:usb1="00000000" w:usb2="00000000" w:usb3="00000000" w:csb0="0000001B" w:csb1="00000000"/>
  </w:font>
  <w:font w:name="Kingsoft Confetti">
    <w:altName w:val="Segoe Print"/>
    <w:panose1 w:val="05000000000000000000"/>
    <w:charset w:val="00"/>
    <w:family w:val="auto"/>
    <w:pitch w:val="default"/>
    <w:sig w:usb0="00000000" w:usb1="00000000" w:usb2="00000000" w:usb3="00000000" w:csb0="80000000" w:csb1="00000000"/>
  </w:font>
  <w:font w:name="方正小标宋_GBK">
    <w:altName w:val="微软雅黑"/>
    <w:panose1 w:val="03000509000000000000"/>
    <w:charset w:val="86"/>
    <w:family w:val="auto"/>
    <w:pitch w:val="default"/>
    <w:sig w:usb0="00000000" w:usb1="00000000" w:usb2="00000000" w:usb3="00000000" w:csb0="00040000" w:csb1="00000000"/>
  </w:font>
  <w:font w:name="小标宋">
    <w:altName w:val="微软雅黑"/>
    <w:panose1 w:val="03000509000000000000"/>
    <w:charset w:val="86"/>
    <w:family w:val="auto"/>
    <w:pitch w:val="default"/>
    <w:sig w:usb0="00000000" w:usb1="00000000" w:usb2="00000000" w:usb3="00000000" w:csb0="00040000" w:csb1="00000000"/>
  </w:font>
  <w:font w:name="汉仪仿宋KW">
    <w:altName w:val="仿宋"/>
    <w:panose1 w:val="00020600040101010101"/>
    <w:charset w:val="86"/>
    <w:family w:val="auto"/>
    <w:pitch w:val="default"/>
    <w:sig w:usb0="00000000" w:usb1="00000000" w:usb2="00000016" w:usb3="00000000" w:csb0="00040000" w:csb1="00000000"/>
  </w:font>
  <w:font w:name="HakusyuSousyo_kk">
    <w:altName w:val="MS UI Gothic"/>
    <w:panose1 w:val="02000609000000000000"/>
    <w:charset w:val="80"/>
    <w:family w:val="auto"/>
    <w:pitch w:val="default"/>
    <w:sig w:usb0="00000000" w:usb1="00000000" w:usb2="00000010" w:usb3="00000000" w:csb0="4002009F" w:csb1="DFD70000"/>
  </w:font>
  <w:font w:name="MS UI Gothic">
    <w:panose1 w:val="020B0600070205080204"/>
    <w:charset w:val="80"/>
    <w:family w:val="auto"/>
    <w:pitch w:val="default"/>
    <w:sig w:usb0="E00002FF" w:usb1="6AC7FDFB" w:usb2="08000012" w:usb3="00000000" w:csb0="4002009F" w:csb1="DFD70000"/>
  </w:font>
  <w:font w:name="GulimChe">
    <w:altName w:val="Malgun Gothic"/>
    <w:panose1 w:val="020B0609000101010101"/>
    <w:charset w:val="81"/>
    <w:family w:val="modern"/>
    <w:pitch w:val="default"/>
    <w:sig w:usb0="00000000" w:usb1="00000000" w:usb2="00000030" w:usb3="00000000" w:csb0="4008009F" w:csb1="DFD70000"/>
  </w:font>
  <w:font w:name="ヒラギノ角ゴ Pro W3">
    <w:altName w:val="Times New Roman"/>
    <w:panose1 w:val="00000000000000000000"/>
    <w:charset w:val="00"/>
    <w:family w:val="roman"/>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
    <w:altName w:val="Times New Roman"/>
    <w:panose1 w:val="00000000000000000000"/>
    <w:charset w:val="00"/>
    <w:family w:val="roman"/>
    <w:pitch w:val="default"/>
    <w:sig w:usb0="00000000" w:usb1="00000000" w:usb2="00000000" w:usb3="00000000" w:csb0="00000001" w:csb1="00000000"/>
  </w:font>
  <w:font w:name="MS Mincho">
    <w:panose1 w:val="02020609040205080304"/>
    <w:charset w:val="80"/>
    <w:family w:val="modern"/>
    <w:pitch w:val="default"/>
    <w:sig w:usb0="A00002BF" w:usb1="68C7FCFB" w:usb2="00000010" w:usb3="00000000" w:csb0="4002009F" w:csb1="DFD70000"/>
  </w:font>
  <w:font w:name="Nimbus Roman No9 L">
    <w:altName w:val="Segoe Print"/>
    <w:panose1 w:val="00000000000000000000"/>
    <w:charset w:val="00"/>
    <w:family w:val="auto"/>
    <w:pitch w:val="default"/>
    <w:sig w:usb0="00000000" w:usb1="00000000" w:usb2="00000000" w:usb3="00000000" w:csb0="00000000" w:csb1="00000000"/>
  </w:font>
  <w:font w:name="DejaVu Sans">
    <w:altName w:val="Segoe Print"/>
    <w:panose1 w:val="020B0603030804020204"/>
    <w:charset w:val="00"/>
    <w:family w:val="auto"/>
    <w:pitch w:val="default"/>
    <w:sig w:usb0="00000000" w:usb1="00000000" w:usb2="0A246029" w:usb3="0400200C" w:csb0="600001FF" w:csb1="DFFF0000"/>
  </w:font>
  <w:font w:name="书体坊于右任标准草书">
    <w:altName w:val="宋体"/>
    <w:panose1 w:val="02010600030101010101"/>
    <w:charset w:val="86"/>
    <w:family w:val="auto"/>
    <w:pitch w:val="default"/>
    <w:sig w:usb0="00000000" w:usb1="00000000" w:usb2="00000000" w:usb3="00000000" w:csb0="00040001" w:csb1="00000000"/>
  </w:font>
  <w:font w:name="Angsana New">
    <w:altName w:val="Microsoft Sans Serif"/>
    <w:panose1 w:val="02020603050405020304"/>
    <w:charset w:val="DE"/>
    <w:family w:val="roman"/>
    <w:pitch w:val="default"/>
    <w:sig w:usb0="00000000" w:usb1="00000000" w:usb2="00000000" w:usb3="00000000" w:csb0="00010001" w:csb1="00000000"/>
  </w:font>
  <w:font w:name="Times Roman">
    <w:altName w:val="Times New Roman"/>
    <w:panose1 w:val="00000000000000000000"/>
    <w:charset w:val="00"/>
    <w:family w:val="roman"/>
    <w:pitch w:val="default"/>
    <w:sig w:usb0="00000000" w:usb1="00000000" w:usb2="00000000" w:usb3="00000000" w:csb0="00000001" w:csb1="00000000"/>
  </w:font>
  <w:font w:name="Microsoft Sans Serif">
    <w:panose1 w:val="020B0604020202020204"/>
    <w:charset w:val="00"/>
    <w:family w:val="auto"/>
    <w:pitch w:val="default"/>
    <w:sig w:usb0="E5002EFF" w:usb1="C000605B" w:usb2="00000029" w:usb3="00000000" w:csb0="200101FF" w:csb1="20280000"/>
  </w:font>
  <w:font w:name=".......">
    <w:altName w:val="宋体"/>
    <w:panose1 w:val="00000000000000000000"/>
    <w:charset w:val="86"/>
    <w:family w:val="auto"/>
    <w:pitch w:val="default"/>
    <w:sig w:usb0="00000000" w:usb1="00000000" w:usb2="00000010" w:usb3="00000000" w:csb0="00040000" w:csb1="00000000"/>
  </w:font>
  <w:font w:name="Century">
    <w:panose1 w:val="02040604050505020304"/>
    <w:charset w:val="00"/>
    <w:family w:val="auto"/>
    <w:pitch w:val="default"/>
    <w:sig w:usb0="00000287" w:usb1="00000000" w:usb2="00000000" w:usb3="00000000" w:csb0="2000009F" w:csb1="DFD70000"/>
  </w:font>
  <w:font w:name="Meiryo UI">
    <w:altName w:val="Yu Gothic UI"/>
    <w:panose1 w:val="020B0604030504040204"/>
    <w:charset w:val="80"/>
    <w:family w:val="auto"/>
    <w:pitch w:val="default"/>
    <w:sig w:usb0="00000000" w:usb1="00000000" w:usb2="00010012" w:usb3="00000000" w:csb0="6002009F" w:csb1="DFD70000"/>
  </w:font>
  <w:font w:name="Nyala">
    <w:altName w:val="Yu Gothic UI"/>
    <w:panose1 w:val="02000504070300020003"/>
    <w:charset w:val="00"/>
    <w:family w:val="auto"/>
    <w:pitch w:val="default"/>
    <w:sig w:usb0="00000000" w:usb1="00000000" w:usb2="00000800" w:usb3="00000000" w:csb0="00000093" w:csb1="00000000"/>
  </w:font>
  <w:font w:name="Yu Gothic UI">
    <w:panose1 w:val="020B0500000000000000"/>
    <w:charset w:val="80"/>
    <w:family w:val="auto"/>
    <w:pitch w:val="default"/>
    <w:sig w:usb0="E00002FF" w:usb1="2AC7FDFF" w:usb2="00000016" w:usb3="00000000" w:csb0="2002009F" w:csb1="00000000"/>
  </w:font>
  <w:font w:name="Wingdings">
    <w:panose1 w:val="05000000000000000000"/>
    <w:charset w:val="00"/>
    <w:family w:val="auto"/>
    <w:pitch w:val="default"/>
    <w:sig w:usb0="00000000" w:usb1="00000000" w:usb2="00000000" w:usb3="00000000" w:csb0="80000000" w:csb1="00000000"/>
  </w:font>
  <w:font w:name="Monospace">
    <w:altName w:val="Arial Unicode MS"/>
    <w:panose1 w:val="00000000000000000000"/>
    <w:charset w:val="00"/>
    <w:family w:val="auto"/>
    <w:pitch w:val="default"/>
    <w:sig w:usb0="00000000" w:usb1="00000000" w:usb2="00000000" w:usb3="00000000" w:csb0="00040001" w:csb1="00000000"/>
  </w:font>
  <w:font w:name="华文隶书">
    <w:panose1 w:val="02010800040101010101"/>
    <w:charset w:val="86"/>
    <w:family w:val="auto"/>
    <w:pitch w:val="default"/>
    <w:sig w:usb0="00000001" w:usb1="080F0000" w:usb2="00000000" w:usb3="00000000" w:csb0="00040000" w:csb1="00000000"/>
  </w:font>
  <w:font w:name="Calibri">
    <w:panose1 w:val="020F0502020204030204"/>
    <w:charset w:val="86"/>
    <w:family w:val="swiss"/>
    <w:pitch w:val="default"/>
    <w:sig w:usb0="E4002EFF" w:usb1="C200247B" w:usb2="00000009" w:usb3="00000000" w:csb0="200001FF" w:csb1="00000000"/>
  </w:font>
  <w:font w:name="Songti SC">
    <w:altName w:val="微软雅黑"/>
    <w:panose1 w:val="00000000000000000000"/>
    <w:charset w:val="00"/>
    <w:family w:val="auto"/>
    <w:pitch w:val="default"/>
    <w:sig w:usb0="00000000" w:usb1="00000000" w:usb2="00000010" w:usb3="00000000" w:csb0="0004009F" w:csb1="00000000"/>
  </w:font>
  <w:font w:name="@(使用中文字体)">
    <w:altName w:val="@宋体"/>
    <w:panose1 w:val="00000000000000000000"/>
    <w:charset w:val="86"/>
    <w:family w:val="roman"/>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Frutiger-Bold">
    <w:altName w:val="Times New Roman"/>
    <w:panose1 w:val="00000000000000000000"/>
    <w:charset w:val="00"/>
    <w:family w:val="auto"/>
    <w:pitch w:val="default"/>
    <w:sig w:usb0="00000000" w:usb1="00000000" w:usb2="00000000" w:usb3="00000000" w:csb0="00000009" w:csb1="00000000"/>
  </w:font>
  <w:font w:name="Frutiger-Roman">
    <w:altName w:val="Times New Roman"/>
    <w:panose1 w:val="00000000000000000000"/>
    <w:charset w:val="00"/>
    <w:family w:val="auto"/>
    <w:pitch w:val="default"/>
    <w:sig w:usb0="00000000" w:usb1="00000000" w:usb2="00000000" w:usb3="00000000" w:csb0="00000009" w:csb1="00000000"/>
  </w:font>
  <w:font w:name="寰蒋闆呴粦">
    <w:altName w:val="微软雅黑"/>
    <w:panose1 w:val="00000000000000000000"/>
    <w:charset w:val="01"/>
    <w:family w:val="auto"/>
    <w:pitch w:val="default"/>
    <w:sig w:usb0="00000000" w:usb1="00000000" w:usb2="00000000" w:usb3="00000000" w:csb0="00040001" w:csb1="00000000"/>
  </w:font>
  <w:font w:name="Cambria Math">
    <w:panose1 w:val="02040503050406030204"/>
    <w:charset w:val="00"/>
    <w:family w:val="roman"/>
    <w:pitch w:val="default"/>
    <w:sig w:usb0="E00006FF" w:usb1="420024FF" w:usb2="02000000" w:usb3="00000000" w:csb0="2000019F" w:csb1="00000000"/>
  </w:font>
  <w:font w:name="Palatino">
    <w:altName w:val="Palatino Linotype"/>
    <w:panose1 w:val="02040602050305020304"/>
    <w:charset w:val="00"/>
    <w:family w:val="roman"/>
    <w:pitch w:val="default"/>
    <w:sig w:usb0="00000000" w:usb1="00000000" w:usb2="00000000" w:usb3="00000000" w:csb0="00000093" w:csb1="00000000"/>
  </w:font>
  <w:font w:name="Tms Rmn">
    <w:altName w:val="Segoe Print"/>
    <w:panose1 w:val="02020603040505020304"/>
    <w:charset w:val="00"/>
    <w:family w:val="roman"/>
    <w:pitch w:val="default"/>
    <w:sig w:usb0="00000000" w:usb1="00000000" w:usb2="00000000" w:usb3="00000000" w:csb0="00000001" w:csb1="00000000"/>
  </w:font>
  <w:font w:name="DFKai-SB">
    <w:altName w:val="Microsoft JhengHei Light"/>
    <w:panose1 w:val="03000509000000000000"/>
    <w:charset w:val="88"/>
    <w:family w:val="script"/>
    <w:pitch w:val="default"/>
    <w:sig w:usb0="00000000" w:usb1="00000000" w:usb2="00000016" w:usb3="00000000" w:csb0="00100001" w:csb1="00000000"/>
  </w:font>
  <w:font w:name="BatangChe">
    <w:altName w:val="Malgun Gothic"/>
    <w:panose1 w:val="02030609000101010101"/>
    <w:charset w:val="81"/>
    <w:family w:val="modern"/>
    <w:pitch w:val="default"/>
    <w:sig w:usb0="00000000" w:usb1="00000000" w:usb2="00000030" w:usb3="00000000" w:csb0="4008009F" w:csb1="DFD70000"/>
  </w:font>
  <w:font w:name="金桥简黑体">
    <w:altName w:val="黑体"/>
    <w:panose1 w:val="00000000000000000000"/>
    <w:charset w:val="86"/>
    <w:family w:val="auto"/>
    <w:pitch w:val="default"/>
    <w:sig w:usb0="00000000" w:usb1="00000000" w:usb2="00000010" w:usb3="00000000" w:csb0="0004000A" w:csb1="00000000"/>
  </w:font>
  <w:font w:name="长城仿宋">
    <w:altName w:val="Courier New"/>
    <w:panose1 w:val="02070309020205020404"/>
    <w:charset w:val="00"/>
    <w:family w:val="modern"/>
    <w:pitch w:val="default"/>
    <w:sig w:usb0="00000000" w:usb1="00000000" w:usb2="00000000" w:usb3="00000000" w:csb0="00040001" w:csb1="00000000"/>
  </w:font>
  <w:font w:name="..">
    <w:altName w:val="宋体"/>
    <w:panose1 w:val="00000000000000000000"/>
    <w:charset w:val="86"/>
    <w:family w:val="auto"/>
    <w:pitch w:val="default"/>
    <w:sig w:usb0="00000000" w:usb1="00000000" w:usb2="00000010" w:usb3="00000000" w:csb0="00040000" w:csb1="00000000"/>
  </w:font>
  <w:font w:name="Times">
    <w:altName w:val="Times New Roman"/>
    <w:panose1 w:val="02020603050405020304"/>
    <w:charset w:val="00"/>
    <w:family w:val="roman"/>
    <w:pitch w:val="default"/>
    <w:sig w:usb0="00000000" w:usb1="00000000" w:usb2="00000000" w:usb3="00000000" w:csb0="00000093" w:csb1="00000000"/>
  </w:font>
  <w:font w:name="Georgia">
    <w:panose1 w:val="02040502050405020303"/>
    <w:charset w:val="00"/>
    <w:family w:val="roman"/>
    <w:pitch w:val="default"/>
    <w:sig w:usb0="00000287" w:usb1="00000000" w:usb2="00000000" w:usb3="00000000" w:csb0="2000009F" w:csb1="00000000"/>
  </w:font>
  <w:font w:name="Arial Bold">
    <w:altName w:val="Arial"/>
    <w:panose1 w:val="020B0704020202020204"/>
    <w:charset w:val="00"/>
    <w:family w:val="swiss"/>
    <w:pitch w:val="default"/>
    <w:sig w:usb0="00000000" w:usb1="00000000" w:usb2="00000000" w:usb3="00000000" w:csb0="000000FF" w:csb1="00000000"/>
  </w:font>
  <w:font w:name="Traditional Arabic">
    <w:altName w:val="Times New Roman"/>
    <w:panose1 w:val="02020603050405020304"/>
    <w:charset w:val="00"/>
    <w:family w:val="roman"/>
    <w:pitch w:val="default"/>
    <w:sig w:usb0="00000000" w:usb1="00000000" w:usb2="00000008" w:usb3="00000000" w:csb0="00000041" w:csb1="20080000"/>
  </w:font>
  <w:font w:name="Arial Black">
    <w:panose1 w:val="020B0A04020102020204"/>
    <w:charset w:val="00"/>
    <w:family w:val="swiss"/>
    <w:pitch w:val="default"/>
    <w:sig w:usb0="A00002AF" w:usb1="400078FB" w:usb2="00000000" w:usb3="00000000" w:csb0="6000009F" w:csb1="DFD70000"/>
  </w:font>
  <w:font w:name="潨㡳㍹:">
    <w:altName w:val="Courier New"/>
    <w:panose1 w:val="00000000000000000000"/>
    <w:charset w:val="00"/>
    <w:family w:val="roman"/>
    <w:pitch w:val="default"/>
    <w:sig w:usb0="00000000" w:usb1="00000000" w:usb2="00000000" w:usb3="FFFFFFFF" w:csb0="00000001" w:csb1="00000000"/>
  </w:font>
  <w:font w:name="MingLiU">
    <w:altName w:val="PMingLiU-ExtB"/>
    <w:panose1 w:val="02020509000000000000"/>
    <w:charset w:val="88"/>
    <w:family w:val="modern"/>
    <w:pitch w:val="default"/>
    <w:sig w:usb0="00000000" w:usb1="00000000" w:usb2="00000016" w:usb3="00000000" w:csb0="00100001" w:csb1="00000000"/>
  </w:font>
  <w:font w:name="五">
    <w:altName w:val="黑体"/>
    <w:panose1 w:val="00000000000000000000"/>
    <w:charset w:val="86"/>
    <w:family w:val="auto"/>
    <w:pitch w:val="default"/>
    <w:sig w:usb0="00000000" w:usb1="00000000" w:usb2="00000010" w:usb3="00000000" w:csb0="00040000" w:csb1="00000000"/>
  </w:font>
  <w:font w:name="宋">
    <w:altName w:val="宋体"/>
    <w:panose1 w:val="00000000000000000000"/>
    <w:charset w:val="86"/>
    <w:family w:val="roman"/>
    <w:pitch w:val="default"/>
    <w:sig w:usb0="00000000" w:usb1="00000000" w:usb2="00000000" w:usb3="00000000" w:csb0="00040001" w:csb1="00000000"/>
  </w:font>
  <w:font w:name="Century Schoolbook">
    <w:altName w:val="Century"/>
    <w:panose1 w:val="02040604050505020304"/>
    <w:charset w:val="00"/>
    <w:family w:val="roman"/>
    <w:pitch w:val="default"/>
    <w:sig w:usb0="00000000" w:usb1="00000000" w:usb2="00000000" w:usb3="00000000" w:csb0="0000009F" w:csb1="00000000"/>
  </w:font>
  <w:font w:name="Mangal">
    <w:altName w:val="Segoe Print"/>
    <w:panose1 w:val="02040503050203030202"/>
    <w:charset w:val="00"/>
    <w:family w:val="roman"/>
    <w:pitch w:val="default"/>
    <w:sig w:usb0="00000000" w:usb1="00000000" w:usb2="00000000" w:usb3="00000000" w:csb0="00000001" w:csb1="00000000"/>
  </w:font>
  <w:font w:name="華康中楷體">
    <w:altName w:val="Microsoft JhengHei"/>
    <w:panose1 w:val="00000000000000000000"/>
    <w:charset w:val="88"/>
    <w:family w:val="modern"/>
    <w:pitch w:val="default"/>
    <w:sig w:usb0="00000000" w:usb1="00000000" w:usb2="00000010" w:usb3="00000000" w:csb0="00100000" w:csb1="00000000"/>
  </w:font>
  <w:font w:name="Gill Sans">
    <w:altName w:val="Lucida Sans Unicode"/>
    <w:panose1 w:val="00000000000000000000"/>
    <w:charset w:val="00"/>
    <w:family w:val="swiss"/>
    <w:pitch w:val="default"/>
    <w:sig w:usb0="00000000" w:usb1="00000000" w:usb2="00000000" w:usb3="00000000" w:csb0="00000001" w:csb1="00000000"/>
  </w:font>
  <w:font w:name="Arail">
    <w:altName w:val="微软雅黑"/>
    <w:panose1 w:val="00000000000000000000"/>
    <w:charset w:val="00"/>
    <w:family w:val="auto"/>
    <w:pitch w:val="default"/>
    <w:sig w:usb0="00000000" w:usb1="00000000" w:usb2="00000000" w:usb3="00000000" w:csb0="00040001" w:csb1="00000000"/>
  </w:font>
  <w:font w:name="Lucida Console">
    <w:panose1 w:val="020B0609040504020204"/>
    <w:charset w:val="00"/>
    <w:family w:val="modern"/>
    <w:pitch w:val="default"/>
    <w:sig w:usb0="8000028F" w:usb1="00001800" w:usb2="00000000" w:usb3="00000000" w:csb0="0000001F" w:csb1="D7D70000"/>
  </w:font>
  <w:font w:name="宋体-PUA">
    <w:altName w:val="宋体"/>
    <w:panose1 w:val="00000000000000000000"/>
    <w:charset w:val="86"/>
    <w:family w:val="auto"/>
    <w:pitch w:val="default"/>
    <w:sig w:usb0="00000000" w:usb1="00000000" w:usb2="00000010" w:usb3="00000000" w:csb0="00040000" w:csb1="00000000"/>
  </w:font>
  <w:font w:name="Palatino Linotype">
    <w:panose1 w:val="02040502050505030304"/>
    <w:charset w:val="00"/>
    <w:family w:val="auto"/>
    <w:pitch w:val="default"/>
    <w:sig w:usb0="E0000287" w:usb1="40000013" w:usb2="00000000" w:usb3="00000000" w:csb0="2000019F" w:csb1="00000000"/>
  </w:font>
  <w:font w:name="Microsoft JhengHei Light">
    <w:panose1 w:val="020B0304030504040204"/>
    <w:charset w:val="88"/>
    <w:family w:val="auto"/>
    <w:pitch w:val="default"/>
    <w:sig w:usb0="800002A7" w:usb1="28CF4400" w:usb2="00000016" w:usb3="00000000" w:csb0="00100009" w:csb1="00000000"/>
  </w:font>
  <w:font w:name="Microsoft JhengHei">
    <w:panose1 w:val="020B0604030504040204"/>
    <w:charset w:val="88"/>
    <w:family w:val="auto"/>
    <w:pitch w:val="default"/>
    <w:sig w:usb0="000002A7" w:usb1="28CF4400" w:usb2="00000016" w:usb3="00000000" w:csb0="00100009" w:csb1="00000000"/>
  </w:font>
  <w:font w:name="Arial">
    <w:panose1 w:val="020B0604020202020204"/>
    <w:charset w:val="CC"/>
    <w:family w:val="swiss"/>
    <w:pitch w:val="default"/>
    <w:sig w:usb0="E0002EFF" w:usb1="C000785B" w:usb2="00000009" w:usb3="00000000" w:csb0="400001FF" w:csb1="FFFF0000"/>
  </w:font>
  <w:font w:name="Calibri">
    <w:panose1 w:val="020F0502020204030204"/>
    <w:charset w:val="CC"/>
    <w:family w:val="swiss"/>
    <w:pitch w:val="default"/>
    <w:sig w:usb0="E4002EFF" w:usb1="C200247B" w:usb2="00000009" w:usb3="00000000" w:csb0="200001FF" w:csb1="00000000"/>
  </w:font>
  <w:font w:name="Cambria Math">
    <w:panose1 w:val="02040503050406030204"/>
    <w:charset w:val="CC"/>
    <w:family w:val="roman"/>
    <w:pitch w:val="default"/>
    <w:sig w:usb0="E00006FF" w:usb1="420024FF" w:usb2="02000000" w:usb3="00000000" w:csb0="2000019F" w:csb1="00000000"/>
  </w:font>
  <w:font w:name="WLSMWL+FZXBSJW--GB1-0">
    <w:altName w:val="Palatino Linotype"/>
    <w:panose1 w:val="02000500000000000000"/>
    <w:charset w:val="01"/>
    <w:family w:val="auto"/>
    <w:pitch w:val="default"/>
    <w:sig w:usb0="00000000" w:usb1="00000000" w:usb2="01010101" w:usb3="01010101" w:csb0="01010101" w:csb1="01010101"/>
  </w:font>
  <w:font w:name="KaiTi_GB2312">
    <w:altName w:val="Segoe Print"/>
    <w:panose1 w:val="00000000000000000000"/>
    <w:charset w:val="01"/>
    <w:family w:val="auto"/>
    <w:pitch w:val="default"/>
    <w:sig w:usb0="00000000" w:usb1="00000000" w:usb2="01010101" w:usb3="01010101" w:csb0="01010101" w:csb1="01010101"/>
  </w:font>
  <w:font w:name="FangSong_GB2312">
    <w:altName w:val="仿宋_GB2312"/>
    <w:panose1 w:val="00000000000000000000"/>
    <w:charset w:val="01"/>
    <w:family w:val="auto"/>
    <w:pitch w:val="default"/>
    <w:sig w:usb0="00000000" w:usb1="00000000" w:usb2="01010101" w:usb3="01010101" w:csb0="01010101" w:csb1="01010101"/>
  </w:font>
  <w:font w:name="EOHECK+TimesNewRomanPSMT">
    <w:altName w:val="Palatino Linotype"/>
    <w:panose1 w:val="02000500000000000000"/>
    <w:charset w:val="01"/>
    <w:family w:val="auto"/>
    <w:pitch w:val="default"/>
    <w:sig w:usb0="00000000" w:usb1="00000000" w:usb2="01010101" w:usb3="01010101" w:csb0="01010101" w:csb1="01010101"/>
  </w:font>
  <w:font w:name="PFTGKL+TimesNewRomanPSMT">
    <w:altName w:val="Palatino Linotype"/>
    <w:panose1 w:val="02000500000000000000"/>
    <w:charset w:val="01"/>
    <w:family w:val="auto"/>
    <w:pitch w:val="default"/>
    <w:sig w:usb0="00000000" w:usb1="00000000" w:usb2="01010101" w:usb3="01010101" w:csb0="01010101" w:csb1="01010101"/>
  </w:font>
  <w:font w:name="JGONSU+FZXBSJW--GB1-0">
    <w:altName w:val="Palatino Linotype"/>
    <w:panose1 w:val="02000500000000000000"/>
    <w:charset w:val="01"/>
    <w:family w:val="auto"/>
    <w:pitch w:val="default"/>
    <w:sig w:usb0="00000000" w:usb1="00000000" w:usb2="01010101" w:usb3="01010101" w:csb0="01010101" w:csb1="01010101"/>
  </w:font>
  <w:font w:name="PIFTVP+TimesNewRomanPSMT">
    <w:altName w:val="Palatino Linotype"/>
    <w:panose1 w:val="02000500000000000000"/>
    <w:charset w:val="01"/>
    <w:family w:val="auto"/>
    <w:pitch w:val="default"/>
    <w:sig w:usb0="00000000" w:usb1="00000000" w:usb2="01010101" w:usb3="01010101" w:csb0="01010101" w:csb1="01010101"/>
  </w:font>
  <w:font w:name="MTJARU+TimesNewRomanPSMT">
    <w:altName w:val="Palatino Linotype"/>
    <w:panose1 w:val="02000500000000000000"/>
    <w:charset w:val="01"/>
    <w:family w:val="auto"/>
    <w:pitch w:val="default"/>
    <w:sig w:usb0="00000000" w:usb1="00000000" w:usb2="01010101" w:usb3="01010101" w:csb0="01010101" w:csb1="01010101"/>
  </w:font>
  <w:font w:name="SIPQFO+FZXBSJW--GB1-0">
    <w:altName w:val="Palatino Linotype"/>
    <w:panose1 w:val="02000500000000000000"/>
    <w:charset w:val="01"/>
    <w:family w:val="auto"/>
    <w:pitch w:val="default"/>
    <w:sig w:usb0="00000000" w:usb1="00000000" w:usb2="01010101" w:usb3="01010101" w:csb0="01010101" w:csb1="01010101"/>
  </w:font>
  <w:font w:name="FVQUTG+TimesNewRomanPSMT">
    <w:altName w:val="Palatino Linotype"/>
    <w:panose1 w:val="02000500000000000000"/>
    <w:charset w:val="01"/>
    <w:family w:val="auto"/>
    <w:pitch w:val="default"/>
    <w:sig w:usb0="00000000" w:usb1="00000000" w:usb2="01010101" w:usb3="01010101" w:csb0="01010101" w:csb1="01010101"/>
  </w:font>
  <w:font w:name="RCWBPW+TimesNewRomanPSMT">
    <w:altName w:val="Palatino Linotype"/>
    <w:panose1 w:val="02000500000000000000"/>
    <w:charset w:val="01"/>
    <w:family w:val="auto"/>
    <w:pitch w:val="default"/>
    <w:sig w:usb0="00000000" w:usb1="00000000" w:usb2="01010101" w:usb3="01010101" w:csb0="01010101" w:csb1="01010101"/>
  </w:font>
  <w:font w:name="KUSDCG+ArialMT">
    <w:altName w:val="Palatino Linotype"/>
    <w:panose1 w:val="02000500000000000000"/>
    <w:charset w:val="01"/>
    <w:family w:val="auto"/>
    <w:pitch w:val="default"/>
    <w:sig w:usb0="00000000" w:usb1="00000000" w:usb2="01010101" w:usb3="01010101" w:csb0="01010101" w:csb1="01010101"/>
  </w:font>
  <w:font w:name="JPIQOA+TimesNewRomanPSMT">
    <w:altName w:val="Palatino Linotype"/>
    <w:panose1 w:val="02000500000000000000"/>
    <w:charset w:val="01"/>
    <w:family w:val="auto"/>
    <w:pitch w:val="default"/>
    <w:sig w:usb0="00000000" w:usb1="00000000" w:usb2="01010101" w:usb3="01010101" w:csb0="01010101" w:csb1="01010101"/>
  </w:font>
  <w:font w:name="Segoe UI Emoji">
    <w:panose1 w:val="020B0502040204020203"/>
    <w:charset w:val="00"/>
    <w:family w:val="auto"/>
    <w:pitch w:val="default"/>
    <w:sig w:usb0="00000001" w:usb1="02000000" w:usb2="08000000" w:usb3="00000000" w:csb0="00000001" w:csb1="00000000"/>
  </w:font>
  <w:font w:name="Segoe UI Emoji">
    <w:panose1 w:val="020B0502040204020203"/>
    <w:charset w:val="01"/>
    <w:family w:val="auto"/>
    <w:pitch w:val="default"/>
    <w:sig w:usb0="00000001" w:usb1="02000000" w:usb2="08000000" w:usb3="00000000" w:csb0="00000001" w:csb1="00000000"/>
  </w:font>
  <w:font w:name="Segoe Print">
    <w:panose1 w:val="02000600000000000000"/>
    <w:charset w:val="01"/>
    <w:family w:val="auto"/>
    <w:pitch w:val="default"/>
    <w:sig w:usb0="0000028F" w:usb1="00000000" w:usb2="00000000" w:usb3="00000000" w:csb0="2000009F" w:csb1="47010000"/>
  </w:font>
  <w:font w:name="Meiryo">
    <w:altName w:val="Yu Gothic UI"/>
    <w:panose1 w:val="020B0604030504040204"/>
    <w:charset w:val="80"/>
    <w:family w:val="auto"/>
    <w:pitch w:val="default"/>
    <w:sig w:usb0="00000000" w:usb1="00000000" w:usb2="00010012" w:usb3="00000000" w:csb0="6002009F" w:csb1="DFD70000"/>
  </w:font>
  <w:font w:name="MS PGothic">
    <w:panose1 w:val="020B0600070205080204"/>
    <w:charset w:val="80"/>
    <w:family w:val="auto"/>
    <w:pitch w:val="default"/>
    <w:sig w:usb0="E00002FF" w:usb1="6AC7FDFB" w:usb2="08000012" w:usb3="00000000" w:csb0="4002009F" w:csb1="DFD70000"/>
  </w:font>
  <w:font w:name="DejaVu Math TeX Gyre">
    <w:altName w:val="Corbel"/>
    <w:panose1 w:val="02000503000000000000"/>
    <w:charset w:val="00"/>
    <w:family w:val="auto"/>
    <w:pitch w:val="default"/>
    <w:sig w:usb0="00000000" w:usb1="00000000" w:usb2="02000000" w:usb3="00000000" w:csb0="60000193" w:csb1="0DD40000"/>
  </w:font>
  <w:font w:name="Bookman Old Style">
    <w:panose1 w:val="02050604050505020204"/>
    <w:charset w:val="00"/>
    <w:family w:val="roman"/>
    <w:pitch w:val="default"/>
    <w:sig w:usb0="00000287" w:usb1="00000000" w:usb2="00000000" w:usb3="00000000" w:csb0="2000009F" w:csb1="DFD70000"/>
  </w:font>
  <w:font w:name="创艺简标宋">
    <w:altName w:val="黑体"/>
    <w:panose1 w:val="00000000000000000000"/>
    <w:charset w:val="86"/>
    <w:family w:val="auto"/>
    <w:pitch w:val="default"/>
    <w:sig w:usb0="00000000" w:usb1="00000000" w:usb2="00000010" w:usb3="00000000" w:csb0="00040000" w:csb1="00000000"/>
  </w:font>
  <w:font w:name="文鼎小标宋简">
    <w:altName w:val="Times New Roman"/>
    <w:panose1 w:val="02020603050405020304"/>
    <w:charset w:val="01"/>
    <w:family w:val="roman"/>
    <w:pitch w:val="default"/>
    <w:sig w:usb0="00000000" w:usb1="00000000" w:usb2="00000000" w:usb3="00000000" w:csb0="000001FF" w:csb1="00000000"/>
  </w:font>
  <w:font w:name="Heiti SC Medium">
    <w:altName w:val="Arial Unicode MS"/>
    <w:panose1 w:val="00000000000000000000"/>
    <w:charset w:val="80"/>
    <w:family w:val="auto"/>
    <w:pitch w:val="default"/>
    <w:sig w:usb0="00000000" w:usb1="00000000" w:usb2="00000010" w:usb3="00000000" w:csb0="003E0001" w:csb1="00000000"/>
  </w:font>
  <w:font w:name="Songti SC">
    <w:altName w:val="宋体"/>
    <w:panose1 w:val="00000000000000000000"/>
    <w:charset w:val="86"/>
    <w:family w:val="auto"/>
    <w:pitch w:val="default"/>
    <w:sig w:usb0="00000000" w:usb1="00000000" w:usb2="00000010" w:usb3="00000000" w:csb0="0004009F" w:csb1="00000000"/>
  </w:font>
  <w:font w:name="Arial Unicode MS">
    <w:panose1 w:val="020B0604020202020204"/>
    <w:charset w:val="80"/>
    <w:family w:val="auto"/>
    <w:pitch w:val="default"/>
    <w:sig w:usb0="FFFFFFFF" w:usb1="E9FFFFFF" w:usb2="0000003F" w:usb3="00000000" w:csb0="603F01FF" w:csb1="FFFF0000"/>
  </w:font>
  <w:font w:name="_5b8b_4f53">
    <w:altName w:val="Times New Roman"/>
    <w:panose1 w:val="00000000000000000000"/>
    <w:charset w:val="00"/>
    <w:family w:val="roman"/>
    <w:pitch w:val="default"/>
    <w:sig w:usb0="00000000" w:usb1="00000000" w:usb2="00000000" w:usb3="00000000" w:csb0="00040001" w:csb1="00000000"/>
  </w:font>
  <w:font w:name="全真中明體">
    <w:altName w:val="Times New Roman"/>
    <w:panose1 w:val="00000000000000000000"/>
    <w:charset w:val="00"/>
    <w:family w:val="auto"/>
    <w:pitch w:val="default"/>
    <w:sig w:usb0="00000000" w:usb1="00000000" w:usb2="00000000" w:usb3="00000000" w:csb0="00040001" w:csb1="00000000"/>
  </w:font>
  <w:font w:name="Futura Bk">
    <w:altName w:val="宋体"/>
    <w:panose1 w:val="00000000000000000000"/>
    <w:charset w:val="86"/>
    <w:family w:val="auto"/>
    <w:pitch w:val="default"/>
    <w:sig w:usb0="00000000" w:usb1="00000000" w:usb2="00000000" w:usb3="00000000" w:csb0="000001FB" w:csb1="00000000"/>
  </w:font>
  <w:font w:name="Symbol">
    <w:panose1 w:val="05050102010706020507"/>
    <w:charset w:val="00"/>
    <w:family w:val="auto"/>
    <w:pitch w:val="default"/>
    <w:sig w:usb0="00000000" w:usb1="00000000" w:usb2="00000000" w:usb3="00000000" w:csb0="80000000" w:csb1="00000000"/>
  </w:font>
  <w:font w:name="KSFUGA+FZXBSJW--GB1-0">
    <w:altName w:val="Palatino Linotype"/>
    <w:panose1 w:val="02000500000000000000"/>
    <w:charset w:val="01"/>
    <w:family w:val="auto"/>
    <w:pitch w:val="default"/>
    <w:sig w:usb0="00000000" w:usb1="00000000" w:usb2="01010101" w:usb3="01010101" w:csb0="01010101" w:csb1="01010101"/>
  </w:font>
  <w:font w:name="KCWPKK+TimesNewRomanPSMT">
    <w:altName w:val="Palatino Linotype"/>
    <w:panose1 w:val="02000500000000000000"/>
    <w:charset w:val="01"/>
    <w:family w:val="auto"/>
    <w:pitch w:val="default"/>
    <w:sig w:usb0="00000000" w:usb1="00000000" w:usb2="01010101" w:usb3="01010101" w:csb0="01010101" w:csb1="01010101"/>
  </w:font>
  <w:font w:name="HSMDBE+TimesNewRomanPSMT">
    <w:altName w:val="Palatino Linotype"/>
    <w:panose1 w:val="02000500000000000000"/>
    <w:charset w:val="01"/>
    <w:family w:val="auto"/>
    <w:pitch w:val="default"/>
    <w:sig w:usb0="00000000" w:usb1="00000000" w:usb2="01010101" w:usb3="01010101" w:csb0="01010101" w:csb1="01010101"/>
  </w:font>
  <w:font w:name="OIPNHH+TimesNewRomanPSMT">
    <w:altName w:val="Palatino Linotype"/>
    <w:panose1 w:val="02000500000000000000"/>
    <w:charset w:val="01"/>
    <w:family w:val="auto"/>
    <w:pitch w:val="default"/>
    <w:sig w:usb0="00000000" w:usb1="00000000" w:usb2="01010101" w:usb3="01010101" w:csb0="01010101" w:csb1="01010101"/>
  </w:font>
  <w:font w:name="sans-serif">
    <w:altName w:val="Segoe Print"/>
    <w:panose1 w:val="00000000000000000000"/>
    <w:charset w:val="00"/>
    <w:family w:val="auto"/>
    <w:pitch w:val="default"/>
    <w:sig w:usb0="00000000" w:usb1="00000000" w:usb2="00000000" w:usb3="00000000" w:csb0="00000000" w:csb1="00000000"/>
  </w:font>
  <w:font w:name="Sim Sun">
    <w:altName w:val="宋体"/>
    <w:panose1 w:val="00000000000000000000"/>
    <w:charset w:val="86"/>
    <w:family w:val="auto"/>
    <w:pitch w:val="default"/>
    <w:sig w:usb0="00000000" w:usb1="00000000" w:usb2="00000010" w:usb3="00000000" w:csb0="00040000" w:csb1="00000000"/>
  </w:font>
  <w:font w:name="ヒラギノ角ゴ Pro W3">
    <w:altName w:val="MS Gothic"/>
    <w:panose1 w:val="00000000000000000000"/>
    <w:charset w:val="80"/>
    <w:family w:val="auto"/>
    <w:pitch w:val="default"/>
    <w:sig w:usb0="00000000" w:usb1="00000000" w:usb2="00000012" w:usb3="00000000" w:csb0="0002000D" w:csb1="00000000"/>
  </w:font>
  <w:font w:name="长城仿宋">
    <w:altName w:val="宋体"/>
    <w:panose1 w:val="02010609000101010101"/>
    <w:charset w:val="86"/>
    <w:family w:val="modern"/>
    <w:pitch w:val="default"/>
    <w:sig w:usb0="00000000" w:usb1="00000000" w:usb2="00000010" w:usb3="00000000" w:csb0="00040000" w:csb1="00000000"/>
  </w:font>
  <w:font w:name="Traditional Arabic">
    <w:altName w:val="Times New Roman"/>
    <w:panose1 w:val="02020603050405020304"/>
    <w:charset w:val="B2"/>
    <w:family w:val="roman"/>
    <w:pitch w:val="default"/>
    <w:sig w:usb0="00000000" w:usb1="00000000" w:usb2="00000008" w:usb3="00000000" w:csb0="00000041" w:csb1="20080000"/>
  </w:font>
  <w:font w:name="΢���ź�">
    <w:altName w:val="Segoe Print"/>
    <w:panose1 w:val="00000000000000000000"/>
    <w:charset w:val="00"/>
    <w:family w:val="auto"/>
    <w:pitch w:val="default"/>
    <w:sig w:usb0="00000000" w:usb1="00000000" w:usb2="00000000" w:usb3="00000000" w:csb0="00000000" w:csb1="00000000"/>
  </w:font>
  <w:font w:name="ma3gjp">
    <w:altName w:val="微软雅黑"/>
    <w:panose1 w:val="00000000000000000000"/>
    <w:charset w:val="86"/>
    <w:family w:val="auto"/>
    <w:pitch w:val="default"/>
    <w:sig w:usb0="00000000" w:usb1="00000000" w:usb2="00000010" w:usb3="00000000" w:csb0="00040001" w:csb1="00000000"/>
  </w:font>
  <w:font w:name="Microsoft YaHei UI">
    <w:panose1 w:val="020B0503020204020204"/>
    <w:charset w:val="86"/>
    <w:family w:val="swiss"/>
    <w:pitch w:val="default"/>
    <w:sig w:usb0="80000287" w:usb1="2ACF3C50" w:usb2="00000016" w:usb3="00000000" w:csb0="0004001F" w:csb1="00000000"/>
  </w:font>
  <w:font w:name="KaiTi_GB2312">
    <w:altName w:val="楷体"/>
    <w:panose1 w:val="02010609030101010101"/>
    <w:charset w:val="86"/>
    <w:family w:val="modern"/>
    <w:pitch w:val="default"/>
    <w:sig w:usb0="00000000" w:usb1="00000000" w:usb2="00000000" w:usb3="00000000" w:csb0="00040000" w:csb1="00000000"/>
  </w:font>
  <w:font w:name="Trebuchet MS">
    <w:panose1 w:val="020B0603020202020204"/>
    <w:charset w:val="00"/>
    <w:family w:val="swiss"/>
    <w:pitch w:val="default"/>
    <w:sig w:usb0="00000687" w:usb1="00000000" w:usb2="00000000" w:usb3="00000000" w:csb0="2000009F" w:csb1="00000000"/>
  </w:font>
  <w:font w:name="文鼎">
    <w:altName w:val="宋体"/>
    <w:panose1 w:val="00000000000000000000"/>
    <w:charset w:val="86"/>
    <w:family w:val="roman"/>
    <w:pitch w:val="default"/>
    <w:sig w:usb0="00000000" w:usb1="00000000" w:usb2="0000001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MT Extra">
    <w:panose1 w:val="05050102010205020202"/>
    <w:charset w:val="00"/>
    <w:family w:val="auto"/>
    <w:pitch w:val="default"/>
    <w:sig w:usb0="80000000" w:usb1="00000000" w:usb2="00000000" w:usb3="00000000" w:csb0="00000000" w:csb1="00000000"/>
  </w:font>
  <w:font w:name="FreeSerif">
    <w:altName w:val="Segoe Print"/>
    <w:panose1 w:val="02020603050405020304"/>
    <w:charset w:val="00"/>
    <w:family w:val="auto"/>
    <w:pitch w:val="default"/>
    <w:sig w:usb0="00000000" w:usb1="00000000" w:usb2="43501B29" w:usb3="04000043" w:csb0="600101FF" w:csb1="FFFF0000"/>
  </w:font>
  <w:font w:name="方正隶书_GBK">
    <w:altName w:val="隶书"/>
    <w:panose1 w:val="02000000000000000000"/>
    <w:charset w:val="86"/>
    <w:family w:val="auto"/>
    <w:pitch w:val="default"/>
    <w:sig w:usb0="00000000" w:usb1="00000000" w:usb2="00000000" w:usb3="00000000" w:csb0="00040000" w:csb1="00000000"/>
  </w:font>
  <w:font w:name="C059">
    <w:altName w:val="Segoe Print"/>
    <w:panose1 w:val="00000500000000000000"/>
    <w:charset w:val="00"/>
    <w:family w:val="auto"/>
    <w:pitch w:val="default"/>
    <w:sig w:usb0="00000000" w:usb1="00000000" w:usb2="00000000" w:usb3="00000000" w:csb0="6000009F" w:csb1="00000000"/>
  </w:font>
  <w:font w:name="Noto Naskh Arabic">
    <w:altName w:val="Segoe Print"/>
    <w:panose1 w:val="020B0502040504020204"/>
    <w:charset w:val="00"/>
    <w:family w:val="auto"/>
    <w:pitch w:val="default"/>
    <w:sig w:usb0="00000000" w:usb1="00000000" w:usb2="00000008" w:usb3="00000000" w:csb0="00000041" w:csb1="00080000"/>
  </w:font>
  <w:font w:name="Ubuntu">
    <w:altName w:val="Segoe Script"/>
    <w:panose1 w:val="020B0504030602030204"/>
    <w:charset w:val="00"/>
    <w:family w:val="auto"/>
    <w:pitch w:val="default"/>
    <w:sig w:usb0="00000000" w:usb1="00000000" w:usb2="00000000" w:usb3="00000000" w:csb0="2000009F" w:csb1="56010000"/>
  </w:font>
  <w:font w:name="Noto Sans CJK HK">
    <w:altName w:val="Microsoft JhengHei"/>
    <w:panose1 w:val="020B0500000000000000"/>
    <w:charset w:val="88"/>
    <w:family w:val="auto"/>
    <w:pitch w:val="default"/>
    <w:sig w:usb0="00000000" w:usb1="00000000" w:usb2="00000016" w:usb3="00000000" w:csb0="603A0107" w:csb1="00000000"/>
  </w:font>
  <w:font w:name="Liberation Sans">
    <w:altName w:val="Segoe Print"/>
    <w:panose1 w:val="020B0604020202020204"/>
    <w:charset w:val="00"/>
    <w:family w:val="auto"/>
    <w:pitch w:val="default"/>
    <w:sig w:usb0="00000000" w:usb1="00000000" w:usb2="00000000" w:usb3="00000000" w:csb0="6000009F" w:csb1="DFD70000"/>
  </w:font>
  <w:font w:name="Noto Sans Lao">
    <w:altName w:val="Segoe Print"/>
    <w:panose1 w:val="020B0502040504020204"/>
    <w:charset w:val="00"/>
    <w:family w:val="auto"/>
    <w:pitch w:val="default"/>
    <w:sig w:usb0="00000000" w:usb1="00000000" w:usb2="00000000" w:usb3="00000000" w:csb0="00000001" w:csb1="00000000"/>
  </w:font>
  <w:font w:name="MathJax_Vector">
    <w:altName w:val="Trebuchet MS"/>
    <w:panose1 w:val="02000603000000000000"/>
    <w:charset w:val="00"/>
    <w:family w:val="auto"/>
    <w:pitch w:val="default"/>
    <w:sig w:usb0="00000000" w:usb1="00000000" w:usb2="00000000" w:usb3="00000000" w:csb0="00000001" w:csb1="00000000"/>
  </w:font>
  <w:font w:name="FreeSans">
    <w:altName w:val="Segoe Print"/>
    <w:panose1 w:val="020B0504020202020204"/>
    <w:charset w:val="00"/>
    <w:family w:val="auto"/>
    <w:pitch w:val="default"/>
    <w:sig w:usb0="00000000" w:usb1="00000000" w:usb2="000030A0" w:usb3="00000584" w:csb0="600001BF" w:csb1="DFF70000"/>
  </w:font>
  <w:font w:name="Liberation Serif">
    <w:altName w:val="Times New Roman"/>
    <w:panose1 w:val="02020603050405020304"/>
    <w:charset w:val="00"/>
    <w:family w:val="auto"/>
    <w:pitch w:val="default"/>
    <w:sig w:usb0="00000000" w:usb1="00000000" w:usb2="00000000" w:usb3="00000000" w:csb0="6000009F" w:csb1="DFD70000"/>
  </w:font>
  <w:font w:name="Kingsoft Symbol">
    <w:altName w:val="Symbol"/>
    <w:panose1 w:val="00000000000000000000"/>
    <w:charset w:val="00"/>
    <w:family w:val="auto"/>
    <w:pitch w:val="default"/>
    <w:sig w:usb0="00000000" w:usb1="00000000" w:usb2="00000000" w:usb3="00000000" w:csb0="00000000" w:csb1="00000000"/>
  </w:font>
  <w:font w:name="Microsoft JhengHei UI">
    <w:panose1 w:val="020B0604030504040204"/>
    <w:charset w:val="88"/>
    <w:family w:val="auto"/>
    <w:pitch w:val="default"/>
    <w:sig w:usb0="000002A7" w:usb1="28CF4400" w:usb2="00000016" w:usb3="00000000" w:csb0="00100009" w:csb1="00000000"/>
  </w:font>
  <w:font w:name="Sans Serif Collection">
    <w:panose1 w:val="020B0502040504020204"/>
    <w:charset w:val="00"/>
    <w:family w:val="auto"/>
    <w:pitch w:val="default"/>
    <w:sig w:usb0="8807A0C3" w:usb1="02006040" w:usb2="29100001" w:usb3="005B0020" w:csb0="00000001" w:csb1="00000000"/>
  </w:font>
  <w:font w:name="Segoe Print">
    <w:panose1 w:val="02000600000000000000"/>
    <w:charset w:val="B1"/>
    <w:family w:val="swiss"/>
    <w:pitch w:val="default"/>
    <w:sig w:usb0="0000028F" w:usb1="00000000" w:usb2="00000000" w:usb3="00000000" w:csb0="2000009F" w:csb1="47010000"/>
  </w:font>
  <w:font w:name="AmdtSymbols">
    <w:altName w:val="Corbel"/>
    <w:panose1 w:val="02000500000000020004"/>
    <w:charset w:val="00"/>
    <w:family w:val="auto"/>
    <w:pitch w:val="default"/>
    <w:sig w:usb0="00000000" w:usb1="00000000" w:usb2="00000000" w:usb3="00000000" w:csb0="00000001" w:csb1="00000000"/>
  </w:font>
  <w:font w:name="Kingsoft UE">
    <w:altName w:val="Segoe Print"/>
    <w:panose1 w:val="00000000000000000000"/>
    <w:charset w:val="00"/>
    <w:family w:val="auto"/>
    <w:pitch w:val="default"/>
    <w:sig w:usb0="00000000" w:usb1="00000000" w:usb2="00000000" w:usb3="00000000" w:csb0="00000000" w:csb1="00000000"/>
  </w:font>
  <w:font w:name="AMGDT">
    <w:altName w:val="Segoe UI Semilight"/>
    <w:panose1 w:val="02000400000000000000"/>
    <w:charset w:val="00"/>
    <w:family w:val="auto"/>
    <w:pitch w:val="default"/>
    <w:sig w:usb0="00000000" w:usb1="00000000" w:usb2="00000000" w:usb3="00000000" w:csb0="00000001" w:csb1="00000000"/>
  </w:font>
  <w:font w:name="方正书宋简体">
    <w:altName w:val="宋体"/>
    <w:panose1 w:val="00000000000000000000"/>
    <w:charset w:val="86"/>
    <w:family w:val="auto"/>
    <w:pitch w:val="default"/>
    <w:sig w:usb0="00000000" w:usb1="00000000" w:usb2="00000010" w:usb3="00000000" w:csb0="00040000" w:csb1="00000000"/>
  </w:font>
  <w:font w:name="font-weight : 400">
    <w:altName w:val="微软雅黑"/>
    <w:panose1 w:val="00000000000000000000"/>
    <w:charset w:val="00"/>
    <w:family w:val="auto"/>
    <w:pitch w:val="default"/>
    <w:sig w:usb0="00000000" w:usb1="00000000" w:usb2="00000000" w:usb3="00000000" w:csb0="00040001" w:csb1="00000000"/>
  </w:font>
  <w:font w:name="Adobe 宋体 Std L">
    <w:altName w:val="宋体"/>
    <w:panose1 w:val="00000000000000000000"/>
    <w:charset w:val="00"/>
    <w:family w:val="auto"/>
    <w:pitch w:val="default"/>
    <w:sig w:usb0="00000000" w:usb1="00000000" w:usb2="00000000" w:usb3="00000000" w:csb0="00000000" w:csb1="00000000"/>
  </w:font>
  <w:font w:name="汉仪君黑KW">
    <w:altName w:val="黑体"/>
    <w:panose1 w:val="00020600040101010101"/>
    <w:charset w:val="86"/>
    <w:family w:val="auto"/>
    <w:pitch w:val="default"/>
    <w:sig w:usb0="00000000" w:usb1="00000000" w:usb2="00000016" w:usb3="00000000" w:csb0="0004000F" w:csb1="00000000"/>
  </w:font>
  <w:font w:name="方正仿宋_GBK">
    <w:altName w:val="Arial Unicode MS"/>
    <w:panose1 w:val="00000000000000000000"/>
    <w:charset w:val="00"/>
    <w:family w:val="auto"/>
    <w:pitch w:val="default"/>
    <w:sig w:usb0="00000000" w:usb1="00000000" w:usb2="00000000" w:usb3="00000000" w:csb0="00000000" w:csb1="00000000"/>
  </w:font>
  <w:font w:name="Segoe Script">
    <w:panose1 w:val="030B0504020000000003"/>
    <w:charset w:val="00"/>
    <w:family w:val="auto"/>
    <w:pitch w:val="default"/>
    <w:sig w:usb0="0000028F"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rP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76</w:t>
    </w:r>
    <w:r>
      <w:rPr>
        <w:rFonts w:hint="eastAsia" w:ascii="FangSong_GB2312" w:eastAsia="FangSong_GB2312"/>
        <w:kern w:val="0"/>
      </w:rPr>
      <w:fldChar w:fldCharType="end"/>
    </w:r>
    <w:r>
      <w:rPr>
        <w:rFonts w:hint="eastAsia" w:ascii="FangSong_GB2312" w:eastAsia="FangSong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66"/>
      </w:rPr>
    </w:pPr>
    <w:r>
      <w:fldChar w:fldCharType="begin"/>
    </w:r>
    <w:r>
      <w:rPr>
        <w:rStyle w:val="66"/>
      </w:rPr>
      <w:instrText xml:space="preserve">PAGE  </w:instrText>
    </w:r>
    <w:r>
      <w:fldChar w:fldCharType="end"/>
    </w:r>
  </w:p>
  <w:p>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rP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1</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76</w:t>
    </w:r>
    <w:r>
      <w:rPr>
        <w:rFonts w:hint="eastAsia" w:ascii="FangSong_GB2312" w:eastAsia="FangSong_GB2312"/>
        <w:kern w:val="0"/>
      </w:rPr>
      <w:fldChar w:fldCharType="end"/>
    </w:r>
    <w:r>
      <w:rPr>
        <w:rFonts w:hint="eastAsia" w:ascii="FangSong_GB2312" w:eastAsia="FangSong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rP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67</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76</w:t>
    </w:r>
    <w:r>
      <w:rPr>
        <w:rFonts w:hint="eastAsia" w:ascii="FangSong_GB2312" w:eastAsia="FangSong_GB2312"/>
        <w:kern w:val="0"/>
      </w:rPr>
      <w:fldChar w:fldCharType="end"/>
    </w:r>
    <w:r>
      <w:rPr>
        <w:rFonts w:hint="eastAsia" w:ascii="FangSong_GB2312" w:eastAsia="FangSong_GB2312"/>
        <w:kern w:val="0"/>
      </w:rPr>
      <w:t xml:space="preserve"> 页</w:t>
    </w:r>
  </w:p>
  <w:p>
    <w:pPr>
      <w:rPr>
        <w:rFonts w:ascii="FangSong_GB2312" w:eastAsia="FangSong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rP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65</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76</w:t>
    </w:r>
    <w:r>
      <w:rPr>
        <w:rFonts w:hint="eastAsia" w:ascii="FangSong_GB2312" w:eastAsia="FangSong_GB2312"/>
        <w:kern w:val="0"/>
      </w:rPr>
      <w:fldChar w:fldCharType="end"/>
    </w:r>
    <w:r>
      <w:rPr>
        <w:rFonts w:hint="eastAsia" w:ascii="FangSong_GB2312" w:eastAsia="FangSong_GB2312"/>
        <w:kern w:val="0"/>
      </w:rPr>
      <w:t xml:space="preserve"> 页</w:t>
    </w:r>
  </w:p>
  <w:p>
    <w:pPr>
      <w:rPr>
        <w:rFonts w:ascii="FangSong_GB2312" w:eastAsia="FangSong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szCs w:val="24"/>
      </w:rP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76</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76</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66"/>
      </w:rPr>
    </w:pPr>
    <w:r>
      <w:fldChar w:fldCharType="begin"/>
    </w:r>
    <w:r>
      <w:rPr>
        <w:rStyle w:val="66"/>
      </w:rPr>
      <w:instrText xml:space="preserve">PAGE  </w:instrText>
    </w:r>
    <w:r>
      <w:fldChar w:fldCharType="end"/>
    </w:r>
  </w:p>
  <w:p>
    <w:pPr>
      <w:pStyle w:val="43"/>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FangSong_GB2312" w:eastAsia="FangSong_GB2312"/>
      </w:rP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69</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76</w:t>
    </w:r>
    <w:r>
      <w:rPr>
        <w:rFonts w:hint="eastAsia" w:ascii="FangSong_GB2312" w:eastAsia="FangSong_GB2312"/>
        <w:kern w:val="0"/>
        <w:szCs w:val="21"/>
      </w:rPr>
      <w:fldChar w:fldCharType="end"/>
    </w:r>
    <w:bookmarkStart w:id="467" w:name="_Toc164085800"/>
    <w:bookmarkStart w:id="468" w:name="_Toc91899912"/>
    <w:bookmarkStart w:id="469" w:name="_Toc131845147"/>
    <w:bookmarkStart w:id="470" w:name="_Toc36110187"/>
    <w:r>
      <w:rPr>
        <w:rFonts w:hint="eastAsia" w:ascii="FangSong_GB2312" w:eastAsia="FangSong_GB2312"/>
        <w:kern w:val="0"/>
        <w:szCs w:val="21"/>
      </w:rPr>
      <w:t xml:space="preserve"> 页</w:t>
    </w:r>
    <w:bookmarkEnd w:id="467"/>
    <w:bookmarkEnd w:id="468"/>
    <w:bookmarkEnd w:id="469"/>
    <w:bookmarkEnd w:id="47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Bdr>
        <w:bottom w:val="single" w:color="auto" w:sz="6" w:space="4"/>
      </w:pBdr>
      <w:jc w:val="both"/>
    </w:pPr>
    <w:r>
      <w:rPr>
        <w:rFonts w:hint="eastAsia"/>
        <w:lang w:val="en-US" w:eastAsia="zh-CN"/>
      </w:rPr>
      <w:t>江山惠捷信息技术咨询有限公司</w:t>
    </w:r>
    <w:r>
      <w:t></w:t>
    </w:r>
    <w:r>
      <w:rPr>
        <w:rFonts w:hint="eastAsia"/>
        <w:lang w:val="en-US" w:eastAsia="zh-CN"/>
      </w:rPr>
      <w:t xml:space="preserve"> </w:t>
    </w:r>
    <w:r>
      <w:t>政府采购公开招标文件</w:t>
    </w:r>
  </w:p>
  <w:p>
    <w:pPr>
      <w:pStyle w:val="62"/>
      <w:tabs>
        <w:tab w:val="center" w:pos="4535"/>
        <w:tab w:val="right" w:pos="9070"/>
      </w:tabs>
      <w:ind w:firstLine="180" w:firstLineChars="100"/>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pBdr>
        <w:bottom w:val="single" w:color="auto" w:sz="6" w:space="0"/>
      </w:pBdr>
      <w:tabs>
        <w:tab w:val="center" w:pos="4535"/>
        <w:tab w:val="right" w:pos="9070"/>
        <w:tab w:val="clear" w:pos="4153"/>
        <w:tab w:val="clear" w:pos="8306"/>
      </w:tabs>
      <w:jc w:val="center"/>
    </w:pPr>
    <w:r>
      <w:rPr>
        <w:rFonts w:hint="eastAsia"/>
        <w:lang w:val="en-US" w:eastAsia="zh-CN"/>
      </w:rPr>
      <w:t>江山惠捷信息技术咨询有限公司</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both"/>
    </w:pPr>
    <w:r>
      <w:t></w:t>
    </w:r>
    <w:r>
      <w:rPr>
        <w:rFonts w:hint="eastAsia"/>
        <w:lang w:val="en-US" w:eastAsia="zh-CN"/>
      </w:rPr>
      <w:t>江山惠捷信息技术咨询有限公司                                                    政</w:t>
    </w:r>
    <w:r>
      <w:t>府采购公开招标文件</w:t>
    </w:r>
  </w:p>
  <w:p>
    <w:pPr>
      <w:pStyle w:val="45"/>
      <w:rPr>
        <w:rFonts w:ascii="FangSong_GB2312" w:eastAsia="FangSong_GB2312"/>
        <w:b/>
        <w:i/>
        <w:u w:val="single"/>
      </w:rPr>
    </w:pPr>
  </w:p>
  <w:p>
    <w:pPr>
      <w:rPr>
        <w:rFonts w:ascii="FangSong_GB2312" w:eastAsia="FangSong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both"/>
    </w:pPr>
    <w:r>
      <w:rPr>
        <w:rFonts w:hint="eastAsia"/>
        <w:lang w:val="en-US" w:eastAsia="zh-CN"/>
      </w:rPr>
      <w:t>江山惠捷信息技术咨询有限公司                                                    政</w:t>
    </w:r>
    <w:r>
      <w:t>府采购公开招标文件</w:t>
    </w:r>
  </w:p>
  <w:p>
    <w:pPr>
      <w:pStyle w:val="45"/>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both"/>
    </w:pPr>
    <w:r>
      <w:rPr>
        <w:rFonts w:hint="eastAsia"/>
        <w:lang w:val="en-US" w:eastAsia="zh-CN"/>
      </w:rPr>
      <w:t>江山惠捷信息技术咨询有限公司                                                   政</w:t>
    </w:r>
    <w:r>
      <w:t>府采购公开招标文件</w:t>
    </w:r>
  </w:p>
  <w:p>
    <w:pPr>
      <w:pStyle w:val="45"/>
      <w:jc w:val="right"/>
      <w:rPr>
        <w:rFonts w:ascii="FangSong_GB2312" w:eastAsia="FangSong_GB2312"/>
        <w:b/>
        <w:i/>
        <w:iCs/>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both"/>
    </w:pPr>
    <w:r>
      <w:rPr>
        <w:rFonts w:hint="eastAsia"/>
        <w:lang w:val="en-US" w:eastAsia="zh-CN"/>
      </w:rPr>
      <w:t>江山惠捷信息技术咨询有限公司                                                    政</w:t>
    </w:r>
    <w:r>
      <w:t>府采购公开招标文件</w:t>
    </w:r>
  </w:p>
  <w:p>
    <w:pPr>
      <w:pStyle w:val="4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B1B17"/>
    <w:multiLevelType w:val="singleLevel"/>
    <w:tmpl w:val="2EDB1B17"/>
    <w:lvl w:ilvl="0" w:tentative="0">
      <w:start w:val="5"/>
      <w:numFmt w:val="decimal"/>
      <w:suff w:val="space"/>
      <w:lvlText w:val="%1、"/>
      <w:lvlJc w:val="left"/>
    </w:lvl>
  </w:abstractNum>
  <w:abstractNum w:abstractNumId="1">
    <w:nsid w:val="2FF34A17"/>
    <w:multiLevelType w:val="multilevel"/>
    <w:tmpl w:val="2FF34A17"/>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21621D1"/>
    <w:multiLevelType w:val="singleLevel"/>
    <w:tmpl w:val="621621D1"/>
    <w:lvl w:ilvl="0" w:tentative="0">
      <w:start w:val="1"/>
      <w:numFmt w:val="decimal"/>
      <w:suff w:val="nothing"/>
      <w:lvlText w:val="%1、"/>
      <w:lvlJc w:val="left"/>
    </w:lvl>
  </w:abstractNum>
  <w:abstractNum w:abstractNumId="3">
    <w:nsid w:val="6503DAA2"/>
    <w:multiLevelType w:val="multilevel"/>
    <w:tmpl w:val="6503DAA2"/>
    <w:lvl w:ilvl="0" w:tentative="0">
      <w:start w:val="3"/>
      <w:numFmt w:val="chineseCounting"/>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4">
    <w:nsid w:val="65A4C190"/>
    <w:multiLevelType w:val="multilevel"/>
    <w:tmpl w:val="65A4C190"/>
    <w:lvl w:ilvl="0" w:tentative="0">
      <w:start w:val="1"/>
      <w:numFmt w:val="decimal"/>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
    <w:nsid w:val="67BF3D02"/>
    <w:multiLevelType w:val="multilevel"/>
    <w:tmpl w:val="67BF3D02"/>
    <w:lvl w:ilvl="0" w:tentative="0">
      <w:start w:val="1"/>
      <w:numFmt w:val="decimal"/>
      <w:suff w:val="nothing"/>
      <w:lvlText w:val="%1、"/>
      <w:lvlJc w:val="left"/>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6">
    <w:nsid w:val="67EA79BB"/>
    <w:multiLevelType w:val="singleLevel"/>
    <w:tmpl w:val="67EA79BB"/>
    <w:lvl w:ilvl="0" w:tentative="0">
      <w:start w:val="3"/>
      <w:numFmt w:val="decimal"/>
      <w:suff w:val="nothing"/>
      <w:lvlText w:val="%1."/>
      <w:lvlJc w:val="left"/>
    </w:lvl>
  </w:abstractNum>
  <w:abstractNum w:abstractNumId="7">
    <w:nsid w:val="67EC7C30"/>
    <w:multiLevelType w:val="multilevel"/>
    <w:tmpl w:val="67EC7C30"/>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1"/>
  </w:num>
  <w:num w:numId="2">
    <w:abstractNumId w:val="2"/>
  </w:num>
  <w:num w:numId="3">
    <w:abstractNumId w:val="6"/>
  </w:num>
  <w:num w:numId="4">
    <w:abstractNumId w:val="5"/>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0"/>
  <w:bordersDoNotSurroundFooter w:val="0"/>
  <w:hideSpellingErrors/>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A2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467"/>
    <w:rsid w:val="00030572"/>
    <w:rsid w:val="00030A97"/>
    <w:rsid w:val="00030CB3"/>
    <w:rsid w:val="0003206A"/>
    <w:rsid w:val="000326A7"/>
    <w:rsid w:val="00032EA0"/>
    <w:rsid w:val="000331B0"/>
    <w:rsid w:val="000336D4"/>
    <w:rsid w:val="00034DED"/>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6DB7"/>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8744E"/>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529"/>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7DA"/>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C1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2F3"/>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A40"/>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A9C"/>
    <w:rsid w:val="001D1D55"/>
    <w:rsid w:val="001D21EF"/>
    <w:rsid w:val="001D29A4"/>
    <w:rsid w:val="001D2B73"/>
    <w:rsid w:val="001D3136"/>
    <w:rsid w:val="001D330D"/>
    <w:rsid w:val="001D3ECB"/>
    <w:rsid w:val="001D4AB6"/>
    <w:rsid w:val="001D4AD3"/>
    <w:rsid w:val="001D5281"/>
    <w:rsid w:val="001E00EF"/>
    <w:rsid w:val="001E17E3"/>
    <w:rsid w:val="001E2052"/>
    <w:rsid w:val="001E2492"/>
    <w:rsid w:val="001E257C"/>
    <w:rsid w:val="001E286C"/>
    <w:rsid w:val="001E2F34"/>
    <w:rsid w:val="001E35EE"/>
    <w:rsid w:val="001E4567"/>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5E1"/>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AA4"/>
    <w:rsid w:val="00252F48"/>
    <w:rsid w:val="002530C0"/>
    <w:rsid w:val="00253586"/>
    <w:rsid w:val="002537FC"/>
    <w:rsid w:val="0025403E"/>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27C"/>
    <w:rsid w:val="002866EC"/>
    <w:rsid w:val="0028744E"/>
    <w:rsid w:val="002876C6"/>
    <w:rsid w:val="002876D2"/>
    <w:rsid w:val="00287936"/>
    <w:rsid w:val="00287BB7"/>
    <w:rsid w:val="002903C5"/>
    <w:rsid w:val="0029041B"/>
    <w:rsid w:val="00290A99"/>
    <w:rsid w:val="00290EAF"/>
    <w:rsid w:val="0029159A"/>
    <w:rsid w:val="00291CF1"/>
    <w:rsid w:val="00292AA1"/>
    <w:rsid w:val="00294012"/>
    <w:rsid w:val="00294383"/>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DC6"/>
    <w:rsid w:val="002C327D"/>
    <w:rsid w:val="002C3890"/>
    <w:rsid w:val="002C3AD9"/>
    <w:rsid w:val="002C4286"/>
    <w:rsid w:val="002C43FC"/>
    <w:rsid w:val="002C45C3"/>
    <w:rsid w:val="002C483B"/>
    <w:rsid w:val="002C4DFE"/>
    <w:rsid w:val="002C519E"/>
    <w:rsid w:val="002C54ED"/>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5D4"/>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B39"/>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17C4"/>
    <w:rsid w:val="00363894"/>
    <w:rsid w:val="00363B2A"/>
    <w:rsid w:val="00363BF1"/>
    <w:rsid w:val="003653D0"/>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88B"/>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0EC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75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068"/>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5D33"/>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6DB"/>
    <w:rsid w:val="005448F5"/>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BCF"/>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234"/>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08B"/>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AAF"/>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25E"/>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2B5"/>
    <w:rsid w:val="007E0595"/>
    <w:rsid w:val="007E0A63"/>
    <w:rsid w:val="007E0C63"/>
    <w:rsid w:val="007E0C71"/>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506"/>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ADE"/>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84D"/>
    <w:rsid w:val="008B69B8"/>
    <w:rsid w:val="008B6C09"/>
    <w:rsid w:val="008B7042"/>
    <w:rsid w:val="008B770C"/>
    <w:rsid w:val="008C0325"/>
    <w:rsid w:val="008C094A"/>
    <w:rsid w:val="008C1570"/>
    <w:rsid w:val="008C1792"/>
    <w:rsid w:val="008C17B2"/>
    <w:rsid w:val="008C1E3E"/>
    <w:rsid w:val="008C2059"/>
    <w:rsid w:val="008C21D0"/>
    <w:rsid w:val="008C2DBC"/>
    <w:rsid w:val="008C3A4E"/>
    <w:rsid w:val="008C4AA2"/>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4593"/>
    <w:rsid w:val="008E58A3"/>
    <w:rsid w:val="008E5938"/>
    <w:rsid w:val="008E6109"/>
    <w:rsid w:val="008E6A39"/>
    <w:rsid w:val="008E76BB"/>
    <w:rsid w:val="008F1764"/>
    <w:rsid w:val="008F1E3D"/>
    <w:rsid w:val="008F235C"/>
    <w:rsid w:val="008F2377"/>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1DE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59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C4B"/>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6F6"/>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882"/>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3C0"/>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CD"/>
    <w:rsid w:val="00B35B6D"/>
    <w:rsid w:val="00B35D53"/>
    <w:rsid w:val="00B367C4"/>
    <w:rsid w:val="00B36D3E"/>
    <w:rsid w:val="00B37B8E"/>
    <w:rsid w:val="00B40222"/>
    <w:rsid w:val="00B404C3"/>
    <w:rsid w:val="00B41A04"/>
    <w:rsid w:val="00B42266"/>
    <w:rsid w:val="00B42743"/>
    <w:rsid w:val="00B430E9"/>
    <w:rsid w:val="00B4311F"/>
    <w:rsid w:val="00B431AE"/>
    <w:rsid w:val="00B44288"/>
    <w:rsid w:val="00B448BF"/>
    <w:rsid w:val="00B44C7A"/>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8C7"/>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741"/>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8F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C09"/>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7FA"/>
    <w:rsid w:val="00CB5A26"/>
    <w:rsid w:val="00CB645B"/>
    <w:rsid w:val="00CB6A93"/>
    <w:rsid w:val="00CB6C79"/>
    <w:rsid w:val="00CB77C3"/>
    <w:rsid w:val="00CB7E9C"/>
    <w:rsid w:val="00CC0072"/>
    <w:rsid w:val="00CC027A"/>
    <w:rsid w:val="00CC0915"/>
    <w:rsid w:val="00CC0D1A"/>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A79"/>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45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44"/>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EB7"/>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4D51"/>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3C66"/>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665"/>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69"/>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A40"/>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650"/>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2E4B"/>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9D"/>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B2D57"/>
    <w:rsid w:val="011F6449"/>
    <w:rsid w:val="01236AFB"/>
    <w:rsid w:val="0149589B"/>
    <w:rsid w:val="017D0383"/>
    <w:rsid w:val="019F7441"/>
    <w:rsid w:val="01AD45A8"/>
    <w:rsid w:val="01B37585"/>
    <w:rsid w:val="01B56CF6"/>
    <w:rsid w:val="01D55165"/>
    <w:rsid w:val="01DF6BF8"/>
    <w:rsid w:val="01EC2C57"/>
    <w:rsid w:val="025B7904"/>
    <w:rsid w:val="026B2E25"/>
    <w:rsid w:val="02801324"/>
    <w:rsid w:val="02824D4D"/>
    <w:rsid w:val="02BB3B27"/>
    <w:rsid w:val="02BE38C7"/>
    <w:rsid w:val="02C657E1"/>
    <w:rsid w:val="02C959A5"/>
    <w:rsid w:val="02DC4B10"/>
    <w:rsid w:val="02DD76CE"/>
    <w:rsid w:val="02F36323"/>
    <w:rsid w:val="02F5619C"/>
    <w:rsid w:val="031420D5"/>
    <w:rsid w:val="0326446A"/>
    <w:rsid w:val="032D5555"/>
    <w:rsid w:val="033F4833"/>
    <w:rsid w:val="03413961"/>
    <w:rsid w:val="03431485"/>
    <w:rsid w:val="0351069E"/>
    <w:rsid w:val="035357BA"/>
    <w:rsid w:val="036634D2"/>
    <w:rsid w:val="036B2388"/>
    <w:rsid w:val="03784B6A"/>
    <w:rsid w:val="037A2037"/>
    <w:rsid w:val="03847498"/>
    <w:rsid w:val="03DD35E4"/>
    <w:rsid w:val="03F56C8E"/>
    <w:rsid w:val="0402594A"/>
    <w:rsid w:val="04076900"/>
    <w:rsid w:val="041A5A3B"/>
    <w:rsid w:val="042311BA"/>
    <w:rsid w:val="042359AE"/>
    <w:rsid w:val="042363BA"/>
    <w:rsid w:val="042B157A"/>
    <w:rsid w:val="045271E9"/>
    <w:rsid w:val="048C5135"/>
    <w:rsid w:val="048F763B"/>
    <w:rsid w:val="049F330E"/>
    <w:rsid w:val="04AA775C"/>
    <w:rsid w:val="04AF1889"/>
    <w:rsid w:val="04BE41D7"/>
    <w:rsid w:val="04C05750"/>
    <w:rsid w:val="04F66F48"/>
    <w:rsid w:val="05141E74"/>
    <w:rsid w:val="051B1C7D"/>
    <w:rsid w:val="05251E14"/>
    <w:rsid w:val="05952790"/>
    <w:rsid w:val="05A16594"/>
    <w:rsid w:val="05A7096D"/>
    <w:rsid w:val="05A7762D"/>
    <w:rsid w:val="05F16A10"/>
    <w:rsid w:val="05FD0E2C"/>
    <w:rsid w:val="060E5941"/>
    <w:rsid w:val="06110FAF"/>
    <w:rsid w:val="06195F4C"/>
    <w:rsid w:val="061C3A8B"/>
    <w:rsid w:val="06493CA7"/>
    <w:rsid w:val="065A6178"/>
    <w:rsid w:val="065B3BE3"/>
    <w:rsid w:val="066F1CF3"/>
    <w:rsid w:val="06930BB8"/>
    <w:rsid w:val="06D6710D"/>
    <w:rsid w:val="06FF2783"/>
    <w:rsid w:val="071263E7"/>
    <w:rsid w:val="07245D42"/>
    <w:rsid w:val="07264C62"/>
    <w:rsid w:val="073A53A1"/>
    <w:rsid w:val="075968B8"/>
    <w:rsid w:val="076077C5"/>
    <w:rsid w:val="0779354C"/>
    <w:rsid w:val="07C52A0C"/>
    <w:rsid w:val="07F870A3"/>
    <w:rsid w:val="08046995"/>
    <w:rsid w:val="08061376"/>
    <w:rsid w:val="081C6FB8"/>
    <w:rsid w:val="08294DD3"/>
    <w:rsid w:val="08452D77"/>
    <w:rsid w:val="086401F8"/>
    <w:rsid w:val="08751CAA"/>
    <w:rsid w:val="087556B8"/>
    <w:rsid w:val="087E4C40"/>
    <w:rsid w:val="08846CE8"/>
    <w:rsid w:val="089971CE"/>
    <w:rsid w:val="08D66AD6"/>
    <w:rsid w:val="08DA33A3"/>
    <w:rsid w:val="08DB07BA"/>
    <w:rsid w:val="08E2768A"/>
    <w:rsid w:val="08E80F13"/>
    <w:rsid w:val="08F40B86"/>
    <w:rsid w:val="09114CAB"/>
    <w:rsid w:val="09176B52"/>
    <w:rsid w:val="09335624"/>
    <w:rsid w:val="0944690F"/>
    <w:rsid w:val="09535675"/>
    <w:rsid w:val="095F057D"/>
    <w:rsid w:val="09642282"/>
    <w:rsid w:val="09733572"/>
    <w:rsid w:val="09772C16"/>
    <w:rsid w:val="098132C2"/>
    <w:rsid w:val="098353B5"/>
    <w:rsid w:val="0993376E"/>
    <w:rsid w:val="099B5A82"/>
    <w:rsid w:val="09A92330"/>
    <w:rsid w:val="09B06B87"/>
    <w:rsid w:val="09BD351E"/>
    <w:rsid w:val="09C13146"/>
    <w:rsid w:val="09E04166"/>
    <w:rsid w:val="09E94A9D"/>
    <w:rsid w:val="0A0041A5"/>
    <w:rsid w:val="0A08003F"/>
    <w:rsid w:val="0A093C27"/>
    <w:rsid w:val="0A10000E"/>
    <w:rsid w:val="0A1C0718"/>
    <w:rsid w:val="0A3E7710"/>
    <w:rsid w:val="0A4054C3"/>
    <w:rsid w:val="0A5B7E63"/>
    <w:rsid w:val="0A6C2D10"/>
    <w:rsid w:val="0A78333C"/>
    <w:rsid w:val="0AA374A5"/>
    <w:rsid w:val="0AAB7649"/>
    <w:rsid w:val="0AB70859"/>
    <w:rsid w:val="0AB9369A"/>
    <w:rsid w:val="0ABC5606"/>
    <w:rsid w:val="0AC442A8"/>
    <w:rsid w:val="0AC95D2D"/>
    <w:rsid w:val="0AE35BA5"/>
    <w:rsid w:val="0AE64F70"/>
    <w:rsid w:val="0B0F775A"/>
    <w:rsid w:val="0B275EE9"/>
    <w:rsid w:val="0B2F0359"/>
    <w:rsid w:val="0B30404E"/>
    <w:rsid w:val="0B4C6C14"/>
    <w:rsid w:val="0B5E18BD"/>
    <w:rsid w:val="0B631A88"/>
    <w:rsid w:val="0B683D45"/>
    <w:rsid w:val="0B7F3F11"/>
    <w:rsid w:val="0B884417"/>
    <w:rsid w:val="0B94172D"/>
    <w:rsid w:val="0BDB167F"/>
    <w:rsid w:val="0BF0551C"/>
    <w:rsid w:val="0BF6188C"/>
    <w:rsid w:val="0BF73C91"/>
    <w:rsid w:val="0BFC401D"/>
    <w:rsid w:val="0C170175"/>
    <w:rsid w:val="0C203DEC"/>
    <w:rsid w:val="0C313164"/>
    <w:rsid w:val="0C571A41"/>
    <w:rsid w:val="0C5C1171"/>
    <w:rsid w:val="0C5E1CBC"/>
    <w:rsid w:val="0C615B50"/>
    <w:rsid w:val="0C6E3B90"/>
    <w:rsid w:val="0C7831B8"/>
    <w:rsid w:val="0C8445DA"/>
    <w:rsid w:val="0C87121B"/>
    <w:rsid w:val="0C8C5842"/>
    <w:rsid w:val="0C9224D3"/>
    <w:rsid w:val="0CA94732"/>
    <w:rsid w:val="0CC007F7"/>
    <w:rsid w:val="0CEC3173"/>
    <w:rsid w:val="0CF221F7"/>
    <w:rsid w:val="0CFA3FF2"/>
    <w:rsid w:val="0CFE707A"/>
    <w:rsid w:val="0D0366FC"/>
    <w:rsid w:val="0D053940"/>
    <w:rsid w:val="0D063BDA"/>
    <w:rsid w:val="0D08375F"/>
    <w:rsid w:val="0D184CFB"/>
    <w:rsid w:val="0D1A2ED1"/>
    <w:rsid w:val="0D214C3E"/>
    <w:rsid w:val="0D3B73A9"/>
    <w:rsid w:val="0D4A7419"/>
    <w:rsid w:val="0D502F30"/>
    <w:rsid w:val="0D5D15BB"/>
    <w:rsid w:val="0D827401"/>
    <w:rsid w:val="0D84094E"/>
    <w:rsid w:val="0D8A00E9"/>
    <w:rsid w:val="0D8D589E"/>
    <w:rsid w:val="0D9D0E12"/>
    <w:rsid w:val="0DA01C73"/>
    <w:rsid w:val="0DD065D2"/>
    <w:rsid w:val="0DD63300"/>
    <w:rsid w:val="0DF50604"/>
    <w:rsid w:val="0DF702FE"/>
    <w:rsid w:val="0E060E51"/>
    <w:rsid w:val="0E1F7BEA"/>
    <w:rsid w:val="0E265BDA"/>
    <w:rsid w:val="0E2930D4"/>
    <w:rsid w:val="0E2A3EB8"/>
    <w:rsid w:val="0E467F48"/>
    <w:rsid w:val="0E4F10DD"/>
    <w:rsid w:val="0E5604B2"/>
    <w:rsid w:val="0E60774E"/>
    <w:rsid w:val="0E6A3B50"/>
    <w:rsid w:val="0E6D5D79"/>
    <w:rsid w:val="0E7E4F12"/>
    <w:rsid w:val="0E904F74"/>
    <w:rsid w:val="0E945B58"/>
    <w:rsid w:val="0E9D0089"/>
    <w:rsid w:val="0EB803EE"/>
    <w:rsid w:val="0ECA0687"/>
    <w:rsid w:val="0EF94D4B"/>
    <w:rsid w:val="0F3E68E4"/>
    <w:rsid w:val="0F416A15"/>
    <w:rsid w:val="0F4958DC"/>
    <w:rsid w:val="0F500B16"/>
    <w:rsid w:val="0F515DF7"/>
    <w:rsid w:val="0F596BA8"/>
    <w:rsid w:val="0F5A09BB"/>
    <w:rsid w:val="0F6248D2"/>
    <w:rsid w:val="0F693536"/>
    <w:rsid w:val="0F7B0511"/>
    <w:rsid w:val="0F7B76D9"/>
    <w:rsid w:val="0F816ACD"/>
    <w:rsid w:val="0F9832DB"/>
    <w:rsid w:val="0FB4009C"/>
    <w:rsid w:val="0FBE5E58"/>
    <w:rsid w:val="0FBF24B3"/>
    <w:rsid w:val="0FBF3FD2"/>
    <w:rsid w:val="0FBF7FF3"/>
    <w:rsid w:val="0FC65772"/>
    <w:rsid w:val="0FD41276"/>
    <w:rsid w:val="100340E9"/>
    <w:rsid w:val="10645AEE"/>
    <w:rsid w:val="10646583"/>
    <w:rsid w:val="10675BAB"/>
    <w:rsid w:val="107A4AAD"/>
    <w:rsid w:val="107D4B15"/>
    <w:rsid w:val="10811B1F"/>
    <w:rsid w:val="10856B52"/>
    <w:rsid w:val="108A3C80"/>
    <w:rsid w:val="10A9737D"/>
    <w:rsid w:val="10C26171"/>
    <w:rsid w:val="10CA40D4"/>
    <w:rsid w:val="10D87DF8"/>
    <w:rsid w:val="10F33360"/>
    <w:rsid w:val="10FC16EA"/>
    <w:rsid w:val="110F1D40"/>
    <w:rsid w:val="11266F33"/>
    <w:rsid w:val="11283687"/>
    <w:rsid w:val="11351AA2"/>
    <w:rsid w:val="11434F61"/>
    <w:rsid w:val="118600A7"/>
    <w:rsid w:val="11860428"/>
    <w:rsid w:val="118963A1"/>
    <w:rsid w:val="119802AB"/>
    <w:rsid w:val="11B87BC7"/>
    <w:rsid w:val="11BA3C22"/>
    <w:rsid w:val="11BC46C3"/>
    <w:rsid w:val="11C6522A"/>
    <w:rsid w:val="11C67D3E"/>
    <w:rsid w:val="11DD169F"/>
    <w:rsid w:val="11E104CC"/>
    <w:rsid w:val="11E20309"/>
    <w:rsid w:val="120075FD"/>
    <w:rsid w:val="121A09BB"/>
    <w:rsid w:val="121F4C8A"/>
    <w:rsid w:val="12255233"/>
    <w:rsid w:val="123238BC"/>
    <w:rsid w:val="12370BDF"/>
    <w:rsid w:val="124647EE"/>
    <w:rsid w:val="124B31F5"/>
    <w:rsid w:val="12530213"/>
    <w:rsid w:val="125E5653"/>
    <w:rsid w:val="12702A70"/>
    <w:rsid w:val="127723A9"/>
    <w:rsid w:val="12862074"/>
    <w:rsid w:val="12883966"/>
    <w:rsid w:val="129E45B4"/>
    <w:rsid w:val="12A44C85"/>
    <w:rsid w:val="12B64F93"/>
    <w:rsid w:val="12B67BE9"/>
    <w:rsid w:val="12D81596"/>
    <w:rsid w:val="12DB5987"/>
    <w:rsid w:val="12F009E2"/>
    <w:rsid w:val="12FD55A1"/>
    <w:rsid w:val="130271FF"/>
    <w:rsid w:val="13072A44"/>
    <w:rsid w:val="133535AF"/>
    <w:rsid w:val="133F3B90"/>
    <w:rsid w:val="134A0871"/>
    <w:rsid w:val="135F4BE2"/>
    <w:rsid w:val="139943BD"/>
    <w:rsid w:val="139B1A0A"/>
    <w:rsid w:val="139D25C7"/>
    <w:rsid w:val="13BF3CE4"/>
    <w:rsid w:val="13C1581B"/>
    <w:rsid w:val="13D67707"/>
    <w:rsid w:val="13FB75FA"/>
    <w:rsid w:val="14023F8C"/>
    <w:rsid w:val="14041581"/>
    <w:rsid w:val="140B1F85"/>
    <w:rsid w:val="140C5DD7"/>
    <w:rsid w:val="140E7569"/>
    <w:rsid w:val="141008D8"/>
    <w:rsid w:val="14125FE6"/>
    <w:rsid w:val="143A70EE"/>
    <w:rsid w:val="14532C3E"/>
    <w:rsid w:val="1465357E"/>
    <w:rsid w:val="146D271E"/>
    <w:rsid w:val="148627C4"/>
    <w:rsid w:val="14880781"/>
    <w:rsid w:val="14901D9B"/>
    <w:rsid w:val="14933800"/>
    <w:rsid w:val="14982588"/>
    <w:rsid w:val="149A5AD9"/>
    <w:rsid w:val="14A7619D"/>
    <w:rsid w:val="14B60A59"/>
    <w:rsid w:val="14D00C71"/>
    <w:rsid w:val="14D11BD3"/>
    <w:rsid w:val="14EC1FFD"/>
    <w:rsid w:val="150536C3"/>
    <w:rsid w:val="150C1963"/>
    <w:rsid w:val="151447A0"/>
    <w:rsid w:val="154A6454"/>
    <w:rsid w:val="15762120"/>
    <w:rsid w:val="158A2ECB"/>
    <w:rsid w:val="15AB204C"/>
    <w:rsid w:val="15BD35FF"/>
    <w:rsid w:val="15C010AA"/>
    <w:rsid w:val="15F157BA"/>
    <w:rsid w:val="160411E3"/>
    <w:rsid w:val="161F0867"/>
    <w:rsid w:val="16324E0F"/>
    <w:rsid w:val="166624CB"/>
    <w:rsid w:val="16886E04"/>
    <w:rsid w:val="169511C2"/>
    <w:rsid w:val="169D02CC"/>
    <w:rsid w:val="16A8729C"/>
    <w:rsid w:val="16B33777"/>
    <w:rsid w:val="16BC70A7"/>
    <w:rsid w:val="16C6339E"/>
    <w:rsid w:val="16D93C5A"/>
    <w:rsid w:val="172F2D79"/>
    <w:rsid w:val="173245F1"/>
    <w:rsid w:val="17557BEF"/>
    <w:rsid w:val="176539DE"/>
    <w:rsid w:val="17D349C1"/>
    <w:rsid w:val="17E959B7"/>
    <w:rsid w:val="18064EEC"/>
    <w:rsid w:val="181F619F"/>
    <w:rsid w:val="1830729E"/>
    <w:rsid w:val="183B0887"/>
    <w:rsid w:val="184877A1"/>
    <w:rsid w:val="1870062C"/>
    <w:rsid w:val="18804830"/>
    <w:rsid w:val="18817102"/>
    <w:rsid w:val="18830A15"/>
    <w:rsid w:val="18852B28"/>
    <w:rsid w:val="188B5321"/>
    <w:rsid w:val="18CD4872"/>
    <w:rsid w:val="18CE1114"/>
    <w:rsid w:val="18E831AB"/>
    <w:rsid w:val="193B0E1B"/>
    <w:rsid w:val="194762F6"/>
    <w:rsid w:val="1951318C"/>
    <w:rsid w:val="19777FBF"/>
    <w:rsid w:val="19932372"/>
    <w:rsid w:val="19A20DD5"/>
    <w:rsid w:val="19AE03F1"/>
    <w:rsid w:val="19CA1012"/>
    <w:rsid w:val="19E612D4"/>
    <w:rsid w:val="1A071A03"/>
    <w:rsid w:val="1A1F16AE"/>
    <w:rsid w:val="1A3B5C77"/>
    <w:rsid w:val="1A5C7D73"/>
    <w:rsid w:val="1A7627A0"/>
    <w:rsid w:val="1A7A4D5A"/>
    <w:rsid w:val="1A8F186F"/>
    <w:rsid w:val="1A984BAD"/>
    <w:rsid w:val="1A9C4BBC"/>
    <w:rsid w:val="1AA774CB"/>
    <w:rsid w:val="1AA9104C"/>
    <w:rsid w:val="1AB8220E"/>
    <w:rsid w:val="1AE4166C"/>
    <w:rsid w:val="1AE7331E"/>
    <w:rsid w:val="1AE91B23"/>
    <w:rsid w:val="1AF06CFB"/>
    <w:rsid w:val="1AF11B8D"/>
    <w:rsid w:val="1AF64E64"/>
    <w:rsid w:val="1B11359C"/>
    <w:rsid w:val="1B210317"/>
    <w:rsid w:val="1B2A271F"/>
    <w:rsid w:val="1B3674E7"/>
    <w:rsid w:val="1B4915B3"/>
    <w:rsid w:val="1B4C1BCE"/>
    <w:rsid w:val="1B530544"/>
    <w:rsid w:val="1B713184"/>
    <w:rsid w:val="1B747AEA"/>
    <w:rsid w:val="1BA209CF"/>
    <w:rsid w:val="1BB4777D"/>
    <w:rsid w:val="1BD75AB8"/>
    <w:rsid w:val="1C0459C2"/>
    <w:rsid w:val="1C0B397A"/>
    <w:rsid w:val="1C1B3B4A"/>
    <w:rsid w:val="1C1B3F8A"/>
    <w:rsid w:val="1C3A6251"/>
    <w:rsid w:val="1C3C2691"/>
    <w:rsid w:val="1C591CBD"/>
    <w:rsid w:val="1C88086E"/>
    <w:rsid w:val="1C8848C5"/>
    <w:rsid w:val="1CA626DE"/>
    <w:rsid w:val="1CF072B5"/>
    <w:rsid w:val="1CF3590C"/>
    <w:rsid w:val="1CF6511D"/>
    <w:rsid w:val="1D266CE1"/>
    <w:rsid w:val="1D281E2E"/>
    <w:rsid w:val="1D3963AF"/>
    <w:rsid w:val="1D396623"/>
    <w:rsid w:val="1D6A673C"/>
    <w:rsid w:val="1D7D4EDE"/>
    <w:rsid w:val="1D866C51"/>
    <w:rsid w:val="1D9247AE"/>
    <w:rsid w:val="1DB567EC"/>
    <w:rsid w:val="1DF51A98"/>
    <w:rsid w:val="1E061546"/>
    <w:rsid w:val="1E1D031B"/>
    <w:rsid w:val="1E3D060F"/>
    <w:rsid w:val="1E3F2CA2"/>
    <w:rsid w:val="1E3F7D2E"/>
    <w:rsid w:val="1E4134E4"/>
    <w:rsid w:val="1E5062B3"/>
    <w:rsid w:val="1E523514"/>
    <w:rsid w:val="1E714A66"/>
    <w:rsid w:val="1E802593"/>
    <w:rsid w:val="1E8A0C74"/>
    <w:rsid w:val="1E926D24"/>
    <w:rsid w:val="1EA703CC"/>
    <w:rsid w:val="1EAB7316"/>
    <w:rsid w:val="1EB7330C"/>
    <w:rsid w:val="1EBB6C14"/>
    <w:rsid w:val="1ED94C25"/>
    <w:rsid w:val="1EF33A33"/>
    <w:rsid w:val="1F0A0FF3"/>
    <w:rsid w:val="1F5771FF"/>
    <w:rsid w:val="1F827178"/>
    <w:rsid w:val="1FB17FC4"/>
    <w:rsid w:val="1FB41398"/>
    <w:rsid w:val="1FB44DD1"/>
    <w:rsid w:val="1FB701A0"/>
    <w:rsid w:val="1FC11400"/>
    <w:rsid w:val="1FE868A9"/>
    <w:rsid w:val="1FED68C6"/>
    <w:rsid w:val="20034907"/>
    <w:rsid w:val="20173E4B"/>
    <w:rsid w:val="20230CB1"/>
    <w:rsid w:val="204E48BC"/>
    <w:rsid w:val="205165ED"/>
    <w:rsid w:val="207314EA"/>
    <w:rsid w:val="207618A1"/>
    <w:rsid w:val="208921B3"/>
    <w:rsid w:val="20973DEB"/>
    <w:rsid w:val="20A225DC"/>
    <w:rsid w:val="20B21656"/>
    <w:rsid w:val="20B26522"/>
    <w:rsid w:val="20B44310"/>
    <w:rsid w:val="20CA167B"/>
    <w:rsid w:val="211116EB"/>
    <w:rsid w:val="21300588"/>
    <w:rsid w:val="214D65AC"/>
    <w:rsid w:val="216133FC"/>
    <w:rsid w:val="216D6218"/>
    <w:rsid w:val="218B339D"/>
    <w:rsid w:val="21943B3A"/>
    <w:rsid w:val="219D42FB"/>
    <w:rsid w:val="21A20980"/>
    <w:rsid w:val="21D56769"/>
    <w:rsid w:val="21E52EF3"/>
    <w:rsid w:val="21E80383"/>
    <w:rsid w:val="21F37B8C"/>
    <w:rsid w:val="21FB5D7B"/>
    <w:rsid w:val="21FF40E9"/>
    <w:rsid w:val="220B1C3D"/>
    <w:rsid w:val="221D1D20"/>
    <w:rsid w:val="22334A87"/>
    <w:rsid w:val="223823B0"/>
    <w:rsid w:val="223B461E"/>
    <w:rsid w:val="224A215D"/>
    <w:rsid w:val="22564F79"/>
    <w:rsid w:val="226A2764"/>
    <w:rsid w:val="22946B4C"/>
    <w:rsid w:val="22BE6801"/>
    <w:rsid w:val="22E97C2E"/>
    <w:rsid w:val="22EF72B3"/>
    <w:rsid w:val="22FE58B4"/>
    <w:rsid w:val="233500BF"/>
    <w:rsid w:val="2335101F"/>
    <w:rsid w:val="23377FF7"/>
    <w:rsid w:val="236B425F"/>
    <w:rsid w:val="23836192"/>
    <w:rsid w:val="23901F29"/>
    <w:rsid w:val="239C0061"/>
    <w:rsid w:val="23B908A4"/>
    <w:rsid w:val="23E66E86"/>
    <w:rsid w:val="23E95BEF"/>
    <w:rsid w:val="23FA1E72"/>
    <w:rsid w:val="23FD0064"/>
    <w:rsid w:val="241F09D4"/>
    <w:rsid w:val="24280C5D"/>
    <w:rsid w:val="244E16FB"/>
    <w:rsid w:val="245375B0"/>
    <w:rsid w:val="24642C0A"/>
    <w:rsid w:val="24696293"/>
    <w:rsid w:val="24A14EF1"/>
    <w:rsid w:val="24A546A2"/>
    <w:rsid w:val="24B22173"/>
    <w:rsid w:val="24B95AD9"/>
    <w:rsid w:val="24BB58DA"/>
    <w:rsid w:val="24BE24DA"/>
    <w:rsid w:val="24C51FC1"/>
    <w:rsid w:val="24CF5825"/>
    <w:rsid w:val="24D6561A"/>
    <w:rsid w:val="24D663E6"/>
    <w:rsid w:val="24D77F2B"/>
    <w:rsid w:val="24DD6CA1"/>
    <w:rsid w:val="24E23CAB"/>
    <w:rsid w:val="24FD4E03"/>
    <w:rsid w:val="25203535"/>
    <w:rsid w:val="254F58FD"/>
    <w:rsid w:val="25512259"/>
    <w:rsid w:val="2554268F"/>
    <w:rsid w:val="258624D8"/>
    <w:rsid w:val="258B00E2"/>
    <w:rsid w:val="259E47AB"/>
    <w:rsid w:val="25A917A6"/>
    <w:rsid w:val="25BC45F9"/>
    <w:rsid w:val="25BE27CC"/>
    <w:rsid w:val="25E20EDE"/>
    <w:rsid w:val="25E6005B"/>
    <w:rsid w:val="25F412BF"/>
    <w:rsid w:val="25F74A5C"/>
    <w:rsid w:val="25FC1479"/>
    <w:rsid w:val="261A35B7"/>
    <w:rsid w:val="2628662C"/>
    <w:rsid w:val="262A4866"/>
    <w:rsid w:val="262D45DE"/>
    <w:rsid w:val="26625FFE"/>
    <w:rsid w:val="26A53EF9"/>
    <w:rsid w:val="26A94201"/>
    <w:rsid w:val="26AC274F"/>
    <w:rsid w:val="26AC6F5B"/>
    <w:rsid w:val="26FC5C50"/>
    <w:rsid w:val="27044A29"/>
    <w:rsid w:val="27156FA3"/>
    <w:rsid w:val="271D34C8"/>
    <w:rsid w:val="27267A63"/>
    <w:rsid w:val="272965CC"/>
    <w:rsid w:val="276142BF"/>
    <w:rsid w:val="27783712"/>
    <w:rsid w:val="27907362"/>
    <w:rsid w:val="27F37B6D"/>
    <w:rsid w:val="27F81B22"/>
    <w:rsid w:val="28135E55"/>
    <w:rsid w:val="282F2A8A"/>
    <w:rsid w:val="282F7D11"/>
    <w:rsid w:val="28333E1D"/>
    <w:rsid w:val="28454BD6"/>
    <w:rsid w:val="28455253"/>
    <w:rsid w:val="285144B6"/>
    <w:rsid w:val="28551971"/>
    <w:rsid w:val="28556F7C"/>
    <w:rsid w:val="285B1C53"/>
    <w:rsid w:val="289F7086"/>
    <w:rsid w:val="28A076FE"/>
    <w:rsid w:val="28B53606"/>
    <w:rsid w:val="28C32028"/>
    <w:rsid w:val="28CC490F"/>
    <w:rsid w:val="28DE40AA"/>
    <w:rsid w:val="291C4CD5"/>
    <w:rsid w:val="29297788"/>
    <w:rsid w:val="29327610"/>
    <w:rsid w:val="29345E77"/>
    <w:rsid w:val="293F7E12"/>
    <w:rsid w:val="294C65AD"/>
    <w:rsid w:val="296A6839"/>
    <w:rsid w:val="29726C63"/>
    <w:rsid w:val="29806583"/>
    <w:rsid w:val="298B3C4C"/>
    <w:rsid w:val="299368F8"/>
    <w:rsid w:val="29B06020"/>
    <w:rsid w:val="29D65350"/>
    <w:rsid w:val="29E278FE"/>
    <w:rsid w:val="29F26D24"/>
    <w:rsid w:val="2A07681F"/>
    <w:rsid w:val="2A15033F"/>
    <w:rsid w:val="2A1662C1"/>
    <w:rsid w:val="2A1A0445"/>
    <w:rsid w:val="2A1C7367"/>
    <w:rsid w:val="2A203CDE"/>
    <w:rsid w:val="2A2815FA"/>
    <w:rsid w:val="2A6D6092"/>
    <w:rsid w:val="2A7D76B4"/>
    <w:rsid w:val="2AB73027"/>
    <w:rsid w:val="2B1271A7"/>
    <w:rsid w:val="2B437463"/>
    <w:rsid w:val="2B4A30CE"/>
    <w:rsid w:val="2B5834BC"/>
    <w:rsid w:val="2B7807EE"/>
    <w:rsid w:val="2B81539C"/>
    <w:rsid w:val="2BB82CAC"/>
    <w:rsid w:val="2BBF00EC"/>
    <w:rsid w:val="2BC37CFD"/>
    <w:rsid w:val="2BD5237F"/>
    <w:rsid w:val="2BE536CE"/>
    <w:rsid w:val="2BE758D9"/>
    <w:rsid w:val="2BF02FEB"/>
    <w:rsid w:val="2C09049E"/>
    <w:rsid w:val="2C0A653C"/>
    <w:rsid w:val="2C1577FE"/>
    <w:rsid w:val="2C191F85"/>
    <w:rsid w:val="2C211176"/>
    <w:rsid w:val="2C265003"/>
    <w:rsid w:val="2C38766D"/>
    <w:rsid w:val="2C4F2C55"/>
    <w:rsid w:val="2C7F1411"/>
    <w:rsid w:val="2C800BAA"/>
    <w:rsid w:val="2C933845"/>
    <w:rsid w:val="2CE82D6F"/>
    <w:rsid w:val="2CFE0B0C"/>
    <w:rsid w:val="2D343236"/>
    <w:rsid w:val="2D4859E8"/>
    <w:rsid w:val="2D681B31"/>
    <w:rsid w:val="2D705695"/>
    <w:rsid w:val="2D883E2C"/>
    <w:rsid w:val="2DB57938"/>
    <w:rsid w:val="2DD15014"/>
    <w:rsid w:val="2DD30AAA"/>
    <w:rsid w:val="2DF370D0"/>
    <w:rsid w:val="2DF72DE4"/>
    <w:rsid w:val="2DFB684C"/>
    <w:rsid w:val="2E0220AF"/>
    <w:rsid w:val="2E3130BF"/>
    <w:rsid w:val="2E4B082A"/>
    <w:rsid w:val="2E5D4E86"/>
    <w:rsid w:val="2E5D790B"/>
    <w:rsid w:val="2E85151D"/>
    <w:rsid w:val="2E890FA4"/>
    <w:rsid w:val="2E9A3C18"/>
    <w:rsid w:val="2EBB0FEE"/>
    <w:rsid w:val="2EC63002"/>
    <w:rsid w:val="2EE80C89"/>
    <w:rsid w:val="2F032695"/>
    <w:rsid w:val="2F0A6B38"/>
    <w:rsid w:val="2F2A7853"/>
    <w:rsid w:val="2F946CCB"/>
    <w:rsid w:val="2FC15DA1"/>
    <w:rsid w:val="2FD25781"/>
    <w:rsid w:val="2FE56F9A"/>
    <w:rsid w:val="2FF05A64"/>
    <w:rsid w:val="2FFA6D17"/>
    <w:rsid w:val="2FFD7934"/>
    <w:rsid w:val="300F6772"/>
    <w:rsid w:val="3055181E"/>
    <w:rsid w:val="30714A4E"/>
    <w:rsid w:val="30733ACD"/>
    <w:rsid w:val="308C3862"/>
    <w:rsid w:val="309379D8"/>
    <w:rsid w:val="30945720"/>
    <w:rsid w:val="30A270F7"/>
    <w:rsid w:val="30AF1676"/>
    <w:rsid w:val="30DF1478"/>
    <w:rsid w:val="30EC586F"/>
    <w:rsid w:val="310D7B71"/>
    <w:rsid w:val="31603CAA"/>
    <w:rsid w:val="316A1B6C"/>
    <w:rsid w:val="317E6EFD"/>
    <w:rsid w:val="31810D46"/>
    <w:rsid w:val="318F7408"/>
    <w:rsid w:val="319C6071"/>
    <w:rsid w:val="31AC537E"/>
    <w:rsid w:val="31B20D87"/>
    <w:rsid w:val="31C67F07"/>
    <w:rsid w:val="31E3679B"/>
    <w:rsid w:val="31E732FD"/>
    <w:rsid w:val="31EA7F0B"/>
    <w:rsid w:val="320D2226"/>
    <w:rsid w:val="321B309C"/>
    <w:rsid w:val="32517576"/>
    <w:rsid w:val="326422A3"/>
    <w:rsid w:val="32651EEE"/>
    <w:rsid w:val="3278763F"/>
    <w:rsid w:val="32AC4251"/>
    <w:rsid w:val="32BE5C2C"/>
    <w:rsid w:val="32C52523"/>
    <w:rsid w:val="32CB6BCB"/>
    <w:rsid w:val="32D167D6"/>
    <w:rsid w:val="32DE2AE5"/>
    <w:rsid w:val="32DE7331"/>
    <w:rsid w:val="32E179EF"/>
    <w:rsid w:val="32EF62FB"/>
    <w:rsid w:val="32F32083"/>
    <w:rsid w:val="32FB6478"/>
    <w:rsid w:val="33263B3F"/>
    <w:rsid w:val="334401D4"/>
    <w:rsid w:val="33521343"/>
    <w:rsid w:val="336963EB"/>
    <w:rsid w:val="33816EEB"/>
    <w:rsid w:val="3394210D"/>
    <w:rsid w:val="33EB55CD"/>
    <w:rsid w:val="33EC4C02"/>
    <w:rsid w:val="340D2360"/>
    <w:rsid w:val="3410665D"/>
    <w:rsid w:val="341B793F"/>
    <w:rsid w:val="34211214"/>
    <w:rsid w:val="342E63AB"/>
    <w:rsid w:val="343B39B4"/>
    <w:rsid w:val="344B517A"/>
    <w:rsid w:val="34887F7C"/>
    <w:rsid w:val="34950E68"/>
    <w:rsid w:val="34986E94"/>
    <w:rsid w:val="34AF62C9"/>
    <w:rsid w:val="34CB4388"/>
    <w:rsid w:val="34E0317A"/>
    <w:rsid w:val="34FA6E12"/>
    <w:rsid w:val="350845A1"/>
    <w:rsid w:val="351471C2"/>
    <w:rsid w:val="35284057"/>
    <w:rsid w:val="353B05E8"/>
    <w:rsid w:val="354A571D"/>
    <w:rsid w:val="355A71BE"/>
    <w:rsid w:val="358D5588"/>
    <w:rsid w:val="358E0C66"/>
    <w:rsid w:val="35AF3000"/>
    <w:rsid w:val="35C109F7"/>
    <w:rsid w:val="35E61A4B"/>
    <w:rsid w:val="36050E43"/>
    <w:rsid w:val="360D18D9"/>
    <w:rsid w:val="361249D8"/>
    <w:rsid w:val="36141B42"/>
    <w:rsid w:val="362509BB"/>
    <w:rsid w:val="36267557"/>
    <w:rsid w:val="362F2223"/>
    <w:rsid w:val="36341420"/>
    <w:rsid w:val="363A3B40"/>
    <w:rsid w:val="363D7AB0"/>
    <w:rsid w:val="365302AE"/>
    <w:rsid w:val="36607A0A"/>
    <w:rsid w:val="366E227C"/>
    <w:rsid w:val="366F2E0D"/>
    <w:rsid w:val="367A54B2"/>
    <w:rsid w:val="367B6A5C"/>
    <w:rsid w:val="36A74ADA"/>
    <w:rsid w:val="36AD60D5"/>
    <w:rsid w:val="36B224F9"/>
    <w:rsid w:val="36D84AFC"/>
    <w:rsid w:val="36EC0CC9"/>
    <w:rsid w:val="36F079E2"/>
    <w:rsid w:val="36FD2A53"/>
    <w:rsid w:val="373F410B"/>
    <w:rsid w:val="37472687"/>
    <w:rsid w:val="37767F43"/>
    <w:rsid w:val="37875380"/>
    <w:rsid w:val="379E172D"/>
    <w:rsid w:val="37D611B1"/>
    <w:rsid w:val="37EE7094"/>
    <w:rsid w:val="37EF27B4"/>
    <w:rsid w:val="37FD2787"/>
    <w:rsid w:val="380D2D28"/>
    <w:rsid w:val="38296C89"/>
    <w:rsid w:val="383002EB"/>
    <w:rsid w:val="383B76D4"/>
    <w:rsid w:val="38586797"/>
    <w:rsid w:val="38746539"/>
    <w:rsid w:val="388735B5"/>
    <w:rsid w:val="38B01808"/>
    <w:rsid w:val="38BC0149"/>
    <w:rsid w:val="38D87D1C"/>
    <w:rsid w:val="38F83BFD"/>
    <w:rsid w:val="392011D6"/>
    <w:rsid w:val="39532F4C"/>
    <w:rsid w:val="395B41FD"/>
    <w:rsid w:val="395E35E0"/>
    <w:rsid w:val="39636459"/>
    <w:rsid w:val="396B7F6C"/>
    <w:rsid w:val="398B4281"/>
    <w:rsid w:val="399C5F30"/>
    <w:rsid w:val="39B417A9"/>
    <w:rsid w:val="39D028B8"/>
    <w:rsid w:val="39F03927"/>
    <w:rsid w:val="39FC5695"/>
    <w:rsid w:val="3A006D8E"/>
    <w:rsid w:val="3A07299E"/>
    <w:rsid w:val="3A3651E5"/>
    <w:rsid w:val="3A3E71B9"/>
    <w:rsid w:val="3A485418"/>
    <w:rsid w:val="3A5A161C"/>
    <w:rsid w:val="3A744481"/>
    <w:rsid w:val="3A760A23"/>
    <w:rsid w:val="3A8C7BEF"/>
    <w:rsid w:val="3A906246"/>
    <w:rsid w:val="3ABE5349"/>
    <w:rsid w:val="3ACB4E81"/>
    <w:rsid w:val="3ACE71F3"/>
    <w:rsid w:val="3AD51AE7"/>
    <w:rsid w:val="3AD55B00"/>
    <w:rsid w:val="3B087306"/>
    <w:rsid w:val="3B0E1DB6"/>
    <w:rsid w:val="3B2349B7"/>
    <w:rsid w:val="3B386940"/>
    <w:rsid w:val="3B616CFF"/>
    <w:rsid w:val="3B6259F6"/>
    <w:rsid w:val="3B76296B"/>
    <w:rsid w:val="3B84327E"/>
    <w:rsid w:val="3B8D0753"/>
    <w:rsid w:val="3B976654"/>
    <w:rsid w:val="3BC01EFC"/>
    <w:rsid w:val="3BC20A1A"/>
    <w:rsid w:val="3BCA786A"/>
    <w:rsid w:val="3BD31E2F"/>
    <w:rsid w:val="3BF067E8"/>
    <w:rsid w:val="3BF15831"/>
    <w:rsid w:val="3BF64B2A"/>
    <w:rsid w:val="3C013AF7"/>
    <w:rsid w:val="3C070584"/>
    <w:rsid w:val="3C105946"/>
    <w:rsid w:val="3C3F12A7"/>
    <w:rsid w:val="3C471448"/>
    <w:rsid w:val="3C482CF6"/>
    <w:rsid w:val="3C5E55D5"/>
    <w:rsid w:val="3C5F759A"/>
    <w:rsid w:val="3C6C525A"/>
    <w:rsid w:val="3C9D7F1A"/>
    <w:rsid w:val="3CC41790"/>
    <w:rsid w:val="3CCE23CB"/>
    <w:rsid w:val="3CD17D17"/>
    <w:rsid w:val="3D38685A"/>
    <w:rsid w:val="3D3C7F39"/>
    <w:rsid w:val="3D440F09"/>
    <w:rsid w:val="3D4504A0"/>
    <w:rsid w:val="3D8734BB"/>
    <w:rsid w:val="3D9A11D4"/>
    <w:rsid w:val="3DA16D89"/>
    <w:rsid w:val="3DA364BE"/>
    <w:rsid w:val="3DCF689D"/>
    <w:rsid w:val="3DE041CB"/>
    <w:rsid w:val="3E0D48F6"/>
    <w:rsid w:val="3E1868B4"/>
    <w:rsid w:val="3E1C31E3"/>
    <w:rsid w:val="3E377251"/>
    <w:rsid w:val="3E42664B"/>
    <w:rsid w:val="3E5340FD"/>
    <w:rsid w:val="3E5466DF"/>
    <w:rsid w:val="3E5A161E"/>
    <w:rsid w:val="3E5A7334"/>
    <w:rsid w:val="3E7B5D6B"/>
    <w:rsid w:val="3E835502"/>
    <w:rsid w:val="3E843E66"/>
    <w:rsid w:val="3E8F51FE"/>
    <w:rsid w:val="3E926F87"/>
    <w:rsid w:val="3E9A4DBA"/>
    <w:rsid w:val="3E9A59DE"/>
    <w:rsid w:val="3EAF4836"/>
    <w:rsid w:val="3EC33DFA"/>
    <w:rsid w:val="3F060E16"/>
    <w:rsid w:val="3F1D1096"/>
    <w:rsid w:val="3F237773"/>
    <w:rsid w:val="3F2F0234"/>
    <w:rsid w:val="3F4968F2"/>
    <w:rsid w:val="3F6363FE"/>
    <w:rsid w:val="3F756B8F"/>
    <w:rsid w:val="3F933E4F"/>
    <w:rsid w:val="3F95482B"/>
    <w:rsid w:val="3F9D790B"/>
    <w:rsid w:val="3FCF217F"/>
    <w:rsid w:val="400B2B4E"/>
    <w:rsid w:val="4019356B"/>
    <w:rsid w:val="402211DA"/>
    <w:rsid w:val="40221E5F"/>
    <w:rsid w:val="40255185"/>
    <w:rsid w:val="40592157"/>
    <w:rsid w:val="40594F5C"/>
    <w:rsid w:val="406E1CAE"/>
    <w:rsid w:val="40A0133A"/>
    <w:rsid w:val="40C31A53"/>
    <w:rsid w:val="40CE6CD8"/>
    <w:rsid w:val="40EA4B3A"/>
    <w:rsid w:val="40F86F73"/>
    <w:rsid w:val="40FF545D"/>
    <w:rsid w:val="410067C8"/>
    <w:rsid w:val="410977B9"/>
    <w:rsid w:val="41317FAA"/>
    <w:rsid w:val="413E142A"/>
    <w:rsid w:val="41434603"/>
    <w:rsid w:val="41451EB0"/>
    <w:rsid w:val="41886BED"/>
    <w:rsid w:val="418F0D2A"/>
    <w:rsid w:val="41C41FEF"/>
    <w:rsid w:val="41C540E3"/>
    <w:rsid w:val="41D01505"/>
    <w:rsid w:val="41D513F8"/>
    <w:rsid w:val="41E21279"/>
    <w:rsid w:val="42235626"/>
    <w:rsid w:val="42474939"/>
    <w:rsid w:val="424C3C57"/>
    <w:rsid w:val="42613FF3"/>
    <w:rsid w:val="42660D96"/>
    <w:rsid w:val="427044C9"/>
    <w:rsid w:val="428667D2"/>
    <w:rsid w:val="42CD1CE0"/>
    <w:rsid w:val="42D513EF"/>
    <w:rsid w:val="42E1381E"/>
    <w:rsid w:val="42E3079B"/>
    <w:rsid w:val="42ED6459"/>
    <w:rsid w:val="42F56D1C"/>
    <w:rsid w:val="42FE58DD"/>
    <w:rsid w:val="43111AE3"/>
    <w:rsid w:val="43174B3D"/>
    <w:rsid w:val="434B790E"/>
    <w:rsid w:val="4360274F"/>
    <w:rsid w:val="437111C4"/>
    <w:rsid w:val="43977AB6"/>
    <w:rsid w:val="43A3342B"/>
    <w:rsid w:val="43C77C27"/>
    <w:rsid w:val="43DE09EE"/>
    <w:rsid w:val="43F04790"/>
    <w:rsid w:val="44002FAD"/>
    <w:rsid w:val="440F1B40"/>
    <w:rsid w:val="44277A11"/>
    <w:rsid w:val="443456C6"/>
    <w:rsid w:val="449101DD"/>
    <w:rsid w:val="44BE1138"/>
    <w:rsid w:val="44D3373B"/>
    <w:rsid w:val="44DE1391"/>
    <w:rsid w:val="451B225C"/>
    <w:rsid w:val="452410C9"/>
    <w:rsid w:val="45317DFB"/>
    <w:rsid w:val="45614D6A"/>
    <w:rsid w:val="45662085"/>
    <w:rsid w:val="456D3CE4"/>
    <w:rsid w:val="4579042C"/>
    <w:rsid w:val="457F0571"/>
    <w:rsid w:val="45851176"/>
    <w:rsid w:val="459A54C7"/>
    <w:rsid w:val="459B020E"/>
    <w:rsid w:val="45C63B94"/>
    <w:rsid w:val="45E873F4"/>
    <w:rsid w:val="45FC0DC8"/>
    <w:rsid w:val="460E7DA5"/>
    <w:rsid w:val="46422483"/>
    <w:rsid w:val="4650482D"/>
    <w:rsid w:val="46556D54"/>
    <w:rsid w:val="4659254A"/>
    <w:rsid w:val="465B0637"/>
    <w:rsid w:val="465E3F0D"/>
    <w:rsid w:val="466A16E6"/>
    <w:rsid w:val="46831E89"/>
    <w:rsid w:val="46893F2B"/>
    <w:rsid w:val="469F26E2"/>
    <w:rsid w:val="46C4686E"/>
    <w:rsid w:val="47277C75"/>
    <w:rsid w:val="4732782B"/>
    <w:rsid w:val="474867D0"/>
    <w:rsid w:val="47660BD4"/>
    <w:rsid w:val="47687E9E"/>
    <w:rsid w:val="477B778F"/>
    <w:rsid w:val="478203EC"/>
    <w:rsid w:val="479A69B3"/>
    <w:rsid w:val="47AF14D8"/>
    <w:rsid w:val="47B025FA"/>
    <w:rsid w:val="47C95108"/>
    <w:rsid w:val="47DF1896"/>
    <w:rsid w:val="4809698F"/>
    <w:rsid w:val="480E1A32"/>
    <w:rsid w:val="4811697D"/>
    <w:rsid w:val="481C35BD"/>
    <w:rsid w:val="482B769C"/>
    <w:rsid w:val="48363DDF"/>
    <w:rsid w:val="484E6866"/>
    <w:rsid w:val="487A3E25"/>
    <w:rsid w:val="488B5503"/>
    <w:rsid w:val="48937E21"/>
    <w:rsid w:val="489A0361"/>
    <w:rsid w:val="48B94FF3"/>
    <w:rsid w:val="48D10D45"/>
    <w:rsid w:val="48E37AAB"/>
    <w:rsid w:val="48EB4EE5"/>
    <w:rsid w:val="48F56C21"/>
    <w:rsid w:val="48FD4B4C"/>
    <w:rsid w:val="49065717"/>
    <w:rsid w:val="490A68E0"/>
    <w:rsid w:val="491055FE"/>
    <w:rsid w:val="492316F4"/>
    <w:rsid w:val="49265A58"/>
    <w:rsid w:val="494C032D"/>
    <w:rsid w:val="495B0CDA"/>
    <w:rsid w:val="495F53A2"/>
    <w:rsid w:val="495F5B3E"/>
    <w:rsid w:val="496F77D7"/>
    <w:rsid w:val="497654FD"/>
    <w:rsid w:val="497D18F5"/>
    <w:rsid w:val="49A912EF"/>
    <w:rsid w:val="49B64211"/>
    <w:rsid w:val="49C16D01"/>
    <w:rsid w:val="49EC19E3"/>
    <w:rsid w:val="49F6167F"/>
    <w:rsid w:val="4A064FA0"/>
    <w:rsid w:val="4A081F3E"/>
    <w:rsid w:val="4A1429D9"/>
    <w:rsid w:val="4A16615C"/>
    <w:rsid w:val="4A4424D7"/>
    <w:rsid w:val="4A477C20"/>
    <w:rsid w:val="4A555393"/>
    <w:rsid w:val="4A8462CC"/>
    <w:rsid w:val="4AAF6758"/>
    <w:rsid w:val="4AB57F09"/>
    <w:rsid w:val="4AB82D0F"/>
    <w:rsid w:val="4AC6332B"/>
    <w:rsid w:val="4ADA0FF4"/>
    <w:rsid w:val="4AE44467"/>
    <w:rsid w:val="4AEB7664"/>
    <w:rsid w:val="4AF866FC"/>
    <w:rsid w:val="4AFD7C19"/>
    <w:rsid w:val="4B0567D1"/>
    <w:rsid w:val="4B0B5FE9"/>
    <w:rsid w:val="4B1A58FA"/>
    <w:rsid w:val="4B202D2A"/>
    <w:rsid w:val="4B236AAE"/>
    <w:rsid w:val="4B2658D3"/>
    <w:rsid w:val="4B287662"/>
    <w:rsid w:val="4B3A016C"/>
    <w:rsid w:val="4B5745EF"/>
    <w:rsid w:val="4B707271"/>
    <w:rsid w:val="4B8235BE"/>
    <w:rsid w:val="4B8565CB"/>
    <w:rsid w:val="4B9739F7"/>
    <w:rsid w:val="4B9A7F47"/>
    <w:rsid w:val="4BE33801"/>
    <w:rsid w:val="4BEE2503"/>
    <w:rsid w:val="4C245A30"/>
    <w:rsid w:val="4C347B82"/>
    <w:rsid w:val="4C390E20"/>
    <w:rsid w:val="4C467DD8"/>
    <w:rsid w:val="4C5411CB"/>
    <w:rsid w:val="4C6859E2"/>
    <w:rsid w:val="4C712CC9"/>
    <w:rsid w:val="4CB6685F"/>
    <w:rsid w:val="4CC367FE"/>
    <w:rsid w:val="4CDA4E74"/>
    <w:rsid w:val="4D077F3C"/>
    <w:rsid w:val="4D123355"/>
    <w:rsid w:val="4D2A3B31"/>
    <w:rsid w:val="4D2D5C0D"/>
    <w:rsid w:val="4D305DD0"/>
    <w:rsid w:val="4D312C52"/>
    <w:rsid w:val="4D321AA2"/>
    <w:rsid w:val="4D5A094C"/>
    <w:rsid w:val="4D905305"/>
    <w:rsid w:val="4D964A72"/>
    <w:rsid w:val="4D9C1254"/>
    <w:rsid w:val="4DAD6184"/>
    <w:rsid w:val="4DB6429C"/>
    <w:rsid w:val="4DCB532A"/>
    <w:rsid w:val="4DDE6F54"/>
    <w:rsid w:val="4DEC4224"/>
    <w:rsid w:val="4DFA4064"/>
    <w:rsid w:val="4E00563B"/>
    <w:rsid w:val="4E135638"/>
    <w:rsid w:val="4E14488F"/>
    <w:rsid w:val="4E3C460C"/>
    <w:rsid w:val="4E72199E"/>
    <w:rsid w:val="4E793892"/>
    <w:rsid w:val="4E7C1C4F"/>
    <w:rsid w:val="4E800872"/>
    <w:rsid w:val="4E9546A4"/>
    <w:rsid w:val="4EA63FB1"/>
    <w:rsid w:val="4EBF3DC6"/>
    <w:rsid w:val="4EC569ED"/>
    <w:rsid w:val="4EC67560"/>
    <w:rsid w:val="4ED50EA1"/>
    <w:rsid w:val="4EEC050C"/>
    <w:rsid w:val="4F0C285A"/>
    <w:rsid w:val="4F104EC3"/>
    <w:rsid w:val="4F47332A"/>
    <w:rsid w:val="4F47354A"/>
    <w:rsid w:val="4F5A2377"/>
    <w:rsid w:val="4F727F27"/>
    <w:rsid w:val="4F740DBF"/>
    <w:rsid w:val="4F8F22C7"/>
    <w:rsid w:val="4F911C54"/>
    <w:rsid w:val="4FE625E0"/>
    <w:rsid w:val="4FF4783A"/>
    <w:rsid w:val="50051425"/>
    <w:rsid w:val="5011098A"/>
    <w:rsid w:val="50184046"/>
    <w:rsid w:val="501B2902"/>
    <w:rsid w:val="501F7A55"/>
    <w:rsid w:val="5021480F"/>
    <w:rsid w:val="50274FB3"/>
    <w:rsid w:val="50717C31"/>
    <w:rsid w:val="50962ECB"/>
    <w:rsid w:val="509D6131"/>
    <w:rsid w:val="50A42E38"/>
    <w:rsid w:val="50A4577F"/>
    <w:rsid w:val="50A6228D"/>
    <w:rsid w:val="50B73D1F"/>
    <w:rsid w:val="50BD5BC9"/>
    <w:rsid w:val="50C11EEE"/>
    <w:rsid w:val="50E97CFC"/>
    <w:rsid w:val="50FA4028"/>
    <w:rsid w:val="51020CFC"/>
    <w:rsid w:val="510D65B7"/>
    <w:rsid w:val="511157AB"/>
    <w:rsid w:val="51155BC7"/>
    <w:rsid w:val="512F0241"/>
    <w:rsid w:val="5142540C"/>
    <w:rsid w:val="5166581A"/>
    <w:rsid w:val="51742C14"/>
    <w:rsid w:val="518832C8"/>
    <w:rsid w:val="51A0432A"/>
    <w:rsid w:val="51A86090"/>
    <w:rsid w:val="51B51FC4"/>
    <w:rsid w:val="51B7396D"/>
    <w:rsid w:val="51C91DA5"/>
    <w:rsid w:val="51CF7E5F"/>
    <w:rsid w:val="51E55D5E"/>
    <w:rsid w:val="51F01837"/>
    <w:rsid w:val="520F6E70"/>
    <w:rsid w:val="522E4CC3"/>
    <w:rsid w:val="5244713B"/>
    <w:rsid w:val="525927D9"/>
    <w:rsid w:val="52615633"/>
    <w:rsid w:val="52643DFA"/>
    <w:rsid w:val="52977FD4"/>
    <w:rsid w:val="52A25790"/>
    <w:rsid w:val="52A96B6F"/>
    <w:rsid w:val="52B45975"/>
    <w:rsid w:val="52D94AA4"/>
    <w:rsid w:val="52EA3A62"/>
    <w:rsid w:val="52EE1164"/>
    <w:rsid w:val="52F50BB8"/>
    <w:rsid w:val="53097272"/>
    <w:rsid w:val="532A732B"/>
    <w:rsid w:val="533D45D0"/>
    <w:rsid w:val="535403AA"/>
    <w:rsid w:val="53544462"/>
    <w:rsid w:val="53767ECF"/>
    <w:rsid w:val="539026D3"/>
    <w:rsid w:val="5397158E"/>
    <w:rsid w:val="53AD499F"/>
    <w:rsid w:val="53C73548"/>
    <w:rsid w:val="53ED274B"/>
    <w:rsid w:val="53F40423"/>
    <w:rsid w:val="54013861"/>
    <w:rsid w:val="54301130"/>
    <w:rsid w:val="543924F7"/>
    <w:rsid w:val="54487265"/>
    <w:rsid w:val="544D6070"/>
    <w:rsid w:val="54605E1E"/>
    <w:rsid w:val="54A52642"/>
    <w:rsid w:val="54B3506A"/>
    <w:rsid w:val="54CA0D16"/>
    <w:rsid w:val="54D15A5C"/>
    <w:rsid w:val="54DD4057"/>
    <w:rsid w:val="54E7490F"/>
    <w:rsid w:val="54FB1F4F"/>
    <w:rsid w:val="550764A4"/>
    <w:rsid w:val="550B2BF6"/>
    <w:rsid w:val="55214EB5"/>
    <w:rsid w:val="55364EFD"/>
    <w:rsid w:val="55422745"/>
    <w:rsid w:val="555D4828"/>
    <w:rsid w:val="555F72BC"/>
    <w:rsid w:val="556C2217"/>
    <w:rsid w:val="557A4C8B"/>
    <w:rsid w:val="558931E1"/>
    <w:rsid w:val="558C17CB"/>
    <w:rsid w:val="55923347"/>
    <w:rsid w:val="55925180"/>
    <w:rsid w:val="55983B1B"/>
    <w:rsid w:val="55A8376B"/>
    <w:rsid w:val="55AC6EAF"/>
    <w:rsid w:val="55B36671"/>
    <w:rsid w:val="55DC29B6"/>
    <w:rsid w:val="55DD4241"/>
    <w:rsid w:val="561574D0"/>
    <w:rsid w:val="561F05EF"/>
    <w:rsid w:val="5622671D"/>
    <w:rsid w:val="56307C91"/>
    <w:rsid w:val="563E2F42"/>
    <w:rsid w:val="56440BC9"/>
    <w:rsid w:val="56556E34"/>
    <w:rsid w:val="56690A0E"/>
    <w:rsid w:val="566B6D1E"/>
    <w:rsid w:val="56843691"/>
    <w:rsid w:val="568675F1"/>
    <w:rsid w:val="56996BA4"/>
    <w:rsid w:val="56CF6DD1"/>
    <w:rsid w:val="56F6744A"/>
    <w:rsid w:val="56FE213E"/>
    <w:rsid w:val="57032A2C"/>
    <w:rsid w:val="570E524C"/>
    <w:rsid w:val="570F5219"/>
    <w:rsid w:val="575A099F"/>
    <w:rsid w:val="575D12B5"/>
    <w:rsid w:val="57610A87"/>
    <w:rsid w:val="576437A1"/>
    <w:rsid w:val="577B1140"/>
    <w:rsid w:val="577B7F21"/>
    <w:rsid w:val="577C080A"/>
    <w:rsid w:val="577F181B"/>
    <w:rsid w:val="57921984"/>
    <w:rsid w:val="57942BCF"/>
    <w:rsid w:val="579737F0"/>
    <w:rsid w:val="57AB7B30"/>
    <w:rsid w:val="57AF5251"/>
    <w:rsid w:val="57B26373"/>
    <w:rsid w:val="57B63F04"/>
    <w:rsid w:val="57C87B5F"/>
    <w:rsid w:val="57CD20C2"/>
    <w:rsid w:val="57D675AB"/>
    <w:rsid w:val="57D95FDD"/>
    <w:rsid w:val="57DC07EF"/>
    <w:rsid w:val="58557E42"/>
    <w:rsid w:val="588D07E3"/>
    <w:rsid w:val="58917D2F"/>
    <w:rsid w:val="5894085C"/>
    <w:rsid w:val="58AE4F0C"/>
    <w:rsid w:val="58B85899"/>
    <w:rsid w:val="58D37AC2"/>
    <w:rsid w:val="58E363A9"/>
    <w:rsid w:val="58ED6777"/>
    <w:rsid w:val="590D5504"/>
    <w:rsid w:val="591A5CE0"/>
    <w:rsid w:val="59502244"/>
    <w:rsid w:val="5950339E"/>
    <w:rsid w:val="595E1678"/>
    <w:rsid w:val="596D5BD4"/>
    <w:rsid w:val="597E3DD8"/>
    <w:rsid w:val="59AB24E2"/>
    <w:rsid w:val="59B855EC"/>
    <w:rsid w:val="59CD4306"/>
    <w:rsid w:val="59DC6A4E"/>
    <w:rsid w:val="59F80043"/>
    <w:rsid w:val="5A011D79"/>
    <w:rsid w:val="5A09252F"/>
    <w:rsid w:val="5A0A4A0F"/>
    <w:rsid w:val="5A0B2778"/>
    <w:rsid w:val="5A2A7C7B"/>
    <w:rsid w:val="5A3C418C"/>
    <w:rsid w:val="5A3E2560"/>
    <w:rsid w:val="5A4D5398"/>
    <w:rsid w:val="5A586AB5"/>
    <w:rsid w:val="5A5D3B6E"/>
    <w:rsid w:val="5A637A76"/>
    <w:rsid w:val="5A6D33BA"/>
    <w:rsid w:val="5A792B1F"/>
    <w:rsid w:val="5A874767"/>
    <w:rsid w:val="5AAD6F28"/>
    <w:rsid w:val="5AB66079"/>
    <w:rsid w:val="5AC1633C"/>
    <w:rsid w:val="5ACA42ED"/>
    <w:rsid w:val="5AD63A24"/>
    <w:rsid w:val="5AE57D00"/>
    <w:rsid w:val="5B2E1A1D"/>
    <w:rsid w:val="5B405596"/>
    <w:rsid w:val="5B603EA6"/>
    <w:rsid w:val="5B677D12"/>
    <w:rsid w:val="5B6920DD"/>
    <w:rsid w:val="5B796B74"/>
    <w:rsid w:val="5B843A1C"/>
    <w:rsid w:val="5B873E3F"/>
    <w:rsid w:val="5B891C60"/>
    <w:rsid w:val="5BBB199F"/>
    <w:rsid w:val="5BBE0697"/>
    <w:rsid w:val="5BC85E12"/>
    <w:rsid w:val="5BCE321C"/>
    <w:rsid w:val="5C02690E"/>
    <w:rsid w:val="5C0D76A7"/>
    <w:rsid w:val="5C196DA7"/>
    <w:rsid w:val="5C2A048C"/>
    <w:rsid w:val="5C2A7EDB"/>
    <w:rsid w:val="5C366300"/>
    <w:rsid w:val="5C80234E"/>
    <w:rsid w:val="5C8A680C"/>
    <w:rsid w:val="5CA06AA7"/>
    <w:rsid w:val="5CA320F3"/>
    <w:rsid w:val="5CC07C54"/>
    <w:rsid w:val="5CC9253B"/>
    <w:rsid w:val="5CE70762"/>
    <w:rsid w:val="5D04475E"/>
    <w:rsid w:val="5D0C4701"/>
    <w:rsid w:val="5D0F0395"/>
    <w:rsid w:val="5D221076"/>
    <w:rsid w:val="5D23130F"/>
    <w:rsid w:val="5D35572F"/>
    <w:rsid w:val="5D397964"/>
    <w:rsid w:val="5D4C15FB"/>
    <w:rsid w:val="5D5A391C"/>
    <w:rsid w:val="5D5F10C0"/>
    <w:rsid w:val="5D7F7DC7"/>
    <w:rsid w:val="5D891B7B"/>
    <w:rsid w:val="5D8C078B"/>
    <w:rsid w:val="5D9052C8"/>
    <w:rsid w:val="5DA969E5"/>
    <w:rsid w:val="5DAD38EE"/>
    <w:rsid w:val="5DB744C7"/>
    <w:rsid w:val="5DB858CC"/>
    <w:rsid w:val="5DB87C4A"/>
    <w:rsid w:val="5DFA3E8D"/>
    <w:rsid w:val="5DFB5897"/>
    <w:rsid w:val="5E006862"/>
    <w:rsid w:val="5E0207B9"/>
    <w:rsid w:val="5E0E0E5D"/>
    <w:rsid w:val="5E0F3676"/>
    <w:rsid w:val="5E1834A1"/>
    <w:rsid w:val="5E261785"/>
    <w:rsid w:val="5E3B7C0A"/>
    <w:rsid w:val="5E4A7017"/>
    <w:rsid w:val="5E527935"/>
    <w:rsid w:val="5E552BBA"/>
    <w:rsid w:val="5E611C10"/>
    <w:rsid w:val="5E7B1827"/>
    <w:rsid w:val="5EE36348"/>
    <w:rsid w:val="5EE6361D"/>
    <w:rsid w:val="5EFC7377"/>
    <w:rsid w:val="5F06174D"/>
    <w:rsid w:val="5F3A3602"/>
    <w:rsid w:val="5F4A699C"/>
    <w:rsid w:val="5F4E11B3"/>
    <w:rsid w:val="5F5F3FFB"/>
    <w:rsid w:val="5F6277C6"/>
    <w:rsid w:val="5F6C5B41"/>
    <w:rsid w:val="5F6D0B1D"/>
    <w:rsid w:val="5F8D0B82"/>
    <w:rsid w:val="5F9A48E0"/>
    <w:rsid w:val="5FCC5339"/>
    <w:rsid w:val="5FE34A5B"/>
    <w:rsid w:val="5FFE1E36"/>
    <w:rsid w:val="60232584"/>
    <w:rsid w:val="60234696"/>
    <w:rsid w:val="60267099"/>
    <w:rsid w:val="602D2EAB"/>
    <w:rsid w:val="603119CC"/>
    <w:rsid w:val="606B239A"/>
    <w:rsid w:val="607330CE"/>
    <w:rsid w:val="60825176"/>
    <w:rsid w:val="609F2AC4"/>
    <w:rsid w:val="60A13753"/>
    <w:rsid w:val="60AB193D"/>
    <w:rsid w:val="60C1286F"/>
    <w:rsid w:val="60D928D4"/>
    <w:rsid w:val="60F63BC5"/>
    <w:rsid w:val="60FA2EE8"/>
    <w:rsid w:val="61054A27"/>
    <w:rsid w:val="610A52BC"/>
    <w:rsid w:val="611C7021"/>
    <w:rsid w:val="611D2366"/>
    <w:rsid w:val="6127203B"/>
    <w:rsid w:val="6129571B"/>
    <w:rsid w:val="61421856"/>
    <w:rsid w:val="614A1A56"/>
    <w:rsid w:val="615227C4"/>
    <w:rsid w:val="61654E3F"/>
    <w:rsid w:val="6182292A"/>
    <w:rsid w:val="619722D8"/>
    <w:rsid w:val="619F7BF2"/>
    <w:rsid w:val="619F7F92"/>
    <w:rsid w:val="61BA471A"/>
    <w:rsid w:val="61C41617"/>
    <w:rsid w:val="61D86ABF"/>
    <w:rsid w:val="61F94C26"/>
    <w:rsid w:val="62000E56"/>
    <w:rsid w:val="62023209"/>
    <w:rsid w:val="622771C9"/>
    <w:rsid w:val="622933B4"/>
    <w:rsid w:val="622C3CDC"/>
    <w:rsid w:val="624D4764"/>
    <w:rsid w:val="624F3E49"/>
    <w:rsid w:val="62524E44"/>
    <w:rsid w:val="62632286"/>
    <w:rsid w:val="6274565F"/>
    <w:rsid w:val="62885958"/>
    <w:rsid w:val="628B648E"/>
    <w:rsid w:val="629135A9"/>
    <w:rsid w:val="62D239C2"/>
    <w:rsid w:val="62F40B65"/>
    <w:rsid w:val="62FC2CFE"/>
    <w:rsid w:val="63024505"/>
    <w:rsid w:val="634C2483"/>
    <w:rsid w:val="635B1DB5"/>
    <w:rsid w:val="6367081C"/>
    <w:rsid w:val="636C6F02"/>
    <w:rsid w:val="63711FED"/>
    <w:rsid w:val="63861D4A"/>
    <w:rsid w:val="63880DDC"/>
    <w:rsid w:val="63893198"/>
    <w:rsid w:val="638D750D"/>
    <w:rsid w:val="63AC6CC0"/>
    <w:rsid w:val="63DC01BA"/>
    <w:rsid w:val="63F67F8C"/>
    <w:rsid w:val="63F97D33"/>
    <w:rsid w:val="64047EBD"/>
    <w:rsid w:val="64055776"/>
    <w:rsid w:val="640C491B"/>
    <w:rsid w:val="6411553D"/>
    <w:rsid w:val="64240056"/>
    <w:rsid w:val="643E143A"/>
    <w:rsid w:val="644358EB"/>
    <w:rsid w:val="6453651E"/>
    <w:rsid w:val="64577FDA"/>
    <w:rsid w:val="64897E81"/>
    <w:rsid w:val="648B6EEF"/>
    <w:rsid w:val="64AE5BC4"/>
    <w:rsid w:val="64B33EF5"/>
    <w:rsid w:val="64C158BF"/>
    <w:rsid w:val="64CE2EAA"/>
    <w:rsid w:val="64F71717"/>
    <w:rsid w:val="65323E09"/>
    <w:rsid w:val="653C3090"/>
    <w:rsid w:val="6541026A"/>
    <w:rsid w:val="654C2C27"/>
    <w:rsid w:val="65563D40"/>
    <w:rsid w:val="65732439"/>
    <w:rsid w:val="657C6F31"/>
    <w:rsid w:val="65854376"/>
    <w:rsid w:val="658767BE"/>
    <w:rsid w:val="65892531"/>
    <w:rsid w:val="65C2529C"/>
    <w:rsid w:val="661743CE"/>
    <w:rsid w:val="66195831"/>
    <w:rsid w:val="662E75B1"/>
    <w:rsid w:val="66342C2E"/>
    <w:rsid w:val="663E784C"/>
    <w:rsid w:val="66436A84"/>
    <w:rsid w:val="66441F4C"/>
    <w:rsid w:val="66696EA0"/>
    <w:rsid w:val="668B6A45"/>
    <w:rsid w:val="669018E6"/>
    <w:rsid w:val="66F97760"/>
    <w:rsid w:val="67081FCE"/>
    <w:rsid w:val="672F3F24"/>
    <w:rsid w:val="673E055F"/>
    <w:rsid w:val="67551CE3"/>
    <w:rsid w:val="676854AA"/>
    <w:rsid w:val="678B13C2"/>
    <w:rsid w:val="67955078"/>
    <w:rsid w:val="67A22552"/>
    <w:rsid w:val="67AD168C"/>
    <w:rsid w:val="67B22DCC"/>
    <w:rsid w:val="67BE71AA"/>
    <w:rsid w:val="67D1178D"/>
    <w:rsid w:val="67D6260D"/>
    <w:rsid w:val="67D90273"/>
    <w:rsid w:val="67DE5875"/>
    <w:rsid w:val="67E1192C"/>
    <w:rsid w:val="67E55852"/>
    <w:rsid w:val="67EB1AB4"/>
    <w:rsid w:val="67F301F6"/>
    <w:rsid w:val="67FA1285"/>
    <w:rsid w:val="68044D6C"/>
    <w:rsid w:val="68150768"/>
    <w:rsid w:val="6820446B"/>
    <w:rsid w:val="68551F4F"/>
    <w:rsid w:val="685A7A6B"/>
    <w:rsid w:val="68636E98"/>
    <w:rsid w:val="68701026"/>
    <w:rsid w:val="687C10C9"/>
    <w:rsid w:val="68840C16"/>
    <w:rsid w:val="68876EFB"/>
    <w:rsid w:val="68884654"/>
    <w:rsid w:val="6895522C"/>
    <w:rsid w:val="689F444F"/>
    <w:rsid w:val="68B96DBB"/>
    <w:rsid w:val="68CA2805"/>
    <w:rsid w:val="68CA6D14"/>
    <w:rsid w:val="68CD1E6D"/>
    <w:rsid w:val="68DC2E94"/>
    <w:rsid w:val="68E937A3"/>
    <w:rsid w:val="68F777F0"/>
    <w:rsid w:val="69057A35"/>
    <w:rsid w:val="691E6E52"/>
    <w:rsid w:val="692A4476"/>
    <w:rsid w:val="693E15D3"/>
    <w:rsid w:val="693F28A8"/>
    <w:rsid w:val="69602413"/>
    <w:rsid w:val="69627681"/>
    <w:rsid w:val="6977531D"/>
    <w:rsid w:val="69CC2BFF"/>
    <w:rsid w:val="69CE1F7E"/>
    <w:rsid w:val="69CE6915"/>
    <w:rsid w:val="69DB4FA3"/>
    <w:rsid w:val="69FD55B8"/>
    <w:rsid w:val="6A0B1C62"/>
    <w:rsid w:val="6A121CC0"/>
    <w:rsid w:val="6A2406C8"/>
    <w:rsid w:val="6A280B87"/>
    <w:rsid w:val="6A744BA3"/>
    <w:rsid w:val="6A794AED"/>
    <w:rsid w:val="6AB37B13"/>
    <w:rsid w:val="6AD55CE9"/>
    <w:rsid w:val="6ADE0BD1"/>
    <w:rsid w:val="6AE31D39"/>
    <w:rsid w:val="6AE96859"/>
    <w:rsid w:val="6B0037D0"/>
    <w:rsid w:val="6B017D1F"/>
    <w:rsid w:val="6B147746"/>
    <w:rsid w:val="6B1836B0"/>
    <w:rsid w:val="6B1906C5"/>
    <w:rsid w:val="6B24787C"/>
    <w:rsid w:val="6B28141A"/>
    <w:rsid w:val="6B3629AC"/>
    <w:rsid w:val="6B3B7C58"/>
    <w:rsid w:val="6B4B51B3"/>
    <w:rsid w:val="6B573233"/>
    <w:rsid w:val="6B5B6274"/>
    <w:rsid w:val="6B935D53"/>
    <w:rsid w:val="6BC12A93"/>
    <w:rsid w:val="6C104EAA"/>
    <w:rsid w:val="6C196F71"/>
    <w:rsid w:val="6C200D43"/>
    <w:rsid w:val="6C226FCB"/>
    <w:rsid w:val="6C2748E8"/>
    <w:rsid w:val="6C290C62"/>
    <w:rsid w:val="6C310D9F"/>
    <w:rsid w:val="6C31226F"/>
    <w:rsid w:val="6C4C60EA"/>
    <w:rsid w:val="6C552F0B"/>
    <w:rsid w:val="6C632BE5"/>
    <w:rsid w:val="6C6D3F96"/>
    <w:rsid w:val="6C742EAF"/>
    <w:rsid w:val="6C810FB5"/>
    <w:rsid w:val="6C875C29"/>
    <w:rsid w:val="6C8A3666"/>
    <w:rsid w:val="6C8C67B7"/>
    <w:rsid w:val="6C9D744C"/>
    <w:rsid w:val="6CAE51D1"/>
    <w:rsid w:val="6CB26D11"/>
    <w:rsid w:val="6CB60689"/>
    <w:rsid w:val="6CC30911"/>
    <w:rsid w:val="6CD501CE"/>
    <w:rsid w:val="6D0108D1"/>
    <w:rsid w:val="6D1243BA"/>
    <w:rsid w:val="6D167928"/>
    <w:rsid w:val="6D26299B"/>
    <w:rsid w:val="6D3755C1"/>
    <w:rsid w:val="6D4772EC"/>
    <w:rsid w:val="6D9078AF"/>
    <w:rsid w:val="6D9F0A1C"/>
    <w:rsid w:val="6DA90B3A"/>
    <w:rsid w:val="6DAA3FEF"/>
    <w:rsid w:val="6DB12D71"/>
    <w:rsid w:val="6DB14CA1"/>
    <w:rsid w:val="6DBD255B"/>
    <w:rsid w:val="6DC0172B"/>
    <w:rsid w:val="6DCB38E7"/>
    <w:rsid w:val="6DCB690C"/>
    <w:rsid w:val="6DD41A5B"/>
    <w:rsid w:val="6DF43C2E"/>
    <w:rsid w:val="6DF51CA3"/>
    <w:rsid w:val="6E0E3860"/>
    <w:rsid w:val="6E6346FF"/>
    <w:rsid w:val="6E6D7EA3"/>
    <w:rsid w:val="6E762ECC"/>
    <w:rsid w:val="6E832D2A"/>
    <w:rsid w:val="6E8335BD"/>
    <w:rsid w:val="6E8E12EF"/>
    <w:rsid w:val="6E972936"/>
    <w:rsid w:val="6EB07E8C"/>
    <w:rsid w:val="6EB12E8A"/>
    <w:rsid w:val="6ED446C5"/>
    <w:rsid w:val="6EEB212F"/>
    <w:rsid w:val="6F1371B7"/>
    <w:rsid w:val="6F1D21CB"/>
    <w:rsid w:val="6F2A7D94"/>
    <w:rsid w:val="6F2D73BB"/>
    <w:rsid w:val="6F3B0456"/>
    <w:rsid w:val="6F413DD7"/>
    <w:rsid w:val="6F4B66E2"/>
    <w:rsid w:val="6F580B31"/>
    <w:rsid w:val="6F5C79C8"/>
    <w:rsid w:val="6F8331F1"/>
    <w:rsid w:val="6F9D4F0E"/>
    <w:rsid w:val="6FAD4D5F"/>
    <w:rsid w:val="6FAE1A09"/>
    <w:rsid w:val="6FD75BF8"/>
    <w:rsid w:val="6FE612C0"/>
    <w:rsid w:val="703E42F6"/>
    <w:rsid w:val="705044E9"/>
    <w:rsid w:val="706106E4"/>
    <w:rsid w:val="70647D21"/>
    <w:rsid w:val="706C5D52"/>
    <w:rsid w:val="707723D0"/>
    <w:rsid w:val="708C7918"/>
    <w:rsid w:val="709431F1"/>
    <w:rsid w:val="70D84E7D"/>
    <w:rsid w:val="70DC4898"/>
    <w:rsid w:val="70F5661B"/>
    <w:rsid w:val="71360107"/>
    <w:rsid w:val="713B688E"/>
    <w:rsid w:val="718B476A"/>
    <w:rsid w:val="718F7B3C"/>
    <w:rsid w:val="71A651C1"/>
    <w:rsid w:val="71BA6175"/>
    <w:rsid w:val="71C17CD4"/>
    <w:rsid w:val="71C201A2"/>
    <w:rsid w:val="71D43752"/>
    <w:rsid w:val="71E2499D"/>
    <w:rsid w:val="71E6567A"/>
    <w:rsid w:val="71EC53D2"/>
    <w:rsid w:val="71F1796A"/>
    <w:rsid w:val="71F366D0"/>
    <w:rsid w:val="72154626"/>
    <w:rsid w:val="72262B5D"/>
    <w:rsid w:val="72283FF7"/>
    <w:rsid w:val="722E7212"/>
    <w:rsid w:val="723A0474"/>
    <w:rsid w:val="725923E4"/>
    <w:rsid w:val="72667C2B"/>
    <w:rsid w:val="72864BF7"/>
    <w:rsid w:val="729023FC"/>
    <w:rsid w:val="72902726"/>
    <w:rsid w:val="72AE4EBA"/>
    <w:rsid w:val="72DC4918"/>
    <w:rsid w:val="72E23734"/>
    <w:rsid w:val="72EA3467"/>
    <w:rsid w:val="72F1593A"/>
    <w:rsid w:val="730E13F4"/>
    <w:rsid w:val="733576B1"/>
    <w:rsid w:val="733900AD"/>
    <w:rsid w:val="733C3538"/>
    <w:rsid w:val="737E00D4"/>
    <w:rsid w:val="739375B7"/>
    <w:rsid w:val="73A100A9"/>
    <w:rsid w:val="73BA79F4"/>
    <w:rsid w:val="73C0646E"/>
    <w:rsid w:val="73C962D3"/>
    <w:rsid w:val="74000D4E"/>
    <w:rsid w:val="742222F5"/>
    <w:rsid w:val="74257E84"/>
    <w:rsid w:val="742E4AAD"/>
    <w:rsid w:val="74476126"/>
    <w:rsid w:val="74706664"/>
    <w:rsid w:val="747F3682"/>
    <w:rsid w:val="749C4185"/>
    <w:rsid w:val="75067759"/>
    <w:rsid w:val="75067D99"/>
    <w:rsid w:val="750D3860"/>
    <w:rsid w:val="75293877"/>
    <w:rsid w:val="752E6DCD"/>
    <w:rsid w:val="75380E91"/>
    <w:rsid w:val="7551380D"/>
    <w:rsid w:val="75600BE5"/>
    <w:rsid w:val="7564475C"/>
    <w:rsid w:val="7583797F"/>
    <w:rsid w:val="758670E9"/>
    <w:rsid w:val="759F1CC8"/>
    <w:rsid w:val="75AA4F56"/>
    <w:rsid w:val="75D20F1D"/>
    <w:rsid w:val="75DA2C18"/>
    <w:rsid w:val="75DF1289"/>
    <w:rsid w:val="75F54412"/>
    <w:rsid w:val="76082FC9"/>
    <w:rsid w:val="761D08E0"/>
    <w:rsid w:val="765D347C"/>
    <w:rsid w:val="76603AAD"/>
    <w:rsid w:val="76826699"/>
    <w:rsid w:val="76874ADB"/>
    <w:rsid w:val="76940FC8"/>
    <w:rsid w:val="769D0586"/>
    <w:rsid w:val="76BF0084"/>
    <w:rsid w:val="76C87133"/>
    <w:rsid w:val="76CD08D5"/>
    <w:rsid w:val="76DB4B92"/>
    <w:rsid w:val="76DE21E6"/>
    <w:rsid w:val="76F46F0E"/>
    <w:rsid w:val="76F91759"/>
    <w:rsid w:val="76FA09E4"/>
    <w:rsid w:val="76FA18D5"/>
    <w:rsid w:val="77052AA4"/>
    <w:rsid w:val="77136511"/>
    <w:rsid w:val="77340A39"/>
    <w:rsid w:val="77351FD0"/>
    <w:rsid w:val="77472422"/>
    <w:rsid w:val="7754573C"/>
    <w:rsid w:val="776B6F4E"/>
    <w:rsid w:val="776D6208"/>
    <w:rsid w:val="777F31F2"/>
    <w:rsid w:val="778E7ECA"/>
    <w:rsid w:val="77C90A29"/>
    <w:rsid w:val="77D1700D"/>
    <w:rsid w:val="77E76824"/>
    <w:rsid w:val="77EC04CC"/>
    <w:rsid w:val="78206050"/>
    <w:rsid w:val="784A2847"/>
    <w:rsid w:val="784F7387"/>
    <w:rsid w:val="785F7C2A"/>
    <w:rsid w:val="78775729"/>
    <w:rsid w:val="78A413EB"/>
    <w:rsid w:val="78A42DB0"/>
    <w:rsid w:val="78A656AB"/>
    <w:rsid w:val="78B2245C"/>
    <w:rsid w:val="78CB6823"/>
    <w:rsid w:val="78E172CC"/>
    <w:rsid w:val="78EA1D1F"/>
    <w:rsid w:val="7904172F"/>
    <w:rsid w:val="79082F9B"/>
    <w:rsid w:val="790F7E27"/>
    <w:rsid w:val="79276409"/>
    <w:rsid w:val="792A231A"/>
    <w:rsid w:val="79316829"/>
    <w:rsid w:val="793863B8"/>
    <w:rsid w:val="793B0498"/>
    <w:rsid w:val="79423DD2"/>
    <w:rsid w:val="79476DBB"/>
    <w:rsid w:val="79481CCC"/>
    <w:rsid w:val="79567CD3"/>
    <w:rsid w:val="797E66A9"/>
    <w:rsid w:val="797F02EB"/>
    <w:rsid w:val="79A97383"/>
    <w:rsid w:val="79CF7865"/>
    <w:rsid w:val="79D16C11"/>
    <w:rsid w:val="79E27E8B"/>
    <w:rsid w:val="79E37A6B"/>
    <w:rsid w:val="79F62E8B"/>
    <w:rsid w:val="79F850CE"/>
    <w:rsid w:val="79FB765D"/>
    <w:rsid w:val="79FD443C"/>
    <w:rsid w:val="7A06744E"/>
    <w:rsid w:val="7A175FDE"/>
    <w:rsid w:val="7A1D1975"/>
    <w:rsid w:val="7A2B3559"/>
    <w:rsid w:val="7A3E5150"/>
    <w:rsid w:val="7A4670D6"/>
    <w:rsid w:val="7A534B63"/>
    <w:rsid w:val="7A615382"/>
    <w:rsid w:val="7A62156C"/>
    <w:rsid w:val="7A67303B"/>
    <w:rsid w:val="7A701B26"/>
    <w:rsid w:val="7AAB1D04"/>
    <w:rsid w:val="7AB36C95"/>
    <w:rsid w:val="7ABA4368"/>
    <w:rsid w:val="7AD05746"/>
    <w:rsid w:val="7AEF2F09"/>
    <w:rsid w:val="7B1055E1"/>
    <w:rsid w:val="7B257FFD"/>
    <w:rsid w:val="7B343476"/>
    <w:rsid w:val="7B4930FE"/>
    <w:rsid w:val="7B577790"/>
    <w:rsid w:val="7B5A2978"/>
    <w:rsid w:val="7B5A7E4C"/>
    <w:rsid w:val="7B667AF9"/>
    <w:rsid w:val="7B6B0493"/>
    <w:rsid w:val="7B7468F8"/>
    <w:rsid w:val="7B9333CA"/>
    <w:rsid w:val="7BC51246"/>
    <w:rsid w:val="7BEE0103"/>
    <w:rsid w:val="7C0A0FE4"/>
    <w:rsid w:val="7C254906"/>
    <w:rsid w:val="7C3F2F0A"/>
    <w:rsid w:val="7C4B4CD1"/>
    <w:rsid w:val="7C590818"/>
    <w:rsid w:val="7C7C10F6"/>
    <w:rsid w:val="7C853BEA"/>
    <w:rsid w:val="7C881368"/>
    <w:rsid w:val="7C8E3F6A"/>
    <w:rsid w:val="7CA958D3"/>
    <w:rsid w:val="7CC5545D"/>
    <w:rsid w:val="7CE27788"/>
    <w:rsid w:val="7D0C32F1"/>
    <w:rsid w:val="7D0E311A"/>
    <w:rsid w:val="7D0F408D"/>
    <w:rsid w:val="7D292F5A"/>
    <w:rsid w:val="7D3B7633"/>
    <w:rsid w:val="7D491C6C"/>
    <w:rsid w:val="7D5429C0"/>
    <w:rsid w:val="7D6E6D43"/>
    <w:rsid w:val="7D9179DC"/>
    <w:rsid w:val="7DAD35F0"/>
    <w:rsid w:val="7DB57A34"/>
    <w:rsid w:val="7DD96787"/>
    <w:rsid w:val="7DE60973"/>
    <w:rsid w:val="7DEF0916"/>
    <w:rsid w:val="7E1E5218"/>
    <w:rsid w:val="7E28061C"/>
    <w:rsid w:val="7E3853AE"/>
    <w:rsid w:val="7E637641"/>
    <w:rsid w:val="7E7D2782"/>
    <w:rsid w:val="7E9A4E1F"/>
    <w:rsid w:val="7EA7723A"/>
    <w:rsid w:val="7EE57339"/>
    <w:rsid w:val="7EF56FBB"/>
    <w:rsid w:val="7EF722A7"/>
    <w:rsid w:val="7F0768EB"/>
    <w:rsid w:val="7F143BEC"/>
    <w:rsid w:val="7F4B0D99"/>
    <w:rsid w:val="7F660B0D"/>
    <w:rsid w:val="7F715AF2"/>
    <w:rsid w:val="7F831C52"/>
    <w:rsid w:val="7F886E69"/>
    <w:rsid w:val="7F89043E"/>
    <w:rsid w:val="7FA7B816"/>
    <w:rsid w:val="7FDBE7B0"/>
    <w:rsid w:val="7FE35C28"/>
    <w:rsid w:val="7FFD4FCF"/>
    <w:rsid w:val="BB7FA927"/>
    <w:rsid w:val="F5FFD31F"/>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168"/>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3">
    <w:name w:val="Default Paragraph Font"/>
    <w:unhideWhenUsed/>
    <w:qFormat/>
    <w:uiPriority w:val="1"/>
  </w:style>
  <w:style w:type="table" w:default="1" w:styleId="73">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styleId="11">
    <w:name w:val="annotation subject"/>
    <w:basedOn w:val="12"/>
    <w:next w:val="12"/>
    <w:link w:val="98"/>
    <w:qFormat/>
    <w:uiPriority w:val="0"/>
    <w:rPr>
      <w:b/>
      <w:bCs/>
    </w:rPr>
  </w:style>
  <w:style w:type="paragraph" w:styleId="12">
    <w:name w:val="annotation text"/>
    <w:basedOn w:val="1"/>
    <w:link w:val="347"/>
    <w:qFormat/>
    <w:uiPriority w:val="99"/>
    <w:pPr>
      <w:jc w:val="left"/>
    </w:pPr>
  </w:style>
  <w:style w:type="paragraph" w:styleId="13">
    <w:name w:val="toc 7"/>
    <w:basedOn w:val="1"/>
    <w:next w:val="1"/>
    <w:qFormat/>
    <w:uiPriority w:val="0"/>
    <w:pPr>
      <w:ind w:left="2520" w:leftChars="1200"/>
    </w:pPr>
  </w:style>
  <w:style w:type="paragraph" w:styleId="14">
    <w:name w:val="Body Text First Indent"/>
    <w:basedOn w:val="15"/>
    <w:next w:val="1"/>
    <w:link w:val="324"/>
    <w:qFormat/>
    <w:uiPriority w:val="0"/>
    <w:pPr>
      <w:ind w:firstLine="420"/>
    </w:pPr>
    <w:rPr>
      <w:rFonts w:hAnsi="Calibri" w:cs="Times New Roman"/>
      <w:snapToGrid/>
      <w:szCs w:val="20"/>
    </w:rPr>
  </w:style>
  <w:style w:type="paragraph" w:styleId="15">
    <w:name w:val="Body Text"/>
    <w:basedOn w:val="1"/>
    <w:next w:val="1"/>
    <w:link w:val="433"/>
    <w:qFormat/>
    <w:uiPriority w:val="0"/>
    <w:pPr>
      <w:autoSpaceDE w:val="0"/>
      <w:autoSpaceDN w:val="0"/>
      <w:spacing w:line="360" w:lineRule="auto"/>
    </w:pPr>
    <w:rPr>
      <w:rFonts w:ascii="宋体" w:hAnsi="Arial" w:cs="Arial"/>
      <w:snapToGrid w:val="0"/>
      <w:sz w:val="24"/>
      <w:szCs w:val="21"/>
      <w:lang w:val="zh-CN"/>
    </w:rPr>
  </w:style>
  <w:style w:type="paragraph" w:styleId="16">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Normal Indent"/>
    <w:basedOn w:val="1"/>
    <w:next w:val="20"/>
    <w:link w:val="195"/>
    <w:qFormat/>
    <w:uiPriority w:val="0"/>
    <w:pPr>
      <w:widowControl/>
      <w:snapToGrid w:val="0"/>
      <w:spacing w:line="480" w:lineRule="exact"/>
      <w:ind w:firstLine="567"/>
    </w:pPr>
    <w:rPr>
      <w:rFonts w:ascii="宋体"/>
      <w:snapToGrid w:val="0"/>
      <w:color w:val="000000"/>
      <w:kern w:val="28"/>
      <w:sz w:val="28"/>
      <w:szCs w:val="20"/>
    </w:rPr>
  </w:style>
  <w:style w:type="paragraph" w:styleId="20">
    <w:name w:val="Body Text Indent"/>
    <w:basedOn w:val="1"/>
    <w:next w:val="19"/>
    <w:link w:val="267"/>
    <w:qFormat/>
    <w:uiPriority w:val="0"/>
    <w:pPr>
      <w:spacing w:line="480" w:lineRule="exact"/>
      <w:ind w:firstLine="480" w:firstLineChars="200"/>
    </w:pPr>
    <w:rPr>
      <w:rFonts w:ascii="宋体" w:hAnsi="宋体"/>
      <w:sz w:val="24"/>
    </w:rPr>
  </w:style>
  <w:style w:type="paragraph" w:styleId="21">
    <w:name w:val="caption"/>
    <w:basedOn w:val="1"/>
    <w:next w:val="1"/>
    <w:link w:val="231"/>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204"/>
    <w:qFormat/>
    <w:uiPriority w:val="0"/>
    <w:pPr>
      <w:shd w:val="clear" w:color="auto" w:fill="000080"/>
    </w:pPr>
  </w:style>
  <w:style w:type="paragraph" w:styleId="24">
    <w:name w:val="toa heading"/>
    <w:basedOn w:val="1"/>
    <w:next w:val="1"/>
    <w:unhideWhenUsed/>
    <w:qFormat/>
    <w:uiPriority w:val="99"/>
    <w:rPr>
      <w:rFonts w:ascii="Arial" w:hAnsi="Arial"/>
      <w:sz w:val="24"/>
    </w:rPr>
  </w:style>
  <w:style w:type="paragraph" w:styleId="25">
    <w:name w:val="Salutation"/>
    <w:basedOn w:val="1"/>
    <w:next w:val="1"/>
    <w:link w:val="300"/>
    <w:qFormat/>
    <w:uiPriority w:val="0"/>
    <w:rPr>
      <w:rFonts w:ascii="FangSong_GB2312" w:eastAsia="FangSong_GB2312"/>
      <w:sz w:val="28"/>
      <w:szCs w:val="20"/>
    </w:rPr>
  </w:style>
  <w:style w:type="paragraph" w:styleId="26">
    <w:name w:val="Body Text 3"/>
    <w:basedOn w:val="1"/>
    <w:link w:val="333"/>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FangSong_GB2312" w:eastAsia="FangSong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7"/>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3"/>
    <w:qFormat/>
    <w:uiPriority w:val="0"/>
    <w:pPr>
      <w:ind w:left="100" w:leftChars="2500"/>
    </w:pPr>
    <w:rPr>
      <w:rFonts w:ascii="宋体"/>
      <w:sz w:val="24"/>
      <w:szCs w:val="21"/>
      <w:lang w:val="zh-CN"/>
    </w:rPr>
  </w:style>
  <w:style w:type="paragraph" w:styleId="39">
    <w:name w:val="Body Text Indent 2"/>
    <w:basedOn w:val="1"/>
    <w:next w:val="40"/>
    <w:link w:val="310"/>
    <w:qFormat/>
    <w:uiPriority w:val="0"/>
    <w:pPr>
      <w:spacing w:line="360" w:lineRule="auto"/>
      <w:ind w:firstLine="601"/>
      <w:textAlignment w:val="baseline"/>
    </w:pPr>
    <w:rPr>
      <w:rFonts w:ascii="宋体"/>
      <w:kern w:val="0"/>
      <w:sz w:val="28"/>
      <w:szCs w:val="20"/>
    </w:rPr>
  </w:style>
  <w:style w:type="paragraph" w:styleId="40">
    <w:name w:val="toc 1"/>
    <w:basedOn w:val="1"/>
    <w:next w:val="1"/>
    <w:qFormat/>
    <w:uiPriority w:val="0"/>
  </w:style>
  <w:style w:type="paragraph" w:styleId="41">
    <w:name w:val="endnote text"/>
    <w:basedOn w:val="1"/>
    <w:link w:val="932"/>
    <w:qFormat/>
    <w:uiPriority w:val="0"/>
    <w:rPr>
      <w:lang w:val="zh-CN"/>
    </w:rPr>
  </w:style>
  <w:style w:type="paragraph" w:styleId="42">
    <w:name w:val="Balloon Text"/>
    <w:basedOn w:val="1"/>
    <w:link w:val="190"/>
    <w:qFormat/>
    <w:uiPriority w:val="0"/>
    <w:rPr>
      <w:sz w:val="18"/>
      <w:szCs w:val="18"/>
    </w:rPr>
  </w:style>
  <w:style w:type="paragraph" w:styleId="43">
    <w:name w:val="footer"/>
    <w:basedOn w:val="1"/>
    <w:link w:val="386"/>
    <w:qFormat/>
    <w:uiPriority w:val="99"/>
    <w:pPr>
      <w:tabs>
        <w:tab w:val="center" w:pos="4153"/>
        <w:tab w:val="right" w:pos="8306"/>
      </w:tabs>
      <w:snapToGrid w:val="0"/>
      <w:jc w:val="left"/>
    </w:pPr>
    <w:rPr>
      <w:sz w:val="18"/>
      <w:szCs w:val="18"/>
    </w:rPr>
  </w:style>
  <w:style w:type="paragraph" w:styleId="44">
    <w:name w:val="Body Text First Indent 2"/>
    <w:basedOn w:val="20"/>
    <w:next w:val="1"/>
    <w:link w:val="123"/>
    <w:qFormat/>
    <w:uiPriority w:val="0"/>
    <w:pPr>
      <w:adjustRightInd/>
      <w:spacing w:after="120" w:line="240" w:lineRule="auto"/>
      <w:ind w:left="420" w:leftChars="200" w:firstLine="210"/>
    </w:pPr>
    <w:rPr>
      <w:sz w:val="21"/>
    </w:rPr>
  </w:style>
  <w:style w:type="paragraph" w:styleId="45">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8"/>
    <w:qFormat/>
    <w:uiPriority w:val="0"/>
    <w:pPr>
      <w:spacing w:after="600" w:line="312" w:lineRule="atLeast"/>
      <w:jc w:val="center"/>
      <w:textAlignment w:val="baseline"/>
    </w:pPr>
    <w:rPr>
      <w:rFonts w:eastAsia="FangSong_GB2312"/>
      <w:kern w:val="0"/>
      <w:sz w:val="24"/>
      <w:szCs w:val="20"/>
    </w:rPr>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19"/>
    <w:link w:val="312"/>
    <w:qFormat/>
    <w:uiPriority w:val="0"/>
    <w:pPr>
      <w:adjustRightInd/>
      <w:snapToGrid/>
      <w:spacing w:before="60" w:after="60" w:line="300" w:lineRule="exact"/>
      <w:ind w:firstLine="0"/>
    </w:pPr>
    <w:rPr>
      <w:rFonts w:ascii="Calibri"/>
      <w:snapToGrid/>
      <w:color w:val="0000FF"/>
      <w:kern w:val="0"/>
      <w:sz w:val="21"/>
    </w:rPr>
  </w:style>
  <w:style w:type="paragraph" w:styleId="54">
    <w:name w:val="toc 6"/>
    <w:basedOn w:val="1"/>
    <w:next w:val="1"/>
    <w:qFormat/>
    <w:uiPriority w:val="0"/>
    <w:pPr>
      <w:ind w:left="2100" w:leftChars="1000"/>
    </w:p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8"/>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4"/>
    <w:qFormat/>
    <w:uiPriority w:val="0"/>
    <w:pPr>
      <w:spacing w:after="120" w:line="480" w:lineRule="auto"/>
    </w:pPr>
  </w:style>
  <w:style w:type="paragraph" w:styleId="60">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288"/>
    <w:qFormat/>
    <w:uiPriority w:val="10"/>
    <w:pPr>
      <w:widowControl/>
      <w:overflowPunct w:val="0"/>
      <w:autoSpaceDE w:val="0"/>
      <w:autoSpaceDN w:val="0"/>
      <w:jc w:val="center"/>
      <w:textAlignment w:val="baseline"/>
    </w:pPr>
    <w:rPr>
      <w:b/>
      <w:kern w:val="0"/>
      <w:sz w:val="24"/>
      <w:szCs w:val="20"/>
      <w:lang w:val="en-GB"/>
    </w:rPr>
  </w:style>
  <w:style w:type="character" w:styleId="64">
    <w:name w:val="Strong"/>
    <w:qFormat/>
    <w:uiPriority w:val="22"/>
    <w:rPr>
      <w:b/>
      <w:bCs/>
    </w:rPr>
  </w:style>
  <w:style w:type="character" w:styleId="65">
    <w:name w:val="endnote reference"/>
    <w:qFormat/>
    <w:uiPriority w:val="0"/>
    <w:rPr>
      <w:vertAlign w:val="superscript"/>
    </w:rPr>
  </w:style>
  <w:style w:type="character" w:styleId="66">
    <w:name w:val="page number"/>
    <w:basedOn w:val="63"/>
    <w:qFormat/>
    <w:uiPriority w:val="0"/>
    <w:rPr>
      <w:rFonts w:ascii="Arial" w:hAnsi="Arial" w:eastAsia="黑体" w:cs="Arial"/>
      <w:snapToGrid w:val="0"/>
      <w:kern w:val="0"/>
      <w:szCs w:val="21"/>
    </w:rPr>
  </w:style>
  <w:style w:type="character" w:styleId="67">
    <w:name w:val="FollowedHyperlink"/>
    <w:qFormat/>
    <w:uiPriority w:val="99"/>
    <w:rPr>
      <w:rFonts w:ascii="Arial" w:hAnsi="Arial" w:eastAsia="黑体" w:cs="Arial"/>
      <w:snapToGrid w:val="0"/>
      <w:color w:val="000000"/>
      <w:kern w:val="0"/>
      <w:sz w:val="18"/>
      <w:szCs w:val="18"/>
      <w:u w:val="none"/>
    </w:rPr>
  </w:style>
  <w:style w:type="character" w:styleId="68">
    <w:name w:val="Emphasis"/>
    <w:qFormat/>
    <w:uiPriority w:val="20"/>
    <w:rPr>
      <w:color w:val="CC0033"/>
    </w:rPr>
  </w:style>
  <w:style w:type="character" w:styleId="69">
    <w:name w:val="line number"/>
    <w:basedOn w:val="63"/>
    <w:qFormat/>
    <w:uiPriority w:val="0"/>
    <w:rPr>
      <w:rFonts w:ascii="Arial" w:hAnsi="Arial" w:eastAsia="黑体" w:cs="Arial"/>
      <w:snapToGrid w:val="0"/>
      <w:kern w:val="0"/>
      <w:szCs w:val="21"/>
    </w:rPr>
  </w:style>
  <w:style w:type="character" w:styleId="70">
    <w:name w:val="Hyperlink"/>
    <w:basedOn w:val="63"/>
    <w:qFormat/>
    <w:uiPriority w:val="99"/>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table" w:styleId="74">
    <w:name w:val="Table Grid"/>
    <w:basedOn w:val="7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5">
    <w:name w:val="Table Theme"/>
    <w:basedOn w:val="7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6">
    <w:name w:val="Table Elegant"/>
    <w:basedOn w:val="7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caps/>
        <w:color w:val="auto"/>
      </w:rPr>
      <w:tblPr>
        <w:tblLayout w:type="fixed"/>
      </w:tblPr>
      <w:tcPr>
        <w:tcBorders>
          <w:top w:val="nil"/>
          <w:left w:val="nil"/>
          <w:bottom w:val="nil"/>
          <w:right w:val="nil"/>
          <w:insideH w:val="nil"/>
          <w:insideV w:val="nil"/>
          <w:tl2br w:val="nil"/>
          <w:tr2bl w:val="nil"/>
        </w:tcBorders>
      </w:tcPr>
    </w:tblStylePr>
  </w:style>
  <w:style w:type="table" w:styleId="77">
    <w:name w:val="Table Grid 5"/>
    <w:basedOn w:val="7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tblPr>
        <w:tblLayout w:type="fixed"/>
      </w:tblPr>
      <w:tcPr>
        <w:tcBorders>
          <w:top w:val="nil"/>
          <w:left w:val="nil"/>
          <w:bottom w:val="single" w:color="000000" w:sz="12" w:space="0"/>
          <w:right w:val="nil"/>
          <w:insideH w:val="nil"/>
          <w:insideV w:val="nil"/>
          <w:tl2br w:val="nil"/>
          <w:tr2bl w:val="nil"/>
        </w:tcBorders>
      </w:tcPr>
    </w:tblStylePr>
    <w:tblStylePr w:type="lastRow">
      <w:rPr>
        <w:b/>
        <w:bCs/>
      </w:rPr>
      <w:tblPr>
        <w:tblLayout w:type="fixed"/>
      </w:tblPr>
      <w:tcPr>
        <w:tcBorders>
          <w:top w:val="nil"/>
          <w:left w:val="nil"/>
          <w:bottom w:val="nil"/>
          <w:right w:val="nil"/>
          <w:insideH w:val="nil"/>
          <w:insideV w:val="nil"/>
          <w:tl2br w:val="nil"/>
          <w:tr2bl w:val="nil"/>
        </w:tcBorders>
      </w:tcPr>
    </w:tblStylePr>
    <w:tblStylePr w:type="lastCol">
      <w:rPr>
        <w:b/>
        <w:bCs/>
      </w:rPr>
      <w:tblPr>
        <w:tblLayout w:type="fixed"/>
      </w:tblPr>
      <w:tcPr>
        <w:tcBorders>
          <w:top w:val="nil"/>
          <w:left w:val="nil"/>
          <w:bottom w:val="nil"/>
          <w:right w:val="nil"/>
          <w:insideH w:val="nil"/>
          <w:insideV w:val="nil"/>
          <w:tl2br w:val="nil"/>
          <w:tr2bl w:val="nil"/>
        </w:tcBorders>
      </w:tcPr>
    </w:tblStylePr>
    <w:tblStylePr w:type="nwCell">
      <w:tblPr>
        <w:tblLayout w:type="fixed"/>
      </w:tblPr>
      <w:tcPr>
        <w:tcBorders>
          <w:top w:val="nil"/>
          <w:left w:val="nil"/>
          <w:bottom w:val="nil"/>
          <w:right w:val="nil"/>
          <w:insideH w:val="nil"/>
          <w:insideV w:val="nil"/>
          <w:tl2br w:val="single" w:color="000000" w:sz="6" w:space="0"/>
          <w:tr2bl w:val="nil"/>
        </w:tcBorders>
      </w:tcPr>
    </w:tblStylePr>
  </w:style>
  <w:style w:type="table" w:styleId="78">
    <w:name w:val="Table Grid 8"/>
    <w:basedOn w:val="7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CellMar>
        <w:top w:w="0" w:type="dxa"/>
        <w:left w:w="108" w:type="dxa"/>
        <w:bottom w:w="0" w:type="dxa"/>
        <w:right w:w="108" w:type="dxa"/>
      </w:tblCellMar>
    </w:tblPr>
    <w:tcPr>
      <w:shd w:val="clear" w:color="auto" w:fill="auto"/>
    </w:tcPr>
    <w:tblStylePr w:type="firstRow">
      <w:rPr>
        <w:b/>
        <w:bCs/>
        <w:color w:val="FFFFFF"/>
      </w:rPr>
      <w:tblPr>
        <w:tblLayout w:type="fixed"/>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blLayout w:type="fixed"/>
      </w:tblPr>
      <w:tcPr>
        <w:tcBorders>
          <w:top w:val="nil"/>
          <w:left w:val="nil"/>
          <w:bottom w:val="nil"/>
          <w:right w:val="nil"/>
          <w:insideH w:val="nil"/>
          <w:insideV w:val="nil"/>
          <w:tl2br w:val="nil"/>
          <w:tr2bl w:val="nil"/>
        </w:tcBorders>
      </w:tcPr>
    </w:tblStylePr>
    <w:tblStylePr w:type="lastCol">
      <w:rPr>
        <w:b/>
        <w:bCs/>
        <w:color w:val="auto"/>
      </w:rPr>
      <w:tblPr>
        <w:tblLayout w:type="fixed"/>
      </w:tblPr>
      <w:tcPr>
        <w:tcBorders>
          <w:top w:val="nil"/>
          <w:left w:val="nil"/>
          <w:bottom w:val="nil"/>
          <w:right w:val="nil"/>
          <w:insideH w:val="nil"/>
          <w:insideV w:val="nil"/>
          <w:tl2br w:val="nil"/>
          <w:tr2bl w:val="nil"/>
        </w:tcBorders>
      </w:tcPr>
    </w:tblStylePr>
  </w:style>
  <w:style w:type="table" w:styleId="79">
    <w:name w:val="Table Professional"/>
    <w:basedOn w:val="7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b/>
        <w:bCs/>
        <w:color w:val="auto"/>
      </w:rPr>
      <w:tblPr>
        <w:tblLayout w:type="fixed"/>
      </w:tblPr>
      <w:tcPr>
        <w:tcBorders>
          <w:top w:val="nil"/>
          <w:left w:val="nil"/>
          <w:bottom w:val="nil"/>
          <w:right w:val="nil"/>
          <w:insideH w:val="nil"/>
          <w:insideV w:val="nil"/>
          <w:tl2br w:val="nil"/>
          <w:tr2bl w:val="nil"/>
        </w:tcBorders>
        <w:shd w:val="solid" w:color="000000" w:fill="FFFFFF"/>
      </w:tcPr>
    </w:tblStylePr>
  </w:style>
  <w:style w:type="paragraph" w:customStyle="1" w:styleId="8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81">
    <w:name w:val="Heading2"/>
    <w:basedOn w:val="1"/>
    <w:next w:val="1"/>
    <w:qFormat/>
    <w:uiPriority w:val="0"/>
    <w:pPr>
      <w:keepNext/>
      <w:keepLines/>
      <w:spacing w:before="340" w:after="340" w:line="415" w:lineRule="auto"/>
      <w:jc w:val="both"/>
      <w:textAlignment w:val="baseline"/>
    </w:pPr>
    <w:rPr>
      <w:rFonts w:ascii="Arial" w:hAnsi="Arial" w:eastAsia="黑体" w:cs="Times New Roman"/>
      <w:b/>
      <w:bCs/>
      <w:kern w:val="2"/>
      <w:sz w:val="32"/>
      <w:szCs w:val="32"/>
      <w:lang w:val="en-US" w:eastAsia="zh-CN" w:bidi="ar-SA"/>
    </w:rPr>
  </w:style>
  <w:style w:type="paragraph" w:customStyle="1" w:styleId="82">
    <w:name w:val="表格文字"/>
    <w:basedOn w:val="83"/>
    <w:next w:val="15"/>
    <w:qFormat/>
    <w:uiPriority w:val="0"/>
    <w:pPr>
      <w:adjustRightInd/>
      <w:ind w:firstLine="200" w:firstLineChars="200"/>
    </w:pPr>
    <w:rPr>
      <w:rFonts w:ascii="Arial" w:hAnsi="Arial"/>
      <w:spacing w:val="-5"/>
      <w:kern w:val="0"/>
      <w:sz w:val="24"/>
      <w:szCs w:val="20"/>
    </w:rPr>
  </w:style>
  <w:style w:type="paragraph" w:customStyle="1" w:styleId="83">
    <w:name w:val="表格文字（两侧对齐）"/>
    <w:basedOn w:val="1"/>
    <w:qFormat/>
    <w:uiPriority w:val="0"/>
    <w:pPr>
      <w:snapToGrid w:val="0"/>
      <w:jc w:val="left"/>
    </w:pPr>
    <w:rPr>
      <w:sz w:val="20"/>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FangSong_GB2312" w:hAnsi="FangSong_GB2312" w:eastAsia="FangSong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11"/>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FangSong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FangSong_GB2312" w:hAnsi="微软雅黑" w:eastAsia="FangSong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FangSong_GB2312" w:hAnsi="微软雅黑" w:eastAsia="FangSong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FangSong_GB2312" w:hAnsi="宋体" w:eastAsia="FangSong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FangSong_GB2312" w:eastAsia="FangSong_GB2312"/>
      <w:b/>
      <w:bCs/>
      <w:kern w:val="2"/>
      <w:sz w:val="24"/>
      <w:szCs w:val="24"/>
      <w:lang w:val="zh-CN" w:eastAsia="zh-CN" w:bidi="ar-SA"/>
    </w:rPr>
  </w:style>
  <w:style w:type="character" w:customStyle="1" w:styleId="123">
    <w:name w:val="正文首行缩进 2 Char"/>
    <w:link w:val="44"/>
    <w:qFormat/>
    <w:uiPriority w:val="0"/>
    <w:rPr>
      <w:rFonts w:ascii="宋体" w:hAnsi="宋体"/>
      <w:kern w:val="2"/>
      <w:sz w:val="21"/>
      <w:szCs w:val="24"/>
    </w:rPr>
  </w:style>
  <w:style w:type="character" w:customStyle="1" w:styleId="124">
    <w:name w:val="font11"/>
    <w:basedOn w:val="63"/>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3"/>
    <w:qFormat/>
    <w:uiPriority w:val="0"/>
    <w:rPr>
      <w:rFonts w:ascii="Arial" w:hAnsi="Arial" w:eastAsia="黑体" w:cs="Arial"/>
      <w:snapToGrid w:val="0"/>
      <w:kern w:val="0"/>
      <w:szCs w:val="21"/>
    </w:rPr>
  </w:style>
  <w:style w:type="character" w:customStyle="1" w:styleId="127">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FangSong_GB2312" w:hAnsi="仿宋" w:eastAsia="FangSong_GB2312"/>
      <w:kern w:val="2"/>
      <w:sz w:val="24"/>
      <w:szCs w:val="24"/>
    </w:rPr>
  </w:style>
  <w:style w:type="character" w:customStyle="1" w:styleId="130">
    <w:name w:val="样式4 Char"/>
    <w:qFormat/>
    <w:uiPriority w:val="0"/>
    <w:rPr>
      <w:rFonts w:ascii="FangSong_GB2312" w:hAnsi="仿宋" w:eastAsia="FangSong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50"/>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FangSong_GB2312" w:hAnsi="仿宋" w:eastAsia="FangSong_GB2312"/>
      <w:b/>
      <w:kern w:val="2"/>
      <w:sz w:val="24"/>
      <w:szCs w:val="24"/>
    </w:rPr>
  </w:style>
  <w:style w:type="character" w:customStyle="1" w:styleId="144">
    <w:name w:val="font12gray1"/>
    <w:qFormat/>
    <w:uiPriority w:val="0"/>
    <w:rPr>
      <w:rFonts w:ascii="FangSong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FangSong_GB2312" w:eastAsia="FangSong_GB2312" w:cs="FangSong_GB2312"/>
      <w:color w:val="000000"/>
      <w:sz w:val="22"/>
      <w:szCs w:val="22"/>
      <w:u w:val="none"/>
    </w:rPr>
  </w:style>
  <w:style w:type="character" w:customStyle="1" w:styleId="149">
    <w:name w:val="标题 6 Char"/>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FangSong_GB2312" w:hAnsi="FangSong_GB2312" w:eastAsia="FangSong_GB2312"/>
      <w:kern w:val="2"/>
      <w:sz w:val="24"/>
      <w:lang w:bidi="ar-SA"/>
    </w:rPr>
  </w:style>
  <w:style w:type="character" w:customStyle="1" w:styleId="155">
    <w:name w:val="正文 项目 Char"/>
    <w:qFormat/>
    <w:uiPriority w:val="0"/>
    <w:rPr>
      <w:rFonts w:ascii="FangSong_GB2312" w:hAnsi="FangSong_GB2312" w:eastAsia="FangSong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FangSong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FangSong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Char1"/>
    <w:link w:val="3"/>
    <w:qFormat/>
    <w:uiPriority w:val="1"/>
    <w:rPr>
      <w:rFonts w:ascii="FangSong_GB2312" w:hAnsi="仿宋" w:eastAsia="FangSong_GB2312"/>
      <w:b/>
      <w:bCs/>
      <w:sz w:val="32"/>
      <w:szCs w:val="32"/>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FangSong_GB2312" w:hAnsi="仿宋" w:eastAsia="FangSong_GB2312" w:cs="FangSong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8"/>
    <w:qFormat/>
    <w:uiPriority w:val="0"/>
    <w:rPr>
      <w:rFonts w:ascii="宋体"/>
      <w:kern w:val="2"/>
      <w:sz w:val="24"/>
      <w:szCs w:val="21"/>
      <w:lang w:val="zh-CN"/>
    </w:rPr>
  </w:style>
  <w:style w:type="character" w:customStyle="1" w:styleId="184">
    <w:name w:val="标题 9 Char"/>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2"/>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FangSong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9"/>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FangSong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FangSong_GB2312" w:eastAsia="微软雅黑"/>
      <w:b/>
      <w:kern w:val="2"/>
      <w:sz w:val="32"/>
      <w:szCs w:val="32"/>
      <w:lang w:val="en-US" w:eastAsia="zh-CN" w:bidi="ar-SA"/>
    </w:rPr>
  </w:style>
  <w:style w:type="character" w:customStyle="1" w:styleId="204">
    <w:name w:val="文档结构图 Char1"/>
    <w:link w:val="23"/>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63"/>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FangSong_GB2312" w:hAnsi="仿宋" w:eastAsia="FangSong_GB2312" w:cs="FangSong_GB2312"/>
      <w:sz w:val="32"/>
      <w:szCs w:val="30"/>
      <w:lang w:val="zh-CN"/>
    </w:rPr>
  </w:style>
  <w:style w:type="character" w:customStyle="1" w:styleId="221">
    <w:name w:val="HTML 地址 Char"/>
    <w:link w:val="32"/>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5"/>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FangSong_GB2312" w:eastAsia="FangSong_GB2312"/>
      <w:b/>
      <w:bCs/>
      <w:kern w:val="2"/>
      <w:sz w:val="24"/>
      <w:szCs w:val="24"/>
      <w:lang w:val="zh-CN" w:eastAsia="zh-CN" w:bidi="ar-SA"/>
    </w:rPr>
  </w:style>
  <w:style w:type="character" w:customStyle="1" w:styleId="231">
    <w:name w:val="题注 Char"/>
    <w:link w:val="21"/>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FangSong_GB2312" w:eastAsia="FangSong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FangSong_GB2312" w:eastAsia="FangSong_GB2312" w:cs="FangSong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FangSong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FangSong_GB2312" w:eastAsia="FangSong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FangSong_GB2312" w:hAnsi="FangSong_GB2312" w:eastAsia="FangSong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0">
    <w:name w:val="列出段落1"/>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FangSong_GB2312" w:eastAsia="FangSong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0"/>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2"/>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62"/>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FangSong_GB2312" w:eastAsia="微软雅黑"/>
      <w:b/>
      <w:kern w:val="2"/>
      <w:sz w:val="23"/>
      <w:szCs w:val="23"/>
      <w:lang w:val="en-US" w:eastAsia="zh-CN" w:bidi="ar-SA"/>
    </w:rPr>
  </w:style>
  <w:style w:type="character" w:customStyle="1" w:styleId="292">
    <w:name w:val="样式8 Char"/>
    <w:qFormat/>
    <w:uiPriority w:val="0"/>
    <w:rPr>
      <w:rFonts w:ascii="FangSong_GB2312" w:hAnsi="宋体" w:eastAsia="FangSong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6"/>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FangSong_GB2312" w:eastAsia="FangSong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5"/>
    <w:qFormat/>
    <w:uiPriority w:val="0"/>
    <w:rPr>
      <w:rFonts w:ascii="FangSong_GB2312" w:eastAsia="FangSong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60"/>
    <w:qFormat/>
    <w:uiPriority w:val="0"/>
    <w:rPr>
      <w:rFonts w:ascii="黑体" w:hAnsi="Courier New" w:eastAsia="黑体"/>
    </w:rPr>
  </w:style>
  <w:style w:type="character" w:customStyle="1" w:styleId="304">
    <w:name w:val="正文文本 2 Char1"/>
    <w:link w:val="59"/>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5"/>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8"/>
    <w:qFormat/>
    <w:uiPriority w:val="0"/>
    <w:rPr>
      <w:b/>
      <w:bCs/>
      <w:kern w:val="2"/>
      <w:sz w:val="24"/>
      <w:szCs w:val="24"/>
    </w:rPr>
  </w:style>
  <w:style w:type="character" w:customStyle="1" w:styleId="310">
    <w:name w:val="正文文本缩进 2 Char"/>
    <w:link w:val="39"/>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3"/>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basedOn w:val="63"/>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323"/>
    <w:link w:val="321"/>
    <w:qFormat/>
    <w:uiPriority w:val="0"/>
    <w:pPr>
      <w:tabs>
        <w:tab w:val="right" w:leader="dot" w:pos="8268"/>
      </w:tabs>
      <w:adjustRightInd/>
    </w:pPr>
    <w:rPr>
      <w:rFonts w:ascii="宋体"/>
      <w:kern w:val="0"/>
      <w:sz w:val="20"/>
      <w:szCs w:val="20"/>
    </w:rPr>
  </w:style>
  <w:style w:type="paragraph" w:customStyle="1" w:styleId="323">
    <w:name w:val="正文1"/>
    <w:basedOn w:val="34"/>
    <w:next w:val="1"/>
    <w:qFormat/>
    <w:uiPriority w:val="0"/>
    <w:pPr>
      <w:ind w:left="0" w:leftChars="0" w:firstLine="480" w:firstLineChars="200"/>
    </w:pPr>
    <w:rPr>
      <w:rFonts w:ascii="FangSong_GB2312" w:hAnsi="Courier New" w:eastAsia="FangSong_GB2312"/>
      <w:kern w:val="28"/>
      <w:sz w:val="24"/>
    </w:rPr>
  </w:style>
  <w:style w:type="character" w:customStyle="1" w:styleId="324">
    <w:name w:val="正文首行缩进 Char"/>
    <w:link w:val="14"/>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5"/>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6"/>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FangSong_GB2312" w:eastAsia="FangSong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FangSong_GB2312" w:hAnsi="Courier New" w:eastAsia="FangSong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12"/>
    <w:qFormat/>
    <w:uiPriority w:val="0"/>
    <w:rPr>
      <w:kern w:val="2"/>
      <w:sz w:val="21"/>
      <w:szCs w:val="24"/>
    </w:rPr>
  </w:style>
  <w:style w:type="character" w:customStyle="1" w:styleId="348">
    <w:name w:val="签名 Char"/>
    <w:link w:val="46"/>
    <w:qFormat/>
    <w:uiPriority w:val="0"/>
    <w:rPr>
      <w:rFonts w:eastAsia="FangSong_GB2312"/>
      <w:sz w:val="24"/>
    </w:rPr>
  </w:style>
  <w:style w:type="character" w:customStyle="1" w:styleId="349">
    <w:name w:val="hui3"/>
    <w:qFormat/>
    <w:uiPriority w:val="0"/>
    <w:rPr>
      <w:color w:val="333333"/>
    </w:rPr>
  </w:style>
  <w:style w:type="character" w:customStyle="1" w:styleId="350">
    <w:name w:val="Char Char17"/>
    <w:qFormat/>
    <w:uiPriority w:val="6"/>
    <w:rPr>
      <w:rFonts w:eastAsia="FangSong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FangSong_GB2312" w:eastAsia="FangSong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FangSong_GB2312" w:eastAsia="FangSong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9"/>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FangSong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basedOn w:val="63"/>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6"/>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FangSong_GB2312" w:eastAsia="FangSong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43"/>
    <w:qFormat/>
    <w:locked/>
    <w:uiPriority w:val="99"/>
    <w:rPr>
      <w:kern w:val="2"/>
      <w:sz w:val="18"/>
      <w:szCs w:val="18"/>
    </w:rPr>
  </w:style>
  <w:style w:type="character" w:customStyle="1" w:styleId="387">
    <w:name w:val="Char Char36"/>
    <w:qFormat/>
    <w:uiPriority w:val="6"/>
    <w:rPr>
      <w:rFonts w:ascii="FangSong_GB2312" w:hAnsi="FangSong_GB2312" w:eastAsia="FangSong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5"/>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FangSong_GB2312" w:eastAsia="FangSong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FangSong_GB2312" w:eastAsia="FangSong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63"/>
    <w:qFormat/>
    <w:uiPriority w:val="0"/>
    <w:rPr>
      <w:rFonts w:ascii="Arial" w:hAnsi="Arial" w:eastAsia="黑体" w:cs="Arial"/>
      <w:snapToGrid w:val="0"/>
      <w:kern w:val="0"/>
      <w:szCs w:val="21"/>
    </w:rPr>
  </w:style>
  <w:style w:type="character" w:customStyle="1" w:styleId="425">
    <w:name w:val="pt9"/>
    <w:qFormat/>
    <w:uiPriority w:val="0"/>
    <w:rPr>
      <w:rFonts w:ascii="FangSong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19"/>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15"/>
    <w:qFormat/>
    <w:uiPriority w:val="0"/>
    <w:rPr>
      <w:rFonts w:ascii="宋体" w:hAnsi="Arial" w:eastAsia="宋体" w:cs="Arial"/>
      <w:snapToGrid w:val="0"/>
      <w:kern w:val="2"/>
      <w:sz w:val="24"/>
      <w:szCs w:val="21"/>
      <w:lang w:val="zh-CN" w:eastAsia="zh-CN" w:bidi="ar-SA"/>
    </w:rPr>
  </w:style>
  <w:style w:type="character" w:customStyle="1" w:styleId="434">
    <w:name w:val="gray6"/>
    <w:basedOn w:val="63"/>
    <w:qFormat/>
    <w:uiPriority w:val="0"/>
    <w:rPr>
      <w:rFonts w:ascii="Arial" w:hAnsi="Arial" w:eastAsia="黑体" w:cs="Arial"/>
      <w:snapToGrid w:val="0"/>
      <w:kern w:val="0"/>
      <w:szCs w:val="21"/>
    </w:rPr>
  </w:style>
  <w:style w:type="character" w:customStyle="1" w:styleId="435">
    <w:name w:val="hui"/>
    <w:basedOn w:val="63"/>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0"/>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5"/>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FangSong_GB2312"/>
      <w:sz w:val="28"/>
      <w:szCs w:val="20"/>
    </w:rPr>
  </w:style>
  <w:style w:type="paragraph" w:customStyle="1" w:styleId="462">
    <w:name w:val="样式3"/>
    <w:basedOn w:val="463"/>
    <w:qFormat/>
    <w:uiPriority w:val="0"/>
    <w:pPr>
      <w:tabs>
        <w:tab w:val="left" w:pos="2790"/>
        <w:tab w:val="left" w:pos="4230"/>
      </w:tabs>
      <w:spacing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FangSong_GB2312" w:hAnsi="仿宋" w:eastAsia="FangSong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FangSong_GB2312" w:eastAsia="FangSong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FangSong_GB2312" w:eastAsia="FangSong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outlineLvl w:val="5"/>
    </w:pPr>
  </w:style>
  <w:style w:type="paragraph" w:customStyle="1" w:styleId="477">
    <w:name w:val="5级标题"/>
    <w:basedOn w:val="478"/>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8">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FangSong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无间隔2"/>
    <w:basedOn w:val="1"/>
    <w:link w:val="933"/>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FangSong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3"/>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FangSong_GB2312" w:eastAsia="FangSong_GB2312"/>
      <w:b/>
      <w:sz w:val="32"/>
      <w:szCs w:val="32"/>
    </w:rPr>
  </w:style>
  <w:style w:type="paragraph" w:customStyle="1" w:styleId="495">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FangSong_GB2312" w:eastAsia="FangSong_GB2312"/>
      <w:b/>
      <w:sz w:val="32"/>
      <w:szCs w:val="32"/>
    </w:rPr>
  </w:style>
  <w:style w:type="paragraph" w:customStyle="1" w:styleId="499">
    <w:name w:val="数字标题3"/>
    <w:basedOn w:val="4"/>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6"/>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FangSong_GB2312" w:eastAsia="FangSong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FangSong_GB2312" w:eastAsia="FangSong_GB2312"/>
      <w:b/>
      <w:sz w:val="32"/>
      <w:szCs w:val="32"/>
    </w:rPr>
  </w:style>
  <w:style w:type="paragraph" w:customStyle="1" w:styleId="506">
    <w:name w:val="Char2 Char Char Char1"/>
    <w:basedOn w:val="1"/>
    <w:qFormat/>
    <w:uiPriority w:val="6"/>
    <w:rPr>
      <w:rFonts w:ascii="FangSong_GB2312" w:eastAsia="FangSong_GB2312"/>
      <w:b/>
      <w:sz w:val="32"/>
      <w:szCs w:val="32"/>
    </w:rPr>
  </w:style>
  <w:style w:type="paragraph" w:customStyle="1" w:styleId="507">
    <w:name w:val="默认段落样式"/>
    <w:basedOn w:val="133"/>
    <w:qFormat/>
    <w:uiPriority w:val="0"/>
    <w:pPr>
      <w:spacing w:before="0"/>
      <w:ind w:firstLine="480"/>
      <w:outlineLvl w:val="2"/>
    </w:pPr>
    <w:rPr>
      <w:rFonts w:ascii="FangSong_GB2312" w:hAnsi="宋体" w:eastAsia="FangSong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4"/>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FangSong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1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FangSong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FangSong_GB2312" w:eastAsia="FangSong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FangSong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5"/>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Lines="50"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7"/>
    <w:next w:val="237"/>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FangSong_GB2312"/>
      <w:sz w:val="28"/>
    </w:rPr>
  </w:style>
  <w:style w:type="paragraph" w:customStyle="1" w:styleId="551">
    <w:name w:val="正文文字 2"/>
    <w:basedOn w:val="237"/>
    <w:next w:val="237"/>
    <w:qFormat/>
    <w:uiPriority w:val="0"/>
    <w:rPr>
      <w:rFonts w:ascii="宋体" w:eastAsia="宋体" w:cs="Times New Roman"/>
      <w:color w:val="auto"/>
    </w:rPr>
  </w:style>
  <w:style w:type="paragraph" w:customStyle="1" w:styleId="552">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FangSong_GB2312" w:eastAsia="FangSong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FangSong_GB2312" w:eastAsia="FangSong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FangSong_GB2312" w:eastAsia="FangSong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FangSong_GB2312" w:hAnsi="仿宋" w:eastAsia="FangSong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0"/>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FangSong_GB2312" w:eastAsia="FangSong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5"/>
    <w:qFormat/>
    <w:uiPriority w:val="0"/>
    <w:pPr>
      <w:spacing w:line="460" w:lineRule="exact"/>
      <w:outlineLvl w:val="2"/>
    </w:pPr>
    <w:rPr>
      <w:rFonts w:ascii="FangSong_GB2312" w:hAnsi="宋体" w:eastAsia="FangSong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FangSong_GB2312" w:eastAsia="FangSong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0"/>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9"/>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Lines="100" w:line="360" w:lineRule="auto"/>
      <w:jc w:val="left"/>
    </w:pPr>
    <w:rPr>
      <w:rFonts w:ascii="Arial" w:hAnsi="Arial" w:eastAsia="FangSong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FangSong_GB2312" w:eastAsia="FangSong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FangSong_GB2312" w:eastAsia="FangSong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FangSong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2"/>
    <w:qFormat/>
    <w:uiPriority w:val="0"/>
    <w:pPr>
      <w:tabs>
        <w:tab w:val="left" w:pos="840"/>
      </w:tabs>
      <w:adjustRightInd/>
      <w:ind w:left="840" w:hanging="420"/>
    </w:pPr>
  </w:style>
  <w:style w:type="paragraph" w:customStyle="1" w:styleId="62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5"/>
    <w:qFormat/>
    <w:uiPriority w:val="0"/>
    <w:pPr>
      <w:keepLines w:val="0"/>
      <w:snapToGrid w:val="0"/>
      <w:spacing w:before="0" w:after="0" w:line="300" w:lineRule="auto"/>
    </w:pPr>
    <w:rPr>
      <w:rFonts w:ascii="Arial Narrow" w:hAnsi="Arial Narrow" w:eastAsia="FangSong_GB2312"/>
      <w:bCs w:val="0"/>
      <w:color w:val="000000"/>
      <w:kern w:val="0"/>
      <w:szCs w:val="32"/>
      <w:lang w:val="en-US"/>
    </w:rPr>
  </w:style>
  <w:style w:type="paragraph" w:customStyle="1" w:styleId="632">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FangSong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FangSong_GB2312" w:eastAsia="FangSong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FangSong_GB2312" w:hAnsi="仿宋" w:eastAsia="FangSong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Lines="0" w:afterLines="0"/>
      <w:ind w:left="1680"/>
      <w:outlineLvl w:val="2"/>
    </w:pPr>
  </w:style>
  <w:style w:type="paragraph" w:customStyle="1" w:styleId="660">
    <w:name w:val="章标题"/>
    <w:next w:val="642"/>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99"/>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FangSong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FangSong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1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FangSong_GB2312" w:eastAsia="FangSong_GB2312"/>
      <w:b/>
      <w:sz w:val="32"/>
      <w:szCs w:val="32"/>
    </w:rPr>
  </w:style>
  <w:style w:type="paragraph" w:customStyle="1" w:styleId="703">
    <w:name w:val="正文缩进1"/>
    <w:basedOn w:val="1"/>
    <w:next w:val="2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9"/>
    <w:qFormat/>
    <w:uiPriority w:val="0"/>
    <w:pPr>
      <w:tabs>
        <w:tab w:val="left" w:pos="840"/>
      </w:tabs>
      <w:snapToGrid w:val="0"/>
      <w:ind w:left="840" w:hanging="420" w:firstLineChars="0"/>
    </w:pPr>
    <w:rPr>
      <w:rFonts w:ascii="FangSong_GB2312" w:eastAsia="FangSong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FangSong_GB2312" w:eastAsia="新宋体"/>
      <w:sz w:val="24"/>
      <w:szCs w:val="20"/>
    </w:rPr>
  </w:style>
  <w:style w:type="paragraph" w:customStyle="1" w:styleId="723">
    <w:name w:val="4"/>
    <w:basedOn w:val="1"/>
    <w:next w:val="39"/>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FangSong_GB2312" w:eastAsia="FangSong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FangSong_GB2312" w:eastAsia="FangSong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FangSong_GB2312" w:eastAsia="FangSong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FangSong_GB2312" w:eastAsia="FangSong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762">
    <w:name w:val="_Style 5"/>
    <w:basedOn w:val="1"/>
    <w:qFormat/>
    <w:uiPriority w:val="34"/>
    <w:pPr>
      <w:adjustRightInd/>
      <w:ind w:firstLine="420" w:firstLineChars="200"/>
    </w:pPr>
    <w:rPr>
      <w:rFonts w:eastAsia="FangSong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FangSong_GB2312" w:eastAsia="FangSong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15"/>
    <w:qFormat/>
    <w:uiPriority w:val="0"/>
    <w:pPr>
      <w:autoSpaceDE/>
      <w:autoSpaceDN/>
      <w:snapToGrid w:val="0"/>
      <w:ind w:firstLine="480" w:firstLineChars="200"/>
    </w:pPr>
    <w:rPr>
      <w:rFonts w:ascii="Times New Roman"/>
      <w:szCs w:val="24"/>
      <w:lang w:val="en-US"/>
    </w:rPr>
  </w:style>
  <w:style w:type="paragraph" w:customStyle="1" w:styleId="771">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FangSong_GB2312" w:eastAsia="FangSong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0"/>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9"/>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FangSong_GB2312" w:eastAsia="FangSong_GB2312"/>
      <w:b/>
      <w:sz w:val="32"/>
      <w:szCs w:val="32"/>
    </w:rPr>
  </w:style>
  <w:style w:type="paragraph" w:customStyle="1" w:styleId="787">
    <w:name w:val="Char111"/>
    <w:basedOn w:val="1"/>
    <w:qFormat/>
    <w:uiPriority w:val="0"/>
    <w:rPr>
      <w:rFonts w:ascii="FangSong_GB2312" w:eastAsia="FangSong_GB2312"/>
      <w:b/>
      <w:sz w:val="32"/>
      <w:szCs w:val="32"/>
    </w:rPr>
  </w:style>
  <w:style w:type="paragraph" w:customStyle="1" w:styleId="788">
    <w:name w:val="标题3"/>
    <w:basedOn w:val="4"/>
    <w:next w:val="56"/>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FangSong_GB2312" w:eastAsia="FangSong_GB2312"/>
      <w:b/>
      <w:sz w:val="32"/>
      <w:szCs w:val="32"/>
    </w:rPr>
  </w:style>
  <w:style w:type="paragraph" w:customStyle="1" w:styleId="795">
    <w:name w:val="五级条标题"/>
    <w:basedOn w:val="796"/>
    <w:next w:val="642"/>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FangSong_GB2312" w:eastAsia="FangSong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6"/>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15"/>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FangSong_GB2312" w:eastAsia="FangSong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FangSong_GB2312"/>
      <w:sz w:val="24"/>
      <w:szCs w:val="20"/>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0"/>
    <w:qFormat/>
    <w:uiPriority w:val="0"/>
    <w:pPr>
      <w:adjustRightInd/>
      <w:spacing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FangSong_GB2312" w:eastAsia="FangSong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FangSong_GB2312" w:eastAsia="FangSong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FangSong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FangSong_GB2312" w:eastAsia="FangSong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FangSong_GB2312"/>
      <w:sz w:val="28"/>
    </w:rPr>
  </w:style>
  <w:style w:type="paragraph" w:customStyle="1" w:styleId="861">
    <w:name w:val="Char21"/>
    <w:basedOn w:val="1"/>
    <w:qFormat/>
    <w:uiPriority w:val="0"/>
    <w:pPr>
      <w:adjustRightInd/>
      <w:ind w:firstLine="200" w:firstLineChars="200"/>
    </w:pPr>
    <w:rPr>
      <w:rFonts w:ascii="FangSong_GB2312" w:eastAsia="FangSong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FangSong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FangSong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FangSong_GB2312" w:hAnsi="Arial" w:eastAsia="FangSong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8"/>
    <w:qFormat/>
    <w:uiPriority w:val="2"/>
    <w:pPr>
      <w:tabs>
        <w:tab w:val="clear" w:pos="390"/>
        <w:tab w:val="clear" w:pos="454"/>
      </w:tabs>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3"/>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3"/>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FangSong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FangSong_GB2312" w:eastAsia="FangSong_GB2312"/>
      <w:b/>
      <w:sz w:val="32"/>
      <w:szCs w:val="32"/>
    </w:rPr>
  </w:style>
  <w:style w:type="paragraph" w:customStyle="1" w:styleId="886">
    <w:name w:val="正文箭头"/>
    <w:basedOn w:val="540"/>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FangSong_GB2312"/>
      <w:sz w:val="28"/>
    </w:rPr>
  </w:style>
  <w:style w:type="paragraph" w:customStyle="1" w:styleId="893">
    <w:name w:val="表格 内容"/>
    <w:basedOn w:val="730"/>
    <w:qFormat/>
    <w:uiPriority w:val="0"/>
    <w:rPr>
      <w:b w:val="0"/>
      <w:sz w:val="20"/>
    </w:rPr>
  </w:style>
  <w:style w:type="paragraph" w:customStyle="1" w:styleId="894">
    <w:name w:val="正文首行缩进1"/>
    <w:basedOn w:val="1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FangSong_GB2312"/>
      <w:sz w:val="28"/>
    </w:rPr>
  </w:style>
  <w:style w:type="paragraph" w:customStyle="1" w:styleId="906">
    <w:name w:val="样式5"/>
    <w:basedOn w:val="1"/>
    <w:qFormat/>
    <w:uiPriority w:val="0"/>
    <w:pPr>
      <w:spacing w:line="440" w:lineRule="exact"/>
      <w:ind w:left="2" w:firstLine="480" w:firstLineChars="200"/>
    </w:pPr>
    <w:rPr>
      <w:rFonts w:ascii="FangSong_GB2312" w:hAnsi="仿宋" w:eastAsia="FangSong_GB2312"/>
      <w:sz w:val="24"/>
    </w:rPr>
  </w:style>
  <w:style w:type="paragraph" w:customStyle="1" w:styleId="907">
    <w:name w:val="_Style 8"/>
    <w:basedOn w:val="1"/>
    <w:qFormat/>
    <w:uiPriority w:val="34"/>
    <w:pPr>
      <w:adjustRightInd/>
      <w:ind w:firstLine="420" w:firstLineChars="200"/>
    </w:pPr>
    <w:rPr>
      <w:rFonts w:eastAsia="FangSong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FangSong_GB2312"/>
      <w:sz w:val="28"/>
    </w:rPr>
  </w:style>
  <w:style w:type="paragraph" w:customStyle="1" w:styleId="914">
    <w:name w:val="正文 图"/>
    <w:basedOn w:val="446"/>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4"/>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2">
    <w:name w:val="网格型1"/>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3">
    <w:name w:val="网格型6"/>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4">
    <w:name w:val="网格型3"/>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5">
    <w:name w:val="网格型4"/>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26">
    <w:name w:val="网格型5"/>
    <w:basedOn w:val="7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1"/>
    <w:qFormat/>
    <w:uiPriority w:val="0"/>
    <w:rPr>
      <w:kern w:val="2"/>
      <w:sz w:val="21"/>
      <w:szCs w:val="24"/>
      <w:lang w:val="zh-CN"/>
    </w:rPr>
  </w:style>
  <w:style w:type="character" w:customStyle="1" w:styleId="933">
    <w:name w:val="无间隔 字符"/>
    <w:link w:val="486"/>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60"/>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3"/>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纯文本3"/>
    <w:basedOn w:val="965"/>
    <w:qFormat/>
    <w:uiPriority w:val="0"/>
    <w:pPr>
      <w:widowControl/>
      <w:jc w:val="left"/>
    </w:pPr>
    <w:rPr>
      <w:rFonts w:ascii="宋体" w:hAnsi="Courier New"/>
    </w:rPr>
  </w:style>
  <w:style w:type="paragraph" w:customStyle="1" w:styleId="965">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966">
    <w:name w:val="case31"/>
    <w:qFormat/>
    <w:uiPriority w:val="0"/>
    <w:rPr>
      <w:rFonts w:hint="default" w:ascii="_x000B__x000C_" w:hAnsi="_x000B__x000C_"/>
      <w:sz w:val="21"/>
      <w:szCs w:val="21"/>
    </w:rPr>
  </w:style>
  <w:style w:type="paragraph" w:customStyle="1" w:styleId="967">
    <w:name w:val="纯文本4"/>
    <w:basedOn w:val="968"/>
    <w:qFormat/>
    <w:uiPriority w:val="0"/>
    <w:pPr>
      <w:widowControl/>
      <w:jc w:val="left"/>
    </w:pPr>
    <w:rPr>
      <w:rFonts w:ascii="宋体" w:hAnsi="Courier New"/>
    </w:rPr>
  </w:style>
  <w:style w:type="paragraph" w:customStyle="1" w:styleId="968">
    <w:name w:val="正文8"/>
    <w:qFormat/>
    <w:uiPriority w:val="0"/>
    <w:pPr>
      <w:widowControl w:val="0"/>
      <w:jc w:val="both"/>
    </w:pPr>
    <w:rPr>
      <w:rFonts w:hint="eastAsia" w:ascii="等线" w:hAnsi="等线" w:eastAsia="等线" w:cs="Times New Roman"/>
      <w:kern w:val="2"/>
      <w:sz w:val="21"/>
      <w:lang w:val="en-US" w:eastAsia="zh-CN" w:bidi="ar-SA"/>
    </w:rPr>
  </w:style>
  <w:style w:type="character" w:customStyle="1" w:styleId="969">
    <w:name w:val="NormalCharacter"/>
    <w:link w:val="970"/>
    <w:qFormat/>
    <w:uiPriority w:val="0"/>
    <w:rPr>
      <w:rFonts w:ascii="FangSong_GB2312" w:eastAsia="FangSong_GB2312"/>
      <w:b/>
      <w:sz w:val="32"/>
      <w:szCs w:val="32"/>
    </w:rPr>
  </w:style>
  <w:style w:type="paragraph" w:customStyle="1" w:styleId="970">
    <w:name w:val="UserStyle_126"/>
    <w:basedOn w:val="1"/>
    <w:link w:val="969"/>
    <w:qFormat/>
    <w:uiPriority w:val="0"/>
    <w:pPr>
      <w:textAlignment w:val="baseline"/>
    </w:pPr>
    <w:rPr>
      <w:rFonts w:ascii="FangSong_GB2312" w:eastAsia="FangSong_GB2312"/>
      <w:b/>
      <w:sz w:val="32"/>
      <w:szCs w:val="32"/>
    </w:rPr>
  </w:style>
  <w:style w:type="paragraph" w:customStyle="1" w:styleId="971">
    <w:name w:val="List Paragraph"/>
    <w:basedOn w:val="1"/>
    <w:unhideWhenUsed/>
    <w:qFormat/>
    <w:uiPriority w:val="99"/>
    <w:pPr>
      <w:ind w:firstLine="420" w:firstLineChars="200"/>
    </w:pPr>
  </w:style>
  <w:style w:type="paragraph" w:customStyle="1" w:styleId="972">
    <w:name w:val="样式 样式 样式 正文文本缩进 + 首行缩进:  2 字符 + 首行缩进:  2 字符 + 首行缩进:  2 字符"/>
    <w:basedOn w:val="1"/>
    <w:unhideWhenUsed/>
    <w:qFormat/>
    <w:uiPriority w:val="0"/>
    <w:pPr>
      <w:snapToGrid w:val="0"/>
      <w:spacing w:line="360" w:lineRule="auto"/>
      <w:ind w:firstLine="200" w:firstLineChars="200"/>
    </w:pPr>
    <w:rPr>
      <w:rFonts w:hint="default"/>
      <w:sz w:val="28"/>
    </w:rPr>
  </w:style>
  <w:style w:type="paragraph" w:customStyle="1" w:styleId="973">
    <w:name w:val="正文 New New New New New New New New"/>
    <w:basedOn w:val="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1"/>
      <w:lang w:val="en-US" w:eastAsia="zh-CN" w:bidi="ar"/>
    </w:rPr>
  </w:style>
  <w:style w:type="paragraph" w:customStyle="1" w:styleId="974">
    <w:name w:val="样式 样式 样式 正文文本缩进 + 首行缩进: 2 字符 + 首行缩进: 2 字符 + 首行缩进: 2 字符"/>
    <w:basedOn w:val="1"/>
    <w:hidden/>
    <w:qFormat/>
    <w:uiPriority w:val="0"/>
    <w:pPr>
      <w:keepNext w:val="0"/>
      <w:keepLines w:val="0"/>
      <w:widowControl w:val="0"/>
      <w:suppressLineNumbers w:val="0"/>
      <w:adjustRightInd w:val="0"/>
      <w:snapToGrid w:val="0"/>
      <w:spacing w:before="0" w:beforeAutospacing="0" w:after="0" w:afterAutospacing="0" w:line="360" w:lineRule="auto"/>
      <w:ind w:left="0" w:right="0" w:firstLine="200" w:firstLineChars="200"/>
      <w:jc w:val="both"/>
    </w:pPr>
    <w:rPr>
      <w:rFonts w:hint="default" w:ascii="Times New Roman" w:hAnsi="Times New Roman" w:eastAsia="宋体" w:cs="Times New Roman"/>
      <w:kern w:val="2"/>
      <w:sz w:val="28"/>
      <w:szCs w:val="28"/>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0A47FF3-77AA-48C3-8E56-95B827974041}">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Pages>
  <Words>6139</Words>
  <Characters>34995</Characters>
  <Lines>1</Lines>
  <Paragraphs>1</Paragraphs>
  <ScaleCrop>false</ScaleCrop>
  <LinksUpToDate>false</LinksUpToDate>
  <CharactersWithSpaces>41052</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2022-02-09T09:08:00Z</dcterms:created>
  <dc:creator>玥</dc:creator>
  <cp:lastModifiedBy>Administrator</cp:lastModifiedBy>
  <cp:lastPrinted>2021-12-27T11:06:00Z</cp:lastPrinted>
  <dcterms:modified xsi:type="dcterms:W3CDTF">2025-04-03T11:34:33Z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woTemplateTypoMode" linkTarget="0">
    <vt:lpwstr>web</vt:lpwstr>
  </property>
  <property fmtid="{D5CDD505-2E9C-101B-9397-08002B2CF9AE}" pid="6" name="woTemplate" linkTarget="0">
    <vt:i4>1</vt:i4>
  </property>
</Properties>
</file>