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tabs>
          <w:tab w:val="left" w:pos="0"/>
          <w:tab w:val="left" w:pos="2140"/>
          <w:tab w:val="center" w:pos="4753"/>
        </w:tabs>
        <w:spacing w:before="24" w:beforeLines="10" w:line="360" w:lineRule="auto"/>
        <w:jc w:val="center"/>
        <w:rPr>
          <w:rFonts w:ascii="宋体" w:hAnsi="宋体" w:cs="宋体"/>
          <w:color w:val="auto"/>
          <w:sz w:val="44"/>
          <w:highlight w:val="none"/>
        </w:rPr>
      </w:pPr>
    </w:p>
    <w:p>
      <w:pPr>
        <w:pStyle w:val="99"/>
        <w:jc w:val="center"/>
        <w:rPr>
          <w:rFonts w:hint="eastAsia" w:hAnsi="宋体" w:eastAsia="宋体" w:cs="宋体"/>
          <w:b/>
          <w:color w:val="auto"/>
          <w:kern w:val="2"/>
          <w:sz w:val="48"/>
          <w:szCs w:val="48"/>
          <w:highlight w:val="none"/>
          <w:lang w:eastAsia="zh-CN"/>
        </w:rPr>
      </w:pPr>
      <w:bookmarkStart w:id="0" w:name="OLE_LINK6"/>
      <w:r>
        <w:rPr>
          <w:rFonts w:hint="eastAsia" w:hAnsi="宋体" w:cs="宋体"/>
          <w:b/>
          <w:color w:val="auto"/>
          <w:kern w:val="2"/>
          <w:sz w:val="48"/>
          <w:szCs w:val="48"/>
          <w:highlight w:val="none"/>
          <w:lang w:eastAsia="zh-CN"/>
        </w:rPr>
        <w:t>衢州机场设备更新改造提升项目货检双视角X光检查仪、安检培训系统采购（第二次）</w:t>
      </w:r>
    </w:p>
    <w:bookmarkEnd w:id="0"/>
    <w:p>
      <w:pPr>
        <w:pStyle w:val="2"/>
        <w:rPr>
          <w:color w:val="auto"/>
          <w:highlight w:val="none"/>
        </w:rPr>
      </w:pPr>
    </w:p>
    <w:p>
      <w:pPr>
        <w:pStyle w:val="2"/>
        <w:rPr>
          <w:color w:val="auto"/>
          <w:sz w:val="48"/>
          <w:szCs w:val="48"/>
          <w:highlight w:val="none"/>
        </w:rPr>
      </w:pPr>
    </w:p>
    <w:p>
      <w:pPr>
        <w:tabs>
          <w:tab w:val="left" w:pos="4500"/>
        </w:tabs>
        <w:autoSpaceDE w:val="0"/>
        <w:autoSpaceDN w:val="0"/>
        <w:adjustRightInd w:val="0"/>
        <w:snapToGrid w:val="0"/>
        <w:spacing w:line="360" w:lineRule="auto"/>
        <w:jc w:val="center"/>
        <w:textAlignment w:val="bottom"/>
        <w:rPr>
          <w:rFonts w:hint="eastAsia" w:ascii="宋体" w:hAnsi="宋体" w:cs="宋体"/>
          <w:color w:val="auto"/>
          <w:sz w:val="48"/>
          <w:szCs w:val="48"/>
          <w:highlight w:val="none"/>
        </w:rPr>
      </w:pPr>
      <w:r>
        <w:rPr>
          <w:rFonts w:hint="eastAsia" w:ascii="宋体" w:hAnsi="宋体" w:cs="宋体"/>
          <w:b/>
          <w:color w:val="auto"/>
          <w:sz w:val="48"/>
          <w:szCs w:val="48"/>
          <w:highlight w:val="none"/>
        </w:rPr>
        <w:t>公开招标采购文件</w:t>
      </w:r>
    </w:p>
    <w:p>
      <w:pPr>
        <w:pStyle w:val="60"/>
        <w:spacing w:after="0" w:line="360" w:lineRule="auto"/>
        <w:ind w:left="560"/>
        <w:rPr>
          <w:rFonts w:hint="eastAsia" w:ascii="宋体" w:hAnsi="宋体" w:eastAsia="宋体" w:cs="宋体"/>
          <w:color w:val="auto"/>
          <w:highlight w:val="none"/>
        </w:rPr>
      </w:pPr>
    </w:p>
    <w:p>
      <w:pPr>
        <w:spacing w:before="24" w:beforeLines="10" w:line="360" w:lineRule="auto"/>
        <w:ind w:firstLine="361" w:firstLineChars="100"/>
        <w:jc w:val="left"/>
        <w:rPr>
          <w:rFonts w:hint="eastAsia" w:ascii="宋体" w:hAnsi="宋体" w:cs="宋体"/>
          <w:b/>
          <w:color w:val="auto"/>
          <w:sz w:val="36"/>
          <w:highlight w:val="none"/>
        </w:rPr>
      </w:pPr>
    </w:p>
    <w:p>
      <w:pPr>
        <w:spacing w:before="24" w:beforeLines="10" w:line="360" w:lineRule="auto"/>
        <w:ind w:firstLine="1402" w:firstLineChars="388"/>
        <w:jc w:val="left"/>
        <w:rPr>
          <w:rFonts w:hint="eastAsia" w:ascii="宋体" w:hAnsi="宋体" w:eastAsia="宋体" w:cs="宋体"/>
          <w:b/>
          <w:color w:val="auto"/>
          <w:sz w:val="36"/>
          <w:highlight w:val="none"/>
          <w:lang w:eastAsia="zh-CN"/>
        </w:rPr>
      </w:pPr>
      <w:r>
        <w:rPr>
          <w:rFonts w:hint="eastAsia" w:ascii="宋体" w:hAnsi="宋体" w:cs="宋体"/>
          <w:b/>
          <w:color w:val="auto"/>
          <w:sz w:val="36"/>
          <w:highlight w:val="none"/>
        </w:rPr>
        <w:t>项目编号：</w:t>
      </w:r>
      <w:r>
        <w:rPr>
          <w:rFonts w:hint="eastAsia" w:ascii="宋体" w:hAnsi="宋体" w:cs="宋体"/>
          <w:b/>
          <w:color w:val="auto"/>
          <w:sz w:val="36"/>
          <w:highlight w:val="none"/>
          <w:u w:val="single"/>
          <w:lang w:eastAsia="zh-CN"/>
        </w:rPr>
        <w:t>ZZCG2024123-1</w:t>
      </w:r>
    </w:p>
    <w:p>
      <w:pPr>
        <w:spacing w:before="24" w:beforeLines="10" w:line="360" w:lineRule="auto"/>
        <w:ind w:left="3274" w:leftChars="512" w:hanging="1840" w:hangingChars="509"/>
        <w:jc w:val="left"/>
        <w:rPr>
          <w:rFonts w:hint="eastAsia" w:ascii="宋体" w:hAnsi="宋体" w:eastAsia="宋体" w:cs="宋体"/>
          <w:b/>
          <w:color w:val="auto"/>
          <w:sz w:val="36"/>
          <w:highlight w:val="none"/>
          <w:u w:val="single"/>
          <w:lang w:eastAsia="zh-CN"/>
        </w:rPr>
      </w:pPr>
      <w:r>
        <w:rPr>
          <w:rFonts w:hint="eastAsia" w:ascii="宋体" w:hAnsi="宋体" w:cs="宋体"/>
          <w:b/>
          <w:color w:val="auto"/>
          <w:sz w:val="36"/>
          <w:highlight w:val="none"/>
        </w:rPr>
        <w:t>项目名称：</w:t>
      </w:r>
      <w:r>
        <w:rPr>
          <w:rFonts w:hint="eastAsia" w:ascii="宋体" w:hAnsi="宋体" w:cs="宋体"/>
          <w:b/>
          <w:color w:val="auto"/>
          <w:sz w:val="36"/>
          <w:highlight w:val="none"/>
          <w:u w:val="single"/>
          <w:lang w:eastAsia="zh-CN"/>
        </w:rPr>
        <w:t>衢州机场设备更新改造提升项目货检双视角X光检查仪、安检培训系统采购（第二次）</w:t>
      </w:r>
    </w:p>
    <w:p>
      <w:pPr>
        <w:widowControl/>
        <w:spacing w:line="360" w:lineRule="auto"/>
        <w:ind w:right="-2" w:firstLine="1402" w:firstLineChars="388"/>
        <w:jc w:val="center"/>
        <w:rPr>
          <w:rFonts w:hint="eastAsia" w:ascii="宋体" w:hAnsi="宋体" w:cs="宋体"/>
          <w:b/>
          <w:color w:val="auto"/>
          <w:highlight w:val="none"/>
        </w:rPr>
      </w:pPr>
      <w:r>
        <w:rPr>
          <w:rFonts w:hint="eastAsia" w:ascii="宋体" w:hAnsi="宋体" w:cs="宋体"/>
          <w:b/>
          <w:color w:val="auto"/>
          <w:sz w:val="36"/>
          <w:highlight w:val="none"/>
        </w:rPr>
        <w:t>（线上电子招投标）</w:t>
      </w:r>
    </w:p>
    <w:p>
      <w:pPr>
        <w:pStyle w:val="6"/>
        <w:ind w:left="0" w:firstLine="818" w:firstLineChars="388"/>
        <w:rPr>
          <w:rFonts w:hint="eastAsia" w:ascii="宋体" w:hAnsi="宋体" w:eastAsia="宋体" w:cs="宋体"/>
          <w:color w:val="auto"/>
          <w:highlight w:val="none"/>
        </w:rPr>
      </w:pPr>
    </w:p>
    <w:p>
      <w:pPr>
        <w:autoSpaceDE w:val="0"/>
        <w:autoSpaceDN w:val="0"/>
        <w:adjustRightInd w:val="0"/>
        <w:snapToGrid w:val="0"/>
        <w:spacing w:before="24" w:beforeLines="10" w:line="360" w:lineRule="auto"/>
        <w:ind w:firstLine="1091" w:firstLineChars="388"/>
        <w:jc w:val="center"/>
        <w:textAlignment w:val="bottom"/>
        <w:rPr>
          <w:rFonts w:hint="eastAsia" w:ascii="宋体" w:hAnsi="宋体" w:cs="宋体"/>
          <w:b/>
          <w:color w:val="auto"/>
          <w:highlight w:val="none"/>
        </w:rPr>
      </w:pPr>
    </w:p>
    <w:p>
      <w:pPr>
        <w:pStyle w:val="60"/>
        <w:spacing w:after="0" w:line="360" w:lineRule="auto"/>
        <w:ind w:left="0" w:leftChars="0" w:firstLine="814" w:firstLineChars="388"/>
        <w:rPr>
          <w:rFonts w:hint="eastAsia" w:ascii="宋体" w:hAnsi="宋体" w:eastAsia="宋体" w:cs="宋体"/>
          <w:color w:val="auto"/>
          <w:highlight w:val="none"/>
        </w:rPr>
      </w:pPr>
    </w:p>
    <w:p>
      <w:pPr>
        <w:pStyle w:val="3"/>
        <w:spacing w:after="0" w:line="360" w:lineRule="auto"/>
        <w:ind w:firstLine="814" w:firstLineChars="388"/>
        <w:rPr>
          <w:rFonts w:hint="eastAsia" w:ascii="宋体" w:hAnsi="宋体" w:eastAsia="宋体" w:cs="宋体"/>
          <w:color w:val="auto"/>
          <w:highlight w:val="none"/>
        </w:rPr>
      </w:pPr>
    </w:p>
    <w:p>
      <w:pPr>
        <w:pStyle w:val="3"/>
        <w:spacing w:after="0" w:line="360" w:lineRule="auto"/>
        <w:ind w:firstLine="814" w:firstLineChars="388"/>
        <w:rPr>
          <w:rFonts w:hint="eastAsia" w:ascii="宋体" w:hAnsi="宋体" w:eastAsia="宋体" w:cs="宋体"/>
          <w:color w:val="auto"/>
          <w:highlight w:val="none"/>
        </w:rPr>
      </w:pPr>
    </w:p>
    <w:p>
      <w:pPr>
        <w:autoSpaceDE w:val="0"/>
        <w:autoSpaceDN w:val="0"/>
        <w:adjustRightInd w:val="0"/>
        <w:snapToGrid w:val="0"/>
        <w:spacing w:before="24" w:beforeLines="10" w:line="360" w:lineRule="auto"/>
        <w:ind w:firstLine="1091" w:firstLineChars="388"/>
        <w:jc w:val="center"/>
        <w:textAlignment w:val="bottom"/>
        <w:rPr>
          <w:rFonts w:hint="eastAsia" w:ascii="宋体" w:hAnsi="宋体" w:cs="宋体"/>
          <w:b/>
          <w:color w:val="auto"/>
          <w:highlight w:val="none"/>
        </w:rPr>
      </w:pPr>
    </w:p>
    <w:p>
      <w:pPr>
        <w:autoSpaceDE w:val="0"/>
        <w:autoSpaceDN w:val="0"/>
        <w:adjustRightInd w:val="0"/>
        <w:snapToGrid w:val="0"/>
        <w:spacing w:line="360" w:lineRule="auto"/>
        <w:ind w:firstLine="1402" w:firstLineChars="388"/>
        <w:textAlignment w:val="bottom"/>
        <w:rPr>
          <w:rFonts w:hint="eastAsia" w:ascii="宋体" w:hAnsi="宋体" w:cs="宋体"/>
          <w:b/>
          <w:color w:val="auto"/>
          <w:sz w:val="36"/>
          <w:highlight w:val="none"/>
        </w:rPr>
      </w:pPr>
      <w:r>
        <w:rPr>
          <w:rFonts w:hint="eastAsia" w:ascii="宋体" w:hAnsi="宋体" w:cs="宋体"/>
          <w:b/>
          <w:color w:val="auto"/>
          <w:sz w:val="36"/>
          <w:highlight w:val="none"/>
        </w:rPr>
        <w:t>招   标   人：</w:t>
      </w:r>
      <w:r>
        <w:rPr>
          <w:rFonts w:hint="eastAsia" w:ascii="宋体" w:hAnsi="宋体" w:cs="宋体"/>
          <w:b/>
          <w:color w:val="auto"/>
          <w:sz w:val="36"/>
          <w:highlight w:val="none"/>
          <w:lang w:eastAsia="zh-CN"/>
        </w:rPr>
        <w:t>衢州市民用航空管理局（衢州民航站）</w:t>
      </w:r>
    </w:p>
    <w:p>
      <w:pPr>
        <w:autoSpaceDE w:val="0"/>
        <w:autoSpaceDN w:val="0"/>
        <w:adjustRightInd w:val="0"/>
        <w:snapToGrid w:val="0"/>
        <w:spacing w:line="360" w:lineRule="auto"/>
        <w:ind w:firstLine="1402" w:firstLineChars="388"/>
        <w:textAlignment w:val="bottom"/>
        <w:rPr>
          <w:rFonts w:hint="eastAsia" w:ascii="宋体" w:hAnsi="宋体" w:cs="宋体"/>
          <w:b/>
          <w:color w:val="auto"/>
          <w:sz w:val="36"/>
          <w:highlight w:val="none"/>
        </w:rPr>
      </w:pPr>
      <w:r>
        <w:rPr>
          <w:rFonts w:hint="eastAsia" w:ascii="宋体" w:hAnsi="宋体" w:cs="宋体"/>
          <w:b/>
          <w:color w:val="auto"/>
          <w:sz w:val="36"/>
          <w:highlight w:val="none"/>
        </w:rPr>
        <w:t>招标代理机构：浙江中正工程项目管理有限公司</w:t>
      </w:r>
    </w:p>
    <w:p>
      <w:pPr>
        <w:pStyle w:val="53"/>
        <w:spacing w:before="24" w:beforeLines="10" w:line="360" w:lineRule="auto"/>
        <w:jc w:val="center"/>
        <w:rPr>
          <w:rFonts w:hint="eastAsia" w:ascii="宋体" w:hAnsi="宋体" w:eastAsia="宋体" w:cs="宋体"/>
          <w:color w:val="auto"/>
          <w:highlight w:val="none"/>
        </w:rPr>
      </w:pPr>
      <w:r>
        <w:rPr>
          <w:rFonts w:hint="eastAsia" w:ascii="宋体" w:hAnsi="宋体" w:eastAsia="宋体" w:cs="宋体"/>
          <w:color w:val="auto"/>
          <w:sz w:val="36"/>
          <w:highlight w:val="none"/>
        </w:rPr>
        <w:t>日期：202</w:t>
      </w:r>
      <w:r>
        <w:rPr>
          <w:rFonts w:hint="eastAsia" w:ascii="宋体" w:hAnsi="宋体" w:eastAsia="宋体" w:cs="宋体"/>
          <w:color w:val="auto"/>
          <w:sz w:val="36"/>
          <w:highlight w:val="none"/>
          <w:lang w:val="en-US" w:eastAsia="zh-CN"/>
        </w:rPr>
        <w:t>5</w:t>
      </w:r>
      <w:r>
        <w:rPr>
          <w:rFonts w:hint="eastAsia" w:ascii="宋体" w:hAnsi="宋体" w:eastAsia="宋体" w:cs="宋体"/>
          <w:color w:val="auto"/>
          <w:sz w:val="36"/>
          <w:highlight w:val="none"/>
        </w:rPr>
        <w:t>年</w:t>
      </w:r>
      <w:r>
        <w:rPr>
          <w:rFonts w:hint="eastAsia" w:ascii="宋体" w:hAnsi="宋体" w:eastAsia="宋体" w:cs="宋体"/>
          <w:color w:val="auto"/>
          <w:sz w:val="36"/>
          <w:highlight w:val="none"/>
          <w:lang w:val="en-US" w:eastAsia="zh-CN"/>
        </w:rPr>
        <w:t>4</w:t>
      </w:r>
      <w:r>
        <w:rPr>
          <w:rFonts w:hint="eastAsia" w:ascii="宋体" w:hAnsi="宋体" w:eastAsia="宋体" w:cs="宋体"/>
          <w:color w:val="auto"/>
          <w:sz w:val="36"/>
          <w:highlight w:val="none"/>
        </w:rPr>
        <w:t>月</w:t>
      </w:r>
      <w:r>
        <w:rPr>
          <w:rFonts w:hint="eastAsia" w:ascii="宋体" w:hAnsi="宋体" w:eastAsia="宋体" w:cs="宋体"/>
          <w:color w:val="auto"/>
          <w:highlight w:val="none"/>
        </w:rPr>
        <w:br w:type="page"/>
      </w:r>
    </w:p>
    <w:p>
      <w:pPr>
        <w:pStyle w:val="53"/>
        <w:spacing w:before="24" w:beforeLines="10" w:line="360" w:lineRule="auto"/>
        <w:ind w:firstLine="361" w:firstLineChars="100"/>
        <w:jc w:val="center"/>
        <w:rPr>
          <w:rFonts w:hint="eastAsia" w:ascii="宋体" w:hAnsi="宋体" w:eastAsia="宋体" w:cs="宋体"/>
          <w:bCs/>
          <w:color w:val="auto"/>
          <w:sz w:val="36"/>
          <w:highlight w:val="none"/>
        </w:rPr>
      </w:pPr>
      <w:r>
        <w:rPr>
          <w:rFonts w:hint="eastAsia" w:ascii="宋体" w:hAnsi="宋体" w:eastAsia="宋体" w:cs="宋体"/>
          <w:bCs/>
          <w:color w:val="auto"/>
          <w:sz w:val="36"/>
          <w:highlight w:val="none"/>
        </w:rPr>
        <w:t>目  录</w:t>
      </w:r>
    </w:p>
    <w:p>
      <w:pPr>
        <w:spacing w:line="360" w:lineRule="auto"/>
        <w:rPr>
          <w:rFonts w:hint="eastAsia" w:ascii="宋体" w:hAnsi="宋体" w:cs="宋体"/>
          <w:color w:val="auto"/>
          <w:highlight w:val="none"/>
        </w:rPr>
      </w:pPr>
    </w:p>
    <w:p>
      <w:pPr>
        <w:pStyle w:val="63"/>
        <w:tabs>
          <w:tab w:val="right" w:leader="dot" w:pos="9026"/>
          <w:tab w:val="clear" w:pos="8364"/>
        </w:tabs>
        <w:spacing w:after="0"/>
        <w:rPr>
          <w:rFonts w:hint="eastAsia" w:ascii="宋体" w:hAnsi="宋体" w:cs="宋体"/>
          <w:color w:val="auto"/>
          <w:sz w:val="24"/>
          <w:szCs w:val="24"/>
          <w:highlight w:val="none"/>
        </w:rPr>
      </w:pPr>
      <w:r>
        <w:rPr>
          <w:rFonts w:hint="eastAsia" w:ascii="宋体" w:hAnsi="宋体" w:cs="宋体"/>
          <w:b w:val="0"/>
          <w:color w:val="auto"/>
          <w:sz w:val="24"/>
          <w:szCs w:val="24"/>
          <w:highlight w:val="none"/>
        </w:rPr>
        <w:fldChar w:fldCharType="begin"/>
      </w:r>
      <w:r>
        <w:rPr>
          <w:rFonts w:hint="eastAsia" w:ascii="宋体" w:hAnsi="宋体" w:cs="宋体"/>
          <w:b w:val="0"/>
          <w:color w:val="auto"/>
          <w:sz w:val="24"/>
          <w:szCs w:val="24"/>
          <w:highlight w:val="none"/>
        </w:rPr>
        <w:instrText xml:space="preserve">TOC \o "1-2" \h \z \u</w:instrText>
      </w:r>
      <w:r>
        <w:rPr>
          <w:rFonts w:hint="eastAsia" w:ascii="宋体" w:hAnsi="宋体" w:cs="宋体"/>
          <w:b w:val="0"/>
          <w:color w:val="auto"/>
          <w:sz w:val="24"/>
          <w:szCs w:val="24"/>
          <w:highlight w:val="none"/>
        </w:rPr>
        <w:fldChar w:fldCharType="separate"/>
      </w:r>
      <w:r>
        <w:rPr>
          <w:color w:val="auto"/>
          <w:highlight w:val="none"/>
        </w:rPr>
        <w:fldChar w:fldCharType="begin"/>
      </w:r>
      <w:r>
        <w:rPr>
          <w:color w:val="auto"/>
          <w:highlight w:val="none"/>
        </w:rPr>
        <w:instrText xml:space="preserve"> HYPERLINK \l "_Toc32624" </w:instrText>
      </w:r>
      <w:r>
        <w:rPr>
          <w:color w:val="auto"/>
          <w:highlight w:val="none"/>
        </w:rPr>
        <w:fldChar w:fldCharType="separate"/>
      </w:r>
      <w:r>
        <w:rPr>
          <w:rFonts w:hint="eastAsia" w:ascii="宋体" w:hAnsi="宋体" w:cs="宋体"/>
          <w:color w:val="auto"/>
          <w:sz w:val="24"/>
          <w:szCs w:val="24"/>
          <w:highlight w:val="none"/>
        </w:rPr>
        <w:t>第一部分  招标公告</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begin"/>
      </w:r>
      <w:r>
        <w:rPr>
          <w:rFonts w:hint="eastAsia" w:ascii="宋体" w:hAnsi="宋体" w:cs="宋体"/>
          <w:color w:val="auto"/>
          <w:sz w:val="24"/>
          <w:szCs w:val="24"/>
          <w:highlight w:val="none"/>
        </w:rPr>
        <w:instrText xml:space="preserve"> PAGEREF _Toc32624 </w:instrText>
      </w:r>
      <w:r>
        <w:rPr>
          <w:rFonts w:hint="eastAsia" w:ascii="宋体" w:hAnsi="宋体" w:cs="宋体"/>
          <w:color w:val="auto"/>
          <w:sz w:val="24"/>
          <w:szCs w:val="24"/>
          <w:highlight w:val="none"/>
        </w:rPr>
        <w:fldChar w:fldCharType="separate"/>
      </w:r>
      <w:r>
        <w:rPr>
          <w:rFonts w:hint="eastAsia" w:ascii="宋体" w:hAnsi="宋体" w:cs="宋体"/>
          <w:color w:val="auto"/>
          <w:sz w:val="24"/>
          <w:szCs w:val="24"/>
          <w:highlight w:val="none"/>
        </w:rPr>
        <w:t>3</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fldChar w:fldCharType="end"/>
      </w:r>
    </w:p>
    <w:p>
      <w:pPr>
        <w:pStyle w:val="63"/>
        <w:tabs>
          <w:tab w:val="right" w:leader="dot" w:pos="9026"/>
          <w:tab w:val="clear" w:pos="8364"/>
        </w:tabs>
        <w:spacing w:after="0"/>
        <w:rPr>
          <w:rFonts w:hint="eastAsia" w:ascii="宋体" w:hAnsi="宋体" w:cs="宋体"/>
          <w:color w:val="auto"/>
          <w:sz w:val="24"/>
          <w:szCs w:val="24"/>
          <w:highlight w:val="none"/>
        </w:rPr>
      </w:pPr>
      <w:r>
        <w:rPr>
          <w:color w:val="auto"/>
          <w:highlight w:val="none"/>
        </w:rPr>
        <w:fldChar w:fldCharType="begin"/>
      </w:r>
      <w:r>
        <w:rPr>
          <w:color w:val="auto"/>
          <w:highlight w:val="none"/>
        </w:rPr>
        <w:instrText xml:space="preserve"> HYPERLINK \l "_Toc31506" </w:instrText>
      </w:r>
      <w:r>
        <w:rPr>
          <w:color w:val="auto"/>
          <w:highlight w:val="none"/>
        </w:rPr>
        <w:fldChar w:fldCharType="separate"/>
      </w:r>
      <w:r>
        <w:rPr>
          <w:rFonts w:hint="eastAsia" w:ascii="宋体" w:hAnsi="宋体" w:cs="宋体"/>
          <w:color w:val="auto"/>
          <w:sz w:val="24"/>
          <w:szCs w:val="24"/>
          <w:highlight w:val="none"/>
        </w:rPr>
        <w:t>第二部分  投标人须知</w:t>
      </w:r>
      <w:r>
        <w:rPr>
          <w:rFonts w:hint="eastAsia" w:ascii="宋体" w:hAnsi="宋体" w:cs="宋体"/>
          <w:color w:val="auto"/>
          <w:sz w:val="24"/>
          <w:szCs w:val="24"/>
          <w:highlight w:val="none"/>
        </w:rPr>
        <w:tab/>
      </w:r>
      <w:r>
        <w:rPr>
          <w:rFonts w:hint="eastAsia" w:ascii="宋体" w:hAnsi="宋体" w:cs="宋体"/>
          <w:color w:val="auto"/>
          <w:sz w:val="24"/>
          <w:szCs w:val="24"/>
          <w:highlight w:val="none"/>
        </w:rPr>
        <w:t>8</w:t>
      </w:r>
      <w:r>
        <w:rPr>
          <w:rFonts w:hint="eastAsia" w:ascii="宋体" w:hAnsi="宋体" w:cs="宋体"/>
          <w:color w:val="auto"/>
          <w:sz w:val="24"/>
          <w:szCs w:val="24"/>
          <w:highlight w:val="none"/>
        </w:rPr>
        <w:fldChar w:fldCharType="end"/>
      </w:r>
    </w:p>
    <w:p>
      <w:pPr>
        <w:pStyle w:val="63"/>
        <w:tabs>
          <w:tab w:val="right" w:leader="dot" w:pos="9026"/>
          <w:tab w:val="clear" w:pos="8364"/>
        </w:tabs>
        <w:spacing w:after="0"/>
        <w:rPr>
          <w:rFonts w:hint="eastAsia" w:ascii="宋体" w:hAnsi="宋体" w:cs="宋体"/>
          <w:color w:val="auto"/>
          <w:sz w:val="24"/>
          <w:szCs w:val="24"/>
          <w:highlight w:val="none"/>
        </w:rPr>
      </w:pPr>
      <w:r>
        <w:rPr>
          <w:color w:val="auto"/>
          <w:highlight w:val="none"/>
        </w:rPr>
        <w:fldChar w:fldCharType="begin"/>
      </w:r>
      <w:r>
        <w:rPr>
          <w:color w:val="auto"/>
          <w:highlight w:val="none"/>
        </w:rPr>
        <w:instrText xml:space="preserve"> HYPERLINK \l "_Toc4895" </w:instrText>
      </w:r>
      <w:r>
        <w:rPr>
          <w:color w:val="auto"/>
          <w:highlight w:val="none"/>
        </w:rPr>
        <w:fldChar w:fldCharType="separate"/>
      </w:r>
      <w:r>
        <w:rPr>
          <w:rFonts w:hint="eastAsia" w:ascii="宋体" w:hAnsi="宋体" w:cs="宋体"/>
          <w:color w:val="auto"/>
          <w:sz w:val="24"/>
          <w:szCs w:val="24"/>
          <w:highlight w:val="none"/>
        </w:rPr>
        <w:t>第三部分  采购需求</w:t>
      </w:r>
      <w:r>
        <w:rPr>
          <w:rFonts w:hint="eastAsia" w:ascii="宋体" w:hAnsi="宋体" w:cs="宋体"/>
          <w:color w:val="auto"/>
          <w:sz w:val="24"/>
          <w:szCs w:val="24"/>
          <w:highlight w:val="none"/>
        </w:rPr>
        <w:tab/>
      </w:r>
      <w:r>
        <w:rPr>
          <w:rFonts w:hint="eastAsia" w:ascii="宋体" w:hAnsi="宋体" w:cs="宋体"/>
          <w:color w:val="auto"/>
          <w:sz w:val="24"/>
          <w:szCs w:val="24"/>
          <w:highlight w:val="none"/>
        </w:rPr>
        <w:t>2</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t>8</w:t>
      </w:r>
    </w:p>
    <w:p>
      <w:pPr>
        <w:pStyle w:val="63"/>
        <w:tabs>
          <w:tab w:val="right" w:leader="dot" w:pos="9026"/>
          <w:tab w:val="clear" w:pos="8364"/>
        </w:tabs>
        <w:spacing w:after="0"/>
        <w:rPr>
          <w:rFonts w:hint="eastAsia"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"_Toc1203" </w:instrText>
      </w:r>
      <w:r>
        <w:rPr>
          <w:color w:val="auto"/>
          <w:highlight w:val="none"/>
        </w:rPr>
        <w:fldChar w:fldCharType="separate"/>
      </w:r>
      <w:r>
        <w:rPr>
          <w:rFonts w:hint="eastAsia" w:ascii="宋体" w:hAnsi="宋体" w:cs="宋体"/>
          <w:color w:val="auto"/>
          <w:sz w:val="24"/>
          <w:szCs w:val="24"/>
          <w:highlight w:val="none"/>
        </w:rPr>
        <w:t>第四部分  合同文本</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t>32</w:t>
      </w:r>
    </w:p>
    <w:p>
      <w:pPr>
        <w:pStyle w:val="63"/>
        <w:tabs>
          <w:tab w:val="right" w:leader="dot" w:pos="9026"/>
          <w:tab w:val="clear" w:pos="8364"/>
        </w:tabs>
        <w:spacing w:after="0"/>
        <w:rPr>
          <w:rFonts w:hint="eastAsia" w:ascii="宋体" w:hAnsi="宋体" w:cs="宋体"/>
          <w:color w:val="auto"/>
          <w:szCs w:val="24"/>
          <w:highlight w:val="none"/>
        </w:rPr>
      </w:pPr>
      <w:r>
        <w:rPr>
          <w:rFonts w:hint="eastAsia" w:ascii="宋体" w:hAnsi="宋体" w:cs="宋体"/>
          <w:color w:val="auto"/>
          <w:sz w:val="24"/>
          <w:szCs w:val="24"/>
          <w:highlight w:val="none"/>
        </w:rPr>
        <w:t xml:space="preserve">第五部分  </w:t>
      </w:r>
      <w:r>
        <w:rPr>
          <w:color w:val="auto"/>
          <w:highlight w:val="none"/>
        </w:rPr>
        <w:fldChar w:fldCharType="begin"/>
      </w:r>
      <w:r>
        <w:rPr>
          <w:color w:val="auto"/>
          <w:highlight w:val="none"/>
        </w:rPr>
        <w:instrText xml:space="preserve"> HYPERLINK \l "_Toc2553" </w:instrText>
      </w:r>
      <w:r>
        <w:rPr>
          <w:color w:val="auto"/>
          <w:highlight w:val="none"/>
        </w:rPr>
        <w:fldChar w:fldCharType="separate"/>
      </w:r>
      <w:r>
        <w:rPr>
          <w:rFonts w:hint="eastAsia" w:ascii="宋体" w:hAnsi="宋体" w:cs="宋体"/>
          <w:color w:val="auto"/>
          <w:sz w:val="24"/>
          <w:szCs w:val="24"/>
          <w:highlight w:val="none"/>
        </w:rPr>
        <w:t>投标文件部分格式文件</w:t>
      </w:r>
      <w:r>
        <w:rPr>
          <w:rFonts w:hint="eastAsia" w:ascii="宋体" w:hAnsi="宋体" w:cs="宋体"/>
          <w:color w:val="auto"/>
          <w:sz w:val="24"/>
          <w:szCs w:val="24"/>
          <w:highlight w:val="none"/>
        </w:rPr>
        <w:tab/>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t>38</w:t>
      </w:r>
    </w:p>
    <w:p>
      <w:pPr>
        <w:pStyle w:val="63"/>
        <w:tabs>
          <w:tab w:val="right" w:leader="dot" w:pos="9026"/>
          <w:tab w:val="clear" w:pos="8364"/>
        </w:tabs>
        <w:spacing w:after="0"/>
        <w:rPr>
          <w:rFonts w:hint="eastAsia" w:ascii="宋体" w:hAnsi="宋体" w:cs="宋体"/>
          <w:color w:val="auto"/>
          <w:sz w:val="24"/>
          <w:szCs w:val="24"/>
          <w:highlight w:val="none"/>
        </w:rPr>
      </w:pPr>
      <w:r>
        <w:rPr>
          <w:color w:val="auto"/>
          <w:highlight w:val="none"/>
        </w:rPr>
        <w:fldChar w:fldCharType="begin"/>
      </w:r>
      <w:r>
        <w:rPr>
          <w:color w:val="auto"/>
          <w:highlight w:val="none"/>
        </w:rPr>
        <w:instrText xml:space="preserve"> HYPERLINK \l "_Toc15453" </w:instrText>
      </w:r>
      <w:r>
        <w:rPr>
          <w:color w:val="auto"/>
          <w:highlight w:val="none"/>
        </w:rPr>
        <w:fldChar w:fldCharType="separate"/>
      </w:r>
      <w:r>
        <w:rPr>
          <w:rFonts w:hint="eastAsia" w:ascii="宋体" w:hAnsi="宋体" w:cs="宋体"/>
          <w:color w:val="auto"/>
          <w:sz w:val="24"/>
          <w:szCs w:val="24"/>
          <w:highlight w:val="none"/>
        </w:rPr>
        <w:t>第六部分  评分办法</w:t>
      </w:r>
      <w:r>
        <w:rPr>
          <w:rFonts w:hint="eastAsia" w:ascii="宋体" w:hAnsi="宋体" w:cs="宋体"/>
          <w:color w:val="auto"/>
          <w:sz w:val="24"/>
          <w:szCs w:val="24"/>
          <w:highlight w:val="none"/>
        </w:rPr>
        <w:tab/>
      </w:r>
      <w:r>
        <w:rPr>
          <w:rFonts w:hint="eastAsia" w:ascii="宋体" w:hAnsi="宋体" w:cs="宋体"/>
          <w:color w:val="auto"/>
          <w:sz w:val="24"/>
          <w:szCs w:val="24"/>
          <w:highlight w:val="none"/>
        </w:rPr>
        <w:t>5</w:t>
      </w:r>
      <w:r>
        <w:rPr>
          <w:rFonts w:hint="eastAsia" w:ascii="宋体" w:hAnsi="宋体" w:cs="宋体"/>
          <w:color w:val="auto"/>
          <w:sz w:val="24"/>
          <w:szCs w:val="24"/>
          <w:highlight w:val="none"/>
        </w:rPr>
        <w:fldChar w:fldCharType="end"/>
      </w:r>
      <w:r>
        <w:rPr>
          <w:rFonts w:hint="eastAsia" w:ascii="宋体" w:hAnsi="宋体" w:cs="宋体"/>
          <w:color w:val="auto"/>
          <w:sz w:val="24"/>
          <w:szCs w:val="24"/>
          <w:highlight w:val="none"/>
        </w:rPr>
        <w:t>6</w:t>
      </w:r>
    </w:p>
    <w:p>
      <w:pPr>
        <w:spacing w:line="360" w:lineRule="auto"/>
        <w:rPr>
          <w:rFonts w:hint="eastAsia" w:ascii="宋体" w:hAnsi="宋体" w:cs="宋体"/>
          <w:color w:val="auto"/>
          <w:sz w:val="24"/>
          <w:szCs w:val="24"/>
          <w:highlight w:val="none"/>
        </w:rPr>
      </w:pPr>
    </w:p>
    <w:p>
      <w:pPr>
        <w:pStyle w:val="48"/>
        <w:pageBreakBefore/>
        <w:adjustRightInd w:val="0"/>
        <w:snapToGrid w:val="0"/>
        <w:spacing w:line="360" w:lineRule="auto"/>
        <w:jc w:val="center"/>
        <w:outlineLvl w:val="0"/>
        <w:rPr>
          <w:rFonts w:hint="eastAsia" w:hAnsi="宋体" w:cs="宋体"/>
          <w:b/>
          <w:color w:val="auto"/>
          <w:sz w:val="36"/>
          <w:highlight w:val="none"/>
        </w:rPr>
      </w:pPr>
      <w:r>
        <w:rPr>
          <w:rFonts w:hint="eastAsia" w:hAnsi="宋体" w:cs="宋体"/>
          <w:color w:val="auto"/>
          <w:sz w:val="24"/>
          <w:szCs w:val="24"/>
          <w:highlight w:val="none"/>
        </w:rPr>
        <w:fldChar w:fldCharType="end"/>
      </w:r>
      <w:bookmarkStart w:id="1" w:name="_Toc32624"/>
      <w:r>
        <w:rPr>
          <w:rFonts w:hint="eastAsia" w:hAnsi="宋体" w:cs="宋体"/>
          <w:b/>
          <w:color w:val="auto"/>
          <w:sz w:val="36"/>
          <w:highlight w:val="none"/>
        </w:rPr>
        <w:t xml:space="preserve"> 第一部分  招标公告</w:t>
      </w:r>
      <w:bookmarkEnd w:id="1"/>
      <w:bookmarkStart w:id="2" w:name="_Toc225840107"/>
    </w:p>
    <w:tbl>
      <w:tblPr>
        <w:tblStyle w:val="98"/>
        <w:tblW w:w="924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Ex>
        <w:tc>
          <w:tcPr>
            <w:tcW w:w="9242" w:type="dxa"/>
          </w:tcPr>
          <w:p>
            <w:pPr>
              <w:pStyle w:val="84"/>
              <w:keepNext w:val="0"/>
              <w:keepLines w:val="0"/>
              <w:pageBreakBefore w:val="0"/>
              <w:kinsoku/>
              <w:wordWrap/>
              <w:overflowPunct/>
              <w:topLinePunct w:val="0"/>
              <w:bidi w:val="0"/>
              <w:spacing w:before="0" w:beforeAutospacing="0" w:after="0" w:afterAutospacing="0" w:line="348" w:lineRule="auto"/>
              <w:ind w:left="0" w:leftChars="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项目概况：</w:t>
            </w:r>
          </w:p>
          <w:p>
            <w:pPr>
              <w:pStyle w:val="84"/>
              <w:keepNext w:val="0"/>
              <w:keepLines w:val="0"/>
              <w:pageBreakBefore w:val="0"/>
              <w:kinsoku/>
              <w:wordWrap/>
              <w:overflowPunct/>
              <w:topLinePunct w:val="0"/>
              <w:bidi w:val="0"/>
              <w:spacing w:before="0" w:beforeAutospacing="0" w:after="0" w:afterAutospacing="0" w:line="348" w:lineRule="auto"/>
              <w:ind w:left="0" w:leftChars="0" w:firstLine="480" w:firstLineChars="200"/>
              <w:textAlignment w:val="auto"/>
              <w:rPr>
                <w:rFonts w:hint="eastAsia" w:ascii="宋体" w:hAnsi="宋体" w:eastAsia="宋体" w:cs="宋体"/>
                <w:b/>
                <w:bCs/>
                <w:color w:val="auto"/>
                <w:sz w:val="24"/>
                <w:szCs w:val="24"/>
                <w:highlight w:val="none"/>
              </w:rPr>
            </w:pPr>
            <w:r>
              <w:rPr>
                <w:rFonts w:hint="eastAsia" w:cs="宋体"/>
                <w:color w:val="auto"/>
                <w:sz w:val="24"/>
                <w:szCs w:val="24"/>
                <w:highlight w:val="none"/>
                <w:u w:val="single"/>
                <w:lang w:eastAsia="zh-CN"/>
              </w:rPr>
              <w:t>衢州机场设备更新改造提升项目货检双视角X光检查仪、安检培训系统采购（第二次）</w:t>
            </w:r>
            <w:r>
              <w:rPr>
                <w:rFonts w:hint="eastAsia" w:ascii="宋体" w:hAnsi="宋体" w:eastAsia="宋体" w:cs="宋体"/>
                <w:color w:val="auto"/>
                <w:sz w:val="24"/>
                <w:szCs w:val="24"/>
                <w:highlight w:val="none"/>
              </w:rPr>
              <w:t>的潜在投标人应在政采云平台（http://zfcg.czt.zj.gov.cn）获取（下载）招标文件，并于2025年4月25日9:30（北京时间）前提交（上传）投标文件。</w:t>
            </w:r>
          </w:p>
        </w:tc>
      </w:tr>
    </w:tbl>
    <w:p>
      <w:pPr>
        <w:keepNext w:val="0"/>
        <w:keepLines w:val="0"/>
        <w:pageBreakBefore w:val="0"/>
        <w:numPr>
          <w:ilvl w:val="0"/>
          <w:numId w:val="2"/>
        </w:numPr>
        <w:kinsoku/>
        <w:wordWrap/>
        <w:overflowPunct/>
        <w:topLinePunct w:val="0"/>
        <w:autoSpaceDE w:val="0"/>
        <w:autoSpaceDN w:val="0"/>
        <w:bidi w:val="0"/>
        <w:adjustRightInd w:val="0"/>
        <w:spacing w:line="348"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项目基本情况</w:t>
      </w:r>
    </w:p>
    <w:p>
      <w:pPr>
        <w:pStyle w:val="60"/>
        <w:keepNext w:val="0"/>
        <w:keepLines w:val="0"/>
        <w:pageBreakBefore w:val="0"/>
        <w:kinsoku/>
        <w:wordWrap/>
        <w:overflowPunct/>
        <w:topLinePunct w:val="0"/>
        <w:bidi w:val="0"/>
        <w:spacing w:after="0" w:line="348" w:lineRule="auto"/>
        <w:ind w:left="0" w:leftChars="0" w:firstLine="48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kern w:val="0"/>
          <w:sz w:val="24"/>
          <w:szCs w:val="24"/>
          <w:highlight w:val="none"/>
        </w:rPr>
        <w:t>项目编号：</w:t>
      </w:r>
      <w:r>
        <w:rPr>
          <w:rFonts w:hint="eastAsia" w:ascii="宋体" w:hAnsi="宋体" w:eastAsia="宋体" w:cs="宋体"/>
          <w:color w:val="auto"/>
          <w:sz w:val="24"/>
          <w:szCs w:val="24"/>
          <w:highlight w:val="none"/>
          <w:lang w:eastAsia="zh-CN"/>
        </w:rPr>
        <w:t>ZZCG2024123-1</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项目名称：</w:t>
      </w:r>
      <w:r>
        <w:rPr>
          <w:rFonts w:hint="eastAsia" w:ascii="宋体" w:hAnsi="宋体" w:cs="宋体"/>
          <w:color w:val="auto"/>
          <w:sz w:val="24"/>
          <w:szCs w:val="24"/>
          <w:highlight w:val="none"/>
          <w:u w:val="single"/>
          <w:lang w:eastAsia="zh-CN"/>
        </w:rPr>
        <w:t>衢州机场设备更新改造提升项目货检双视角X光检查仪、安检培训系统采购（第二次）</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98</w:t>
      </w:r>
      <w:r>
        <w:rPr>
          <w:rFonts w:hint="eastAsia" w:ascii="宋体" w:hAnsi="宋体" w:eastAsia="宋体" w:cs="宋体"/>
          <w:color w:val="auto"/>
          <w:sz w:val="24"/>
          <w:szCs w:val="24"/>
          <w:highlight w:val="none"/>
        </w:rPr>
        <w:t>0000</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最高限价（元）：</w:t>
      </w:r>
      <w:r>
        <w:rPr>
          <w:rFonts w:hint="eastAsia" w:ascii="宋体" w:hAnsi="宋体" w:cs="宋体"/>
          <w:color w:val="auto"/>
          <w:sz w:val="24"/>
          <w:szCs w:val="24"/>
          <w:highlight w:val="none"/>
          <w:lang w:val="en-US" w:eastAsia="zh-CN"/>
        </w:rPr>
        <w:t>98</w:t>
      </w:r>
      <w:r>
        <w:rPr>
          <w:rFonts w:hint="eastAsia" w:ascii="宋体" w:hAnsi="宋体" w:eastAsia="宋体" w:cs="宋体"/>
          <w:color w:val="auto"/>
          <w:sz w:val="24"/>
          <w:szCs w:val="24"/>
          <w:highlight w:val="none"/>
        </w:rPr>
        <w:t xml:space="preserve">0000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标项一</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标项名称:</w:t>
      </w:r>
      <w:bookmarkStart w:id="3" w:name="OLE_LINK7"/>
      <w:r>
        <w:rPr>
          <w:rFonts w:hint="eastAsia" w:ascii="宋体" w:hAnsi="宋体" w:eastAsia="宋体" w:cs="宋体"/>
          <w:color w:val="auto"/>
          <w:sz w:val="24"/>
          <w:szCs w:val="24"/>
          <w:highlight w:val="none"/>
          <w:u w:val="single"/>
          <w:lang w:eastAsia="zh-CN"/>
        </w:rPr>
        <w:t>衢州机场设备更新改造提升项目货检双视角X光检查仪采购</w:t>
      </w:r>
      <w:bookmarkEnd w:id="3"/>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 1</w:t>
      </w:r>
    </w:p>
    <w:p>
      <w:pPr>
        <w:keepNext w:val="0"/>
        <w:keepLines w:val="0"/>
        <w:pageBreakBefore w:val="0"/>
        <w:kinsoku/>
        <w:wordWrap/>
        <w:overflowPunct/>
        <w:topLinePunct w:val="0"/>
        <w:bidi w:val="0"/>
        <w:snapToGrid w:val="0"/>
        <w:spacing w:line="348" w:lineRule="auto"/>
        <w:ind w:left="0" w:leftChars="0" w:firstLine="480" w:firstLineChars="200"/>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r>
        <w:rPr>
          <w:rFonts w:hint="eastAsia" w:ascii="宋体" w:hAnsi="宋体" w:cs="宋体"/>
          <w:color w:val="auto"/>
          <w:sz w:val="24"/>
          <w:szCs w:val="24"/>
          <w:highlight w:val="none"/>
          <w:lang w:val="en-US" w:eastAsia="zh-CN"/>
        </w:rPr>
        <w:t>7</w:t>
      </w:r>
      <w:r>
        <w:rPr>
          <w:rFonts w:hint="eastAsia" w:ascii="宋体" w:hAnsi="宋体" w:eastAsia="宋体" w:cs="宋体"/>
          <w:color w:val="auto"/>
          <w:sz w:val="24"/>
          <w:szCs w:val="24"/>
          <w:highlight w:val="none"/>
        </w:rPr>
        <w:t xml:space="preserve">00000  </w:t>
      </w:r>
    </w:p>
    <w:p>
      <w:pPr>
        <w:keepNext w:val="0"/>
        <w:keepLines w:val="0"/>
        <w:pageBreakBefore w:val="0"/>
        <w:kinsoku/>
        <w:wordWrap/>
        <w:overflowPunct/>
        <w:topLinePunct w:val="0"/>
        <w:bidi w:val="0"/>
        <w:snapToGrid w:val="0"/>
        <w:spacing w:line="348" w:lineRule="auto"/>
        <w:ind w:left="0" w:leftChars="0" w:firstLine="480" w:firstLineChars="200"/>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简要规格描述或项目基本概况介绍、用途：主要针对衢州机场设备更新采购货检双视角X光检查仪（具体详见第三部分 采购需求）。</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标项</w:t>
      </w:r>
      <w:r>
        <w:rPr>
          <w:rFonts w:hint="eastAsia" w:ascii="宋体" w:hAnsi="宋体" w:eastAsia="宋体" w:cs="宋体"/>
          <w:color w:val="auto"/>
          <w:sz w:val="24"/>
          <w:szCs w:val="24"/>
          <w:highlight w:val="none"/>
          <w:lang w:eastAsia="zh-CN"/>
        </w:rPr>
        <w:t>二</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u w:val="single"/>
          <w:lang w:eastAsia="zh-CN"/>
        </w:rPr>
      </w:pPr>
      <w:r>
        <w:rPr>
          <w:rFonts w:hint="eastAsia" w:ascii="宋体" w:hAnsi="宋体" w:eastAsia="宋体" w:cs="宋体"/>
          <w:color w:val="auto"/>
          <w:sz w:val="24"/>
          <w:szCs w:val="24"/>
          <w:highlight w:val="none"/>
        </w:rPr>
        <w:t>标项名称:</w:t>
      </w:r>
      <w:bookmarkStart w:id="4" w:name="OLE_LINK8"/>
      <w:r>
        <w:rPr>
          <w:rFonts w:hint="eastAsia" w:ascii="宋体" w:hAnsi="宋体" w:eastAsia="宋体" w:cs="宋体"/>
          <w:color w:val="auto"/>
          <w:sz w:val="24"/>
          <w:szCs w:val="24"/>
          <w:highlight w:val="none"/>
          <w:u w:val="single"/>
          <w:lang w:eastAsia="zh-CN"/>
        </w:rPr>
        <w:t>衢州机场设备更新改造提升项目安检培训系统采购</w:t>
      </w:r>
    </w:p>
    <w:bookmarkEnd w:id="4"/>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数量: 1</w:t>
      </w:r>
    </w:p>
    <w:p>
      <w:pPr>
        <w:keepNext w:val="0"/>
        <w:keepLines w:val="0"/>
        <w:pageBreakBefore w:val="0"/>
        <w:kinsoku/>
        <w:wordWrap/>
        <w:overflowPunct/>
        <w:topLinePunct w:val="0"/>
        <w:bidi w:val="0"/>
        <w:snapToGrid w:val="0"/>
        <w:spacing w:line="348" w:lineRule="auto"/>
        <w:ind w:left="0" w:leftChars="0" w:firstLine="480" w:firstLineChars="200"/>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预算金额（元）:</w:t>
      </w:r>
      <w:r>
        <w:rPr>
          <w:rFonts w:hint="eastAsia" w:ascii="宋体" w:hAnsi="宋体" w:eastAsia="宋体" w:cs="宋体"/>
          <w:color w:val="auto"/>
          <w:sz w:val="24"/>
          <w:szCs w:val="24"/>
          <w:highlight w:val="none"/>
          <w:lang w:val="en-US" w:eastAsia="zh-CN"/>
        </w:rPr>
        <w:t>28</w:t>
      </w:r>
      <w:r>
        <w:rPr>
          <w:rFonts w:hint="eastAsia" w:ascii="宋体" w:hAnsi="宋体" w:eastAsia="宋体" w:cs="宋体"/>
          <w:color w:val="auto"/>
          <w:sz w:val="24"/>
          <w:szCs w:val="24"/>
          <w:highlight w:val="none"/>
        </w:rPr>
        <w:t xml:space="preserve">0000  </w:t>
      </w:r>
    </w:p>
    <w:p>
      <w:pPr>
        <w:keepNext w:val="0"/>
        <w:keepLines w:val="0"/>
        <w:pageBreakBefore w:val="0"/>
        <w:kinsoku/>
        <w:wordWrap/>
        <w:overflowPunct/>
        <w:topLinePunct w:val="0"/>
        <w:bidi w:val="0"/>
        <w:snapToGrid w:val="0"/>
        <w:spacing w:line="348" w:lineRule="auto"/>
        <w:ind w:left="0" w:leftChars="0" w:firstLine="480" w:firstLineChars="200"/>
        <w:jc w:val="left"/>
        <w:textAlignment w:val="auto"/>
        <w:outlineLvl w:val="0"/>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简要规格描述或项目基本概况介绍、用途：</w:t>
      </w:r>
      <w:bookmarkStart w:id="5" w:name="OLE_LINK9"/>
      <w:r>
        <w:rPr>
          <w:rFonts w:hint="eastAsia" w:ascii="宋体" w:hAnsi="宋体" w:eastAsia="宋体" w:cs="宋体"/>
          <w:color w:val="auto"/>
          <w:sz w:val="24"/>
          <w:szCs w:val="24"/>
          <w:highlight w:val="none"/>
        </w:rPr>
        <w:t>主要针对衢州机场设备更新采购安检培训系统（具体详见第三部分 采购需求）。</w:t>
      </w:r>
    </w:p>
    <w:bookmarkEnd w:id="5"/>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合同履约期限：合同签订后3个月内完成供货及安装、调试，具体时间以采购人书面通知为准。</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本项目（否）接受联合体投标。</w:t>
      </w:r>
    </w:p>
    <w:p>
      <w:pPr>
        <w:keepNext w:val="0"/>
        <w:keepLines w:val="0"/>
        <w:pageBreakBefore w:val="0"/>
        <w:kinsoku/>
        <w:wordWrap/>
        <w:overflowPunct/>
        <w:topLinePunct w:val="0"/>
        <w:autoSpaceDE w:val="0"/>
        <w:autoSpaceDN w:val="0"/>
        <w:bidi w:val="0"/>
        <w:adjustRightInd w:val="0"/>
        <w:spacing w:line="348" w:lineRule="auto"/>
        <w:ind w:left="0" w:leftChars="0" w:right="-23" w:firstLine="482" w:firstLineChars="200"/>
        <w:textAlignment w:val="auto"/>
        <w:rPr>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二、申请人的资格要求</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满足《中华人民共和国政府采购法》第二十二条规定；未被“信用中国”（www.creditchina.gov.cn)、中国政府采购网（www.ccgp.gov.cn）列入失信被执行人、重大税收违法案件当事人名单、政府采购严重违法失信行为记录名单。</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2.落实政府采购政策需满足的资格要求：</w:t>
      </w:r>
      <w:r>
        <w:rPr>
          <w:rFonts w:hint="eastAsia" w:ascii="宋体" w:hAnsi="宋体" w:eastAsia="宋体" w:cs="宋体"/>
          <w:b/>
          <w:bCs/>
          <w:color w:val="auto"/>
          <w:sz w:val="24"/>
          <w:szCs w:val="24"/>
          <w:highlight w:val="none"/>
        </w:rPr>
        <w:t>本项目属于专门面向中小微企业采购的项目,供应商应为中小微企业或监狱企业或残疾人福利性单位。</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3.本项目的特定资格要求：</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（1）单位负责人为同一人或者存在直接控股、管理关系的不同投标人，不得参加同一合同项下的政府采购活动；</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kern w:val="0"/>
          <w:sz w:val="24"/>
          <w:szCs w:val="24"/>
          <w:highlight w:val="none"/>
        </w:rPr>
      </w:pPr>
      <w:r>
        <w:rPr>
          <w:rFonts w:hint="eastAsia" w:ascii="宋体" w:hAnsi="宋体" w:eastAsia="宋体" w:cs="宋体"/>
          <w:color w:val="auto"/>
          <w:kern w:val="0"/>
          <w:sz w:val="24"/>
          <w:szCs w:val="24"/>
          <w:highlight w:val="none"/>
        </w:rPr>
        <w:t>（2）非联合体投标。</w:t>
      </w:r>
    </w:p>
    <w:p>
      <w:pPr>
        <w:keepNext w:val="0"/>
        <w:keepLines w:val="0"/>
        <w:pageBreakBefore w:val="0"/>
        <w:kinsoku/>
        <w:wordWrap/>
        <w:overflowPunct/>
        <w:topLinePunct w:val="0"/>
        <w:autoSpaceDE w:val="0"/>
        <w:autoSpaceDN w:val="0"/>
        <w:bidi w:val="0"/>
        <w:adjustRightInd w:val="0"/>
        <w:spacing w:line="348"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三、获取采购文件</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时间：/至2025年4月25日，每天上午00:00至12:00，下午12:00至23:59（北京时间，线上获取法定节假日均可，线下获取文件法定节假日除外）</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地点（网址）：政采云平台（http://zfcg.czt.zj.gov.cn） </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方式： 潜在投标人登陆政采云平台，在线申请获取招标文件（进入“项目采购”应用，在获取招标文件菜单中选择项目，申请获取招标文件，本项目招标文件不收取工本费；仅需浏览招标文件的投标人可点击“游客，浏览招标文件”直接下载招标文件浏览）。 </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售价（元）：0 </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示：招标公告附件内的招标文件（或采购需求）仅供阅览使用，供应商只有在“政府采购云平台”完成获取招标文件申请并下载了招标文件后才视作依法获取招标文件（法律法规所指的供应商获取招标文件时间以供应商完成获取招标文件申请后下载招标文件的时间为准）。</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注：请供应商按上述要求获取招标文件，如未在“政采云”系统内完成相关流程，引起的投标无效责任自负。</w:t>
      </w:r>
    </w:p>
    <w:p>
      <w:pPr>
        <w:keepNext w:val="0"/>
        <w:keepLines w:val="0"/>
        <w:pageBreakBefore w:val="0"/>
        <w:kinsoku/>
        <w:wordWrap/>
        <w:overflowPunct/>
        <w:topLinePunct w:val="0"/>
        <w:autoSpaceDE w:val="0"/>
        <w:autoSpaceDN w:val="0"/>
        <w:bidi w:val="0"/>
        <w:adjustRightInd w:val="0"/>
        <w:spacing w:line="348"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四、提交投标文件截止时间、开标时间和地点</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提交投标文件截止时间：2025年4月25日9:30（北京时间）</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应当在投标截止时间前完成电子投标文件的传输递交，投标截止时间前可以补充、修改或者撤回电子投标文件。补充或者修改电子投标文件的，应当先行撤回原文件，补充、修改后重新传输递交。投标截止时间前未完成传输的，视为撤回投标文件。</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投标地点（网址）：</w:t>
      </w:r>
      <w:bookmarkStart w:id="6" w:name="OLE_LINK10"/>
      <w:r>
        <w:rPr>
          <w:rFonts w:hint="eastAsia" w:ascii="宋体" w:hAnsi="宋体" w:eastAsia="宋体" w:cs="宋体"/>
          <w:color w:val="auto"/>
          <w:sz w:val="24"/>
          <w:szCs w:val="24"/>
          <w:highlight w:val="none"/>
        </w:rPr>
        <w:t xml:space="preserve">政采云平台（http://zfcg.czt.zj.gov.cn） </w:t>
      </w:r>
    </w:p>
    <w:bookmarkEnd w:id="6"/>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开标时间：2025年</w:t>
      </w: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月</w:t>
      </w:r>
      <w:r>
        <w:rPr>
          <w:rFonts w:hint="eastAsia" w:ascii="宋体" w:hAnsi="宋体" w:cs="宋体"/>
          <w:color w:val="auto"/>
          <w:sz w:val="24"/>
          <w:szCs w:val="24"/>
          <w:highlight w:val="none"/>
          <w:lang w:val="en-US" w:eastAsia="zh-CN"/>
        </w:rPr>
        <w:t>25</w:t>
      </w:r>
      <w:r>
        <w:rPr>
          <w:rFonts w:hint="eastAsia" w:ascii="宋体" w:hAnsi="宋体" w:eastAsia="宋体" w:cs="宋体"/>
          <w:color w:val="auto"/>
          <w:sz w:val="24"/>
          <w:szCs w:val="24"/>
          <w:highlight w:val="none"/>
        </w:rPr>
        <w:t>日</w:t>
      </w:r>
      <w:r>
        <w:rPr>
          <w:rFonts w:hint="eastAsia" w:ascii="宋体" w:hAnsi="宋体" w:cs="宋体"/>
          <w:color w:val="auto"/>
          <w:sz w:val="24"/>
          <w:szCs w:val="24"/>
          <w:highlight w:val="none"/>
          <w:lang w:val="en-US" w:eastAsia="zh-CN"/>
        </w:rPr>
        <w:t>9</w:t>
      </w:r>
      <w:r>
        <w:rPr>
          <w:rFonts w:hint="eastAsia" w:ascii="宋体" w:hAnsi="宋体" w:eastAsia="宋体" w:cs="宋体"/>
          <w:color w:val="auto"/>
          <w:sz w:val="24"/>
          <w:szCs w:val="24"/>
          <w:highlight w:val="none"/>
        </w:rPr>
        <w:t>:</w:t>
      </w:r>
      <w:r>
        <w:rPr>
          <w:rFonts w:hint="eastAsia" w:ascii="宋体" w:hAnsi="宋体" w:cs="宋体"/>
          <w:color w:val="auto"/>
          <w:sz w:val="24"/>
          <w:szCs w:val="24"/>
          <w:highlight w:val="none"/>
          <w:lang w:val="en-US" w:eastAsia="zh-CN"/>
        </w:rPr>
        <w:t>30</w:t>
      </w:r>
      <w:r>
        <w:rPr>
          <w:rFonts w:hint="eastAsia" w:ascii="宋体" w:hAnsi="宋体" w:eastAsia="宋体" w:cs="宋体"/>
          <w:color w:val="auto"/>
          <w:sz w:val="24"/>
          <w:szCs w:val="24"/>
          <w:highlight w:val="none"/>
        </w:rPr>
        <w:t xml:space="preserve">（北京时间） </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开标地点（网址）：浙江中正工程项目管理有限公司衢州分公司（衢州市九华北大道509号合屹大厦2号楼2单元9楼）。</w:t>
      </w:r>
    </w:p>
    <w:p>
      <w:pPr>
        <w:keepNext w:val="0"/>
        <w:keepLines w:val="0"/>
        <w:pageBreakBefore w:val="0"/>
        <w:kinsoku/>
        <w:wordWrap/>
        <w:overflowPunct/>
        <w:topLinePunct w:val="0"/>
        <w:autoSpaceDE w:val="0"/>
        <w:autoSpaceDN w:val="0"/>
        <w:bidi w:val="0"/>
        <w:adjustRightInd w:val="0"/>
        <w:spacing w:line="348"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五、公告期限：</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自本公告发布之日起5个工作日。</w:t>
      </w:r>
    </w:p>
    <w:p>
      <w:pPr>
        <w:keepNext w:val="0"/>
        <w:keepLines w:val="0"/>
        <w:pageBreakBefore w:val="0"/>
        <w:kinsoku/>
        <w:wordWrap/>
        <w:overflowPunct/>
        <w:topLinePunct w:val="0"/>
        <w:autoSpaceDE w:val="0"/>
        <w:autoSpaceDN w:val="0"/>
        <w:bidi w:val="0"/>
        <w:adjustRightInd w:val="0"/>
        <w:spacing w:line="348" w:lineRule="auto"/>
        <w:ind w:left="0" w:leftChars="0" w:right="-23"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六、其他补充事宜</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浙江省财政厅关于进一步发挥政府采购政策功能全力推动经济稳进提质的通知》（浙财采监（2022）3号）、《浙江省财政厅关于进一步促进政府采购公平竞争打造最优营商环境的通知》（浙财采监（2021）22号）已分别于2022年1月29日和2022年2月1日开始实施，此前有关规定与上述文件内容不一致的，按上述文件要求执行。</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2.根据《浙江省财政厅关于进一步促进政府采购公平竞争打造最优营商环境的通 知》（浙财采监（2021）22号）文件关于“健全行政裁决机制”要求，鼓励供应商在线提起询问，路径为：政采云-项目采购-询问质疑投诉-询问列表:鼓励供应商在线提起质 疑，路径为：政采云-项目采购-询问质疑投诉-质疑列表。质疑供应商对在线质疑答复 不满意的，可在线提起投诉，路径为：浙江政府服务网-政府采购投诉处理-在线办理。</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3.供应商认为采购文件使自己的权益受到损害的，可以自获取采购文件之日或者 采购公告期限届满之日（公告期限届满后获取采购文件的，以公告期限届满之日为准）起 7 个工作日内，对采购文件需求的以书面形式向招标人提出质疑，对其他内容的以书 面形式向招标人和采购代理机构提出质疑。质疑供应商对招标人、采购代理机构的答复 不满意或者招标人、采购代理机构未在规定的时间内作出答复的，可以在答复期满后十 五个工作日内向同级政府采购监督管理部门投诉。质疑函范本、投诉书范本请到浙江政 府采购网下载专区下载。</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4.其他事项：</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（1）包括节约资源、保护环境、支持创新、促进中小企业发展等。 详见招标文件的第二部分总则。</w:t>
      </w:r>
    </w:p>
    <w:p>
      <w:pPr>
        <w:keepNext w:val="0"/>
        <w:keepLines w:val="0"/>
        <w:pageBreakBefore w:val="0"/>
        <w:kinsoku/>
        <w:wordWrap/>
        <w:overflowPunct/>
        <w:topLinePunct w:val="0"/>
        <w:autoSpaceDE w:val="0"/>
        <w:autoSpaceDN w:val="0"/>
        <w:bidi w:val="0"/>
        <w:adjustRightInd w:val="0"/>
        <w:spacing w:line="348" w:lineRule="auto"/>
        <w:ind w:left="0" w:leftChars="0" w:right="-23" w:firstLine="482" w:firstLineChars="200"/>
        <w:textAlignment w:val="auto"/>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经招标人确认，本项目属于专门面向中小企业采购项目。</w:t>
      </w:r>
    </w:p>
    <w:p>
      <w:pPr>
        <w:keepNext w:val="0"/>
        <w:keepLines w:val="0"/>
        <w:pageBreakBefore w:val="0"/>
        <w:kinsoku/>
        <w:wordWrap/>
        <w:overflowPunct/>
        <w:topLinePunct w:val="0"/>
        <w:autoSpaceDE w:val="0"/>
        <w:autoSpaceDN w:val="0"/>
        <w:bidi w:val="0"/>
        <w:adjustRightInd w:val="0"/>
        <w:spacing w:line="348" w:lineRule="auto"/>
        <w:ind w:left="0" w:leftChars="0" w:right="-23"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（2）在线投标响应（电子投标）说明：</w:t>
      </w:r>
    </w:p>
    <w:p>
      <w:pPr>
        <w:keepNext w:val="0"/>
        <w:keepLines w:val="0"/>
        <w:pageBreakBefore w:val="0"/>
        <w:kinsoku/>
        <w:wordWrap/>
        <w:overflowPunct/>
        <w:topLinePunct w:val="0"/>
        <w:autoSpaceDE w:val="0"/>
        <w:autoSpaceDN w:val="0"/>
        <w:bidi w:val="0"/>
        <w:adjustRightInd w:val="0"/>
        <w:spacing w:line="348" w:lineRule="auto"/>
        <w:ind w:left="0" w:leftChars="0" w:right="-23"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  1）本项目通过“政府采购云平台（www.zcygov.cn）”实行在线投标响应（电子投标），供应商应先安装“政采云电子交易客户端”，并按照本招标文件和“政府采购云平台”的要求，通过“政采云电子交易客户端”编制并加密投标文件。供应商未按规定加密的投标文件，“政府采购云平台”将予以拒收。“政采云电子交易客户端”请自行前往“浙江政府采购网-下载专区-电子交易客户端”进行下载；通过“政府采购云平台”参与在线投标时如遇平台技术问题详询95763）为确保网上操作合法、有效和安全，投标供应商应当在投标截止时间前完成在“政府采购云平台”的身份认证，确保在电子投标过程中能够对相关数据电文进行加密和使用电子签章。使用“政采云电子交易客户端”需要提前申领CA数字证书，申领流程请自行前往“浙江政府采购网-下载专区-电子交易客户端-CA驱动和申领流程”进行查阅。3）投标供应商应当在投标截止时间前，将生成的“电子加密投标文件”上传递交至“政府采购云平台”。投标截止时间以后上传递交的投标文件将被“政府采购云平台”拒收。4）投标供应商在“政府采购云平台”完成“电子加密投标文件”的上传递交后，还可以（EMS或顺丰邮寄形式）在投标截止时间前递交以介质（U盘）存储的数据电文形式的“备份投标文件”，“备份投标文件”应当密封包装并在包装上标注投标项目名称、投标单位名称并加盖公章。5）通过“政府采购云平台”上传递交的“电子加密投标文件”无法按时解密，投标供应商递交了备份投标文件的，以备份投标文件为依据，否则视为投标文件撤回。通过“政府采购云平台”上传递交的“电子加密投标文件”已按时解密的，“备份投标文件”自动失效。投标供应商仅递交备份投标文件的，投标无效。6）投标人无需到现场投标，但须准时在线参加，直至评审结束。投标截止时间后投标人凭CA数字证书登录政采云平台完成投标文件解密。投标人的联系电话在投标当天保持通信畅通，因通信问题无法联系到投标人造成的后果由投标人自行承担。</w:t>
      </w:r>
    </w:p>
    <w:p>
      <w:pPr>
        <w:keepNext w:val="0"/>
        <w:keepLines w:val="0"/>
        <w:pageBreakBefore w:val="0"/>
        <w:kinsoku/>
        <w:wordWrap/>
        <w:overflowPunct/>
        <w:topLinePunct w:val="0"/>
        <w:autoSpaceDE w:val="0"/>
        <w:autoSpaceDN w:val="0"/>
        <w:bidi w:val="0"/>
        <w:adjustRightInd w:val="0"/>
        <w:spacing w:line="348" w:lineRule="auto"/>
        <w:ind w:left="0" w:leftChars="0" w:right="-20"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（3）采购项目需要落实的政府采购政策：</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1）《财政部发展改革委 生态环境部 市场监管总局关于调整优化节能产品、环境标志产品政府采购执行机制的通知》（财库〔2019〕9号）；</w:t>
      </w:r>
    </w:p>
    <w:p>
      <w:pPr>
        <w:keepNext w:val="0"/>
        <w:keepLines w:val="0"/>
        <w:pageBreakBefore w:val="0"/>
        <w:kinsoku/>
        <w:wordWrap/>
        <w:overflowPunct/>
        <w:topLinePunct w:val="0"/>
        <w:bidi w:val="0"/>
        <w:spacing w:line="348"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2）《政府采购促进中小企业发展管理办法》（财库[2020]46号）。</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3）本次采购为专门面向中小企业。</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4）根据财政部发布的《政府采购促进中小企业发展管理办法》 （财库[2020]46号）的规定规定执行。投标文件中须提供《中小企业声明函》。</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5）对于专门面向中、小、微型企业或者监狱企业或者残疾人福利性单位的政府采购货物或服务项目或工程项目，符合资格条件的不再执行价格评审优惠的扶持政策。</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6）中标供应商为中小企业、残疾人福利性单位、监狱企业的，应当随中标结果同时公告其《中小企业声明函》、《残疾人福利性单位声明函》、《监狱企业声明函》，接受社会监督。）属于小型、微型企业的残疾人福利性单位、监狱企业，不重复享受政策。供应商提供的《中小企业声明函》、《残疾人福利性单位声明函》、《监狱企业声明函》与事实不符的，依照《政府采购法》第七十七条第一款的规定追究法律责任。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（4）信用记录：根据财库[2016]125号《关于在政府采购活动中查询及使用信用记录有关问题的通知》要求，采购代理机构会对供应商信用记录进行查询并甄别。</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1）信用信息查询的截止时点：投标截止时间；</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2）查询渠道：“信用中国”（www.creditchina.gov.cn）、“中国政府采购网”（www.ccgp.gov.cn）；</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3）信用信息查询记录和证据留存具体方式：采购代理机构经办人将查询网页打印与其他采购文件一并保存；</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信用信息的使用规则：供应商存在不良信用记录的，其投标将被作为无效投标被拒绝。不良信用记录指：被列入失信被执行人、重大税收违法案件当事人名单、政府采购严重违法失信行为记录名单或浙江政府采购网曝光台中尚在行政处罚期内的。</w:t>
      </w:r>
    </w:p>
    <w:p>
      <w:pPr>
        <w:keepNext w:val="0"/>
        <w:keepLines w:val="0"/>
        <w:pageBreakBefore w:val="0"/>
        <w:kinsoku/>
        <w:wordWrap/>
        <w:overflowPunct/>
        <w:topLinePunct w:val="0"/>
        <w:autoSpaceDE w:val="0"/>
        <w:autoSpaceDN w:val="0"/>
        <w:bidi w:val="0"/>
        <w:adjustRightInd w:val="0"/>
        <w:spacing w:line="348" w:lineRule="auto"/>
        <w:ind w:left="0" w:leftChars="0" w:right="-23" w:firstLine="240" w:firstLineChars="1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（5）本项目相关公告（包括招标公告、中标公告及更正公告等）均以浙江政府采购网（http://zfcg.czt.zj.gov.cn/）发布的为准。</w:t>
      </w:r>
    </w:p>
    <w:p>
      <w:pPr>
        <w:keepNext w:val="0"/>
        <w:keepLines w:val="0"/>
        <w:pageBreakBefore w:val="0"/>
        <w:kinsoku/>
        <w:wordWrap/>
        <w:overflowPunct/>
        <w:topLinePunct w:val="0"/>
        <w:autoSpaceDE w:val="0"/>
        <w:autoSpaceDN w:val="0"/>
        <w:bidi w:val="0"/>
        <w:adjustRightInd w:val="0"/>
        <w:spacing w:line="348" w:lineRule="auto"/>
        <w:ind w:left="0" w:leftChars="0" w:right="-23" w:firstLine="482" w:firstLineChars="200"/>
        <w:textAlignment w:val="auto"/>
        <w:rPr>
          <w:rStyle w:val="89"/>
          <w:rFonts w:hint="eastAsia" w:ascii="宋体" w:hAnsi="宋体" w:eastAsia="宋体" w:cs="宋体"/>
          <w:color w:val="auto"/>
          <w:sz w:val="24"/>
          <w:szCs w:val="24"/>
          <w:highlight w:val="none"/>
        </w:rPr>
      </w:pPr>
      <w:r>
        <w:rPr>
          <w:rStyle w:val="89"/>
          <w:rFonts w:hint="eastAsia" w:ascii="宋体" w:hAnsi="宋体" w:eastAsia="宋体" w:cs="宋体"/>
          <w:color w:val="auto"/>
          <w:sz w:val="24"/>
          <w:szCs w:val="24"/>
          <w:highlight w:val="none"/>
        </w:rPr>
        <w:t>七、对本次采购提出询问、质疑、投诉，请按以下方式联系</w:t>
      </w:r>
    </w:p>
    <w:p>
      <w:pPr>
        <w:pStyle w:val="84"/>
        <w:keepNext w:val="0"/>
        <w:keepLines w:val="0"/>
        <w:pageBreakBefore w:val="0"/>
        <w:kinsoku/>
        <w:wordWrap/>
        <w:overflowPunct/>
        <w:topLinePunct w:val="0"/>
        <w:bidi w:val="0"/>
        <w:spacing w:before="0" w:beforeAutospacing="0" w:after="0" w:afterAutospacing="0" w:line="348" w:lineRule="auto"/>
        <w:ind w:left="0" w:leftChars="0"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1.采购人信息：</w:t>
      </w:r>
      <w:r>
        <w:rPr>
          <w:rFonts w:hint="eastAsia" w:ascii="宋体" w:hAnsi="宋体" w:eastAsia="宋体" w:cs="宋体"/>
          <w:color w:val="auto"/>
          <w:sz w:val="24"/>
          <w:szCs w:val="24"/>
          <w:highlight w:val="none"/>
          <w:lang w:eastAsia="zh-CN"/>
        </w:rPr>
        <w:t>衢州市民用航空管理局（衢州民航站）</w:t>
      </w:r>
    </w:p>
    <w:p>
      <w:pPr>
        <w:keepNext w:val="0"/>
        <w:keepLines w:val="0"/>
        <w:pageBreakBefore w:val="0"/>
        <w:kinsoku/>
        <w:wordWrap/>
        <w:overflowPunct/>
        <w:topLinePunct w:val="0"/>
        <w:autoSpaceDE w:val="0"/>
        <w:autoSpaceDN w:val="0"/>
        <w:bidi w:val="0"/>
        <w:adjustRightInd w:val="0"/>
        <w:spacing w:line="348" w:lineRule="auto"/>
        <w:ind w:left="0" w:leftChars="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地址：衢州市柯城区三江中路2号</w:t>
      </w:r>
    </w:p>
    <w:p>
      <w:pPr>
        <w:pStyle w:val="84"/>
        <w:keepNext w:val="0"/>
        <w:keepLines w:val="0"/>
        <w:pageBreakBefore w:val="0"/>
        <w:kinsoku/>
        <w:wordWrap/>
        <w:overflowPunct/>
        <w:topLinePunct w:val="0"/>
        <w:bidi w:val="0"/>
        <w:spacing w:before="0" w:beforeAutospacing="0" w:after="0" w:afterAutospacing="0" w:line="348" w:lineRule="auto"/>
        <w:ind w:left="0" w:leftChars="0"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传    真：/ </w:t>
      </w:r>
    </w:p>
    <w:p>
      <w:pPr>
        <w:pStyle w:val="84"/>
        <w:keepNext w:val="0"/>
        <w:keepLines w:val="0"/>
        <w:pageBreakBefore w:val="0"/>
        <w:kinsoku/>
        <w:wordWrap/>
        <w:overflowPunct/>
        <w:topLinePunct w:val="0"/>
        <w:bidi w:val="0"/>
        <w:spacing w:before="0" w:beforeAutospacing="0" w:after="0" w:afterAutospacing="0" w:line="348" w:lineRule="auto"/>
        <w:ind w:left="0" w:leftChars="0"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项目联系人（询问）：陈先生</w:t>
      </w:r>
    </w:p>
    <w:p>
      <w:pPr>
        <w:pStyle w:val="84"/>
        <w:keepNext w:val="0"/>
        <w:keepLines w:val="0"/>
        <w:pageBreakBefore w:val="0"/>
        <w:kinsoku/>
        <w:wordWrap/>
        <w:overflowPunct/>
        <w:topLinePunct w:val="0"/>
        <w:bidi w:val="0"/>
        <w:spacing w:before="0" w:beforeAutospacing="0" w:after="0" w:afterAutospacing="0" w:line="348" w:lineRule="auto"/>
        <w:ind w:left="0" w:leftChars="0" w:firstLine="482"/>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项目联系方式（询问）：0570-3032109</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质疑联系人：余先生</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质疑联系方式：0570-3032883</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2.采购代理机构信息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名称：浙江中正工程项目管理有限公司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地址：</w:t>
      </w:r>
      <w:bookmarkStart w:id="7" w:name="OLE_LINK3"/>
      <w:r>
        <w:rPr>
          <w:rFonts w:hint="eastAsia" w:ascii="宋体" w:hAnsi="宋体" w:eastAsia="宋体" w:cs="宋体"/>
          <w:color w:val="auto"/>
          <w:sz w:val="24"/>
          <w:szCs w:val="24"/>
          <w:highlight w:val="none"/>
        </w:rPr>
        <w:t xml:space="preserve">衢州市九华北大道509号合屹大厦2号楼2单元9楼 </w:t>
      </w:r>
      <w:bookmarkEnd w:id="7"/>
      <w:r>
        <w:rPr>
          <w:rFonts w:hint="eastAsia" w:ascii="宋体" w:hAnsi="宋体" w:eastAsia="宋体" w:cs="宋体"/>
          <w:color w:val="auto"/>
          <w:sz w:val="24"/>
          <w:szCs w:val="24"/>
          <w:highlight w:val="none"/>
        </w:rPr>
        <w:t xml:space="preserve">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传真：0570-3850156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项目联系人（询问）：留云霞</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项目联系方式（询问）：0570-3850116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质疑联系人：周丽爱             </w:t>
      </w:r>
    </w:p>
    <w:p>
      <w:pPr>
        <w:keepNext w:val="0"/>
        <w:keepLines w:val="0"/>
        <w:pageBreakBefore w:val="0"/>
        <w:kinsoku/>
        <w:wordWrap/>
        <w:overflowPunct/>
        <w:topLinePunct w:val="0"/>
        <w:autoSpaceDE w:val="0"/>
        <w:autoSpaceDN w:val="0"/>
        <w:bidi w:val="0"/>
        <w:adjustRightInd w:val="0"/>
        <w:spacing w:line="348" w:lineRule="auto"/>
        <w:ind w:left="0" w:leftChars="0" w:right="-20" w:firstLine="480" w:firstLineChars="200"/>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质疑联系方式：0570-3850117 　　　　　　</w:t>
      </w:r>
    </w:p>
    <w:p>
      <w:pPr>
        <w:pStyle w:val="60"/>
        <w:keepNext w:val="0"/>
        <w:keepLines w:val="0"/>
        <w:pageBreakBefore w:val="0"/>
        <w:kinsoku/>
        <w:wordWrap/>
        <w:overflowPunct/>
        <w:topLinePunct w:val="0"/>
        <w:bidi w:val="0"/>
        <w:spacing w:after="0" w:line="348" w:lineRule="auto"/>
        <w:ind w:left="0" w:leftChars="0"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3.同级政府采购监督管理部门            </w:t>
      </w:r>
    </w:p>
    <w:p>
      <w:pPr>
        <w:pStyle w:val="60"/>
        <w:keepNext w:val="0"/>
        <w:keepLines w:val="0"/>
        <w:pageBreakBefore w:val="0"/>
        <w:kinsoku/>
        <w:wordWrap/>
        <w:overflowPunct/>
        <w:topLinePunct w:val="0"/>
        <w:bidi w:val="0"/>
        <w:spacing w:after="0" w:line="348" w:lineRule="auto"/>
        <w:ind w:left="0" w:leftChars="0"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名    称：衢州市财政局             </w:t>
      </w:r>
    </w:p>
    <w:p>
      <w:pPr>
        <w:pStyle w:val="60"/>
        <w:keepNext w:val="0"/>
        <w:keepLines w:val="0"/>
        <w:pageBreakBefore w:val="0"/>
        <w:kinsoku/>
        <w:wordWrap/>
        <w:overflowPunct/>
        <w:topLinePunct w:val="0"/>
        <w:bidi w:val="0"/>
        <w:spacing w:after="0" w:line="348" w:lineRule="auto"/>
        <w:ind w:left="0" w:leftChars="0"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地    址：衢州市三江东路28号             </w:t>
      </w:r>
    </w:p>
    <w:p>
      <w:pPr>
        <w:pStyle w:val="60"/>
        <w:keepNext w:val="0"/>
        <w:keepLines w:val="0"/>
        <w:pageBreakBefore w:val="0"/>
        <w:kinsoku/>
        <w:wordWrap/>
        <w:overflowPunct/>
        <w:topLinePunct w:val="0"/>
        <w:bidi w:val="0"/>
        <w:spacing w:after="0" w:line="348" w:lineRule="auto"/>
        <w:ind w:left="0" w:leftChars="0"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传    真：/            </w:t>
      </w:r>
    </w:p>
    <w:p>
      <w:pPr>
        <w:pStyle w:val="60"/>
        <w:keepNext w:val="0"/>
        <w:keepLines w:val="0"/>
        <w:pageBreakBefore w:val="0"/>
        <w:kinsoku/>
        <w:wordWrap/>
        <w:overflowPunct/>
        <w:topLinePunct w:val="0"/>
        <w:bidi w:val="0"/>
        <w:spacing w:after="0" w:line="348" w:lineRule="auto"/>
        <w:ind w:left="0" w:leftChars="0"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 xml:space="preserve">联系人 ：黄女士             </w:t>
      </w:r>
    </w:p>
    <w:p>
      <w:pPr>
        <w:pStyle w:val="60"/>
        <w:keepNext w:val="0"/>
        <w:keepLines w:val="0"/>
        <w:pageBreakBefore w:val="0"/>
        <w:kinsoku/>
        <w:wordWrap/>
        <w:overflowPunct/>
        <w:topLinePunct w:val="0"/>
        <w:bidi w:val="0"/>
        <w:spacing w:after="0" w:line="348" w:lineRule="auto"/>
        <w:ind w:left="0" w:leftChars="0" w:firstLine="480"/>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监督投诉电话：</w:t>
      </w:r>
      <w:bookmarkStart w:id="8" w:name="OLE_LINK13"/>
      <w:bookmarkStart w:id="9" w:name="OLE_LINK2"/>
      <w:r>
        <w:rPr>
          <w:rFonts w:hint="eastAsia" w:ascii="宋体" w:hAnsi="宋体" w:eastAsia="宋体" w:cs="宋体"/>
          <w:color w:val="auto"/>
          <w:sz w:val="24"/>
          <w:szCs w:val="24"/>
          <w:highlight w:val="none"/>
        </w:rPr>
        <w:t>19957000570</w:t>
      </w:r>
      <w:bookmarkEnd w:id="8"/>
    </w:p>
    <w:bookmarkEnd w:id="9"/>
    <w:p>
      <w:pPr>
        <w:pStyle w:val="60"/>
        <w:spacing w:after="0" w:line="400" w:lineRule="exact"/>
        <w:ind w:left="0" w:leftChars="0"/>
        <w:jc w:val="left"/>
        <w:rPr>
          <w:rFonts w:hint="eastAsia" w:ascii="宋体" w:hAnsi="宋体" w:eastAsia="宋体" w:cs="宋体"/>
          <w:color w:val="auto"/>
          <w:szCs w:val="21"/>
          <w:highlight w:val="none"/>
        </w:rPr>
      </w:pPr>
    </w:p>
    <w:p>
      <w:pPr>
        <w:autoSpaceDE w:val="0"/>
        <w:autoSpaceDN w:val="0"/>
        <w:adjustRightInd w:val="0"/>
        <w:spacing w:line="360" w:lineRule="auto"/>
        <w:ind w:right="-20" w:firstLine="480" w:firstLineChars="200"/>
        <w:rPr>
          <w:rFonts w:hint="eastAsia" w:ascii="宋体" w:hAnsi="宋体" w:cs="宋体"/>
          <w:color w:val="auto"/>
          <w:sz w:val="24"/>
          <w:szCs w:val="22"/>
          <w:highlight w:val="none"/>
        </w:rPr>
      </w:pPr>
    </w:p>
    <w:p>
      <w:pPr>
        <w:pStyle w:val="60"/>
        <w:spacing w:after="0" w:line="400" w:lineRule="exact"/>
        <w:ind w:left="0" w:leftChars="0"/>
        <w:jc w:val="left"/>
        <w:rPr>
          <w:rFonts w:hint="eastAsia" w:ascii="宋体" w:hAnsi="宋体" w:eastAsia="宋体" w:cs="宋体"/>
          <w:color w:val="auto"/>
          <w:szCs w:val="21"/>
          <w:highlight w:val="none"/>
        </w:rPr>
      </w:pPr>
    </w:p>
    <w:p>
      <w:pPr>
        <w:pStyle w:val="48"/>
        <w:pageBreakBefore/>
        <w:adjustRightInd w:val="0"/>
        <w:snapToGrid w:val="0"/>
        <w:spacing w:line="400" w:lineRule="exact"/>
        <w:jc w:val="center"/>
        <w:outlineLvl w:val="0"/>
        <w:rPr>
          <w:rFonts w:hint="eastAsia" w:hAnsi="宋体" w:cs="宋体"/>
          <w:b/>
          <w:color w:val="auto"/>
          <w:sz w:val="36"/>
          <w:highlight w:val="none"/>
        </w:rPr>
      </w:pPr>
      <w:bookmarkStart w:id="10" w:name="_Toc31506"/>
      <w:r>
        <w:rPr>
          <w:rFonts w:hint="eastAsia" w:hAnsi="宋体" w:cs="宋体"/>
          <w:b/>
          <w:color w:val="auto"/>
          <w:sz w:val="36"/>
          <w:highlight w:val="none"/>
        </w:rPr>
        <w:t>第二部分  投标人须知</w:t>
      </w:r>
      <w:bookmarkEnd w:id="10"/>
    </w:p>
    <w:p>
      <w:pPr>
        <w:pStyle w:val="6"/>
        <w:spacing w:line="400" w:lineRule="exact"/>
        <w:ind w:left="560" w:firstLine="0"/>
        <w:jc w:val="center"/>
        <w:rPr>
          <w:rFonts w:hint="eastAsia" w:ascii="宋体" w:hAnsi="宋体" w:eastAsia="宋体" w:cs="宋体"/>
          <w:color w:val="auto"/>
          <w:sz w:val="32"/>
          <w:highlight w:val="none"/>
        </w:rPr>
      </w:pPr>
      <w:bookmarkStart w:id="11" w:name="_Toc16117"/>
      <w:bookmarkStart w:id="12" w:name="_Toc519670190"/>
      <w:bookmarkStart w:id="13" w:name="_Toc522530040"/>
      <w:r>
        <w:rPr>
          <w:rFonts w:hint="eastAsia" w:ascii="宋体" w:hAnsi="宋体" w:eastAsia="宋体" w:cs="宋体"/>
          <w:color w:val="auto"/>
          <w:sz w:val="32"/>
          <w:highlight w:val="none"/>
        </w:rPr>
        <w:t>前 附 表</w:t>
      </w:r>
      <w:bookmarkEnd w:id="11"/>
      <w:bookmarkEnd w:id="12"/>
      <w:bookmarkEnd w:id="13"/>
    </w:p>
    <w:tbl>
      <w:tblPr>
        <w:tblStyle w:val="97"/>
        <w:tblW w:w="10718" w:type="dxa"/>
        <w:jc w:val="center"/>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780"/>
        <w:gridCol w:w="1254"/>
        <w:gridCol w:w="8684"/>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spacing w:line="400" w:lineRule="exact"/>
              <w:jc w:val="center"/>
              <w:rPr>
                <w:rFonts w:hint="eastAsia" w:ascii="宋体" w:hAnsi="宋体" w:cs="宋体"/>
                <w:b/>
                <w:color w:val="auto"/>
                <w:sz w:val="24"/>
                <w:highlight w:val="none"/>
              </w:rPr>
            </w:pPr>
            <w:r>
              <w:rPr>
                <w:rFonts w:hint="eastAsia" w:ascii="宋体" w:hAnsi="宋体" w:cs="宋体"/>
                <w:b/>
                <w:color w:val="auto"/>
                <w:sz w:val="24"/>
                <w:highlight w:val="none"/>
              </w:rPr>
              <w:t>序号</w:t>
            </w:r>
          </w:p>
        </w:tc>
        <w:tc>
          <w:tcPr>
            <w:tcW w:w="1254" w:type="dxa"/>
            <w:vAlign w:val="center"/>
          </w:tcPr>
          <w:p>
            <w:pPr>
              <w:spacing w:line="400" w:lineRule="exact"/>
              <w:jc w:val="center"/>
              <w:rPr>
                <w:rFonts w:hint="eastAsia" w:ascii="宋体" w:hAnsi="宋体" w:cs="宋体"/>
                <w:b/>
                <w:color w:val="auto"/>
                <w:sz w:val="24"/>
                <w:highlight w:val="none"/>
              </w:rPr>
            </w:pPr>
            <w:r>
              <w:rPr>
                <w:rFonts w:hint="eastAsia" w:ascii="宋体" w:hAnsi="宋体" w:cs="宋体"/>
                <w:b/>
                <w:color w:val="auto"/>
                <w:sz w:val="24"/>
                <w:highlight w:val="none"/>
              </w:rPr>
              <w:t>名称</w:t>
            </w:r>
          </w:p>
        </w:tc>
        <w:tc>
          <w:tcPr>
            <w:tcW w:w="8684" w:type="dxa"/>
            <w:vAlign w:val="center"/>
          </w:tcPr>
          <w:p>
            <w:pPr>
              <w:spacing w:line="400" w:lineRule="exact"/>
              <w:jc w:val="center"/>
              <w:rPr>
                <w:rFonts w:hint="eastAsia" w:ascii="宋体" w:hAnsi="宋体" w:cs="宋体"/>
                <w:b/>
                <w:color w:val="auto"/>
                <w:sz w:val="24"/>
                <w:highlight w:val="none"/>
              </w:rPr>
            </w:pPr>
            <w:r>
              <w:rPr>
                <w:rFonts w:hint="eastAsia" w:ascii="宋体" w:hAnsi="宋体" w:cs="宋体"/>
                <w:b/>
                <w:color w:val="auto"/>
                <w:sz w:val="24"/>
                <w:highlight w:val="none"/>
              </w:rPr>
              <w:t>内容</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w:t>
            </w:r>
          </w:p>
        </w:tc>
        <w:tc>
          <w:tcPr>
            <w:tcW w:w="1254"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是否允许分包</w:t>
            </w:r>
          </w:p>
        </w:tc>
        <w:tc>
          <w:tcPr>
            <w:tcW w:w="8684" w:type="dxa"/>
            <w:vAlign w:val="center"/>
          </w:tcPr>
          <w:p>
            <w:pPr>
              <w:spacing w:line="400" w:lineRule="exact"/>
              <w:rPr>
                <w:rFonts w:hint="eastAsia" w:ascii="宋体" w:hAnsi="宋体" w:cs="宋体"/>
                <w:color w:val="auto"/>
                <w:sz w:val="24"/>
                <w:highlight w:val="none"/>
              </w:rPr>
            </w:pPr>
            <w:r>
              <w:rPr>
                <w:rFonts w:hint="eastAsia" w:ascii="宋体" w:hAnsi="宋体" w:cs="宋体"/>
                <w:color w:val="auto"/>
                <w:sz w:val="24"/>
                <w:highlight w:val="none"/>
              </w:rPr>
              <w:t>☑不允许</w:t>
            </w:r>
          </w:p>
          <w:p>
            <w:pPr>
              <w:spacing w:line="400" w:lineRule="exact"/>
              <w:rPr>
                <w:rFonts w:hint="eastAsia" w:ascii="宋体" w:hAnsi="宋体" w:cs="宋体"/>
                <w:color w:val="auto"/>
                <w:sz w:val="24"/>
                <w:highlight w:val="none"/>
              </w:rPr>
            </w:pPr>
            <w:r>
              <w:rPr>
                <w:rFonts w:hint="eastAsia" w:ascii="宋体" w:hAnsi="宋体" w:cs="宋体"/>
                <w:color w:val="auto"/>
                <w:sz w:val="24"/>
                <w:highlight w:val="none"/>
              </w:rPr>
              <w:sym w:font="Wingdings" w:char="00A8"/>
            </w:r>
            <w:r>
              <w:rPr>
                <w:rFonts w:hint="eastAsia" w:ascii="宋体" w:hAnsi="宋体" w:cs="宋体"/>
                <w:color w:val="auto"/>
                <w:sz w:val="24"/>
                <w:highlight w:val="none"/>
              </w:rPr>
              <w:t>允许  分包内容要求：      分包金额要求：</w:t>
            </w:r>
          </w:p>
          <w:p>
            <w:pPr>
              <w:spacing w:line="400" w:lineRule="exact"/>
              <w:rPr>
                <w:rFonts w:hint="eastAsia" w:ascii="宋体" w:hAnsi="宋体" w:cs="宋体"/>
                <w:color w:val="auto"/>
                <w:sz w:val="24"/>
                <w:highlight w:val="none"/>
              </w:rPr>
            </w:pPr>
            <w:r>
              <w:rPr>
                <w:rFonts w:hint="eastAsia" w:ascii="宋体" w:hAnsi="宋体" w:cs="宋体"/>
                <w:color w:val="auto"/>
                <w:sz w:val="24"/>
                <w:highlight w:val="none"/>
              </w:rPr>
              <w:t>接受分包的第三人资质要求：</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2</w:t>
            </w:r>
          </w:p>
        </w:tc>
        <w:tc>
          <w:tcPr>
            <w:tcW w:w="1254" w:type="dxa"/>
            <w:vAlign w:val="center"/>
          </w:tcPr>
          <w:p>
            <w:pPr>
              <w:spacing w:line="400" w:lineRule="exact"/>
              <w:jc w:val="center"/>
              <w:rPr>
                <w:rFonts w:hint="eastAsia" w:ascii="宋体" w:hAnsi="宋体" w:cs="宋体"/>
                <w:color w:val="auto"/>
                <w:spacing w:val="-2"/>
                <w:kern w:val="0"/>
                <w:position w:val="-3"/>
                <w:sz w:val="24"/>
                <w:highlight w:val="none"/>
              </w:rPr>
            </w:pPr>
            <w:r>
              <w:rPr>
                <w:rFonts w:hint="eastAsia" w:ascii="宋体" w:hAnsi="宋体" w:cs="宋体"/>
                <w:color w:val="auto"/>
                <w:spacing w:val="-2"/>
                <w:kern w:val="0"/>
                <w:position w:val="-3"/>
                <w:sz w:val="24"/>
                <w:highlight w:val="none"/>
              </w:rPr>
              <w:t>踏勘现场</w:t>
            </w:r>
          </w:p>
        </w:tc>
        <w:tc>
          <w:tcPr>
            <w:tcW w:w="8684" w:type="dxa"/>
            <w:vAlign w:val="center"/>
          </w:tcPr>
          <w:p>
            <w:pPr>
              <w:spacing w:line="400" w:lineRule="exact"/>
              <w:rPr>
                <w:rFonts w:hint="eastAsia" w:ascii="宋体" w:hAnsi="宋体" w:cs="宋体"/>
                <w:color w:val="auto"/>
                <w:spacing w:val="-2"/>
                <w:kern w:val="0"/>
                <w:position w:val="-3"/>
                <w:sz w:val="24"/>
                <w:highlight w:val="none"/>
              </w:rPr>
            </w:pPr>
            <w:r>
              <w:rPr>
                <w:rFonts w:hint="eastAsia" w:ascii="宋体" w:hAnsi="宋体" w:cs="宋体"/>
                <w:color w:val="auto"/>
                <w:spacing w:val="-2"/>
                <w:kern w:val="0"/>
                <w:position w:val="-3"/>
                <w:sz w:val="24"/>
                <w:highlight w:val="none"/>
              </w:rPr>
              <w:sym w:font="Wingdings" w:char="F0FE"/>
            </w:r>
            <w:r>
              <w:rPr>
                <w:rFonts w:hint="eastAsia" w:ascii="宋体" w:hAnsi="宋体" w:cs="宋体"/>
                <w:color w:val="auto"/>
                <w:spacing w:val="-2"/>
                <w:kern w:val="0"/>
                <w:position w:val="-3"/>
                <w:sz w:val="24"/>
                <w:highlight w:val="none"/>
              </w:rPr>
              <w:t>不组织  投标人如有需要可自行前往踏勘，联系方式见招标公告。</w:t>
            </w:r>
          </w:p>
          <w:p>
            <w:pPr>
              <w:spacing w:line="400" w:lineRule="exact"/>
              <w:rPr>
                <w:rFonts w:hint="eastAsia" w:ascii="宋体" w:hAnsi="宋体" w:cs="宋体"/>
                <w:color w:val="auto"/>
                <w:spacing w:val="-2"/>
                <w:kern w:val="0"/>
                <w:position w:val="-3"/>
                <w:sz w:val="24"/>
                <w:highlight w:val="none"/>
              </w:rPr>
            </w:pPr>
            <w:r>
              <w:rPr>
                <w:rFonts w:hint="eastAsia" w:ascii="宋体" w:hAnsi="宋体" w:cs="宋体"/>
                <w:color w:val="auto"/>
                <w:spacing w:val="-2"/>
                <w:kern w:val="0"/>
                <w:position w:val="-3"/>
                <w:sz w:val="24"/>
                <w:highlight w:val="none"/>
              </w:rPr>
              <w:t xml:space="preserve">□统一组织踏勘时间：踏勘集中地点：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3</w:t>
            </w:r>
          </w:p>
        </w:tc>
        <w:tc>
          <w:tcPr>
            <w:tcW w:w="1254" w:type="dxa"/>
            <w:vAlign w:val="center"/>
          </w:tcPr>
          <w:p>
            <w:pPr>
              <w:spacing w:line="400" w:lineRule="exact"/>
              <w:jc w:val="center"/>
              <w:rPr>
                <w:rFonts w:hint="eastAsia" w:ascii="宋体" w:hAnsi="宋体" w:cs="宋体"/>
                <w:color w:val="auto"/>
                <w:spacing w:val="-2"/>
                <w:kern w:val="0"/>
                <w:position w:val="-3"/>
                <w:sz w:val="24"/>
                <w:highlight w:val="none"/>
              </w:rPr>
            </w:pPr>
            <w:r>
              <w:rPr>
                <w:rFonts w:hint="eastAsia" w:ascii="宋体" w:hAnsi="宋体" w:cs="宋体"/>
                <w:color w:val="auto"/>
                <w:spacing w:val="-2"/>
                <w:kern w:val="0"/>
                <w:position w:val="-3"/>
                <w:sz w:val="24"/>
                <w:highlight w:val="none"/>
              </w:rPr>
              <w:t>投标预备答疑会</w:t>
            </w:r>
          </w:p>
        </w:tc>
        <w:tc>
          <w:tcPr>
            <w:tcW w:w="8684" w:type="dxa"/>
            <w:vAlign w:val="center"/>
          </w:tcPr>
          <w:p>
            <w:pPr>
              <w:spacing w:line="400" w:lineRule="exact"/>
              <w:rPr>
                <w:rFonts w:hint="eastAsia" w:ascii="宋体" w:hAnsi="宋体" w:cs="宋体"/>
                <w:color w:val="auto"/>
                <w:spacing w:val="-2"/>
                <w:kern w:val="0"/>
                <w:position w:val="-3"/>
                <w:sz w:val="24"/>
                <w:highlight w:val="none"/>
              </w:rPr>
            </w:pPr>
            <w:r>
              <w:rPr>
                <w:rFonts w:hint="eastAsia" w:ascii="宋体" w:hAnsi="宋体" w:cs="宋体"/>
                <w:color w:val="auto"/>
                <w:spacing w:val="-2"/>
                <w:kern w:val="0"/>
                <w:position w:val="-3"/>
                <w:sz w:val="24"/>
                <w:highlight w:val="none"/>
              </w:rPr>
              <w:sym w:font="Wingdings" w:char="F0FE"/>
            </w:r>
            <w:r>
              <w:rPr>
                <w:rFonts w:hint="eastAsia" w:ascii="宋体" w:hAnsi="宋体" w:cs="宋体"/>
                <w:color w:val="auto"/>
                <w:spacing w:val="-2"/>
                <w:kern w:val="0"/>
                <w:position w:val="-3"/>
                <w:sz w:val="24"/>
                <w:highlight w:val="none"/>
              </w:rPr>
              <w:t>不召开</w:t>
            </w:r>
          </w:p>
          <w:p>
            <w:pPr>
              <w:spacing w:line="400" w:lineRule="exact"/>
              <w:rPr>
                <w:rFonts w:hint="eastAsia" w:ascii="宋体" w:hAnsi="宋体" w:cs="宋体"/>
                <w:color w:val="auto"/>
                <w:spacing w:val="-2"/>
                <w:kern w:val="0"/>
                <w:position w:val="-3"/>
                <w:sz w:val="24"/>
                <w:highlight w:val="none"/>
              </w:rPr>
            </w:pPr>
            <w:r>
              <w:rPr>
                <w:rFonts w:hint="eastAsia" w:ascii="宋体" w:hAnsi="宋体" w:cs="宋体"/>
                <w:color w:val="auto"/>
                <w:spacing w:val="-2"/>
                <w:kern w:val="0"/>
                <w:position w:val="-3"/>
                <w:sz w:val="24"/>
                <w:highlight w:val="none"/>
              </w:rPr>
              <w:t>□召开时间：召开地点：</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4</w:t>
            </w:r>
          </w:p>
        </w:tc>
        <w:tc>
          <w:tcPr>
            <w:tcW w:w="1254"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kern w:val="0"/>
                <w:position w:val="-3"/>
                <w:sz w:val="24"/>
                <w:highlight w:val="none"/>
              </w:rPr>
              <w:t>是否</w:t>
            </w:r>
            <w:r>
              <w:rPr>
                <w:rFonts w:hint="eastAsia" w:ascii="宋体" w:hAnsi="宋体" w:cs="宋体"/>
                <w:color w:val="auto"/>
                <w:spacing w:val="-2"/>
                <w:kern w:val="0"/>
                <w:position w:val="-3"/>
                <w:sz w:val="24"/>
                <w:highlight w:val="none"/>
              </w:rPr>
              <w:t>接</w:t>
            </w:r>
            <w:r>
              <w:rPr>
                <w:rFonts w:hint="eastAsia" w:ascii="宋体" w:hAnsi="宋体" w:cs="宋体"/>
                <w:color w:val="auto"/>
                <w:kern w:val="0"/>
                <w:position w:val="-3"/>
                <w:sz w:val="24"/>
                <w:highlight w:val="none"/>
              </w:rPr>
              <w:t>受</w:t>
            </w:r>
            <w:r>
              <w:rPr>
                <w:rFonts w:hint="eastAsia" w:ascii="宋体" w:hAnsi="宋体" w:cs="宋体"/>
                <w:color w:val="auto"/>
                <w:spacing w:val="-2"/>
                <w:kern w:val="0"/>
                <w:position w:val="-3"/>
                <w:sz w:val="24"/>
                <w:highlight w:val="none"/>
              </w:rPr>
              <w:t>联</w:t>
            </w:r>
            <w:r>
              <w:rPr>
                <w:rFonts w:hint="eastAsia" w:ascii="宋体" w:hAnsi="宋体" w:cs="宋体"/>
                <w:color w:val="auto"/>
                <w:kern w:val="0"/>
                <w:position w:val="-3"/>
                <w:sz w:val="24"/>
                <w:highlight w:val="none"/>
              </w:rPr>
              <w:t>合</w:t>
            </w:r>
            <w:r>
              <w:rPr>
                <w:rFonts w:hint="eastAsia" w:ascii="宋体" w:hAnsi="宋体" w:cs="宋体"/>
                <w:color w:val="auto"/>
                <w:spacing w:val="-2"/>
                <w:kern w:val="0"/>
                <w:position w:val="-3"/>
                <w:sz w:val="24"/>
                <w:highlight w:val="none"/>
              </w:rPr>
              <w:t>体</w:t>
            </w:r>
            <w:r>
              <w:rPr>
                <w:rFonts w:hint="eastAsia" w:ascii="宋体" w:hAnsi="宋体" w:cs="宋体"/>
                <w:color w:val="auto"/>
                <w:kern w:val="0"/>
                <w:position w:val="-3"/>
                <w:sz w:val="24"/>
                <w:highlight w:val="none"/>
              </w:rPr>
              <w:t>投标</w:t>
            </w:r>
          </w:p>
        </w:tc>
        <w:tc>
          <w:tcPr>
            <w:tcW w:w="8684" w:type="dxa"/>
            <w:vAlign w:val="center"/>
          </w:tcPr>
          <w:p>
            <w:pPr>
              <w:autoSpaceDE w:val="0"/>
              <w:autoSpaceDN w:val="0"/>
              <w:adjustRightInd w:val="0"/>
              <w:spacing w:line="400" w:lineRule="exact"/>
              <w:ind w:right="-20"/>
              <w:rPr>
                <w:rFonts w:hint="eastAsia" w:ascii="宋体" w:hAnsi="宋体" w:cs="宋体"/>
                <w:color w:val="auto"/>
                <w:sz w:val="24"/>
                <w:highlight w:val="none"/>
                <w:lang w:val="zh-CN"/>
              </w:rPr>
            </w:pPr>
            <w:r>
              <w:rPr>
                <w:rFonts w:hint="eastAsia" w:ascii="宋体" w:hAnsi="宋体" w:cs="宋体"/>
                <w:color w:val="auto"/>
                <w:sz w:val="24"/>
                <w:highlight w:val="none"/>
              </w:rPr>
              <w:sym w:font="Wingdings" w:char="F0FE"/>
            </w:r>
            <w:r>
              <w:rPr>
                <w:rFonts w:hint="eastAsia" w:ascii="宋体" w:hAnsi="宋体" w:cs="宋体"/>
                <w:color w:val="auto"/>
                <w:sz w:val="24"/>
                <w:highlight w:val="none"/>
                <w:lang w:val="zh-CN"/>
              </w:rPr>
              <w:t>否。</w:t>
            </w:r>
          </w:p>
          <w:p>
            <w:pPr>
              <w:spacing w:line="400" w:lineRule="exact"/>
              <w:rPr>
                <w:rFonts w:hint="eastAsia" w:ascii="宋体" w:hAnsi="宋体" w:cs="宋体"/>
                <w:color w:val="auto"/>
                <w:sz w:val="24"/>
                <w:highlight w:val="none"/>
              </w:rPr>
            </w:pPr>
            <w:r>
              <w:rPr>
                <w:rFonts w:hint="eastAsia" w:ascii="宋体" w:hAnsi="宋体" w:cs="宋体"/>
                <w:color w:val="auto"/>
                <w:sz w:val="24"/>
                <w:highlight w:val="none"/>
              </w:rPr>
              <w:t>□是。</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blHeade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5</w:t>
            </w:r>
          </w:p>
        </w:tc>
        <w:tc>
          <w:tcPr>
            <w:tcW w:w="1254" w:type="dxa"/>
            <w:vAlign w:val="center"/>
          </w:tcPr>
          <w:p>
            <w:pPr>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是否允许进口产品投标</w:t>
            </w:r>
          </w:p>
        </w:tc>
        <w:tc>
          <w:tcPr>
            <w:tcW w:w="8684" w:type="dxa"/>
            <w:vAlign w:val="center"/>
          </w:tcPr>
          <w:p>
            <w:pPr>
              <w:autoSpaceDE w:val="0"/>
              <w:autoSpaceDN w:val="0"/>
              <w:adjustRightInd w:val="0"/>
              <w:spacing w:line="400" w:lineRule="exact"/>
              <w:ind w:right="-20"/>
              <w:rPr>
                <w:rFonts w:hint="eastAsia" w:ascii="宋体" w:hAnsi="宋体" w:cs="宋体"/>
                <w:color w:val="auto"/>
                <w:sz w:val="24"/>
                <w:highlight w:val="none"/>
                <w:lang w:val="zh-CN"/>
              </w:rPr>
            </w:pPr>
            <w:r>
              <w:rPr>
                <w:rFonts w:hint="eastAsia" w:ascii="宋体" w:hAnsi="宋体" w:cs="宋体"/>
                <w:color w:val="auto"/>
                <w:sz w:val="24"/>
                <w:highlight w:val="none"/>
              </w:rPr>
              <w:sym w:font="Wingdings" w:char="F0FE"/>
            </w:r>
            <w:r>
              <w:rPr>
                <w:rFonts w:hint="eastAsia" w:ascii="宋体" w:hAnsi="宋体" w:cs="宋体"/>
                <w:color w:val="auto"/>
                <w:sz w:val="24"/>
                <w:highlight w:val="none"/>
                <w:lang w:val="zh-CN"/>
              </w:rPr>
              <w:t>不允许。</w:t>
            </w:r>
          </w:p>
          <w:p>
            <w:pPr>
              <w:autoSpaceDE w:val="0"/>
              <w:autoSpaceDN w:val="0"/>
              <w:adjustRightInd w:val="0"/>
              <w:spacing w:line="400" w:lineRule="exact"/>
              <w:ind w:right="-20"/>
              <w:rPr>
                <w:rFonts w:hint="eastAsia" w:ascii="宋体" w:hAnsi="宋体" w:cs="宋体"/>
                <w:color w:val="auto"/>
                <w:sz w:val="24"/>
                <w:highlight w:val="none"/>
              </w:rPr>
            </w:pPr>
            <w:r>
              <w:rPr>
                <w:rFonts w:hint="eastAsia" w:ascii="宋体" w:hAnsi="宋体" w:cs="宋体"/>
                <w:color w:val="auto"/>
                <w:sz w:val="24"/>
                <w:highlight w:val="none"/>
              </w:rPr>
              <w:t>□允许，详见招标文件第三部分 采购需求。</w:t>
            </w:r>
          </w:p>
          <w:p>
            <w:pPr>
              <w:autoSpaceDE w:val="0"/>
              <w:autoSpaceDN w:val="0"/>
              <w:adjustRightInd w:val="0"/>
              <w:spacing w:line="400" w:lineRule="exact"/>
              <w:ind w:right="-20"/>
              <w:rPr>
                <w:rFonts w:hint="eastAsia" w:ascii="宋体" w:hAnsi="宋体" w:cs="宋体"/>
                <w:color w:val="auto"/>
                <w:sz w:val="24"/>
                <w:highlight w:val="none"/>
              </w:rPr>
            </w:pPr>
            <w:r>
              <w:rPr>
                <w:rFonts w:hint="eastAsia" w:ascii="宋体" w:hAnsi="宋体" w:cs="宋体"/>
                <w:color w:val="auto"/>
                <w:sz w:val="24"/>
                <w:highlight w:val="none"/>
              </w:rPr>
              <w:t>□部分允许，详见招标文件第三部分 采购需求。</w:t>
            </w:r>
          </w:p>
          <w:p>
            <w:pPr>
              <w:autoSpaceDE w:val="0"/>
              <w:autoSpaceDN w:val="0"/>
              <w:adjustRightInd w:val="0"/>
              <w:spacing w:line="400" w:lineRule="exact"/>
              <w:ind w:right="-20"/>
              <w:rPr>
                <w:rFonts w:hint="eastAsia" w:ascii="宋体" w:hAnsi="宋体" w:cs="宋体"/>
                <w:color w:val="auto"/>
                <w:sz w:val="24"/>
                <w:highlight w:val="none"/>
              </w:rPr>
            </w:pPr>
            <w:r>
              <w:rPr>
                <w:rFonts w:hint="eastAsia" w:ascii="宋体" w:hAnsi="宋体" w:cs="宋体"/>
                <w:color w:val="auto"/>
                <w:sz w:val="24"/>
                <w:highlight w:val="none"/>
              </w:rPr>
              <w:t>报价及交货方式：□CIP</w:t>
            </w:r>
            <w:r>
              <w:rPr>
                <w:rFonts w:hint="eastAsia" w:ascii="宋体" w:hAnsi="宋体" w:cs="宋体"/>
                <w:color w:val="auto"/>
                <w:sz w:val="24"/>
                <w:highlight w:val="none"/>
                <w:lang w:val="zh-CN"/>
              </w:rPr>
              <w:t>/</w:t>
            </w:r>
            <w:r>
              <w:rPr>
                <w:rFonts w:hint="eastAsia" w:ascii="宋体" w:hAnsi="宋体" w:cs="宋体"/>
                <w:color w:val="auto"/>
                <w:sz w:val="24"/>
                <w:highlight w:val="none"/>
              </w:rPr>
              <w:t>□CIF。</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6</w:t>
            </w:r>
          </w:p>
        </w:tc>
        <w:tc>
          <w:tcPr>
            <w:tcW w:w="1254"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kern w:val="0"/>
                <w:position w:val="-5"/>
                <w:sz w:val="24"/>
                <w:highlight w:val="none"/>
              </w:rPr>
              <w:t>投标</w:t>
            </w:r>
            <w:r>
              <w:rPr>
                <w:rFonts w:hint="eastAsia" w:ascii="宋体" w:hAnsi="宋体" w:cs="宋体"/>
                <w:color w:val="auto"/>
                <w:spacing w:val="-2"/>
                <w:kern w:val="0"/>
                <w:position w:val="-5"/>
                <w:sz w:val="24"/>
                <w:highlight w:val="none"/>
              </w:rPr>
              <w:t>文</w:t>
            </w:r>
            <w:r>
              <w:rPr>
                <w:rFonts w:hint="eastAsia" w:ascii="宋体" w:hAnsi="宋体" w:cs="宋体"/>
                <w:color w:val="auto"/>
                <w:kern w:val="0"/>
                <w:position w:val="-5"/>
                <w:sz w:val="24"/>
                <w:highlight w:val="none"/>
              </w:rPr>
              <w:t>件</w:t>
            </w:r>
            <w:r>
              <w:rPr>
                <w:rFonts w:hint="eastAsia" w:ascii="宋体" w:hAnsi="宋体" w:cs="宋体"/>
                <w:color w:val="auto"/>
                <w:spacing w:val="-2"/>
                <w:kern w:val="0"/>
                <w:position w:val="-5"/>
                <w:sz w:val="24"/>
                <w:highlight w:val="none"/>
              </w:rPr>
              <w:t>份</w:t>
            </w:r>
            <w:r>
              <w:rPr>
                <w:rFonts w:hint="eastAsia" w:ascii="宋体" w:hAnsi="宋体" w:cs="宋体"/>
                <w:color w:val="auto"/>
                <w:kern w:val="0"/>
                <w:position w:val="-5"/>
                <w:sz w:val="24"/>
                <w:highlight w:val="none"/>
              </w:rPr>
              <w:t>数</w:t>
            </w:r>
          </w:p>
        </w:tc>
        <w:tc>
          <w:tcPr>
            <w:tcW w:w="8684" w:type="dxa"/>
            <w:vAlign w:val="center"/>
          </w:tcPr>
          <w:p>
            <w:pPr>
              <w:numPr>
                <w:ilvl w:val="0"/>
                <w:numId w:val="3"/>
              </w:numPr>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“电子加密投标文件”：在线上传递交、一份。</w:t>
            </w:r>
          </w:p>
          <w:p>
            <w:pPr>
              <w:numPr>
                <w:ilvl w:val="0"/>
                <w:numId w:val="3"/>
              </w:numPr>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rPr>
              <w:t>“备份投标文件”（</w:t>
            </w:r>
            <w:r>
              <w:rPr>
                <w:rFonts w:hint="eastAsia" w:ascii="宋体" w:hAnsi="宋体" w:cs="宋体"/>
                <w:b/>
                <w:bCs/>
                <w:color w:val="auto"/>
                <w:sz w:val="24"/>
                <w:szCs w:val="22"/>
                <w:highlight w:val="none"/>
              </w:rPr>
              <w:t>由投标人决定是否递交</w:t>
            </w:r>
            <w:r>
              <w:rPr>
                <w:rFonts w:hint="eastAsia" w:ascii="宋体" w:hAnsi="宋体" w:cs="宋体"/>
                <w:color w:val="auto"/>
                <w:sz w:val="24"/>
                <w:szCs w:val="24"/>
                <w:highlight w:val="none"/>
              </w:rPr>
              <w:t>）：密封包装后（建议顺丰邮寄）投标截止时间前递交一份，邮寄地址：衢州市九华北大道509号2#楼二单元九楼。</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90" w:hRule="atLeast"/>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7</w:t>
            </w:r>
          </w:p>
        </w:tc>
        <w:tc>
          <w:tcPr>
            <w:tcW w:w="1254" w:type="dxa"/>
            <w:vAlign w:val="center"/>
          </w:tcPr>
          <w:p>
            <w:pPr>
              <w:autoSpaceDE w:val="0"/>
              <w:autoSpaceDN w:val="0"/>
              <w:adjustRightInd w:val="0"/>
              <w:spacing w:line="400" w:lineRule="exact"/>
              <w:ind w:right="-20"/>
              <w:jc w:val="center"/>
              <w:rPr>
                <w:rFonts w:hint="eastAsia" w:ascii="宋体" w:hAnsi="宋体" w:cs="宋体"/>
                <w:color w:val="auto"/>
                <w:kern w:val="0"/>
                <w:sz w:val="24"/>
                <w:highlight w:val="none"/>
              </w:rPr>
            </w:pPr>
            <w:r>
              <w:rPr>
                <w:rFonts w:hint="eastAsia" w:ascii="宋体" w:hAnsi="宋体" w:cs="宋体"/>
                <w:color w:val="auto"/>
                <w:kern w:val="0"/>
                <w:position w:val="-5"/>
                <w:sz w:val="24"/>
                <w:szCs w:val="22"/>
                <w:highlight w:val="none"/>
              </w:rPr>
              <w:t>投标文件的组成和编制</w:t>
            </w:r>
          </w:p>
        </w:tc>
        <w:tc>
          <w:tcPr>
            <w:tcW w:w="8684" w:type="dxa"/>
            <w:vAlign w:val="center"/>
          </w:tcPr>
          <w:p>
            <w:pPr>
              <w:keepNext w:val="0"/>
              <w:keepLines w:val="0"/>
              <w:pageBreakBefore w:val="0"/>
              <w:widowControl w:val="0"/>
              <w:kinsoku/>
              <w:wordWrap/>
              <w:overflowPunct/>
              <w:topLinePunct w:val="0"/>
              <w:autoSpaceDE w:val="0"/>
              <w:autoSpaceDN w:val="0"/>
              <w:bidi w:val="0"/>
              <w:adjustRightInd w:val="0"/>
              <w:spacing w:line="400" w:lineRule="exact"/>
              <w:ind w:left="0" w:leftChars="0" w:right="-20"/>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highlight w:val="none"/>
              </w:rPr>
              <w:t>本项目分</w:t>
            </w:r>
            <w:r>
              <w:rPr>
                <w:rFonts w:hint="eastAsia" w:ascii="宋体" w:hAnsi="宋体" w:cs="宋体"/>
                <w:color w:val="auto"/>
                <w:sz w:val="24"/>
                <w:highlight w:val="none"/>
                <w:lang w:val="en-US" w:eastAsia="zh-CN"/>
              </w:rPr>
              <w:t>二</w:t>
            </w:r>
            <w:r>
              <w:rPr>
                <w:rFonts w:hint="eastAsia" w:ascii="宋体" w:hAnsi="宋体" w:cs="宋体"/>
                <w:color w:val="auto"/>
                <w:sz w:val="24"/>
                <w:highlight w:val="none"/>
              </w:rPr>
              <w:t>个标项</w:t>
            </w:r>
            <w:r>
              <w:rPr>
                <w:rFonts w:hint="eastAsia" w:ascii="宋体" w:hAnsi="宋体" w:cs="宋体"/>
                <w:color w:val="auto"/>
                <w:sz w:val="24"/>
                <w:highlight w:val="none"/>
                <w:lang w:eastAsia="zh-CN"/>
              </w:rPr>
              <w:t>，</w:t>
            </w:r>
            <w:r>
              <w:rPr>
                <w:rFonts w:hint="eastAsia" w:ascii="宋体" w:hAnsi="宋体" w:cs="宋体"/>
                <w:color w:val="auto"/>
                <w:sz w:val="24"/>
                <w:highlight w:val="none"/>
              </w:rPr>
              <w:t>各标项</w:t>
            </w:r>
            <w:r>
              <w:rPr>
                <w:rFonts w:hint="eastAsia" w:ascii="宋体" w:hAnsi="宋体" w:eastAsia="宋体" w:cs="宋体"/>
                <w:color w:val="auto"/>
                <w:sz w:val="24"/>
                <w:szCs w:val="24"/>
                <w:highlight w:val="none"/>
              </w:rPr>
              <w:t>完整的《投标文件》由“资格文件”、“商务技术文件”和“报价文件”三个部分组成。</w:t>
            </w:r>
          </w:p>
          <w:p>
            <w:pPr>
              <w:autoSpaceDE w:val="0"/>
              <w:autoSpaceDN w:val="0"/>
              <w:adjustRightInd w:val="0"/>
              <w:spacing w:line="400" w:lineRule="exact"/>
              <w:ind w:right="-20"/>
              <w:rPr>
                <w:rFonts w:hint="eastAsia" w:ascii="宋体" w:hAnsi="宋体" w:cs="宋体"/>
                <w:color w:val="auto"/>
                <w:kern w:val="0"/>
                <w:sz w:val="24"/>
                <w:szCs w:val="24"/>
                <w:highlight w:val="none"/>
              </w:rPr>
            </w:pPr>
            <w:r>
              <w:rPr>
                <w:rFonts w:hint="eastAsia" w:ascii="宋体" w:hAnsi="宋体" w:cs="宋体"/>
                <w:color w:val="auto"/>
                <w:sz w:val="24"/>
                <w:szCs w:val="24"/>
                <w:highlight w:val="none"/>
              </w:rPr>
              <w:t>投标人应先安装“政采云电子交易客户端”，并按照本招标文件和“政府采购云平台”的要求，通过“政采云电子交易客户端”编制并加密投标文件。</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8</w:t>
            </w:r>
          </w:p>
        </w:tc>
        <w:tc>
          <w:tcPr>
            <w:tcW w:w="1254" w:type="dxa"/>
            <w:vAlign w:val="center"/>
          </w:tcPr>
          <w:p>
            <w:pPr>
              <w:autoSpaceDE w:val="0"/>
              <w:autoSpaceDN w:val="0"/>
              <w:adjustRightInd w:val="0"/>
              <w:spacing w:line="400" w:lineRule="exact"/>
              <w:ind w:right="-20"/>
              <w:jc w:val="center"/>
              <w:rPr>
                <w:rFonts w:hint="eastAsia" w:ascii="宋体" w:hAnsi="宋体" w:cs="宋体"/>
                <w:color w:val="auto"/>
                <w:kern w:val="0"/>
                <w:position w:val="-3"/>
                <w:sz w:val="24"/>
                <w:highlight w:val="none"/>
              </w:rPr>
            </w:pPr>
            <w:r>
              <w:rPr>
                <w:rFonts w:hint="eastAsia" w:ascii="宋体" w:hAnsi="宋体" w:cs="宋体"/>
                <w:color w:val="auto"/>
                <w:kern w:val="0"/>
                <w:position w:val="-5"/>
                <w:sz w:val="24"/>
                <w:szCs w:val="22"/>
                <w:highlight w:val="none"/>
              </w:rPr>
              <w:t>投标文件的签章</w:t>
            </w:r>
          </w:p>
        </w:tc>
        <w:tc>
          <w:tcPr>
            <w:tcW w:w="8684" w:type="dxa"/>
            <w:vAlign w:val="center"/>
          </w:tcPr>
          <w:p>
            <w:pPr>
              <w:autoSpaceDE w:val="0"/>
              <w:autoSpaceDN w:val="0"/>
              <w:adjustRightInd w:val="0"/>
              <w:spacing w:line="400" w:lineRule="exact"/>
              <w:ind w:right="-20"/>
              <w:rPr>
                <w:rFonts w:hint="eastAsia" w:ascii="宋体" w:hAnsi="宋体" w:cs="宋体"/>
                <w:color w:val="auto"/>
                <w:kern w:val="0"/>
                <w:position w:val="-2"/>
                <w:sz w:val="24"/>
                <w:highlight w:val="none"/>
              </w:rPr>
            </w:pPr>
            <w:r>
              <w:rPr>
                <w:rFonts w:hint="eastAsia" w:ascii="宋体" w:hAnsi="宋体" w:cs="宋体"/>
                <w:color w:val="auto"/>
                <w:sz w:val="24"/>
                <w:highlight w:val="none"/>
              </w:rPr>
              <w:t>电子签章</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623" w:hRule="atLeast"/>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9</w:t>
            </w:r>
          </w:p>
        </w:tc>
        <w:tc>
          <w:tcPr>
            <w:tcW w:w="1254" w:type="dxa"/>
            <w:vAlign w:val="center"/>
          </w:tcPr>
          <w:p>
            <w:pPr>
              <w:autoSpaceDE w:val="0"/>
              <w:autoSpaceDN w:val="0"/>
              <w:adjustRightInd w:val="0"/>
              <w:spacing w:line="400" w:lineRule="exact"/>
              <w:ind w:right="-20"/>
              <w:jc w:val="center"/>
              <w:rPr>
                <w:rFonts w:hint="eastAsia" w:ascii="宋体" w:hAnsi="宋体" w:cs="宋体"/>
                <w:color w:val="auto"/>
                <w:kern w:val="0"/>
                <w:sz w:val="24"/>
                <w:highlight w:val="none"/>
              </w:rPr>
            </w:pPr>
            <w:r>
              <w:rPr>
                <w:rFonts w:hint="eastAsia" w:ascii="宋体" w:hAnsi="宋体" w:cs="宋体"/>
                <w:color w:val="auto"/>
                <w:kern w:val="0"/>
                <w:position w:val="-3"/>
                <w:sz w:val="24"/>
                <w:highlight w:val="none"/>
              </w:rPr>
              <w:t>投标</w:t>
            </w:r>
            <w:r>
              <w:rPr>
                <w:rFonts w:hint="eastAsia" w:ascii="宋体" w:hAnsi="宋体" w:cs="宋体"/>
                <w:color w:val="auto"/>
                <w:spacing w:val="-2"/>
                <w:kern w:val="0"/>
                <w:position w:val="-3"/>
                <w:sz w:val="24"/>
                <w:highlight w:val="none"/>
              </w:rPr>
              <w:t>文</w:t>
            </w:r>
            <w:r>
              <w:rPr>
                <w:rFonts w:hint="eastAsia" w:ascii="宋体" w:hAnsi="宋体" w:cs="宋体"/>
                <w:color w:val="auto"/>
                <w:kern w:val="0"/>
                <w:position w:val="-3"/>
                <w:sz w:val="24"/>
                <w:highlight w:val="none"/>
              </w:rPr>
              <w:t>件</w:t>
            </w:r>
            <w:r>
              <w:rPr>
                <w:rFonts w:hint="eastAsia" w:ascii="宋体" w:hAnsi="宋体" w:cs="宋体"/>
                <w:color w:val="auto"/>
                <w:spacing w:val="-2"/>
                <w:kern w:val="0"/>
                <w:position w:val="-3"/>
                <w:sz w:val="24"/>
                <w:highlight w:val="none"/>
              </w:rPr>
              <w:t>有</w:t>
            </w:r>
            <w:r>
              <w:rPr>
                <w:rFonts w:hint="eastAsia" w:ascii="宋体" w:hAnsi="宋体" w:cs="宋体"/>
                <w:color w:val="auto"/>
                <w:kern w:val="0"/>
                <w:position w:val="-3"/>
                <w:sz w:val="24"/>
                <w:highlight w:val="none"/>
              </w:rPr>
              <w:t>效期</w:t>
            </w:r>
          </w:p>
        </w:tc>
        <w:tc>
          <w:tcPr>
            <w:tcW w:w="8684" w:type="dxa"/>
            <w:vAlign w:val="center"/>
          </w:tcPr>
          <w:p>
            <w:pPr>
              <w:autoSpaceDE w:val="0"/>
              <w:autoSpaceDN w:val="0"/>
              <w:adjustRightInd w:val="0"/>
              <w:spacing w:line="400" w:lineRule="exact"/>
              <w:ind w:right="-20"/>
              <w:rPr>
                <w:rFonts w:hint="eastAsia" w:ascii="宋体" w:hAnsi="宋体" w:cs="宋体"/>
                <w:color w:val="auto"/>
                <w:kern w:val="0"/>
                <w:sz w:val="24"/>
                <w:highlight w:val="none"/>
              </w:rPr>
            </w:pPr>
            <w:r>
              <w:rPr>
                <w:rFonts w:hint="eastAsia" w:ascii="宋体" w:hAnsi="宋体" w:cs="宋体"/>
                <w:color w:val="auto"/>
                <w:kern w:val="0"/>
                <w:position w:val="-2"/>
                <w:sz w:val="24"/>
                <w:highlight w:val="none"/>
              </w:rPr>
              <w:t>自投</w:t>
            </w:r>
            <w:r>
              <w:rPr>
                <w:rFonts w:hint="eastAsia" w:ascii="宋体" w:hAnsi="宋体" w:cs="宋体"/>
                <w:color w:val="auto"/>
                <w:spacing w:val="-2"/>
                <w:kern w:val="0"/>
                <w:position w:val="-2"/>
                <w:sz w:val="24"/>
                <w:highlight w:val="none"/>
              </w:rPr>
              <w:t>标</w:t>
            </w:r>
            <w:r>
              <w:rPr>
                <w:rFonts w:hint="eastAsia" w:ascii="宋体" w:hAnsi="宋体" w:cs="宋体"/>
                <w:color w:val="auto"/>
                <w:kern w:val="0"/>
                <w:position w:val="-2"/>
                <w:sz w:val="24"/>
                <w:highlight w:val="none"/>
              </w:rPr>
              <w:t>截</w:t>
            </w:r>
            <w:r>
              <w:rPr>
                <w:rFonts w:hint="eastAsia" w:ascii="宋体" w:hAnsi="宋体" w:cs="宋体"/>
                <w:color w:val="auto"/>
                <w:spacing w:val="-2"/>
                <w:kern w:val="0"/>
                <w:position w:val="-2"/>
                <w:sz w:val="24"/>
                <w:highlight w:val="none"/>
              </w:rPr>
              <w:t>止</w:t>
            </w:r>
            <w:r>
              <w:rPr>
                <w:rFonts w:hint="eastAsia" w:ascii="宋体" w:hAnsi="宋体" w:cs="宋体"/>
                <w:color w:val="auto"/>
                <w:kern w:val="0"/>
                <w:position w:val="-2"/>
                <w:sz w:val="24"/>
                <w:highlight w:val="none"/>
              </w:rPr>
              <w:t>时</w:t>
            </w:r>
            <w:r>
              <w:rPr>
                <w:rFonts w:hint="eastAsia" w:ascii="宋体" w:hAnsi="宋体" w:cs="宋体"/>
                <w:color w:val="auto"/>
                <w:spacing w:val="-2"/>
                <w:kern w:val="0"/>
                <w:position w:val="-2"/>
                <w:sz w:val="24"/>
                <w:highlight w:val="none"/>
              </w:rPr>
              <w:t>间</w:t>
            </w:r>
            <w:r>
              <w:rPr>
                <w:rFonts w:hint="eastAsia" w:ascii="宋体" w:hAnsi="宋体" w:cs="宋体"/>
                <w:color w:val="auto"/>
                <w:kern w:val="0"/>
                <w:position w:val="-2"/>
                <w:sz w:val="24"/>
                <w:highlight w:val="none"/>
              </w:rPr>
              <w:t>起不少于</w:t>
            </w:r>
            <w:r>
              <w:rPr>
                <w:rFonts w:hint="eastAsia" w:ascii="宋体" w:hAnsi="宋体" w:cs="宋体"/>
                <w:color w:val="auto"/>
                <w:spacing w:val="-2"/>
                <w:kern w:val="0"/>
                <w:position w:val="-2"/>
                <w:sz w:val="24"/>
                <w:highlight w:val="none"/>
              </w:rPr>
              <w:t>90天。</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10</w:t>
            </w:r>
          </w:p>
        </w:tc>
        <w:tc>
          <w:tcPr>
            <w:tcW w:w="1254" w:type="dxa"/>
            <w:vAlign w:val="center"/>
          </w:tcPr>
          <w:p>
            <w:pPr>
              <w:autoSpaceDE w:val="0"/>
              <w:autoSpaceDN w:val="0"/>
              <w:adjustRightInd w:val="0"/>
              <w:spacing w:line="400" w:lineRule="exact"/>
              <w:ind w:right="-20"/>
              <w:jc w:val="center"/>
              <w:rPr>
                <w:rFonts w:hint="eastAsia" w:ascii="宋体" w:hAnsi="宋体" w:cs="宋体"/>
                <w:color w:val="auto"/>
                <w:kern w:val="0"/>
                <w:sz w:val="24"/>
                <w:highlight w:val="none"/>
              </w:rPr>
            </w:pPr>
            <w:r>
              <w:rPr>
                <w:rFonts w:hint="eastAsia" w:ascii="宋体" w:hAnsi="宋体" w:cs="宋体"/>
                <w:color w:val="auto"/>
                <w:kern w:val="0"/>
                <w:position w:val="-3"/>
                <w:sz w:val="24"/>
                <w:szCs w:val="22"/>
                <w:highlight w:val="none"/>
              </w:rPr>
              <w:t>投标文件的形式</w:t>
            </w:r>
          </w:p>
        </w:tc>
        <w:tc>
          <w:tcPr>
            <w:tcW w:w="8684" w:type="dxa"/>
            <w:vAlign w:val="center"/>
          </w:tcPr>
          <w:p>
            <w:pPr>
              <w:spacing w:line="400" w:lineRule="exact"/>
              <w:rPr>
                <w:rFonts w:hint="eastAsia" w:ascii="宋体" w:hAnsi="宋体" w:cs="宋体"/>
                <w:color w:val="auto"/>
                <w:sz w:val="24"/>
                <w:highlight w:val="none"/>
              </w:rPr>
            </w:pPr>
            <w:r>
              <w:rPr>
                <w:rFonts w:hint="eastAsia" w:ascii="宋体" w:hAnsi="宋体" w:cs="宋体"/>
                <w:color w:val="auto"/>
                <w:sz w:val="24"/>
                <w:highlight w:val="none"/>
              </w:rPr>
              <w:t>☑电子投标文件（包括“电子加密投标文件”和“备份投标文件”，在投标文件编制完成后同时生成）；</w:t>
            </w:r>
          </w:p>
          <w:p>
            <w:pPr>
              <w:spacing w:line="400" w:lineRule="exact"/>
              <w:rPr>
                <w:rFonts w:hint="eastAsia" w:ascii="宋体" w:hAnsi="宋体" w:cs="宋体"/>
                <w:color w:val="auto"/>
                <w:sz w:val="24"/>
                <w:highlight w:val="none"/>
              </w:rPr>
            </w:pPr>
            <w:r>
              <w:rPr>
                <w:rFonts w:hint="eastAsia" w:ascii="宋体" w:hAnsi="宋体" w:cs="宋体"/>
                <w:color w:val="auto"/>
                <w:sz w:val="24"/>
                <w:highlight w:val="none"/>
              </w:rPr>
              <w:t>（1）“电子加密投标文件”是指通过“政采云电子交易客户端”完成投标文件编制后生成并加密的数据电文形式的投标文件。</w:t>
            </w:r>
          </w:p>
          <w:p>
            <w:pPr>
              <w:autoSpaceDE w:val="0"/>
              <w:autoSpaceDN w:val="0"/>
              <w:adjustRightInd w:val="0"/>
              <w:spacing w:line="400" w:lineRule="exact"/>
              <w:ind w:right="-20"/>
              <w:rPr>
                <w:rFonts w:hint="eastAsia" w:ascii="宋体" w:hAnsi="宋体" w:cs="宋体"/>
                <w:color w:val="auto"/>
                <w:kern w:val="0"/>
                <w:sz w:val="24"/>
                <w:highlight w:val="none"/>
              </w:rPr>
            </w:pPr>
            <w:r>
              <w:rPr>
                <w:rFonts w:hint="eastAsia" w:ascii="宋体" w:hAnsi="宋体" w:cs="宋体"/>
                <w:color w:val="auto"/>
                <w:sz w:val="24"/>
                <w:highlight w:val="none"/>
              </w:rPr>
              <w:t>（2）“备份投标文件”是指与“电子加密投标文件”同时生成的数据电文形式的电子文件（备份标书），其他方式编制的备份投标文件视为无效备份投标文件。</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11</w:t>
            </w:r>
          </w:p>
        </w:tc>
        <w:tc>
          <w:tcPr>
            <w:tcW w:w="1254" w:type="dxa"/>
            <w:vAlign w:val="center"/>
          </w:tcPr>
          <w:p>
            <w:pPr>
              <w:autoSpaceDE w:val="0"/>
              <w:autoSpaceDN w:val="0"/>
              <w:adjustRightInd w:val="0"/>
              <w:spacing w:line="400" w:lineRule="exact"/>
              <w:ind w:right="-20"/>
              <w:jc w:val="center"/>
              <w:rPr>
                <w:rFonts w:hint="eastAsia" w:ascii="宋体" w:hAnsi="宋体" w:cs="宋体"/>
                <w:color w:val="auto"/>
                <w:kern w:val="0"/>
                <w:position w:val="-3"/>
                <w:sz w:val="24"/>
                <w:highlight w:val="none"/>
              </w:rPr>
            </w:pPr>
            <w:r>
              <w:rPr>
                <w:rFonts w:hint="eastAsia" w:ascii="宋体" w:hAnsi="宋体" w:cs="宋体"/>
                <w:color w:val="auto"/>
                <w:kern w:val="0"/>
                <w:position w:val="-3"/>
                <w:sz w:val="24"/>
                <w:highlight w:val="none"/>
              </w:rPr>
              <w:t>投标样品</w:t>
            </w:r>
          </w:p>
        </w:tc>
        <w:tc>
          <w:tcPr>
            <w:tcW w:w="8684" w:type="dxa"/>
            <w:vAlign w:val="center"/>
          </w:tcPr>
          <w:p>
            <w:pPr>
              <w:autoSpaceDE w:val="0"/>
              <w:autoSpaceDN w:val="0"/>
              <w:adjustRightInd w:val="0"/>
              <w:spacing w:line="400" w:lineRule="exact"/>
              <w:ind w:right="-2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1、本项目是否需要样品：☑</w:t>
            </w:r>
            <w:r>
              <w:rPr>
                <w:rFonts w:hint="eastAsia" w:ascii="宋体" w:hAnsi="宋体" w:cs="宋体"/>
                <w:color w:val="auto"/>
                <w:sz w:val="24"/>
                <w:szCs w:val="24"/>
                <w:highlight w:val="none"/>
                <w:lang w:val="zh-CN"/>
              </w:rPr>
              <w:t>否；</w:t>
            </w:r>
            <w:r>
              <w:rPr>
                <w:rFonts w:hint="eastAsia" w:ascii="宋体" w:hAnsi="宋体" w:cs="宋体"/>
                <w:color w:val="auto"/>
                <w:sz w:val="24"/>
                <w:szCs w:val="24"/>
                <w:highlight w:val="none"/>
              </w:rPr>
              <w:t>□是，详见第三部分要求。</w:t>
            </w:r>
          </w:p>
          <w:p>
            <w:pPr>
              <w:autoSpaceDE w:val="0"/>
              <w:autoSpaceDN w:val="0"/>
              <w:adjustRightInd w:val="0"/>
              <w:spacing w:line="400" w:lineRule="exact"/>
              <w:ind w:right="-20"/>
              <w:rPr>
                <w:rFonts w:hint="eastAsia" w:ascii="宋体" w:hAnsi="宋体" w:cs="宋体"/>
                <w:color w:val="auto"/>
                <w:sz w:val="24"/>
                <w:szCs w:val="24"/>
                <w:highlight w:val="none"/>
              </w:rPr>
            </w:pPr>
            <w:r>
              <w:rPr>
                <w:rFonts w:hint="eastAsia" w:ascii="宋体" w:hAnsi="宋体" w:cs="宋体"/>
                <w:color w:val="auto"/>
                <w:sz w:val="24"/>
                <w:szCs w:val="24"/>
                <w:highlight w:val="none"/>
              </w:rPr>
              <w:t>2、样品标识：□</w:t>
            </w:r>
            <w:r>
              <w:rPr>
                <w:rFonts w:hint="eastAsia" w:ascii="宋体" w:hAnsi="宋体" w:cs="宋体"/>
                <w:color w:val="auto"/>
                <w:sz w:val="24"/>
                <w:szCs w:val="24"/>
                <w:highlight w:val="none"/>
                <w:lang w:val="zh-CN"/>
              </w:rPr>
              <w:t>明标；</w:t>
            </w:r>
            <w:r>
              <w:rPr>
                <w:rFonts w:hint="eastAsia" w:ascii="宋体" w:hAnsi="宋体" w:cs="宋体"/>
                <w:color w:val="auto"/>
                <w:sz w:val="24"/>
                <w:szCs w:val="24"/>
                <w:highlight w:val="none"/>
              </w:rPr>
              <w:t>□暗标。</w:t>
            </w:r>
          </w:p>
          <w:p>
            <w:pPr>
              <w:autoSpaceDE w:val="0"/>
              <w:autoSpaceDN w:val="0"/>
              <w:adjustRightInd w:val="0"/>
              <w:spacing w:line="400" w:lineRule="exact"/>
              <w:ind w:right="-20"/>
              <w:rPr>
                <w:rFonts w:hint="eastAsia" w:ascii="宋体" w:hAnsi="宋体" w:cs="宋体"/>
                <w:color w:val="auto"/>
                <w:sz w:val="24"/>
                <w:szCs w:val="24"/>
                <w:highlight w:val="none"/>
                <w:u w:val="single"/>
              </w:rPr>
            </w:pPr>
            <w:r>
              <w:rPr>
                <w:rFonts w:hint="eastAsia" w:ascii="宋体" w:hAnsi="宋体" w:cs="宋体"/>
                <w:color w:val="auto"/>
                <w:sz w:val="24"/>
                <w:szCs w:val="24"/>
                <w:highlight w:val="none"/>
              </w:rPr>
              <w:t>3、样品送至地点：</w:t>
            </w:r>
            <w:r>
              <w:rPr>
                <w:rFonts w:hint="eastAsia" w:ascii="宋体" w:hAnsi="宋体" w:cs="宋体"/>
                <w:color w:val="auto"/>
                <w:sz w:val="24"/>
                <w:szCs w:val="24"/>
                <w:highlight w:val="none"/>
                <w:u w:val="single"/>
              </w:rPr>
              <w:t xml:space="preserve">        </w:t>
            </w:r>
          </w:p>
          <w:p>
            <w:pPr>
              <w:autoSpaceDE w:val="0"/>
              <w:autoSpaceDN w:val="0"/>
              <w:adjustRightInd w:val="0"/>
              <w:spacing w:line="400" w:lineRule="exact"/>
              <w:ind w:right="-20"/>
              <w:rPr>
                <w:rFonts w:hint="eastAsia" w:ascii="宋体" w:hAnsi="宋体" w:cs="宋体"/>
                <w:color w:val="auto"/>
                <w:sz w:val="24"/>
                <w:szCs w:val="24"/>
                <w:highlight w:val="none"/>
              </w:rPr>
            </w:pPr>
            <w:r>
              <w:rPr>
                <w:rFonts w:hint="eastAsia" w:ascii="宋体" w:hAnsi="宋体" w:cs="宋体"/>
                <w:color w:val="auto"/>
                <w:sz w:val="24"/>
                <w:szCs w:val="24"/>
                <w:highlight w:val="none"/>
              </w:rPr>
              <w:t>4、中标人样品处理：□退还；☑封存至验收；□抵扣采购数量。</w:t>
            </w:r>
          </w:p>
          <w:p>
            <w:pPr>
              <w:autoSpaceDE w:val="0"/>
              <w:autoSpaceDN w:val="0"/>
              <w:adjustRightInd w:val="0"/>
              <w:spacing w:line="400" w:lineRule="exact"/>
              <w:ind w:right="-20"/>
              <w:rPr>
                <w:color w:val="auto"/>
                <w:highlight w:val="none"/>
              </w:rPr>
            </w:pPr>
            <w:r>
              <w:rPr>
                <w:rFonts w:hint="eastAsia" w:ascii="宋体" w:hAnsi="宋体" w:cs="宋体"/>
                <w:color w:val="auto"/>
                <w:sz w:val="24"/>
                <w:szCs w:val="24"/>
                <w:highlight w:val="none"/>
              </w:rPr>
              <w:t>5、样品退还时间：</w:t>
            </w:r>
            <w:r>
              <w:rPr>
                <w:rFonts w:hint="eastAsia" w:ascii="宋体" w:hAnsi="宋体" w:cs="宋体"/>
                <w:color w:val="auto"/>
                <w:sz w:val="24"/>
                <w:szCs w:val="24"/>
                <w:highlight w:val="none"/>
                <w:u w:val="single"/>
              </w:rPr>
              <w:t xml:space="preserve"> （另行通知）  </w:t>
            </w:r>
            <w:r>
              <w:rPr>
                <w:rFonts w:hint="eastAsia" w:ascii="宋体" w:hAnsi="宋体" w:cs="宋体"/>
                <w:color w:val="auto"/>
                <w:sz w:val="24"/>
                <w:szCs w:val="24"/>
                <w:highlight w:val="none"/>
              </w:rPr>
              <w:t xml:space="preserve">       </w:t>
            </w:r>
            <w:r>
              <w:rPr>
                <w:rFonts w:hint="eastAsia"/>
                <w:color w:val="auto"/>
                <w:highlight w:val="none"/>
              </w:rPr>
              <w:t xml:space="preserve">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12</w:t>
            </w:r>
          </w:p>
        </w:tc>
        <w:tc>
          <w:tcPr>
            <w:tcW w:w="1254" w:type="dxa"/>
            <w:vAlign w:val="center"/>
          </w:tcPr>
          <w:p>
            <w:pPr>
              <w:pStyle w:val="48"/>
              <w:snapToGrid w:val="0"/>
              <w:spacing w:line="360" w:lineRule="auto"/>
              <w:rPr>
                <w:color w:val="auto"/>
                <w:highlight w:val="none"/>
              </w:rPr>
            </w:pPr>
            <w:r>
              <w:rPr>
                <w:rFonts w:hint="eastAsia"/>
                <w:color w:val="auto"/>
                <w:highlight w:val="none"/>
              </w:rPr>
              <w:t>履约担保</w:t>
            </w:r>
          </w:p>
        </w:tc>
        <w:tc>
          <w:tcPr>
            <w:tcW w:w="8684" w:type="dxa"/>
            <w:vAlign w:val="center"/>
          </w:tcPr>
          <w:p>
            <w:pPr>
              <w:pStyle w:val="48"/>
              <w:snapToGrid w:val="0"/>
              <w:spacing w:line="360" w:lineRule="auto"/>
              <w:rPr>
                <w:rFonts w:hint="eastAsia" w:hAnsi="宋体" w:cs="宋体"/>
                <w:color w:val="auto"/>
                <w:sz w:val="24"/>
                <w:szCs w:val="24"/>
                <w:highlight w:val="none"/>
              </w:rPr>
            </w:pPr>
            <w:r>
              <w:rPr>
                <w:rFonts w:hint="eastAsia" w:hAnsi="宋体" w:cs="宋体"/>
                <w:color w:val="auto"/>
                <w:sz w:val="24"/>
                <w:szCs w:val="24"/>
                <w:highlight w:val="none"/>
              </w:rPr>
              <w:t>1、履约担保的形式：银行保函或保险保函。</w:t>
            </w:r>
          </w:p>
          <w:p>
            <w:pPr>
              <w:pStyle w:val="48"/>
              <w:snapToGrid w:val="0"/>
              <w:spacing w:line="360" w:lineRule="auto"/>
              <w:rPr>
                <w:rFonts w:hint="eastAsia" w:hAnsi="宋体" w:cs="宋体"/>
                <w:color w:val="auto"/>
                <w:sz w:val="24"/>
                <w:szCs w:val="20"/>
                <w:highlight w:val="none"/>
              </w:rPr>
            </w:pPr>
            <w:r>
              <w:rPr>
                <w:rFonts w:hint="eastAsia" w:hAnsi="宋体" w:cs="宋体"/>
                <w:color w:val="auto"/>
                <w:sz w:val="24"/>
                <w:szCs w:val="24"/>
                <w:highlight w:val="none"/>
              </w:rPr>
              <w:t>2、履约担保的金额：中标价1%的履约担保。</w:t>
            </w:r>
          </w:p>
          <w:p>
            <w:pPr>
              <w:pStyle w:val="48"/>
              <w:snapToGrid w:val="0"/>
              <w:spacing w:line="360" w:lineRule="auto"/>
              <w:rPr>
                <w:rFonts w:hint="eastAsia" w:hAnsi="宋体" w:cs="宋体"/>
                <w:color w:val="auto"/>
                <w:sz w:val="24"/>
                <w:szCs w:val="20"/>
                <w:highlight w:val="none"/>
              </w:rPr>
            </w:pPr>
            <w:r>
              <w:rPr>
                <w:rFonts w:hint="eastAsia" w:hAnsi="宋体" w:cs="宋体"/>
                <w:color w:val="auto"/>
                <w:sz w:val="24"/>
                <w:szCs w:val="24"/>
                <w:highlight w:val="none"/>
              </w:rPr>
              <w:t>3、履约担保的缴纳时间：在合同签订后15日历天内提交采用履约保函。</w:t>
            </w:r>
          </w:p>
          <w:p>
            <w:pPr>
              <w:pStyle w:val="48"/>
              <w:snapToGrid w:val="0"/>
              <w:spacing w:line="360" w:lineRule="auto"/>
              <w:rPr>
                <w:rFonts w:hint="eastAsia" w:hAnsi="宋体" w:cs="宋体"/>
                <w:color w:val="auto"/>
                <w:sz w:val="24"/>
                <w:szCs w:val="20"/>
                <w:highlight w:val="none"/>
              </w:rPr>
            </w:pPr>
            <w:r>
              <w:rPr>
                <w:rFonts w:hint="eastAsia" w:hAnsi="宋体" w:cs="宋体"/>
                <w:color w:val="auto"/>
                <w:sz w:val="24"/>
                <w:szCs w:val="24"/>
                <w:highlight w:val="none"/>
              </w:rPr>
              <w:t>4、履约担保在合同约定期间内或服务期、质量保证期的履约过程中内不予退还或者应完全有效，待合同履约期满后，无质量、服务问题，保函到期自动失效。</w:t>
            </w:r>
          </w:p>
          <w:p>
            <w:pPr>
              <w:pStyle w:val="48"/>
              <w:snapToGrid w:val="0"/>
              <w:spacing w:line="360" w:lineRule="auto"/>
              <w:rPr>
                <w:rFonts w:hint="eastAsia" w:hAnsi="宋体" w:cs="宋体"/>
                <w:color w:val="auto"/>
                <w:sz w:val="24"/>
                <w:szCs w:val="20"/>
                <w:highlight w:val="none"/>
              </w:rPr>
            </w:pPr>
            <w:r>
              <w:rPr>
                <w:rFonts w:hint="eastAsia" w:hAnsi="宋体" w:cs="宋体"/>
                <w:color w:val="auto"/>
                <w:sz w:val="24"/>
                <w:szCs w:val="24"/>
                <w:highlight w:val="none"/>
              </w:rPr>
              <w:t>5、如有履约担保被扣除，导致履约担保额度不足的，须重新补足履约担保额度。</w:t>
            </w:r>
          </w:p>
          <w:p>
            <w:pPr>
              <w:pStyle w:val="48"/>
              <w:snapToGrid w:val="0"/>
              <w:spacing w:line="360" w:lineRule="auto"/>
              <w:rPr>
                <w:rFonts w:hint="eastAsia" w:hAnsi="宋体" w:cs="宋体"/>
                <w:color w:val="auto"/>
                <w:sz w:val="24"/>
                <w:szCs w:val="20"/>
                <w:highlight w:val="none"/>
              </w:rPr>
            </w:pPr>
            <w:r>
              <w:rPr>
                <w:rFonts w:hint="eastAsia" w:hAnsi="宋体" w:cs="宋体"/>
                <w:color w:val="auto"/>
                <w:sz w:val="24"/>
                <w:szCs w:val="24"/>
                <w:highlight w:val="none"/>
              </w:rPr>
              <w:t>6、质保期满后，无质量、服务问题视为合同履行完成”。</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690" w:hRule="atLeast"/>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13</w:t>
            </w:r>
          </w:p>
        </w:tc>
        <w:tc>
          <w:tcPr>
            <w:tcW w:w="1254" w:type="dxa"/>
            <w:vAlign w:val="center"/>
          </w:tcPr>
          <w:p>
            <w:pPr>
              <w:spacing w:line="400" w:lineRule="exact"/>
              <w:jc w:val="center"/>
              <w:rPr>
                <w:color w:val="auto"/>
                <w:highlight w:val="none"/>
              </w:rPr>
            </w:pPr>
            <w:r>
              <w:rPr>
                <w:rFonts w:hint="eastAsia" w:ascii="宋体" w:hAnsi="宋体" w:cs="宋体"/>
                <w:color w:val="auto"/>
                <w:sz w:val="24"/>
                <w:highlight w:val="none"/>
              </w:rPr>
              <w:t>招标代理服务费</w:t>
            </w:r>
          </w:p>
        </w:tc>
        <w:tc>
          <w:tcPr>
            <w:tcW w:w="8684" w:type="dxa"/>
            <w:vAlign w:val="center"/>
          </w:tcPr>
          <w:p>
            <w:pPr>
              <w:autoSpaceDE w:val="0"/>
              <w:autoSpaceDN w:val="0"/>
              <w:adjustRightInd w:val="0"/>
              <w:spacing w:line="288" w:lineRule="auto"/>
              <w:ind w:right="-20"/>
              <w:rPr>
                <w:rFonts w:hint="eastAsia" w:ascii="宋体" w:hAnsi="宋体" w:cs="宋体"/>
                <w:color w:val="auto"/>
                <w:sz w:val="24"/>
                <w:highlight w:val="none"/>
              </w:rPr>
            </w:pPr>
            <w:r>
              <w:rPr>
                <w:rFonts w:hint="eastAsia" w:ascii="宋体" w:hAnsi="宋体" w:cs="宋体"/>
                <w:color w:val="auto"/>
                <w:sz w:val="24"/>
                <w:highlight w:val="none"/>
              </w:rPr>
              <w:t>1、</w:t>
            </w:r>
            <w:bookmarkStart w:id="14" w:name="OLE_LINK11"/>
            <w:r>
              <w:rPr>
                <w:rFonts w:hint="eastAsia" w:ascii="宋体" w:hAnsi="宋体" w:cs="宋体"/>
                <w:color w:val="auto"/>
                <w:sz w:val="24"/>
                <w:highlight w:val="none"/>
              </w:rPr>
              <w:t>本项目根据中标价，参照原国家计委关于印发《招标代理服务收费管理暂行办法》的通知（计价格[2002]1980号）的收费标准向</w:t>
            </w:r>
            <w:r>
              <w:rPr>
                <w:rFonts w:hint="eastAsia" w:ascii="宋体" w:hAnsi="宋体" w:cs="宋体"/>
                <w:color w:val="auto"/>
                <w:sz w:val="24"/>
                <w:highlight w:val="none"/>
                <w:u w:val="single"/>
              </w:rPr>
              <w:t>中标人</w:t>
            </w:r>
            <w:r>
              <w:rPr>
                <w:rFonts w:hint="eastAsia" w:ascii="宋体" w:hAnsi="宋体" w:cs="宋体"/>
                <w:color w:val="auto"/>
                <w:sz w:val="24"/>
                <w:highlight w:val="none"/>
              </w:rPr>
              <w:t>收取招标代理服务费，不足2000元的，按2000元计取</w:t>
            </w:r>
            <w:bookmarkEnd w:id="14"/>
            <w:r>
              <w:rPr>
                <w:rFonts w:hint="eastAsia" w:ascii="宋体" w:hAnsi="宋体" w:cs="宋体"/>
                <w:color w:val="auto"/>
                <w:sz w:val="24"/>
                <w:highlight w:val="none"/>
              </w:rPr>
              <w:t>,</w:t>
            </w:r>
            <w:r>
              <w:rPr>
                <w:rFonts w:hint="eastAsia" w:ascii="宋体" w:hAnsi="宋体"/>
                <w:color w:val="auto"/>
                <w:sz w:val="24"/>
                <w:szCs w:val="22"/>
                <w:highlight w:val="none"/>
              </w:rPr>
              <w:t>其他相关费用可咨询采购代理</w:t>
            </w:r>
            <w:r>
              <w:rPr>
                <w:rFonts w:hint="eastAsia" w:ascii="宋体" w:hAnsi="宋体" w:cs="宋体"/>
                <w:color w:val="auto"/>
                <w:sz w:val="24"/>
                <w:highlight w:val="none"/>
              </w:rPr>
              <w:t>。</w:t>
            </w:r>
          </w:p>
          <w:p>
            <w:pPr>
              <w:autoSpaceDE w:val="0"/>
              <w:autoSpaceDN w:val="0"/>
              <w:adjustRightInd w:val="0"/>
              <w:spacing w:line="288" w:lineRule="auto"/>
              <w:ind w:right="-20"/>
              <w:rPr>
                <w:rFonts w:hint="eastAsia" w:ascii="宋体" w:hAnsi="宋体" w:cs="宋体"/>
                <w:color w:val="auto"/>
                <w:sz w:val="24"/>
                <w:szCs w:val="22"/>
                <w:highlight w:val="none"/>
              </w:rPr>
            </w:pPr>
            <w:r>
              <w:rPr>
                <w:rFonts w:hint="eastAsia" w:ascii="宋体" w:hAnsi="宋体" w:cs="宋体"/>
                <w:color w:val="auto"/>
                <w:sz w:val="24"/>
                <w:szCs w:val="22"/>
                <w:highlight w:val="none"/>
              </w:rPr>
              <w:t>1）收款单位（户名）：浙江中正工程项目管理有限公司衢州分公司</w:t>
            </w:r>
          </w:p>
          <w:p>
            <w:pPr>
              <w:autoSpaceDE w:val="0"/>
              <w:autoSpaceDN w:val="0"/>
              <w:adjustRightInd w:val="0"/>
              <w:spacing w:line="288" w:lineRule="auto"/>
              <w:ind w:right="-20"/>
              <w:rPr>
                <w:rFonts w:hint="eastAsia" w:ascii="宋体" w:hAnsi="宋体" w:cs="宋体"/>
                <w:color w:val="auto"/>
                <w:sz w:val="24"/>
                <w:szCs w:val="22"/>
                <w:highlight w:val="none"/>
              </w:rPr>
            </w:pPr>
            <w:r>
              <w:rPr>
                <w:rFonts w:hint="eastAsia" w:ascii="宋体" w:hAnsi="宋体" w:cs="宋体"/>
                <w:color w:val="auto"/>
                <w:sz w:val="24"/>
                <w:szCs w:val="22"/>
                <w:highlight w:val="none"/>
              </w:rPr>
              <w:t>2）开  户：工行衢州市南区支行</w:t>
            </w:r>
          </w:p>
          <w:p>
            <w:pPr>
              <w:autoSpaceDE w:val="0"/>
              <w:autoSpaceDN w:val="0"/>
              <w:adjustRightInd w:val="0"/>
              <w:spacing w:line="288" w:lineRule="auto"/>
              <w:ind w:right="-20"/>
              <w:rPr>
                <w:rFonts w:hint="eastAsia" w:ascii="宋体" w:hAnsi="宋体" w:cs="宋体"/>
                <w:color w:val="auto"/>
                <w:highlight w:val="none"/>
              </w:rPr>
            </w:pPr>
            <w:r>
              <w:rPr>
                <w:rFonts w:hint="eastAsia" w:ascii="宋体" w:hAnsi="宋体" w:cs="宋体"/>
                <w:color w:val="auto"/>
                <w:sz w:val="24"/>
                <w:szCs w:val="22"/>
                <w:highlight w:val="none"/>
              </w:rPr>
              <w:t>3）账  号：1209 2700 0920 0172 837</w:t>
            </w:r>
          </w:p>
          <w:p>
            <w:pPr>
              <w:adjustRightInd w:val="0"/>
              <w:snapToGrid w:val="0"/>
              <w:spacing w:line="276" w:lineRule="auto"/>
              <w:rPr>
                <w:rFonts w:hint="eastAsia" w:ascii="宋体" w:hAnsi="宋体" w:cs="宋体"/>
                <w:color w:val="auto"/>
                <w:sz w:val="24"/>
                <w:highlight w:val="none"/>
              </w:rPr>
            </w:pPr>
            <w:r>
              <w:rPr>
                <w:rFonts w:hint="eastAsia" w:ascii="宋体" w:hAnsi="宋体" w:cs="宋体"/>
                <w:color w:val="auto"/>
                <w:sz w:val="24"/>
                <w:highlight w:val="none"/>
              </w:rPr>
              <w:t>2、以上费用均不在报价中单列，请供应商在投标报价中予以考虑。</w:t>
            </w:r>
          </w:p>
          <w:p>
            <w:pPr>
              <w:adjustRightInd w:val="0"/>
              <w:snapToGrid w:val="0"/>
              <w:spacing w:line="400" w:lineRule="exact"/>
              <w:rPr>
                <w:rFonts w:hint="eastAsia" w:hAnsi="宋体" w:cs="宋体"/>
                <w:color w:val="auto"/>
                <w:sz w:val="24"/>
                <w:szCs w:val="24"/>
                <w:highlight w:val="none"/>
              </w:rPr>
            </w:pPr>
            <w:r>
              <w:rPr>
                <w:rFonts w:hint="eastAsia" w:ascii="宋体" w:hAnsi="宋体" w:cs="宋体"/>
                <w:color w:val="auto"/>
                <w:sz w:val="24"/>
                <w:highlight w:val="none"/>
              </w:rPr>
              <w:t>3、结算方式及时间为：在领取成交通知书时由成交人一次性向采购代理机构付清。</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961" w:hRule="atLeast"/>
          <w:jc w:val="center"/>
        </w:trPr>
        <w:tc>
          <w:tcPr>
            <w:tcW w:w="780" w:type="dxa"/>
            <w:vMerge w:val="restart"/>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1254" w:type="dxa"/>
            <w:vMerge w:val="restart"/>
            <w:vAlign w:val="center"/>
          </w:tcPr>
          <w:p>
            <w:pPr>
              <w:adjustRightInd w:val="0"/>
              <w:snapToGrid w:val="0"/>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其他注意事项</w:t>
            </w:r>
          </w:p>
        </w:tc>
        <w:tc>
          <w:tcPr>
            <w:tcW w:w="8684" w:type="dxa"/>
            <w:vAlign w:val="center"/>
          </w:tcPr>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招标文件中部分加“▲”的条款，属于招标文件的实质性要求和条件，着重提醒各投标人注意，并认真查看招标文件中的每一个条款及要求，因误读招标文件而造成的后果，招标人概不负责。</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16" w:hRule="atLeast"/>
          <w:jc w:val="center"/>
        </w:trPr>
        <w:tc>
          <w:tcPr>
            <w:tcW w:w="780" w:type="dxa"/>
            <w:vMerge w:val="continue"/>
            <w:vAlign w:val="center"/>
          </w:tcPr>
          <w:p>
            <w:pPr>
              <w:spacing w:line="400" w:lineRule="exact"/>
              <w:jc w:val="center"/>
              <w:rPr>
                <w:rFonts w:hint="eastAsia" w:ascii="宋体" w:hAnsi="宋体" w:cs="宋体"/>
                <w:color w:val="auto"/>
                <w:sz w:val="24"/>
                <w:highlight w:val="none"/>
              </w:rPr>
            </w:pPr>
          </w:p>
        </w:tc>
        <w:tc>
          <w:tcPr>
            <w:tcW w:w="1254" w:type="dxa"/>
            <w:vMerge w:val="continue"/>
            <w:vAlign w:val="center"/>
          </w:tcPr>
          <w:p>
            <w:pPr>
              <w:spacing w:line="400" w:lineRule="exact"/>
              <w:rPr>
                <w:rFonts w:hint="eastAsia" w:ascii="宋体" w:hAnsi="宋体" w:cs="宋体"/>
                <w:color w:val="auto"/>
                <w:sz w:val="24"/>
                <w:highlight w:val="none"/>
              </w:rPr>
            </w:pPr>
          </w:p>
        </w:tc>
        <w:tc>
          <w:tcPr>
            <w:tcW w:w="8684" w:type="dxa"/>
            <w:vAlign w:val="center"/>
          </w:tcPr>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以上内容如有变化将另行通知，如通知其中某一项内容发生变化，其余未提及的内容将不作变动。</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053" w:hRule="atLeast"/>
          <w:jc w:val="center"/>
        </w:trPr>
        <w:tc>
          <w:tcPr>
            <w:tcW w:w="780" w:type="dxa"/>
            <w:vMerge w:val="continue"/>
            <w:vAlign w:val="center"/>
          </w:tcPr>
          <w:p>
            <w:pPr>
              <w:spacing w:line="400" w:lineRule="exact"/>
              <w:jc w:val="center"/>
              <w:rPr>
                <w:rFonts w:hint="eastAsia" w:ascii="宋体" w:hAnsi="宋体" w:cs="宋体"/>
                <w:color w:val="auto"/>
                <w:sz w:val="24"/>
                <w:highlight w:val="none"/>
              </w:rPr>
            </w:pPr>
          </w:p>
        </w:tc>
        <w:tc>
          <w:tcPr>
            <w:tcW w:w="1254" w:type="dxa"/>
            <w:vMerge w:val="continue"/>
            <w:vAlign w:val="center"/>
          </w:tcPr>
          <w:p>
            <w:pPr>
              <w:spacing w:line="400" w:lineRule="exact"/>
              <w:rPr>
                <w:rFonts w:hint="eastAsia" w:ascii="宋体" w:hAnsi="宋体" w:cs="宋体"/>
                <w:color w:val="auto"/>
                <w:sz w:val="24"/>
                <w:highlight w:val="none"/>
              </w:rPr>
            </w:pPr>
          </w:p>
        </w:tc>
        <w:tc>
          <w:tcPr>
            <w:tcW w:w="8684" w:type="dxa"/>
            <w:vAlign w:val="center"/>
          </w:tcPr>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根据浙江省财政厅文件浙财采监[2015]13号文件《关于印发浙江省政府采购活动现场组织管理办法的通知》要求，本项目按浙江省政府采购活动现场组织管理办法实施。</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780" w:type="dxa"/>
            <w:vMerge w:val="continue"/>
            <w:vAlign w:val="center"/>
          </w:tcPr>
          <w:p>
            <w:pPr>
              <w:spacing w:line="400" w:lineRule="exact"/>
              <w:jc w:val="center"/>
              <w:rPr>
                <w:rFonts w:hint="eastAsia" w:ascii="宋体" w:hAnsi="宋体" w:cs="宋体"/>
                <w:color w:val="auto"/>
                <w:sz w:val="24"/>
                <w:highlight w:val="none"/>
              </w:rPr>
            </w:pPr>
          </w:p>
        </w:tc>
        <w:tc>
          <w:tcPr>
            <w:tcW w:w="1254" w:type="dxa"/>
            <w:vMerge w:val="continue"/>
            <w:vAlign w:val="center"/>
          </w:tcPr>
          <w:p>
            <w:pPr>
              <w:spacing w:line="400" w:lineRule="exact"/>
              <w:rPr>
                <w:rFonts w:hint="eastAsia" w:ascii="宋体" w:hAnsi="宋体" w:cs="宋体"/>
                <w:color w:val="auto"/>
                <w:sz w:val="24"/>
                <w:highlight w:val="none"/>
              </w:rPr>
            </w:pPr>
          </w:p>
        </w:tc>
        <w:tc>
          <w:tcPr>
            <w:tcW w:w="8684" w:type="dxa"/>
            <w:vAlign w:val="center"/>
          </w:tcPr>
          <w:p>
            <w:pPr>
              <w:adjustRightInd w:val="0"/>
              <w:snapToGrid w:val="0"/>
              <w:spacing w:line="400" w:lineRule="exact"/>
              <w:rPr>
                <w:rFonts w:hint="eastAsia" w:ascii="宋体" w:hAnsi="宋体" w:cs="宋体"/>
                <w:color w:val="auto"/>
                <w:sz w:val="24"/>
                <w:szCs w:val="22"/>
                <w:highlight w:val="none"/>
              </w:rPr>
            </w:pPr>
            <w:r>
              <w:rPr>
                <w:rFonts w:hint="eastAsia" w:ascii="宋体" w:hAnsi="宋体" w:cs="宋体"/>
                <w:color w:val="auto"/>
                <w:sz w:val="24"/>
                <w:szCs w:val="22"/>
                <w:highlight w:val="none"/>
              </w:rPr>
              <w:t>企业质押融资：取得衢州市政府采购合同的供应商，均可在政采云里实施政采贷或凭政府采购合同及应收账款收益权，向银行申请质押融资。申请质押融资时，供应商需先注册“衢州金融服务信用信息平台”用户，登录后通过“中征融资”模快进入“中征应收账款融资服务平台”，完善企业信息后，向合作银行推送中标采购信息。</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szCs w:val="22"/>
                <w:highlight w:val="none"/>
              </w:rPr>
              <w:t>采购合同签订前已与银行机构达成融资意向的，供应商应向采购单位或采购代理机构申明该合同将用于质押融资，并在合同中注明融资银行机构名称及在该银行机构的唯一收款账号。供应商在合同签订后出现融资需求的，供应商应根据银行机构要求向采购单位申请修改合同收款账号，并在开具发票时提供给采购人用于支付合同款项。</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4684" w:hRule="atLeast"/>
          <w:jc w:val="center"/>
        </w:trPr>
        <w:tc>
          <w:tcPr>
            <w:tcW w:w="780" w:type="dxa"/>
            <w:vMerge w:val="continue"/>
            <w:vAlign w:val="center"/>
          </w:tcPr>
          <w:p>
            <w:pPr>
              <w:spacing w:line="400" w:lineRule="exact"/>
              <w:jc w:val="center"/>
              <w:rPr>
                <w:rFonts w:hint="eastAsia" w:ascii="宋体" w:hAnsi="宋体" w:cs="宋体"/>
                <w:color w:val="auto"/>
                <w:sz w:val="24"/>
                <w:highlight w:val="none"/>
              </w:rPr>
            </w:pPr>
          </w:p>
        </w:tc>
        <w:tc>
          <w:tcPr>
            <w:tcW w:w="1254" w:type="dxa"/>
            <w:vMerge w:val="continue"/>
            <w:vAlign w:val="center"/>
          </w:tcPr>
          <w:p>
            <w:pPr>
              <w:spacing w:line="400" w:lineRule="exact"/>
              <w:rPr>
                <w:rFonts w:hint="eastAsia" w:ascii="宋体" w:hAnsi="宋体" w:cs="宋体"/>
                <w:color w:val="auto"/>
                <w:sz w:val="24"/>
                <w:highlight w:val="none"/>
              </w:rPr>
            </w:pPr>
          </w:p>
        </w:tc>
        <w:tc>
          <w:tcPr>
            <w:tcW w:w="8684" w:type="dxa"/>
            <w:vAlign w:val="center"/>
          </w:tcPr>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根据《关于在政府采购活动中查询及使用信用记录有关问题的通知》财库[2016]125号的规定：</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1）采购人或采购代理机构将对本项目投标人的信用记录进行查询。查询渠道为信用中国网站（www.creditchina.gov.cn）、中国政府采购网（www.ccgp.gov.cn）；</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2）截止时点：提交投标文件（响应文件）截止时间前3年内；</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3）查询记录和证据的留存：信用信息查询记录和证据以网页截图等方式留存。</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4）使用规则：被列入失信被执行人、重大税收违法案件当事人名单、政府采购严重违法失信行为记录名单及其它不符合《中华人民共和国政府采购法》第二十二条规定条件的，其投标将被拒绝。</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5）联合体成员任意一方存在不良信用记录的，视同联合体存在不良信用记录。</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768" w:hRule="atLeast"/>
          <w:jc w:val="center"/>
        </w:trPr>
        <w:tc>
          <w:tcPr>
            <w:tcW w:w="780" w:type="dxa"/>
            <w:vMerge w:val="continue"/>
            <w:vAlign w:val="center"/>
          </w:tcPr>
          <w:p>
            <w:pPr>
              <w:spacing w:line="400" w:lineRule="exact"/>
              <w:jc w:val="center"/>
              <w:rPr>
                <w:rFonts w:hint="eastAsia" w:ascii="宋体" w:hAnsi="宋体" w:cs="宋体"/>
                <w:color w:val="auto"/>
                <w:sz w:val="24"/>
                <w:highlight w:val="none"/>
              </w:rPr>
            </w:pPr>
          </w:p>
        </w:tc>
        <w:tc>
          <w:tcPr>
            <w:tcW w:w="1254" w:type="dxa"/>
            <w:vMerge w:val="continue"/>
            <w:vAlign w:val="center"/>
          </w:tcPr>
          <w:p>
            <w:pPr>
              <w:spacing w:line="400" w:lineRule="exact"/>
              <w:rPr>
                <w:rFonts w:hint="eastAsia" w:ascii="宋体" w:hAnsi="宋体" w:cs="宋体"/>
                <w:color w:val="auto"/>
                <w:sz w:val="24"/>
                <w:highlight w:val="none"/>
              </w:rPr>
            </w:pPr>
          </w:p>
        </w:tc>
        <w:tc>
          <w:tcPr>
            <w:tcW w:w="8684" w:type="dxa"/>
            <w:vAlign w:val="center"/>
          </w:tcPr>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本项目需要落实的政府采购政策：</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（1）《财政部发展改革委 生态环境部 市场监管总局关于调整优化节能产品、环境标志产品政府采购执行机制的通知》（财库〔2019〕9号）；</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（2）《政府采购促进中小企业发展管理办法》（财库[2020]46号）。</w:t>
            </w:r>
          </w:p>
          <w:p>
            <w:pPr>
              <w:adjustRightInd w:val="0"/>
              <w:snapToGrid w:val="0"/>
              <w:spacing w:line="400" w:lineRule="exact"/>
              <w:rPr>
                <w:color w:val="auto"/>
                <w:highlight w:val="none"/>
              </w:rPr>
            </w:pPr>
            <w:r>
              <w:rPr>
                <w:rFonts w:hint="eastAsia" w:ascii="宋体" w:hAnsi="宋体" w:cs="宋体"/>
                <w:color w:val="auto"/>
                <w:sz w:val="24"/>
                <w:highlight w:val="none"/>
              </w:rPr>
              <w:t xml:space="preserve">（3）本项目所属行业 </w:t>
            </w:r>
            <w:r>
              <w:rPr>
                <w:rFonts w:hint="eastAsia" w:ascii="宋体" w:hAnsi="宋体" w:cs="宋体"/>
                <w:color w:val="auto"/>
                <w:sz w:val="24"/>
                <w:highlight w:val="none"/>
                <w:u w:val="single"/>
              </w:rPr>
              <w:t>工业</w:t>
            </w:r>
            <w:r>
              <w:rPr>
                <w:rFonts w:hint="eastAsia" w:ascii="宋体" w:hAnsi="宋体" w:cs="宋体"/>
                <w:color w:val="auto"/>
                <w:sz w:val="24"/>
                <w:highlight w:val="none"/>
              </w:rPr>
              <w:t xml:space="preserve">：从业人员1000人以下或营业收入40000万元以下的为中小微型企业。其中，从业人员300人及以上，且营业收入2000万元及以上的为中型企业；从业人员20人及以上，且营业收入300万元及以上的为小型企业；从业人员20人以下或营业收入300万元以下的为微型企业。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415" w:hRule="atLeast"/>
          <w:jc w:val="center"/>
        </w:trPr>
        <w:tc>
          <w:tcPr>
            <w:tcW w:w="780" w:type="dxa"/>
            <w:vMerge w:val="continue"/>
            <w:vAlign w:val="center"/>
          </w:tcPr>
          <w:p>
            <w:pPr>
              <w:spacing w:line="400" w:lineRule="exact"/>
              <w:jc w:val="center"/>
              <w:rPr>
                <w:rFonts w:hint="eastAsia" w:ascii="宋体" w:hAnsi="宋体" w:cs="宋体"/>
                <w:color w:val="auto"/>
                <w:sz w:val="24"/>
                <w:highlight w:val="none"/>
              </w:rPr>
            </w:pPr>
          </w:p>
        </w:tc>
        <w:tc>
          <w:tcPr>
            <w:tcW w:w="1254" w:type="dxa"/>
            <w:vMerge w:val="continue"/>
            <w:vAlign w:val="center"/>
          </w:tcPr>
          <w:p>
            <w:pPr>
              <w:spacing w:line="400" w:lineRule="exact"/>
              <w:rPr>
                <w:rFonts w:hint="eastAsia" w:ascii="宋体" w:hAnsi="宋体" w:cs="宋体"/>
                <w:color w:val="auto"/>
                <w:sz w:val="24"/>
                <w:highlight w:val="none"/>
              </w:rPr>
            </w:pPr>
          </w:p>
        </w:tc>
        <w:tc>
          <w:tcPr>
            <w:tcW w:w="8684" w:type="dxa"/>
            <w:vAlign w:val="center"/>
          </w:tcPr>
          <w:p>
            <w:pPr>
              <w:spacing w:line="400" w:lineRule="exac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1、本次采购为专门面向中小企业。</w:t>
            </w:r>
          </w:p>
          <w:p>
            <w:pPr>
              <w:spacing w:line="400" w:lineRule="exac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2、根据财政部发布的《政府采购促进中小企业发展管理办法》 （财库[2020]46号）的规定规定执行。投标文件中须提供《中小企业声明函》。</w:t>
            </w:r>
          </w:p>
          <w:p>
            <w:pPr>
              <w:adjustRightInd w:val="0"/>
              <w:snapToGrid w:val="0"/>
              <w:spacing w:line="400" w:lineRule="exact"/>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3、对于专门面向中、小、微型企业或者监狱企业或者残疾人福利性单位的政府采购货物或服务项目或工程项目，符合资格条件的不再执行价格评审优惠的扶持政策。</w:t>
            </w:r>
          </w:p>
          <w:p>
            <w:pPr>
              <w:adjustRightInd w:val="0"/>
              <w:snapToGrid w:val="0"/>
              <w:spacing w:line="400" w:lineRule="exact"/>
              <w:rPr>
                <w:rFonts w:hint="eastAsia" w:ascii="宋体" w:hAnsi="宋体" w:cs="宋体"/>
                <w:color w:val="auto"/>
                <w:sz w:val="24"/>
                <w:szCs w:val="22"/>
                <w:highlight w:val="none"/>
              </w:rPr>
            </w:pPr>
            <w:r>
              <w:rPr>
                <w:rFonts w:hint="eastAsia" w:ascii="宋体" w:hAnsi="宋体" w:cs="宋体"/>
                <w:b/>
                <w:bCs/>
                <w:color w:val="auto"/>
                <w:kern w:val="0"/>
                <w:sz w:val="24"/>
                <w:szCs w:val="24"/>
                <w:highlight w:val="none"/>
              </w:rPr>
              <w:t xml:space="preserve">中标供应商为中小企业、残疾人福利性单位、监狱企业的，应当随中标结果同时公告其《中小企业声明函》、《残疾人福利性单位声明函》、《监狱企业声明函》，接受社会监督。）属于小型、微型企业的残疾人福利性单位、监狱企业，不重复享受政策。供应商提供的《中小企业声明函》、《残疾人福利性单位声明函》、《监狱企业声明函》与事实不符的，依照《政府采购法》第七十七条第一款的规定追究法律责任。 </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2550" w:hRule="atLeast"/>
          <w:jc w:val="center"/>
        </w:trPr>
        <w:tc>
          <w:tcPr>
            <w:tcW w:w="780" w:type="dxa"/>
            <w:vAlign w:val="center"/>
          </w:tcPr>
          <w:p>
            <w:pPr>
              <w:spacing w:line="400" w:lineRule="exact"/>
              <w:jc w:val="center"/>
              <w:rPr>
                <w:rFonts w:hint="eastAsia" w:ascii="宋体" w:hAnsi="宋体" w:cs="宋体"/>
                <w:color w:val="auto"/>
                <w:sz w:val="24"/>
                <w:highlight w:val="none"/>
              </w:rPr>
            </w:pPr>
            <w:r>
              <w:rPr>
                <w:rFonts w:hint="eastAsia" w:ascii="宋体" w:hAnsi="宋体" w:cs="宋体"/>
                <w:color w:val="auto"/>
                <w:sz w:val="24"/>
                <w:highlight w:val="none"/>
              </w:rPr>
              <w:t>14</w:t>
            </w:r>
          </w:p>
        </w:tc>
        <w:tc>
          <w:tcPr>
            <w:tcW w:w="1254" w:type="dxa"/>
            <w:vAlign w:val="center"/>
          </w:tcPr>
          <w:p>
            <w:pPr>
              <w:pStyle w:val="48"/>
              <w:snapToGrid w:val="0"/>
              <w:spacing w:line="400" w:lineRule="exact"/>
              <w:rPr>
                <w:rFonts w:hint="eastAsia" w:hAnsi="宋体" w:cs="宋体"/>
                <w:color w:val="auto"/>
                <w:sz w:val="24"/>
                <w:highlight w:val="none"/>
              </w:rPr>
            </w:pPr>
            <w:r>
              <w:rPr>
                <w:rFonts w:hint="eastAsia" w:hAnsi="宋体" w:cs="宋体"/>
                <w:b/>
                <w:bCs/>
                <w:color w:val="auto"/>
                <w:sz w:val="24"/>
                <w:szCs w:val="24"/>
                <w:highlight w:val="none"/>
              </w:rPr>
              <w:t>特别提醒</w:t>
            </w:r>
          </w:p>
        </w:tc>
        <w:tc>
          <w:tcPr>
            <w:tcW w:w="8684" w:type="dxa"/>
            <w:vAlign w:val="center"/>
          </w:tcPr>
          <w:p>
            <w:pPr>
              <w:pStyle w:val="48"/>
              <w:snapToGrid w:val="0"/>
              <w:spacing w:line="360" w:lineRule="auto"/>
              <w:rPr>
                <w:rFonts w:hint="eastAsia" w:hAnsi="宋体" w:cs="宋体"/>
                <w:b/>
                <w:bCs/>
                <w:smallCaps/>
                <w:color w:val="auto"/>
                <w:sz w:val="24"/>
                <w:szCs w:val="24"/>
                <w:highlight w:val="none"/>
              </w:rPr>
            </w:pPr>
            <w:r>
              <w:rPr>
                <w:rFonts w:hint="eastAsia" w:hAnsi="宋体" w:cs="宋体"/>
                <w:b/>
                <w:bCs/>
                <w:smallCaps/>
                <w:color w:val="auto"/>
                <w:sz w:val="24"/>
                <w:szCs w:val="24"/>
                <w:highlight w:val="none"/>
              </w:rPr>
              <w:t>1.所有询标流程，均在线上完成，请各投标人务必不要离开电脑太久，并留意手机短信。（请提前检查“政采云”内，关于“项目采购”的岗位权限是否已勾选上。如有问题，请致电95763）</w:t>
            </w:r>
          </w:p>
          <w:p>
            <w:pPr>
              <w:pStyle w:val="48"/>
              <w:snapToGrid w:val="0"/>
              <w:spacing w:line="360" w:lineRule="auto"/>
              <w:rPr>
                <w:color w:val="auto"/>
                <w:highlight w:val="none"/>
              </w:rPr>
            </w:pPr>
            <w:r>
              <w:rPr>
                <w:rFonts w:hint="eastAsia" w:hAnsi="宋体" w:cs="宋体"/>
                <w:b/>
                <w:bCs/>
                <w:smallCaps/>
                <w:color w:val="auto"/>
                <w:sz w:val="24"/>
                <w:szCs w:val="24"/>
                <w:highlight w:val="none"/>
              </w:rPr>
              <w:t>2.投标人无须到开标现场，只需自备电脑在规定时间前进行在线解密文件即可。</w:t>
            </w:r>
          </w:p>
        </w:tc>
      </w:tr>
      <w:bookmarkEnd w:id="2"/>
    </w:tbl>
    <w:p>
      <w:pPr>
        <w:adjustRightInd w:val="0"/>
        <w:snapToGrid w:val="0"/>
        <w:spacing w:line="400" w:lineRule="exact"/>
        <w:jc w:val="center"/>
        <w:outlineLvl w:val="1"/>
        <w:rPr>
          <w:rFonts w:hint="eastAsia" w:ascii="宋体" w:hAnsi="宋体" w:cs="宋体"/>
          <w:b/>
          <w:color w:val="auto"/>
          <w:sz w:val="32"/>
          <w:highlight w:val="none"/>
        </w:rPr>
      </w:pPr>
      <w:bookmarkStart w:id="15" w:name="_Toc994"/>
      <w:bookmarkStart w:id="16" w:name="_Toc233618972"/>
      <w:bookmarkStart w:id="17" w:name="_Toc522530041"/>
      <w:bookmarkStart w:id="18" w:name="_Toc226106516"/>
      <w:bookmarkStart w:id="19" w:name="_Toc226106467"/>
      <w:bookmarkStart w:id="20" w:name="_Toc225840109"/>
      <w:bookmarkStart w:id="21" w:name="_Toc226521904"/>
      <w:r>
        <w:rPr>
          <w:rFonts w:hint="eastAsia" w:ascii="宋体" w:hAnsi="宋体" w:cs="宋体"/>
          <w:b/>
          <w:color w:val="auto"/>
          <w:sz w:val="32"/>
          <w:highlight w:val="none"/>
        </w:rPr>
        <w:t>一、总 则</w:t>
      </w:r>
      <w:bookmarkEnd w:id="15"/>
      <w:bookmarkEnd w:id="16"/>
      <w:bookmarkEnd w:id="17"/>
    </w:p>
    <w:p>
      <w:pPr>
        <w:pStyle w:val="48"/>
        <w:adjustRightInd w:val="0"/>
        <w:snapToGrid w:val="0"/>
        <w:spacing w:line="400" w:lineRule="exact"/>
        <w:rPr>
          <w:rFonts w:hint="eastAsia" w:hAnsi="宋体" w:cs="宋体"/>
          <w:b/>
          <w:color w:val="auto"/>
          <w:sz w:val="24"/>
          <w:highlight w:val="none"/>
        </w:rPr>
      </w:pPr>
      <w:bookmarkStart w:id="22" w:name="_Hlt74730295"/>
      <w:bookmarkEnd w:id="22"/>
      <w:bookmarkStart w:id="23" w:name="_Hlt74714665"/>
      <w:bookmarkEnd w:id="23"/>
      <w:bookmarkStart w:id="24" w:name="_Hlt74730208"/>
      <w:bookmarkStart w:id="25" w:name="_Hlt74730112"/>
      <w:r>
        <w:rPr>
          <w:rFonts w:hint="eastAsia" w:hAnsi="宋体" w:cs="宋体"/>
          <w:b/>
          <w:color w:val="auto"/>
          <w:sz w:val="24"/>
          <w:highlight w:val="none"/>
        </w:rPr>
        <w:t>（一）实施依据</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本次招标工作按照《中华人民共和国政府采购法》等政府采购有关法律、法规、规章、文件的规定组织和实施。</w:t>
      </w:r>
    </w:p>
    <w:p>
      <w:pPr>
        <w:pStyle w:val="48"/>
        <w:adjustRightInd w:val="0"/>
        <w:snapToGrid w:val="0"/>
        <w:spacing w:line="400" w:lineRule="exact"/>
        <w:rPr>
          <w:rFonts w:hint="eastAsia" w:hAnsi="宋体" w:cs="宋体"/>
          <w:b/>
          <w:color w:val="auto"/>
          <w:sz w:val="24"/>
          <w:highlight w:val="none"/>
        </w:rPr>
      </w:pPr>
      <w:bookmarkStart w:id="26" w:name="_Toc91899873"/>
      <w:r>
        <w:rPr>
          <w:rFonts w:hint="eastAsia" w:hAnsi="宋体" w:cs="宋体"/>
          <w:b/>
          <w:color w:val="auto"/>
          <w:sz w:val="24"/>
          <w:highlight w:val="none"/>
        </w:rPr>
        <w:t>（二）采购方式</w:t>
      </w:r>
      <w:bookmarkEnd w:id="26"/>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公开招标。</w:t>
      </w:r>
      <w:bookmarkEnd w:id="24"/>
      <w:bookmarkEnd w:id="25"/>
      <w:bookmarkStart w:id="27" w:name="_Hlt68516771"/>
      <w:bookmarkEnd w:id="27"/>
      <w:bookmarkStart w:id="28" w:name="_Hlt74388212"/>
      <w:bookmarkEnd w:id="28"/>
    </w:p>
    <w:p>
      <w:pPr>
        <w:adjustRightInd w:val="0"/>
        <w:snapToGrid w:val="0"/>
        <w:spacing w:line="400" w:lineRule="exact"/>
        <w:rPr>
          <w:rFonts w:hint="eastAsia" w:ascii="宋体" w:hAnsi="宋体" w:cs="宋体"/>
          <w:b/>
          <w:color w:val="auto"/>
          <w:kern w:val="0"/>
          <w:sz w:val="24"/>
          <w:highlight w:val="none"/>
          <w:lang w:val="zh-CN"/>
        </w:rPr>
      </w:pPr>
      <w:bookmarkStart w:id="29" w:name="_Toc91899877"/>
      <w:bookmarkStart w:id="30" w:name="_Hlt74730303"/>
      <w:r>
        <w:rPr>
          <w:rFonts w:hint="eastAsia" w:ascii="宋体" w:hAnsi="宋体" w:cs="宋体"/>
          <w:b/>
          <w:color w:val="auto"/>
          <w:sz w:val="24"/>
          <w:highlight w:val="none"/>
        </w:rPr>
        <w:t>（三）</w:t>
      </w:r>
      <w:r>
        <w:rPr>
          <w:rFonts w:hint="eastAsia" w:ascii="宋体" w:hAnsi="宋体" w:cs="宋体"/>
          <w:b/>
          <w:color w:val="auto"/>
          <w:kern w:val="0"/>
          <w:sz w:val="24"/>
          <w:highlight w:val="none"/>
          <w:lang w:val="zh-CN"/>
        </w:rPr>
        <w:t>定义</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招标（采购）人：是指依法进行政府采购的国家机关、事业单位、团体组织，见本项目“招标公告”；</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招标（采购）代理机构：受招标人委托，在委托的范围内办理政府采购事宜并组织招标活动的机构，见本项目“招标公告”；</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投标人（投标人）：是指参加本政府采购项目投标的投标人；</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中标人：是指经评审获得本项目最终合同签订资格的投标人。</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买方（甲方）：是指合同签订的一方，一般与招标人、用户相同；</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卖方（乙方）：是指合同签订的另一方，一般与中标人相同；</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制造商：包括是指拥有投标产品自主知识产权的单位；</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政府采购监管部门：</w:t>
      </w:r>
      <w:r>
        <w:rPr>
          <w:rFonts w:hint="eastAsia" w:ascii="宋体" w:hAnsi="宋体" w:cs="宋体"/>
          <w:color w:val="auto"/>
          <w:sz w:val="24"/>
          <w:szCs w:val="22"/>
          <w:highlight w:val="none"/>
        </w:rPr>
        <w:t>衢州市财政局</w:t>
      </w:r>
      <w:r>
        <w:rPr>
          <w:rFonts w:hint="eastAsia" w:ascii="宋体" w:hAnsi="宋体" w:cs="宋体"/>
          <w:color w:val="auto"/>
          <w:sz w:val="24"/>
          <w:highlight w:val="none"/>
        </w:rPr>
        <w:t>；</w:t>
      </w:r>
    </w:p>
    <w:p>
      <w:pPr>
        <w:adjustRightInd w:val="0"/>
        <w:snapToGrid w:val="0"/>
        <w:spacing w:line="400" w:lineRule="exact"/>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产品（货物）：系指按招标文件规定，须向招标人提供的一切设备及配套备品备件、工具、手册及其他有关技术资料和材料；</w:t>
      </w:r>
    </w:p>
    <w:p>
      <w:pPr>
        <w:adjustRightInd w:val="0"/>
        <w:snapToGrid w:val="0"/>
        <w:spacing w:line="400" w:lineRule="exact"/>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投标人应保证提供的产品为合法企业生产的合法产品，符合中华人民共和国有关法律、法规、规章、文件、标准、规范的规定。按国家规定应通过有关部门鉴定（批准）的产品，应保证已按国家规定通过了鉴定（批准）；实行产品许可证制度的产品须获得国家许可；实行强制性认证的产品须通过国家认可认证；产品应符合国家节能环保要求；投标人在投标文件中提供相关证明材料。</w:t>
      </w:r>
    </w:p>
    <w:p>
      <w:pPr>
        <w:tabs>
          <w:tab w:val="left" w:pos="0"/>
        </w:tabs>
        <w:autoSpaceDE w:val="0"/>
        <w:autoSpaceDN w:val="0"/>
        <w:adjustRightInd w:val="0"/>
        <w:spacing w:line="40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服务：</w:t>
      </w:r>
      <w:r>
        <w:rPr>
          <w:rFonts w:hint="eastAsia" w:ascii="宋体" w:hAnsi="宋体" w:cs="宋体"/>
          <w:color w:val="auto"/>
          <w:kern w:val="0"/>
          <w:sz w:val="24"/>
          <w:highlight w:val="none"/>
          <w:lang w:val="zh-CN"/>
        </w:rPr>
        <w:t>系指按招标文件规定，须向招标人提供</w:t>
      </w:r>
      <w:r>
        <w:rPr>
          <w:rFonts w:hint="eastAsia" w:ascii="宋体" w:hAnsi="宋体" w:cs="宋体"/>
          <w:color w:val="auto"/>
          <w:sz w:val="24"/>
          <w:highlight w:val="none"/>
          <w:lang w:val="zh-CN"/>
        </w:rPr>
        <w:t xml:space="preserve">的与供货有关的辅助服务，如运输、保险、培训安装、调试、验收、技术支持和交付使用后质保期内应履行的售后服务等义务； </w:t>
      </w:r>
    </w:p>
    <w:p>
      <w:pPr>
        <w:tabs>
          <w:tab w:val="left" w:pos="0"/>
        </w:tabs>
        <w:autoSpaceDE w:val="0"/>
        <w:autoSpaceDN w:val="0"/>
        <w:adjustRightInd w:val="0"/>
        <w:spacing w:line="400" w:lineRule="exact"/>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培训：系指按招标文件规定，向招标人提供操作使用培训、系统管理培训和其他相关培训等。</w:t>
      </w:r>
    </w:p>
    <w:p>
      <w:pPr>
        <w:tabs>
          <w:tab w:val="left" w:pos="0"/>
        </w:tabs>
        <w:autoSpaceDE w:val="0"/>
        <w:autoSpaceDN w:val="0"/>
        <w:adjustRightInd w:val="0"/>
        <w:spacing w:line="400" w:lineRule="exact"/>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书面形式：包括纸质文件、电子邮件、传真、信函、电报等。</w:t>
      </w:r>
    </w:p>
    <w:p>
      <w:pPr>
        <w:adjustRightInd w:val="0"/>
        <w:snapToGrid w:val="0"/>
        <w:spacing w:line="40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实质性响应:系指投标文件符合招标文件规定的实质性内容、条件和规定。</w:t>
      </w:r>
    </w:p>
    <w:p>
      <w:pPr>
        <w:adjustRightInd w:val="0"/>
        <w:snapToGrid w:val="0"/>
        <w:spacing w:line="40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重大偏离或保留：系指将会影响到招标文件规定的服务范围、质量标准，或会给合同中规定的招标人的权利和投标人的责任造成实质性限制，而纠正这些偏离或保留将对其他提交了实质性响应的投标文件的投标人产生不公平影响的。</w:t>
      </w:r>
    </w:p>
    <w:p>
      <w:pPr>
        <w:tabs>
          <w:tab w:val="left" w:pos="0"/>
        </w:tabs>
        <w:autoSpaceDE w:val="0"/>
        <w:autoSpaceDN w:val="0"/>
        <w:adjustRightInd w:val="0"/>
        <w:spacing w:line="400" w:lineRule="exact"/>
        <w:ind w:firstLine="480" w:firstLineChars="200"/>
        <w:rPr>
          <w:rFonts w:hint="eastAsia" w:ascii="宋体" w:hAnsi="宋体" w:cs="宋体"/>
          <w:color w:val="auto"/>
          <w:kern w:val="0"/>
          <w:sz w:val="24"/>
          <w:highlight w:val="none"/>
        </w:rPr>
      </w:pPr>
      <w:r>
        <w:rPr>
          <w:rFonts w:hint="eastAsia" w:ascii="宋体" w:hAnsi="宋体" w:cs="宋体"/>
          <w:color w:val="auto"/>
          <w:sz w:val="24"/>
          <w:highlight w:val="none"/>
          <w:lang w:val="zh-CN"/>
        </w:rPr>
        <w:t>细微偏离：系指投标文件对招标文件的非实质性内容存在不完全响应或不响应。</w:t>
      </w:r>
    </w:p>
    <w:p>
      <w:pPr>
        <w:pStyle w:val="48"/>
        <w:adjustRightInd w:val="0"/>
        <w:snapToGrid w:val="0"/>
        <w:spacing w:line="400" w:lineRule="exact"/>
        <w:rPr>
          <w:rFonts w:hint="eastAsia" w:hAnsi="宋体" w:cs="宋体"/>
          <w:b/>
          <w:color w:val="auto"/>
          <w:sz w:val="24"/>
          <w:highlight w:val="none"/>
        </w:rPr>
      </w:pPr>
      <w:r>
        <w:rPr>
          <w:rFonts w:hint="eastAsia" w:hAnsi="宋体" w:cs="宋体"/>
          <w:b/>
          <w:color w:val="auto"/>
          <w:sz w:val="24"/>
          <w:highlight w:val="none"/>
        </w:rPr>
        <w:t>（四）投标费用</w:t>
      </w:r>
    </w:p>
    <w:p>
      <w:pPr>
        <w:adjustRightInd w:val="0"/>
        <w:snapToGrid w:val="0"/>
        <w:spacing w:line="400" w:lineRule="exact"/>
        <w:ind w:firstLine="523" w:firstLineChars="218"/>
        <w:rPr>
          <w:rFonts w:hint="eastAsia" w:ascii="宋体" w:hAnsi="宋体" w:cs="宋体"/>
          <w:color w:val="auto"/>
          <w:kern w:val="0"/>
          <w:position w:val="-5"/>
          <w:sz w:val="24"/>
          <w:highlight w:val="none"/>
        </w:rPr>
      </w:pPr>
      <w:r>
        <w:rPr>
          <w:rFonts w:hint="eastAsia" w:ascii="宋体" w:hAnsi="宋体" w:cs="宋体"/>
          <w:color w:val="auto"/>
          <w:kern w:val="0"/>
          <w:position w:val="-5"/>
          <w:sz w:val="24"/>
          <w:highlight w:val="none"/>
        </w:rPr>
        <w:t>无论招投标过程中的做法和结果如何，投标人自行承担招投标活动中所发生的全部费用。</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（五）语言文字</w:t>
      </w:r>
    </w:p>
    <w:bookmarkEnd w:id="29"/>
    <w:bookmarkEnd w:id="30"/>
    <w:p>
      <w:pPr>
        <w:adjustRightInd w:val="0"/>
        <w:snapToGrid w:val="0"/>
        <w:spacing w:line="400" w:lineRule="exact"/>
        <w:ind w:firstLine="523" w:firstLineChars="218"/>
        <w:rPr>
          <w:rFonts w:hint="eastAsia" w:ascii="宋体" w:hAnsi="宋体" w:cs="宋体"/>
          <w:color w:val="auto"/>
          <w:sz w:val="24"/>
          <w:highlight w:val="none"/>
        </w:rPr>
      </w:pPr>
      <w:bookmarkStart w:id="31" w:name="_Hlt68057669"/>
      <w:bookmarkEnd w:id="31"/>
      <w:bookmarkStart w:id="32" w:name="_Hlt75236290"/>
      <w:bookmarkEnd w:id="32"/>
      <w:bookmarkStart w:id="33" w:name="_Hlt68072990"/>
      <w:bookmarkEnd w:id="33"/>
      <w:bookmarkStart w:id="34" w:name="_Hlt74707468"/>
      <w:bookmarkEnd w:id="34"/>
      <w:bookmarkStart w:id="35" w:name="_Hlt74729768"/>
      <w:bookmarkEnd w:id="35"/>
      <w:bookmarkStart w:id="36" w:name="_Toc91899879"/>
      <w:r>
        <w:rPr>
          <w:rFonts w:hint="eastAsia" w:ascii="宋体" w:hAnsi="宋体" w:cs="宋体"/>
          <w:color w:val="auto"/>
          <w:sz w:val="24"/>
          <w:highlight w:val="none"/>
        </w:rPr>
        <w:t>1、招标投标有关的语言使用中文。</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2、外文专用术语应附有中文注释。招投标文件及相关往来文件中有外文资料的（如质疑函、进口产品厂商授权书等），资料提供方应当将其翻译为中文，注明翻译人员姓名、工作单位、联系方式等信息，并对译文的完整性、客观性、真实性负责。</w:t>
      </w:r>
    </w:p>
    <w:p>
      <w:pPr>
        <w:adjustRightInd w:val="0"/>
        <w:snapToGrid w:val="0"/>
        <w:spacing w:line="400" w:lineRule="exact"/>
        <w:rPr>
          <w:rFonts w:hint="eastAsia" w:ascii="宋体" w:hAnsi="宋体" w:cs="宋体"/>
          <w:color w:val="auto"/>
          <w:sz w:val="24"/>
          <w:highlight w:val="none"/>
        </w:rPr>
      </w:pPr>
      <w:r>
        <w:rPr>
          <w:rFonts w:hint="eastAsia" w:ascii="宋体" w:hAnsi="宋体" w:cs="宋体"/>
          <w:b/>
          <w:color w:val="auto"/>
          <w:sz w:val="24"/>
          <w:highlight w:val="none"/>
        </w:rPr>
        <w:t>（六）计量单位</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招标文件有明确规定的，适用招标文件规定的计量单位；招标文件没有规定的，应采用中华人民共和国法定计量单位，否则视同未响应。</w:t>
      </w:r>
    </w:p>
    <w:p>
      <w:pPr>
        <w:adjustRightInd w:val="0"/>
        <w:snapToGrid w:val="0"/>
        <w:spacing w:line="400" w:lineRule="exact"/>
        <w:rPr>
          <w:rFonts w:hint="eastAsia" w:ascii="宋体" w:hAnsi="宋体" w:cs="宋体"/>
          <w:color w:val="auto"/>
          <w:sz w:val="24"/>
          <w:highlight w:val="none"/>
        </w:rPr>
      </w:pPr>
      <w:r>
        <w:rPr>
          <w:rFonts w:hint="eastAsia" w:ascii="宋体" w:hAnsi="宋体" w:cs="宋体"/>
          <w:b/>
          <w:color w:val="auto"/>
          <w:sz w:val="24"/>
          <w:highlight w:val="none"/>
        </w:rPr>
        <w:t>（七）转包与分包</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本项目不允许转包。本须知“前附表”规定允许分包的，投标人应当在投标文件载明分包的具体情况，应符合招标人在本须知“前附表”规定的分包内容、分包金额和接受分包的第三人资质要求等限制条件。</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（八）踏勘现场</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1、若本须知“前附表”规定统一组织的，投标人应按规定的时间、地点准时出席，否则将不予单独安排；</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2、投标人踏勘现场发生的费用自理。</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3、除招标人的原因外，投标人自行负责在踏勘现场中可能发生的人员伤亡和财产损失。</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4、招标人在踏勘现场中介绍的场地和相关的周边环境情况，投标人在编制投标文件时参考，招标人不对投标人据此作出的判断和决策负责。</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（九）投标预备会（答疑会）</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1、若本须知“前附表”规定召开答疑会的，招标人将按规定的时间、地点准时召开答疑会，澄清投标人提出的问题，投标人应按规定准时出席，否则将不予单独安排答疑。</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2、投标人应在答疑会时间的前一天，以书面形式将提出的问题送达招标人，以便招标人在会议期间澄清。</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3、答疑会后，招标人将按规定对投标人所提问题进行书面澄清答复。</w:t>
      </w:r>
    </w:p>
    <w:p>
      <w:pPr>
        <w:adjustRightInd w:val="0"/>
        <w:snapToGrid w:val="0"/>
        <w:spacing w:line="400" w:lineRule="exact"/>
        <w:rPr>
          <w:rFonts w:hint="eastAsia" w:ascii="宋体" w:hAnsi="宋体" w:cs="宋体"/>
          <w:color w:val="auto"/>
          <w:sz w:val="24"/>
          <w:highlight w:val="none"/>
        </w:rPr>
      </w:pPr>
      <w:r>
        <w:rPr>
          <w:rFonts w:hint="eastAsia" w:ascii="宋体" w:hAnsi="宋体" w:cs="宋体"/>
          <w:b/>
          <w:color w:val="auto"/>
          <w:sz w:val="24"/>
          <w:highlight w:val="none"/>
        </w:rPr>
        <w:t>（十）对投标人的限制</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1、单位负责人（指法定代表人或者法律、行政法规规定代表单位行使职权的主要负责人）为同一人或者存在直接控股、管理关系的不同投标人不得分别参加同一合同项下的采购活动。违反本条规定的，相关投标均无效；</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2、为本项目提供过整体设计、规范编制或者项目管理、监理、检测等服务的投标人，不得再参加该采购项目的其他采购活动（不包括为该项目提供整体设计、规范编制或者项目管理、监理、检测等服务）；</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3、以联合体形式参加政府采购活动的，联合体各方不得再单独参加或者与其他投标人另外组成联合体参加同一合同项下的政府采购活动；</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4、为证明投标人拥有的业绩、荣誉、知识产权、项目案例等而在投标文件中提供的证明材料必须为投标人自身所有。不同法人、其他组织的资料与投标人无关。</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5、投标人之间的利害关系：</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（1）法定代表人或负责人或实际控制人是夫妻关系；</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（2）法定代表人或负责人或实际控制人是直系血亲关系；</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（3）法定代表人或负责人或实际控制人存在三代以内旁系血亲关系；</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（4）法定代表人或负责人或实际控制人存在近姻亲关系；</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（5）法定代表人或负责人或实际控制人存在股份控制或实际控制关系；</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（6）存在共同直接或间接投资设立子公司、联营企业和合营企业情况；</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（7）存在分级代理或代销关系、同一生产制造商关系、管理关系、重要业务（占主营业务收入 50%以上）或重要财务往来关系（如融资）等其他实质性控制关系； 如投标人之间存在以上利害关系并且存在影响政府采购公平竞争的行为的相关投标人的投标均无效。 </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6、采购人若有核心产品，请根据采购项目实际需求确定核心产品，并在采购文件第三部分“采购需求”中明确标注，若没有则不需要确定及注明。</w:t>
      </w:r>
    </w:p>
    <w:p>
      <w:pPr>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1）采用最低评标价法的采购项目，提供相同品牌产品（含核心产品）的不同投标人参加同一合同项下投标的，以其中通过资格审查、符合性审查且报价最低的参加评标；报价相同的，随机抽取方式确定，其他投标无效。 </w:t>
      </w:r>
    </w:p>
    <w:p>
      <w:pPr>
        <w:spacing w:line="400" w:lineRule="exact"/>
        <w:ind w:firstLine="600" w:firstLineChars="250"/>
        <w:rPr>
          <w:rFonts w:hint="eastAsia" w:ascii="宋体" w:hAnsi="宋体" w:cs="宋体"/>
          <w:color w:val="auto"/>
          <w:sz w:val="24"/>
          <w:highlight w:val="none"/>
        </w:rPr>
      </w:pPr>
      <w:r>
        <w:rPr>
          <w:rFonts w:hint="eastAsia" w:ascii="宋体" w:hAnsi="宋体" w:cs="宋体"/>
          <w:color w:val="auto"/>
          <w:sz w:val="24"/>
          <w:highlight w:val="none"/>
        </w:rPr>
        <w:t>（2）使用综合评分法的采购项目，提供相同品牌产品（含核心产品）且通过资格审查、符合性审查的不同投标人参加同一合同项下投标的，按一家投标人计算，评审后得分最高的同品牌（含核心产品） 投标人获得中标人推荐资格；评审得分相同的，随机抽取方式确定，其他同品牌投标人不作为中标候选人。</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7、因特殊情况指定单一品牌采购的或本须知“前附表”规定投标人中标后提供制造商授权的，制造商授权文件将不再作为实质性响应条款，投标人可在中标后取得制造商针对该项目的授权文件。如制造商无故不予授权的，招标人可在中标人作出保证供货且保证产品质量和售后服务的承诺后授予其合同，招标人将在合同的验收、结算和违约责任中补充增加相应的制约性条款；</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8、招标公告中明确专门面向中小微企业采购的项目，只能由中小企业或微型企业参加。</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9、投标截止前被“信用中国”网站(</w:t>
      </w:r>
      <w:r>
        <w:rPr>
          <w:color w:val="auto"/>
          <w:highlight w:val="none"/>
        </w:rPr>
        <w:fldChar w:fldCharType="begin"/>
      </w:r>
      <w:r>
        <w:rPr>
          <w:color w:val="auto"/>
          <w:highlight w:val="none"/>
        </w:rPr>
        <w:instrText xml:space="preserve"> HYPERLINK "http://www.creditchina.gov.cn" </w:instrText>
      </w:r>
      <w:r>
        <w:rPr>
          <w:color w:val="auto"/>
          <w:highlight w:val="none"/>
        </w:rPr>
        <w:fldChar w:fldCharType="separate"/>
      </w:r>
      <w:r>
        <w:rPr>
          <w:rFonts w:hint="eastAsia" w:ascii="宋体" w:hAnsi="宋体" w:cs="宋体"/>
          <w:color w:val="auto"/>
          <w:highlight w:val="none"/>
        </w:rPr>
        <w:t>www.creditchina.gov.cn</w:t>
      </w:r>
      <w:r>
        <w:rPr>
          <w:rFonts w:hint="eastAsia" w:ascii="宋体" w:hAnsi="宋体" w:cs="宋体"/>
          <w:color w:val="auto"/>
          <w:highlight w:val="none"/>
        </w:rPr>
        <w:fldChar w:fldCharType="end"/>
      </w:r>
      <w:r>
        <w:rPr>
          <w:rFonts w:hint="eastAsia" w:ascii="宋体" w:hAnsi="宋体" w:cs="宋体"/>
          <w:color w:val="auto"/>
          <w:sz w:val="24"/>
          <w:highlight w:val="none"/>
        </w:rPr>
        <w:t>)列入失信被执行人、重大税收违法案件当事人名单或被“中国政府采购网”(</w:t>
      </w:r>
      <w:r>
        <w:rPr>
          <w:color w:val="auto"/>
          <w:highlight w:val="none"/>
        </w:rPr>
        <w:fldChar w:fldCharType="begin"/>
      </w:r>
      <w:r>
        <w:rPr>
          <w:color w:val="auto"/>
          <w:highlight w:val="none"/>
        </w:rPr>
        <w:instrText xml:space="preserve"> HYPERLINK "http://www.ccgp.gov.cn" </w:instrText>
      </w:r>
      <w:r>
        <w:rPr>
          <w:color w:val="auto"/>
          <w:highlight w:val="none"/>
        </w:rPr>
        <w:fldChar w:fldCharType="separate"/>
      </w:r>
      <w:r>
        <w:rPr>
          <w:rFonts w:hint="eastAsia" w:ascii="宋体" w:hAnsi="宋体" w:cs="宋体"/>
          <w:color w:val="auto"/>
          <w:highlight w:val="none"/>
        </w:rPr>
        <w:t>www.ccgp.gov.cn</w:t>
      </w:r>
      <w:r>
        <w:rPr>
          <w:rFonts w:hint="eastAsia" w:ascii="宋体" w:hAnsi="宋体" w:cs="宋体"/>
          <w:color w:val="auto"/>
          <w:highlight w:val="none"/>
        </w:rPr>
        <w:fldChar w:fldCharType="end"/>
      </w:r>
      <w:r>
        <w:rPr>
          <w:rFonts w:hint="eastAsia" w:ascii="宋体" w:hAnsi="宋体" w:cs="宋体"/>
          <w:color w:val="auto"/>
          <w:sz w:val="24"/>
          <w:highlight w:val="none"/>
        </w:rPr>
        <w:t>)列入政府采购严重违法失信行为记录名单等存在不良信用记录的投标人将被拒绝参加本项目采购活动。具体以投标截止当日招标代理机构在上述两个网站上查询到的信息为准。</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两个以上的自然人、法人或者其他组织组成一个联合体，以一个投标人的身份共同参加政府采购活动的，将对所有联合体成员进行信用记录查询，联合体成员存在不良信用记录的，视同联合体存在不良信用记录。</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（十一）质疑与投诉</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投标人认为招标文件、招标过程或中标结果使自己的合法权益受到损害的，应当在知道或者应知其权益受到损害之日起七个工作日内，以书面形式向招标人、招标代理机构提出质疑，逾期提出的，招标人与招标代理机构可以不予受理、答复。“知道或者应知其权益受到损害之日”是指：</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（1）对招标文件提出质疑的，为招标公告期限届满之日（公告期限为公告发布后5个工作日，不含发布当日）；</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（2）对采购过程提出质疑的，为各招标程序环节结束之日；</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（3）对评标结果提出质疑的，为中标结果公告期限届满之日（公告期限为公告发布后1个工作日，不含发布当日）。</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质疑、投诉应当采用书面形式，其中质疑书、投诉书均应当明确阐述招标文件、招标过程或者中标结果中使自己合法权益受到损害的实质性内容，并提供相关事实、依据和证据及其来源或线索，便于有关单位调查、答复和处理。</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质疑（投诉）函应载明质疑（投诉）人全称、地址、邮编、传真、联系人、联系电话，电子邮箱；联系人必须为投标人的在职职工，须提供法定代表人授权文件、法定代表人及联系人的身份证复印件、以及投标人为该联系人缴纳的社保凭证，联系人为法定代表人的须提供法定代表人资格证明及身份证复印件；质疑（投诉）函必须有联系人署名且加盖公章，否则不予受理（一式三份）。</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4、质疑、投诉函以电子邮件或传真形式提交的，还须在提交后以邮寄的方式提交质疑书纸质原件，以实际收到原件之日作为收到质疑之日。</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5、未按上述要求提供的质疑（投诉）函，采购组织机构有权不予受理。</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6、质疑投标人对招标人、招标代理机构的答复不满意或者招标人、招标代理机构未在规定时间内作出答复的，可以在答复期满后十五个工作日内向同级采购监管部门投诉。</w:t>
      </w:r>
    </w:p>
    <w:p>
      <w:pPr>
        <w:adjustRightInd w:val="0"/>
        <w:snapToGrid w:val="0"/>
        <w:spacing w:line="400" w:lineRule="exact"/>
        <w:rPr>
          <w:rFonts w:hint="eastAsia" w:ascii="宋体" w:hAnsi="宋体" w:cs="宋体"/>
          <w:color w:val="auto"/>
          <w:sz w:val="24"/>
          <w:highlight w:val="none"/>
        </w:rPr>
      </w:pPr>
      <w:r>
        <w:rPr>
          <w:rFonts w:hint="eastAsia" w:ascii="宋体" w:hAnsi="宋体" w:cs="宋体"/>
          <w:b/>
          <w:color w:val="auto"/>
          <w:sz w:val="24"/>
          <w:highlight w:val="none"/>
        </w:rPr>
        <w:t>（十二）其他注意事项</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见本须知“前附表”，同时还需注意以下事项：</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1、法定代表人授权代表须为投标人</w:t>
      </w:r>
      <w:r>
        <w:rPr>
          <w:rFonts w:hint="eastAsia" w:ascii="宋体" w:hAnsi="宋体" w:cs="宋体"/>
          <w:b/>
          <w:color w:val="auto"/>
          <w:sz w:val="24"/>
          <w:highlight w:val="none"/>
        </w:rPr>
        <w:t>在职职工</w:t>
      </w:r>
      <w:r>
        <w:rPr>
          <w:rFonts w:hint="eastAsia" w:ascii="宋体" w:hAnsi="宋体" w:cs="宋体"/>
          <w:color w:val="auto"/>
          <w:sz w:val="24"/>
          <w:highlight w:val="none"/>
        </w:rPr>
        <w:t>，投标人须在投标文件中提供附有该授权代表为投标人</w:t>
      </w:r>
      <w:r>
        <w:rPr>
          <w:rFonts w:hint="eastAsia" w:ascii="宋体" w:hAnsi="宋体" w:cs="宋体"/>
          <w:b/>
          <w:color w:val="auto"/>
          <w:sz w:val="24"/>
          <w:highlight w:val="none"/>
        </w:rPr>
        <w:t>在职员工相关证明文件（如投标人为该员工缴纳的社保记录或劳务合同等）</w:t>
      </w:r>
      <w:r>
        <w:rPr>
          <w:rFonts w:hint="eastAsia" w:ascii="宋体" w:hAnsi="宋体" w:cs="宋体"/>
          <w:color w:val="auto"/>
          <w:sz w:val="24"/>
          <w:highlight w:val="none"/>
        </w:rPr>
        <w:t>的《法定代表人授权书》。</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2、根据政府采购相关法律、法规、规章、文件规定并满足招标文件规定资格条件的区域性分支机构、个体工商户、个人独资企业、合伙企业参加本项目投标并由单位负责人签署的相关投标资料与本招标文件规定由法定代表人签署的的文件材料具有同等效力。</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eastAsia="宋体" w:cs="宋体"/>
          <w:color w:val="auto"/>
          <w:sz w:val="24"/>
          <w:highlight w:val="none"/>
        </w:rPr>
        <w:t>投标人对所投标项内的采购内容必须全部进行投标</w:t>
      </w:r>
      <w:r>
        <w:rPr>
          <w:rFonts w:hint="eastAsia" w:ascii="宋体" w:hAnsi="宋体" w:cs="宋体"/>
          <w:color w:val="auto"/>
          <w:sz w:val="24"/>
          <w:highlight w:val="none"/>
        </w:rPr>
        <w:t>。</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4、不论招标人、招标代理机构向投标人发送的资料文件，还是投标人提出的问题，均采用书面形式，任何口头提问及答复一律无效。</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5、若明确本项目为资格入围项目的，若出现有效投标人少于或等于入围需求家数时，将采用“末位淘汰制”，淘汰评审结果排名最后一名的投标人，其他有效投标人获得入围资格。只有二家及以下有效投标人的则重新组织招标。</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6、招标文件中所涉及的产品品牌或型号均为建议性要求或为档次选择要求或为代替部分技术指标描述，投标人可以选择其他品牌型号的产品参加投标，但投标产品须具有相当于或优于招标文件要求的指标、性能、档次。否则，评标委员会将可能对其作出不利的评审。</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7、▲投标人应保证所投产品整体或其任一部分，均免受第三方提出的侵犯其专利权、商标权、著作权或其他知识产权的起诉。投标人应承担由此可能产生的一切法律责任和费用。</w:t>
      </w:r>
    </w:p>
    <w:p>
      <w:pPr>
        <w:adjustRightInd w:val="0"/>
        <w:snapToGrid w:val="0"/>
        <w:spacing w:line="400" w:lineRule="exact"/>
        <w:ind w:firstLine="523" w:firstLineChars="218"/>
        <w:rPr>
          <w:rFonts w:hint="eastAsia" w:ascii="宋体" w:hAnsi="宋体" w:cs="宋体"/>
          <w:color w:val="auto"/>
          <w:sz w:val="24"/>
          <w:highlight w:val="none"/>
        </w:rPr>
      </w:pPr>
      <w:r>
        <w:rPr>
          <w:rFonts w:hint="eastAsia" w:ascii="宋体" w:hAnsi="宋体" w:cs="宋体"/>
          <w:color w:val="auto"/>
          <w:sz w:val="24"/>
          <w:highlight w:val="none"/>
        </w:rPr>
        <w:t>8、若本须知“前附表”规定允许进口产品投标且该货物需从中华人民共和国境外提供的，货物的最终用户须为招标人，投标人应委托招标人指定机构或者经招标人同意后自行委托具有进出口代理权的机构办理相关进口事宜，并承担因此产生的所有费用。</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（十三）保密</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参与招标投标活动的各方应对招标文件和投标文件中的商业和技术等秘密保密，违者应对此造成的后果承担法律责任。</w:t>
      </w:r>
    </w:p>
    <w:bookmarkEnd w:id="36"/>
    <w:p>
      <w:pPr>
        <w:adjustRightInd w:val="0"/>
        <w:snapToGrid w:val="0"/>
        <w:spacing w:line="400" w:lineRule="exact"/>
        <w:jc w:val="center"/>
        <w:outlineLvl w:val="1"/>
        <w:rPr>
          <w:rFonts w:hint="eastAsia" w:ascii="宋体" w:hAnsi="宋体" w:cs="宋体"/>
          <w:b/>
          <w:color w:val="auto"/>
          <w:sz w:val="32"/>
          <w:highlight w:val="none"/>
        </w:rPr>
      </w:pPr>
      <w:bookmarkStart w:id="37" w:name="_Toc522530042"/>
      <w:bookmarkStart w:id="38" w:name="_Toc9352"/>
      <w:bookmarkStart w:id="39" w:name="_Toc233618973"/>
      <w:r>
        <w:rPr>
          <w:rFonts w:hint="eastAsia" w:ascii="宋体" w:hAnsi="宋体" w:cs="宋体"/>
          <w:b/>
          <w:color w:val="auto"/>
          <w:sz w:val="32"/>
          <w:highlight w:val="none"/>
        </w:rPr>
        <w:t>二、招标文件</w:t>
      </w:r>
      <w:bookmarkEnd w:id="37"/>
      <w:bookmarkEnd w:id="38"/>
      <w:bookmarkEnd w:id="39"/>
    </w:p>
    <w:p>
      <w:pPr>
        <w:pStyle w:val="48"/>
        <w:adjustRightInd w:val="0"/>
        <w:snapToGrid w:val="0"/>
        <w:spacing w:line="400" w:lineRule="exact"/>
        <w:rPr>
          <w:rFonts w:hint="eastAsia" w:hAnsi="宋体" w:cs="宋体"/>
          <w:b/>
          <w:color w:val="auto"/>
          <w:sz w:val="24"/>
          <w:highlight w:val="none"/>
        </w:rPr>
      </w:pPr>
      <w:bookmarkStart w:id="40" w:name="_Toc91899880"/>
      <w:bookmarkStart w:id="41" w:name="_Hlt74730307"/>
      <w:r>
        <w:rPr>
          <w:rFonts w:hint="eastAsia" w:hAnsi="宋体" w:cs="宋体"/>
          <w:b/>
          <w:color w:val="auto"/>
          <w:sz w:val="24"/>
          <w:highlight w:val="none"/>
        </w:rPr>
        <w:t>（一）招标文件的</w:t>
      </w:r>
      <w:bookmarkEnd w:id="40"/>
      <w:r>
        <w:rPr>
          <w:rFonts w:hint="eastAsia" w:hAnsi="宋体" w:cs="宋体"/>
          <w:b/>
          <w:color w:val="auto"/>
          <w:sz w:val="24"/>
          <w:highlight w:val="none"/>
        </w:rPr>
        <w:t>组成</w:t>
      </w:r>
    </w:p>
    <w:bookmarkEnd w:id="41"/>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 招标文件包括下列文件及附件</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第一部分  招标公告</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第二部分  投标人须知</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第三部分  采购需求</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第四部分  合同文本</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第五部分  投标文件部分格式文件</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第六部分  评分办法</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补充文件（如果有，包括相关的补充、更正、澄清公告和文件）</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其他附件（如果有，如图纸等）</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2、投标人应认真审阅上述招标文件组成中所有的内容。如果投标人编制的投标文件没有从实质上响应招标文件的要求，其投标文件将被拒绝。</w:t>
      </w:r>
    </w:p>
    <w:p>
      <w:pPr>
        <w:pStyle w:val="48"/>
        <w:adjustRightInd w:val="0"/>
        <w:snapToGrid w:val="0"/>
        <w:spacing w:line="400" w:lineRule="exact"/>
        <w:rPr>
          <w:rFonts w:hint="eastAsia" w:hAnsi="宋体" w:cs="宋体"/>
          <w:b/>
          <w:color w:val="auto"/>
          <w:sz w:val="24"/>
          <w:highlight w:val="none"/>
        </w:rPr>
      </w:pPr>
      <w:r>
        <w:rPr>
          <w:rFonts w:hint="eastAsia" w:hAnsi="宋体" w:cs="宋体"/>
          <w:b/>
          <w:color w:val="auto"/>
          <w:sz w:val="24"/>
          <w:highlight w:val="none"/>
        </w:rPr>
        <w:t>（二）招标文件的解释</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1、投标人一旦参与本次招标活动，即被视为接受了本招标文件的所有内容，如有任何异议，均应在答疑截止时间前提出。</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招标文件澄清、答复、修改、补充等书面内容均作为招标文件的补充文件，是招标文件的组成部分，将以传真、网上公告、电子邮件等形式书面告知所有购买招标文件的投标人，并对所有投标人均有约束力。当招标文件与补充文件就同一内容的表述不一致时，以最后发出的书面文件为准。</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3、招标文件的解释权归招标人、招标代理机构所有。</w:t>
      </w:r>
    </w:p>
    <w:p>
      <w:pPr>
        <w:tabs>
          <w:tab w:val="left" w:pos="3780"/>
        </w:tabs>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（三）招标文件的澄清</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投标人对招标文件如有疑问要求澄清，或认为有必要与招标人、招标代理机构进行技术交流的，投标人需将书面资料（《（项目名称）询问函》）在招标公告规定的询问截止时间前（对补充文件如有疑问要求澄清的，应在 24 小时内）以书面形式送达至招标代理机构，并与招标代理机构进行确认。招标代理机构有权对逾期收到疑问将不予受理、答复。</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2、投标人要求澄清的资料应写明投标人全称、地址、邮编、传真、联系人、联系电话、电子邮箱、询疑日期并加盖投标人公章。</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 如有必要，招标人和招标代理机构对投标人所有要求澄清的问题都予以书面解答，澄清答复的文件为招标补充文件，作为招标文件的组成部分。</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 投标人在招标文件规定的询疑截止时间前内未对招标文件提出疑问的，招标代理机构将视其对招标文件无异议。</w:t>
      </w:r>
    </w:p>
    <w:p>
      <w:pPr>
        <w:pStyle w:val="48"/>
        <w:adjustRightInd w:val="0"/>
        <w:snapToGrid w:val="0"/>
        <w:spacing w:line="400" w:lineRule="exact"/>
        <w:rPr>
          <w:rFonts w:hint="eastAsia" w:hAnsi="宋体" w:cs="宋体"/>
          <w:b/>
          <w:color w:val="auto"/>
          <w:sz w:val="24"/>
          <w:highlight w:val="none"/>
        </w:rPr>
      </w:pPr>
      <w:r>
        <w:rPr>
          <w:rFonts w:hint="eastAsia" w:hAnsi="宋体" w:cs="宋体"/>
          <w:b/>
          <w:color w:val="auto"/>
          <w:sz w:val="24"/>
          <w:highlight w:val="none"/>
        </w:rPr>
        <w:t>（四）招标文件的修改</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1、由于各种原因招标人可能在投标截止时间前以澄清、答复、修改、补充文件的形式修改完善招标文件。</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澄清、答复、修改、补充文件发出后，原则上不改变招标文件规定的投标截止时间及开标时间。投标人如认为澄清、答复、修改、补充文件内容影响投标文件编制，须延长投标截止时间的，必须在收到澄清、答复、修改、补充文件后24小时内将意见和理由以书面形式向招标代理机构提出，否则，招标代理机构视投标人完全接受并有足够的时间编制投标文件且按规定时间进行投标。</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投标人在收到澄清、答复、修改、补充文件后，应在24小时内以书面形式向招标代理机构确认已收到该澄清、答复、修改、补充文件，逾期未确认的招标代理机构有权视其已收到。对澄清、答复、修改、补充文件如有疑问要求澄清，应在24小时内将书面送达招标代理机构，并与招标代理机构进行确认，逾期提出的，招标代理机构可不予受理。如有必要，招标代理机构将以书面形式回复询疑人。</w:t>
      </w:r>
    </w:p>
    <w:p>
      <w:pPr>
        <w:adjustRightInd w:val="0"/>
        <w:snapToGrid w:val="0"/>
        <w:spacing w:line="400" w:lineRule="exact"/>
        <w:jc w:val="center"/>
        <w:outlineLvl w:val="1"/>
        <w:rPr>
          <w:rFonts w:hint="eastAsia" w:ascii="宋体" w:hAnsi="宋体" w:cs="宋体"/>
          <w:b/>
          <w:color w:val="auto"/>
          <w:sz w:val="32"/>
          <w:highlight w:val="none"/>
        </w:rPr>
      </w:pPr>
      <w:bookmarkStart w:id="42" w:name="_Toc522530043"/>
      <w:bookmarkStart w:id="43" w:name="_Toc20674"/>
      <w:bookmarkStart w:id="44" w:name="_Toc91899884"/>
      <w:bookmarkStart w:id="45" w:name="_Toc233618974"/>
    </w:p>
    <w:p>
      <w:pPr>
        <w:adjustRightInd w:val="0"/>
        <w:snapToGrid w:val="0"/>
        <w:spacing w:line="400" w:lineRule="exact"/>
        <w:jc w:val="center"/>
        <w:outlineLvl w:val="1"/>
        <w:rPr>
          <w:rFonts w:hint="eastAsia" w:ascii="宋体" w:hAnsi="宋体" w:cs="宋体"/>
          <w:b/>
          <w:color w:val="auto"/>
          <w:sz w:val="32"/>
          <w:highlight w:val="none"/>
        </w:rPr>
      </w:pPr>
      <w:r>
        <w:rPr>
          <w:rFonts w:hint="eastAsia" w:ascii="宋体" w:hAnsi="宋体" w:cs="宋体"/>
          <w:b/>
          <w:color w:val="auto"/>
          <w:sz w:val="32"/>
          <w:highlight w:val="none"/>
        </w:rPr>
        <w:t>三、投标文件</w:t>
      </w:r>
      <w:bookmarkEnd w:id="42"/>
      <w:bookmarkEnd w:id="43"/>
      <w:bookmarkEnd w:id="44"/>
      <w:bookmarkEnd w:id="45"/>
    </w:p>
    <w:p>
      <w:pPr>
        <w:adjustRightInd w:val="0"/>
        <w:snapToGrid w:val="0"/>
        <w:spacing w:line="400" w:lineRule="exact"/>
        <w:rPr>
          <w:rFonts w:hint="eastAsia" w:ascii="宋体" w:hAnsi="宋体" w:cs="宋体"/>
          <w:b/>
          <w:bCs/>
          <w:color w:val="auto"/>
          <w:sz w:val="24"/>
          <w:szCs w:val="22"/>
          <w:highlight w:val="none"/>
          <w:lang w:val="zh-CN"/>
        </w:rPr>
      </w:pPr>
      <w:r>
        <w:rPr>
          <w:rFonts w:hint="eastAsia" w:ascii="宋体" w:hAnsi="宋体" w:cs="宋体"/>
          <w:b/>
          <w:bCs/>
          <w:color w:val="auto"/>
          <w:sz w:val="24"/>
          <w:szCs w:val="22"/>
          <w:highlight w:val="none"/>
        </w:rPr>
        <w:t>（一）投标文件的编制</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1、本项目通过“政府采购云平台（www.zcygov.cn）”实行在线投标响应（电子投标）。投标人应通过“政采云电子交易客户端”，并按照本招标文件和“政府采购云平台”的要求编制并加密投标文件并进行关联定位。</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2、投标人应当按照本章节 “投标文件组成”规定的内容及顺序在“政采云电子交易客户端”编制投标文件。其中《资格文件》和《商务技术文件》中不得出现本项目投标报价，如因投标人原因提前泄露投标报价，是投标人的责任。</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3、本文件《第五部分  投标文件部分格式文件》中有提供格式的，投标人须参照格式进行编制（格式中要求提供相关证明材料的还需后附相关证明材料），并按格式要求在指定位置根据要求进行签章，否则视为未提供；本文件《第五部分  投标文件部分格式文件》未提供格式的，请各投标单位自行拟定格式，并加盖单位公章并由法定代表人或其授权代表签署（签字或盖章），否则视为未提供。</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4、《投标文件》内容不完整、编排混乱导致《投标文件》被误读、漏读或者查找不到相关内容的，是投标人的责任。</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5、《投标文件》因字迹潦草或表达不清所引起的后果由投标人负责。</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6、投标人没有按照本章节 “投标文件组成”要求提供全部资料，或者没有仔细阅读招标文件，或者没有对招标文件在各方面的要求作出实质性响应是投标人的风险，由此造成的一切后果由投标人自行承担。</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7、投标文件必须按招标文件提供的格式签字或盖章。授权代表签字的，投标文件应附法定代表人签署的授权委托书。</w:t>
      </w:r>
    </w:p>
    <w:p>
      <w:pPr>
        <w:adjustRightInd w:val="0"/>
        <w:snapToGrid w:val="0"/>
        <w:spacing w:line="400" w:lineRule="exact"/>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（二）投标文件的签章</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1、《投标文件》的签章：见《前附表》；</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2、《投标文件》应由投标人法定代表人或其授权代表签字（或盖章），并加盖投标人公章。</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3、电子签章操作指南详见采购公告附件《供应商项目采购-电子招投标操作指南》。</w:t>
      </w:r>
    </w:p>
    <w:p>
      <w:pPr>
        <w:adjustRightInd w:val="0"/>
        <w:snapToGrid w:val="0"/>
        <w:spacing w:line="400" w:lineRule="exact"/>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（三）</w:t>
      </w:r>
      <w:r>
        <w:rPr>
          <w:rFonts w:hint="eastAsia" w:ascii="宋体" w:hAnsi="宋体" w:eastAsia="宋体" w:cs="宋体"/>
          <w:b/>
          <w:color w:val="auto"/>
          <w:sz w:val="24"/>
          <w:highlight w:val="none"/>
        </w:rPr>
        <w:t>各标项投标文件的组成</w:t>
      </w:r>
    </w:p>
    <w:p>
      <w:pPr>
        <w:pStyle w:val="48"/>
        <w:adjustRightInd w:val="0"/>
        <w:snapToGrid w:val="0"/>
        <w:spacing w:line="400" w:lineRule="exact"/>
        <w:ind w:firstLine="482" w:firstLineChars="200"/>
        <w:rPr>
          <w:rFonts w:hint="eastAsia" w:hAnsi="宋体" w:cs="宋体"/>
          <w:b/>
          <w:color w:val="auto"/>
          <w:sz w:val="24"/>
          <w:highlight w:val="none"/>
        </w:rPr>
      </w:pPr>
      <w:r>
        <w:rPr>
          <w:rFonts w:hint="eastAsia" w:hAnsi="宋体" w:cs="宋体"/>
          <w:b/>
          <w:color w:val="auto"/>
          <w:sz w:val="24"/>
          <w:highlight w:val="none"/>
        </w:rPr>
        <w:t>1、资格文件</w:t>
      </w:r>
    </w:p>
    <w:p>
      <w:pPr>
        <w:widowControl/>
        <w:tabs>
          <w:tab w:val="left" w:pos="3780"/>
        </w:tabs>
        <w:spacing w:line="400" w:lineRule="exact"/>
        <w:ind w:firstLine="480" w:firstLineChars="200"/>
        <w:jc w:val="left"/>
        <w:rPr>
          <w:rFonts w:hint="eastAsia" w:ascii="宋体" w:hAnsi="宋体" w:cs="宋体"/>
          <w:color w:val="auto"/>
          <w:sz w:val="24"/>
          <w:szCs w:val="22"/>
          <w:highlight w:val="none"/>
        </w:rPr>
      </w:pPr>
      <w:r>
        <w:rPr>
          <w:rFonts w:hint="eastAsia" w:ascii="宋体" w:hAnsi="宋体" w:cs="宋体"/>
          <w:color w:val="auto"/>
          <w:sz w:val="24"/>
          <w:szCs w:val="22"/>
          <w:highlight w:val="none"/>
        </w:rPr>
        <w:t>（1）资格审查材料（按第五部分格式一要求提供）；</w:t>
      </w:r>
    </w:p>
    <w:p>
      <w:pPr>
        <w:pStyle w:val="48"/>
        <w:adjustRightInd w:val="0"/>
        <w:snapToGrid w:val="0"/>
        <w:spacing w:line="400" w:lineRule="exact"/>
        <w:ind w:firstLine="482" w:firstLineChars="200"/>
        <w:rPr>
          <w:rFonts w:hint="eastAsia" w:hAnsi="宋体" w:cs="宋体"/>
          <w:b/>
          <w:color w:val="auto"/>
          <w:sz w:val="24"/>
          <w:highlight w:val="none"/>
        </w:rPr>
      </w:pPr>
      <w:r>
        <w:rPr>
          <w:rFonts w:hint="eastAsia" w:hAnsi="宋体" w:cs="宋体"/>
          <w:b/>
          <w:color w:val="auto"/>
          <w:sz w:val="24"/>
          <w:highlight w:val="none"/>
        </w:rPr>
        <w:t>2、商务技术文件</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（1）投标声明函（格式见第五部分格式二）；</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（2）法定代表人身份证明或附有法定代表人身份证明及授权代表为投标人在职员工的证明文件（投标人为其缴纳的社保记录或劳务合同等）的授权委托书（格式见第五部分格式三）</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（3）商务评分中所需的材料（如有，详见评标办法）；</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（4）以往业绩情况（如有，具体要求见评标办法，并按第五部分格式四要求编排）；</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（5）商务/技术偏离表（格式见第五部分格式五）；</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（6）拟投入本项目的服务团队情况表（格式见第五部分格式六）；</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（7）技术评分中所需的材料（详见评标办法）；</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（8）其他商务技术文件或说明（如有）。</w:t>
      </w:r>
    </w:p>
    <w:p>
      <w:pPr>
        <w:pStyle w:val="48"/>
        <w:adjustRightInd w:val="0"/>
        <w:snapToGrid w:val="0"/>
        <w:spacing w:line="400" w:lineRule="exact"/>
        <w:ind w:firstLine="482" w:firstLineChars="200"/>
        <w:rPr>
          <w:rFonts w:hint="eastAsia" w:hAnsi="宋体" w:cs="宋体"/>
          <w:b/>
          <w:color w:val="auto"/>
          <w:sz w:val="24"/>
          <w:highlight w:val="none"/>
        </w:rPr>
      </w:pPr>
      <w:r>
        <w:rPr>
          <w:rFonts w:hint="eastAsia" w:hAnsi="宋体" w:cs="宋体"/>
          <w:b/>
          <w:color w:val="auto"/>
          <w:sz w:val="24"/>
          <w:highlight w:val="none"/>
        </w:rPr>
        <w:t>3、报价文件</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（1）开标一览表（格式见第五部分格式七）；</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（2）投标报价明细表（格式见第五部分格式八）。</w:t>
      </w:r>
    </w:p>
    <w:p>
      <w:pPr>
        <w:tabs>
          <w:tab w:val="left" w:pos="3780"/>
        </w:tabs>
        <w:spacing w:line="40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szCs w:val="22"/>
          <w:highlight w:val="none"/>
          <w:u w:val="single"/>
          <w:lang w:val="zh-CN"/>
        </w:rPr>
        <w:t>投标文件中所需的各种证书、证件、证明资料</w:t>
      </w:r>
      <w:r>
        <w:rPr>
          <w:rFonts w:hint="eastAsia" w:ascii="宋体" w:hAnsi="宋体" w:cs="宋体"/>
          <w:color w:val="auto"/>
          <w:sz w:val="24"/>
          <w:szCs w:val="22"/>
          <w:highlight w:val="none"/>
          <w:u w:val="single"/>
        </w:rPr>
        <w:t>等</w:t>
      </w:r>
      <w:r>
        <w:rPr>
          <w:rFonts w:hint="eastAsia" w:ascii="宋体" w:hAnsi="宋体" w:cs="宋体"/>
          <w:color w:val="auto"/>
          <w:sz w:val="24"/>
          <w:szCs w:val="22"/>
          <w:highlight w:val="none"/>
          <w:u w:val="single"/>
          <w:lang w:val="zh-CN"/>
        </w:rPr>
        <w:t>如是复印件，须在复印件上加盖有效公章。</w:t>
      </w:r>
    </w:p>
    <w:p>
      <w:pPr>
        <w:pStyle w:val="312"/>
        <w:adjustRightInd w:val="0"/>
        <w:snapToGrid w:val="0"/>
        <w:spacing w:before="0" w:line="400" w:lineRule="exact"/>
        <w:ind w:firstLine="0" w:firstLineChars="0"/>
        <w:rPr>
          <w:rFonts w:hint="eastAsia" w:ascii="宋体" w:hAnsi="宋体" w:cs="宋体"/>
          <w:b/>
          <w:color w:val="auto"/>
          <w:highlight w:val="none"/>
        </w:rPr>
      </w:pPr>
      <w:r>
        <w:rPr>
          <w:rFonts w:hint="eastAsia" w:ascii="宋体" w:hAnsi="宋体" w:cs="宋体"/>
          <w:b/>
          <w:color w:val="auto"/>
          <w:highlight w:val="none"/>
        </w:rPr>
        <w:t>（三）投标报价</w:t>
      </w:r>
    </w:p>
    <w:p>
      <w:pPr>
        <w:spacing w:line="400" w:lineRule="exact"/>
        <w:ind w:firstLine="480" w:firstLineChars="200"/>
        <w:rPr>
          <w:rFonts w:hint="eastAsia" w:ascii="宋体" w:hAnsi="宋体" w:cs="宋体"/>
          <w:b/>
          <w:bCs/>
          <w:color w:val="auto"/>
          <w:sz w:val="24"/>
          <w:szCs w:val="22"/>
          <w:highlight w:val="none"/>
        </w:rPr>
      </w:pPr>
      <w:r>
        <w:rPr>
          <w:rFonts w:hint="eastAsia" w:ascii="宋体" w:hAnsi="宋体" w:cs="宋体"/>
          <w:color w:val="auto"/>
          <w:sz w:val="24"/>
          <w:szCs w:val="22"/>
          <w:highlight w:val="none"/>
        </w:rPr>
        <w:t>1、▲</w:t>
      </w:r>
      <w:r>
        <w:rPr>
          <w:rFonts w:hint="eastAsia" w:ascii="宋体" w:hAnsi="宋体" w:cs="宋体"/>
          <w:b/>
          <w:bCs/>
          <w:color w:val="auto"/>
          <w:sz w:val="24"/>
          <w:szCs w:val="22"/>
          <w:highlight w:val="none"/>
        </w:rPr>
        <w:t>本次供应商报价高于最高限价的，为无效响应文件。</w:t>
      </w:r>
    </w:p>
    <w:p>
      <w:pPr>
        <w:spacing w:line="400" w:lineRule="exact"/>
        <w:ind w:firstLine="480" w:firstLineChars="200"/>
        <w:rPr>
          <w:rFonts w:hint="eastAsia" w:ascii="宋体" w:hAnsi="宋体" w:cs="宋体"/>
          <w:bCs/>
          <w:color w:val="auto"/>
          <w:sz w:val="24"/>
          <w:szCs w:val="24"/>
          <w:highlight w:val="none"/>
          <w:lang w:val="zh-CN"/>
        </w:rPr>
      </w:pPr>
      <w:r>
        <w:rPr>
          <w:rFonts w:hint="eastAsia" w:ascii="宋体" w:hAnsi="宋体" w:cs="宋体"/>
          <w:color w:val="auto"/>
          <w:sz w:val="24"/>
          <w:szCs w:val="22"/>
          <w:highlight w:val="none"/>
        </w:rPr>
        <w:t>2</w:t>
      </w:r>
      <w:r>
        <w:rPr>
          <w:rFonts w:hint="eastAsia" w:ascii="宋体" w:hAnsi="宋体" w:cs="宋体"/>
          <w:bCs/>
          <w:color w:val="auto"/>
          <w:sz w:val="24"/>
          <w:szCs w:val="24"/>
          <w:highlight w:val="none"/>
        </w:rPr>
        <w:t>、</w:t>
      </w:r>
      <w:r>
        <w:rPr>
          <w:rFonts w:hint="eastAsia" w:ascii="宋体" w:hAnsi="宋体" w:cs="宋体"/>
          <w:bCs/>
          <w:color w:val="auto"/>
          <w:sz w:val="24"/>
          <w:szCs w:val="24"/>
          <w:highlight w:val="none"/>
          <w:lang w:val="zh-CN"/>
        </w:rPr>
        <w:t>供应商的</w:t>
      </w:r>
      <w:r>
        <w:rPr>
          <w:rFonts w:hint="eastAsia" w:ascii="宋体" w:hAnsi="宋体" w:cs="宋体"/>
          <w:bCs/>
          <w:color w:val="auto"/>
          <w:sz w:val="24"/>
          <w:szCs w:val="24"/>
          <w:highlight w:val="none"/>
        </w:rPr>
        <w:t>投标</w:t>
      </w:r>
      <w:r>
        <w:rPr>
          <w:rFonts w:hint="eastAsia" w:ascii="宋体" w:hAnsi="宋体" w:cs="宋体"/>
          <w:bCs/>
          <w:color w:val="auto"/>
          <w:sz w:val="24"/>
          <w:szCs w:val="24"/>
          <w:highlight w:val="none"/>
          <w:lang w:val="zh-CN"/>
        </w:rPr>
        <w:t>报价为履行合同的最终价格，投标人的报价包括本次的货物价款、人工费、材料费、运输保险费、安装调试费（含安装人工等相关人工费用）、售后服务、各项税金、验收费等所有费用。</w:t>
      </w:r>
    </w:p>
    <w:p>
      <w:pPr>
        <w:spacing w:line="400" w:lineRule="exact"/>
        <w:ind w:firstLine="480" w:firstLineChars="200"/>
        <w:rPr>
          <w:rFonts w:hint="eastAsia" w:ascii="宋体" w:hAnsi="宋体" w:cs="宋体"/>
          <w:bCs/>
          <w:color w:val="auto"/>
          <w:sz w:val="24"/>
          <w:szCs w:val="24"/>
          <w:highlight w:val="none"/>
          <w:lang w:val="zh-CN"/>
        </w:rPr>
      </w:pPr>
      <w:r>
        <w:rPr>
          <w:rFonts w:hint="eastAsia" w:ascii="宋体" w:hAnsi="宋体" w:cs="宋体"/>
          <w:bCs/>
          <w:color w:val="auto"/>
          <w:sz w:val="24"/>
          <w:szCs w:val="24"/>
          <w:highlight w:val="none"/>
        </w:rPr>
        <w:t>3、</w:t>
      </w:r>
      <w:r>
        <w:rPr>
          <w:rFonts w:hint="eastAsia" w:ascii="宋体" w:hAnsi="宋体" w:cs="宋体"/>
          <w:bCs/>
          <w:color w:val="auto"/>
          <w:sz w:val="24"/>
          <w:szCs w:val="24"/>
          <w:highlight w:val="none"/>
          <w:lang w:val="zh-CN"/>
        </w:rPr>
        <w:t>供应商应根据要求报价，报价单中不得漏填项目。</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4、其它费用处理</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招标文件未列明，而投标人认为必需的费用也需列入报价。投标人在投标报价中应充分考虑所有可能发生的费用，否则招标人将视投标总价中已包括所有费用。</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5、投标货币</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投标文件中价格全部采用人民币报价。</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报价应是唯一的，不接受有选择的报价。</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6、投标人对在合同执行中，除上述费用及招标文件规定的由中标人负责的工作范围以外需要招标人协调或提供便利的工作应当在投标文件中说明。</w:t>
      </w:r>
      <w:bookmarkStart w:id="46" w:name="_Hlt75236011"/>
      <w:bookmarkEnd w:id="46"/>
    </w:p>
    <w:p>
      <w:pPr>
        <w:adjustRightInd w:val="0"/>
        <w:snapToGrid w:val="0"/>
        <w:spacing w:line="400" w:lineRule="exact"/>
        <w:ind w:firstLine="480" w:firstLineChars="200"/>
        <w:rPr>
          <w:rFonts w:hint="eastAsia" w:ascii="宋体" w:hAnsi="宋体" w:cs="宋体"/>
          <w:b/>
          <w:bCs/>
          <w:color w:val="auto"/>
          <w:sz w:val="24"/>
          <w:highlight w:val="none"/>
          <w:u w:val="single"/>
        </w:rPr>
      </w:pPr>
      <w:r>
        <w:rPr>
          <w:rFonts w:hint="eastAsia" w:ascii="宋体" w:hAnsi="宋体" w:cs="宋体"/>
          <w:color w:val="auto"/>
          <w:sz w:val="24"/>
          <w:highlight w:val="none"/>
        </w:rPr>
        <w:t>7、</w:t>
      </w:r>
      <w:r>
        <w:rPr>
          <w:rFonts w:hint="eastAsia" w:ascii="宋体" w:hAnsi="宋体" w:cs="宋体"/>
          <w:b/>
          <w:bCs/>
          <w:color w:val="auto"/>
          <w:sz w:val="24"/>
          <w:highlight w:val="none"/>
          <w:u w:val="single"/>
        </w:rPr>
        <w:t>报价是中标的一个重要因素，但最低报价不是中标的唯一依据。</w:t>
      </w:r>
    </w:p>
    <w:p>
      <w:pPr>
        <w:pStyle w:val="2"/>
        <w:spacing w:line="400" w:lineRule="exact"/>
        <w:ind w:firstLine="482" w:firstLineChars="200"/>
        <w:jc w:val="left"/>
        <w:rPr>
          <w:b/>
          <w:bCs/>
          <w:color w:val="auto"/>
          <w:sz w:val="24"/>
          <w:szCs w:val="18"/>
          <w:highlight w:val="none"/>
        </w:rPr>
      </w:pPr>
      <w:r>
        <w:rPr>
          <w:rFonts w:hint="eastAsia"/>
          <w:b/>
          <w:bCs/>
          <w:color w:val="auto"/>
          <w:sz w:val="24"/>
          <w:szCs w:val="18"/>
          <w:highlight w:val="none"/>
        </w:rPr>
        <w:t>注：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p>
    <w:p>
      <w:pPr>
        <w:pStyle w:val="312"/>
        <w:adjustRightInd w:val="0"/>
        <w:snapToGrid w:val="0"/>
        <w:spacing w:before="0" w:line="400" w:lineRule="exact"/>
        <w:ind w:firstLine="0" w:firstLineChars="0"/>
        <w:rPr>
          <w:rFonts w:hint="eastAsia" w:ascii="宋体" w:hAnsi="宋体" w:cs="宋体"/>
          <w:b/>
          <w:color w:val="auto"/>
          <w:highlight w:val="none"/>
        </w:rPr>
      </w:pPr>
      <w:bookmarkStart w:id="47" w:name="_Toc91899887"/>
      <w:r>
        <w:rPr>
          <w:rFonts w:hint="eastAsia" w:ascii="宋体" w:hAnsi="宋体" w:cs="宋体"/>
          <w:b/>
          <w:color w:val="auto"/>
          <w:highlight w:val="none"/>
        </w:rPr>
        <w:t>（四）投标有效期</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1、投标文件合格投递后，自投标截止日期起，至前附表规定的日期内有效。合同签订后，投标文件作为合同附件，投标文件有效期同合同有效期。</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 招标人如因故推迟投标截止时间，将以书面形式通知所有投标人。在这种情况下，招标人与投标人以前在投标截止期方面的全部权利、责任和义务，将适用于延长至新的投标截止期。</w:t>
      </w:r>
    </w:p>
    <w:p>
      <w:pPr>
        <w:tabs>
          <w:tab w:val="left" w:pos="3780"/>
        </w:tabs>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3、投标人可拒绝接受延期要求。同意延长有效期的投标人不能修改投标文件。</w:t>
      </w:r>
    </w:p>
    <w:p>
      <w:pPr>
        <w:tabs>
          <w:tab w:val="left" w:pos="3780"/>
        </w:tabs>
        <w:spacing w:line="400" w:lineRule="exact"/>
        <w:ind w:firstLine="482" w:firstLineChars="200"/>
        <w:rPr>
          <w:rFonts w:hint="eastAsia" w:ascii="宋体" w:hAnsi="宋体" w:cs="宋体"/>
          <w:b/>
          <w:color w:val="auto"/>
          <w:sz w:val="24"/>
          <w:szCs w:val="22"/>
          <w:highlight w:val="none"/>
        </w:rPr>
      </w:pPr>
      <w:r>
        <w:rPr>
          <w:rFonts w:hint="eastAsia" w:ascii="宋体" w:hAnsi="宋体" w:cs="宋体"/>
          <w:b/>
          <w:color w:val="auto"/>
          <w:sz w:val="24"/>
          <w:szCs w:val="22"/>
          <w:highlight w:val="none"/>
        </w:rPr>
        <w:t>4、投标截止后，在投标有效期内，投标人不能撤销投标文件。投标人强行撤销投标文件的，应按采购预算金额的2%赔偿对采购组织机构造成的损失。</w:t>
      </w:r>
    </w:p>
    <w:bookmarkEnd w:id="47"/>
    <w:p>
      <w:pPr>
        <w:adjustRightInd w:val="0"/>
        <w:snapToGrid w:val="0"/>
        <w:spacing w:line="400" w:lineRule="exact"/>
        <w:jc w:val="center"/>
        <w:outlineLvl w:val="1"/>
        <w:rPr>
          <w:rFonts w:hint="eastAsia" w:ascii="宋体" w:hAnsi="宋体" w:cs="宋体"/>
          <w:b/>
          <w:color w:val="auto"/>
          <w:sz w:val="32"/>
          <w:highlight w:val="none"/>
        </w:rPr>
      </w:pPr>
      <w:bookmarkStart w:id="48" w:name="_Toc19525"/>
      <w:bookmarkStart w:id="49" w:name="_Toc522530044"/>
      <w:bookmarkStart w:id="50" w:name="_Toc91899892"/>
      <w:r>
        <w:rPr>
          <w:rFonts w:hint="eastAsia" w:ascii="宋体" w:hAnsi="宋体" w:cs="宋体"/>
          <w:b/>
          <w:color w:val="auto"/>
          <w:sz w:val="32"/>
          <w:highlight w:val="none"/>
        </w:rPr>
        <w:t>四、投 标</w:t>
      </w:r>
      <w:bookmarkEnd w:id="48"/>
      <w:bookmarkEnd w:id="49"/>
    </w:p>
    <w:p>
      <w:pPr>
        <w:pStyle w:val="312"/>
        <w:adjustRightInd w:val="0"/>
        <w:snapToGrid w:val="0"/>
        <w:spacing w:before="0" w:line="400" w:lineRule="exact"/>
        <w:ind w:firstLine="0" w:firstLineChars="0"/>
        <w:rPr>
          <w:rFonts w:hint="eastAsia" w:ascii="宋体" w:hAnsi="宋体" w:cs="宋体"/>
          <w:bCs/>
          <w:color w:val="auto"/>
          <w:highlight w:val="none"/>
        </w:rPr>
      </w:pPr>
      <w:r>
        <w:rPr>
          <w:rFonts w:hint="eastAsia" w:ascii="宋体" w:hAnsi="宋体" w:cs="宋体"/>
          <w:bCs/>
          <w:color w:val="auto"/>
          <w:highlight w:val="none"/>
        </w:rPr>
        <w:t>（一）投标文件的上传和递交</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1、“电子加密投标文件”的上传、递交：</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a.投标人应在投标截止时间前将“电子加密投标文件”成功上传递交至“政府采购云平台”，否则投标无效。</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b.“电子加密投标文件”成功上传递交后，投标人可自行打印投标文件接收回执。</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2、“备份投标文件”的密封包装、递交：</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a.投标人在“政府采购云平台”完成“电子加密投标文件”的上传递交后，还可以（建议顺丰邮寄）在投标截止时间前递交以介质（U盘）存储的 “备份投标文件”（一份），(采购人、采购代理机构不强制或变相强制投标人提交备份投标文件，投标人可按实际需求决定是否递交；</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b.“备份投标文件”应当密封包装，并在包装上标注投标项目名称</w:t>
      </w:r>
      <w:r>
        <w:rPr>
          <w:rFonts w:hint="eastAsia" w:ascii="宋体" w:hAnsi="宋体" w:cs="宋体"/>
          <w:b/>
          <w:bCs/>
          <w:color w:val="auto"/>
          <w:sz w:val="24"/>
          <w:szCs w:val="22"/>
          <w:highlight w:val="none"/>
          <w:lang w:eastAsia="zh-CN"/>
        </w:rPr>
        <w:t>（含标项）</w:t>
      </w:r>
      <w:r>
        <w:rPr>
          <w:rFonts w:hint="eastAsia" w:ascii="宋体" w:hAnsi="宋体" w:cs="宋体"/>
          <w:b/>
          <w:bCs/>
          <w:color w:val="auto"/>
          <w:sz w:val="24"/>
          <w:szCs w:val="22"/>
          <w:highlight w:val="none"/>
        </w:rPr>
        <w:t>、投标单位名称并加盖公章。没有密封包装或者逾期邮寄送达至投标地点的“备份投标文件”将不予接收；</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c.通过“政府采购云平台”成功上传递交的“电子加密投标文件”已按时解密的，“备份投标文件”自动失效。投标截止时间前，投标人仅递交了“备份投标文件”而未将“电子加密投标文件”成功上传至“政府采购云平台”的，投标无效。</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d.电子备份投标文件，由投标人决定是否递交，并自行承担不递交电子备份投标文件的风险。</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3、招标人如因故推迟投标截止时间，将以书面形式通知所有投标人。在这种情况下，招标人与投标人以前在投标截止期方面的全部权利、责任和义务，将适用于延长至新的投标截止期。</w:t>
      </w:r>
    </w:p>
    <w:p>
      <w:pPr>
        <w:pStyle w:val="312"/>
        <w:adjustRightInd w:val="0"/>
        <w:snapToGrid w:val="0"/>
        <w:spacing w:before="0" w:line="400" w:lineRule="exact"/>
        <w:ind w:firstLine="0" w:firstLineChars="0"/>
        <w:rPr>
          <w:rFonts w:hint="eastAsia" w:ascii="宋体" w:hAnsi="宋体" w:cs="宋体"/>
          <w:bCs/>
          <w:color w:val="auto"/>
          <w:highlight w:val="none"/>
        </w:rPr>
      </w:pPr>
      <w:r>
        <w:rPr>
          <w:rFonts w:hint="eastAsia" w:ascii="宋体" w:hAnsi="宋体" w:cs="宋体"/>
          <w:bCs/>
          <w:color w:val="auto"/>
          <w:highlight w:val="none"/>
        </w:rPr>
        <w:t>（二）“电子加密投标文件”解密和异常情况处理</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（1）开标后，采购组织机构将向各投标人发出“电子加密投标文件”的解密通知，各投标人代表应当在接到解密通知后30分钟内自行完成“电子加密投标文件”的在线解密。</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通过“政府采购云平台”成功上传递交的“电子加密投标文件”无法按时解密，投标人如按规定递交了“备份投标文件”的，以“备份投标文件”为依据（由采购组织机构按“政府采购云平台”操作规范将“备份投标文件”上传至“政府采购云平台”，上传成功后，“电子加密投标文件”自动失效），否则视为投标文件撤回。</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（3）投标截止时间前，投标人仅递交了“备份投标文件”而未将电子加密投标文件上传至“政府采购云平台”的，投标无效。</w:t>
      </w:r>
    </w:p>
    <w:p>
      <w:pPr>
        <w:pStyle w:val="312"/>
        <w:adjustRightInd w:val="0"/>
        <w:snapToGrid w:val="0"/>
        <w:spacing w:before="0" w:line="400" w:lineRule="exact"/>
        <w:ind w:firstLine="0" w:firstLineChars="0"/>
        <w:rPr>
          <w:rFonts w:hint="eastAsia" w:ascii="宋体" w:hAnsi="宋体" w:cs="宋体"/>
          <w:bCs/>
          <w:color w:val="auto"/>
          <w:highlight w:val="none"/>
        </w:rPr>
      </w:pPr>
      <w:r>
        <w:rPr>
          <w:rFonts w:hint="eastAsia" w:ascii="宋体" w:hAnsi="宋体" w:cs="宋体"/>
          <w:bCs/>
          <w:color w:val="auto"/>
          <w:highlight w:val="none"/>
        </w:rPr>
        <w:t>（三）投标文件的修改与撤回</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1、投标人应当在投标截止时间前完成投标文件的上传、递交，并可以补充、修改或者撤回投标文件。补充或者修改投标文件的，应当先行撤回原文件，补充、修改后重新上传、递交。投标截止时间前未完成上传、递交的，视为撤回投标文件。投标截止时间后递交的投标文件，“政府采购云平台”将予以拒收。</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2、投标截止时间后，投标人不得撤回、修改《投标文件》。</w:t>
      </w:r>
    </w:p>
    <w:bookmarkEnd w:id="50"/>
    <w:p>
      <w:pPr>
        <w:adjustRightInd w:val="0"/>
        <w:snapToGrid w:val="0"/>
        <w:spacing w:line="400" w:lineRule="exact"/>
        <w:jc w:val="center"/>
        <w:outlineLvl w:val="1"/>
        <w:rPr>
          <w:rFonts w:hint="eastAsia" w:ascii="宋体" w:hAnsi="宋体" w:cs="宋体"/>
          <w:b/>
          <w:color w:val="auto"/>
          <w:sz w:val="32"/>
          <w:highlight w:val="none"/>
        </w:rPr>
      </w:pPr>
      <w:bookmarkStart w:id="51" w:name="_Toc6430"/>
      <w:bookmarkStart w:id="52" w:name="_Toc233618976"/>
      <w:bookmarkStart w:id="53" w:name="_Toc91899897"/>
      <w:bookmarkStart w:id="54" w:name="_Toc522530045"/>
      <w:r>
        <w:rPr>
          <w:rFonts w:hint="eastAsia" w:ascii="宋体" w:hAnsi="宋体" w:cs="宋体"/>
          <w:b/>
          <w:color w:val="auto"/>
          <w:sz w:val="32"/>
          <w:highlight w:val="none"/>
        </w:rPr>
        <w:t>五、开 标</w:t>
      </w:r>
      <w:bookmarkEnd w:id="51"/>
      <w:bookmarkEnd w:id="52"/>
      <w:bookmarkEnd w:id="53"/>
      <w:bookmarkEnd w:id="54"/>
    </w:p>
    <w:p>
      <w:pPr>
        <w:adjustRightInd w:val="0"/>
        <w:snapToGrid w:val="0"/>
        <w:spacing w:line="400" w:lineRule="exact"/>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（一）开标形式</w:t>
      </w:r>
    </w:p>
    <w:p>
      <w:pPr>
        <w:adjustRightInd w:val="0"/>
        <w:snapToGrid w:val="0"/>
        <w:spacing w:line="400" w:lineRule="exact"/>
        <w:ind w:firstLine="482" w:firstLineChars="200"/>
        <w:rPr>
          <w:rFonts w:hint="eastAsia" w:ascii="宋体" w:hAnsi="宋体" w:cs="宋体"/>
          <w:color w:val="auto"/>
          <w:sz w:val="24"/>
          <w:szCs w:val="22"/>
          <w:highlight w:val="none"/>
        </w:rPr>
      </w:pPr>
      <w:r>
        <w:rPr>
          <w:rFonts w:hint="eastAsia" w:ascii="宋体" w:hAnsi="宋体" w:cs="宋体"/>
          <w:b/>
          <w:bCs/>
          <w:color w:val="auto"/>
          <w:sz w:val="24"/>
          <w:szCs w:val="22"/>
          <w:highlight w:val="none"/>
        </w:rPr>
        <w:t>1、采购组织机构将按照招标文件规定的时间通过“政府采购云平台”组织开标、开启投标文件，所有投标人均应当准时在线参加。</w:t>
      </w:r>
    </w:p>
    <w:p>
      <w:pPr>
        <w:adjustRightInd w:val="0"/>
        <w:snapToGrid w:val="0"/>
        <w:spacing w:line="400" w:lineRule="exact"/>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（二）开标准备</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1、开标的准备工作由采购组织机构负责落实；</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采购组织机构将按照招标文件规定的时间通过“政府采购云平台”组织开标、开启投标文件，所有投标人均应当准时在线参加。投标人如不参加开标大会的，视同认可开标结果，事后不得对采购相关人员、开标过程和开标结果提出异议，同时投标人因未在线参加开标而导致投标文件无法按时解密等一切后果由投标人自己承担。</w:t>
      </w:r>
    </w:p>
    <w:p>
      <w:pPr>
        <w:adjustRightInd w:val="0"/>
        <w:snapToGrid w:val="0"/>
        <w:spacing w:line="400" w:lineRule="exact"/>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（三）开标流程（两阶段）</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1、开标第一阶段</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向各投标人发出电子加密投标文件【开始解密】通知，由投标人按招标文件规定的时间内自行进行投标文件解密。投标人在规定的时间内无法完成已递交的“电子加密投标文件”解密的，如已按规定递交了备份投标文件的，将由采购组织机构按“政府采购云平台”操作规范将备份投标文件上传至“政府采购云平台”，上传成功后，“电子加密投标文件”自动失效；</w:t>
      </w:r>
    </w:p>
    <w:p>
      <w:pPr>
        <w:adjustRightInd w:val="0"/>
        <w:snapToGrid w:val="0"/>
        <w:spacing w:line="400" w:lineRule="exact"/>
        <w:ind w:firstLine="482" w:firstLineChars="200"/>
        <w:rPr>
          <w:rFonts w:hint="eastAsia" w:ascii="宋体" w:hAnsi="宋体" w:cs="宋体"/>
          <w:color w:val="auto"/>
          <w:sz w:val="24"/>
          <w:szCs w:val="22"/>
          <w:highlight w:val="none"/>
        </w:rPr>
      </w:pPr>
      <w:r>
        <w:rPr>
          <w:rFonts w:hint="eastAsia" w:ascii="宋体" w:hAnsi="宋体" w:cs="宋体"/>
          <w:b/>
          <w:bCs/>
          <w:color w:val="auto"/>
          <w:sz w:val="24"/>
          <w:szCs w:val="22"/>
          <w:highlight w:val="none"/>
        </w:rPr>
        <w:t>（2）投标文件解密结束，通过邮件形式发送各投标人组织签署《政府采购活动现场确认声明书》；</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（3）开启投标文件，进入资格审查；</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（4）开启资格审查通过的投标人的商务技术文件进入符合性审查、商务技术评审；</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（5）第一阶段开标结束。</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备注：开标大会的第一阶段结束后，采购人或采购代理机构将对依法对投标人的资格进行审查，资格审查结束后进入符合性审查和商务技术的评审工作，具体见本章节“投标人资格审查”相关规定。</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2、开标大会第二阶段</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符合性审查、商务技术评审结束后，举行开标大会第二阶段会议。首先通过发送邮件形式公布符合性审查、商务技术评审无效投标人名称及理由；公布经商务技术评审后有效投标人的名单，同时公布其商务技术部分得分情况。</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开启符合性审查、商务技术评审有效投标人的《报价文件》，公布开标一览表有关内容，同时当场制作开标记录表，投标人在线签字确认（不予确认的应说明理由，否则视为无异议）。唱标结束后，由评标委员会对报价的合理性、准确性等进行审查核实。</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（3）评审结束后，投标人可在</w:t>
      </w:r>
      <w:r>
        <w:rPr>
          <w:rFonts w:hint="eastAsia" w:ascii="宋体" w:hAnsi="宋体" w:cs="宋体"/>
          <w:b/>
          <w:bCs/>
          <w:color w:val="auto"/>
          <w:sz w:val="24"/>
          <w:szCs w:val="22"/>
          <w:highlight w:val="none"/>
        </w:rPr>
        <w:t>“政府采购云平台”</w:t>
      </w:r>
      <w:r>
        <w:rPr>
          <w:rFonts w:hint="eastAsia" w:ascii="宋体" w:hAnsi="宋体" w:cs="宋体"/>
          <w:color w:val="auto"/>
          <w:sz w:val="24"/>
          <w:szCs w:val="22"/>
          <w:highlight w:val="none"/>
        </w:rPr>
        <w:t>查看开标结果及中标候选人名单，及采购人最终确定中标人名单的时间和公告方式等。</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特别说明：如遇“政府采购云平台”电子化开标或评审程序调整的，按调整后程序执行。</w:t>
      </w:r>
    </w:p>
    <w:p>
      <w:pPr>
        <w:adjustRightInd w:val="0"/>
        <w:snapToGrid w:val="0"/>
        <w:spacing w:line="400" w:lineRule="exact"/>
        <w:rPr>
          <w:rFonts w:hint="eastAsia" w:ascii="宋体" w:hAnsi="宋体" w:cs="宋体"/>
          <w:b/>
          <w:bCs/>
          <w:color w:val="auto"/>
          <w:sz w:val="24"/>
          <w:szCs w:val="22"/>
          <w:highlight w:val="none"/>
        </w:rPr>
      </w:pPr>
      <w:bookmarkStart w:id="55" w:name="_Toc24550037"/>
      <w:bookmarkStart w:id="56" w:name="_Toc33194393"/>
      <w:r>
        <w:rPr>
          <w:rFonts w:hint="eastAsia" w:ascii="宋体" w:hAnsi="宋体" w:cs="宋体"/>
          <w:b/>
          <w:bCs/>
          <w:color w:val="auto"/>
          <w:sz w:val="24"/>
          <w:szCs w:val="22"/>
          <w:highlight w:val="none"/>
        </w:rPr>
        <w:t>（四）投标人资格审查</w:t>
      </w:r>
      <w:bookmarkEnd w:id="55"/>
      <w:bookmarkEnd w:id="56"/>
    </w:p>
    <w:p>
      <w:pPr>
        <w:adjustRightInd w:val="0"/>
        <w:snapToGrid w:val="0"/>
        <w:spacing w:line="400" w:lineRule="exact"/>
        <w:ind w:firstLine="482" w:firstLineChars="200"/>
        <w:rPr>
          <w:rFonts w:hint="eastAsia" w:ascii="宋体" w:hAnsi="宋体" w:cs="宋体"/>
          <w:color w:val="auto"/>
          <w:sz w:val="24"/>
          <w:szCs w:val="22"/>
          <w:highlight w:val="none"/>
        </w:rPr>
      </w:pPr>
      <w:r>
        <w:rPr>
          <w:rFonts w:hint="eastAsia" w:ascii="宋体" w:hAnsi="宋体" w:cs="宋体"/>
          <w:b/>
          <w:bCs/>
          <w:color w:val="auto"/>
          <w:sz w:val="24"/>
          <w:szCs w:val="22"/>
          <w:highlight w:val="none"/>
        </w:rPr>
        <w:t>1、开标大会第一阶段结束后，采购人或采购代理机构首先依法对各投标人的资格进行审查，审查各投标人的资格是否满足招标文件的要求。</w:t>
      </w:r>
      <w:r>
        <w:rPr>
          <w:rFonts w:hint="eastAsia" w:ascii="宋体" w:hAnsi="宋体" w:cs="宋体"/>
          <w:color w:val="auto"/>
          <w:sz w:val="24"/>
          <w:szCs w:val="22"/>
          <w:highlight w:val="none"/>
        </w:rPr>
        <w:t>采购人或采购代理机构对投标人所提交的资格证明材料仅负审核的责任。如发现投标人所提交的资格证明材料不合法或与事实不符，采购人可取消其中标资格并追究投标人的法律责任。</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2、投标人提交的资格证明材料无法证明其符合招标文件规定的“投标人资格要求”的，采购人或采购代理机构将对其作资格审查不通过处理（无效投标），并不再将其投标提交评标委员会进行后续评审。</w:t>
      </w:r>
    </w:p>
    <w:p>
      <w:pPr>
        <w:adjustRightInd w:val="0"/>
        <w:snapToGrid w:val="0"/>
        <w:spacing w:line="400" w:lineRule="exact"/>
        <w:ind w:firstLine="482" w:firstLineChars="200"/>
        <w:rPr>
          <w:rFonts w:hint="eastAsia" w:ascii="宋体" w:hAnsi="宋体" w:cs="宋体"/>
          <w:b/>
          <w:color w:val="auto"/>
          <w:kern w:val="0"/>
          <w:sz w:val="24"/>
          <w:highlight w:val="none"/>
        </w:rPr>
      </w:pPr>
      <w:r>
        <w:rPr>
          <w:rFonts w:hint="eastAsia" w:ascii="宋体" w:hAnsi="宋体" w:cs="宋体"/>
          <w:b/>
          <w:bCs/>
          <w:color w:val="auto"/>
          <w:sz w:val="24"/>
          <w:szCs w:val="22"/>
          <w:highlight w:val="none"/>
        </w:rPr>
        <w:t>3、单位负责人为同一人或者存在直接控股、管理关系的不同投标人参加同一合同项下的政府采购活动的，相关投标人均作资格无效处理。</w:t>
      </w:r>
    </w:p>
    <w:p>
      <w:pPr>
        <w:adjustRightInd w:val="0"/>
        <w:snapToGrid w:val="0"/>
        <w:spacing w:line="400" w:lineRule="exact"/>
        <w:jc w:val="center"/>
        <w:outlineLvl w:val="1"/>
        <w:rPr>
          <w:rFonts w:hint="eastAsia" w:ascii="宋体" w:hAnsi="宋体" w:cs="宋体"/>
          <w:b/>
          <w:color w:val="auto"/>
          <w:sz w:val="32"/>
          <w:highlight w:val="none"/>
        </w:rPr>
      </w:pPr>
      <w:bookmarkStart w:id="57" w:name="_Hlt75236101"/>
      <w:bookmarkEnd w:id="57"/>
      <w:bookmarkStart w:id="58" w:name="_Toc29851"/>
      <w:bookmarkStart w:id="59" w:name="_Toc522530046"/>
      <w:bookmarkStart w:id="60" w:name="_Toc91899902"/>
      <w:bookmarkStart w:id="61" w:name="_Toc233618977"/>
      <w:r>
        <w:rPr>
          <w:rFonts w:hint="eastAsia" w:ascii="宋体" w:hAnsi="宋体" w:cs="宋体"/>
          <w:b/>
          <w:color w:val="auto"/>
          <w:sz w:val="32"/>
          <w:highlight w:val="none"/>
        </w:rPr>
        <w:t>六、评 标</w:t>
      </w:r>
      <w:bookmarkEnd w:id="58"/>
      <w:bookmarkEnd w:id="59"/>
      <w:bookmarkEnd w:id="60"/>
      <w:bookmarkEnd w:id="61"/>
    </w:p>
    <w:p>
      <w:pPr>
        <w:pStyle w:val="48"/>
        <w:adjustRightInd w:val="0"/>
        <w:snapToGrid w:val="0"/>
        <w:spacing w:line="400" w:lineRule="exact"/>
        <w:rPr>
          <w:rFonts w:hint="eastAsia" w:hAnsi="宋体" w:cs="宋体"/>
          <w:b/>
          <w:color w:val="auto"/>
          <w:sz w:val="24"/>
          <w:highlight w:val="none"/>
        </w:rPr>
      </w:pPr>
      <w:bookmarkStart w:id="62" w:name="_Toc91899903"/>
      <w:r>
        <w:rPr>
          <w:rFonts w:hint="eastAsia" w:hAnsi="宋体" w:cs="宋体"/>
          <w:b/>
          <w:color w:val="auto"/>
          <w:sz w:val="24"/>
          <w:highlight w:val="none"/>
        </w:rPr>
        <w:t>（一）评标组织</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本项目评标委员会由5人(含)以上单数的人员组成，负责对投标文件进行审查、质询、评审和比较等。评标委员会由采购咨询专家和招标人代表组成，其中采购咨询专家人数不少于成员总数的三分之二。</w:t>
      </w:r>
      <w:r>
        <w:rPr>
          <w:rFonts w:hint="eastAsia" w:ascii="宋体" w:hAnsi="宋体" w:cs="宋体"/>
          <w:color w:val="auto"/>
          <w:kern w:val="0"/>
          <w:sz w:val="24"/>
          <w:highlight w:val="none"/>
        </w:rPr>
        <w:t>评标委员会成员名单在评审结果（采购结果）公告前保密。</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（二）评标原则</w:t>
      </w:r>
    </w:p>
    <w:p>
      <w:pPr>
        <w:pStyle w:val="48"/>
        <w:adjustRightInd w:val="0"/>
        <w:snapToGrid w:val="0"/>
        <w:spacing w:line="400" w:lineRule="exact"/>
        <w:ind w:firstLine="480" w:firstLineChars="200"/>
        <w:rPr>
          <w:rFonts w:hint="eastAsia" w:hAnsi="宋体" w:cs="宋体"/>
          <w:color w:val="auto"/>
          <w:sz w:val="24"/>
          <w:highlight w:val="none"/>
        </w:rPr>
      </w:pPr>
      <w:r>
        <w:rPr>
          <w:rFonts w:hint="eastAsia" w:hAnsi="宋体" w:cs="宋体"/>
          <w:color w:val="auto"/>
          <w:sz w:val="24"/>
          <w:highlight w:val="none"/>
        </w:rPr>
        <w:t>1、竞争优选；</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2、公平、公正、科学合理</w:t>
      </w:r>
      <w:r>
        <w:rPr>
          <w:rFonts w:hint="eastAsia" w:ascii="宋体" w:hAnsi="宋体" w:cs="宋体"/>
          <w:color w:val="auto"/>
          <w:sz w:val="24"/>
          <w:szCs w:val="22"/>
          <w:highlight w:val="none"/>
          <w:lang w:val="zh-CN"/>
        </w:rPr>
        <w:t>；</w:t>
      </w:r>
    </w:p>
    <w:p>
      <w:pPr>
        <w:adjustRightInd w:val="0"/>
        <w:snapToGrid w:val="0"/>
        <w:spacing w:line="400" w:lineRule="exact"/>
        <w:ind w:firstLine="480" w:firstLineChars="200"/>
        <w:rPr>
          <w:rFonts w:hint="eastAsia" w:ascii="宋体" w:hAnsi="宋体" w:cs="宋体"/>
          <w:color w:val="auto"/>
          <w:sz w:val="24"/>
          <w:szCs w:val="22"/>
          <w:highlight w:val="none"/>
          <w:lang w:val="zh-CN"/>
        </w:rPr>
      </w:pPr>
      <w:r>
        <w:rPr>
          <w:rFonts w:hint="eastAsia" w:ascii="宋体" w:hAnsi="宋体" w:cs="宋体"/>
          <w:color w:val="auto"/>
          <w:sz w:val="24"/>
          <w:szCs w:val="22"/>
          <w:highlight w:val="none"/>
          <w:lang w:val="zh-CN"/>
        </w:rPr>
        <w:t>3、</w:t>
      </w:r>
      <w:r>
        <w:rPr>
          <w:rFonts w:hint="eastAsia" w:ascii="宋体" w:hAnsi="宋体" w:cs="宋体"/>
          <w:color w:val="auto"/>
          <w:sz w:val="24"/>
          <w:szCs w:val="22"/>
          <w:highlight w:val="none"/>
        </w:rPr>
        <w:t>价格合理，方案、产品先进可行；</w:t>
      </w:r>
    </w:p>
    <w:p>
      <w:pPr>
        <w:adjustRightInd w:val="0"/>
        <w:snapToGrid w:val="0"/>
        <w:spacing w:line="400" w:lineRule="exact"/>
        <w:ind w:firstLine="480" w:firstLineChars="200"/>
        <w:rPr>
          <w:rFonts w:hint="eastAsia" w:ascii="宋体" w:hAnsi="宋体" w:cs="宋体"/>
          <w:color w:val="auto"/>
          <w:sz w:val="24"/>
          <w:szCs w:val="22"/>
          <w:highlight w:val="none"/>
          <w:lang w:val="zh-CN"/>
        </w:rPr>
      </w:pPr>
      <w:r>
        <w:rPr>
          <w:rFonts w:hint="eastAsia" w:ascii="宋体" w:hAnsi="宋体" w:cs="宋体"/>
          <w:color w:val="auto"/>
          <w:sz w:val="24"/>
          <w:szCs w:val="22"/>
          <w:highlight w:val="none"/>
          <w:lang w:val="zh-CN"/>
        </w:rPr>
        <w:t>4、反对不正当竞争。</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（三）评标纪律</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评标委员会成员要严格遵守评标纪律、保密、回避等相关规定，依法独立履行评标职责，客观、公正、审慎参与评标工作；</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1、严格遵守评标时间，因突发情况确实不能按时参加评标的，应事先告知招标组织机构；</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2、服从招标组织机构的现场管理，主动出示身份证明，进入评标区域后应主动寄存移动通讯工具，按要求佩戴工作牌；</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3、与投标人或评标委员会其他成员存在利害关系的，要主动回避，自觉签订《政府采购评审人员廉洁自律承诺书》；</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4、保持评标现场安静，不在评标现场随意走动，因发生不可预见情况确需与外界联系或暂时离开评标现场的，应向现场监督员说明情况，征得同意后在监控区域内进行相关活动，并应接受相关工作人员的监督；</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5、自觉遵守职业道德，尊重招标人代表和投标人代表，配合招标组织机构回答投标人代表提出的有关异议；</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6、不得将评标过程、结果和投标人的商业秘密透露给任何单位和个人。未公告评标结果前不准泄露评标结果，不准将评标资料带出会场；</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7、评标过程中，涉及到相关法律法规不清楚之处的，由招标人监管部门或请示权威部门作出法定解释，涉及到招标文件的由编制招标文件的机构和部门负责解释。</w:t>
      </w:r>
    </w:p>
    <w:p>
      <w:pPr>
        <w:adjustRightInd w:val="0"/>
        <w:snapToGrid w:val="0"/>
        <w:spacing w:line="40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rPr>
        <w:t>8、如实行暗标评审的，其投标文件和产品样品的评审编号和编号保管，由监督人员负责；在评标委员评分完成后，再将投标人的投标文件和提供的产品样品编号交评委。</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（四） 评标程序</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1、在评标专家中推选评标委员会组长，优先推选资深专家为组长；</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评标委员会组长召集成员认真阅读招标文件以及相关补充、质疑、答复文件、项目书面说明等材料，熟悉招标项目的基本概况、质量要求、数量、主要技术标准或服务需求，合同主要条款，投标文件无效情形，评标方法、评标依据、评标标准等；</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b/>
          <w:color w:val="auto"/>
          <w:sz w:val="24"/>
          <w:highlight w:val="none"/>
          <w:u w:val="single"/>
        </w:rPr>
        <w:t>资格审查</w:t>
      </w:r>
      <w:r>
        <w:rPr>
          <w:rFonts w:hint="eastAsia" w:ascii="宋体" w:hAnsi="宋体" w:cs="宋体"/>
          <w:color w:val="auto"/>
          <w:sz w:val="24"/>
          <w:highlight w:val="none"/>
        </w:rPr>
        <w:t>，经其书面授权的招标人代表或经其书面授权的招标代理机构代表采购代理机构按照招标文件要求对投标人逐一进行资格审查；</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4、</w:t>
      </w:r>
      <w:r>
        <w:rPr>
          <w:rFonts w:hint="eastAsia" w:ascii="宋体" w:hAnsi="宋体" w:cs="宋体"/>
          <w:b/>
          <w:color w:val="auto"/>
          <w:sz w:val="24"/>
          <w:highlight w:val="none"/>
          <w:u w:val="single"/>
        </w:rPr>
        <w:t>商务技术文件的符合性审查</w:t>
      </w:r>
      <w:r>
        <w:rPr>
          <w:rFonts w:hint="eastAsia" w:ascii="宋体" w:hAnsi="宋体" w:cs="宋体"/>
          <w:color w:val="auto"/>
          <w:sz w:val="24"/>
          <w:highlight w:val="none"/>
        </w:rPr>
        <w:t>，评标人员对通过资格审查的各投标文件商务、技术部分的有效性、完整性和响应程度等进行审查，确定是否对招标文件作出实质性响应；</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5、</w:t>
      </w:r>
      <w:r>
        <w:rPr>
          <w:rFonts w:hint="eastAsia" w:ascii="宋体" w:hAnsi="宋体" w:cs="宋体"/>
          <w:b/>
          <w:color w:val="auto"/>
          <w:sz w:val="24"/>
          <w:highlight w:val="none"/>
          <w:u w:val="single"/>
        </w:rPr>
        <w:t>商务技术评分</w:t>
      </w:r>
      <w:r>
        <w:rPr>
          <w:rFonts w:hint="eastAsia" w:ascii="宋体" w:hAnsi="宋体" w:cs="宋体"/>
          <w:color w:val="auto"/>
          <w:sz w:val="24"/>
          <w:highlight w:val="none"/>
        </w:rPr>
        <w:t>，评标人员按招标文件规定的评标方法和评标标准，依法独立对投标文件商务、技术部分进行评估、比较，并给予评价或打分，不受任何单位和个人的干预；</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6、评标人员对各投标文件非实质性内容有疑议或异议，或者审查发现明显的文字或计算错误等，及时向评标委员会组长提出。经评标委员会商议认为需要投标人作出必要澄清或说明的，应通知该投标人代表以书面</w:t>
      </w:r>
      <w:r>
        <w:rPr>
          <w:rFonts w:hint="eastAsia" w:ascii="宋体" w:hAnsi="宋体" w:cs="宋体"/>
          <w:color w:val="auto"/>
          <w:kern w:val="0"/>
          <w:sz w:val="24"/>
          <w:highlight w:val="none"/>
        </w:rPr>
        <w:t>（或通过“政府采购云平台”在线答复）</w:t>
      </w:r>
      <w:r>
        <w:rPr>
          <w:rFonts w:hint="eastAsia" w:ascii="宋体" w:hAnsi="宋体" w:cs="宋体"/>
          <w:color w:val="auto"/>
          <w:sz w:val="24"/>
          <w:highlight w:val="none"/>
        </w:rPr>
        <w:t>形式作出澄清或说明，</w:t>
      </w:r>
      <w:r>
        <w:rPr>
          <w:rFonts w:hint="eastAsia" w:ascii="宋体" w:hAnsi="宋体" w:cs="宋体"/>
          <w:color w:val="auto"/>
          <w:kern w:val="0"/>
          <w:sz w:val="24"/>
          <w:highlight w:val="none"/>
        </w:rPr>
        <w:t>投标人的澄清、说明或者补正不得超出投标文件的范围或者改变投标文件的实质性内容</w:t>
      </w:r>
      <w:r>
        <w:rPr>
          <w:rFonts w:hint="eastAsia" w:ascii="宋体" w:hAnsi="宋体" w:cs="宋体"/>
          <w:color w:val="auto"/>
          <w:sz w:val="24"/>
          <w:highlight w:val="none"/>
        </w:rPr>
        <w:t>；</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7、评标人员对商务、技术部分评审结果进行确认，现场监督员对评审结果签署监督意见。如发现分项评分超出评分标准范围、客观评分不一致以及存在评分畸高、畸低情形的，应由相关人员当场改正或作出说明；拒不改正又不作说明的，由现场监督员如实记载后存入项目档案资料；</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8、</w:t>
      </w:r>
      <w:r>
        <w:rPr>
          <w:rFonts w:hint="eastAsia" w:ascii="宋体" w:hAnsi="宋体" w:cs="宋体"/>
          <w:b/>
          <w:color w:val="auto"/>
          <w:sz w:val="24"/>
          <w:highlight w:val="none"/>
          <w:u w:val="single"/>
        </w:rPr>
        <w:t>报价文件的符合性审查</w:t>
      </w:r>
      <w:r>
        <w:rPr>
          <w:rFonts w:hint="eastAsia" w:ascii="宋体" w:hAnsi="宋体" w:cs="宋体"/>
          <w:color w:val="auto"/>
          <w:sz w:val="24"/>
          <w:highlight w:val="none"/>
        </w:rPr>
        <w:t>，对开启的投标文件报价部分的进行有效性、完整性和响应程度等进行审查，确定是否对招标文件作出实质性响应；</w:t>
      </w:r>
    </w:p>
    <w:p>
      <w:pPr>
        <w:adjustRightInd w:val="0"/>
        <w:snapToGrid w:val="0"/>
        <w:spacing w:line="400" w:lineRule="exact"/>
        <w:rPr>
          <w:rFonts w:hint="eastAsia" w:ascii="宋体" w:hAnsi="宋体" w:cs="宋体"/>
          <w:b/>
          <w:color w:val="auto"/>
          <w:sz w:val="24"/>
          <w:highlight w:val="none"/>
          <w:lang w:val="zh-CN"/>
        </w:rPr>
      </w:pPr>
      <w:r>
        <w:rPr>
          <w:rFonts w:hint="eastAsia" w:ascii="宋体" w:hAnsi="宋体" w:cs="宋体"/>
          <w:b/>
          <w:color w:val="auto"/>
          <w:sz w:val="24"/>
          <w:highlight w:val="none"/>
        </w:rPr>
        <w:t>（五）</w:t>
      </w:r>
      <w:r>
        <w:rPr>
          <w:rFonts w:hint="eastAsia" w:ascii="宋体" w:hAnsi="宋体" w:cs="宋体"/>
          <w:b/>
          <w:color w:val="auto"/>
          <w:sz w:val="24"/>
          <w:highlight w:val="none"/>
          <w:lang w:val="zh-CN"/>
        </w:rPr>
        <w:t>投标文件的鉴定</w:t>
      </w:r>
    </w:p>
    <w:p>
      <w:pPr>
        <w:adjustRightInd w:val="0"/>
        <w:snapToGrid w:val="0"/>
        <w:spacing w:line="400" w:lineRule="exact"/>
        <w:ind w:firstLine="480" w:firstLineChars="200"/>
        <w:rPr>
          <w:rFonts w:hint="eastAsia" w:ascii="宋体" w:hAnsi="宋体" w:cs="宋体"/>
          <w:color w:val="auto"/>
          <w:sz w:val="24"/>
          <w:highlight w:val="none"/>
          <w:lang w:val="zh-CN"/>
        </w:rPr>
      </w:pPr>
      <w:r>
        <w:rPr>
          <w:rFonts w:hint="eastAsia" w:ascii="宋体" w:hAnsi="宋体" w:cs="宋体"/>
          <w:color w:val="auto"/>
          <w:sz w:val="24"/>
          <w:highlight w:val="none"/>
          <w:lang w:val="zh-CN"/>
        </w:rPr>
        <w:t>1、评标委员会将审查每份投标文件是否实质上响应了招标文件的要求。重大偏离和保留、细微偏离由评标委员会鉴定。如发现投标文件与招标文件要求有重大偏离和保留，其投标文件将被作无效标处理。投标人不得通过修正或撤消不符合招标文件要求的重大偏离和保留从而使其投标文件实质性响应招标文件要求。但允许投标文件在实质性满足招标文件要求的前提下出现的细微偏差，在详细评审时可按评标办法对细微偏差做出不利于该投标人的评审。</w:t>
      </w:r>
    </w:p>
    <w:p>
      <w:pPr>
        <w:pStyle w:val="48"/>
        <w:adjustRightInd w:val="0"/>
        <w:snapToGrid w:val="0"/>
        <w:spacing w:line="400" w:lineRule="exact"/>
        <w:ind w:firstLine="482" w:firstLineChars="200"/>
        <w:jc w:val="left"/>
        <w:rPr>
          <w:rFonts w:hint="eastAsia" w:hAnsi="宋体" w:cs="宋体"/>
          <w:color w:val="auto"/>
          <w:sz w:val="24"/>
          <w:highlight w:val="none"/>
        </w:rPr>
      </w:pPr>
      <w:r>
        <w:rPr>
          <w:rFonts w:hint="eastAsia" w:hAnsi="宋体" w:cs="宋体"/>
          <w:b/>
          <w:color w:val="auto"/>
          <w:sz w:val="24"/>
          <w:highlight w:val="none"/>
        </w:rPr>
        <w:t>2、无效标情形</w:t>
      </w:r>
    </w:p>
    <w:p>
      <w:pPr>
        <w:pStyle w:val="57"/>
        <w:rPr>
          <w:rFonts w:hint="eastAsia" w:ascii="宋体" w:hAnsi="宋体" w:eastAsia="宋体" w:cs="宋体"/>
          <w:b/>
          <w:bCs/>
          <w:color w:val="auto"/>
          <w:sz w:val="24"/>
          <w:szCs w:val="22"/>
          <w:highlight w:val="none"/>
        </w:rPr>
      </w:pPr>
      <w:r>
        <w:rPr>
          <w:rFonts w:hint="eastAsia" w:ascii="宋体" w:hAnsi="宋体" w:eastAsia="宋体" w:cs="宋体"/>
          <w:b/>
          <w:color w:val="auto"/>
          <w:sz w:val="24"/>
          <w:highlight w:val="none"/>
          <w:lang w:eastAsia="zh-CN"/>
        </w:rPr>
        <w:t>（一）</w:t>
      </w:r>
      <w:r>
        <w:rPr>
          <w:rFonts w:hint="eastAsia" w:ascii="宋体" w:hAnsi="宋体" w:eastAsia="宋体" w:cs="宋体"/>
          <w:b/>
          <w:bCs/>
          <w:color w:val="auto"/>
          <w:sz w:val="24"/>
          <w:szCs w:val="22"/>
          <w:highlight w:val="none"/>
          <w:lang w:eastAsia="zh-CN"/>
        </w:rPr>
        <w:t>资格审查</w:t>
      </w:r>
      <w:r>
        <w:rPr>
          <w:rFonts w:hint="eastAsia" w:ascii="宋体" w:hAnsi="宋体" w:eastAsia="宋体" w:cs="宋体"/>
          <w:b/>
          <w:bCs/>
          <w:color w:val="auto"/>
          <w:sz w:val="24"/>
          <w:szCs w:val="22"/>
          <w:highlight w:val="none"/>
        </w:rPr>
        <w:t>文件符合性审查中，存在下列情形之一的，经评标委员会按少数服从多数原则认定后作无效标处理：</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bookmarkStart w:id="63" w:name="_Hlk33211013"/>
      <w:r>
        <w:rPr>
          <w:rFonts w:hint="eastAsia" w:ascii="宋体" w:hAnsi="宋体" w:cs="宋体"/>
          <w:color w:val="auto"/>
          <w:sz w:val="24"/>
          <w:szCs w:val="22"/>
          <w:highlight w:val="none"/>
          <w:lang w:val="en-US" w:eastAsia="zh-CN"/>
        </w:rPr>
        <w:t>（1</w:t>
      </w:r>
      <w:r>
        <w:rPr>
          <w:rFonts w:hint="eastAsia" w:ascii="宋体" w:hAnsi="宋体" w:cs="宋体"/>
          <w:color w:val="auto"/>
          <w:sz w:val="24"/>
          <w:szCs w:val="22"/>
          <w:highlight w:val="none"/>
          <w:lang w:eastAsia="zh-CN"/>
        </w:rPr>
        <w:t>）不同供应商的电子投标（响应）文件上传计算机的网卡MAC地址或硬盘序列号等硬件信息相同的；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2</w:t>
      </w:r>
      <w:r>
        <w:rPr>
          <w:rFonts w:hint="eastAsia" w:ascii="宋体" w:hAnsi="宋体" w:cs="宋体"/>
          <w:color w:val="auto"/>
          <w:sz w:val="24"/>
          <w:szCs w:val="22"/>
          <w:highlight w:val="none"/>
          <w:lang w:eastAsia="zh-CN"/>
        </w:rPr>
        <w:t>）上传的电子投标（响应）文件若出现使用本项目其他投标（响应）供应商的数字证书加密的，或者加盖本项目其他投标（响应）供应商的电子印章的；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3</w:t>
      </w:r>
      <w:r>
        <w:rPr>
          <w:rFonts w:hint="eastAsia" w:ascii="宋体" w:hAnsi="宋体" w:cs="宋体"/>
          <w:color w:val="auto"/>
          <w:sz w:val="24"/>
          <w:szCs w:val="22"/>
          <w:highlight w:val="none"/>
          <w:lang w:eastAsia="zh-CN"/>
        </w:rPr>
        <w:t>）不同供应商的投标（响应）文件的内容存在三处（含）以上错误一致的；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4</w:t>
      </w:r>
      <w:r>
        <w:rPr>
          <w:rFonts w:hint="eastAsia" w:ascii="宋体" w:hAnsi="宋体" w:cs="宋体"/>
          <w:color w:val="auto"/>
          <w:sz w:val="24"/>
          <w:szCs w:val="22"/>
          <w:highlight w:val="none"/>
          <w:lang w:eastAsia="zh-CN"/>
        </w:rPr>
        <w:t>）不同供应商联系人为同一人或不同联系人的联系电话一致的</w:t>
      </w:r>
      <w:r>
        <w:rPr>
          <w:rFonts w:hint="eastAsia" w:ascii="宋体" w:hAnsi="宋体" w:eastAsia="宋体" w:cs="宋体"/>
          <w:color w:val="auto"/>
          <w:sz w:val="24"/>
          <w:szCs w:val="24"/>
          <w:highlight w:val="none"/>
          <w:lang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5</w:t>
      </w:r>
      <w:r>
        <w:rPr>
          <w:rFonts w:hint="eastAsia" w:ascii="宋体" w:hAnsi="宋体" w:cs="宋体"/>
          <w:color w:val="auto"/>
          <w:sz w:val="24"/>
          <w:szCs w:val="22"/>
          <w:highlight w:val="none"/>
          <w:lang w:eastAsia="zh-CN"/>
        </w:rPr>
        <w:t>）资格审查资料不符合招标文件要求；</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kern w:val="2"/>
          <w:sz w:val="24"/>
          <w:szCs w:val="22"/>
          <w:highlight w:val="none"/>
          <w:lang w:val="en-US" w:eastAsia="zh-CN" w:bidi="ar-SA"/>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6</w:t>
      </w:r>
      <w:r>
        <w:rPr>
          <w:rFonts w:hint="eastAsia" w:ascii="宋体" w:hAnsi="宋体" w:cs="宋体"/>
          <w:color w:val="auto"/>
          <w:sz w:val="24"/>
          <w:szCs w:val="22"/>
          <w:highlight w:val="none"/>
          <w:lang w:eastAsia="zh-CN"/>
        </w:rPr>
        <w:t>）</w:t>
      </w:r>
      <w:r>
        <w:rPr>
          <w:rFonts w:hint="eastAsia" w:ascii="宋体" w:hAnsi="宋体" w:eastAsia="宋体" w:cs="宋体"/>
          <w:color w:val="auto"/>
          <w:kern w:val="2"/>
          <w:sz w:val="24"/>
          <w:szCs w:val="22"/>
          <w:highlight w:val="none"/>
          <w:lang w:val="en-US" w:eastAsia="zh-CN" w:bidi="ar-SA"/>
        </w:rPr>
        <w:t>不响应或擅自改变本招标文件要求或投标文件有采购人不能接受的附加条件的；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color w:val="auto"/>
          <w:highlight w:val="none"/>
          <w:lang w:val="en-US" w:eastAsia="zh-CN"/>
        </w:rPr>
      </w:pPr>
      <w:r>
        <w:rPr>
          <w:rFonts w:hint="eastAsia" w:ascii="宋体" w:hAnsi="宋体" w:cs="宋体"/>
          <w:color w:val="auto"/>
          <w:kern w:val="2"/>
          <w:sz w:val="24"/>
          <w:szCs w:val="22"/>
          <w:highlight w:val="none"/>
          <w:lang w:val="en-US" w:eastAsia="zh-CN" w:bidi="ar-SA"/>
        </w:rPr>
        <w:t>（7）</w:t>
      </w:r>
      <w:r>
        <w:rPr>
          <w:rFonts w:hint="eastAsia" w:ascii="宋体" w:hAnsi="宋体" w:eastAsia="宋体" w:cs="宋体"/>
          <w:color w:val="auto"/>
          <w:sz w:val="24"/>
          <w:szCs w:val="22"/>
          <w:highlight w:val="none"/>
        </w:rPr>
        <w:t>《资格文件》中出现本项目投标报价的</w:t>
      </w:r>
      <w:r>
        <w:rPr>
          <w:rFonts w:hint="eastAsia" w:ascii="宋体" w:hAnsi="宋体" w:cs="宋体"/>
          <w:color w:val="auto"/>
          <w:sz w:val="24"/>
          <w:szCs w:val="22"/>
          <w:highlight w:val="none"/>
          <w:lang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8</w:t>
      </w:r>
      <w:r>
        <w:rPr>
          <w:rFonts w:hint="eastAsia" w:ascii="宋体" w:hAnsi="宋体" w:cs="宋体"/>
          <w:color w:val="auto"/>
          <w:sz w:val="24"/>
          <w:szCs w:val="22"/>
          <w:highlight w:val="none"/>
          <w:lang w:eastAsia="zh-CN"/>
        </w:rPr>
        <w:t>）违反国家或政府部门相关法律、法规、文件规定的。</w:t>
      </w:r>
    </w:p>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w:t>
      </w:r>
      <w:r>
        <w:rPr>
          <w:rFonts w:hint="eastAsia" w:ascii="宋体" w:hAnsi="宋体" w:cs="宋体"/>
          <w:b/>
          <w:bCs/>
          <w:color w:val="auto"/>
          <w:sz w:val="24"/>
          <w:szCs w:val="22"/>
          <w:highlight w:val="none"/>
          <w:lang w:eastAsia="zh-CN"/>
        </w:rPr>
        <w:t>二</w:t>
      </w:r>
      <w:r>
        <w:rPr>
          <w:rFonts w:hint="eastAsia" w:ascii="宋体" w:hAnsi="宋体" w:eastAsia="宋体" w:cs="宋体"/>
          <w:b/>
          <w:bCs/>
          <w:color w:val="auto"/>
          <w:sz w:val="24"/>
          <w:szCs w:val="22"/>
          <w:highlight w:val="none"/>
        </w:rPr>
        <w:t>）商务、技术文件符合性审查中，存在下列情形之一的，经评标委员会按少数服从多数原则认定后作无效标处理：</w:t>
      </w:r>
    </w:p>
    <w:bookmarkEnd w:id="63"/>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bookmarkStart w:id="64" w:name="_Toc33194396"/>
      <w:bookmarkStart w:id="65" w:name="OLE_LINK12"/>
      <w:bookmarkStart w:id="66" w:name="OLE_LINK16"/>
      <w:r>
        <w:rPr>
          <w:rFonts w:hint="eastAsia" w:ascii="宋体" w:hAnsi="宋体" w:eastAsia="宋体" w:cs="宋体"/>
          <w:color w:val="auto"/>
          <w:sz w:val="24"/>
          <w:szCs w:val="22"/>
          <w:highlight w:val="none"/>
        </w:rPr>
        <w:t>（1）投标文件未有效授权，法定代表人授权委托书等填写不完整或有涂改的；</w:t>
      </w:r>
      <w:bookmarkEnd w:id="64"/>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（2）投标文件没有对本招标文件作出实质性响应的，或不满足（不响应）本招标文件中标注“▲”的实质性要求条款的，或存在招标文件中明确规定的其他无效标情形的；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（3）投标文件存在一个或一个以上备选（替代）投标方案的；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（4）仅提交“备份投标文件”的；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（5）文件组成内容不齐全，本招标文件规定必须提供而未提供的（属于资格审查范围的除外）；</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（6）投标文件标注的响应或偏离情况与事实不符，或提供了虚假材料的；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（7）不响应或擅自改变本招标文件要求或投标文件有采购人不能接受的附加条件的；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（8）参加同一合同项下政府采购活动的不同投标人之间存在利害关系并且存在影响政府采购公平竞争行为的；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bookmarkStart w:id="67" w:name="_Toc33194397"/>
      <w:r>
        <w:rPr>
          <w:rFonts w:hint="eastAsia" w:ascii="宋体" w:hAnsi="宋体" w:eastAsia="宋体" w:cs="宋体"/>
          <w:color w:val="auto"/>
          <w:sz w:val="24"/>
          <w:szCs w:val="22"/>
          <w:highlight w:val="none"/>
        </w:rPr>
        <w:t>（9）招标人拟采购的产品如属于品目清单范围内的强制采购品目的，投标人未</w:t>
      </w:r>
      <w:bookmarkEnd w:id="67"/>
      <w:bookmarkStart w:id="68" w:name="_Toc33194398"/>
      <w:r>
        <w:rPr>
          <w:rFonts w:hint="eastAsia" w:ascii="宋体" w:hAnsi="宋体" w:eastAsia="宋体" w:cs="宋体"/>
          <w:color w:val="auto"/>
          <w:sz w:val="24"/>
          <w:szCs w:val="22"/>
          <w:highlight w:val="none"/>
        </w:rPr>
        <w:t>能在响应文件中提供国家确定的认证机构出具的、处于有效期之内的该产品节能产品、环境标志产品认证证书；</w:t>
      </w:r>
      <w:bookmarkEnd w:id="68"/>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eastAsia="宋体" w:cs="宋体"/>
          <w:color w:val="auto"/>
          <w:sz w:val="24"/>
          <w:szCs w:val="22"/>
          <w:highlight w:val="none"/>
        </w:rPr>
        <w:t>（10）《商务技术文件》中出现本项目投标报价的</w:t>
      </w:r>
      <w:r>
        <w:rPr>
          <w:rFonts w:hint="eastAsia" w:ascii="宋体" w:hAnsi="宋体" w:cs="宋体"/>
          <w:color w:val="auto"/>
          <w:sz w:val="24"/>
          <w:szCs w:val="22"/>
          <w:highlight w:val="none"/>
          <w:lang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bookmarkStart w:id="69" w:name="OLE_LINK1"/>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11</w:t>
      </w:r>
      <w:r>
        <w:rPr>
          <w:rFonts w:hint="eastAsia" w:ascii="宋体" w:hAnsi="宋体" w:cs="宋体"/>
          <w:color w:val="auto"/>
          <w:sz w:val="24"/>
          <w:szCs w:val="22"/>
          <w:highlight w:val="none"/>
          <w:lang w:eastAsia="zh-CN"/>
        </w:rPr>
        <w:t>）不同供应商的电子投标（响应）文件上传计算机的网卡MAC地址或硬盘序列号等硬件信息相同的；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12</w:t>
      </w:r>
      <w:r>
        <w:rPr>
          <w:rFonts w:hint="eastAsia" w:ascii="宋体" w:hAnsi="宋体" w:cs="宋体"/>
          <w:color w:val="auto"/>
          <w:sz w:val="24"/>
          <w:szCs w:val="22"/>
          <w:highlight w:val="none"/>
          <w:lang w:eastAsia="zh-CN"/>
        </w:rPr>
        <w:t>）上传的电子投标（响应）文件若出现使用本项目其他投标（响应）供应商的数字证书加密的，或者加盖本项目其他投标（响应）供应商的电子印章的；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13</w:t>
      </w:r>
      <w:r>
        <w:rPr>
          <w:rFonts w:hint="eastAsia" w:ascii="宋体" w:hAnsi="宋体" w:cs="宋体"/>
          <w:color w:val="auto"/>
          <w:sz w:val="24"/>
          <w:szCs w:val="22"/>
          <w:highlight w:val="none"/>
          <w:lang w:eastAsia="zh-CN"/>
        </w:rPr>
        <w:t>）不同供应商的投标（响应）文件的内容存在三处（含）以上错误一致的；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14</w:t>
      </w:r>
      <w:r>
        <w:rPr>
          <w:rFonts w:hint="eastAsia" w:ascii="宋体" w:hAnsi="宋体" w:cs="宋体"/>
          <w:color w:val="auto"/>
          <w:sz w:val="24"/>
          <w:szCs w:val="22"/>
          <w:highlight w:val="none"/>
          <w:lang w:eastAsia="zh-CN"/>
        </w:rPr>
        <w:t>）不同供应商联系人为同一人或不同联系人的联系电话一致的</w:t>
      </w:r>
      <w:r>
        <w:rPr>
          <w:rFonts w:hint="eastAsia" w:ascii="宋体" w:hAnsi="宋体" w:eastAsia="宋体" w:cs="宋体"/>
          <w:color w:val="auto"/>
          <w:sz w:val="24"/>
          <w:szCs w:val="24"/>
          <w:highlight w:val="none"/>
          <w:lang w:eastAsia="zh-CN"/>
        </w:rPr>
        <w:t>；</w:t>
      </w:r>
    </w:p>
    <w:bookmarkEnd w:id="69"/>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color w:val="auto"/>
          <w:highlight w:val="none"/>
          <w:lang w:eastAsia="zh-CN"/>
        </w:rPr>
      </w:pP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lang w:val="en-US" w:eastAsia="zh-CN"/>
        </w:rPr>
        <w:t>1</w:t>
      </w:r>
      <w:r>
        <w:rPr>
          <w:rFonts w:hint="eastAsia" w:ascii="宋体" w:hAnsi="宋体" w:cs="宋体"/>
          <w:color w:val="auto"/>
          <w:sz w:val="24"/>
          <w:szCs w:val="24"/>
          <w:highlight w:val="none"/>
          <w:lang w:val="en-US" w:eastAsia="zh-CN"/>
        </w:rPr>
        <w:t>5</w:t>
      </w:r>
      <w:r>
        <w:rPr>
          <w:rFonts w:hint="eastAsia" w:ascii="宋体" w:hAnsi="宋体" w:eastAsia="宋体" w:cs="宋体"/>
          <w:color w:val="auto"/>
          <w:sz w:val="24"/>
          <w:szCs w:val="24"/>
          <w:highlight w:val="none"/>
          <w:lang w:eastAsia="zh-CN"/>
        </w:rPr>
        <w:t>）《技术商务评分汇总表》得分低于商务技术总分60%，供应商的商务报价将被拒绝。</w:t>
      </w:r>
    </w:p>
    <w:bookmarkEnd w:id="65"/>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lang w:val="en-US" w:eastAsia="zh-CN"/>
        </w:rPr>
        <w:t>1</w:t>
      </w:r>
      <w:r>
        <w:rPr>
          <w:rFonts w:hint="eastAsia" w:ascii="宋体" w:hAnsi="宋体" w:cs="宋体"/>
          <w:color w:val="auto"/>
          <w:sz w:val="24"/>
          <w:szCs w:val="22"/>
          <w:highlight w:val="none"/>
          <w:lang w:val="en-US" w:eastAsia="zh-CN"/>
        </w:rPr>
        <w:t>6</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串通投标认定</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有下列情形之一的，视为投标人串通投标，其投标无效：</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16.1</w:t>
      </w:r>
      <w:r>
        <w:rPr>
          <w:rFonts w:hint="eastAsia" w:ascii="宋体" w:hAnsi="宋体" w:eastAsia="宋体" w:cs="宋体"/>
          <w:color w:val="auto"/>
          <w:sz w:val="24"/>
          <w:szCs w:val="24"/>
          <w:highlight w:val="none"/>
        </w:rPr>
        <w:t>不同投标人的投标文件由同一单位或者个人编制或同一IP地址上传；</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16.2</w:t>
      </w:r>
      <w:r>
        <w:rPr>
          <w:rFonts w:hint="eastAsia" w:ascii="宋体" w:hAnsi="宋体" w:eastAsia="宋体" w:cs="宋体"/>
          <w:color w:val="auto"/>
          <w:sz w:val="24"/>
          <w:szCs w:val="24"/>
          <w:highlight w:val="none"/>
        </w:rPr>
        <w:t>不同投标人委托同一单位或者个人办理投标事宜；</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16.3</w:t>
      </w:r>
      <w:r>
        <w:rPr>
          <w:rFonts w:hint="eastAsia" w:ascii="宋体" w:hAnsi="宋体" w:eastAsia="宋体" w:cs="宋体"/>
          <w:color w:val="auto"/>
          <w:sz w:val="24"/>
          <w:szCs w:val="24"/>
          <w:highlight w:val="none"/>
        </w:rPr>
        <w:t>不同投标人的投标文件载明的项目管理成员或者联系人员为同一人；</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16.4</w:t>
      </w:r>
      <w:r>
        <w:rPr>
          <w:rFonts w:hint="eastAsia" w:ascii="宋体" w:hAnsi="宋体" w:eastAsia="宋体" w:cs="宋体"/>
          <w:color w:val="auto"/>
          <w:sz w:val="24"/>
          <w:szCs w:val="24"/>
          <w:highlight w:val="none"/>
        </w:rPr>
        <w:t>不同投标人的投标文件异常一致或者投标报价呈规律性差异；</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16.5</w:t>
      </w:r>
      <w:r>
        <w:rPr>
          <w:rFonts w:hint="eastAsia" w:ascii="宋体" w:hAnsi="宋体" w:eastAsia="宋体" w:cs="宋体"/>
          <w:color w:val="auto"/>
          <w:sz w:val="24"/>
          <w:szCs w:val="24"/>
          <w:highlight w:val="none"/>
        </w:rPr>
        <w:t>不同投标人的投标文件相互混装</w:t>
      </w:r>
      <w:r>
        <w:rPr>
          <w:rFonts w:hint="eastAsia" w:ascii="宋体" w:hAnsi="宋体" w:eastAsia="宋体" w:cs="宋体"/>
          <w:color w:val="auto"/>
          <w:sz w:val="24"/>
          <w:szCs w:val="24"/>
          <w:highlight w:val="none"/>
          <w:lang w:val="en-US" w:eastAsia="zh-CN"/>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w:t>
      </w:r>
      <w:r>
        <w:rPr>
          <w:rFonts w:hint="eastAsia" w:ascii="宋体" w:hAnsi="宋体" w:cs="宋体"/>
          <w:color w:val="auto"/>
          <w:sz w:val="24"/>
          <w:szCs w:val="22"/>
          <w:highlight w:val="none"/>
          <w:lang w:val="en-US" w:eastAsia="zh-CN"/>
        </w:rPr>
        <w:t>7</w:t>
      </w:r>
      <w:r>
        <w:rPr>
          <w:rFonts w:hint="eastAsia" w:ascii="宋体" w:hAnsi="宋体" w:eastAsia="宋体" w:cs="宋体"/>
          <w:color w:val="auto"/>
          <w:sz w:val="24"/>
          <w:szCs w:val="22"/>
          <w:highlight w:val="none"/>
        </w:rPr>
        <w:t>）违反国家或政府部门相关法律、法规、文件规定的。</w:t>
      </w:r>
    </w:p>
    <w:bookmarkEnd w:id="66"/>
    <w:p>
      <w:pPr>
        <w:keepNext w:val="0"/>
        <w:keepLines w:val="0"/>
        <w:pageBreakBefore w:val="0"/>
        <w:kinsoku/>
        <w:wordWrap/>
        <w:overflowPunct/>
        <w:topLinePunct w:val="0"/>
        <w:bidi w:val="0"/>
        <w:adjustRightInd w:val="0"/>
        <w:snapToGrid w:val="0"/>
        <w:spacing w:line="400" w:lineRule="exact"/>
        <w:textAlignment w:val="auto"/>
        <w:rPr>
          <w:rFonts w:hint="eastAsia" w:ascii="宋体" w:hAnsi="宋体" w:eastAsia="宋体" w:cs="宋体"/>
          <w:b/>
          <w:bCs/>
          <w:color w:val="auto"/>
          <w:sz w:val="24"/>
          <w:szCs w:val="22"/>
          <w:highlight w:val="none"/>
        </w:rPr>
      </w:pPr>
      <w:r>
        <w:rPr>
          <w:rFonts w:hint="eastAsia" w:ascii="宋体" w:hAnsi="宋体" w:eastAsia="宋体" w:cs="宋体"/>
          <w:b/>
          <w:bCs/>
          <w:color w:val="auto"/>
          <w:sz w:val="24"/>
          <w:szCs w:val="22"/>
          <w:highlight w:val="none"/>
        </w:rPr>
        <w:t>（</w:t>
      </w:r>
      <w:r>
        <w:rPr>
          <w:rFonts w:hint="eastAsia" w:ascii="宋体" w:hAnsi="宋体" w:cs="宋体"/>
          <w:b/>
          <w:bCs/>
          <w:color w:val="auto"/>
          <w:sz w:val="24"/>
          <w:szCs w:val="22"/>
          <w:highlight w:val="none"/>
          <w:lang w:eastAsia="zh-CN"/>
        </w:rPr>
        <w:t>三</w:t>
      </w:r>
      <w:r>
        <w:rPr>
          <w:rFonts w:hint="eastAsia" w:ascii="宋体" w:hAnsi="宋体" w:eastAsia="宋体" w:cs="宋体"/>
          <w:b/>
          <w:bCs/>
          <w:color w:val="auto"/>
          <w:sz w:val="24"/>
          <w:szCs w:val="22"/>
          <w:highlight w:val="none"/>
        </w:rPr>
        <w:t>）报价文件符合性审查中，存在下列情形之一的，经评标委员会认定后作无效标处理：</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（1）投标文件没有对本招标文件作出实质性响应的，或不满足（不响应）本招标文件中标注“▲”的实质性要求条款的，或存在招标文件中明确规定的其他无效标情形的；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（2）投标文件存在一个或一个以上备选（替代）投标方案的；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（3）未按照招标文件标明的币种报价的，或者投标报价涵盖的内容不符合招标文件要求的；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（4）《开标一览表》</w:t>
      </w:r>
      <w:r>
        <w:rPr>
          <w:rFonts w:hint="eastAsia" w:ascii="宋体" w:hAnsi="宋体" w:eastAsia="宋体" w:cs="宋体"/>
          <w:color w:val="auto"/>
          <w:sz w:val="24"/>
          <w:szCs w:val="22"/>
          <w:highlight w:val="none"/>
          <w:lang w:eastAsia="zh-CN"/>
        </w:rPr>
        <w:t>总价</w:t>
      </w:r>
      <w:r>
        <w:rPr>
          <w:rFonts w:hint="eastAsia" w:ascii="宋体" w:hAnsi="宋体" w:eastAsia="宋体" w:cs="宋体"/>
          <w:color w:val="auto"/>
          <w:sz w:val="24"/>
          <w:szCs w:val="22"/>
          <w:highlight w:val="none"/>
        </w:rPr>
        <w:t>与《投标报价明细表》</w:t>
      </w:r>
      <w:r>
        <w:rPr>
          <w:rFonts w:hint="eastAsia" w:ascii="宋体" w:hAnsi="宋体" w:eastAsia="宋体" w:cs="宋体"/>
          <w:color w:val="auto"/>
          <w:sz w:val="24"/>
          <w:szCs w:val="22"/>
          <w:highlight w:val="none"/>
          <w:lang w:eastAsia="zh-CN"/>
        </w:rPr>
        <w:t>总价</w:t>
      </w:r>
      <w:r>
        <w:rPr>
          <w:rFonts w:hint="eastAsia" w:ascii="宋体" w:hAnsi="宋体" w:eastAsia="宋体" w:cs="宋体"/>
          <w:color w:val="auto"/>
          <w:sz w:val="24"/>
          <w:szCs w:val="22"/>
          <w:highlight w:val="none"/>
        </w:rPr>
        <w:t>不一致且拒不接受修正的；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（5）投标报价具有选择性，唱标价格与《投标文件》承诺的优惠（折扣）后价格不一致的；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（6）投标报价超过采购预算（或最高限价）的；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（7）仅提交“备份投标文件”的；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（8）投标文件组成内容不齐全，本招标文件规定必须提供而未提供的（属于资格审查范围的除外）；</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（9）投标文件标注的响应或偏离情况与事实不符，或提供了虚假材料的；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（10）不响应或擅自改变本招标文件要求或投标文件有采购人不能接受的附加条件的；</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b/>
          <w:bCs/>
          <w:color w:val="auto"/>
          <w:sz w:val="24"/>
          <w:szCs w:val="22"/>
          <w:highlight w:val="none"/>
        </w:rPr>
      </w:pPr>
      <w:r>
        <w:rPr>
          <w:rFonts w:hint="eastAsia" w:ascii="宋体" w:hAnsi="宋体" w:eastAsia="宋体" w:cs="宋体"/>
          <w:color w:val="auto"/>
          <w:sz w:val="24"/>
          <w:szCs w:val="22"/>
          <w:highlight w:val="none"/>
        </w:rPr>
        <w:t>（11）评审委员会认为投标人报价明显低于其他合格投标人的报价，有可能影响产品质量或者不能诚信履约的，应当要求其在合理时间内提供书面说明，必要时提供相关证明材料；投标人不能证明其报价合理性的</w:t>
      </w:r>
      <w:r>
        <w:rPr>
          <w:rFonts w:hint="eastAsia" w:ascii="宋体" w:hAnsi="宋体" w:eastAsia="宋体" w:cs="宋体"/>
          <w:b/>
          <w:bCs/>
          <w:color w:val="auto"/>
          <w:sz w:val="24"/>
          <w:szCs w:val="22"/>
          <w:highlight w:val="none"/>
          <w:lang w:eastAsia="zh-CN"/>
        </w:rPr>
        <w:t>（供应商不得进行影响产品质量或者诚信履约的恶意报价。供应商在项目评审前准备好报价核算、报价明细、报价说明等材料，以备评审专家核查，供应商报价低于项目预算50%的，应当在报价文件中详细阐述不影响产品质量或者诚信履约的具体原因。）</w:t>
      </w:r>
      <w:r>
        <w:rPr>
          <w:rFonts w:hint="eastAsia" w:ascii="宋体" w:hAnsi="宋体" w:eastAsia="宋体" w:cs="宋体"/>
          <w:b/>
          <w:bCs/>
          <w:color w:val="auto"/>
          <w:sz w:val="24"/>
          <w:szCs w:val="22"/>
          <w:highlight w:val="none"/>
        </w:rPr>
        <w:t>；</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12</w:t>
      </w:r>
      <w:r>
        <w:rPr>
          <w:rFonts w:hint="eastAsia" w:ascii="宋体" w:hAnsi="宋体" w:cs="宋体"/>
          <w:color w:val="auto"/>
          <w:sz w:val="24"/>
          <w:szCs w:val="22"/>
          <w:highlight w:val="none"/>
          <w:lang w:eastAsia="zh-CN"/>
        </w:rPr>
        <w:t>）不同供应商的电子投标（响应）文件上传计算机的网卡MAC地址或硬盘序列号等硬件信息相同的；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13</w:t>
      </w:r>
      <w:r>
        <w:rPr>
          <w:rFonts w:hint="eastAsia" w:ascii="宋体" w:hAnsi="宋体" w:cs="宋体"/>
          <w:color w:val="auto"/>
          <w:sz w:val="24"/>
          <w:szCs w:val="22"/>
          <w:highlight w:val="none"/>
          <w:lang w:eastAsia="zh-CN"/>
        </w:rPr>
        <w:t>）上传的电子投标（响应）文件若出现使用本项目其他投标（响应）供应商的数字证书加密的，或者加盖本项目其他投标（响应）供应商的电子印章的；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cs="宋体"/>
          <w:color w:val="auto"/>
          <w:sz w:val="24"/>
          <w:szCs w:val="22"/>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14</w:t>
      </w:r>
      <w:r>
        <w:rPr>
          <w:rFonts w:hint="eastAsia" w:ascii="宋体" w:hAnsi="宋体" w:cs="宋体"/>
          <w:color w:val="auto"/>
          <w:sz w:val="24"/>
          <w:szCs w:val="22"/>
          <w:highlight w:val="none"/>
          <w:lang w:eastAsia="zh-CN"/>
        </w:rPr>
        <w:t>）不同供应商的投标（响应）文件的内容存在三处（含）以上错误一致的；</w:t>
      </w:r>
    </w:p>
    <w:p>
      <w:pPr>
        <w:keepNext w:val="0"/>
        <w:keepLines w:val="0"/>
        <w:pageBreakBefore w:val="0"/>
        <w:kinsoku/>
        <w:wordWrap/>
        <w:overflowPunct/>
        <w:topLinePunct w:val="0"/>
        <w:bidi w:val="0"/>
        <w:adjustRightInd w:val="0"/>
        <w:snapToGrid w:val="0"/>
        <w:spacing w:line="400" w:lineRule="exact"/>
        <w:ind w:firstLine="480" w:firstLineChars="200"/>
        <w:textAlignment w:val="auto"/>
        <w:rPr>
          <w:rFonts w:hint="eastAsia" w:ascii="宋体" w:hAnsi="宋体" w:eastAsia="宋体" w:cs="宋体"/>
          <w:color w:val="auto"/>
          <w:sz w:val="24"/>
          <w:szCs w:val="24"/>
          <w:highlight w:val="none"/>
          <w:lang w:eastAsia="zh-CN"/>
        </w:rPr>
      </w:pPr>
      <w:r>
        <w:rPr>
          <w:rFonts w:hint="eastAsia" w:ascii="宋体" w:hAnsi="宋体" w:cs="宋体"/>
          <w:color w:val="auto"/>
          <w:sz w:val="24"/>
          <w:szCs w:val="22"/>
          <w:highlight w:val="none"/>
          <w:lang w:eastAsia="zh-CN"/>
        </w:rPr>
        <w:t>（</w:t>
      </w:r>
      <w:r>
        <w:rPr>
          <w:rFonts w:hint="eastAsia" w:ascii="宋体" w:hAnsi="宋体" w:cs="宋体"/>
          <w:color w:val="auto"/>
          <w:sz w:val="24"/>
          <w:szCs w:val="22"/>
          <w:highlight w:val="none"/>
          <w:lang w:val="en-US" w:eastAsia="zh-CN"/>
        </w:rPr>
        <w:t>15</w:t>
      </w:r>
      <w:r>
        <w:rPr>
          <w:rFonts w:hint="eastAsia" w:ascii="宋体" w:hAnsi="宋体" w:cs="宋体"/>
          <w:color w:val="auto"/>
          <w:sz w:val="24"/>
          <w:szCs w:val="22"/>
          <w:highlight w:val="none"/>
          <w:lang w:eastAsia="zh-CN"/>
        </w:rPr>
        <w:t>）不同供应商联系人为同一人或不同联系人的联系电话一致的</w:t>
      </w:r>
      <w:r>
        <w:rPr>
          <w:rFonts w:hint="eastAsia" w:ascii="宋体" w:hAnsi="宋体" w:eastAsia="宋体" w:cs="宋体"/>
          <w:color w:val="auto"/>
          <w:sz w:val="24"/>
          <w:szCs w:val="24"/>
          <w:highlight w:val="none"/>
          <w:lang w:eastAsia="zh-CN"/>
        </w:rPr>
        <w:t>；</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rPr>
        <w:t>（1</w:t>
      </w:r>
      <w:r>
        <w:rPr>
          <w:rFonts w:hint="eastAsia" w:ascii="宋体" w:hAnsi="宋体" w:cs="宋体"/>
          <w:color w:val="auto"/>
          <w:sz w:val="24"/>
          <w:szCs w:val="22"/>
          <w:highlight w:val="none"/>
          <w:lang w:val="en-US" w:eastAsia="zh-CN"/>
        </w:rPr>
        <w:t>6</w:t>
      </w:r>
      <w:r>
        <w:rPr>
          <w:rFonts w:hint="eastAsia" w:ascii="宋体" w:hAnsi="宋体" w:eastAsia="宋体" w:cs="宋体"/>
          <w:color w:val="auto"/>
          <w:sz w:val="24"/>
          <w:szCs w:val="22"/>
          <w:highlight w:val="none"/>
        </w:rPr>
        <w:t>）《技术商务评分汇总表》得分低于商务技术总分60%，供应商的商务报价将被拒绝。</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lang w:val="en-US" w:eastAsia="zh-CN"/>
        </w:rPr>
        <w:t>1</w:t>
      </w:r>
      <w:r>
        <w:rPr>
          <w:rFonts w:hint="eastAsia" w:ascii="宋体" w:hAnsi="宋体" w:cs="宋体"/>
          <w:color w:val="auto"/>
          <w:sz w:val="24"/>
          <w:szCs w:val="22"/>
          <w:highlight w:val="none"/>
          <w:lang w:val="en-US" w:eastAsia="zh-CN"/>
        </w:rPr>
        <w:t>7</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串通投标认定</w:t>
      </w:r>
      <w:r>
        <w:rPr>
          <w:rFonts w:hint="eastAsia" w:ascii="宋体" w:hAnsi="宋体" w:eastAsia="宋体" w:cs="宋体"/>
          <w:color w:val="auto"/>
          <w:sz w:val="24"/>
          <w:szCs w:val="22"/>
          <w:highlight w:val="none"/>
          <w:lang w:eastAsia="zh-CN"/>
        </w:rPr>
        <w:t>，</w:t>
      </w:r>
      <w:r>
        <w:rPr>
          <w:rFonts w:hint="eastAsia" w:ascii="宋体" w:hAnsi="宋体" w:eastAsia="宋体" w:cs="宋体"/>
          <w:color w:val="auto"/>
          <w:sz w:val="24"/>
          <w:szCs w:val="22"/>
          <w:highlight w:val="none"/>
        </w:rPr>
        <w:t>有下列情形之一的，视为投标人串通投标，其投标无效：</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17.1</w:t>
      </w:r>
      <w:r>
        <w:rPr>
          <w:rFonts w:hint="eastAsia" w:ascii="宋体" w:hAnsi="宋体" w:eastAsia="宋体" w:cs="宋体"/>
          <w:color w:val="auto"/>
          <w:sz w:val="24"/>
          <w:szCs w:val="24"/>
          <w:highlight w:val="none"/>
        </w:rPr>
        <w:t>不同投标人的投标文件由同一单位或者个人编制或同一IP地址上传；</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17.2</w:t>
      </w:r>
      <w:r>
        <w:rPr>
          <w:rFonts w:hint="eastAsia" w:ascii="宋体" w:hAnsi="宋体" w:eastAsia="宋体" w:cs="宋体"/>
          <w:color w:val="auto"/>
          <w:sz w:val="24"/>
          <w:szCs w:val="24"/>
          <w:highlight w:val="none"/>
        </w:rPr>
        <w:t>不同投标人委托同一单位或者个人办理投标事宜；</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17.3</w:t>
      </w:r>
      <w:r>
        <w:rPr>
          <w:rFonts w:hint="eastAsia" w:ascii="宋体" w:hAnsi="宋体" w:eastAsia="宋体" w:cs="宋体"/>
          <w:color w:val="auto"/>
          <w:sz w:val="24"/>
          <w:szCs w:val="24"/>
          <w:highlight w:val="none"/>
        </w:rPr>
        <w:t>不同投标人的投标文件载明的项目管理成员或者联系人员为同一人；</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17.4</w:t>
      </w:r>
      <w:r>
        <w:rPr>
          <w:rFonts w:hint="eastAsia" w:ascii="宋体" w:hAnsi="宋体" w:eastAsia="宋体" w:cs="宋体"/>
          <w:color w:val="auto"/>
          <w:sz w:val="24"/>
          <w:szCs w:val="24"/>
          <w:highlight w:val="none"/>
        </w:rPr>
        <w:t>不同投标人的投标文件异常一致或者投标报价呈规律性差异；</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4"/>
          <w:highlight w:val="none"/>
          <w:lang w:val="en-US" w:eastAsia="zh-CN"/>
        </w:rPr>
      </w:pPr>
      <w:r>
        <w:rPr>
          <w:rFonts w:hint="eastAsia" w:ascii="宋体" w:hAnsi="宋体" w:cs="宋体"/>
          <w:color w:val="auto"/>
          <w:sz w:val="24"/>
          <w:szCs w:val="24"/>
          <w:highlight w:val="none"/>
          <w:lang w:val="en-US" w:eastAsia="zh-CN"/>
        </w:rPr>
        <w:t>17.5</w:t>
      </w:r>
      <w:r>
        <w:rPr>
          <w:rFonts w:hint="eastAsia" w:ascii="宋体" w:hAnsi="宋体" w:eastAsia="宋体" w:cs="宋体"/>
          <w:color w:val="auto"/>
          <w:sz w:val="24"/>
          <w:szCs w:val="24"/>
          <w:highlight w:val="none"/>
        </w:rPr>
        <w:t>不同投标人的投标文件相互混装</w:t>
      </w:r>
      <w:r>
        <w:rPr>
          <w:rFonts w:hint="eastAsia" w:ascii="宋体" w:hAnsi="宋体" w:eastAsia="宋体" w:cs="宋体"/>
          <w:color w:val="auto"/>
          <w:sz w:val="24"/>
          <w:szCs w:val="24"/>
          <w:highlight w:val="none"/>
          <w:lang w:val="en-US" w:eastAsia="zh-CN"/>
        </w:rPr>
        <w:t>。</w:t>
      </w:r>
    </w:p>
    <w:p>
      <w:pPr>
        <w:keepNext w:val="0"/>
        <w:keepLines w:val="0"/>
        <w:pageBreakBefore w:val="0"/>
        <w:kinsoku/>
        <w:wordWrap/>
        <w:overflowPunct/>
        <w:topLinePunct w:val="0"/>
        <w:bidi w:val="0"/>
        <w:adjustRightInd w:val="0"/>
        <w:snapToGrid w:val="0"/>
        <w:spacing w:line="360" w:lineRule="auto"/>
        <w:ind w:right="0" w:rightChars="0" w:firstLine="480" w:firstLineChars="200"/>
        <w:jc w:val="left"/>
        <w:textAlignment w:val="auto"/>
        <w:rPr>
          <w:rFonts w:hint="eastAsia" w:ascii="宋体" w:hAnsi="宋体" w:eastAsia="宋体" w:cs="宋体"/>
          <w:color w:val="auto"/>
          <w:sz w:val="24"/>
          <w:szCs w:val="22"/>
          <w:highlight w:val="none"/>
        </w:rPr>
      </w:pPr>
      <w:r>
        <w:rPr>
          <w:rFonts w:hint="eastAsia" w:ascii="宋体" w:hAnsi="宋体" w:cs="宋体"/>
          <w:color w:val="auto"/>
          <w:sz w:val="24"/>
          <w:szCs w:val="22"/>
          <w:highlight w:val="none"/>
          <w:lang w:val="en-US" w:eastAsia="zh-CN"/>
        </w:rPr>
        <w:t>（18）</w:t>
      </w:r>
      <w:r>
        <w:rPr>
          <w:rFonts w:hint="eastAsia" w:ascii="宋体" w:hAnsi="宋体" w:eastAsia="宋体" w:cs="宋体"/>
          <w:color w:val="auto"/>
          <w:sz w:val="24"/>
          <w:szCs w:val="22"/>
          <w:highlight w:val="none"/>
        </w:rPr>
        <w:t>违反国家或政府部门相关法律、法规、文件规定的。</w:t>
      </w:r>
    </w:p>
    <w:p>
      <w:pPr>
        <w:adjustRightInd w:val="0"/>
        <w:snapToGrid w:val="0"/>
        <w:spacing w:line="400" w:lineRule="exact"/>
        <w:rPr>
          <w:rFonts w:hint="eastAsia" w:ascii="宋体" w:hAnsi="宋体" w:cs="宋体"/>
          <w:color w:val="auto"/>
          <w:sz w:val="24"/>
          <w:highlight w:val="none"/>
        </w:rPr>
      </w:pPr>
      <w:r>
        <w:rPr>
          <w:rFonts w:hint="eastAsia" w:ascii="宋体" w:hAnsi="宋体" w:cs="宋体"/>
          <w:b/>
          <w:color w:val="auto"/>
          <w:sz w:val="24"/>
          <w:highlight w:val="none"/>
        </w:rPr>
        <w:t>3、投标报价的错误修正</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评标委员会将对确定为实质上响应招标文件要求的投标文件报价部分进行校核，看其在投标报价方面是否有计算、累计或表达上的错误，修正错误的原则及顺序如下：</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（1）投标文件中开标一览表(报价表)内容与投标文件中明细表内容不一致的，以开标一览表为准；</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（2）投标文件的大写金额和小写金额不一致的，以大写金额为准；</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（3）如分项价格或单价有遗报，应视作已含在投标总价中；其投标总价不予调整。其分项价或单价由评标委员会在投标总价不变的前提下根据合理的原则对其予以确定；</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（4）如有多报、重报，其投标总价在评标过程中不予调整。如其中标，其合同价按其投标单价予以调整；</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（5）单价金额小数点有明显错位的，应以总价为准，并修改单价。</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按上述修正错误的原则，调整或修正投标文件的投标报价。经投标人确认后，调整后的投标报价对投标人起约束作用。如果投标人不接受或者投标人在评标结束之前不能到场确认的，评标委员会将把调整或修正后的投标报价作为该投标人的投标报价，进入商务报价评标，但不接受修正的投标人最终将丧失其中标候选人资格。</w:t>
      </w:r>
    </w:p>
    <w:p>
      <w:pPr>
        <w:adjustRightInd w:val="0"/>
        <w:snapToGrid w:val="0"/>
        <w:spacing w:line="400" w:lineRule="exact"/>
        <w:rPr>
          <w:rFonts w:hint="eastAsia" w:ascii="宋体" w:hAnsi="宋体" w:cs="宋体"/>
          <w:b/>
          <w:color w:val="auto"/>
          <w:sz w:val="24"/>
          <w:szCs w:val="22"/>
          <w:highlight w:val="none"/>
        </w:rPr>
      </w:pPr>
      <w:r>
        <w:rPr>
          <w:rFonts w:hint="eastAsia" w:ascii="宋体" w:hAnsi="宋体" w:cs="宋体"/>
          <w:b/>
          <w:color w:val="auto"/>
          <w:sz w:val="24"/>
          <w:szCs w:val="22"/>
          <w:highlight w:val="none"/>
        </w:rPr>
        <w:t>4、废标</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在招标采购中，出现下列情形之一的，本项目废标：</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（1）符合专业条件的投标人或者对招标文件作实质响应的投标人不足三家的；</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（2）出现影响采购公正的违法、违规行为的；</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（3）投标人的报价均超过了采购预算，采购人不能支付的；</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（4）因重大变故，采购任务取消的。</w:t>
      </w:r>
    </w:p>
    <w:p>
      <w:pPr>
        <w:adjustRightInd w:val="0"/>
        <w:snapToGrid w:val="0"/>
        <w:spacing w:line="400" w:lineRule="exact"/>
        <w:rPr>
          <w:rFonts w:hint="eastAsia" w:ascii="宋体" w:hAnsi="宋体" w:cs="宋体"/>
          <w:b/>
          <w:color w:val="auto"/>
          <w:sz w:val="24"/>
          <w:szCs w:val="22"/>
          <w:highlight w:val="none"/>
        </w:rPr>
      </w:pPr>
      <w:r>
        <w:rPr>
          <w:rFonts w:hint="eastAsia" w:ascii="宋体" w:hAnsi="宋体" w:cs="宋体"/>
          <w:b/>
          <w:color w:val="auto"/>
          <w:sz w:val="24"/>
          <w:szCs w:val="22"/>
          <w:highlight w:val="none"/>
        </w:rPr>
        <w:t>5、可中止电子交易活动的情形</w:t>
      </w:r>
    </w:p>
    <w:p>
      <w:pPr>
        <w:adjustRightInd w:val="0"/>
        <w:snapToGrid w:val="0"/>
        <w:spacing w:line="400" w:lineRule="exact"/>
        <w:ind w:firstLine="482" w:firstLineChars="200"/>
        <w:rPr>
          <w:rFonts w:hint="eastAsia" w:ascii="宋体" w:hAnsi="宋体" w:cs="宋体"/>
          <w:b/>
          <w:bCs/>
          <w:color w:val="auto"/>
          <w:sz w:val="24"/>
          <w:szCs w:val="22"/>
          <w:highlight w:val="none"/>
        </w:rPr>
      </w:pPr>
      <w:r>
        <w:rPr>
          <w:rFonts w:hint="eastAsia" w:ascii="宋体" w:hAnsi="宋体" w:cs="宋体"/>
          <w:b/>
          <w:bCs/>
          <w:color w:val="auto"/>
          <w:sz w:val="24"/>
          <w:szCs w:val="22"/>
          <w:highlight w:val="none"/>
        </w:rPr>
        <w:t>采购过程中出现以下情形，导致电子交易平台无法正常运行，或者无法保证电子交易的公平、公正和安全时，采购组织机构可中止电子交易活动：</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（1）电子交易平台发生故障而无法登录访问的；</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（2）电子交易平台应用或数据库出现错误，不能进行正常操作的；</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（3）电子交易平台发现严重安全漏洞，有潜在泄密危险的；</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（4）病毒发作导致不能进行正常操作的；</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（5）其他无法保证电子交易的公平、公正和安全的情况。</w:t>
      </w:r>
    </w:p>
    <w:p>
      <w:pPr>
        <w:adjustRightInd w:val="0"/>
        <w:snapToGrid w:val="0"/>
        <w:spacing w:line="400" w:lineRule="exact"/>
        <w:ind w:firstLine="482" w:firstLineChars="200"/>
        <w:rPr>
          <w:rFonts w:hint="eastAsia" w:ascii="宋体" w:hAnsi="宋体" w:cs="宋体"/>
          <w:b/>
          <w:bCs/>
          <w:color w:val="auto"/>
          <w:highlight w:val="none"/>
        </w:rPr>
      </w:pPr>
      <w:r>
        <w:rPr>
          <w:rFonts w:hint="eastAsia" w:ascii="宋体" w:hAnsi="宋体" w:cs="宋体"/>
          <w:b/>
          <w:bCs/>
          <w:color w:val="auto"/>
          <w:sz w:val="24"/>
          <w:szCs w:val="22"/>
          <w:highlight w:val="none"/>
        </w:rPr>
        <w:t>出现前款规定情形，不影响采购公平、公正性的，采购组织机构可以待上述情形消除后继续组织电子交易活动；影响或可能影响采购公平、公正性的，应当重新采购。</w:t>
      </w:r>
    </w:p>
    <w:p>
      <w:pPr>
        <w:pStyle w:val="312"/>
        <w:adjustRightInd w:val="0"/>
        <w:snapToGrid w:val="0"/>
        <w:spacing w:before="0" w:line="400" w:lineRule="exact"/>
        <w:ind w:firstLine="0" w:firstLineChars="0"/>
        <w:rPr>
          <w:rFonts w:hint="eastAsia" w:ascii="宋体" w:hAnsi="宋体" w:cs="宋体"/>
          <w:color w:val="auto"/>
          <w:szCs w:val="24"/>
          <w:highlight w:val="none"/>
        </w:rPr>
      </w:pPr>
      <w:r>
        <w:rPr>
          <w:rFonts w:hint="eastAsia" w:ascii="宋体" w:hAnsi="宋体" w:cs="宋体"/>
          <w:b/>
          <w:color w:val="auto"/>
          <w:highlight w:val="none"/>
        </w:rPr>
        <w:t>（六）投标文件的澄清、说明或补正</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对于投标文件中含义不明确、同类问题表述不一致或者有明显文字和计算错误的内容，评标委员会将以书面形式（或通过“政府采购云平台”在线询标）的形式要求投标人在规定的时间内作出必要的澄清、说明或者补正，投标人澄清、说明或补正时间为30分钟。</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投标人的澄清、说明或者补正应当采用书面（或通过“政府采购云平台”在线答复）形式提交，并加盖公章，或者由法定代表人或其授权的代表签字。投标人的澄清、说明或者补正不得超出投标文件的范围或者改变投标文件的实质性内容。</w:t>
      </w:r>
    </w:p>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（七）评标办法</w:t>
      </w:r>
    </w:p>
    <w:bookmarkEnd w:id="62"/>
    <w:p>
      <w:pPr>
        <w:adjustRightInd w:val="0"/>
        <w:snapToGrid w:val="0"/>
        <w:spacing w:line="400" w:lineRule="exact"/>
        <w:ind w:firstLine="480" w:firstLineChars="200"/>
        <w:rPr>
          <w:rFonts w:hint="eastAsia" w:ascii="宋体" w:hAnsi="宋体" w:cs="宋体"/>
          <w:color w:val="auto"/>
          <w:sz w:val="24"/>
          <w:highlight w:val="none"/>
        </w:rPr>
      </w:pPr>
      <w:bookmarkStart w:id="70" w:name="_Toc86216994"/>
      <w:r>
        <w:rPr>
          <w:rFonts w:hint="eastAsia" w:ascii="宋体" w:hAnsi="宋体" w:cs="宋体"/>
          <w:color w:val="auto"/>
          <w:sz w:val="24"/>
          <w:highlight w:val="none"/>
        </w:rPr>
        <w:t>详见“第六部分  评标办法”。</w:t>
      </w:r>
    </w:p>
    <w:p>
      <w:pPr>
        <w:pStyle w:val="312"/>
        <w:adjustRightInd w:val="0"/>
        <w:snapToGrid w:val="0"/>
        <w:spacing w:before="0" w:line="400" w:lineRule="exact"/>
        <w:ind w:firstLine="0" w:firstLineChars="0"/>
        <w:rPr>
          <w:rFonts w:hint="eastAsia" w:ascii="宋体" w:hAnsi="宋体" w:cs="宋体"/>
          <w:b/>
          <w:color w:val="auto"/>
          <w:highlight w:val="none"/>
        </w:rPr>
      </w:pPr>
      <w:r>
        <w:rPr>
          <w:rFonts w:hint="eastAsia" w:ascii="宋体" w:hAnsi="宋体" w:cs="宋体"/>
          <w:b/>
          <w:color w:val="auto"/>
          <w:highlight w:val="none"/>
        </w:rPr>
        <w:t>（八）评标内容的保密</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1、公开开标后，直到公告中标单位止，凡属于审查、澄清、评价和比较投标的所有资料，都不向投标人或与评标无关的其他人泄露。</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2、 在投标文件的审查、澄清、评价和比较以及确定中标人过程中，投标人对招标人、招标代理机构和评标委员会施加影响的任何行为，都将导致取消资格。</w:t>
      </w:r>
    </w:p>
    <w:p>
      <w:pPr>
        <w:adjustRightInd w:val="0"/>
        <w:snapToGrid w:val="0"/>
        <w:spacing w:line="400" w:lineRule="exact"/>
        <w:jc w:val="center"/>
        <w:outlineLvl w:val="1"/>
        <w:rPr>
          <w:rFonts w:hint="eastAsia" w:ascii="宋体" w:hAnsi="宋体" w:cs="宋体"/>
          <w:b/>
          <w:color w:val="auto"/>
          <w:sz w:val="32"/>
          <w:highlight w:val="none"/>
        </w:rPr>
      </w:pPr>
      <w:bookmarkStart w:id="71" w:name="_Toc522530047"/>
      <w:bookmarkStart w:id="72" w:name="_Toc23416"/>
      <w:bookmarkStart w:id="73" w:name="_Toc233618978"/>
      <w:r>
        <w:rPr>
          <w:rFonts w:hint="eastAsia" w:ascii="宋体" w:hAnsi="宋体" w:cs="宋体"/>
          <w:b/>
          <w:color w:val="auto"/>
          <w:sz w:val="32"/>
          <w:highlight w:val="none"/>
        </w:rPr>
        <w:t>七、定 标</w:t>
      </w:r>
      <w:bookmarkEnd w:id="70"/>
      <w:bookmarkEnd w:id="71"/>
      <w:bookmarkEnd w:id="72"/>
      <w:bookmarkEnd w:id="73"/>
    </w:p>
    <w:p>
      <w:pPr>
        <w:pStyle w:val="27"/>
        <w:tabs>
          <w:tab w:val="left" w:pos="1440"/>
        </w:tabs>
        <w:adjustRightInd w:val="0"/>
        <w:snapToGrid w:val="0"/>
        <w:spacing w:after="0" w:line="400" w:lineRule="exact"/>
        <w:ind w:left="560"/>
        <w:rPr>
          <w:rFonts w:hint="eastAsia" w:ascii="宋体" w:hAnsi="宋体" w:cs="宋体"/>
          <w:b/>
          <w:color w:val="auto"/>
          <w:sz w:val="24"/>
          <w:highlight w:val="none"/>
        </w:rPr>
      </w:pPr>
      <w:r>
        <w:rPr>
          <w:rFonts w:hint="eastAsia" w:ascii="宋体" w:hAnsi="宋体" w:cs="宋体"/>
          <w:b/>
          <w:color w:val="auto"/>
          <w:sz w:val="24"/>
          <w:highlight w:val="none"/>
        </w:rPr>
        <w:t>（一）定标</w:t>
      </w:r>
      <w:r>
        <w:rPr>
          <w:rFonts w:hint="eastAsia" w:ascii="宋体" w:hAnsi="宋体" w:cs="宋体"/>
          <w:b/>
          <w:color w:val="auto"/>
          <w:sz w:val="24"/>
          <w:highlight w:val="none"/>
        </w:rPr>
        <w:tab/>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评标委员会根据以下规定确定投标人排名并推荐中标候选人。</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1、评标委员会根据各投标人的综合得分（商务技术分与报价得分之和）从高到低依次进行排名排序。特殊情形按以下原则处理：</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（1）综合得分相同的，按投标报价低的优先原则确定排名；</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（2）综合得分和投标报价均相同的，按商务技术得分从高到低确定排名；</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（3）综合得分、投标报价和商务技术得分均相同的由评标委员会全体成员记名投票按少数服从多数的原则确定排名。</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2、根据最终得分排序，通过书面评审报告的形式，向采购人推荐排名第一的投标人为中标候选人。</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3、评审结束后，评标委员会将通过“政府采购云平台”起草评审报告，评标委员会成员应当在评审报告上签字，对自己的评审意见承担法律责任。对评审报告有异议的，应当在评审报告上签署不同意见，并说明理由，否则视为同意评审报告。</w:t>
      </w:r>
    </w:p>
    <w:p>
      <w:pPr>
        <w:pStyle w:val="27"/>
        <w:tabs>
          <w:tab w:val="left" w:pos="1440"/>
        </w:tabs>
        <w:adjustRightInd w:val="0"/>
        <w:snapToGrid w:val="0"/>
        <w:spacing w:after="0" w:line="400" w:lineRule="exact"/>
        <w:ind w:left="560"/>
        <w:rPr>
          <w:rFonts w:hint="eastAsia" w:ascii="宋体" w:hAnsi="宋体" w:cs="宋体"/>
          <w:b/>
          <w:color w:val="auto"/>
          <w:sz w:val="24"/>
          <w:highlight w:val="none"/>
        </w:rPr>
      </w:pPr>
      <w:r>
        <w:rPr>
          <w:rFonts w:hint="eastAsia" w:ascii="宋体" w:hAnsi="宋体" w:cs="宋体"/>
          <w:b/>
          <w:color w:val="auto"/>
          <w:sz w:val="24"/>
          <w:highlight w:val="none"/>
        </w:rPr>
        <w:t>（二）招标结果公告</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在招标人确认招标结果后招标代理机构按相关政府采购规定将招标结果发布在原招标公告发布媒体。公告有效期为1个工作日。招标人、招标代理机构及评标委员会对未中标的投标人不作落标原因解释。</w:t>
      </w:r>
    </w:p>
    <w:p>
      <w:pPr>
        <w:pStyle w:val="27"/>
        <w:tabs>
          <w:tab w:val="left" w:pos="1440"/>
        </w:tabs>
        <w:adjustRightInd w:val="0"/>
        <w:snapToGrid w:val="0"/>
        <w:spacing w:after="0" w:line="400" w:lineRule="exact"/>
        <w:ind w:left="560"/>
        <w:rPr>
          <w:rFonts w:hint="eastAsia" w:ascii="宋体" w:hAnsi="宋体" w:cs="宋体"/>
          <w:b/>
          <w:color w:val="auto"/>
          <w:sz w:val="24"/>
          <w:highlight w:val="none"/>
        </w:rPr>
      </w:pPr>
      <w:bookmarkStart w:id="74" w:name="_Hlt75236103"/>
      <w:bookmarkEnd w:id="74"/>
      <w:bookmarkStart w:id="75" w:name="_Toc86216995"/>
      <w:bookmarkStart w:id="76" w:name="_Toc91899910"/>
      <w:r>
        <w:rPr>
          <w:rFonts w:hint="eastAsia" w:ascii="宋体" w:hAnsi="宋体" w:cs="宋体"/>
          <w:b/>
          <w:color w:val="auto"/>
          <w:sz w:val="24"/>
          <w:highlight w:val="none"/>
        </w:rPr>
        <w:t>（三）中标通知书</w:t>
      </w:r>
      <w:r>
        <w:rPr>
          <w:rFonts w:hint="eastAsia" w:ascii="宋体" w:hAnsi="宋体" w:cs="宋体"/>
          <w:b/>
          <w:color w:val="auto"/>
          <w:sz w:val="24"/>
          <w:highlight w:val="none"/>
        </w:rPr>
        <w:tab/>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在公告中标结果的同时，招标人或者招标代理机构应当向中标人发出中标通知书。</w:t>
      </w:r>
    </w:p>
    <w:p>
      <w:pPr>
        <w:adjustRightInd w:val="0"/>
        <w:snapToGrid w:val="0"/>
        <w:spacing w:line="400" w:lineRule="exact"/>
        <w:jc w:val="center"/>
        <w:outlineLvl w:val="1"/>
        <w:rPr>
          <w:rFonts w:hint="eastAsia" w:ascii="宋体" w:hAnsi="宋体" w:cs="宋体"/>
          <w:b/>
          <w:color w:val="auto"/>
          <w:sz w:val="32"/>
          <w:highlight w:val="none"/>
        </w:rPr>
      </w:pPr>
      <w:bookmarkStart w:id="77" w:name="_Toc522530048"/>
      <w:bookmarkStart w:id="78" w:name="_Toc15506"/>
      <w:bookmarkStart w:id="79" w:name="_Toc233618979"/>
      <w:r>
        <w:rPr>
          <w:rFonts w:hint="eastAsia" w:ascii="宋体" w:hAnsi="宋体" w:cs="宋体"/>
          <w:b/>
          <w:color w:val="auto"/>
          <w:sz w:val="32"/>
          <w:highlight w:val="none"/>
        </w:rPr>
        <w:t>八、</w:t>
      </w:r>
      <w:bookmarkEnd w:id="75"/>
      <w:r>
        <w:rPr>
          <w:rFonts w:hint="eastAsia" w:ascii="宋体" w:hAnsi="宋体" w:cs="宋体"/>
          <w:b/>
          <w:color w:val="auto"/>
          <w:sz w:val="32"/>
          <w:highlight w:val="none"/>
        </w:rPr>
        <w:t>合同签订及其他</w:t>
      </w:r>
      <w:bookmarkEnd w:id="77"/>
      <w:bookmarkEnd w:id="78"/>
      <w:bookmarkEnd w:id="79"/>
    </w:p>
    <w:bookmarkEnd w:id="76"/>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（一）合同的签订</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中标人接到中标通知书后按规定的日期、时间、地点，由法定代表人或其授权代表与招标人代表按照“第四部分 合同文本”内容签订《采购合同》。</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所签订的合同不得对招标文件和中标人投标文件作实质性修改。招标人不得向中标投标人提出任何不合理的要求，作为签订合同的条件，不得与中标人私下订立背离合同实质性内容的协议。</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招标文件及补充文件、中标人的投标文件及投标修改文件、评标过程中有关澄清文件和中标通知书均作为合同附件。</w:t>
      </w:r>
    </w:p>
    <w:p>
      <w:pPr>
        <w:tabs>
          <w:tab w:val="left" w:pos="3780"/>
        </w:tabs>
        <w:spacing w:line="400" w:lineRule="exact"/>
        <w:ind w:firstLine="482" w:firstLineChars="200"/>
        <w:rPr>
          <w:rFonts w:hint="eastAsia" w:ascii="宋体" w:hAnsi="宋体" w:cs="宋体"/>
          <w:b/>
          <w:color w:val="auto"/>
          <w:sz w:val="24"/>
          <w:szCs w:val="22"/>
          <w:highlight w:val="none"/>
        </w:rPr>
      </w:pPr>
      <w:r>
        <w:rPr>
          <w:rFonts w:hint="eastAsia" w:ascii="宋体" w:hAnsi="宋体" w:cs="宋体"/>
          <w:b/>
          <w:color w:val="auto"/>
          <w:sz w:val="24"/>
          <w:szCs w:val="22"/>
          <w:highlight w:val="none"/>
        </w:rPr>
        <w:t>中标后，投标人拒绝签订合同的，采购人可以按照评审报告推荐的中标或者成交候选人名单排序，确定下一候选人为中标或者成交投标人，也可以重新开展政府采购活动。投标人中标或者成交后拒绝签订合同的，应按采购预算金额的2%对采购人进行赔偿；赔偿金额不足以弥补采购人损失的，投标人应继续承担超过部分的损失。</w:t>
      </w:r>
    </w:p>
    <w:p>
      <w:pPr>
        <w:tabs>
          <w:tab w:val="left" w:pos="3780"/>
        </w:tabs>
        <w:spacing w:line="400" w:lineRule="exact"/>
        <w:ind w:firstLine="482" w:firstLineChars="200"/>
        <w:rPr>
          <w:rFonts w:hint="eastAsia" w:ascii="宋体" w:hAnsi="宋体" w:cs="宋体"/>
          <w:b/>
          <w:color w:val="auto"/>
          <w:sz w:val="24"/>
          <w:szCs w:val="22"/>
          <w:highlight w:val="none"/>
        </w:rPr>
      </w:pPr>
      <w:r>
        <w:rPr>
          <w:rFonts w:hint="eastAsia" w:ascii="宋体" w:hAnsi="宋体" w:cs="宋体"/>
          <w:b/>
          <w:color w:val="auto"/>
          <w:sz w:val="24"/>
          <w:szCs w:val="22"/>
          <w:highlight w:val="none"/>
        </w:rPr>
        <w:t>存在下列行为的，采购代理机构将其失信行为上报政府采购主管部门，由主管部门按有关规定对其违法失信行为记录进行公开：</w:t>
      </w:r>
    </w:p>
    <w:p>
      <w:pPr>
        <w:tabs>
          <w:tab w:val="left" w:pos="3780"/>
        </w:tabs>
        <w:spacing w:line="400" w:lineRule="exact"/>
        <w:ind w:firstLine="482" w:firstLineChars="200"/>
        <w:rPr>
          <w:rFonts w:hint="eastAsia" w:ascii="宋体" w:hAnsi="宋体" w:cs="宋体"/>
          <w:b/>
          <w:color w:val="auto"/>
          <w:sz w:val="24"/>
          <w:szCs w:val="22"/>
          <w:highlight w:val="none"/>
        </w:rPr>
      </w:pPr>
      <w:r>
        <w:rPr>
          <w:rFonts w:hint="eastAsia" w:ascii="宋体" w:hAnsi="宋体" w:cs="宋体"/>
          <w:b/>
          <w:color w:val="auto"/>
          <w:sz w:val="24"/>
          <w:szCs w:val="22"/>
          <w:highlight w:val="none"/>
        </w:rPr>
        <w:t>（1）中标或者成交后，拒绝签订政府采购合同的；</w:t>
      </w:r>
    </w:p>
    <w:p>
      <w:pPr>
        <w:tabs>
          <w:tab w:val="left" w:pos="3780"/>
        </w:tabs>
        <w:spacing w:line="400" w:lineRule="exact"/>
        <w:ind w:firstLine="482" w:firstLineChars="200"/>
        <w:rPr>
          <w:rFonts w:hint="eastAsia" w:ascii="宋体" w:hAnsi="宋体" w:cs="宋体"/>
          <w:b/>
          <w:color w:val="auto"/>
          <w:sz w:val="24"/>
          <w:szCs w:val="22"/>
          <w:highlight w:val="none"/>
        </w:rPr>
      </w:pPr>
      <w:r>
        <w:rPr>
          <w:rFonts w:hint="eastAsia" w:ascii="宋体" w:hAnsi="宋体" w:cs="宋体"/>
          <w:b/>
          <w:color w:val="auto"/>
          <w:sz w:val="24"/>
          <w:szCs w:val="22"/>
          <w:highlight w:val="none"/>
        </w:rPr>
        <w:t>（2）投标有效期内撤销投标文件的。</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如签订合同并生效后，投标人无故拒绝或延期合格交货的，除按照合同条款处罚外，列入不良行为记录一次，并给予通报。</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 xml:space="preserve">中标人因制造商原因无法供货导致无法签订合同的视为“中标后无正当理由不与招标人签订合同”。 </w:t>
      </w:r>
    </w:p>
    <w:p>
      <w:pPr>
        <w:tabs>
          <w:tab w:val="left" w:pos="0"/>
        </w:tabs>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（二）售后服务考核</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将参照有关法律法规，对投标人进行考核，发现弄虚作假，偷工减料，以次充好，达不到国家、行业有关标准和技术文件规定的，一经查实，招标人将视情况终止合同。</w:t>
      </w:r>
    </w:p>
    <w:p>
      <w:pPr>
        <w:tabs>
          <w:tab w:val="left" w:pos="0"/>
        </w:tabs>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（三）招标代理服务费</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本次招标代理服务费按本须知“前附表”规定收取。</w:t>
      </w:r>
    </w:p>
    <w:p>
      <w:pPr>
        <w:adjustRightInd w:val="0"/>
        <w:snapToGrid w:val="0"/>
        <w:spacing w:line="400" w:lineRule="exact"/>
        <w:ind w:firstLine="480" w:firstLineChars="200"/>
        <w:rPr>
          <w:rFonts w:hint="eastAsia" w:ascii="宋体" w:hAnsi="宋体" w:cs="宋体"/>
          <w:color w:val="auto"/>
          <w:sz w:val="24"/>
          <w:highlight w:val="none"/>
        </w:rPr>
        <w:sectPr>
          <w:headerReference r:id="rId4" w:type="first"/>
          <w:footerReference r:id="rId7" w:type="first"/>
          <w:headerReference r:id="rId3" w:type="default"/>
          <w:footerReference r:id="rId5" w:type="default"/>
          <w:footerReference r:id="rId6" w:type="even"/>
          <w:pgSz w:w="11906" w:h="16838"/>
          <w:pgMar w:top="1440" w:right="1134" w:bottom="1440" w:left="1134" w:header="851" w:footer="850" w:gutter="0"/>
          <w:pgNumType w:start="1"/>
          <w:cols w:space="0" w:num="1"/>
          <w:titlePg/>
          <w:docGrid w:linePitch="381" w:charSpace="0"/>
        </w:sectPr>
      </w:pPr>
    </w:p>
    <w:p>
      <w:pPr>
        <w:pStyle w:val="312"/>
        <w:numPr>
          <w:ilvl w:val="0"/>
          <w:numId w:val="4"/>
        </w:numPr>
        <w:spacing w:before="0" w:line="400" w:lineRule="exact"/>
        <w:ind w:firstLine="0" w:firstLineChars="0"/>
        <w:jc w:val="center"/>
        <w:outlineLvl w:val="0"/>
        <w:rPr>
          <w:rFonts w:hint="eastAsia" w:ascii="宋体" w:hAnsi="宋体" w:cs="宋体"/>
          <w:b/>
          <w:color w:val="auto"/>
          <w:sz w:val="36"/>
          <w:highlight w:val="none"/>
        </w:rPr>
      </w:pPr>
      <w:r>
        <w:rPr>
          <w:rFonts w:hint="eastAsia" w:ascii="宋体" w:hAnsi="宋体" w:cs="宋体"/>
          <w:b/>
          <w:color w:val="auto"/>
          <w:sz w:val="36"/>
          <w:highlight w:val="none"/>
        </w:rPr>
        <w:t>采购需求</w:t>
      </w:r>
    </w:p>
    <w:p>
      <w:pPr>
        <w:pStyle w:val="312"/>
        <w:numPr>
          <w:ilvl w:val="0"/>
          <w:numId w:val="0"/>
        </w:numPr>
        <w:spacing w:before="0" w:line="400" w:lineRule="exact"/>
        <w:jc w:val="both"/>
        <w:outlineLvl w:val="0"/>
        <w:rPr>
          <w:rFonts w:hint="eastAsia" w:ascii="宋体" w:hAnsi="宋体" w:cs="宋体"/>
          <w:b/>
          <w:color w:val="auto"/>
          <w:sz w:val="36"/>
          <w:highlight w:val="none"/>
        </w:rPr>
      </w:pPr>
    </w:p>
    <w:p>
      <w:pPr>
        <w:pStyle w:val="312"/>
        <w:numPr>
          <w:ilvl w:val="0"/>
          <w:numId w:val="0"/>
        </w:numPr>
        <w:spacing w:before="0" w:line="400" w:lineRule="exact"/>
        <w:jc w:val="both"/>
        <w:outlineLvl w:val="0"/>
        <w:rPr>
          <w:rFonts w:hint="eastAsia" w:ascii="宋体" w:hAnsi="宋体" w:cs="宋体"/>
          <w:b/>
          <w:color w:val="auto"/>
          <w:sz w:val="32"/>
          <w:szCs w:val="21"/>
          <w:highlight w:val="none"/>
          <w:lang w:eastAsia="zh-CN"/>
        </w:rPr>
      </w:pPr>
      <w:r>
        <w:rPr>
          <w:rFonts w:hint="eastAsia" w:ascii="宋体" w:hAnsi="宋体" w:cs="宋体"/>
          <w:b/>
          <w:color w:val="auto"/>
          <w:sz w:val="32"/>
          <w:szCs w:val="21"/>
          <w:highlight w:val="none"/>
          <w:lang w:eastAsia="zh-CN"/>
        </w:rPr>
        <w:t>标项一：衢州机场设备更新改造提升项目货检双视角X光检查仪采购的采购需求</w:t>
      </w:r>
    </w:p>
    <w:p>
      <w:pPr>
        <w:keepNext w:val="0"/>
        <w:keepLines w:val="0"/>
        <w:pageBreakBefore w:val="0"/>
        <w:widowControl w:val="0"/>
        <w:kinsoku/>
        <w:wordWrap/>
        <w:overflowPunct/>
        <w:topLinePunct w:val="0"/>
        <w:autoSpaceDE w:val="0"/>
        <w:autoSpaceDN w:val="0"/>
        <w:bidi w:val="0"/>
        <w:adjustRightInd w:val="0"/>
        <w:snapToGrid/>
        <w:spacing w:line="440" w:lineRule="exact"/>
        <w:ind w:right="-20" w:firstLine="482" w:firstLineChars="200"/>
        <w:textAlignment w:val="auto"/>
        <w:rPr>
          <w:rFonts w:hint="eastAsia" w:ascii="宋体" w:hAnsi="宋体" w:eastAsia="宋体" w:cs="Times New Roman"/>
          <w:b/>
          <w:bCs/>
          <w:color w:val="auto"/>
          <w:sz w:val="24"/>
          <w:highlight w:val="none"/>
          <w:lang w:eastAsia="zh-CN"/>
        </w:rPr>
      </w:pPr>
      <w:bookmarkStart w:id="80" w:name="_Toc492733886"/>
      <w:bookmarkStart w:id="81" w:name="_Toc1203"/>
      <w:bookmarkStart w:id="82" w:name="_Toc233618986"/>
      <w:bookmarkStart w:id="83" w:name="_Toc86217003"/>
      <w:r>
        <w:rPr>
          <w:rFonts w:hint="eastAsia" w:ascii="宋体" w:hAnsi="宋体" w:eastAsia="宋体" w:cs="Times New Roman"/>
          <w:b/>
          <w:bCs/>
          <w:color w:val="auto"/>
          <w:sz w:val="24"/>
          <w:highlight w:val="none"/>
          <w:lang w:eastAsia="zh-CN"/>
        </w:rPr>
        <w:t>一、采购内容</w:t>
      </w:r>
    </w:p>
    <w:p>
      <w:pPr>
        <w:spacing w:line="360" w:lineRule="auto"/>
        <w:ind w:firstLine="720" w:firstLineChars="300"/>
        <w:jc w:val="left"/>
        <w:rPr>
          <w:rFonts w:hint="eastAsia" w:ascii="宋体" w:hAnsi="宋体" w:eastAsia="宋体" w:cs="宋体"/>
          <w:color w:val="auto"/>
          <w:sz w:val="24"/>
          <w:szCs w:val="24"/>
          <w:highlight w:val="none"/>
        </w:rPr>
      </w:pPr>
      <w:r>
        <w:rPr>
          <w:rFonts w:hint="eastAsia" w:ascii="宋体" w:hAnsi="宋体" w:cs="Times New Roman"/>
          <w:color w:val="auto"/>
          <w:sz w:val="24"/>
          <w:highlight w:val="none"/>
          <w:lang w:eastAsia="zh-CN"/>
        </w:rPr>
        <w:t>衢州机场设备更新改造提升项目货检双视角X光检查仪采购</w:t>
      </w:r>
      <w:r>
        <w:rPr>
          <w:rFonts w:hint="eastAsia" w:ascii="宋体" w:hAnsi="宋体" w:eastAsia="宋体" w:cs="Times New Roman"/>
          <w:color w:val="auto"/>
          <w:sz w:val="24"/>
          <w:highlight w:val="none"/>
          <w:lang w:eastAsia="zh-CN"/>
        </w:rPr>
        <w:t>。</w:t>
      </w:r>
    </w:p>
    <w:p>
      <w:pPr>
        <w:keepNext w:val="0"/>
        <w:keepLines w:val="0"/>
        <w:pageBreakBefore w:val="0"/>
        <w:widowControl w:val="0"/>
        <w:numPr>
          <w:ilvl w:val="0"/>
          <w:numId w:val="5"/>
        </w:numPr>
        <w:kinsoku/>
        <w:wordWrap/>
        <w:overflowPunct/>
        <w:topLinePunct w:val="0"/>
        <w:autoSpaceDE w:val="0"/>
        <w:autoSpaceDN w:val="0"/>
        <w:bidi w:val="0"/>
        <w:adjustRightInd w:val="0"/>
        <w:snapToGrid/>
        <w:spacing w:line="440" w:lineRule="exact"/>
        <w:ind w:right="-20" w:firstLine="482" w:firstLineChars="200"/>
        <w:textAlignment w:val="auto"/>
        <w:rPr>
          <w:rFonts w:hint="eastAsia" w:ascii="宋体" w:hAnsi="宋体" w:eastAsia="宋体" w:cs="Times New Roman"/>
          <w:b w:val="0"/>
          <w:bCs w:val="0"/>
          <w:color w:val="auto"/>
          <w:sz w:val="24"/>
          <w:highlight w:val="none"/>
          <w:lang w:eastAsia="zh-CN"/>
        </w:rPr>
      </w:pPr>
      <w:r>
        <w:rPr>
          <w:rFonts w:hint="eastAsia" w:ascii="宋体" w:hAnsi="宋体" w:eastAsia="宋体" w:cs="Times New Roman"/>
          <w:b/>
          <w:bCs/>
          <w:color w:val="auto"/>
          <w:sz w:val="24"/>
          <w:highlight w:val="none"/>
          <w:lang w:eastAsia="zh-CN"/>
        </w:rPr>
        <w:t>合同履约期限：</w:t>
      </w:r>
      <w:r>
        <w:rPr>
          <w:rFonts w:hint="eastAsia" w:ascii="宋体" w:hAnsi="宋体" w:eastAsia="宋体" w:cs="Times New Roman"/>
          <w:b w:val="0"/>
          <w:bCs w:val="0"/>
          <w:color w:val="auto"/>
          <w:sz w:val="24"/>
          <w:highlight w:val="none"/>
          <w:lang w:eastAsia="zh-CN"/>
        </w:rPr>
        <w:t>合同签订后3个月内完成供货及安装、调试，具体时间以采购人书面通知为准。</w:t>
      </w:r>
    </w:p>
    <w:p>
      <w:pPr>
        <w:keepNext w:val="0"/>
        <w:keepLines w:val="0"/>
        <w:pageBreakBefore w:val="0"/>
        <w:widowControl w:val="0"/>
        <w:numPr>
          <w:ilvl w:val="0"/>
          <w:numId w:val="0"/>
        </w:numPr>
        <w:kinsoku/>
        <w:wordWrap/>
        <w:overflowPunct/>
        <w:topLinePunct w:val="0"/>
        <w:autoSpaceDE w:val="0"/>
        <w:autoSpaceDN w:val="0"/>
        <w:bidi w:val="0"/>
        <w:adjustRightInd w:val="0"/>
        <w:snapToGrid/>
        <w:spacing w:line="440" w:lineRule="exact"/>
        <w:ind w:right="-20" w:rightChars="0" w:firstLine="482" w:firstLineChars="200"/>
        <w:textAlignment w:val="auto"/>
        <w:rPr>
          <w:rFonts w:hint="eastAsia" w:ascii="宋体" w:hAnsi="宋体" w:eastAsia="宋体" w:cs="Times New Roman"/>
          <w:b/>
          <w:bCs/>
          <w:color w:val="auto"/>
          <w:sz w:val="24"/>
          <w:highlight w:val="none"/>
          <w:lang w:eastAsia="zh-CN"/>
        </w:rPr>
      </w:pPr>
      <w:r>
        <w:rPr>
          <w:rFonts w:hint="eastAsia" w:ascii="宋体" w:hAnsi="宋体" w:eastAsia="宋体" w:cs="Times New Roman"/>
          <w:b/>
          <w:bCs/>
          <w:color w:val="auto"/>
          <w:sz w:val="24"/>
          <w:highlight w:val="none"/>
          <w:lang w:eastAsia="zh-CN"/>
        </w:rPr>
        <w:t>三、采购需求及内容要求</w:t>
      </w:r>
    </w:p>
    <w:p>
      <w:pPr>
        <w:keepNext w:val="0"/>
        <w:keepLines w:val="0"/>
        <w:pageBreakBefore w:val="0"/>
        <w:widowControl w:val="0"/>
        <w:kinsoku/>
        <w:wordWrap/>
        <w:overflowPunct/>
        <w:topLinePunct w:val="0"/>
        <w:autoSpaceDE w:val="0"/>
        <w:autoSpaceDN w:val="0"/>
        <w:bidi w:val="0"/>
        <w:adjustRightInd w:val="0"/>
        <w:snapToGrid/>
        <w:spacing w:line="440" w:lineRule="exact"/>
        <w:ind w:right="-20" w:firstLine="480" w:firstLineChars="200"/>
        <w:textAlignment w:val="auto"/>
        <w:rPr>
          <w:rFonts w:hint="eastAsia" w:ascii="宋体" w:hAnsi="宋体" w:eastAsia="宋体" w:cs="Times New Roman"/>
          <w:b/>
          <w:bCs/>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▲1.所投标设备须满足民航局颁布的</w:t>
      </w:r>
      <w:r>
        <w:rPr>
          <w:rFonts w:ascii="宋体" w:hAnsi="宋体"/>
          <w:color w:val="auto"/>
          <w:sz w:val="24"/>
          <w:szCs w:val="24"/>
          <w:highlight w:val="none"/>
        </w:rPr>
        <w:t>《民用航空货物运输X射线双视角安全</w:t>
      </w:r>
      <w:r>
        <w:rPr>
          <w:rFonts w:hint="eastAsia" w:ascii="宋体" w:hAnsi="宋体"/>
          <w:color w:val="auto"/>
          <w:sz w:val="24"/>
          <w:szCs w:val="24"/>
          <w:highlight w:val="none"/>
        </w:rPr>
        <w:t>检查</w:t>
      </w:r>
      <w:r>
        <w:rPr>
          <w:rFonts w:ascii="宋体" w:hAnsi="宋体"/>
          <w:color w:val="auto"/>
          <w:sz w:val="24"/>
          <w:szCs w:val="24"/>
          <w:highlight w:val="none"/>
        </w:rPr>
        <w:t>设备鉴定标准》（民航函 [2022] 234 号</w:t>
      </w:r>
      <w:r>
        <w:rPr>
          <w:rFonts w:hint="eastAsia" w:ascii="宋体" w:hAnsi="宋体"/>
          <w:color w:val="auto"/>
          <w:sz w:val="24"/>
          <w:szCs w:val="24"/>
          <w:highlight w:val="none"/>
        </w:rPr>
        <w:t>）相应设备的技术指标要求</w:t>
      </w:r>
      <w:r>
        <w:rPr>
          <w:rFonts w:hint="eastAsia" w:ascii="宋体" w:hAnsi="宋体" w:eastAsia="宋体" w:cs="Times New Roman"/>
          <w:color w:val="auto"/>
          <w:sz w:val="24"/>
          <w:szCs w:val="24"/>
          <w:highlight w:val="none"/>
          <w:lang w:val="en-US" w:eastAsia="zh-CN"/>
        </w:rPr>
        <w:t>，并取得《中国民用航空局民用航空安全检查设备使用许可证》</w:t>
      </w:r>
      <w:r>
        <w:rPr>
          <w:rFonts w:hint="eastAsia" w:ascii="宋体" w:hAnsi="宋体" w:cs="Times New Roman"/>
          <w:color w:val="auto"/>
          <w:sz w:val="24"/>
          <w:szCs w:val="24"/>
          <w:highlight w:val="none"/>
          <w:lang w:val="en-US" w:eastAsia="zh-CN"/>
        </w:rPr>
        <w:t>，</w:t>
      </w:r>
      <w:r>
        <w:rPr>
          <w:rFonts w:hint="eastAsia" w:ascii="宋体" w:hAnsi="宋体" w:cs="Times New Roman"/>
          <w:b/>
          <w:bCs/>
          <w:color w:val="auto"/>
          <w:sz w:val="24"/>
          <w:szCs w:val="24"/>
          <w:highlight w:val="none"/>
          <w:lang w:val="en-US" w:eastAsia="zh-CN"/>
        </w:rPr>
        <w:t>投标时提供</w:t>
      </w:r>
      <w:r>
        <w:rPr>
          <w:rFonts w:hint="eastAsia" w:ascii="宋体" w:hAnsi="宋体" w:eastAsia="宋体" w:cs="Times New Roman"/>
          <w:b/>
          <w:bCs/>
          <w:color w:val="auto"/>
          <w:sz w:val="24"/>
          <w:szCs w:val="24"/>
          <w:highlight w:val="none"/>
          <w:lang w:val="en-US" w:eastAsia="zh-CN"/>
        </w:rPr>
        <w:t>《中国民用航空局民用航空安全检查设备使用许可证》</w:t>
      </w:r>
      <w:r>
        <w:rPr>
          <w:rFonts w:hint="eastAsia" w:ascii="宋体" w:hAnsi="宋体" w:cs="Times New Roman"/>
          <w:b/>
          <w:bCs/>
          <w:color w:val="auto"/>
          <w:sz w:val="24"/>
          <w:szCs w:val="24"/>
          <w:highlight w:val="none"/>
          <w:lang w:val="en-US" w:eastAsia="zh-CN"/>
        </w:rPr>
        <w:t>扫描件编入商务技术文件</w:t>
      </w:r>
      <w:r>
        <w:rPr>
          <w:rFonts w:hint="eastAsia" w:ascii="宋体" w:hAnsi="宋体" w:eastAsia="宋体" w:cs="Times New Roman"/>
          <w:b/>
          <w:bCs/>
          <w:color w:val="auto"/>
          <w:sz w:val="24"/>
          <w:szCs w:val="24"/>
          <w:highlight w:val="none"/>
          <w:lang w:val="en-US" w:eastAsia="zh-CN"/>
        </w:rPr>
        <w:t>。</w:t>
      </w:r>
    </w:p>
    <w:p>
      <w:pPr>
        <w:keepNext w:val="0"/>
        <w:keepLines w:val="0"/>
        <w:pageBreakBefore w:val="0"/>
        <w:widowControl w:val="0"/>
        <w:kinsoku/>
        <w:wordWrap/>
        <w:overflowPunct/>
        <w:topLinePunct w:val="0"/>
        <w:autoSpaceDE w:val="0"/>
        <w:autoSpaceDN w:val="0"/>
        <w:bidi w:val="0"/>
        <w:adjustRightInd w:val="0"/>
        <w:snapToGrid/>
        <w:spacing w:line="440" w:lineRule="exact"/>
        <w:ind w:right="-20" w:firstLine="480" w:firstLineChars="200"/>
        <w:textAlignment w:val="auto"/>
        <w:rPr>
          <w:rFonts w:hint="eastAsia" w:ascii="宋体" w:hAnsi="宋体" w:eastAsia="宋体" w:cs="Times New Roman"/>
          <w:color w:val="auto"/>
          <w:sz w:val="24"/>
          <w:szCs w:val="24"/>
          <w:highlight w:val="none"/>
          <w:lang w:val="en-US" w:eastAsia="zh-CN"/>
        </w:rPr>
      </w:pPr>
      <w:r>
        <w:rPr>
          <w:rFonts w:hint="eastAsia" w:ascii="宋体" w:hAnsi="宋体" w:eastAsia="宋体" w:cs="Times New Roman"/>
          <w:color w:val="auto"/>
          <w:sz w:val="24"/>
          <w:szCs w:val="24"/>
          <w:highlight w:val="none"/>
          <w:lang w:val="en-US" w:eastAsia="zh-CN"/>
        </w:rPr>
        <w:t>2.设备技术指标要求：</w:t>
      </w:r>
    </w:p>
    <w:tbl>
      <w:tblPr>
        <w:tblStyle w:val="97"/>
        <w:tblW w:w="10138" w:type="dxa"/>
        <w:tblInd w:w="0" w:type="dxa"/>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768"/>
        <w:gridCol w:w="2870"/>
        <w:gridCol w:w="6500"/>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463" w:hRule="atLeast"/>
          <w:tblHeader/>
        </w:trPr>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序号</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项目</w:t>
            </w:r>
          </w:p>
        </w:tc>
        <w:tc>
          <w:tcPr>
            <w:tcW w:w="6500" w:type="dxa"/>
            <w:tcBorders>
              <w:top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技术规格</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扫描通道尺寸</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≥1000×1000 mm (W</w:t>
            </w:r>
            <w:r>
              <w:rPr>
                <w:rFonts w:hint="eastAsia" w:ascii="宋体" w:hAnsi="宋体" w:eastAsia="宋体" w:cs="宋体"/>
                <w:color w:val="auto"/>
                <w:sz w:val="24"/>
                <w:szCs w:val="24"/>
                <w:highlight w:val="none"/>
              </w:rPr>
              <w:sym w:font="Symbol" w:char="F0B4"/>
            </w:r>
            <w:r>
              <w:rPr>
                <w:rFonts w:hint="eastAsia" w:ascii="宋体" w:hAnsi="宋体" w:eastAsia="宋体" w:cs="宋体"/>
                <w:color w:val="auto"/>
                <w:sz w:val="24"/>
                <w:szCs w:val="24"/>
                <w:highlight w:val="none"/>
              </w:rPr>
              <w:t>H)</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传送带速度/高度</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lang w:eastAsia="zh-CN"/>
              </w:rPr>
            </w:pPr>
            <w:r>
              <w:rPr>
                <w:rFonts w:hint="eastAsia" w:ascii="宋体" w:hAnsi="宋体" w:eastAsia="宋体" w:cs="宋体"/>
                <w:color w:val="auto"/>
                <w:sz w:val="24"/>
                <w:szCs w:val="24"/>
                <w:highlight w:val="none"/>
              </w:rPr>
              <w:t>0.2m-0.4m/S / 300mm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穿透力</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侧照视角≥34mm ，顶照视角≥34mm</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线分辨力</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侧照视角≥32AWG，顶照视角≥32AWG</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cs="宋体"/>
                <w:color w:val="auto"/>
                <w:sz w:val="24"/>
                <w:szCs w:val="24"/>
                <w:highlight w:val="none"/>
              </w:rPr>
              <w:t>穿透分辨力</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侧照视角≥24AWG，顶照视角≥24AWG</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6</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单次射线辐射剂量</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sz w:val="24"/>
                <w:szCs w:val="24"/>
                <w:lang w:val="en-US" w:eastAsia="zh-CN"/>
              </w:rPr>
              <w:t>≤10μGy</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7</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胶卷安全性</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对ASA ISO1600（33 DIN）高速胶卷安全，多次照射无影响</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197" w:hRule="atLeast"/>
        </w:trPr>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8</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泄露剂量</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rPr>
              <w:sym w:font="Symbol" w:char="F06D"/>
            </w:r>
            <w:r>
              <w:rPr>
                <w:rFonts w:hint="eastAsia" w:ascii="宋体" w:hAnsi="宋体" w:eastAsia="宋体" w:cs="宋体"/>
                <w:color w:val="auto"/>
                <w:sz w:val="24"/>
                <w:szCs w:val="24"/>
                <w:highlight w:val="none"/>
              </w:rPr>
              <w:t>Gy/h，距机壳50mm处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9</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功率消耗</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≤1.5kVA</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0138" w:type="dxa"/>
            <w:gridSpan w:val="3"/>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X射线发生器</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10</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阳极电压</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≥160kV CP</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11</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X射线方向</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侧面照射及顶部向下照射</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X射线发生器</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密封油冷</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13</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X射线源数量</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2个</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10138" w:type="dxa"/>
            <w:gridSpan w:val="3"/>
            <w:tcBorders>
              <w:top w:val="single" w:color="auto" w:sz="6" w:space="0"/>
              <w:left w:val="single" w:color="auto" w:sz="6" w:space="0"/>
              <w:bottom w:val="single" w:color="auto" w:sz="6" w:space="0"/>
              <w:right w:val="single" w:color="auto" w:sz="6" w:space="0"/>
            </w:tcBorders>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color w:val="auto"/>
                <w:sz w:val="24"/>
                <w:szCs w:val="24"/>
                <w:highlight w:val="none"/>
              </w:rPr>
              <w:t>图像生成系统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14</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X射线传感器</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L形线性排列光电二极管阵列（精密双能量系统）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15</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储存灰度级</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≥16bit</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16</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图像处理</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≥32bit 实时处理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17</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数据存储容量</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≥512Mb</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18</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图像显示</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黑白、多能量、伪彩色</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19</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图像处理功能</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图像反转、有机物剔除、无机物剔除、黑白图像、图像超级增强、可变多能量、穿透增强、饱和度扫描、灰度扫描、亮暗增强、边缘增强、高密度报警</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rPr>
          <w:trHeight w:val="259" w:hRule="atLeast"/>
        </w:trPr>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20</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图像放大</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放大倍数：2，3，4，…32倍放大</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放大区域：任意选区和1~9选区</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图像全景显示框：可观看图像全景，并可确认放大的区域</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21</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图像存储</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可存储≥50000幅图像。</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22</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显示器</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24英寸液晶显示器</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图像分辨率：≥1920×1080</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符合MPRII 和TCO 03 3C标准。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23</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菜单</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中文菜单显示，所有信息能用中文显示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24</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其他功能</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日期及时间显示，被检行李自动计数和清零、设备X射线通电时间累计计数、设备工作状态显示、黑白/彩色图像切换、上电自检显示</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自我诊断测试功能</w:t>
            </w:r>
          </w:p>
        </w:tc>
        <w:tc>
          <w:tcPr>
            <w:tcW w:w="6500" w:type="dxa"/>
            <w:tcBorders>
              <w:top w:val="single" w:color="auto" w:sz="6" w:space="0"/>
              <w:bottom w:val="single" w:color="auto" w:sz="6" w:space="0"/>
              <w:right w:val="single" w:color="auto" w:sz="6"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具备实时监测，如遇故障，在屏幕上自动提示故障类型，并用代码显示出来。用内置检测功能，可显示探测二极管阵列的工作状况。</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Ex>
        <w:tc>
          <w:tcPr>
            <w:tcW w:w="768" w:type="dxa"/>
            <w:tcBorders>
              <w:top w:val="single" w:color="auto" w:sz="6" w:space="0"/>
              <w:left w:val="single" w:color="auto" w:sz="6" w:space="0"/>
              <w:bottom w:val="single" w:color="auto" w:sz="6" w:space="0"/>
            </w:tcBorders>
            <w:vAlign w:val="center"/>
          </w:tcPr>
          <w:p>
            <w:pPr>
              <w:spacing w:line="360" w:lineRule="auto"/>
              <w:jc w:val="center"/>
              <w:rPr>
                <w:rFonts w:hint="eastAsia" w:ascii="宋体" w:hAnsi="宋体" w:eastAsia="宋体" w:cs="宋体"/>
                <w:b/>
                <w:color w:val="auto"/>
                <w:sz w:val="24"/>
                <w:szCs w:val="24"/>
                <w:highlight w:val="none"/>
              </w:rPr>
            </w:pPr>
            <w:r>
              <w:rPr>
                <w:rFonts w:hint="eastAsia" w:ascii="宋体" w:hAnsi="宋体" w:eastAsia="宋体" w:cs="宋体"/>
                <w:b/>
                <w:strike w:val="0"/>
                <w:dstrike w:val="0"/>
                <w:color w:val="auto"/>
                <w:sz w:val="24"/>
                <w:szCs w:val="24"/>
                <w:highlight w:val="none"/>
              </w:rPr>
              <w:t>▲</w:t>
            </w:r>
            <w:r>
              <w:rPr>
                <w:rFonts w:hint="eastAsia" w:ascii="宋体" w:hAnsi="宋体" w:eastAsia="宋体" w:cs="宋体"/>
                <w:b/>
                <w:color w:val="auto"/>
                <w:sz w:val="24"/>
                <w:szCs w:val="24"/>
                <w:highlight w:val="none"/>
              </w:rPr>
              <w:t>2</w:t>
            </w:r>
            <w:r>
              <w:rPr>
                <w:rFonts w:hint="eastAsia" w:ascii="宋体" w:hAnsi="宋体" w:cs="宋体"/>
                <w:b/>
                <w:color w:val="auto"/>
                <w:sz w:val="24"/>
                <w:szCs w:val="24"/>
                <w:highlight w:val="none"/>
                <w:lang w:val="en-US" w:eastAsia="zh-CN"/>
              </w:rPr>
              <w:t>6</w:t>
            </w:r>
          </w:p>
        </w:tc>
        <w:tc>
          <w:tcPr>
            <w:tcW w:w="2870" w:type="dxa"/>
            <w:tcBorders>
              <w:top w:val="single" w:color="auto" w:sz="6" w:space="0"/>
              <w:bottom w:val="single" w:color="auto" w:sz="6" w:space="0"/>
            </w:tcBorders>
            <w:vAlign w:val="center"/>
          </w:tcPr>
          <w:p>
            <w:pPr>
              <w:spacing w:line="360" w:lineRule="auto"/>
              <w:jc w:val="center"/>
              <w:rPr>
                <w:rFonts w:hint="eastAsia" w:ascii="宋体" w:hAnsi="宋体" w:eastAsia="宋体" w:cs="宋体"/>
                <w:b w:val="0"/>
                <w:bCs/>
                <w:color w:val="auto"/>
                <w:sz w:val="24"/>
                <w:szCs w:val="24"/>
                <w:highlight w:val="none"/>
              </w:rPr>
            </w:pPr>
            <w:r>
              <w:rPr>
                <w:rFonts w:hint="eastAsia" w:ascii="宋体" w:hAnsi="宋体" w:eastAsia="宋体" w:cs="宋体"/>
                <w:b w:val="0"/>
                <w:bCs/>
                <w:color w:val="auto"/>
                <w:sz w:val="24"/>
                <w:szCs w:val="24"/>
                <w:highlight w:val="none"/>
              </w:rPr>
              <w:t>联网要求</w:t>
            </w:r>
          </w:p>
        </w:tc>
        <w:tc>
          <w:tcPr>
            <w:tcW w:w="6500" w:type="dxa"/>
            <w:tcBorders>
              <w:top w:val="single" w:color="auto" w:sz="6" w:space="0"/>
              <w:bottom w:val="single" w:color="auto" w:sz="6" w:space="0"/>
              <w:right w:val="single" w:color="auto" w:sz="6" w:space="0"/>
            </w:tcBorders>
            <w:vAlign w:val="center"/>
          </w:tcPr>
          <w:p>
            <w:pPr>
              <w:spacing w:line="360" w:lineRule="auto"/>
              <w:jc w:val="both"/>
              <w:rPr>
                <w:rFonts w:hint="eastAsia" w:ascii="宋体" w:hAnsi="宋体" w:eastAsia="宋体" w:cs="宋体"/>
                <w:b w:val="0"/>
                <w:bCs/>
                <w:color w:val="auto"/>
                <w:sz w:val="24"/>
                <w:szCs w:val="24"/>
                <w:highlight w:val="none"/>
              </w:rPr>
            </w:pPr>
            <w:r>
              <w:rPr>
                <w:rFonts w:hint="eastAsia" w:ascii="宋体" w:hAnsi="宋体" w:eastAsia="宋体" w:cs="宋体"/>
                <w:b w:val="0"/>
                <w:bCs/>
                <w:sz w:val="24"/>
                <w:szCs w:val="24"/>
                <w:lang w:val="en-US" w:eastAsia="zh-CN"/>
              </w:rPr>
              <w:t>设备可直接接入机场现有分层管理系统并可正常运行，如设备无法直接接入机场现有分层管理系统的，由中标单位自行新建分层管理系统并确保可以正常运行且符合民航局相关规定，采购人不支付任何额外费用</w:t>
            </w:r>
            <w:r>
              <w:rPr>
                <w:rFonts w:hint="eastAsia" w:ascii="宋体" w:hAnsi="宋体" w:cs="宋体"/>
                <w:b/>
                <w:bCs w:val="0"/>
                <w:sz w:val="24"/>
                <w:szCs w:val="24"/>
                <w:lang w:val="en-US" w:eastAsia="zh-CN"/>
              </w:rPr>
              <w:t>,提供承诺函编入商务技术文件。</w:t>
            </w:r>
          </w:p>
        </w:tc>
      </w:tr>
    </w:tbl>
    <w:p>
      <w:pPr>
        <w:pStyle w:val="48"/>
        <w:snapToGrid w:val="0"/>
        <w:spacing w:line="360" w:lineRule="auto"/>
        <w:ind w:firstLine="482" w:firstLineChars="200"/>
        <w:jc w:val="left"/>
        <w:rPr>
          <w:rFonts w:hint="eastAsia" w:hAnsi="宋体" w:cs="宋体"/>
          <w:color w:val="auto"/>
          <w:sz w:val="24"/>
          <w:szCs w:val="24"/>
          <w:highlight w:val="none"/>
        </w:rPr>
      </w:pPr>
      <w:r>
        <w:rPr>
          <w:rFonts w:hint="eastAsia" w:hAnsi="宋体" w:cs="宋体"/>
          <w:b/>
          <w:color w:val="auto"/>
          <w:sz w:val="24"/>
          <w:szCs w:val="24"/>
          <w:highlight w:val="none"/>
          <w:lang w:eastAsia="zh-CN"/>
        </w:rPr>
        <w:t>四、</w:t>
      </w:r>
      <w:r>
        <w:rPr>
          <w:rFonts w:hint="eastAsia" w:hAnsi="宋体" w:cs="宋体"/>
          <w:b/>
          <w:color w:val="auto"/>
          <w:sz w:val="24"/>
          <w:szCs w:val="24"/>
          <w:highlight w:val="none"/>
        </w:rPr>
        <w:t>质保期：</w:t>
      </w:r>
      <w:r>
        <w:rPr>
          <w:rFonts w:hint="eastAsia" w:hAnsi="宋体" w:cs="宋体"/>
          <w:color w:val="auto"/>
          <w:sz w:val="24"/>
          <w:szCs w:val="24"/>
          <w:highlight w:val="none"/>
        </w:rPr>
        <w:t>验收合格之日起提供贰年免费质保。</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cs="宋体"/>
          <w:color w:val="auto"/>
          <w:sz w:val="24"/>
          <w:szCs w:val="24"/>
          <w:highlight w:val="none"/>
          <w:lang w:val="en-US" w:eastAsia="zh-CN"/>
        </w:rPr>
        <w:t>五、培训要求：</w:t>
      </w:r>
      <w:r>
        <w:rPr>
          <w:rFonts w:hint="eastAsia" w:ascii="宋体" w:hAnsi="宋体" w:cs="宋体"/>
          <w:color w:val="auto"/>
          <w:sz w:val="24"/>
          <w:szCs w:val="24"/>
          <w:highlight w:val="none"/>
          <w:lang w:val="zh-CN"/>
        </w:rPr>
        <w:t>在项目实施过程中按采购人确定的时间进行培训，</w:t>
      </w:r>
      <w:r>
        <w:rPr>
          <w:rFonts w:hint="eastAsia" w:ascii="宋体" w:hAnsi="宋体" w:cs="宋体"/>
          <w:color w:val="auto"/>
          <w:sz w:val="24"/>
          <w:szCs w:val="24"/>
          <w:highlight w:val="none"/>
          <w:lang w:val="en-US" w:eastAsia="zh-CN"/>
        </w:rPr>
        <w:t>至少</w:t>
      </w:r>
      <w:r>
        <w:rPr>
          <w:rFonts w:hint="eastAsia" w:ascii="宋体" w:hAnsi="宋体" w:cs="宋体"/>
          <w:color w:val="auto"/>
          <w:sz w:val="24"/>
          <w:szCs w:val="24"/>
          <w:highlight w:val="none"/>
          <w:lang w:val="zh-CN"/>
        </w:rPr>
        <w:t>提供</w:t>
      </w:r>
      <w:r>
        <w:rPr>
          <w:rFonts w:hint="eastAsia" w:ascii="宋体" w:hAnsi="宋体" w:cs="宋体"/>
          <w:color w:val="auto"/>
          <w:sz w:val="24"/>
          <w:szCs w:val="24"/>
          <w:highlight w:val="none"/>
          <w:u w:val="none"/>
          <w:lang w:val="en-US" w:eastAsia="zh-CN"/>
        </w:rPr>
        <w:t>2</w:t>
      </w:r>
      <w:r>
        <w:rPr>
          <w:rFonts w:hint="eastAsia" w:ascii="宋体" w:hAnsi="宋体" w:cs="宋体"/>
          <w:color w:val="auto"/>
          <w:sz w:val="24"/>
          <w:szCs w:val="24"/>
          <w:highlight w:val="none"/>
        </w:rPr>
        <w:t>名厂方免费培训名额，</w:t>
      </w:r>
      <w:r>
        <w:rPr>
          <w:rFonts w:hint="eastAsia" w:ascii="宋体" w:hAnsi="宋体" w:cs="宋体"/>
          <w:strike w:val="0"/>
          <w:dstrike w:val="0"/>
          <w:color w:val="auto"/>
          <w:sz w:val="24"/>
          <w:szCs w:val="24"/>
          <w:highlight w:val="none"/>
          <w:lang w:val="en-US" w:eastAsia="zh-CN"/>
        </w:rPr>
        <w:t>并</w:t>
      </w:r>
      <w:r>
        <w:rPr>
          <w:rFonts w:hint="eastAsia" w:ascii="宋体" w:hAnsi="宋体" w:cs="宋体"/>
          <w:color w:val="auto"/>
          <w:sz w:val="24"/>
          <w:szCs w:val="24"/>
          <w:highlight w:val="none"/>
        </w:rPr>
        <w:t>承担培训人员的</w:t>
      </w:r>
      <w:r>
        <w:rPr>
          <w:rFonts w:hint="eastAsia" w:ascii="宋体" w:hAnsi="宋体" w:cs="宋体"/>
          <w:color w:val="auto"/>
          <w:sz w:val="24"/>
          <w:szCs w:val="24"/>
          <w:highlight w:val="none"/>
          <w:lang w:val="en-US" w:eastAsia="zh-CN"/>
        </w:rPr>
        <w:t>所有费用</w:t>
      </w:r>
      <w:r>
        <w:rPr>
          <w:rFonts w:hint="eastAsia" w:ascii="宋体" w:hAnsi="宋体" w:cs="宋体"/>
          <w:color w:val="auto"/>
          <w:sz w:val="24"/>
          <w:szCs w:val="24"/>
          <w:highlight w:val="none"/>
          <w:lang w:val="zh-CN"/>
        </w:rPr>
        <w:t>。</w:t>
      </w:r>
    </w:p>
    <w:p>
      <w:pPr>
        <w:pStyle w:val="4"/>
        <w:rPr>
          <w:rFonts w:hint="eastAsia"/>
          <w:color w:val="auto"/>
          <w:highlight w:val="none"/>
          <w:lang w:val="en-US" w:eastAsia="zh-CN"/>
        </w:rPr>
      </w:pPr>
    </w:p>
    <w:p>
      <w:pPr>
        <w:pStyle w:val="312"/>
        <w:numPr>
          <w:ilvl w:val="0"/>
          <w:numId w:val="0"/>
        </w:numPr>
        <w:spacing w:before="0" w:line="400" w:lineRule="exact"/>
        <w:jc w:val="both"/>
        <w:outlineLvl w:val="0"/>
        <w:rPr>
          <w:rFonts w:hint="eastAsia" w:ascii="宋体" w:hAnsi="宋体" w:cs="宋体"/>
          <w:b/>
          <w:color w:val="auto"/>
          <w:sz w:val="32"/>
          <w:szCs w:val="21"/>
          <w:highlight w:val="none"/>
          <w:lang w:eastAsia="zh-CN"/>
        </w:rPr>
      </w:pPr>
      <w:r>
        <w:rPr>
          <w:rFonts w:hint="eastAsia" w:ascii="宋体" w:hAnsi="宋体" w:cs="宋体"/>
          <w:b/>
          <w:color w:val="auto"/>
          <w:sz w:val="32"/>
          <w:szCs w:val="21"/>
          <w:highlight w:val="none"/>
          <w:lang w:eastAsia="zh-CN"/>
        </w:rPr>
        <w:t>标项二：衢州机场设备更新改造提升项目安检培训系统采购的采购需求</w:t>
      </w:r>
    </w:p>
    <w:p>
      <w:pPr>
        <w:snapToGrid w:val="0"/>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一、</w:t>
      </w:r>
      <w:r>
        <w:rPr>
          <w:rFonts w:hint="eastAsia" w:ascii="宋体" w:hAnsi="宋体" w:eastAsia="宋体" w:cs="宋体"/>
          <w:b/>
          <w:bCs/>
          <w:color w:val="auto"/>
          <w:sz w:val="24"/>
          <w:szCs w:val="24"/>
          <w:highlight w:val="none"/>
        </w:rPr>
        <w:t>软件</w:t>
      </w:r>
    </w:p>
    <w:p>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软件应模块化和有良好的结构。优先考虑采用流行结构化高级编程语言编写的程序。特别是将来在ICAO或CAAC建议和业务要求有变化时，修改软件的便利程度是主要的考虑因素。</w:t>
      </w:r>
    </w:p>
    <w:p>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计算机设备使用的操作系统应为成熟的中文版系统，支持多用户，多任务和实时处理。有密集输入输出和实时的任务在此操作系统上可以良好运作。为不同类型的用户提供安全控制，确保只有授权用户才允许存取或更新程序和数据。</w:t>
      </w:r>
    </w:p>
    <w:p>
      <w:pPr>
        <w:snapToGrid w:val="0"/>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提供用户所有数据和文件的详细格式，包括（但不限于）从传感器处到中央数据处理器的数据格式，存储在中央数据处理器、显示终端中的数据格式，与其它系统交流的数据格式。</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二</w:t>
      </w:r>
      <w:r>
        <w:rPr>
          <w:rFonts w:hint="eastAsia" w:ascii="宋体" w:hAnsi="宋体" w:eastAsia="宋体" w:cs="宋体"/>
          <w:b/>
          <w:bCs/>
          <w:color w:val="auto"/>
          <w:sz w:val="24"/>
          <w:szCs w:val="24"/>
          <w:highlight w:val="none"/>
        </w:rPr>
        <w:t>、培训服务器 （1台），配服务器机柜</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定制化服务器，最低配置为：4210R银牌（20核40线程，3.20 GHz） * 2</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32G R-ECC-DDR4-2666Mhz * 2</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480G高速固态 + 4T 机械硬盘* 3</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RAID R730-8L 阵列卡 1G缓存</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升级550W单电源+1冗余电源，23.8英寸以上商用办公专业显示器，HDMA+VGA接口，分辨率1920*1080 刷新率60HzWindows系统，提供多核心、多线程的计算能力，能够轻松应对复杂的计算任务，如运行虚拟化应用、数据库管理和科学计算等。</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配服务器机柜参数：服务器机柜/T2.6042/600宽1000深2000高/42U/玻璃前门</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三</w:t>
      </w:r>
      <w:r>
        <w:rPr>
          <w:rFonts w:hint="eastAsia" w:ascii="宋体" w:hAnsi="宋体" w:eastAsia="宋体" w:cs="宋体"/>
          <w:b/>
          <w:bCs/>
          <w:color w:val="auto"/>
          <w:sz w:val="24"/>
          <w:szCs w:val="24"/>
          <w:highlight w:val="none"/>
        </w:rPr>
        <w:t>、电脑（12台）</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服务器管理 1台；</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教师机  1台 ；</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学生机10台</w:t>
      </w:r>
      <w:r>
        <w:rPr>
          <w:rFonts w:hint="eastAsia" w:ascii="宋体" w:hAnsi="宋体" w:eastAsia="宋体" w:cs="宋体"/>
          <w:color w:val="auto"/>
          <w:sz w:val="24"/>
          <w:szCs w:val="24"/>
          <w:highlight w:val="none"/>
          <w:lang w:eastAsia="zh-CN"/>
        </w:rPr>
        <w:t>；</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现主流配置以上，正版国产系统及相关软件；</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台式电脑最低配置为： 6核12线程 4.9GHz</w:t>
      </w:r>
      <w:r>
        <w:rPr>
          <w:rFonts w:hint="eastAsia" w:ascii="宋体" w:hAnsi="宋体" w:eastAsia="宋体" w:cs="宋体"/>
          <w:color w:val="auto"/>
          <w:sz w:val="24"/>
          <w:szCs w:val="24"/>
          <w:highlight w:val="none"/>
          <w:lang w:val="en-US" w:eastAsia="zh-CN"/>
        </w:rPr>
        <w:t xml:space="preserve">   </w:t>
      </w:r>
      <w:r>
        <w:rPr>
          <w:rFonts w:hint="eastAsia" w:ascii="宋体" w:hAnsi="宋体" w:eastAsia="宋体" w:cs="宋体"/>
          <w:color w:val="auto"/>
          <w:sz w:val="24"/>
          <w:szCs w:val="24"/>
          <w:highlight w:val="none"/>
        </w:rPr>
        <w:t>16G DDR4 3200 * 2</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1T SSD高速固态硬盘</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2" w:firstLineChars="200"/>
        <w:jc w:val="left"/>
        <w:textAlignment w:val="auto"/>
        <w:outlineLvl w:val="9"/>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四</w:t>
      </w:r>
      <w:r>
        <w:rPr>
          <w:rFonts w:hint="eastAsia" w:ascii="宋体" w:hAnsi="宋体" w:eastAsia="宋体" w:cs="宋体"/>
          <w:b/>
          <w:bCs/>
          <w:color w:val="auto"/>
          <w:sz w:val="24"/>
          <w:szCs w:val="24"/>
          <w:highlight w:val="none"/>
        </w:rPr>
        <w:t>、学生电脑桌椅10套  ，教师及服务器管理用桌椅2套</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学生电脑桌参考尺寸：长*宽*高=800mm*550mm*800mm，三面带围挡，围挡高度200mm以上，根据现场空间进行调整。应与办公区域建筑环境相协调。投标人应将产品颜色配色方案及具体设计样式提交招标人确认批准。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教师及服务器管理用桌椅参考尺寸：长*宽*高=1200mm*550mm*800mm，根据现场空间进行调整。应与办公区域建筑环境相协调。投标人应将产品颜色配色方案及具体设计样式提交招标人确认批准。</w:t>
      </w:r>
    </w:p>
    <w:p>
      <w:pPr>
        <w:keepNext w:val="0"/>
        <w:keepLines w:val="0"/>
        <w:pageBreakBefore w:val="0"/>
        <w:widowControl w:val="0"/>
        <w:kinsoku/>
        <w:wordWrap/>
        <w:overflowPunct/>
        <w:topLinePunct w:val="0"/>
        <w:autoSpaceDE/>
        <w:autoSpaceDN/>
        <w:bidi w:val="0"/>
        <w:adjustRightInd/>
        <w:snapToGrid/>
        <w:spacing w:line="360" w:lineRule="auto"/>
        <w:ind w:left="0" w:leftChars="0" w:right="0" w:rightChars="0" w:firstLine="480" w:firstLineChars="200"/>
        <w:jc w:val="left"/>
        <w:textAlignment w:val="auto"/>
        <w:outlineLvl w:val="9"/>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每张电脑桌含1把配套座椅，为弓形椅，固定扶手，海绵坐垫，面料材质为网布。</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五、</w:t>
      </w:r>
      <w:r>
        <w:rPr>
          <w:rFonts w:hint="eastAsia" w:ascii="宋体" w:hAnsi="宋体" w:eastAsia="宋体" w:cs="宋体"/>
          <w:b/>
          <w:bCs/>
          <w:color w:val="auto"/>
          <w:sz w:val="24"/>
          <w:szCs w:val="24"/>
          <w:highlight w:val="none"/>
        </w:rPr>
        <w:t>培训用电脑笔记本一台 ，最低配置为：</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定制版高性能工程师本</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最低配置：12核16线程</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32G LDDR5 4800MHz</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1T SSD M.2 2280 PCIe Gen4/4</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六、</w:t>
      </w:r>
      <w:r>
        <w:rPr>
          <w:rFonts w:hint="eastAsia" w:ascii="宋体" w:hAnsi="宋体" w:eastAsia="宋体" w:cs="宋体"/>
          <w:b/>
          <w:bCs/>
          <w:color w:val="auto"/>
          <w:sz w:val="24"/>
          <w:szCs w:val="24"/>
          <w:highlight w:val="none"/>
        </w:rPr>
        <w:t>培训用投影仪一台 ，主流配置以上；</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最低配置：4K混合激光投影仪（2500CVIA流明/4K校准/偏色校正）</w:t>
      </w:r>
    </w:p>
    <w:p>
      <w:pPr>
        <w:spacing w:line="360" w:lineRule="auto"/>
        <w:ind w:firstLine="480" w:firstLineChars="200"/>
        <w:jc w:val="lef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 xml:space="preserve">100寸壁挂光子幕布 </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七、</w:t>
      </w:r>
      <w:r>
        <w:rPr>
          <w:rFonts w:hint="eastAsia" w:ascii="宋体" w:hAnsi="宋体" w:eastAsia="宋体" w:cs="宋体"/>
          <w:b/>
          <w:bCs/>
          <w:color w:val="auto"/>
          <w:sz w:val="24"/>
          <w:szCs w:val="24"/>
          <w:highlight w:val="none"/>
        </w:rPr>
        <w:t>厂家提供的培训正规培训软件 （教师和学生，按需配置）。</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安检多媒体培训系统V3.0（13点位+1个服务器狗）</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安检多媒体培训系统V3.0版本是公安部第一研究所在V2.0版本基础上，于2011年开发的培训系统升级版本。该版本软件是在大量总结实际中应用具体情况的基础上提出相应的需求的，保留了原有的绝大部分功能点，同时增加和完善了多个功能点。</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3.</w:t>
      </w:r>
      <w:r>
        <w:rPr>
          <w:rFonts w:hint="eastAsia" w:ascii="宋体" w:hAnsi="宋体" w:eastAsia="宋体" w:cs="宋体"/>
          <w:color w:val="auto"/>
          <w:sz w:val="24"/>
          <w:szCs w:val="24"/>
          <w:highlight w:val="none"/>
        </w:rPr>
        <w:t>安检多媒体培训系统是独立的培训系统软件，除了支持通用多媒体文件格式外（如BMP、JPG、AVI、mp3等），也可对利用公安部第一研究所专用的图像采集卡采集FISCAN X射线机上的图像文件（fim）进行识别和处理。为了维护用户的利益，更好地保护用户的劳动成果，该版本软件在数据安全方面做了大量的工作，如更新注册机制、采用加密狗等措施。</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4.</w:t>
      </w:r>
      <w:r>
        <w:rPr>
          <w:rFonts w:hint="eastAsia" w:ascii="宋体" w:hAnsi="宋体" w:eastAsia="宋体" w:cs="宋体"/>
          <w:color w:val="auto"/>
          <w:sz w:val="24"/>
          <w:szCs w:val="24"/>
          <w:highlight w:val="none"/>
        </w:rPr>
        <w:t>使用该版本软件，用户可以制作生动活泼的多媒体教学课件、试卷库、判图库、内容丰富的图像库；用户可以对学员进行编组，并为不同学员组编制不同的教学计划；学员可按指定的教学计划进行学习和考核；管理员可以为教师分组并为分组制定相应权限。</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系统软件组成</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安检多媒体培训系统V3.0主要由四部分组成，分别是：服务功能</w:t>
      </w:r>
      <w:r>
        <w:rPr>
          <w:rFonts w:hint="eastAsia" w:ascii="宋体" w:hAnsi="宋体" w:eastAsia="宋体" w:cs="宋体"/>
          <w:color w:val="auto"/>
          <w:sz w:val="24"/>
          <w:szCs w:val="24"/>
          <w:highlight w:val="none"/>
          <w:lang w:eastAsia="zh-CN"/>
        </w:rPr>
        <w:t>、</w:t>
      </w:r>
      <w:r>
        <w:rPr>
          <w:rFonts w:hint="eastAsia" w:ascii="宋体" w:hAnsi="宋体" w:eastAsia="宋体" w:cs="宋体"/>
          <w:color w:val="auto"/>
          <w:sz w:val="24"/>
          <w:szCs w:val="24"/>
          <w:highlight w:val="none"/>
        </w:rPr>
        <w:t>管理员功能、教师管理功能、和学员功能。</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w:t>
      </w:r>
      <w:r>
        <w:rPr>
          <w:rFonts w:hint="eastAsia" w:ascii="宋体" w:hAnsi="宋体" w:eastAsia="宋体" w:cs="宋体"/>
          <w:color w:val="auto"/>
          <w:sz w:val="24"/>
          <w:szCs w:val="24"/>
          <w:highlight w:val="none"/>
        </w:rPr>
        <w:t>1服务功能：服务器计算机上安装的软件。包括基本服务和培训服务。</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基本服务：为培训服务提供底层网络协议和网络通讯服务。</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培训服务：运行于服务器。在网络上为学员机提供数据服务，学员机与服务器的数据交换都是通过培训服务程序进行的。</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5.2</w:t>
      </w:r>
      <w:r>
        <w:rPr>
          <w:rFonts w:hint="eastAsia" w:ascii="宋体" w:hAnsi="宋体" w:eastAsia="宋体" w:cs="宋体"/>
          <w:color w:val="auto"/>
          <w:sz w:val="24"/>
          <w:szCs w:val="24"/>
          <w:highlight w:val="none"/>
        </w:rPr>
        <w:t>管理员功能：管理员计算机上安装的软件。能够实现教师和学员分组、增加/删除组、增加/删除人员、申请注册、图像格式转换等功能。</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5.3</w:t>
      </w:r>
      <w:r>
        <w:rPr>
          <w:rFonts w:hint="eastAsia" w:ascii="宋体" w:hAnsi="宋体" w:eastAsia="宋体" w:cs="宋体"/>
          <w:color w:val="auto"/>
          <w:sz w:val="24"/>
          <w:szCs w:val="24"/>
          <w:highlight w:val="none"/>
        </w:rPr>
        <w:t>教师管理功能：教师计算机上安装的软件。能够进行课件制作、试卷制作、图像库管理、判图评价管理、教学计划以及学员管理等操作。</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课件制作：用于编写课程以供学员阅读，并将课程存放于课件库中。</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试卷制作：用于编写不同内容、不同类型的试题，指定考试时间和分数，建立试卷库。</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图像库管理：将各种图像及X射线图像，集中存储在系统的数据库中。</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判图评价管理：用于编写判图类型试题，指定试卷的考试时间和分数，建立判图库。</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教学计划：针对不同的教学要求，从“课件库”、“试卷库”、“图像库”、“判图库”中提出相应内容，编制不同课程的教学计划。</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学员管理：将学员编组，并为各组指定不同的教学计划。</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en-US" w:eastAsia="zh-CN"/>
        </w:rPr>
        <w:t>5.4</w:t>
      </w:r>
      <w:r>
        <w:rPr>
          <w:rFonts w:hint="eastAsia" w:ascii="宋体" w:hAnsi="宋体" w:eastAsia="宋体" w:cs="宋体"/>
          <w:color w:val="auto"/>
          <w:sz w:val="24"/>
          <w:szCs w:val="24"/>
          <w:highlight w:val="none"/>
        </w:rPr>
        <w:t>学员功能：学员计算机上安装的软件，供学员学习和考试使用。</w:t>
      </w:r>
    </w:p>
    <w:p>
      <w:pPr>
        <w:spacing w:line="360" w:lineRule="auto"/>
        <w:ind w:firstLine="480" w:firstLineChars="200"/>
        <w:jc w:val="left"/>
        <w:rPr>
          <w:rFonts w:hint="eastAsia" w:ascii="宋体" w:hAnsi="宋体" w:eastAsia="宋体" w:cs="宋体"/>
          <w:color w:val="auto"/>
          <w:sz w:val="24"/>
          <w:szCs w:val="24"/>
          <w:highlight w:val="none"/>
        </w:rPr>
      </w:pPr>
      <w:bookmarkStart w:id="84" w:name="OLE_LINK4"/>
      <w:r>
        <w:rPr>
          <w:rFonts w:hint="eastAsia" w:ascii="宋体" w:hAnsi="宋体" w:eastAsia="宋体" w:cs="宋体"/>
          <w:color w:val="auto"/>
          <w:sz w:val="24"/>
          <w:szCs w:val="24"/>
          <w:highlight w:val="none"/>
          <w:lang w:val="en-US" w:eastAsia="zh-CN"/>
        </w:rPr>
        <w:t>6.</w:t>
      </w:r>
      <w:r>
        <w:rPr>
          <w:rFonts w:hint="eastAsia" w:ascii="宋体" w:hAnsi="宋体" w:eastAsia="宋体" w:cs="宋体"/>
          <w:color w:val="auto"/>
          <w:sz w:val="24"/>
          <w:szCs w:val="24"/>
          <w:highlight w:val="none"/>
        </w:rPr>
        <w:t>系统运行环境</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硬件环境：</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1G以上CPU，推荐PⅣ 1.8G以上；</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256M以上内存，推荐512M；</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配备有USB接口；如果没有USB接口可以考虑购买USB转接卡。</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软件环境：中文操作系统。</w:t>
      </w:r>
    </w:p>
    <w:bookmarkEnd w:id="84"/>
    <w:p>
      <w:pPr>
        <w:pStyle w:val="621"/>
        <w:spacing w:before="120"/>
        <w:ind w:left="0" w:leftChars="0" w:firstLine="0" w:firstLineChars="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eastAsia="zh-CN"/>
        </w:rPr>
        <w:t>八、</w:t>
      </w:r>
      <w:r>
        <w:rPr>
          <w:rFonts w:hint="eastAsia" w:ascii="宋体" w:hAnsi="宋体" w:eastAsia="宋体" w:cs="宋体"/>
          <w:b/>
          <w:bCs/>
          <w:color w:val="auto"/>
          <w:sz w:val="24"/>
          <w:szCs w:val="24"/>
          <w:highlight w:val="none"/>
        </w:rPr>
        <w:t>培训室内 配置具有监控摄像 和音频采集功能摄像头三台 ，并配置相关影像保存90天以上的硬盘服务器一套。</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8.1</w:t>
      </w:r>
      <w:r>
        <w:rPr>
          <w:rFonts w:hint="eastAsia" w:ascii="宋体" w:hAnsi="宋体" w:eastAsia="宋体" w:cs="宋体"/>
          <w:b/>
          <w:bCs/>
          <w:color w:val="auto"/>
          <w:sz w:val="24"/>
          <w:szCs w:val="24"/>
          <w:highlight w:val="none"/>
        </w:rPr>
        <w:t xml:space="preserve"> NVR录像机 数量1</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最低参数：视频接入8路(可升级)</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2路HDMI输出 + 2路VGA输出</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12T企业监控盘 * 8</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AI智能分析：人脸记录/人脸比对/人脸检索/人脸抓拍</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8.2</w:t>
      </w:r>
      <w:r>
        <w:rPr>
          <w:rFonts w:hint="eastAsia" w:ascii="宋体" w:hAnsi="宋体" w:eastAsia="宋体" w:cs="宋体"/>
          <w:b/>
          <w:bCs/>
          <w:color w:val="auto"/>
          <w:sz w:val="24"/>
          <w:szCs w:val="24"/>
          <w:highlight w:val="none"/>
        </w:rPr>
        <w:t>摄像机 数量3</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最低参数：3346C-L /6MM / 400万/POE/智能摄像机/夜景高清拾音/POE供电/智能抓拍</w:t>
      </w:r>
    </w:p>
    <w:p>
      <w:pPr>
        <w:spacing w:line="360" w:lineRule="auto"/>
        <w:ind w:firstLine="482" w:firstLineChars="200"/>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val="en-US" w:eastAsia="zh-CN"/>
        </w:rPr>
        <w:t>8.3</w:t>
      </w:r>
      <w:r>
        <w:rPr>
          <w:rFonts w:hint="eastAsia" w:ascii="宋体" w:hAnsi="宋体" w:eastAsia="宋体" w:cs="宋体"/>
          <w:b/>
          <w:bCs/>
          <w:color w:val="auto"/>
          <w:sz w:val="24"/>
          <w:szCs w:val="24"/>
          <w:highlight w:val="none"/>
        </w:rPr>
        <w:t xml:space="preserve"> 交换机 数量1 </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最低参数： 10口千兆8口PoE交换机</w:t>
      </w:r>
    </w:p>
    <w:p>
      <w:pPr>
        <w:spacing w:line="360" w:lineRule="auto"/>
        <w:ind w:firstLine="482" w:firstLineChars="20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lang w:val="en-US" w:eastAsia="zh-CN"/>
        </w:rPr>
        <w:t>8.4</w:t>
      </w:r>
      <w:r>
        <w:rPr>
          <w:rFonts w:hint="eastAsia" w:ascii="宋体" w:hAnsi="宋体" w:eastAsia="宋体" w:cs="宋体"/>
          <w:b/>
          <w:bCs/>
          <w:color w:val="auto"/>
          <w:sz w:val="24"/>
          <w:szCs w:val="24"/>
          <w:highlight w:val="none"/>
        </w:rPr>
        <w:t xml:space="preserve"> 备用电源 数量1 </w:t>
      </w:r>
    </w:p>
    <w:p>
      <w:pPr>
        <w:spacing w:line="360" w:lineRule="auto"/>
        <w:ind w:firstLine="480" w:firstLineChars="200"/>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最低参数：监控主机NVR UPS电源/断电&amp;过载防护</w:t>
      </w:r>
    </w:p>
    <w:p>
      <w:pPr>
        <w:rPr>
          <w:rFonts w:hint="eastAsia"/>
          <w:color w:val="auto"/>
          <w:highlight w:val="none"/>
        </w:rPr>
      </w:pPr>
      <w:r>
        <w:rPr>
          <w:rFonts w:hint="eastAsia" w:hAnsi="宋体" w:cs="宋体"/>
          <w:b/>
          <w:color w:val="auto"/>
          <w:sz w:val="24"/>
          <w:szCs w:val="24"/>
          <w:highlight w:val="none"/>
          <w:lang w:eastAsia="zh-CN"/>
        </w:rPr>
        <w:t>九、</w:t>
      </w:r>
      <w:r>
        <w:rPr>
          <w:rFonts w:hint="eastAsia" w:hAnsi="宋体" w:cs="宋体"/>
          <w:b/>
          <w:color w:val="auto"/>
          <w:sz w:val="24"/>
          <w:szCs w:val="24"/>
          <w:highlight w:val="none"/>
        </w:rPr>
        <w:t>质保期：</w:t>
      </w:r>
      <w:r>
        <w:rPr>
          <w:rFonts w:hint="eastAsia" w:hAnsi="宋体" w:cs="宋体"/>
          <w:color w:val="auto"/>
          <w:sz w:val="24"/>
          <w:szCs w:val="24"/>
          <w:highlight w:val="none"/>
        </w:rPr>
        <w:t>验收合格之日起提供贰年免费质保</w:t>
      </w:r>
      <w:r>
        <w:rPr>
          <w:rFonts w:hint="eastAsia" w:hAnsi="宋体" w:cs="宋体"/>
          <w:color w:val="auto"/>
          <w:sz w:val="24"/>
          <w:szCs w:val="24"/>
          <w:highlight w:val="none"/>
          <w:lang w:eastAsia="zh-CN"/>
        </w:rPr>
        <w:t>。</w:t>
      </w:r>
    </w:p>
    <w:p>
      <w:pPr>
        <w:pStyle w:val="48"/>
        <w:snapToGrid w:val="0"/>
        <w:spacing w:line="400" w:lineRule="exact"/>
        <w:jc w:val="center"/>
        <w:rPr>
          <w:rFonts w:hint="eastAsia" w:hAnsi="宋体" w:cs="宋体"/>
          <w:b/>
          <w:color w:val="auto"/>
          <w:sz w:val="36"/>
          <w:highlight w:val="none"/>
        </w:rPr>
      </w:pPr>
    </w:p>
    <w:p>
      <w:pPr>
        <w:rPr>
          <w:rFonts w:hint="eastAsia" w:hAnsi="宋体" w:cs="宋体"/>
          <w:b/>
          <w:color w:val="auto"/>
          <w:sz w:val="36"/>
          <w:highlight w:val="none"/>
        </w:rPr>
      </w:pPr>
    </w:p>
    <w:p>
      <w:pPr>
        <w:pStyle w:val="79"/>
        <w:rPr>
          <w:rFonts w:hint="eastAsia" w:hAnsi="宋体" w:cs="宋体"/>
          <w:b/>
          <w:color w:val="auto"/>
          <w:sz w:val="36"/>
          <w:highlight w:val="none"/>
        </w:rPr>
      </w:pPr>
    </w:p>
    <w:p>
      <w:pPr>
        <w:pStyle w:val="79"/>
        <w:rPr>
          <w:rFonts w:hint="eastAsia" w:hAnsi="宋体" w:cs="宋体"/>
          <w:b/>
          <w:color w:val="auto"/>
          <w:sz w:val="36"/>
          <w:highlight w:val="none"/>
        </w:rPr>
      </w:pPr>
    </w:p>
    <w:p>
      <w:pPr>
        <w:pStyle w:val="79"/>
        <w:rPr>
          <w:rFonts w:hint="eastAsia" w:hAnsi="宋体" w:cs="宋体"/>
          <w:b/>
          <w:color w:val="auto"/>
          <w:sz w:val="36"/>
          <w:highlight w:val="none"/>
        </w:rPr>
      </w:pPr>
    </w:p>
    <w:p>
      <w:pPr>
        <w:pStyle w:val="79"/>
        <w:rPr>
          <w:rFonts w:hint="eastAsia" w:hAnsi="宋体" w:cs="宋体"/>
          <w:b/>
          <w:color w:val="auto"/>
          <w:sz w:val="36"/>
          <w:highlight w:val="none"/>
        </w:rPr>
      </w:pPr>
    </w:p>
    <w:p>
      <w:pPr>
        <w:pStyle w:val="79"/>
        <w:rPr>
          <w:rFonts w:hint="eastAsia" w:hAnsi="宋体" w:cs="宋体"/>
          <w:b/>
          <w:color w:val="auto"/>
          <w:sz w:val="36"/>
          <w:highlight w:val="none"/>
        </w:rPr>
      </w:pPr>
    </w:p>
    <w:p>
      <w:pPr>
        <w:pStyle w:val="79"/>
        <w:rPr>
          <w:rFonts w:hint="eastAsia" w:hAnsi="宋体" w:cs="宋体"/>
          <w:b/>
          <w:color w:val="auto"/>
          <w:sz w:val="36"/>
          <w:highlight w:val="none"/>
        </w:rPr>
      </w:pPr>
    </w:p>
    <w:p>
      <w:pPr>
        <w:pStyle w:val="79"/>
        <w:rPr>
          <w:rFonts w:hint="eastAsia" w:hAnsi="宋体" w:cs="宋体"/>
          <w:b/>
          <w:color w:val="auto"/>
          <w:sz w:val="36"/>
          <w:highlight w:val="none"/>
        </w:rPr>
      </w:pPr>
    </w:p>
    <w:p>
      <w:pPr>
        <w:pStyle w:val="79"/>
        <w:rPr>
          <w:rFonts w:hint="eastAsia" w:hAnsi="宋体" w:cs="宋体"/>
          <w:b/>
          <w:color w:val="auto"/>
          <w:sz w:val="36"/>
          <w:highlight w:val="none"/>
        </w:rPr>
      </w:pPr>
    </w:p>
    <w:p>
      <w:pPr>
        <w:pStyle w:val="48"/>
        <w:snapToGrid w:val="0"/>
        <w:spacing w:line="400" w:lineRule="exact"/>
        <w:jc w:val="center"/>
        <w:rPr>
          <w:rFonts w:hint="eastAsia" w:hAnsi="宋体" w:cs="宋体"/>
          <w:b/>
          <w:color w:val="auto"/>
          <w:sz w:val="36"/>
          <w:highlight w:val="none"/>
        </w:rPr>
      </w:pPr>
      <w:r>
        <w:rPr>
          <w:rFonts w:hint="eastAsia" w:hAnsi="宋体" w:cs="宋体"/>
          <w:b/>
          <w:color w:val="auto"/>
          <w:sz w:val="36"/>
          <w:highlight w:val="none"/>
        </w:rPr>
        <w:t>第四部分  合同文本</w:t>
      </w:r>
      <w:bookmarkEnd w:id="80"/>
      <w:bookmarkEnd w:id="81"/>
    </w:p>
    <w:p>
      <w:pPr>
        <w:pStyle w:val="48"/>
        <w:snapToGrid w:val="0"/>
        <w:spacing w:line="400" w:lineRule="exact"/>
        <w:jc w:val="center"/>
        <w:rPr>
          <w:rFonts w:hint="eastAsia" w:hAnsi="宋体" w:cs="宋体"/>
          <w:bCs/>
          <w:color w:val="auto"/>
          <w:sz w:val="24"/>
          <w:szCs w:val="24"/>
          <w:highlight w:val="none"/>
        </w:rPr>
      </w:pPr>
      <w:r>
        <w:rPr>
          <w:rFonts w:hint="eastAsia" w:hAnsi="宋体" w:cs="宋体"/>
          <w:bCs/>
          <w:color w:val="auto"/>
          <w:sz w:val="24"/>
          <w:szCs w:val="24"/>
          <w:highlight w:val="none"/>
        </w:rPr>
        <w:t>（最终以双方实际签订合同条款为准）</w:t>
      </w:r>
    </w:p>
    <w:bookmarkEnd w:id="82"/>
    <w:bookmarkEnd w:id="83"/>
    <w:p>
      <w:pPr>
        <w:autoSpaceDE w:val="0"/>
        <w:autoSpaceDN w:val="0"/>
        <w:adjustRightInd w:val="0"/>
        <w:snapToGrid w:val="0"/>
        <w:spacing w:line="500" w:lineRule="exact"/>
        <w:jc w:val="center"/>
        <w:outlineLvl w:val="1"/>
        <w:rPr>
          <w:rFonts w:hint="eastAsia" w:ascii="宋体" w:hAnsi="宋体" w:cs="宋体"/>
          <w:b/>
          <w:bCs/>
          <w:color w:val="auto"/>
          <w:szCs w:val="28"/>
          <w:highlight w:val="none"/>
          <w:lang w:val="zh-CN"/>
        </w:rPr>
      </w:pPr>
      <w:bookmarkStart w:id="85" w:name="_Toc15630516"/>
      <w:bookmarkStart w:id="86" w:name="_Toc2553"/>
      <w:bookmarkStart w:id="87" w:name="_Toc519670202"/>
      <w:bookmarkStart w:id="88" w:name="_Toc522530052"/>
      <w:bookmarkStart w:id="89" w:name="_Toc233618990"/>
      <w:bookmarkStart w:id="90" w:name="_Toc233618989"/>
      <w:r>
        <w:rPr>
          <w:rFonts w:hint="eastAsia" w:ascii="宋体" w:hAnsi="宋体" w:cs="宋体"/>
          <w:b/>
          <w:bCs/>
          <w:color w:val="auto"/>
          <w:szCs w:val="28"/>
          <w:highlight w:val="none"/>
          <w:lang w:val="zh-CN"/>
        </w:rPr>
        <w:t>一、通用条款</w:t>
      </w:r>
      <w:bookmarkEnd w:id="85"/>
    </w:p>
    <w:p>
      <w:pPr>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合同编号：</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甲方（货物及服务购买方）：</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地址：</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乙方（货物及服务提供或出让方）：</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地址：</w:t>
      </w:r>
    </w:p>
    <w:p>
      <w:pPr>
        <w:tabs>
          <w:tab w:val="left" w:pos="845"/>
        </w:tabs>
        <w:spacing w:line="360" w:lineRule="auto"/>
        <w:ind w:firstLine="480" w:firstLineChars="200"/>
        <w:rPr>
          <w:rFonts w:hint="eastAsia" w:ascii="宋体" w:hAnsi="宋体" w:cs="宋体"/>
          <w:color w:val="auto"/>
          <w:sz w:val="24"/>
          <w:szCs w:val="24"/>
          <w:highlight w:val="none"/>
        </w:rPr>
      </w:pPr>
      <w:bookmarkStart w:id="91" w:name="_Toc56917319"/>
      <w:r>
        <w:rPr>
          <w:rFonts w:hint="eastAsia" w:ascii="宋体" w:hAnsi="宋体" w:cs="宋体"/>
          <w:color w:val="auto"/>
          <w:sz w:val="24"/>
          <w:szCs w:val="24"/>
          <w:highlight w:val="none"/>
        </w:rPr>
        <w:t>1.货物和服务的名称、技术规范和数量</w:t>
      </w:r>
      <w:bookmarkEnd w:id="91"/>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应与招标文件及投标人提供的技术偏离表相一致。</w:t>
      </w:r>
    </w:p>
    <w:p>
      <w:pPr>
        <w:tabs>
          <w:tab w:val="left" w:pos="845"/>
        </w:tabs>
        <w:spacing w:line="360" w:lineRule="auto"/>
        <w:ind w:firstLine="480" w:firstLineChars="200"/>
        <w:rPr>
          <w:rFonts w:hint="eastAsia" w:ascii="宋体" w:hAnsi="宋体" w:cs="宋体"/>
          <w:color w:val="auto"/>
          <w:sz w:val="24"/>
          <w:szCs w:val="24"/>
          <w:highlight w:val="none"/>
        </w:rPr>
      </w:pPr>
      <w:bookmarkStart w:id="92" w:name="_Toc56917320"/>
      <w:r>
        <w:rPr>
          <w:rFonts w:hint="eastAsia" w:ascii="宋体" w:hAnsi="宋体" w:cs="宋体"/>
          <w:color w:val="auto"/>
          <w:sz w:val="24"/>
          <w:szCs w:val="24"/>
          <w:highlight w:val="none"/>
        </w:rPr>
        <w:t>2.货物和服务的质量、技术标准</w:t>
      </w:r>
      <w:bookmarkEnd w:id="92"/>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合同货物和服务的质量、技术标准如在招标文件中无相应说明，则按中华人民共和国有关部门颁发的最新的国标或专业（部）标准执行及相应的国际标准。没有国家或专业(部)标准的，按企业标准执行。</w:t>
      </w:r>
    </w:p>
    <w:p>
      <w:pPr>
        <w:tabs>
          <w:tab w:val="left" w:pos="845"/>
        </w:tabs>
        <w:spacing w:line="360" w:lineRule="auto"/>
        <w:ind w:firstLine="480" w:firstLineChars="200"/>
        <w:rPr>
          <w:rFonts w:hint="eastAsia" w:ascii="宋体" w:hAnsi="宋体" w:cs="宋体"/>
          <w:color w:val="auto"/>
          <w:sz w:val="24"/>
          <w:szCs w:val="24"/>
          <w:highlight w:val="none"/>
        </w:rPr>
      </w:pPr>
      <w:bookmarkStart w:id="93" w:name="_Toc56917321"/>
      <w:r>
        <w:rPr>
          <w:rFonts w:hint="eastAsia" w:ascii="宋体" w:hAnsi="宋体" w:cs="宋体"/>
          <w:color w:val="auto"/>
          <w:sz w:val="24"/>
          <w:szCs w:val="24"/>
          <w:highlight w:val="none"/>
        </w:rPr>
        <w:t>3.专利权</w:t>
      </w:r>
      <w:bookmarkEnd w:id="93"/>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乙方对—切可能的侵权指控负责。</w:t>
      </w:r>
    </w:p>
    <w:p>
      <w:pPr>
        <w:tabs>
          <w:tab w:val="left" w:pos="845"/>
        </w:tabs>
        <w:spacing w:line="360" w:lineRule="auto"/>
        <w:ind w:firstLine="480" w:firstLineChars="200"/>
        <w:rPr>
          <w:rFonts w:hint="eastAsia" w:ascii="宋体" w:hAnsi="宋体" w:cs="宋体"/>
          <w:color w:val="auto"/>
          <w:sz w:val="24"/>
          <w:szCs w:val="24"/>
          <w:highlight w:val="none"/>
        </w:rPr>
      </w:pPr>
      <w:bookmarkStart w:id="94" w:name="_Toc56917322"/>
      <w:r>
        <w:rPr>
          <w:rFonts w:hint="eastAsia" w:ascii="宋体" w:hAnsi="宋体" w:cs="宋体"/>
          <w:color w:val="auto"/>
          <w:sz w:val="24"/>
          <w:szCs w:val="24"/>
          <w:highlight w:val="none"/>
        </w:rPr>
        <w:t>4.风险责任</w:t>
      </w:r>
      <w:bookmarkEnd w:id="94"/>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执行本合同的过程中，确因在现有水平和条件下难以克服的技术困难，导致部分或全部失败所造成的损失，风险责任由乙方全部承担。</w:t>
      </w:r>
    </w:p>
    <w:p>
      <w:pPr>
        <w:numPr>
          <w:ilvl w:val="0"/>
          <w:numId w:val="6"/>
        </w:numPr>
        <w:tabs>
          <w:tab w:val="left" w:pos="845"/>
        </w:tabs>
        <w:spacing w:line="360" w:lineRule="auto"/>
        <w:ind w:firstLine="480" w:firstLineChars="200"/>
        <w:rPr>
          <w:rFonts w:hint="eastAsia" w:ascii="宋体" w:hAnsi="宋体" w:cs="宋体"/>
          <w:color w:val="auto"/>
          <w:sz w:val="24"/>
          <w:szCs w:val="24"/>
          <w:highlight w:val="none"/>
        </w:rPr>
      </w:pPr>
      <w:bookmarkStart w:id="95" w:name="_Toc56917323"/>
      <w:r>
        <w:rPr>
          <w:rFonts w:hint="eastAsia" w:ascii="宋体" w:hAnsi="宋体" w:cs="宋体"/>
          <w:color w:val="auto"/>
          <w:sz w:val="24"/>
          <w:szCs w:val="24"/>
          <w:highlight w:val="none"/>
        </w:rPr>
        <w:t>无瑕疵条款</w:t>
      </w:r>
      <w:bookmarkEnd w:id="95"/>
    </w:p>
    <w:p>
      <w:pPr>
        <w:tabs>
          <w:tab w:val="left" w:pos="845"/>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乙方在交付货物和服务后发现有瑕疵或漏项的，乙方应负担由此而产生的一切损失。</w:t>
      </w:r>
    </w:p>
    <w:p>
      <w:pPr>
        <w:tabs>
          <w:tab w:val="left" w:pos="845"/>
        </w:tabs>
        <w:spacing w:line="360" w:lineRule="auto"/>
        <w:ind w:firstLine="480" w:firstLineChars="200"/>
        <w:rPr>
          <w:rFonts w:hint="eastAsia" w:ascii="宋体" w:hAnsi="宋体" w:cs="宋体"/>
          <w:color w:val="auto"/>
          <w:sz w:val="24"/>
          <w:szCs w:val="24"/>
          <w:highlight w:val="none"/>
        </w:rPr>
      </w:pPr>
      <w:bookmarkStart w:id="96" w:name="_Toc56917326"/>
      <w:r>
        <w:rPr>
          <w:rFonts w:hint="eastAsia" w:ascii="宋体" w:hAnsi="宋体" w:cs="宋体"/>
          <w:color w:val="auto"/>
          <w:sz w:val="24"/>
          <w:szCs w:val="24"/>
          <w:highlight w:val="none"/>
        </w:rPr>
        <w:t>6.合同转让和分包</w:t>
      </w:r>
      <w:bookmarkEnd w:id="96"/>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本合同不得转让。未经甲方书面同意，乙方不得将合同内容分包给第三方。</w:t>
      </w:r>
    </w:p>
    <w:p>
      <w:pPr>
        <w:tabs>
          <w:tab w:val="left" w:pos="845"/>
        </w:tabs>
        <w:spacing w:line="360" w:lineRule="auto"/>
        <w:ind w:firstLine="480" w:firstLineChars="200"/>
        <w:rPr>
          <w:rFonts w:hint="eastAsia" w:ascii="宋体" w:hAnsi="宋体" w:cs="宋体"/>
          <w:color w:val="auto"/>
          <w:sz w:val="24"/>
          <w:szCs w:val="24"/>
          <w:highlight w:val="none"/>
        </w:rPr>
      </w:pPr>
      <w:bookmarkStart w:id="97" w:name="_Toc56917327"/>
      <w:r>
        <w:rPr>
          <w:rFonts w:hint="eastAsia" w:ascii="宋体" w:hAnsi="宋体" w:cs="宋体"/>
          <w:color w:val="auto"/>
          <w:sz w:val="24"/>
          <w:szCs w:val="24"/>
          <w:highlight w:val="none"/>
        </w:rPr>
        <w:t>7.合同修改</w:t>
      </w:r>
      <w:bookmarkEnd w:id="97"/>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甲方与乙方双方的任何一方对合同内容提出修改，均应以书面形式通知对方，并达成由双方签署的合同修改书。原则性条款不允许修改。</w:t>
      </w:r>
    </w:p>
    <w:p>
      <w:pPr>
        <w:tabs>
          <w:tab w:val="left" w:pos="845"/>
        </w:tabs>
        <w:spacing w:line="360" w:lineRule="auto"/>
        <w:ind w:firstLine="480" w:firstLineChars="200"/>
        <w:rPr>
          <w:rFonts w:hint="eastAsia" w:ascii="宋体" w:hAnsi="宋体" w:cs="宋体"/>
          <w:color w:val="auto"/>
          <w:sz w:val="24"/>
          <w:szCs w:val="24"/>
          <w:highlight w:val="none"/>
        </w:rPr>
      </w:pPr>
      <w:r>
        <w:rPr>
          <w:rFonts w:hint="eastAsia" w:ascii="宋体" w:hAnsi="宋体" w:cs="宋体"/>
          <w:bCs/>
          <w:color w:val="auto"/>
          <w:sz w:val="24"/>
          <w:szCs w:val="24"/>
          <w:highlight w:val="none"/>
        </w:rPr>
        <w:t>8.不可抗力事件处理</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8.1在执行合同期限内，任何一方因不可抗力事件所致不能履行合同，则合同履行期可延长，延长期与不可抗力影响期相同。</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8.2不可抗力事件发生后，应立即通知对方，并寄送有关权威机构出具的证明。 </w:t>
      </w:r>
    </w:p>
    <w:p>
      <w:pPr>
        <w:tabs>
          <w:tab w:val="left" w:pos="960"/>
        </w:tabs>
        <w:spacing w:line="360" w:lineRule="auto"/>
        <w:ind w:firstLine="480" w:firstLineChars="200"/>
        <w:rPr>
          <w:rFonts w:hint="eastAsia" w:ascii="宋体" w:hAnsi="宋体" w:cs="宋体"/>
          <w:bCs/>
          <w:color w:val="auto"/>
          <w:sz w:val="24"/>
          <w:szCs w:val="24"/>
          <w:highlight w:val="none"/>
          <w:lang w:val="zh-CN"/>
        </w:rPr>
      </w:pPr>
      <w:r>
        <w:rPr>
          <w:rFonts w:hint="eastAsia" w:ascii="宋体" w:hAnsi="宋体" w:cs="宋体"/>
          <w:color w:val="auto"/>
          <w:sz w:val="24"/>
          <w:szCs w:val="24"/>
          <w:highlight w:val="none"/>
        </w:rPr>
        <w:t>8.3不可抗力事件延续</w:t>
      </w:r>
      <w:r>
        <w:rPr>
          <w:rFonts w:hint="eastAsia" w:ascii="宋体" w:hAnsi="宋体" w:cs="宋体"/>
          <w:color w:val="auto"/>
          <w:sz w:val="24"/>
          <w:szCs w:val="24"/>
          <w:highlight w:val="none"/>
          <w:u w:val="single"/>
        </w:rPr>
        <w:t xml:space="preserve">  60  </w:t>
      </w:r>
      <w:r>
        <w:rPr>
          <w:rFonts w:hint="eastAsia" w:ascii="宋体" w:hAnsi="宋体" w:cs="宋体"/>
          <w:color w:val="auto"/>
          <w:sz w:val="24"/>
          <w:szCs w:val="24"/>
          <w:highlight w:val="none"/>
        </w:rPr>
        <w:t>天以上，双方应通过友好协商，确定是否继续履行合同。</w:t>
      </w:r>
    </w:p>
    <w:p>
      <w:pPr>
        <w:tabs>
          <w:tab w:val="left" w:pos="845"/>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9.延期责任</w:t>
      </w:r>
    </w:p>
    <w:p>
      <w:pPr>
        <w:autoSpaceDE w:val="0"/>
        <w:autoSpaceDN w:val="0"/>
        <w:adjustRightInd w:val="0"/>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甲乙双方因各自原因造成项目延期的，应分别承担相应责任。</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9.1乙方如遇不能按时交付或不能及时提供服务的情况，应及时以书面形式通知甲方，并说明理由。</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9.2若乙方未按本合同规定的时间到货的，则每超一天支付未到货货款的1%的违约金给甲方。未到货款累计额度，以未到货相应合同总价款为限。若乙方未能在本合同规定的时间内完成安装并完成移交的，则每超一天支付合同总价的1%的违约金给甲方。未交付罚款累计额度，以未交付相应合同总价价款为限。如供货逾期或安装逾期超出10天，除罚款外将扣除全部履约保证金，且甲方有权终止合同（如因甲方原因造成的工期延误除外）。</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9.3因甲方原因造成工期延误，总工期相应顺延。由甲方造成的经济损失，甲方应承担相应责任。</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sz w:val="24"/>
          <w:szCs w:val="24"/>
          <w:highlight w:val="none"/>
        </w:rPr>
        <w:t>9.4甲方应按合同约定时间支付相应货款，如有延误应按银行同期贷款利率支付延误时间的利息（由乙方原因造成的延误除外）。</w:t>
      </w:r>
    </w:p>
    <w:p>
      <w:pPr>
        <w:tabs>
          <w:tab w:val="left" w:pos="845"/>
        </w:tabs>
        <w:spacing w:line="360" w:lineRule="auto"/>
        <w:ind w:firstLine="480" w:firstLineChars="200"/>
        <w:rPr>
          <w:rFonts w:hint="eastAsia" w:ascii="宋体" w:hAnsi="宋体" w:cs="宋体"/>
          <w:color w:val="auto"/>
          <w:sz w:val="24"/>
          <w:szCs w:val="24"/>
          <w:highlight w:val="none"/>
        </w:rPr>
      </w:pPr>
      <w:bookmarkStart w:id="98" w:name="_Toc56917328"/>
      <w:r>
        <w:rPr>
          <w:rFonts w:hint="eastAsia" w:ascii="宋体" w:hAnsi="宋体" w:cs="宋体"/>
          <w:color w:val="auto"/>
          <w:sz w:val="24"/>
          <w:szCs w:val="24"/>
          <w:highlight w:val="none"/>
        </w:rPr>
        <w:t>10违约责任</w:t>
      </w:r>
      <w:bookmarkEnd w:id="98"/>
    </w:p>
    <w:p>
      <w:pPr>
        <w:tabs>
          <w:tab w:val="left" w:pos="960"/>
        </w:tabs>
        <w:spacing w:line="360" w:lineRule="auto"/>
        <w:ind w:firstLine="480" w:firstLineChars="200"/>
        <w:rPr>
          <w:rFonts w:hint="eastAsia" w:ascii="宋体" w:hAnsi="宋体" w:cs="宋体"/>
          <w:color w:val="auto"/>
          <w:sz w:val="24"/>
          <w:szCs w:val="24"/>
          <w:highlight w:val="none"/>
        </w:rPr>
      </w:pPr>
      <w:bookmarkStart w:id="99" w:name="_Toc56917329"/>
      <w:r>
        <w:rPr>
          <w:rFonts w:hint="eastAsia" w:ascii="宋体" w:hAnsi="宋体" w:cs="宋体"/>
          <w:color w:val="auto"/>
          <w:sz w:val="24"/>
          <w:szCs w:val="24"/>
          <w:highlight w:val="none"/>
        </w:rPr>
        <w:t>10.1除此合同另有约定外，乙方没有按本合同履行合同约定的义务的，视为违约，应承担由此给甲方造成的全部损失,并向甲方赔偿合同款项百分之五的违约金。</w:t>
      </w:r>
    </w:p>
    <w:bookmarkEnd w:id="99"/>
    <w:p>
      <w:pPr>
        <w:tabs>
          <w:tab w:val="left" w:pos="845"/>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11违约终止合同</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甲方在乙方存在如下违约情况时，有权考虑并提出终止全部或部分合同。</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11.1乙方未能在合同规定期限或甲方同意延长的期限内交付全部或部分货物。</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11.2乙方未能履行合同规定的其他义务。</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11.3在发生上述情况后，乙方收到甲方的违约通知后10天内未能纠正其过失。</w:t>
      </w:r>
    </w:p>
    <w:p>
      <w:pPr>
        <w:tabs>
          <w:tab w:val="left" w:pos="845"/>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12争议的解决</w:t>
      </w:r>
    </w:p>
    <w:p>
      <w:pPr>
        <w:tabs>
          <w:tab w:val="left" w:pos="540"/>
        </w:tabs>
        <w:spacing w:line="360" w:lineRule="auto"/>
        <w:ind w:firstLine="480" w:firstLineChars="200"/>
        <w:rPr>
          <w:rFonts w:hint="eastAsia" w:ascii="宋体" w:hAnsi="宋体" w:cs="宋体"/>
          <w:bCs/>
          <w:color w:val="auto"/>
          <w:sz w:val="24"/>
          <w:szCs w:val="24"/>
          <w:highlight w:val="none"/>
        </w:rPr>
      </w:pPr>
      <w:bookmarkStart w:id="100" w:name="_Toc15630517"/>
      <w:bookmarkStart w:id="101" w:name="_Toc359922941"/>
      <w:r>
        <w:rPr>
          <w:rFonts w:hint="eastAsia" w:ascii="宋体" w:hAnsi="宋体" w:cs="宋体"/>
          <w:bCs/>
          <w:color w:val="auto"/>
          <w:sz w:val="24"/>
          <w:szCs w:val="24"/>
          <w:highlight w:val="none"/>
        </w:rPr>
        <w:t>12.1 合同在履行过程中发生争议时，甲方与乙方及时协商解决。协商不成时，</w:t>
      </w:r>
      <w:r>
        <w:rPr>
          <w:rFonts w:hint="eastAsia" w:ascii="宋体" w:hAnsi="宋体" w:cs="宋体"/>
          <w:color w:val="auto"/>
          <w:sz w:val="24"/>
          <w:szCs w:val="24"/>
          <w:highlight w:val="none"/>
        </w:rPr>
        <w:t>约定向衢州仲裁委员会提请仲裁</w:t>
      </w:r>
      <w:r>
        <w:rPr>
          <w:rFonts w:hint="eastAsia" w:ascii="宋体" w:hAnsi="宋体" w:cs="宋体"/>
          <w:bCs/>
          <w:color w:val="auto"/>
          <w:sz w:val="24"/>
          <w:szCs w:val="24"/>
          <w:highlight w:val="none"/>
        </w:rPr>
        <w:t>。</w:t>
      </w:r>
    </w:p>
    <w:p>
      <w:pPr>
        <w:tabs>
          <w:tab w:val="left" w:pos="540"/>
        </w:tabs>
        <w:spacing w:line="360" w:lineRule="auto"/>
        <w:ind w:firstLine="480" w:firstLineChars="200"/>
        <w:rPr>
          <w:rFonts w:hint="eastAsia" w:ascii="宋体" w:hAnsi="宋体" w:cs="宋体"/>
          <w:color w:val="auto"/>
          <w:sz w:val="24"/>
          <w:szCs w:val="24"/>
          <w:highlight w:val="none"/>
        </w:rPr>
      </w:pPr>
      <w:r>
        <w:rPr>
          <w:rFonts w:hint="eastAsia" w:ascii="宋体" w:hAnsi="宋体" w:cs="宋体"/>
          <w:bCs/>
          <w:color w:val="auto"/>
          <w:sz w:val="24"/>
          <w:szCs w:val="24"/>
          <w:highlight w:val="none"/>
        </w:rPr>
        <w:t>12.2对于因违反或终止合同而引起的损失、损害的赔偿，由甲方与乙方友好协商解决，经协商仍未能达成一致的，</w:t>
      </w:r>
      <w:r>
        <w:rPr>
          <w:rFonts w:hint="eastAsia" w:ascii="宋体" w:hAnsi="宋体" w:cs="宋体"/>
          <w:color w:val="auto"/>
          <w:sz w:val="24"/>
          <w:szCs w:val="24"/>
          <w:highlight w:val="none"/>
        </w:rPr>
        <w:t>约定向衢州仲裁委员会提请仲裁</w:t>
      </w:r>
      <w:r>
        <w:rPr>
          <w:rFonts w:hint="eastAsia" w:ascii="宋体" w:hAnsi="宋体" w:cs="宋体"/>
          <w:bCs/>
          <w:color w:val="auto"/>
          <w:sz w:val="24"/>
          <w:szCs w:val="24"/>
          <w:highlight w:val="none"/>
        </w:rPr>
        <w:t>。</w:t>
      </w:r>
      <w:bookmarkEnd w:id="100"/>
      <w:bookmarkEnd w:id="101"/>
    </w:p>
    <w:p>
      <w:pPr>
        <w:autoSpaceDE w:val="0"/>
        <w:autoSpaceDN w:val="0"/>
        <w:adjustRightInd w:val="0"/>
        <w:snapToGrid w:val="0"/>
        <w:spacing w:line="360" w:lineRule="auto"/>
        <w:ind w:left="425" w:firstLine="482" w:firstLineChars="200"/>
        <w:jc w:val="center"/>
        <w:outlineLvl w:val="1"/>
        <w:rPr>
          <w:rFonts w:hint="eastAsia" w:ascii="宋体" w:hAnsi="宋体" w:cs="宋体"/>
          <w:b/>
          <w:bCs/>
          <w:color w:val="auto"/>
          <w:sz w:val="24"/>
          <w:szCs w:val="24"/>
          <w:highlight w:val="none"/>
          <w:lang w:val="zh-CN"/>
        </w:rPr>
      </w:pPr>
      <w:bookmarkStart w:id="102" w:name="_Toc15630518"/>
      <w:r>
        <w:rPr>
          <w:rFonts w:hint="eastAsia" w:ascii="宋体" w:hAnsi="宋体" w:cs="宋体"/>
          <w:b/>
          <w:bCs/>
          <w:color w:val="auto"/>
          <w:sz w:val="24"/>
          <w:szCs w:val="24"/>
          <w:highlight w:val="none"/>
          <w:lang w:val="zh-CN"/>
        </w:rPr>
        <w:t>二、专用条款</w:t>
      </w:r>
      <w:bookmarkEnd w:id="102"/>
    </w:p>
    <w:p>
      <w:pPr>
        <w:wordWrap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甲、乙双方根据（项目编号：__________）项目招标结果和招标文件的要求，并经双方协调一致，订立本采购合同。</w:t>
      </w:r>
    </w:p>
    <w:p>
      <w:pPr>
        <w:tabs>
          <w:tab w:val="left" w:pos="845"/>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13.合同文件</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13.1本合同书</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13.2中标/成交通知书</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13.3中标单位投标文件</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13.4变更补充文件</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13.5招标文件</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13.6本合同专用条款</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13.7本合同通用条款</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13.8标准、规范、图纸及有关技术文件</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13.9其他</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上述所指合同文件应认为是互相补充和解释的，但是有模棱两可或互相矛盾之处，以其所列内容顺序为准。</w:t>
      </w:r>
    </w:p>
    <w:p>
      <w:pPr>
        <w:wordWrap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合同金额：</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（大写）</w:t>
      </w:r>
    </w:p>
    <w:p>
      <w:pPr>
        <w:wordWrap w:val="0"/>
        <w:spacing w:line="360" w:lineRule="auto"/>
        <w:ind w:firstLine="482" w:firstLineChars="200"/>
        <w:rPr>
          <w:rFonts w:hint="eastAsia" w:ascii="宋体" w:hAnsi="宋体" w:cs="宋体"/>
          <w:color w:val="auto"/>
          <w:sz w:val="24"/>
          <w:szCs w:val="24"/>
          <w:highlight w:val="none"/>
        </w:rPr>
      </w:pPr>
      <w:r>
        <w:rPr>
          <w:rFonts w:hint="eastAsia" w:ascii="宋体" w:hAnsi="宋体" w:cs="宋体"/>
          <w:b/>
          <w:color w:val="auto"/>
          <w:kern w:val="0"/>
          <w:sz w:val="24"/>
          <w:szCs w:val="24"/>
          <w:highlight w:val="none"/>
        </w:rPr>
        <w:t xml:space="preserve"> 单位：元</w:t>
      </w:r>
    </w:p>
    <w:tbl>
      <w:tblPr>
        <w:tblStyle w:val="97"/>
        <w:tblW w:w="922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2"/>
        <w:gridCol w:w="1613"/>
        <w:gridCol w:w="859"/>
        <w:gridCol w:w="851"/>
        <w:gridCol w:w="850"/>
        <w:gridCol w:w="1975"/>
        <w:gridCol w:w="1156"/>
        <w:gridCol w:w="118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82" w:hRule="atLeast"/>
          <w:jc w:val="center"/>
        </w:trPr>
        <w:tc>
          <w:tcPr>
            <w:tcW w:w="73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序号</w:t>
            </w:r>
          </w:p>
        </w:tc>
        <w:tc>
          <w:tcPr>
            <w:tcW w:w="1613"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名称</w:t>
            </w:r>
          </w:p>
        </w:tc>
        <w:tc>
          <w:tcPr>
            <w:tcW w:w="859"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单价</w:t>
            </w:r>
          </w:p>
        </w:tc>
        <w:tc>
          <w:tcPr>
            <w:tcW w:w="851"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数量</w:t>
            </w:r>
          </w:p>
        </w:tc>
        <w:tc>
          <w:tcPr>
            <w:tcW w:w="850"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金额</w:t>
            </w:r>
          </w:p>
        </w:tc>
        <w:tc>
          <w:tcPr>
            <w:tcW w:w="1975"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规格型号</w:t>
            </w:r>
          </w:p>
        </w:tc>
        <w:tc>
          <w:tcPr>
            <w:tcW w:w="1156"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制造商</w:t>
            </w:r>
          </w:p>
        </w:tc>
        <w:tc>
          <w:tcPr>
            <w:tcW w:w="1189"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15" w:hRule="atLeast"/>
          <w:jc w:val="center"/>
        </w:trPr>
        <w:tc>
          <w:tcPr>
            <w:tcW w:w="73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一</w:t>
            </w:r>
          </w:p>
        </w:tc>
        <w:tc>
          <w:tcPr>
            <w:tcW w:w="1613"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9"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1"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0"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975"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56"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89" w:type="dxa"/>
            <w:vAlign w:val="center"/>
          </w:tcPr>
          <w:p>
            <w:pPr>
              <w:spacing w:line="360" w:lineRule="auto"/>
              <w:ind w:firstLine="480" w:firstLineChars="200"/>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w:t>
            </w:r>
          </w:p>
        </w:tc>
        <w:tc>
          <w:tcPr>
            <w:tcW w:w="1613"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9"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1"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0"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975"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56"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89" w:type="dxa"/>
            <w:vAlign w:val="center"/>
          </w:tcPr>
          <w:p>
            <w:pPr>
              <w:spacing w:line="360" w:lineRule="auto"/>
              <w:ind w:firstLine="480" w:firstLineChars="200"/>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二</w:t>
            </w:r>
          </w:p>
        </w:tc>
        <w:tc>
          <w:tcPr>
            <w:tcW w:w="1613"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9"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1"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0"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975"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56"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89" w:type="dxa"/>
            <w:vAlign w:val="center"/>
          </w:tcPr>
          <w:p>
            <w:pPr>
              <w:spacing w:line="360" w:lineRule="auto"/>
              <w:ind w:firstLine="480" w:firstLineChars="200"/>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w:t>
            </w:r>
          </w:p>
        </w:tc>
        <w:tc>
          <w:tcPr>
            <w:tcW w:w="1613"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9"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1"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0"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975"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56"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89" w:type="dxa"/>
            <w:vAlign w:val="center"/>
          </w:tcPr>
          <w:p>
            <w:pPr>
              <w:spacing w:line="360" w:lineRule="auto"/>
              <w:ind w:firstLine="480" w:firstLineChars="200"/>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三</w:t>
            </w:r>
          </w:p>
        </w:tc>
        <w:tc>
          <w:tcPr>
            <w:tcW w:w="1613"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9"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1"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850"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975"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56" w:type="dxa"/>
            <w:vAlign w:val="center"/>
          </w:tcPr>
          <w:p>
            <w:pPr>
              <w:spacing w:line="360" w:lineRule="auto"/>
              <w:ind w:firstLine="480" w:firstLineChars="200"/>
              <w:jc w:val="center"/>
              <w:rPr>
                <w:rFonts w:hint="eastAsia" w:ascii="宋体" w:hAnsi="宋体" w:cs="宋体"/>
                <w:color w:val="auto"/>
                <w:sz w:val="24"/>
                <w:szCs w:val="24"/>
                <w:highlight w:val="none"/>
              </w:rPr>
            </w:pPr>
          </w:p>
        </w:tc>
        <w:tc>
          <w:tcPr>
            <w:tcW w:w="1189" w:type="dxa"/>
            <w:vAlign w:val="center"/>
          </w:tcPr>
          <w:p>
            <w:pPr>
              <w:spacing w:line="360" w:lineRule="auto"/>
              <w:ind w:firstLine="480" w:firstLineChars="200"/>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02" w:hRule="atLeast"/>
          <w:jc w:val="center"/>
        </w:trPr>
        <w:tc>
          <w:tcPr>
            <w:tcW w:w="73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四</w:t>
            </w:r>
          </w:p>
        </w:tc>
        <w:tc>
          <w:tcPr>
            <w:tcW w:w="1613"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总计</w:t>
            </w:r>
          </w:p>
        </w:tc>
        <w:tc>
          <w:tcPr>
            <w:tcW w:w="6880" w:type="dxa"/>
            <w:gridSpan w:val="6"/>
            <w:vAlign w:val="center"/>
          </w:tcPr>
          <w:p>
            <w:pPr>
              <w:spacing w:line="360" w:lineRule="auto"/>
              <w:ind w:firstLine="480" w:firstLineChars="200"/>
              <w:jc w:val="center"/>
              <w:rPr>
                <w:rFonts w:hint="eastAsia" w:ascii="宋体" w:hAnsi="宋体" w:cs="宋体"/>
                <w:color w:val="auto"/>
                <w:sz w:val="24"/>
                <w:szCs w:val="24"/>
                <w:highlight w:val="none"/>
              </w:rPr>
            </w:pPr>
          </w:p>
        </w:tc>
      </w:tr>
    </w:tbl>
    <w:p>
      <w:pPr>
        <w:wordWrap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本次的货物价款、人工费、材料费、运输保险费、安装调试费（含安装人工等相关人工费用）、售后服务、各项税金、验收费等所有费用。</w:t>
      </w:r>
      <w:r>
        <w:rPr>
          <w:rFonts w:hint="eastAsia" w:ascii="宋体" w:hAnsi="宋体" w:cs="宋体"/>
          <w:b/>
          <w:color w:val="auto"/>
          <w:kern w:val="0"/>
          <w:sz w:val="24"/>
          <w:szCs w:val="24"/>
          <w:highlight w:val="none"/>
        </w:rPr>
        <w:t xml:space="preserve">    </w:t>
      </w:r>
    </w:p>
    <w:p>
      <w:pPr>
        <w:tabs>
          <w:tab w:val="left" w:pos="845"/>
        </w:tabs>
        <w:spacing w:line="360" w:lineRule="auto"/>
        <w:ind w:firstLine="480" w:firstLineChars="200"/>
        <w:rPr>
          <w:rFonts w:hint="eastAsia" w:ascii="宋体" w:hAnsi="宋体" w:cs="宋体"/>
          <w:color w:val="auto"/>
          <w:sz w:val="24"/>
          <w:szCs w:val="24"/>
          <w:highlight w:val="none"/>
        </w:rPr>
      </w:pPr>
      <w:r>
        <w:rPr>
          <w:rFonts w:hint="eastAsia" w:ascii="宋体" w:hAnsi="宋体" w:cs="宋体"/>
          <w:bCs/>
          <w:color w:val="auto"/>
          <w:sz w:val="24"/>
          <w:szCs w:val="24"/>
          <w:highlight w:val="none"/>
        </w:rPr>
        <w:t>14质量保证</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kern w:val="0"/>
          <w:sz w:val="24"/>
          <w:szCs w:val="24"/>
          <w:highlight w:val="none"/>
        </w:rPr>
        <w:t>14.1乙方应保证货物是全新、未使用过的原装合格正品，并完全符合招标文件及本合同规定的质量、规格和性能的要求。</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kern w:val="0"/>
          <w:sz w:val="24"/>
          <w:szCs w:val="24"/>
          <w:highlight w:val="none"/>
        </w:rPr>
        <w:t>14.2产品的技术标准按国家标准执行，无国家标准的，按行业标准执行，无国家和行业标准的，按企业标准执行；但在招标文件中有特别要求的，按招标文件中规定的要求执行，并且符合相关法律、法规规定的要求。</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14.3产品的包装，国家或行业主管部门有规定的，按规定执行。 </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14.4乙方提供主要设备的质量保证期为现场安装验收合格之后的___个月。如甲方原因导致不能及时安装的，产品的质保期自到货之日起</w:t>
      </w:r>
      <w:r>
        <w:rPr>
          <w:rFonts w:hint="eastAsia" w:ascii="宋体" w:hAnsi="宋体" w:cs="宋体"/>
          <w:color w:val="auto"/>
          <w:kern w:val="0"/>
          <w:sz w:val="24"/>
          <w:szCs w:val="24"/>
          <w:highlight w:val="none"/>
          <w:u w:val="single"/>
        </w:rPr>
        <w:t xml:space="preserve">   </w:t>
      </w:r>
      <w:r>
        <w:rPr>
          <w:rFonts w:hint="eastAsia" w:ascii="宋体" w:hAnsi="宋体" w:cs="宋体"/>
          <w:color w:val="auto"/>
          <w:kern w:val="0"/>
          <w:sz w:val="24"/>
          <w:szCs w:val="24"/>
          <w:highlight w:val="none"/>
        </w:rPr>
        <w:t>个月后开始计算。在质保期内因产品本身的质量问题发生故障，乙方应负责免费修理，如故障通过修理不能达到正常使用标准或故障不能修理的，乙方应负责免费更换 。质保期后若出现问题需要更换零件，乙方需以最优惠成本价格提供给甲方，不得增加其他费用。</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14.5所提供的货物及服务完全符合合同规定的运行性能和安全要求，乙方应保护甲方在使用该系统或其任何一</w:t>
      </w:r>
      <w:r>
        <w:rPr>
          <w:rFonts w:hint="eastAsia" w:ascii="宋体" w:hAnsi="宋体" w:cs="宋体"/>
          <w:color w:val="auto"/>
          <w:sz w:val="24"/>
          <w:szCs w:val="24"/>
          <w:highlight w:val="none"/>
        </w:rPr>
        <w:t>部分时不受第三方提出侵犯专利权、商标权或工业设备等知识产权的指控，如果第三方提出侵权指控，乙方须与第三方交涉并承担可能发生的一切法律责任和费用。</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sz w:val="24"/>
          <w:szCs w:val="24"/>
          <w:highlight w:val="none"/>
        </w:rPr>
        <w:t>14.6项目完成后，运行结果符合产品标准和本</w:t>
      </w:r>
      <w:r>
        <w:rPr>
          <w:rFonts w:hint="eastAsia" w:ascii="宋体" w:hAnsi="宋体" w:cs="宋体"/>
          <w:color w:val="auto"/>
          <w:kern w:val="0"/>
          <w:sz w:val="24"/>
          <w:szCs w:val="24"/>
          <w:highlight w:val="none"/>
        </w:rPr>
        <w:t>招标</w:t>
      </w:r>
      <w:r>
        <w:rPr>
          <w:rFonts w:hint="eastAsia" w:ascii="宋体" w:hAnsi="宋体" w:cs="宋体"/>
          <w:color w:val="auto"/>
          <w:sz w:val="24"/>
          <w:szCs w:val="24"/>
          <w:highlight w:val="none"/>
        </w:rPr>
        <w:t>文件及相关文件的要求；在进行测试和验收运行过程中发生的故障已被消除并得到甲方的认可；所有合同中规定的货物和材料均已提交；整套产品资料及技术文件均已提交并得到接受。系统即可通过初验。</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14.7乙方保证设备验收通过，由此发生的费用均由乙方承担。</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sz w:val="24"/>
          <w:szCs w:val="24"/>
          <w:highlight w:val="none"/>
        </w:rPr>
        <w:t>14.8设备从初验合格次日起7天内，出现非甲方人为因素造成的无法排除的故障，由乙方予以整机调换。</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sz w:val="24"/>
          <w:szCs w:val="24"/>
          <w:highlight w:val="none"/>
        </w:rPr>
        <w:t>14.9工程终验时，乙方须提供已办妥的相应质保及售后服务手续，同时，协助甲方通过电话查询售后服务手续办理情况予以验证。</w:t>
      </w:r>
    </w:p>
    <w:p>
      <w:pPr>
        <w:tabs>
          <w:tab w:val="left" w:pos="960"/>
        </w:tabs>
        <w:spacing w:line="360" w:lineRule="auto"/>
        <w:ind w:firstLine="480" w:firstLineChars="200"/>
        <w:rPr>
          <w:rFonts w:hint="eastAsia" w:ascii="宋体" w:hAnsi="宋体" w:cs="宋体"/>
          <w:color w:val="auto"/>
          <w:kern w:val="0"/>
          <w:sz w:val="24"/>
          <w:szCs w:val="24"/>
          <w:highlight w:val="none"/>
        </w:rPr>
      </w:pPr>
      <w:r>
        <w:rPr>
          <w:rFonts w:hint="eastAsia" w:ascii="宋体" w:hAnsi="宋体" w:cs="宋体"/>
          <w:color w:val="auto"/>
          <w:sz w:val="24"/>
          <w:szCs w:val="24"/>
          <w:highlight w:val="none"/>
          <w:u w:val="single"/>
        </w:rPr>
        <w:t>14.10（视项目需要可具体细化）</w:t>
      </w:r>
    </w:p>
    <w:p>
      <w:pPr>
        <w:tabs>
          <w:tab w:val="left" w:pos="845"/>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15到货验收及调试</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15.1乙方将所供设备运至甲方指定地点，并向甲方提供到货证明，设备的运费及运输途中风险均由乙方承担。采购人在收到到货证明5天内，对货物的外观、规格、数量、进行检验。如发现货物的外观、规格、数量与合同规定不符，甲方有权拒绝接受。设备到货时，须提供设备正常途径的供货证明。</w:t>
      </w:r>
    </w:p>
    <w:p>
      <w:pPr>
        <w:tabs>
          <w:tab w:val="left" w:pos="960"/>
        </w:tabs>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15.2所供设备现场设备安装时，根据要求决定是否由(原厂/乙方)工程师负责实施。主要内容如下：</w:t>
      </w:r>
    </w:p>
    <w:p>
      <w:pPr>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15.2.1乙方应完成供货、安装，并协助用户完成整套设备系统的正常、稳定运行。包括：协助用户完成设备安装环境准备并验收</w:t>
      </w:r>
      <w:r>
        <w:rPr>
          <w:rFonts w:hint="eastAsia" w:ascii="宋体" w:hAnsi="宋体" w:cs="宋体"/>
          <w:color w:val="auto"/>
          <w:sz w:val="24"/>
          <w:szCs w:val="24"/>
          <w:highlight w:val="none"/>
          <w:lang w:val="zh-CN"/>
        </w:rPr>
        <w:t>，负责设备系统的初期维护等，并完成验收前期的各项准备工作等。</w:t>
      </w:r>
    </w:p>
    <w:p>
      <w:pPr>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15.2.2乙方</w:t>
      </w:r>
      <w:r>
        <w:rPr>
          <w:rFonts w:hint="eastAsia" w:ascii="宋体" w:hAnsi="宋体" w:cs="宋体"/>
          <w:color w:val="auto"/>
          <w:sz w:val="24"/>
          <w:szCs w:val="24"/>
          <w:highlight w:val="none"/>
          <w:lang w:val="zh-CN"/>
        </w:rPr>
        <w:t>将投标设备与现有的设备进行集成，所有系统和设备能够连通并正常运转，所有硬件能够在相应平台上正常运行，同时达到招标/谈判需求要求的性能和投标产品技术规格中的性能。设备安装、调试所需的工具、仪器及安装材料由乙方负责。</w:t>
      </w:r>
    </w:p>
    <w:p>
      <w:pPr>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15.2.3</w:t>
      </w:r>
      <w:r>
        <w:rPr>
          <w:rFonts w:hint="eastAsia" w:ascii="宋体" w:hAnsi="宋体" w:cs="宋体"/>
          <w:color w:val="auto"/>
          <w:sz w:val="24"/>
          <w:szCs w:val="24"/>
          <w:highlight w:val="none"/>
          <w:lang w:val="zh-CN"/>
        </w:rPr>
        <w:t>验收分到货清点验收、系统集成初验、项目终验三阶段。乙方将所供设备运至交货地点，在甲方人员在场时拆箱，由甲方当场清点验收。安装调试完毕后，协助甲方完成系统集成初验。</w:t>
      </w:r>
    </w:p>
    <w:p>
      <w:pPr>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15.2.4</w:t>
      </w:r>
      <w:r>
        <w:rPr>
          <w:rFonts w:hint="eastAsia" w:ascii="宋体" w:hAnsi="宋体" w:cs="宋体"/>
          <w:color w:val="auto"/>
          <w:sz w:val="24"/>
          <w:szCs w:val="24"/>
          <w:highlight w:val="none"/>
          <w:lang w:val="zh-CN"/>
        </w:rPr>
        <w:t>设备从初验合格次日起7天内，出现非甲方人为因素造成的无法排除的故障，由乙方予以整机调换。</w:t>
      </w:r>
    </w:p>
    <w:p>
      <w:pPr>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15.2.5</w:t>
      </w:r>
      <w:r>
        <w:rPr>
          <w:rFonts w:hint="eastAsia" w:ascii="宋体" w:hAnsi="宋体" w:cs="宋体"/>
          <w:color w:val="auto"/>
          <w:sz w:val="24"/>
          <w:szCs w:val="24"/>
          <w:highlight w:val="none"/>
          <w:lang w:val="zh-CN"/>
        </w:rPr>
        <w:t>项目终验在设备安装调试完毕，乙方为甲方临床应用培训结束且各类商检、计量等检测完成合格后组织实施。项目终验时，乙方须提供已办妥相应质保及售后服务手续，同时，协助甲方通过电话查询售后服务手续办理情况予以验证。</w:t>
      </w:r>
    </w:p>
    <w:p>
      <w:pPr>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u w:val="single"/>
        </w:rPr>
        <w:t>15.2.6（视项目需要可具体细化）</w:t>
      </w:r>
    </w:p>
    <w:p>
      <w:pPr>
        <w:tabs>
          <w:tab w:val="left" w:pos="845"/>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16安装试运行</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16.1</w:t>
      </w:r>
      <w:r>
        <w:rPr>
          <w:rFonts w:hint="eastAsia" w:ascii="宋体" w:hAnsi="宋体" w:cs="宋体"/>
          <w:color w:val="auto"/>
          <w:sz w:val="24"/>
          <w:szCs w:val="24"/>
          <w:highlight w:val="none"/>
          <w:lang w:val="zh-CN"/>
        </w:rPr>
        <w:t>乙方负责设备购置、安装、调试、试运行等全过程的工作。</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16.2</w:t>
      </w:r>
      <w:r>
        <w:rPr>
          <w:rFonts w:hint="eastAsia" w:ascii="宋体" w:hAnsi="宋体" w:cs="宋体"/>
          <w:color w:val="auto"/>
          <w:sz w:val="24"/>
          <w:szCs w:val="24"/>
          <w:highlight w:val="none"/>
          <w:lang w:val="zh-CN"/>
        </w:rPr>
        <w:t>乙方应提供安装计划给甲方认可。安装时乙方按需提供分派针对相对应设备的各个认证工程师负责安装、调试及运行工作，以检测其设计、制造、运行效果等，并提供所有测试和调试所需的工具、材料、仪器和劳务人员，直到保证正常稳定运行。安装结束前，乙方应提交测试和调试方法及记录表格给甲方。</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16.3</w:t>
      </w:r>
      <w:r>
        <w:rPr>
          <w:rFonts w:hint="eastAsia" w:ascii="宋体" w:hAnsi="宋体" w:cs="宋体"/>
          <w:color w:val="auto"/>
          <w:sz w:val="24"/>
          <w:szCs w:val="24"/>
          <w:highlight w:val="none"/>
          <w:lang w:val="zh-CN"/>
        </w:rPr>
        <w:t>设备试运行应在甲方的监督下进行，此类监督不免除乙方应承担的相关责任。</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u w:val="single"/>
        </w:rPr>
        <w:t>16.4（视项目需要可具体细化）</w:t>
      </w:r>
    </w:p>
    <w:p>
      <w:pPr>
        <w:tabs>
          <w:tab w:val="left" w:pos="845"/>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bCs/>
          <w:color w:val="auto"/>
          <w:sz w:val="24"/>
          <w:szCs w:val="24"/>
          <w:highlight w:val="none"/>
        </w:rPr>
        <w:t>17需提供的资料</w:t>
      </w:r>
      <w:bookmarkStart w:id="103" w:name="OLE_LINK46"/>
    </w:p>
    <w:bookmarkEnd w:id="103"/>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17.1</w:t>
      </w:r>
      <w:r>
        <w:rPr>
          <w:rFonts w:hint="eastAsia" w:ascii="宋体" w:hAnsi="宋体" w:cs="宋体"/>
          <w:color w:val="auto"/>
          <w:sz w:val="24"/>
          <w:szCs w:val="24"/>
          <w:highlight w:val="none"/>
          <w:lang w:val="zh-CN"/>
        </w:rPr>
        <w:t>乙方须在合同签订后五天内提交供甲方认可的需求分析报告、设计方案、设计说明书、项目实施计划书各一份，其中项目实施计划书的内容包括：设计、购置、交货、安装调试、质保期内规定完成的所有工作及活动。</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17.2</w:t>
      </w:r>
      <w:r>
        <w:rPr>
          <w:rFonts w:hint="eastAsia" w:ascii="宋体" w:hAnsi="宋体" w:cs="宋体"/>
          <w:color w:val="auto"/>
          <w:sz w:val="24"/>
          <w:szCs w:val="24"/>
          <w:highlight w:val="none"/>
          <w:lang w:val="zh-CN"/>
        </w:rPr>
        <w:t>乙方应对合同中提供的设备主要部件建立质量保证计划。</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17.3</w:t>
      </w:r>
      <w:r>
        <w:rPr>
          <w:rFonts w:hint="eastAsia" w:ascii="宋体" w:hAnsi="宋体" w:cs="宋体"/>
          <w:color w:val="auto"/>
          <w:sz w:val="24"/>
          <w:szCs w:val="24"/>
          <w:highlight w:val="none"/>
          <w:lang w:val="zh-CN"/>
        </w:rPr>
        <w:t>提供所有技术说明文档和设备安装、维护使用说明书。</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17.4</w:t>
      </w:r>
      <w:r>
        <w:rPr>
          <w:rFonts w:hint="eastAsia" w:ascii="宋体" w:hAnsi="宋体" w:cs="宋体"/>
          <w:color w:val="auto"/>
          <w:sz w:val="24"/>
          <w:szCs w:val="24"/>
          <w:highlight w:val="none"/>
          <w:lang w:val="zh-CN"/>
        </w:rPr>
        <w:t>设备及其和安装有关的技术原理图、接线图。</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17.5</w:t>
      </w:r>
      <w:r>
        <w:rPr>
          <w:rFonts w:hint="eastAsia" w:ascii="宋体" w:hAnsi="宋体" w:cs="宋体"/>
          <w:color w:val="auto"/>
          <w:sz w:val="24"/>
          <w:szCs w:val="24"/>
          <w:highlight w:val="none"/>
          <w:lang w:val="zh-CN"/>
        </w:rPr>
        <w:t>随机的辅助设备、专用电线电缆、随机软件、维修密钥、技术资料（包括操作手册、使用指南、维修指南和含维修网点在内的服务手册等）。</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17.6</w:t>
      </w:r>
      <w:r>
        <w:rPr>
          <w:rFonts w:hint="eastAsia" w:ascii="宋体" w:hAnsi="宋体" w:cs="宋体"/>
          <w:color w:val="auto"/>
          <w:sz w:val="24"/>
          <w:szCs w:val="24"/>
          <w:highlight w:val="none"/>
          <w:lang w:val="zh-CN"/>
        </w:rPr>
        <w:t>设备运行所必需的随机消耗材料，相应的技术服务与质量保证。投标方应提供所供产品备件、附件和耗材的使用、消耗情况说明并推荐相应供应商及供货单价。</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17.7</w:t>
      </w:r>
      <w:r>
        <w:rPr>
          <w:rFonts w:hint="eastAsia" w:ascii="宋体" w:hAnsi="宋体" w:cs="宋体"/>
          <w:color w:val="auto"/>
          <w:sz w:val="24"/>
          <w:szCs w:val="24"/>
          <w:highlight w:val="none"/>
          <w:lang w:val="zh-CN"/>
        </w:rPr>
        <w:t>在所供设备交付使用时，乙方必须向甲方提供产品说明书、质量保证书、保修卡、配置文档、使用手册、测试文档等必须具备的相关资料和必备的附件。</w:t>
      </w:r>
    </w:p>
    <w:p>
      <w:pPr>
        <w:tabs>
          <w:tab w:val="left" w:pos="960"/>
        </w:tabs>
        <w:spacing w:line="360" w:lineRule="auto"/>
        <w:ind w:firstLine="480" w:firstLineChars="200"/>
        <w:rPr>
          <w:rFonts w:hint="eastAsia" w:ascii="宋体" w:hAnsi="宋体" w:cs="宋体"/>
          <w:bCs/>
          <w:color w:val="auto"/>
          <w:sz w:val="24"/>
          <w:szCs w:val="24"/>
          <w:highlight w:val="none"/>
        </w:rPr>
      </w:pPr>
      <w:r>
        <w:rPr>
          <w:rFonts w:hint="eastAsia" w:ascii="宋体" w:hAnsi="宋体" w:cs="宋体"/>
          <w:color w:val="auto"/>
          <w:sz w:val="24"/>
          <w:szCs w:val="24"/>
          <w:highlight w:val="none"/>
        </w:rPr>
        <w:t>17.8</w:t>
      </w:r>
      <w:r>
        <w:rPr>
          <w:rFonts w:hint="eastAsia" w:ascii="宋体" w:hAnsi="宋体" w:cs="宋体"/>
          <w:color w:val="auto"/>
          <w:sz w:val="24"/>
          <w:szCs w:val="24"/>
          <w:highlight w:val="none"/>
          <w:lang w:val="zh-CN"/>
        </w:rPr>
        <w:t>乙方认为可能需要的其它文件。</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18</w:t>
      </w:r>
      <w:r>
        <w:rPr>
          <w:rFonts w:hint="eastAsia" w:ascii="宋体" w:hAnsi="宋体" w:cs="宋体"/>
          <w:color w:val="auto"/>
          <w:sz w:val="24"/>
          <w:szCs w:val="24"/>
          <w:highlight w:val="none"/>
          <w:lang w:val="zh-CN"/>
        </w:rPr>
        <w:t>付款方式</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甲方在合同生效以及具备实施条件后7 个工作日内支付合同价款的</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val="zh-CN"/>
        </w:rPr>
        <w:t>0%，设备供货调试完成后，并经采购人验收合格后向中标人支付合同价款的</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lang w:val="zh-CN"/>
        </w:rPr>
        <w:t>0%。</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注：甲方凭乙方提供的正式税务发票付款，本合同执行中相关的一切税费均由乙方承担。</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19</w:t>
      </w:r>
      <w:r>
        <w:rPr>
          <w:rFonts w:hint="eastAsia" w:ascii="宋体" w:hAnsi="宋体" w:cs="宋体"/>
          <w:color w:val="auto"/>
          <w:sz w:val="24"/>
          <w:szCs w:val="24"/>
          <w:highlight w:val="none"/>
          <w:lang w:val="zh-CN"/>
        </w:rPr>
        <w:t>培训</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en-US" w:eastAsia="zh-CN"/>
        </w:rPr>
        <w:t>19.1在项目实施过程中按甲方确定的时间进行培训，提供</w:t>
      </w:r>
      <w:r>
        <w:rPr>
          <w:rFonts w:hint="eastAsia" w:ascii="宋体" w:hAnsi="宋体" w:cs="宋体"/>
          <w:color w:val="auto"/>
          <w:sz w:val="24"/>
          <w:szCs w:val="24"/>
          <w:highlight w:val="none"/>
          <w:u w:val="single"/>
          <w:lang w:val="en-US" w:eastAsia="zh-CN"/>
        </w:rPr>
        <w:t xml:space="preserve">   </w:t>
      </w:r>
      <w:r>
        <w:rPr>
          <w:rFonts w:hint="eastAsia" w:ascii="宋体" w:hAnsi="宋体" w:cs="宋体"/>
          <w:color w:val="auto"/>
          <w:sz w:val="24"/>
          <w:szCs w:val="24"/>
          <w:highlight w:val="none"/>
          <w:lang w:val="en-US" w:eastAsia="zh-CN"/>
        </w:rPr>
        <w:t>名厂方免费培训名额，并承担培训人员的所有费用。</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19.2</w:t>
      </w:r>
      <w:r>
        <w:rPr>
          <w:rFonts w:hint="eastAsia" w:ascii="宋体" w:hAnsi="宋体" w:cs="宋体"/>
          <w:color w:val="auto"/>
          <w:sz w:val="24"/>
          <w:szCs w:val="24"/>
          <w:highlight w:val="none"/>
          <w:lang w:val="zh-CN"/>
        </w:rPr>
        <w:t>本项目培训要求（</w:t>
      </w:r>
      <w:r>
        <w:rPr>
          <w:rFonts w:hint="eastAsia" w:ascii="宋体" w:hAnsi="宋体" w:cs="宋体"/>
          <w:color w:val="auto"/>
          <w:sz w:val="24"/>
          <w:szCs w:val="24"/>
          <w:highlight w:val="none"/>
          <w:u w:val="single"/>
        </w:rPr>
        <w:t>视项目需要可具体细化</w:t>
      </w:r>
      <w:r>
        <w:rPr>
          <w:rFonts w:hint="eastAsia" w:ascii="宋体" w:hAnsi="宋体" w:cs="宋体"/>
          <w:color w:val="auto"/>
          <w:sz w:val="24"/>
          <w:szCs w:val="24"/>
          <w:highlight w:val="none"/>
          <w:lang w:val="zh-CN"/>
        </w:rPr>
        <w:t>）：</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20</w:t>
      </w:r>
      <w:r>
        <w:rPr>
          <w:rFonts w:hint="eastAsia" w:ascii="宋体" w:hAnsi="宋体" w:cs="宋体"/>
          <w:color w:val="auto"/>
          <w:sz w:val="24"/>
          <w:szCs w:val="24"/>
          <w:highlight w:val="none"/>
          <w:lang w:val="zh-CN"/>
        </w:rPr>
        <w:t>售后服务</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20.1售后服务内容以乙方承诺及相关要求等为准。备品备件的替换应按同等性能、同等配置要求进行。</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20.2</w:t>
      </w:r>
      <w:r>
        <w:rPr>
          <w:rFonts w:hint="eastAsia" w:ascii="宋体" w:hAnsi="宋体" w:cs="宋体"/>
          <w:color w:val="auto"/>
          <w:sz w:val="24"/>
          <w:szCs w:val="24"/>
          <w:highlight w:val="none"/>
          <w:lang w:val="zh-CN"/>
        </w:rPr>
        <w:t>乙方应明确承诺售后服务保证，提供详细的服务地点、联系人、电话等有关资料；</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20.3</w:t>
      </w:r>
      <w:r>
        <w:rPr>
          <w:rFonts w:hint="eastAsia" w:ascii="宋体" w:hAnsi="宋体" w:cs="宋体"/>
          <w:color w:val="auto"/>
          <w:sz w:val="24"/>
          <w:szCs w:val="24"/>
          <w:highlight w:val="none"/>
          <w:lang w:val="zh-CN"/>
        </w:rPr>
        <w:t xml:space="preserve">质保期符合或优于国家标准（采购需求表中另有约定的例外）。在质保期内，设备的维修和保养所发生的一切费用均由乙方承担； </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20.4</w:t>
      </w:r>
      <w:r>
        <w:rPr>
          <w:rFonts w:hint="eastAsia" w:ascii="宋体" w:hAnsi="宋体" w:cs="宋体"/>
          <w:color w:val="auto"/>
          <w:sz w:val="24"/>
          <w:szCs w:val="24"/>
          <w:highlight w:val="none"/>
          <w:lang w:val="zh-CN"/>
        </w:rPr>
        <w:t>设备签约的同时，双方可签订质保期满后的维修保养协议或合同。</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20.5</w:t>
      </w:r>
      <w:r>
        <w:rPr>
          <w:rFonts w:hint="eastAsia" w:ascii="宋体" w:hAnsi="宋体" w:cs="宋体"/>
          <w:color w:val="auto"/>
          <w:sz w:val="24"/>
          <w:szCs w:val="24"/>
          <w:highlight w:val="none"/>
          <w:u w:val="single"/>
        </w:rPr>
        <w:t>(视项目需要可具体细化）</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21</w:t>
      </w:r>
      <w:r>
        <w:rPr>
          <w:rFonts w:hint="eastAsia" w:ascii="宋体" w:hAnsi="宋体" w:cs="宋体"/>
          <w:color w:val="auto"/>
          <w:sz w:val="24"/>
          <w:szCs w:val="24"/>
          <w:highlight w:val="none"/>
          <w:lang w:val="zh-CN"/>
        </w:rPr>
        <w:t>工期要求</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21.1合同签定后</w:t>
      </w:r>
      <w:r>
        <w:rPr>
          <w:rFonts w:hint="eastAsia" w:ascii="宋体" w:hAnsi="宋体" w:cs="宋体"/>
          <w:color w:val="auto"/>
          <w:sz w:val="24"/>
          <w:szCs w:val="24"/>
          <w:highlight w:val="none"/>
          <w:u w:val="single"/>
        </w:rPr>
        <w:t xml:space="preserve">       </w:t>
      </w:r>
      <w:r>
        <w:rPr>
          <w:rFonts w:hint="eastAsia" w:ascii="宋体" w:hAnsi="宋体" w:cs="宋体"/>
          <w:color w:val="auto"/>
          <w:sz w:val="24"/>
          <w:szCs w:val="24"/>
          <w:highlight w:val="none"/>
        </w:rPr>
        <w:t>内完成安装调试成功并交付使用。</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22</w:t>
      </w:r>
      <w:r>
        <w:rPr>
          <w:rFonts w:hint="eastAsia" w:ascii="宋体" w:hAnsi="宋体" w:cs="宋体"/>
          <w:color w:val="auto"/>
          <w:sz w:val="24"/>
          <w:szCs w:val="24"/>
          <w:highlight w:val="none"/>
          <w:lang w:val="zh-CN"/>
        </w:rPr>
        <w:t>单位变动情况处理</w:t>
      </w:r>
    </w:p>
    <w:p>
      <w:pPr>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22.1乙方发生收购、兼并、重组等单位变动情况，责任顺延至收购方、兼并方、重组方等新主体。</w:t>
      </w:r>
    </w:p>
    <w:p>
      <w:pPr>
        <w:tabs>
          <w:tab w:val="left" w:pos="845"/>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23</w:t>
      </w:r>
      <w:r>
        <w:rPr>
          <w:rFonts w:hint="eastAsia" w:ascii="宋体" w:hAnsi="宋体" w:cs="宋体"/>
          <w:color w:val="auto"/>
          <w:sz w:val="24"/>
          <w:szCs w:val="24"/>
          <w:highlight w:val="none"/>
          <w:lang w:val="zh-CN"/>
        </w:rPr>
        <w:t>合同的生效</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23.1本合同经甲方、乙方法定代表人或其委托人签字并加盖双方公章后生效。</w:t>
      </w:r>
    </w:p>
    <w:p>
      <w:pPr>
        <w:tabs>
          <w:tab w:val="left" w:pos="960"/>
        </w:tabs>
        <w:spacing w:line="360" w:lineRule="auto"/>
        <w:ind w:firstLine="480" w:firstLineChars="200"/>
        <w:rPr>
          <w:rFonts w:hint="eastAsia" w:ascii="宋体" w:hAnsi="宋体" w:cs="宋体"/>
          <w:color w:val="auto"/>
          <w:sz w:val="24"/>
          <w:szCs w:val="24"/>
          <w:highlight w:val="none"/>
          <w:lang w:val="zh-CN"/>
        </w:rPr>
      </w:pPr>
      <w:r>
        <w:rPr>
          <w:rFonts w:hint="eastAsia" w:ascii="宋体" w:hAnsi="宋体" w:cs="宋体"/>
          <w:color w:val="auto"/>
          <w:sz w:val="24"/>
          <w:szCs w:val="24"/>
          <w:highlight w:val="none"/>
        </w:rPr>
        <w:t>23.2本合同一式肆份，甲、乙双方各执贰份。</w:t>
      </w:r>
    </w:p>
    <w:p>
      <w:pPr>
        <w:snapToGrid w:val="0"/>
        <w:spacing w:line="360" w:lineRule="auto"/>
        <w:ind w:firstLine="480" w:firstLineChars="200"/>
        <w:rPr>
          <w:rFonts w:hint="eastAsia" w:ascii="宋体" w:hAnsi="宋体" w:cs="宋体"/>
          <w:color w:val="auto"/>
          <w:sz w:val="24"/>
          <w:szCs w:val="24"/>
          <w:highlight w:val="none"/>
        </w:rPr>
      </w:pPr>
    </w:p>
    <w:p>
      <w:pPr>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甲方：（盖章）                  乙方：（盖章）</w:t>
      </w:r>
    </w:p>
    <w:p>
      <w:pPr>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授权代表：                      授权代表：</w:t>
      </w:r>
    </w:p>
    <w:p>
      <w:pPr>
        <w:snapToGrid w:val="0"/>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联系电话：                      联系电话：</w:t>
      </w:r>
    </w:p>
    <w:p>
      <w:pPr>
        <w:pStyle w:val="48"/>
        <w:snapToGrid w:val="0"/>
        <w:spacing w:line="400" w:lineRule="exact"/>
        <w:ind w:firstLine="480" w:firstLineChars="200"/>
        <w:jc w:val="center"/>
        <w:rPr>
          <w:rFonts w:hint="eastAsia" w:hAnsi="宋体" w:cs="宋体"/>
          <w:color w:val="auto"/>
          <w:sz w:val="24"/>
          <w:szCs w:val="24"/>
          <w:highlight w:val="none"/>
        </w:rPr>
      </w:pPr>
      <w:r>
        <w:rPr>
          <w:rFonts w:hint="eastAsia" w:hAnsi="宋体" w:cs="宋体"/>
          <w:color w:val="auto"/>
          <w:sz w:val="24"/>
          <w:szCs w:val="24"/>
          <w:highlight w:val="none"/>
        </w:rPr>
        <w:br w:type="page"/>
      </w:r>
    </w:p>
    <w:p>
      <w:pPr>
        <w:pStyle w:val="48"/>
        <w:snapToGrid w:val="0"/>
        <w:spacing w:line="400" w:lineRule="exact"/>
        <w:ind w:firstLine="723" w:firstLineChars="200"/>
        <w:jc w:val="center"/>
        <w:rPr>
          <w:rFonts w:hint="eastAsia" w:hAnsi="宋体" w:cs="宋体"/>
          <w:b/>
          <w:color w:val="auto"/>
          <w:sz w:val="24"/>
          <w:highlight w:val="none"/>
        </w:rPr>
      </w:pPr>
      <w:r>
        <w:rPr>
          <w:rFonts w:hint="eastAsia" w:hAnsi="宋体" w:cs="宋体"/>
          <w:b/>
          <w:color w:val="auto"/>
          <w:sz w:val="36"/>
          <w:highlight w:val="none"/>
        </w:rPr>
        <w:t>第五部分 投标文件部分格式文件</w:t>
      </w:r>
    </w:p>
    <w:p>
      <w:pPr>
        <w:pStyle w:val="48"/>
        <w:adjustRightInd w:val="0"/>
        <w:snapToGrid w:val="0"/>
        <w:spacing w:line="400" w:lineRule="exact"/>
        <w:jc w:val="center"/>
        <w:outlineLvl w:val="1"/>
        <w:rPr>
          <w:rFonts w:hint="eastAsia" w:hAnsi="宋体" w:cs="宋体"/>
          <w:b/>
          <w:color w:val="auto"/>
          <w:sz w:val="28"/>
          <w:highlight w:val="none"/>
        </w:rPr>
      </w:pPr>
      <w:r>
        <w:rPr>
          <w:rFonts w:hint="eastAsia" w:hAnsi="宋体" w:cs="宋体"/>
          <w:b/>
          <w:color w:val="auto"/>
          <w:sz w:val="28"/>
          <w:highlight w:val="none"/>
          <w:lang w:val="zh-CN"/>
        </w:rPr>
        <w:t>格式</w:t>
      </w:r>
      <w:r>
        <w:rPr>
          <w:rFonts w:hint="eastAsia" w:hAnsi="宋体" w:cs="宋体"/>
          <w:b/>
          <w:color w:val="auto"/>
          <w:sz w:val="28"/>
          <w:highlight w:val="none"/>
        </w:rPr>
        <w:t>一：资格审查资料</w:t>
      </w:r>
      <w:bookmarkEnd w:id="86"/>
    </w:p>
    <w:p>
      <w:pPr>
        <w:spacing w:line="400" w:lineRule="exact"/>
        <w:jc w:val="center"/>
        <w:rPr>
          <w:rFonts w:hint="eastAsia" w:ascii="宋体" w:hAnsi="宋体" w:cs="宋体"/>
          <w:b/>
          <w:color w:val="auto"/>
          <w:sz w:val="30"/>
          <w:szCs w:val="30"/>
          <w:highlight w:val="none"/>
        </w:rPr>
      </w:pPr>
      <w:r>
        <w:rPr>
          <w:rFonts w:hint="eastAsia" w:ascii="宋体" w:hAnsi="宋体" w:cs="宋体"/>
          <w:b/>
          <w:color w:val="auto"/>
          <w:sz w:val="30"/>
          <w:szCs w:val="30"/>
          <w:highlight w:val="none"/>
        </w:rPr>
        <w:t>资格审查资料</w:t>
      </w:r>
    </w:p>
    <w:p>
      <w:pPr>
        <w:autoSpaceDE w:val="0"/>
        <w:autoSpaceDN w:val="0"/>
        <w:adjustRightInd w:val="0"/>
        <w:snapToGrid w:val="0"/>
        <w:spacing w:line="400" w:lineRule="exact"/>
        <w:ind w:firstLine="560" w:firstLineChars="200"/>
        <w:jc w:val="left"/>
        <w:rPr>
          <w:rFonts w:hint="eastAsia" w:ascii="宋体" w:hAnsi="宋体" w:cs="宋体"/>
          <w:color w:val="auto"/>
          <w:kern w:val="0"/>
          <w:szCs w:val="21"/>
          <w:highlight w:val="none"/>
        </w:rPr>
      </w:pP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（一）资格审查须知</w:t>
      </w: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1、投标人必须认真填写招标文件规定的所有表格，并对其真实性负责，采购人有权对其进行调查核实和要求澄清。</w:t>
      </w: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2、资格审查按通过和不通过两种方式进行评定，投标人的资格等方面的要求作为资格审查通过的强制性资格条件，经核实有一项不符合要求，则投标人的资格为不通过，不通过的投标人对其投标文件不进行后续评审。</w:t>
      </w: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（二）资格审查资料格式</w:t>
      </w:r>
    </w:p>
    <w:bookmarkEnd w:id="87"/>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表1</w:t>
      </w:r>
      <w:r>
        <w:rPr>
          <w:rFonts w:hint="eastAsia" w:hAnsi="宋体" w:cs="宋体"/>
          <w:color w:val="auto"/>
          <w:sz w:val="24"/>
          <w:szCs w:val="24"/>
          <w:highlight w:val="none"/>
          <w:lang w:val="en-US" w:eastAsia="zh-CN"/>
        </w:rPr>
        <w:t xml:space="preserve">: </w:t>
      </w:r>
      <w:r>
        <w:rPr>
          <w:rFonts w:hint="eastAsia" w:hAnsi="宋体" w:cs="宋体"/>
          <w:color w:val="auto"/>
          <w:sz w:val="24"/>
          <w:szCs w:val="24"/>
          <w:highlight w:val="none"/>
        </w:rPr>
        <w:t xml:space="preserve">强制性资格条件 </w:t>
      </w: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highlight w:val="none"/>
        </w:rPr>
        <w:t>表2：</w:t>
      </w:r>
      <w:r>
        <w:rPr>
          <w:rFonts w:hint="eastAsia" w:hAnsi="宋体" w:cs="宋体"/>
          <w:color w:val="auto"/>
          <w:sz w:val="24"/>
          <w:szCs w:val="24"/>
          <w:highlight w:val="none"/>
        </w:rPr>
        <w:t>具有良好的商业信誉和健全的财务会计制度声明函</w:t>
      </w:r>
    </w:p>
    <w:p>
      <w:pPr>
        <w:pStyle w:val="48"/>
        <w:snapToGrid w:val="0"/>
        <w:spacing w:line="400" w:lineRule="exact"/>
        <w:ind w:firstLine="480" w:firstLineChars="200"/>
        <w:rPr>
          <w:rFonts w:hint="eastAsia" w:hAnsi="宋体" w:cs="宋体"/>
          <w:color w:val="auto"/>
          <w:sz w:val="24"/>
          <w:highlight w:val="none"/>
        </w:rPr>
      </w:pPr>
      <w:r>
        <w:rPr>
          <w:rFonts w:hint="eastAsia" w:hAnsi="宋体" w:cs="宋体"/>
          <w:color w:val="auto"/>
          <w:sz w:val="24"/>
          <w:highlight w:val="none"/>
        </w:rPr>
        <w:t>表3：具有履行合同所必需的专业服务（技术）能力的承诺函</w:t>
      </w: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highlight w:val="none"/>
        </w:rPr>
        <w:t>表4：</w:t>
      </w:r>
      <w:r>
        <w:rPr>
          <w:rFonts w:hint="eastAsia" w:hAnsi="宋体" w:cs="宋体"/>
          <w:color w:val="auto"/>
          <w:sz w:val="24"/>
          <w:szCs w:val="24"/>
          <w:highlight w:val="none"/>
        </w:rPr>
        <w:t>依法缴纳税收和社会保障资金的声明函</w:t>
      </w:r>
    </w:p>
    <w:p>
      <w:pPr>
        <w:pStyle w:val="48"/>
        <w:snapToGrid w:val="0"/>
        <w:spacing w:line="400" w:lineRule="exact"/>
        <w:ind w:firstLine="480" w:firstLineChars="200"/>
        <w:rPr>
          <w:rFonts w:hint="eastAsia" w:hAnsi="宋体" w:cs="宋体"/>
          <w:color w:val="auto"/>
          <w:sz w:val="24"/>
          <w:highlight w:val="none"/>
        </w:rPr>
      </w:pPr>
      <w:r>
        <w:rPr>
          <w:rFonts w:hint="eastAsia" w:hAnsi="宋体" w:cs="宋体"/>
          <w:color w:val="auto"/>
          <w:sz w:val="24"/>
          <w:szCs w:val="24"/>
          <w:highlight w:val="none"/>
        </w:rPr>
        <w:t>表</w:t>
      </w:r>
      <w:r>
        <w:rPr>
          <w:rFonts w:hint="eastAsia" w:hAnsi="宋体" w:cs="宋体"/>
          <w:color w:val="auto"/>
          <w:sz w:val="24"/>
          <w:highlight w:val="none"/>
        </w:rPr>
        <w:t xml:space="preserve">5：没有重大违法记录承诺函 </w:t>
      </w: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表6：无违法失信的声明函</w:t>
      </w:r>
    </w:p>
    <w:p>
      <w:pPr>
        <w:pStyle w:val="48"/>
        <w:snapToGrid w:val="0"/>
        <w:spacing w:line="400" w:lineRule="exact"/>
        <w:ind w:left="476" w:leftChars="170"/>
        <w:rPr>
          <w:rFonts w:hint="eastAsia" w:hAnsi="宋体" w:cs="宋体"/>
          <w:color w:val="auto"/>
          <w:sz w:val="24"/>
          <w:szCs w:val="24"/>
          <w:highlight w:val="none"/>
        </w:rPr>
      </w:pPr>
      <w:r>
        <w:rPr>
          <w:rFonts w:hint="eastAsia" w:hAnsi="宋体" w:cs="宋体"/>
          <w:color w:val="auto"/>
          <w:sz w:val="24"/>
          <w:szCs w:val="24"/>
          <w:highlight w:val="none"/>
        </w:rPr>
        <w:t>表7：《中小企业声明函》或《残疾人福利性单位声明函》或《监狱企业声明函》</w:t>
      </w:r>
    </w:p>
    <w:p>
      <w:pPr>
        <w:pStyle w:val="48"/>
        <w:snapToGrid w:val="0"/>
        <w:spacing w:line="400" w:lineRule="exact"/>
        <w:ind w:left="476" w:leftChars="170"/>
        <w:rPr>
          <w:rFonts w:hint="eastAsia" w:hAnsi="宋体" w:cs="宋体"/>
          <w:color w:val="auto"/>
          <w:sz w:val="24"/>
          <w:szCs w:val="24"/>
          <w:highlight w:val="none"/>
        </w:rPr>
      </w:pPr>
      <w:r>
        <w:rPr>
          <w:rFonts w:hint="eastAsia" w:hAnsi="宋体" w:cs="宋体"/>
          <w:color w:val="auto"/>
          <w:sz w:val="24"/>
          <w:szCs w:val="24"/>
          <w:highlight w:val="none"/>
        </w:rPr>
        <w:t>表8：与其他供应商无利害关系的声明函</w:t>
      </w:r>
    </w:p>
    <w:p>
      <w:pPr>
        <w:pStyle w:val="48"/>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表9：非联合体的声明函</w:t>
      </w:r>
    </w:p>
    <w:p>
      <w:pPr>
        <w:spacing w:line="400" w:lineRule="exact"/>
        <w:rPr>
          <w:rFonts w:hint="eastAsia" w:ascii="宋体" w:hAnsi="宋体" w:cs="宋体"/>
          <w:b/>
          <w:color w:val="auto"/>
          <w:sz w:val="24"/>
          <w:szCs w:val="24"/>
          <w:highlight w:val="none"/>
        </w:rPr>
      </w:pPr>
    </w:p>
    <w:p>
      <w:pPr>
        <w:pStyle w:val="2"/>
        <w:spacing w:after="0" w:line="400" w:lineRule="exact"/>
        <w:rPr>
          <w:rFonts w:hint="eastAsia" w:ascii="宋体" w:hAnsi="宋体" w:cs="宋体"/>
          <w:b/>
          <w:color w:val="auto"/>
          <w:sz w:val="24"/>
          <w:szCs w:val="24"/>
          <w:highlight w:val="none"/>
        </w:rPr>
      </w:pPr>
    </w:p>
    <w:p>
      <w:pPr>
        <w:pStyle w:val="2"/>
        <w:spacing w:after="0" w:line="400" w:lineRule="exact"/>
        <w:rPr>
          <w:rFonts w:hint="eastAsia" w:ascii="宋体" w:hAnsi="宋体" w:cs="宋体"/>
          <w:b/>
          <w:color w:val="auto"/>
          <w:sz w:val="30"/>
          <w:szCs w:val="30"/>
          <w:highlight w:val="none"/>
        </w:rPr>
      </w:pPr>
    </w:p>
    <w:p>
      <w:pPr>
        <w:spacing w:line="400" w:lineRule="exact"/>
        <w:rPr>
          <w:rFonts w:hint="eastAsia" w:ascii="宋体" w:hAnsi="宋体" w:cs="宋体"/>
          <w:b/>
          <w:color w:val="auto"/>
          <w:sz w:val="30"/>
          <w:szCs w:val="30"/>
          <w:highlight w:val="none"/>
        </w:rPr>
      </w:pPr>
    </w:p>
    <w:p>
      <w:pPr>
        <w:spacing w:line="400" w:lineRule="exact"/>
        <w:rPr>
          <w:rFonts w:hint="eastAsia" w:ascii="宋体" w:hAnsi="宋体" w:cs="宋体"/>
          <w:b/>
          <w:color w:val="auto"/>
          <w:sz w:val="30"/>
          <w:szCs w:val="30"/>
          <w:highlight w:val="none"/>
        </w:rPr>
      </w:pPr>
    </w:p>
    <w:p>
      <w:pPr>
        <w:pStyle w:val="48"/>
        <w:spacing w:line="400" w:lineRule="exact"/>
        <w:rPr>
          <w:rFonts w:hint="eastAsia" w:hAnsi="宋体" w:cs="宋体"/>
          <w:b/>
          <w:color w:val="auto"/>
          <w:sz w:val="30"/>
          <w:szCs w:val="30"/>
          <w:highlight w:val="none"/>
        </w:rPr>
      </w:pPr>
    </w:p>
    <w:p>
      <w:pPr>
        <w:spacing w:line="400" w:lineRule="exact"/>
        <w:rPr>
          <w:rFonts w:hint="eastAsia" w:ascii="宋体" w:hAnsi="宋体" w:cs="宋体"/>
          <w:b/>
          <w:color w:val="auto"/>
          <w:sz w:val="30"/>
          <w:szCs w:val="30"/>
          <w:highlight w:val="none"/>
        </w:rPr>
      </w:pPr>
    </w:p>
    <w:p>
      <w:pPr>
        <w:pStyle w:val="2"/>
        <w:rPr>
          <w:color w:val="auto"/>
          <w:highlight w:val="none"/>
        </w:rPr>
      </w:pPr>
    </w:p>
    <w:p>
      <w:pPr>
        <w:pStyle w:val="48"/>
        <w:spacing w:line="400" w:lineRule="exact"/>
        <w:rPr>
          <w:rFonts w:hint="eastAsia" w:hAnsi="宋体" w:cs="宋体"/>
          <w:b/>
          <w:color w:val="auto"/>
          <w:sz w:val="30"/>
          <w:szCs w:val="30"/>
          <w:highlight w:val="none"/>
        </w:rPr>
      </w:pPr>
    </w:p>
    <w:p>
      <w:pPr>
        <w:spacing w:line="400" w:lineRule="exact"/>
        <w:rPr>
          <w:color w:val="auto"/>
          <w:highlight w:val="none"/>
        </w:rPr>
      </w:pPr>
    </w:p>
    <w:p>
      <w:pPr>
        <w:pStyle w:val="6"/>
        <w:ind w:left="0" w:firstLine="0"/>
        <w:rPr>
          <w:color w:val="auto"/>
          <w:highlight w:val="none"/>
        </w:rPr>
      </w:pPr>
    </w:p>
    <w:p>
      <w:pPr>
        <w:pStyle w:val="2"/>
        <w:spacing w:after="0" w:line="400" w:lineRule="exact"/>
        <w:rPr>
          <w:rFonts w:hint="eastAsia" w:ascii="宋体" w:hAnsi="宋体" w:cs="宋体"/>
          <w:b/>
          <w:color w:val="auto"/>
          <w:sz w:val="30"/>
          <w:szCs w:val="30"/>
          <w:highlight w:val="none"/>
        </w:rPr>
      </w:pPr>
    </w:p>
    <w:p>
      <w:pPr>
        <w:rPr>
          <w:rFonts w:hint="eastAsia" w:ascii="宋体" w:hAnsi="宋体" w:cs="宋体"/>
          <w:b/>
          <w:color w:val="auto"/>
          <w:sz w:val="30"/>
          <w:szCs w:val="30"/>
          <w:highlight w:val="none"/>
        </w:rPr>
      </w:pPr>
    </w:p>
    <w:p>
      <w:pPr>
        <w:spacing w:line="400" w:lineRule="exact"/>
        <w:rPr>
          <w:rFonts w:hint="eastAsia" w:ascii="宋体" w:hAnsi="宋体" w:cs="宋体"/>
          <w:b/>
          <w:color w:val="auto"/>
          <w:sz w:val="30"/>
          <w:szCs w:val="30"/>
          <w:highlight w:val="none"/>
        </w:rPr>
      </w:pPr>
    </w:p>
    <w:p>
      <w:pPr>
        <w:spacing w:line="400" w:lineRule="exact"/>
        <w:rPr>
          <w:rFonts w:hint="eastAsia" w:ascii="宋体" w:hAnsi="宋体" w:cs="宋体"/>
          <w:color w:val="auto"/>
          <w:highlight w:val="none"/>
        </w:rPr>
      </w:pPr>
      <w:r>
        <w:rPr>
          <w:rFonts w:hint="eastAsia" w:ascii="宋体" w:hAnsi="宋体" w:cs="宋体"/>
          <w:b/>
          <w:color w:val="auto"/>
          <w:sz w:val="30"/>
          <w:szCs w:val="30"/>
          <w:highlight w:val="none"/>
        </w:rPr>
        <w:t>表1：强制性资格条件</w:t>
      </w:r>
    </w:p>
    <w:p>
      <w:pPr>
        <w:spacing w:line="400" w:lineRule="exact"/>
        <w:jc w:val="center"/>
        <w:rPr>
          <w:rFonts w:hint="eastAsia" w:ascii="宋体" w:hAnsi="宋体" w:cs="宋体"/>
          <w:color w:val="auto"/>
          <w:kern w:val="0"/>
          <w:highlight w:val="none"/>
        </w:rPr>
      </w:pPr>
      <w:r>
        <w:rPr>
          <w:rFonts w:hint="eastAsia" w:ascii="宋体" w:hAnsi="宋体" w:cs="宋体"/>
          <w:b/>
          <w:color w:val="auto"/>
          <w:sz w:val="30"/>
          <w:szCs w:val="30"/>
          <w:highlight w:val="none"/>
        </w:rPr>
        <w:t>强制性资格条件表</w:t>
      </w:r>
    </w:p>
    <w:tbl>
      <w:tblPr>
        <w:tblStyle w:val="97"/>
        <w:tblW w:w="10027" w:type="dxa"/>
        <w:tblInd w:w="0" w:type="dxa"/>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
      <w:tblGrid>
        <w:gridCol w:w="738"/>
        <w:gridCol w:w="2614"/>
        <w:gridCol w:w="2175"/>
        <w:gridCol w:w="4500"/>
      </w:tblGrid>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67" w:hRule="atLeast"/>
        </w:trPr>
        <w:tc>
          <w:tcPr>
            <w:tcW w:w="738" w:type="dxa"/>
            <w:vAlign w:val="center"/>
          </w:tcPr>
          <w:p>
            <w:pPr>
              <w:spacing w:line="400" w:lineRule="exact"/>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序号</w:t>
            </w:r>
          </w:p>
        </w:tc>
        <w:tc>
          <w:tcPr>
            <w:tcW w:w="2614" w:type="dxa"/>
            <w:vAlign w:val="center"/>
          </w:tcPr>
          <w:p>
            <w:pPr>
              <w:spacing w:line="400" w:lineRule="exact"/>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资格条件要求</w:t>
            </w:r>
          </w:p>
        </w:tc>
        <w:tc>
          <w:tcPr>
            <w:tcW w:w="6675" w:type="dxa"/>
            <w:gridSpan w:val="2"/>
            <w:vAlign w:val="center"/>
          </w:tcPr>
          <w:p>
            <w:pPr>
              <w:spacing w:line="400" w:lineRule="exact"/>
              <w:jc w:val="center"/>
              <w:rPr>
                <w:rFonts w:hint="eastAsia" w:ascii="宋体" w:hAnsi="宋体" w:cs="宋体"/>
                <w:b/>
                <w:color w:val="auto"/>
                <w:sz w:val="21"/>
                <w:szCs w:val="21"/>
                <w:highlight w:val="none"/>
              </w:rPr>
            </w:pPr>
            <w:r>
              <w:rPr>
                <w:rFonts w:hint="eastAsia" w:ascii="宋体" w:hAnsi="宋体" w:cs="宋体"/>
                <w:b/>
                <w:color w:val="auto"/>
                <w:sz w:val="21"/>
                <w:szCs w:val="21"/>
                <w:highlight w:val="none"/>
              </w:rPr>
              <w:t>要求提供的证明材料</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244" w:hRule="atLeast"/>
        </w:trPr>
        <w:tc>
          <w:tcPr>
            <w:tcW w:w="738" w:type="dxa"/>
            <w:vAlign w:val="center"/>
          </w:tcPr>
          <w:p>
            <w:pPr>
              <w:spacing w:line="400" w:lineRule="exact"/>
              <w:jc w:val="center"/>
              <w:rPr>
                <w:rFonts w:hint="eastAsia" w:ascii="宋体" w:hAnsi="宋体" w:cs="宋体"/>
                <w:b/>
                <w:color w:val="auto"/>
                <w:sz w:val="21"/>
                <w:szCs w:val="21"/>
                <w:highlight w:val="none"/>
              </w:rPr>
            </w:pPr>
            <w:r>
              <w:rPr>
                <w:rFonts w:hint="eastAsia" w:ascii="宋体" w:hAnsi="宋体" w:cs="宋体"/>
                <w:color w:val="auto"/>
                <w:sz w:val="21"/>
                <w:szCs w:val="21"/>
                <w:highlight w:val="none"/>
              </w:rPr>
              <w:t>1</w:t>
            </w:r>
          </w:p>
        </w:tc>
        <w:tc>
          <w:tcPr>
            <w:tcW w:w="2614" w:type="dxa"/>
            <w:vAlign w:val="center"/>
          </w:tcPr>
          <w:p>
            <w:pPr>
              <w:spacing w:line="400" w:lineRule="exact"/>
              <w:jc w:val="center"/>
              <w:rPr>
                <w:rFonts w:hint="eastAsia" w:ascii="宋体" w:hAnsi="宋体" w:cs="宋体"/>
                <w:b/>
                <w:color w:val="auto"/>
                <w:sz w:val="21"/>
                <w:szCs w:val="21"/>
                <w:highlight w:val="none"/>
              </w:rPr>
            </w:pPr>
            <w:r>
              <w:rPr>
                <w:rFonts w:hint="eastAsia" w:ascii="宋体" w:hAnsi="宋体" w:cs="宋体"/>
                <w:color w:val="auto"/>
                <w:sz w:val="21"/>
                <w:szCs w:val="21"/>
                <w:highlight w:val="none"/>
              </w:rPr>
              <w:t>基本资格要求：</w:t>
            </w:r>
          </w:p>
        </w:tc>
        <w:tc>
          <w:tcPr>
            <w:tcW w:w="6675" w:type="dxa"/>
            <w:gridSpan w:val="2"/>
            <w:vAlign w:val="center"/>
          </w:tcPr>
          <w:p>
            <w:pPr>
              <w:spacing w:line="400" w:lineRule="exact"/>
              <w:jc w:val="center"/>
              <w:rPr>
                <w:rFonts w:hint="eastAsia" w:ascii="宋体" w:hAnsi="宋体" w:cs="宋体"/>
                <w:b/>
                <w:color w:val="auto"/>
                <w:sz w:val="21"/>
                <w:szCs w:val="21"/>
                <w:highlight w:val="none"/>
              </w:rPr>
            </w:pP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827"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1.1</w:t>
            </w:r>
          </w:p>
        </w:tc>
        <w:tc>
          <w:tcPr>
            <w:tcW w:w="2614" w:type="dxa"/>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zh-CN"/>
              </w:rPr>
              <w:t>具有独立承担民事责任的能力</w:t>
            </w:r>
          </w:p>
        </w:tc>
        <w:tc>
          <w:tcPr>
            <w:tcW w:w="6675" w:type="dxa"/>
            <w:gridSpan w:val="2"/>
            <w:vAlign w:val="center"/>
          </w:tcPr>
          <w:p>
            <w:pPr>
              <w:spacing w:line="400" w:lineRule="exact"/>
              <w:rPr>
                <w:rFonts w:hint="eastAsia" w:ascii="宋体" w:hAnsi="宋体"/>
                <w:color w:val="auto"/>
                <w:sz w:val="21"/>
                <w:szCs w:val="21"/>
                <w:highlight w:val="none"/>
                <w:lang w:val="zh-CN"/>
              </w:rPr>
            </w:pPr>
            <w:r>
              <w:rPr>
                <w:rFonts w:hint="eastAsia" w:ascii="宋体" w:hAnsi="宋体"/>
                <w:color w:val="auto"/>
                <w:sz w:val="21"/>
                <w:szCs w:val="21"/>
                <w:highlight w:val="none"/>
                <w:lang w:val="zh-CN"/>
              </w:rPr>
              <w:t>营业执照(或事业法人登记证书或其它工商等登记证明材料；自然人参与政府采购，提供身份证)复印件、实施“五证合一、一照一码”登记制度改革的，只需提供改革后取得的营业执照复印件</w:t>
            </w:r>
          </w:p>
          <w:p>
            <w:pPr>
              <w:spacing w:line="400" w:lineRule="exact"/>
              <w:rPr>
                <w:rFonts w:hint="eastAsia" w:ascii="宋体" w:hAnsi="宋体" w:cs="宋体"/>
                <w:color w:val="auto"/>
                <w:sz w:val="21"/>
                <w:szCs w:val="21"/>
                <w:highlight w:val="none"/>
                <w:lang w:val="zh-CN"/>
              </w:rPr>
            </w:pPr>
            <w:r>
              <w:rPr>
                <w:rFonts w:hint="eastAsia" w:ascii="宋体" w:hAnsi="宋体" w:cs="宋体"/>
                <w:color w:val="auto"/>
                <w:sz w:val="21"/>
                <w:szCs w:val="21"/>
                <w:highlight w:val="none"/>
                <w:lang w:val="zh-CN"/>
              </w:rPr>
              <w:t xml:space="preserve">注：具体资格要求详见“第一部分 </w:t>
            </w:r>
            <w:r>
              <w:rPr>
                <w:rFonts w:hint="eastAsia" w:ascii="宋体" w:hAnsi="宋体" w:cs="宋体"/>
                <w:color w:val="auto"/>
                <w:sz w:val="21"/>
                <w:szCs w:val="21"/>
                <w:highlight w:val="none"/>
              </w:rPr>
              <w:t>招标</w:t>
            </w:r>
            <w:r>
              <w:rPr>
                <w:rFonts w:hint="eastAsia" w:ascii="宋体" w:hAnsi="宋体" w:cs="宋体"/>
                <w:color w:val="auto"/>
                <w:sz w:val="21"/>
                <w:szCs w:val="21"/>
                <w:highlight w:val="none"/>
                <w:lang w:val="zh-CN"/>
              </w:rPr>
              <w:t>公告”中“二、申请人的资格要求”。</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065"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1.2</w:t>
            </w:r>
          </w:p>
        </w:tc>
        <w:tc>
          <w:tcPr>
            <w:tcW w:w="2614" w:type="dxa"/>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zh-CN"/>
              </w:rPr>
              <w:t>具有良好的商业信誉和健全的财务会计制度</w:t>
            </w:r>
          </w:p>
        </w:tc>
        <w:tc>
          <w:tcPr>
            <w:tcW w:w="6675" w:type="dxa"/>
            <w:gridSpan w:val="2"/>
            <w:vAlign w:val="center"/>
          </w:tcPr>
          <w:p>
            <w:pPr>
              <w:rPr>
                <w:rFonts w:hint="eastAsia" w:ascii="宋体" w:hAnsi="宋体" w:cs="宋体"/>
                <w:color w:val="auto"/>
                <w:sz w:val="21"/>
                <w:szCs w:val="21"/>
                <w:highlight w:val="none"/>
              </w:rPr>
            </w:pPr>
            <w:r>
              <w:rPr>
                <w:rFonts w:hint="eastAsia" w:ascii="宋体" w:hAnsi="宋体"/>
                <w:color w:val="auto"/>
                <w:sz w:val="21"/>
                <w:szCs w:val="21"/>
                <w:highlight w:val="none"/>
                <w:lang w:val="zh-CN"/>
              </w:rPr>
              <w:t>具有良好的商业信誉和健全的财务会计制度声明函，</w:t>
            </w:r>
            <w:r>
              <w:rPr>
                <w:rFonts w:hint="eastAsia" w:ascii="宋体" w:hAnsi="宋体"/>
                <w:color w:val="auto"/>
                <w:sz w:val="21"/>
                <w:szCs w:val="21"/>
                <w:highlight w:val="none"/>
              </w:rPr>
              <w:t>详见表2。</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27"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1.3</w:t>
            </w:r>
          </w:p>
        </w:tc>
        <w:tc>
          <w:tcPr>
            <w:tcW w:w="2614" w:type="dxa"/>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zh-CN"/>
              </w:rPr>
              <w:t>具有履行合同所必需的设备和专业技术能力</w:t>
            </w:r>
          </w:p>
        </w:tc>
        <w:tc>
          <w:tcPr>
            <w:tcW w:w="6675" w:type="dxa"/>
            <w:gridSpan w:val="2"/>
            <w:vAlign w:val="center"/>
          </w:tcPr>
          <w:p>
            <w:pPr>
              <w:rPr>
                <w:rFonts w:hint="eastAsia" w:ascii="宋体" w:hAnsi="宋体" w:cs="宋体"/>
                <w:color w:val="auto"/>
                <w:sz w:val="21"/>
                <w:szCs w:val="21"/>
                <w:highlight w:val="none"/>
                <w:lang w:val="zh-CN"/>
              </w:rPr>
            </w:pPr>
            <w:r>
              <w:rPr>
                <w:rFonts w:hint="eastAsia" w:ascii="宋体" w:hAnsi="宋体"/>
                <w:color w:val="auto"/>
                <w:sz w:val="21"/>
                <w:szCs w:val="21"/>
                <w:highlight w:val="none"/>
                <w:lang w:val="zh-CN"/>
              </w:rPr>
              <w:t>具有履行合同所必需的设备和专业技术能力的声明函，</w:t>
            </w:r>
            <w:r>
              <w:rPr>
                <w:rFonts w:hint="eastAsia" w:ascii="宋体" w:hAnsi="宋体"/>
                <w:color w:val="auto"/>
                <w:sz w:val="21"/>
                <w:szCs w:val="21"/>
                <w:highlight w:val="none"/>
              </w:rPr>
              <w:t>详见表3。</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242"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1.4</w:t>
            </w:r>
          </w:p>
        </w:tc>
        <w:tc>
          <w:tcPr>
            <w:tcW w:w="2614" w:type="dxa"/>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有依法缴纳税收和社会保障资金的良好记录</w:t>
            </w:r>
          </w:p>
        </w:tc>
        <w:tc>
          <w:tcPr>
            <w:tcW w:w="6675" w:type="dxa"/>
            <w:gridSpan w:val="2"/>
            <w:vAlign w:val="center"/>
          </w:tcPr>
          <w:p>
            <w:pPr>
              <w:rPr>
                <w:rFonts w:hint="eastAsia" w:ascii="宋体" w:hAnsi="宋体" w:cs="宋体"/>
                <w:color w:val="auto"/>
                <w:sz w:val="21"/>
                <w:szCs w:val="21"/>
                <w:highlight w:val="none"/>
                <w:lang w:val="zh-CN"/>
              </w:rPr>
            </w:pPr>
            <w:r>
              <w:rPr>
                <w:rFonts w:hint="eastAsia" w:ascii="宋体" w:hAnsi="宋体"/>
                <w:color w:val="auto"/>
                <w:sz w:val="21"/>
                <w:szCs w:val="21"/>
                <w:highlight w:val="none"/>
                <w:lang w:val="zh-CN"/>
              </w:rPr>
              <w:t>依法缴纳税收和社会保障资金的声明</w:t>
            </w:r>
            <w:r>
              <w:rPr>
                <w:rFonts w:hint="eastAsia" w:ascii="宋体" w:hAnsi="宋体"/>
                <w:color w:val="auto"/>
                <w:sz w:val="21"/>
                <w:szCs w:val="21"/>
                <w:highlight w:val="none"/>
              </w:rPr>
              <w:t>函</w:t>
            </w:r>
            <w:r>
              <w:rPr>
                <w:rFonts w:hint="eastAsia" w:ascii="宋体" w:hAnsi="宋体"/>
                <w:color w:val="auto"/>
                <w:sz w:val="21"/>
                <w:szCs w:val="21"/>
                <w:highlight w:val="none"/>
                <w:lang w:val="zh-CN"/>
              </w:rPr>
              <w:t>，</w:t>
            </w:r>
            <w:r>
              <w:rPr>
                <w:rFonts w:hint="eastAsia" w:ascii="宋体" w:hAnsi="宋体"/>
                <w:color w:val="auto"/>
                <w:sz w:val="21"/>
                <w:szCs w:val="21"/>
                <w:highlight w:val="none"/>
              </w:rPr>
              <w:t>详见表4。</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679"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1.5</w:t>
            </w:r>
          </w:p>
        </w:tc>
        <w:tc>
          <w:tcPr>
            <w:tcW w:w="4789" w:type="dxa"/>
            <w:gridSpan w:val="2"/>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lang w:val="zh-CN"/>
              </w:rPr>
              <w:t>参加政府采购活动前三年内（新成立不满三年的公司自成立之日起算）在经营活动中没有重大违法记录</w:t>
            </w:r>
          </w:p>
        </w:tc>
        <w:tc>
          <w:tcPr>
            <w:tcW w:w="4500" w:type="dxa"/>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没有重大违法记录承诺函，详见表5。</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1130"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1.6</w:t>
            </w:r>
          </w:p>
        </w:tc>
        <w:tc>
          <w:tcPr>
            <w:tcW w:w="4789" w:type="dxa"/>
            <w:gridSpan w:val="2"/>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投标截止前未被“信用中国”网站(www.creditchina.gov.cn)列入失信被执行人、重大税收违法案件当事人名单、政府采购不良行为记录名单；未被“中国政府采购网”(www.ccgp.gov.cn)列入政府采购严重违法失信行为记录名单。</w:t>
            </w:r>
          </w:p>
        </w:tc>
        <w:tc>
          <w:tcPr>
            <w:tcW w:w="4500" w:type="dxa"/>
            <w:vAlign w:val="center"/>
          </w:tcPr>
          <w:p>
            <w:pPr>
              <w:widowControl/>
              <w:spacing w:line="400" w:lineRule="exact"/>
              <w:jc w:val="left"/>
              <w:rPr>
                <w:rFonts w:hint="eastAsia" w:ascii="宋体" w:hAnsi="宋体" w:cs="宋体"/>
                <w:color w:val="auto"/>
                <w:sz w:val="21"/>
                <w:szCs w:val="21"/>
                <w:highlight w:val="none"/>
              </w:rPr>
            </w:pPr>
            <w:r>
              <w:rPr>
                <w:rFonts w:hint="eastAsia" w:ascii="宋体" w:hAnsi="宋体" w:cs="宋体"/>
                <w:color w:val="auto"/>
                <w:kern w:val="0"/>
                <w:sz w:val="21"/>
                <w:szCs w:val="21"/>
                <w:highlight w:val="none"/>
                <w:lang w:bidi="ar"/>
              </w:rPr>
              <w:t>无违法失信的声明函，</w:t>
            </w:r>
            <w:r>
              <w:rPr>
                <w:rFonts w:hint="eastAsia" w:ascii="宋体" w:hAnsi="宋体" w:cs="宋体"/>
                <w:color w:val="auto"/>
                <w:sz w:val="21"/>
                <w:szCs w:val="21"/>
                <w:highlight w:val="none"/>
              </w:rPr>
              <w:t>详见表6。</w:t>
            </w:r>
          </w:p>
          <w:p>
            <w:pPr>
              <w:spacing w:line="400" w:lineRule="exact"/>
              <w:rPr>
                <w:rFonts w:hint="eastAsia" w:ascii="宋体" w:hAnsi="宋体" w:cs="宋体"/>
                <w:color w:val="auto"/>
                <w:sz w:val="21"/>
                <w:szCs w:val="21"/>
                <w:highlight w:val="none"/>
              </w:rPr>
            </w:pP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24"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w:t>
            </w:r>
          </w:p>
        </w:tc>
        <w:tc>
          <w:tcPr>
            <w:tcW w:w="4789" w:type="dxa"/>
            <w:gridSpan w:val="2"/>
            <w:vAlign w:val="center"/>
          </w:tcPr>
          <w:p>
            <w:pPr>
              <w:spacing w:line="400" w:lineRule="exact"/>
              <w:jc w:val="left"/>
              <w:rPr>
                <w:rFonts w:hint="eastAsia" w:ascii="宋体" w:hAnsi="宋体" w:cs="宋体"/>
                <w:color w:val="auto"/>
                <w:sz w:val="21"/>
                <w:szCs w:val="21"/>
                <w:highlight w:val="none"/>
              </w:rPr>
            </w:pPr>
            <w:r>
              <w:rPr>
                <w:rFonts w:hint="eastAsia" w:ascii="宋体" w:hAnsi="宋体" w:cs="宋体"/>
                <w:color w:val="auto"/>
                <w:sz w:val="21"/>
                <w:szCs w:val="21"/>
                <w:highlight w:val="none"/>
                <w:lang w:val="zh-CN"/>
              </w:rPr>
              <w:t>特定资格要求：</w:t>
            </w:r>
          </w:p>
        </w:tc>
        <w:tc>
          <w:tcPr>
            <w:tcW w:w="4500" w:type="dxa"/>
            <w:vAlign w:val="center"/>
          </w:tcPr>
          <w:p>
            <w:pPr>
              <w:spacing w:line="400" w:lineRule="exact"/>
              <w:rPr>
                <w:rFonts w:hint="eastAsia" w:ascii="宋体" w:hAnsi="宋体" w:cs="宋体"/>
                <w:color w:val="auto"/>
                <w:sz w:val="21"/>
                <w:szCs w:val="21"/>
                <w:highlight w:val="none"/>
              </w:rPr>
            </w:pP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524"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2.1</w:t>
            </w:r>
          </w:p>
        </w:tc>
        <w:tc>
          <w:tcPr>
            <w:tcW w:w="4789" w:type="dxa"/>
            <w:gridSpan w:val="2"/>
            <w:vAlign w:val="center"/>
          </w:tcPr>
          <w:p>
            <w:pPr>
              <w:spacing w:line="400" w:lineRule="exact"/>
              <w:jc w:val="left"/>
              <w:rPr>
                <w:rFonts w:hint="eastAsia" w:ascii="宋体" w:hAnsi="宋体" w:cs="宋体"/>
                <w:color w:val="auto"/>
                <w:sz w:val="21"/>
                <w:szCs w:val="21"/>
                <w:highlight w:val="none"/>
                <w:lang w:val="zh-CN"/>
              </w:rPr>
            </w:pPr>
            <w:r>
              <w:rPr>
                <w:rFonts w:hint="eastAsia" w:ascii="宋体" w:hAnsi="宋体" w:cs="宋体"/>
                <w:color w:val="auto"/>
                <w:sz w:val="21"/>
                <w:szCs w:val="24"/>
                <w:highlight w:val="none"/>
                <w:lang w:val="zh-CN"/>
              </w:rPr>
              <w:t>本项目属于专门面向中小微企业采购的项目,供应商应为中小微企业或监狱企业或残疾人福利性单位</w:t>
            </w:r>
          </w:p>
        </w:tc>
        <w:tc>
          <w:tcPr>
            <w:tcW w:w="4500" w:type="dxa"/>
            <w:vAlign w:val="center"/>
          </w:tcPr>
          <w:p>
            <w:pPr>
              <w:spacing w:line="400" w:lineRule="exact"/>
              <w:rPr>
                <w:rFonts w:hint="eastAsia" w:ascii="宋体" w:hAnsi="宋体" w:cs="宋体"/>
                <w:color w:val="auto"/>
                <w:sz w:val="21"/>
                <w:szCs w:val="21"/>
                <w:highlight w:val="none"/>
              </w:rPr>
            </w:pPr>
            <w:r>
              <w:rPr>
                <w:rFonts w:hint="eastAsia" w:ascii="宋体" w:hAnsi="宋体" w:cs="宋体"/>
                <w:color w:val="auto"/>
                <w:sz w:val="21"/>
                <w:szCs w:val="21"/>
                <w:highlight w:val="none"/>
              </w:rPr>
              <w:t>提供《中小企业声明函》或《残疾人福利性单位声明函》或《监狱企业声明函》。详见表7。</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323"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2.2</w:t>
            </w:r>
          </w:p>
        </w:tc>
        <w:tc>
          <w:tcPr>
            <w:tcW w:w="4789" w:type="dxa"/>
            <w:gridSpan w:val="2"/>
            <w:vAlign w:val="center"/>
          </w:tcPr>
          <w:p>
            <w:pPr>
              <w:spacing w:line="400" w:lineRule="exact"/>
              <w:jc w:val="left"/>
              <w:rPr>
                <w:rFonts w:hint="eastAsia" w:ascii="宋体" w:hAnsi="宋体" w:cs="宋体"/>
                <w:color w:val="auto"/>
                <w:kern w:val="0"/>
                <w:sz w:val="21"/>
                <w:szCs w:val="21"/>
                <w:highlight w:val="none"/>
              </w:rPr>
            </w:pPr>
            <w:r>
              <w:rPr>
                <w:rFonts w:hint="eastAsia" w:ascii="宋体" w:hAnsi="宋体" w:cs="宋体"/>
                <w:color w:val="auto"/>
                <w:sz w:val="21"/>
                <w:szCs w:val="21"/>
                <w:highlight w:val="none"/>
                <w:lang w:val="zh-CN"/>
              </w:rPr>
              <w:t>单位负责人为同一人或者存在直接控股、管理关系的不同投标人，不得参加同一合同项下的政府采购活动</w:t>
            </w:r>
          </w:p>
        </w:tc>
        <w:tc>
          <w:tcPr>
            <w:tcW w:w="4500" w:type="dxa"/>
            <w:vAlign w:val="center"/>
          </w:tcPr>
          <w:p>
            <w:pPr>
              <w:spacing w:line="400" w:lineRule="exact"/>
              <w:rPr>
                <w:rFonts w:hint="eastAsia" w:ascii="宋体" w:hAnsi="宋体" w:cs="宋体"/>
                <w:color w:val="auto"/>
                <w:kern w:val="0"/>
                <w:sz w:val="21"/>
                <w:szCs w:val="21"/>
                <w:highlight w:val="none"/>
              </w:rPr>
            </w:pPr>
            <w:r>
              <w:rPr>
                <w:rFonts w:hint="eastAsia" w:ascii="宋体" w:hAnsi="宋体" w:cs="宋体"/>
                <w:color w:val="auto"/>
                <w:sz w:val="21"/>
                <w:szCs w:val="21"/>
                <w:highlight w:val="none"/>
              </w:rPr>
              <w:t>与其他供应商无利害关系的声明函，详见表8。</w:t>
            </w:r>
          </w:p>
        </w:tc>
      </w:tr>
      <w:tr>
        <w:tblPrEx>
          <w:tblBorders>
            <w:top w:val="single" w:color="auto" w:sz="18" w:space="0"/>
            <w:left w:val="single" w:color="auto" w:sz="18" w:space="0"/>
            <w:bottom w:val="single" w:color="auto" w:sz="18" w:space="0"/>
            <w:right w:val="single" w:color="auto" w:sz="18" w:space="0"/>
            <w:insideH w:val="single" w:color="auto" w:sz="2" w:space="0"/>
            <w:insideV w:val="single" w:color="auto" w:sz="2" w:space="0"/>
          </w:tblBorders>
          <w:tblLayout w:type="fixed"/>
          <w:tblCellMar>
            <w:top w:w="0" w:type="dxa"/>
            <w:left w:w="108" w:type="dxa"/>
            <w:bottom w:w="0" w:type="dxa"/>
            <w:right w:w="108" w:type="dxa"/>
          </w:tblCellMar>
        </w:tblPrEx>
        <w:trPr>
          <w:trHeight w:val="323" w:hRule="atLeast"/>
        </w:trPr>
        <w:tc>
          <w:tcPr>
            <w:tcW w:w="738" w:type="dxa"/>
            <w:vAlign w:val="center"/>
          </w:tcPr>
          <w:p>
            <w:pPr>
              <w:spacing w:line="400" w:lineRule="exact"/>
              <w:jc w:val="center"/>
              <w:rPr>
                <w:rFonts w:hint="eastAsia" w:ascii="宋体" w:hAnsi="宋体" w:cs="宋体"/>
                <w:color w:val="auto"/>
                <w:sz w:val="21"/>
                <w:szCs w:val="21"/>
                <w:highlight w:val="none"/>
              </w:rPr>
            </w:pPr>
            <w:r>
              <w:rPr>
                <w:rFonts w:hint="eastAsia" w:ascii="宋体" w:hAnsi="宋体" w:cs="宋体"/>
                <w:color w:val="auto"/>
                <w:sz w:val="21"/>
                <w:szCs w:val="21"/>
                <w:highlight w:val="none"/>
              </w:rPr>
              <w:t>2.3</w:t>
            </w:r>
          </w:p>
        </w:tc>
        <w:tc>
          <w:tcPr>
            <w:tcW w:w="4789" w:type="dxa"/>
            <w:gridSpan w:val="2"/>
            <w:vAlign w:val="center"/>
          </w:tcPr>
          <w:p>
            <w:pPr>
              <w:widowControl/>
              <w:spacing w:line="40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非联合体。</w:t>
            </w:r>
          </w:p>
        </w:tc>
        <w:tc>
          <w:tcPr>
            <w:tcW w:w="4500" w:type="dxa"/>
            <w:vAlign w:val="center"/>
          </w:tcPr>
          <w:p>
            <w:pPr>
              <w:widowControl/>
              <w:spacing w:line="400" w:lineRule="exact"/>
              <w:jc w:val="left"/>
              <w:rPr>
                <w:rFonts w:hint="eastAsia" w:ascii="宋体" w:hAnsi="宋体" w:cs="宋体"/>
                <w:color w:val="auto"/>
                <w:kern w:val="0"/>
                <w:sz w:val="21"/>
                <w:szCs w:val="21"/>
                <w:highlight w:val="none"/>
              </w:rPr>
            </w:pPr>
            <w:r>
              <w:rPr>
                <w:rFonts w:hint="eastAsia" w:ascii="宋体" w:hAnsi="宋体" w:cs="宋体"/>
                <w:color w:val="auto"/>
                <w:kern w:val="0"/>
                <w:sz w:val="21"/>
                <w:szCs w:val="21"/>
                <w:highlight w:val="none"/>
              </w:rPr>
              <w:t>非联合体的声明函，</w:t>
            </w:r>
            <w:r>
              <w:rPr>
                <w:rFonts w:hint="eastAsia" w:ascii="宋体" w:hAnsi="宋体" w:cs="宋体"/>
                <w:color w:val="auto"/>
                <w:sz w:val="21"/>
                <w:szCs w:val="21"/>
                <w:highlight w:val="none"/>
              </w:rPr>
              <w:t>详见表9</w:t>
            </w:r>
            <w:r>
              <w:rPr>
                <w:rFonts w:hint="eastAsia" w:ascii="宋体" w:hAnsi="宋体" w:cs="宋体"/>
                <w:color w:val="auto"/>
                <w:kern w:val="0"/>
                <w:sz w:val="21"/>
                <w:szCs w:val="21"/>
                <w:highlight w:val="none"/>
              </w:rPr>
              <w:t>。</w:t>
            </w:r>
          </w:p>
        </w:tc>
      </w:tr>
    </w:tbl>
    <w:p>
      <w:pPr>
        <w:pStyle w:val="2"/>
        <w:spacing w:before="66"/>
        <w:rPr>
          <w:rFonts w:hint="eastAsia" w:ascii="宋体" w:hAnsi="宋体" w:cs="宋体"/>
          <w:color w:val="auto"/>
          <w:sz w:val="24"/>
          <w:szCs w:val="24"/>
          <w:highlight w:val="none"/>
        </w:rPr>
      </w:pPr>
      <w:r>
        <w:rPr>
          <w:rFonts w:hint="eastAsia" w:ascii="宋体" w:hAnsi="宋体" w:cs="宋体"/>
          <w:color w:val="auto"/>
          <w:sz w:val="24"/>
          <w:highlight w:val="none"/>
        </w:rPr>
        <w:t>表2：</w:t>
      </w:r>
      <w:r>
        <w:rPr>
          <w:rFonts w:hint="eastAsia" w:ascii="宋体" w:hAnsi="宋体" w:cs="宋体"/>
          <w:color w:val="auto"/>
          <w:sz w:val="24"/>
          <w:szCs w:val="24"/>
          <w:highlight w:val="none"/>
        </w:rPr>
        <w:t>具有良好的商业信誉和健全的财务会计制度声明函</w:t>
      </w:r>
    </w:p>
    <w:p>
      <w:pPr>
        <w:pStyle w:val="3"/>
        <w:ind w:firstLine="210"/>
        <w:rPr>
          <w:rFonts w:hint="eastAsia"/>
          <w:color w:val="auto"/>
          <w:highlight w:val="none"/>
        </w:rPr>
      </w:pPr>
    </w:p>
    <w:p>
      <w:pPr>
        <w:kinsoku/>
        <w:overflowPunct/>
        <w:bidi w:val="0"/>
        <w:spacing w:line="400" w:lineRule="exact"/>
        <w:jc w:val="center"/>
        <w:rPr>
          <w:rFonts w:hint="eastAsia" w:ascii="宋体" w:hAnsi="宋体" w:cs="宋体"/>
          <w:b/>
          <w:color w:val="auto"/>
          <w:sz w:val="32"/>
          <w:highlight w:val="none"/>
        </w:rPr>
      </w:pPr>
      <w:r>
        <w:rPr>
          <w:rFonts w:hint="eastAsia" w:ascii="宋体" w:hAnsi="宋体" w:cs="宋体"/>
          <w:b/>
          <w:color w:val="auto"/>
          <w:sz w:val="32"/>
          <w:highlight w:val="none"/>
        </w:rPr>
        <w:t>具有良好的商业信誉和健全的财务会计制度声明函</w:t>
      </w: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cs="宋体"/>
          <w:b/>
          <w:color w:val="auto"/>
          <w:sz w:val="32"/>
          <w:highlight w:val="none"/>
          <w:shd w:val="clear" w:color="auto" w:fill="auto"/>
          <w:lang w:eastAsia="zh-CN"/>
        </w:rPr>
        <w:t>（标项一</w:t>
      </w:r>
      <w:r>
        <w:rPr>
          <w:rFonts w:hint="eastAsia" w:ascii="宋体" w:hAnsi="宋体" w:cs="宋体"/>
          <w:b/>
          <w:color w:val="auto"/>
          <w:sz w:val="32"/>
          <w:highlight w:val="none"/>
          <w:shd w:val="clear" w:color="auto" w:fill="auto"/>
          <w:lang w:val="en-US" w:eastAsia="zh-CN"/>
        </w:rPr>
        <w:t>或</w:t>
      </w:r>
      <w:r>
        <w:rPr>
          <w:rFonts w:hint="eastAsia" w:ascii="宋体" w:hAnsi="宋体" w:cs="宋体"/>
          <w:b/>
          <w:color w:val="auto"/>
          <w:sz w:val="32"/>
          <w:highlight w:val="none"/>
          <w:shd w:val="clear" w:color="auto" w:fill="auto"/>
          <w:lang w:eastAsia="zh-CN"/>
        </w:rPr>
        <w:t>标项二）</w:t>
      </w:r>
    </w:p>
    <w:p>
      <w:pPr>
        <w:spacing w:line="400" w:lineRule="exact"/>
        <w:jc w:val="center"/>
        <w:rPr>
          <w:rFonts w:hint="eastAsia" w:ascii="宋体" w:hAnsi="宋体" w:cs="宋体"/>
          <w:b/>
          <w:color w:val="auto"/>
          <w:sz w:val="32"/>
          <w:highlight w:val="none"/>
        </w:rPr>
      </w:pPr>
    </w:p>
    <w:p>
      <w:pPr>
        <w:widowControl/>
        <w:adjustRightInd w:val="0"/>
        <w:snapToGrid w:val="0"/>
        <w:spacing w:line="480" w:lineRule="exact"/>
        <w:jc w:val="left"/>
        <w:rPr>
          <w:rFonts w:hint="eastAsia" w:ascii="宋体" w:hAnsi="宋体" w:cs="宋体"/>
          <w:color w:val="auto"/>
          <w:kern w:val="0"/>
          <w:sz w:val="24"/>
          <w:highlight w:val="none"/>
        </w:rPr>
      </w:pPr>
      <w:r>
        <w:rPr>
          <w:rFonts w:hint="eastAsia" w:ascii="宋体" w:hAnsi="宋体" w:cs="宋体"/>
          <w:color w:val="auto"/>
          <w:kern w:val="0"/>
          <w:sz w:val="24"/>
          <w:highlight w:val="none"/>
          <w:u w:val="single"/>
        </w:rPr>
        <w:t>衢州市民用航空管理局（衢州民航站）</w:t>
      </w:r>
      <w:r>
        <w:rPr>
          <w:rFonts w:hint="eastAsia" w:ascii="宋体" w:hAnsi="宋体" w:cs="宋体"/>
          <w:color w:val="auto"/>
          <w:kern w:val="0"/>
          <w:sz w:val="24"/>
          <w:highlight w:val="none"/>
        </w:rPr>
        <w:t>：</w:t>
      </w:r>
    </w:p>
    <w:p>
      <w:pPr>
        <w:widowControl/>
        <w:adjustRightInd w:val="0"/>
        <w:snapToGrid w:val="0"/>
        <w:spacing w:line="48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我方</w:t>
      </w:r>
      <w:r>
        <w:rPr>
          <w:rFonts w:hint="eastAsia" w:ascii="宋体" w:hAnsi="宋体" w:cs="宋体"/>
          <w:color w:val="auto"/>
          <w:kern w:val="0"/>
          <w:sz w:val="24"/>
          <w:highlight w:val="none"/>
          <w:u w:val="single"/>
        </w:rPr>
        <w:t xml:space="preserve"> （供应商）          </w:t>
      </w:r>
      <w:r>
        <w:rPr>
          <w:rFonts w:hint="eastAsia" w:ascii="宋体" w:hAnsi="宋体" w:cs="宋体"/>
          <w:color w:val="auto"/>
          <w:spacing w:val="-4"/>
          <w:sz w:val="24"/>
          <w:szCs w:val="24"/>
          <w:highlight w:val="none"/>
        </w:rPr>
        <w:t>具有良好的商业</w:t>
      </w:r>
      <w:r>
        <w:rPr>
          <w:rFonts w:hint="eastAsia" w:ascii="宋体" w:hAnsi="宋体" w:cs="宋体"/>
          <w:color w:val="auto"/>
          <w:spacing w:val="-7"/>
          <w:sz w:val="24"/>
          <w:szCs w:val="24"/>
          <w:highlight w:val="none"/>
        </w:rPr>
        <w:t>信誉和健全的财务会计制度，我方对上述声明的真实性负责。如有虚假，采购人可取消我方任何资格（投标/中标/签订合同），我方对此无任何异议</w:t>
      </w:r>
      <w:r>
        <w:rPr>
          <w:rFonts w:hint="eastAsia" w:ascii="宋体" w:hAnsi="宋体" w:cs="宋体"/>
          <w:color w:val="auto"/>
          <w:kern w:val="0"/>
          <w:sz w:val="24"/>
          <w:highlight w:val="none"/>
        </w:rPr>
        <w:t>。</w:t>
      </w:r>
    </w:p>
    <w:p>
      <w:pPr>
        <w:widowControl/>
        <w:adjustRightInd w:val="0"/>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特此承诺！</w:t>
      </w:r>
    </w:p>
    <w:p>
      <w:pPr>
        <w:pStyle w:val="60"/>
        <w:ind w:left="560" w:firstLine="480"/>
        <w:rPr>
          <w:rFonts w:hint="eastAsia" w:ascii="宋体" w:hAnsi="宋体" w:cs="宋体"/>
          <w:color w:val="auto"/>
          <w:kern w:val="0"/>
          <w:sz w:val="24"/>
          <w:highlight w:val="none"/>
        </w:rPr>
      </w:pPr>
    </w:p>
    <w:p>
      <w:pPr>
        <w:adjustRightInd w:val="0"/>
        <w:snapToGrid w:val="0"/>
        <w:spacing w:line="360" w:lineRule="auto"/>
        <w:rPr>
          <w:rFonts w:hint="eastAsia" w:ascii="宋体" w:hAnsi="宋体" w:cs="宋体"/>
          <w:color w:val="auto"/>
          <w:kern w:val="0"/>
          <w:sz w:val="24"/>
          <w:highlight w:val="none"/>
          <w:lang w:val="zh-CN"/>
        </w:rPr>
      </w:pP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年</w:t>
      </w:r>
      <w:r>
        <w:rPr>
          <w:rFonts w:ascii="宋体" w:cs="宋体"/>
          <w:color w:val="auto"/>
          <w:kern w:val="0"/>
          <w:sz w:val="24"/>
          <w:highlight w:val="none"/>
          <w:u w:val="single"/>
        </w:rPr>
        <w:tab/>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日</w:t>
      </w:r>
    </w:p>
    <w:p>
      <w:pPr>
        <w:spacing w:line="400" w:lineRule="exact"/>
        <w:rPr>
          <w:rFonts w:hint="eastAsia" w:ascii="宋体" w:hAnsi="宋体" w:cs="宋体"/>
          <w:color w:val="auto"/>
          <w:sz w:val="24"/>
          <w:highlight w:val="none"/>
        </w:rPr>
      </w:pPr>
    </w:p>
    <w:p>
      <w:pPr>
        <w:pStyle w:val="60"/>
        <w:ind w:left="0" w:leftChars="0" w:firstLine="0" w:firstLineChars="0"/>
        <w:jc w:val="left"/>
        <w:rPr>
          <w:rFonts w:hint="eastAsia" w:ascii="宋体" w:hAnsi="宋体" w:cs="宋体"/>
          <w:color w:val="auto"/>
          <w:sz w:val="24"/>
          <w:highlight w:val="none"/>
        </w:rPr>
      </w:pPr>
    </w:p>
    <w:p>
      <w:pPr>
        <w:pStyle w:val="60"/>
        <w:ind w:left="0" w:leftChars="0" w:firstLine="0" w:firstLineChars="0"/>
        <w:rPr>
          <w:rFonts w:hint="eastAsia"/>
          <w:color w:val="auto"/>
          <w:highlight w:val="none"/>
        </w:rPr>
      </w:pPr>
    </w:p>
    <w:p>
      <w:pPr>
        <w:spacing w:line="400" w:lineRule="exact"/>
        <w:rPr>
          <w:rFonts w:hint="eastAsia" w:ascii="宋体" w:hAnsi="宋体" w:cs="宋体"/>
          <w:color w:val="auto"/>
          <w:sz w:val="24"/>
          <w:highlight w:val="none"/>
        </w:rPr>
      </w:pPr>
    </w:p>
    <w:p>
      <w:pPr>
        <w:spacing w:line="400" w:lineRule="exact"/>
        <w:rPr>
          <w:rFonts w:hint="eastAsia" w:ascii="宋体" w:hAnsi="宋体" w:cs="宋体"/>
          <w:color w:val="auto"/>
          <w:sz w:val="24"/>
          <w:highlight w:val="none"/>
        </w:rPr>
      </w:pPr>
      <w:r>
        <w:rPr>
          <w:rFonts w:hint="eastAsia" w:ascii="宋体" w:hAnsi="宋体" w:cs="宋体"/>
          <w:color w:val="auto"/>
          <w:sz w:val="24"/>
          <w:highlight w:val="none"/>
        </w:rPr>
        <w:t>表3：具有履行合同所必需的专业服务（技术）能力的承诺函</w:t>
      </w:r>
    </w:p>
    <w:p>
      <w:pPr>
        <w:adjustRightInd w:val="0"/>
        <w:snapToGrid w:val="0"/>
        <w:spacing w:line="400" w:lineRule="exact"/>
        <w:rPr>
          <w:rFonts w:hint="eastAsia" w:ascii="宋体" w:hAnsi="宋体" w:cs="宋体"/>
          <w:b/>
          <w:bCs/>
          <w:color w:val="auto"/>
          <w:sz w:val="24"/>
          <w:szCs w:val="24"/>
          <w:highlight w:val="none"/>
        </w:rPr>
      </w:pPr>
    </w:p>
    <w:p>
      <w:pPr>
        <w:kinsoku/>
        <w:overflowPunct/>
        <w:bidi w:val="0"/>
        <w:spacing w:line="400" w:lineRule="exact"/>
        <w:jc w:val="center"/>
        <w:rPr>
          <w:rFonts w:hint="eastAsia" w:ascii="宋体" w:hAnsi="宋体" w:cs="宋体"/>
          <w:b/>
          <w:color w:val="auto"/>
          <w:sz w:val="32"/>
          <w:highlight w:val="none"/>
        </w:rPr>
      </w:pPr>
      <w:r>
        <w:rPr>
          <w:rFonts w:hint="eastAsia" w:ascii="宋体" w:hAnsi="宋体" w:cs="宋体"/>
          <w:b/>
          <w:color w:val="auto"/>
          <w:sz w:val="32"/>
          <w:highlight w:val="none"/>
        </w:rPr>
        <w:t>具有履行合同所必需的专业服务（技术）能力的承诺函</w:t>
      </w: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cs="宋体"/>
          <w:b/>
          <w:color w:val="auto"/>
          <w:sz w:val="32"/>
          <w:highlight w:val="none"/>
          <w:shd w:val="clear" w:color="auto" w:fill="auto"/>
          <w:lang w:eastAsia="zh-CN"/>
        </w:rPr>
        <w:t>（标项一</w:t>
      </w:r>
      <w:r>
        <w:rPr>
          <w:rFonts w:hint="eastAsia" w:ascii="宋体" w:hAnsi="宋体" w:cs="宋体"/>
          <w:b/>
          <w:color w:val="auto"/>
          <w:sz w:val="32"/>
          <w:highlight w:val="none"/>
          <w:shd w:val="clear" w:color="auto" w:fill="auto"/>
          <w:lang w:val="en-US" w:eastAsia="zh-CN"/>
        </w:rPr>
        <w:t>或</w:t>
      </w:r>
      <w:r>
        <w:rPr>
          <w:rFonts w:hint="eastAsia" w:ascii="宋体" w:hAnsi="宋体" w:cs="宋体"/>
          <w:b/>
          <w:color w:val="auto"/>
          <w:sz w:val="32"/>
          <w:highlight w:val="none"/>
          <w:shd w:val="clear" w:color="auto" w:fill="auto"/>
          <w:lang w:eastAsia="zh-CN"/>
        </w:rPr>
        <w:t>标项二）</w:t>
      </w:r>
    </w:p>
    <w:p>
      <w:pPr>
        <w:spacing w:line="400" w:lineRule="exact"/>
        <w:rPr>
          <w:rFonts w:hint="eastAsia" w:ascii="宋体" w:hAnsi="宋体" w:cs="宋体"/>
          <w:color w:val="auto"/>
          <w:highlight w:val="none"/>
        </w:rPr>
      </w:pPr>
    </w:p>
    <w:p>
      <w:pPr>
        <w:widowControl/>
        <w:adjustRightInd w:val="0"/>
        <w:snapToGrid w:val="0"/>
        <w:spacing w:line="400" w:lineRule="exact"/>
        <w:jc w:val="left"/>
        <w:rPr>
          <w:rFonts w:hint="eastAsia" w:ascii="宋体" w:hAnsi="宋体" w:cs="宋体"/>
          <w:color w:val="auto"/>
          <w:kern w:val="0"/>
          <w:sz w:val="24"/>
          <w:highlight w:val="none"/>
        </w:rPr>
      </w:pPr>
      <w:r>
        <w:rPr>
          <w:rFonts w:hint="eastAsia" w:ascii="宋体" w:hAnsi="宋体" w:cs="宋体"/>
          <w:color w:val="auto"/>
          <w:kern w:val="0"/>
          <w:sz w:val="24"/>
          <w:highlight w:val="none"/>
          <w:u w:val="single"/>
        </w:rPr>
        <w:t>衢州市民用航空管理局（衢州民航站）</w:t>
      </w:r>
      <w:r>
        <w:rPr>
          <w:rFonts w:hint="eastAsia" w:ascii="宋体" w:hAnsi="宋体" w:cs="宋体"/>
          <w:color w:val="auto"/>
          <w:kern w:val="0"/>
          <w:sz w:val="24"/>
          <w:highlight w:val="none"/>
        </w:rPr>
        <w:t>：</w:t>
      </w:r>
    </w:p>
    <w:p>
      <w:pPr>
        <w:widowControl/>
        <w:adjustRightInd w:val="0"/>
        <w:snapToGrid w:val="0"/>
        <w:spacing w:line="40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我方</w:t>
      </w:r>
      <w:r>
        <w:rPr>
          <w:rFonts w:hint="eastAsia" w:ascii="宋体" w:hAnsi="宋体" w:cs="宋体"/>
          <w:color w:val="auto"/>
          <w:kern w:val="0"/>
          <w:sz w:val="24"/>
          <w:highlight w:val="none"/>
          <w:u w:val="single"/>
        </w:rPr>
        <w:t xml:space="preserve"> （投标人）          </w:t>
      </w:r>
      <w:r>
        <w:rPr>
          <w:rFonts w:hint="eastAsia" w:ascii="宋体" w:hAnsi="宋体" w:cs="宋体"/>
          <w:color w:val="auto"/>
          <w:kern w:val="0"/>
          <w:sz w:val="24"/>
          <w:highlight w:val="none"/>
        </w:rPr>
        <w:t>承诺具有履行合同所必需的专业服务（技术）能力。如有虚假，采购人可取消我方任何资格（投标/中标/签订合同），我方对此无任何异议。</w:t>
      </w:r>
    </w:p>
    <w:p>
      <w:pPr>
        <w:widowControl/>
        <w:adjustRightInd w:val="0"/>
        <w:snapToGrid w:val="0"/>
        <w:spacing w:line="400" w:lineRule="exact"/>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特此承诺！</w:t>
      </w:r>
    </w:p>
    <w:p>
      <w:pPr>
        <w:widowControl/>
        <w:adjustRightInd w:val="0"/>
        <w:snapToGrid w:val="0"/>
        <w:spacing w:line="400" w:lineRule="exact"/>
        <w:ind w:firstLine="480" w:firstLineChars="200"/>
        <w:jc w:val="left"/>
        <w:rPr>
          <w:rFonts w:hint="eastAsia" w:ascii="宋体" w:hAnsi="宋体" w:cs="宋体"/>
          <w:color w:val="auto"/>
          <w:kern w:val="0"/>
          <w:sz w:val="24"/>
          <w:highlight w:val="none"/>
        </w:rPr>
      </w:pP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360" w:lineRule="auto"/>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sz w:val="24"/>
          <w:szCs w:val="24"/>
          <w:highlight w:val="none"/>
        </w:rPr>
        <w:t>年  月  日</w:t>
      </w:r>
    </w:p>
    <w:p>
      <w:pPr>
        <w:pStyle w:val="2"/>
        <w:spacing w:before="66"/>
        <w:rPr>
          <w:rFonts w:hint="eastAsia" w:ascii="宋体" w:hAnsi="宋体" w:cs="宋体"/>
          <w:b/>
          <w:color w:val="auto"/>
          <w:sz w:val="32"/>
          <w:highlight w:val="none"/>
        </w:rPr>
      </w:pPr>
      <w:r>
        <w:rPr>
          <w:rFonts w:hint="eastAsia" w:ascii="宋体" w:hAnsi="宋体" w:cs="宋体"/>
          <w:color w:val="auto"/>
          <w:sz w:val="24"/>
          <w:highlight w:val="none"/>
        </w:rPr>
        <w:t>表4：</w:t>
      </w:r>
      <w:r>
        <w:rPr>
          <w:rFonts w:hint="eastAsia" w:ascii="宋体" w:hAnsi="宋体" w:cs="宋体"/>
          <w:color w:val="auto"/>
          <w:sz w:val="24"/>
          <w:szCs w:val="24"/>
          <w:highlight w:val="none"/>
        </w:rPr>
        <w:t>依法缴纳税收和社会保障资金的声明函</w:t>
      </w:r>
    </w:p>
    <w:p>
      <w:pPr>
        <w:pStyle w:val="6"/>
        <w:tabs>
          <w:tab w:val="clear" w:pos="1110"/>
        </w:tabs>
        <w:spacing w:before="164"/>
        <w:ind w:left="456" w:right="37" w:firstLine="0"/>
        <w:jc w:val="center"/>
        <w:rPr>
          <w:rFonts w:hint="eastAsia" w:ascii="宋体" w:hAnsi="宋体" w:eastAsia="宋体" w:cs="宋体"/>
          <w:color w:val="auto"/>
          <w:sz w:val="32"/>
          <w:highlight w:val="none"/>
        </w:rPr>
      </w:pPr>
      <w:r>
        <w:rPr>
          <w:rFonts w:hint="eastAsia" w:ascii="宋体" w:hAnsi="宋体" w:eastAsia="宋体" w:cs="宋体"/>
          <w:color w:val="auto"/>
          <w:sz w:val="32"/>
          <w:highlight w:val="none"/>
        </w:rPr>
        <w:t>依法缴纳税收和社会保障资金的声明函</w:t>
      </w: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cs="宋体"/>
          <w:b/>
          <w:color w:val="auto"/>
          <w:sz w:val="32"/>
          <w:highlight w:val="none"/>
          <w:shd w:val="clear" w:color="auto" w:fill="auto"/>
          <w:lang w:eastAsia="zh-CN"/>
        </w:rPr>
        <w:t>（标项一</w:t>
      </w:r>
      <w:r>
        <w:rPr>
          <w:rFonts w:hint="eastAsia" w:ascii="宋体" w:hAnsi="宋体" w:cs="宋体"/>
          <w:b/>
          <w:color w:val="auto"/>
          <w:sz w:val="32"/>
          <w:highlight w:val="none"/>
          <w:shd w:val="clear" w:color="auto" w:fill="auto"/>
          <w:lang w:val="en-US" w:eastAsia="zh-CN"/>
        </w:rPr>
        <w:t>或</w:t>
      </w:r>
      <w:r>
        <w:rPr>
          <w:rFonts w:hint="eastAsia" w:ascii="宋体" w:hAnsi="宋体" w:cs="宋体"/>
          <w:b/>
          <w:color w:val="auto"/>
          <w:sz w:val="32"/>
          <w:highlight w:val="none"/>
          <w:shd w:val="clear" w:color="auto" w:fill="auto"/>
          <w:lang w:eastAsia="zh-CN"/>
        </w:rPr>
        <w:t>标项二）</w:t>
      </w:r>
    </w:p>
    <w:p>
      <w:pPr>
        <w:ind w:firstLine="720" w:firstLineChars="300"/>
        <w:rPr>
          <w:rFonts w:hint="eastAsia" w:ascii="宋体" w:hAnsi="宋体"/>
          <w:color w:val="auto"/>
          <w:sz w:val="24"/>
          <w:highlight w:val="none"/>
        </w:rPr>
      </w:pPr>
    </w:p>
    <w:p>
      <w:pPr>
        <w:widowControl/>
        <w:adjustRightInd w:val="0"/>
        <w:snapToGrid w:val="0"/>
        <w:spacing w:line="360" w:lineRule="auto"/>
        <w:jc w:val="left"/>
        <w:rPr>
          <w:rFonts w:hint="eastAsia" w:ascii="宋体" w:hAnsi="宋体" w:cs="宋体"/>
          <w:color w:val="auto"/>
          <w:kern w:val="0"/>
          <w:sz w:val="24"/>
          <w:highlight w:val="none"/>
        </w:rPr>
      </w:pPr>
      <w:r>
        <w:rPr>
          <w:rFonts w:hint="eastAsia" w:ascii="宋体" w:hAnsi="宋体" w:cs="宋体"/>
          <w:color w:val="auto"/>
          <w:kern w:val="0"/>
          <w:sz w:val="24"/>
          <w:highlight w:val="none"/>
          <w:u w:val="single"/>
        </w:rPr>
        <w:t>衢州市民用航空管理局（衢州民航站）</w:t>
      </w:r>
      <w:r>
        <w:rPr>
          <w:rFonts w:hint="eastAsia" w:ascii="宋体" w:hAnsi="宋体" w:cs="宋体"/>
          <w:color w:val="auto"/>
          <w:kern w:val="0"/>
          <w:sz w:val="24"/>
          <w:highlight w:val="none"/>
        </w:rPr>
        <w:t>：</w:t>
      </w:r>
    </w:p>
    <w:p>
      <w:pPr>
        <w:widowControl/>
        <w:adjustRightInd w:val="0"/>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我方</w:t>
      </w:r>
      <w:r>
        <w:rPr>
          <w:rFonts w:hint="eastAsia" w:ascii="宋体" w:hAnsi="宋体" w:cs="宋体"/>
          <w:color w:val="auto"/>
          <w:kern w:val="0"/>
          <w:sz w:val="24"/>
          <w:highlight w:val="none"/>
          <w:u w:val="single"/>
        </w:rPr>
        <w:t xml:space="preserve"> （供应商）          </w:t>
      </w:r>
      <w:r>
        <w:rPr>
          <w:rFonts w:hint="eastAsia" w:ascii="宋体" w:hAnsi="宋体" w:cs="宋体"/>
          <w:color w:val="auto"/>
          <w:spacing w:val="-4"/>
          <w:sz w:val="24"/>
          <w:szCs w:val="24"/>
          <w:highlight w:val="none"/>
        </w:rPr>
        <w:t>严格依法缴纳税</w:t>
      </w:r>
      <w:r>
        <w:rPr>
          <w:rFonts w:hint="eastAsia" w:ascii="宋体" w:hAnsi="宋体" w:cs="宋体"/>
          <w:color w:val="auto"/>
          <w:spacing w:val="-8"/>
          <w:sz w:val="24"/>
          <w:szCs w:val="24"/>
          <w:highlight w:val="none"/>
        </w:rPr>
        <w:t>收和社会保障资金，我方对上述声明的真实性负责。</w:t>
      </w:r>
      <w:r>
        <w:rPr>
          <w:rFonts w:hint="eastAsia" w:ascii="宋体" w:hAnsi="宋体" w:cs="宋体"/>
          <w:color w:val="auto"/>
          <w:spacing w:val="-7"/>
          <w:sz w:val="24"/>
          <w:szCs w:val="24"/>
          <w:highlight w:val="none"/>
        </w:rPr>
        <w:t>如有虚假，采购人可取消我方任何资格（投标/中标/签订合同），我方对此无任何异议</w:t>
      </w:r>
      <w:r>
        <w:rPr>
          <w:rFonts w:hint="eastAsia" w:ascii="宋体" w:hAnsi="宋体" w:cs="宋体"/>
          <w:color w:val="auto"/>
          <w:kern w:val="0"/>
          <w:sz w:val="24"/>
          <w:highlight w:val="none"/>
        </w:rPr>
        <w:t>。</w:t>
      </w:r>
    </w:p>
    <w:p>
      <w:pPr>
        <w:widowControl/>
        <w:adjustRightInd w:val="0"/>
        <w:snapToGrid w:val="0"/>
        <w:spacing w:line="360" w:lineRule="auto"/>
        <w:ind w:firstLine="480" w:firstLineChars="200"/>
        <w:jc w:val="left"/>
        <w:rPr>
          <w:rFonts w:hint="eastAsia" w:ascii="宋体" w:hAnsi="宋体" w:cs="宋体"/>
          <w:color w:val="auto"/>
          <w:kern w:val="0"/>
          <w:sz w:val="24"/>
          <w:highlight w:val="none"/>
        </w:rPr>
      </w:pPr>
      <w:r>
        <w:rPr>
          <w:rFonts w:hint="eastAsia" w:ascii="宋体" w:hAnsi="宋体" w:cs="宋体"/>
          <w:color w:val="auto"/>
          <w:kern w:val="0"/>
          <w:sz w:val="24"/>
          <w:highlight w:val="none"/>
        </w:rPr>
        <w:t>特此承诺！</w:t>
      </w:r>
    </w:p>
    <w:p>
      <w:pPr>
        <w:pStyle w:val="2"/>
        <w:rPr>
          <w:color w:val="auto"/>
          <w:highlight w:val="none"/>
        </w:rPr>
      </w:pP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360" w:lineRule="auto"/>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年</w:t>
      </w:r>
      <w:r>
        <w:rPr>
          <w:rFonts w:ascii="宋体" w:cs="宋体"/>
          <w:color w:val="auto"/>
          <w:kern w:val="0"/>
          <w:sz w:val="24"/>
          <w:highlight w:val="none"/>
          <w:u w:val="single"/>
        </w:rPr>
        <w:tab/>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日</w:t>
      </w:r>
    </w:p>
    <w:p>
      <w:pPr>
        <w:rPr>
          <w:rFonts w:hint="eastAsia" w:ascii="宋体" w:hAnsi="宋体" w:cs="宋体"/>
          <w:color w:val="auto"/>
          <w:highlight w:val="none"/>
        </w:rPr>
      </w:pPr>
    </w:p>
    <w:p>
      <w:pPr>
        <w:pStyle w:val="60"/>
        <w:ind w:left="0" w:leftChars="0" w:firstLine="0" w:firstLineChars="0"/>
        <w:rPr>
          <w:rFonts w:hint="eastAsia"/>
          <w:color w:val="auto"/>
          <w:highlight w:val="none"/>
        </w:rPr>
      </w:pPr>
    </w:p>
    <w:p>
      <w:pPr>
        <w:rPr>
          <w:rFonts w:hint="eastAsia" w:ascii="宋体" w:hAnsi="宋体" w:cs="宋体"/>
          <w:color w:val="auto"/>
          <w:sz w:val="24"/>
          <w:highlight w:val="none"/>
        </w:rPr>
      </w:pPr>
      <w:r>
        <w:rPr>
          <w:rFonts w:hint="eastAsia" w:ascii="宋体" w:hAnsi="宋体" w:cs="宋体"/>
          <w:color w:val="auto"/>
          <w:sz w:val="24"/>
          <w:highlight w:val="none"/>
        </w:rPr>
        <w:t xml:space="preserve">表5：没有重大违法记录承诺函 </w:t>
      </w:r>
    </w:p>
    <w:p>
      <w:pPr>
        <w:jc w:val="center"/>
        <w:rPr>
          <w:rFonts w:hint="eastAsia" w:ascii="宋体" w:hAnsi="宋体" w:cs="宋体"/>
          <w:b/>
          <w:color w:val="auto"/>
          <w:sz w:val="32"/>
          <w:highlight w:val="none"/>
        </w:rPr>
      </w:pPr>
      <w:r>
        <w:rPr>
          <w:rFonts w:hint="eastAsia" w:ascii="宋体" w:hAnsi="宋体" w:cs="宋体"/>
          <w:b/>
          <w:color w:val="auto"/>
          <w:sz w:val="32"/>
          <w:highlight w:val="none"/>
        </w:rPr>
        <w:t>没有重大违法记录承诺函</w:t>
      </w: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cs="宋体"/>
          <w:b/>
          <w:color w:val="auto"/>
          <w:sz w:val="32"/>
          <w:highlight w:val="none"/>
          <w:shd w:val="clear" w:color="auto" w:fill="auto"/>
          <w:lang w:eastAsia="zh-CN"/>
        </w:rPr>
        <w:t>（标项一</w:t>
      </w:r>
      <w:r>
        <w:rPr>
          <w:rFonts w:hint="eastAsia" w:ascii="宋体" w:hAnsi="宋体" w:cs="宋体"/>
          <w:b/>
          <w:color w:val="auto"/>
          <w:sz w:val="32"/>
          <w:highlight w:val="none"/>
          <w:shd w:val="clear" w:color="auto" w:fill="auto"/>
          <w:lang w:val="en-US" w:eastAsia="zh-CN"/>
        </w:rPr>
        <w:t>或</w:t>
      </w:r>
      <w:r>
        <w:rPr>
          <w:rFonts w:hint="eastAsia" w:ascii="宋体" w:hAnsi="宋体" w:cs="宋体"/>
          <w:b/>
          <w:color w:val="auto"/>
          <w:sz w:val="32"/>
          <w:highlight w:val="none"/>
          <w:shd w:val="clear" w:color="auto" w:fill="auto"/>
          <w:lang w:eastAsia="zh-CN"/>
        </w:rPr>
        <w:t>标项二）</w:t>
      </w:r>
    </w:p>
    <w:p>
      <w:pPr>
        <w:spacing w:line="360" w:lineRule="auto"/>
        <w:rPr>
          <w:rFonts w:hint="eastAsia" w:ascii="宋体" w:hAnsi="宋体" w:cs="宋体"/>
          <w:color w:val="auto"/>
          <w:sz w:val="24"/>
          <w:szCs w:val="24"/>
          <w:highlight w:val="none"/>
          <w:u w:val="single"/>
        </w:rPr>
      </w:pPr>
    </w:p>
    <w:p>
      <w:pPr>
        <w:spacing w:line="360" w:lineRule="auto"/>
        <w:rPr>
          <w:rFonts w:hint="eastAsia" w:ascii="宋体" w:hAnsi="宋体" w:cs="宋体"/>
          <w:color w:val="auto"/>
          <w:sz w:val="24"/>
          <w:szCs w:val="24"/>
          <w:highlight w:val="none"/>
          <w:u w:val="single"/>
        </w:rPr>
      </w:pPr>
      <w:bookmarkStart w:id="104" w:name="OLE_LINK5"/>
      <w:r>
        <w:rPr>
          <w:rFonts w:hint="eastAsia" w:ascii="宋体" w:hAnsi="宋体" w:cs="宋体"/>
          <w:color w:val="auto"/>
          <w:kern w:val="0"/>
          <w:sz w:val="24"/>
          <w:highlight w:val="none"/>
          <w:u w:val="single"/>
        </w:rPr>
        <w:t>衢州市民用航空管理局（衢州民航站）</w:t>
      </w:r>
      <w:bookmarkEnd w:id="104"/>
      <w:r>
        <w:rPr>
          <w:rFonts w:hint="eastAsia" w:ascii="宋体" w:hAnsi="宋体" w:cs="宋体"/>
          <w:color w:val="auto"/>
          <w:sz w:val="24"/>
          <w:szCs w:val="24"/>
          <w:highlight w:val="none"/>
        </w:rPr>
        <w:t>：</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我方</w:t>
      </w:r>
      <w:r>
        <w:rPr>
          <w:rFonts w:hint="eastAsia" w:ascii="宋体" w:hAnsi="宋体" w:cs="宋体"/>
          <w:color w:val="auto"/>
          <w:sz w:val="24"/>
          <w:szCs w:val="24"/>
          <w:highlight w:val="none"/>
          <w:u w:val="single"/>
        </w:rPr>
        <w:t xml:space="preserve">（投标人）            </w:t>
      </w:r>
      <w:r>
        <w:rPr>
          <w:rFonts w:hint="eastAsia" w:ascii="宋体" w:hAnsi="宋体" w:cs="宋体"/>
          <w:color w:val="auto"/>
          <w:sz w:val="24"/>
          <w:szCs w:val="24"/>
          <w:highlight w:val="none"/>
        </w:rPr>
        <w:t xml:space="preserve">具有良好的商业信誉，在参加政府采购活动前三年内，在经营活动中没有重大违法记录（没有因违法经营受到刑事处罚，没有被责令停产停业、被吊销许可证或者执照、被处以较大数额罚款等行政处罚，没有因违法经营被禁止参加政府采购活动的期限未满情形）。如有虚假，采购人可取消我方任何资格（投标/中标/签订合同），我方对此无任何异议。 </w:t>
      </w:r>
    </w:p>
    <w:p>
      <w:pPr>
        <w:spacing w:line="360"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特此承诺！ </w:t>
      </w:r>
    </w:p>
    <w:p>
      <w:pPr>
        <w:spacing w:line="360" w:lineRule="auto"/>
        <w:rPr>
          <w:rFonts w:hint="eastAsia" w:ascii="宋体" w:hAnsi="宋体" w:cs="宋体"/>
          <w:color w:val="auto"/>
          <w:sz w:val="24"/>
          <w:szCs w:val="24"/>
          <w:highlight w:val="none"/>
        </w:rPr>
      </w:pP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360" w:lineRule="auto"/>
        <w:rPr>
          <w:rFonts w:hint="eastAsia" w:ascii="宋体" w:hAnsi="宋体" w:cs="宋体"/>
          <w:b/>
          <w:color w:val="auto"/>
          <w:sz w:val="30"/>
          <w:szCs w:val="30"/>
          <w:highlight w:val="non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 xml:space="preserve">： </w:t>
      </w:r>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szCs w:val="24"/>
          <w:highlight w:val="none"/>
        </w:rPr>
        <w:t>年  月  日</w:t>
      </w:r>
    </w:p>
    <w:p>
      <w:pPr>
        <w:widowControl/>
        <w:spacing w:line="312" w:lineRule="auto"/>
        <w:jc w:val="left"/>
        <w:rPr>
          <w:rFonts w:hint="eastAsia" w:ascii="宋体" w:hAnsi="宋体" w:cs="宋体"/>
          <w:color w:val="auto"/>
          <w:sz w:val="24"/>
          <w:highlight w:val="none"/>
        </w:rPr>
      </w:pPr>
    </w:p>
    <w:p>
      <w:pPr>
        <w:widowControl/>
        <w:spacing w:line="312" w:lineRule="auto"/>
        <w:jc w:val="left"/>
        <w:rPr>
          <w:rFonts w:hint="eastAsia" w:ascii="宋体" w:hAnsi="宋体" w:cs="宋体"/>
          <w:color w:val="auto"/>
          <w:sz w:val="24"/>
          <w:szCs w:val="22"/>
          <w:highlight w:val="none"/>
        </w:rPr>
      </w:pPr>
      <w:r>
        <w:rPr>
          <w:rFonts w:hint="eastAsia" w:ascii="宋体" w:hAnsi="宋体" w:cs="宋体"/>
          <w:color w:val="auto"/>
          <w:sz w:val="24"/>
          <w:highlight w:val="none"/>
        </w:rPr>
        <w:t>表6：</w:t>
      </w:r>
      <w:r>
        <w:rPr>
          <w:rFonts w:hint="eastAsia" w:ascii="宋体" w:hAnsi="宋体" w:cs="宋体"/>
          <w:color w:val="auto"/>
          <w:sz w:val="24"/>
          <w:szCs w:val="22"/>
          <w:highlight w:val="none"/>
        </w:rPr>
        <w:t>无违法失信的声明函</w:t>
      </w:r>
    </w:p>
    <w:p>
      <w:pPr>
        <w:spacing w:line="312" w:lineRule="auto"/>
        <w:jc w:val="center"/>
        <w:rPr>
          <w:rFonts w:hint="eastAsia" w:ascii="宋体" w:hAnsi="宋体" w:cs="宋体"/>
          <w:b/>
          <w:color w:val="auto"/>
          <w:sz w:val="32"/>
          <w:szCs w:val="22"/>
          <w:highlight w:val="none"/>
        </w:rPr>
      </w:pPr>
      <w:r>
        <w:rPr>
          <w:rFonts w:hint="eastAsia" w:ascii="宋体" w:hAnsi="宋体" w:cs="宋体"/>
          <w:b/>
          <w:color w:val="auto"/>
          <w:sz w:val="32"/>
          <w:szCs w:val="22"/>
          <w:highlight w:val="none"/>
        </w:rPr>
        <w:t xml:space="preserve">无违法失信的声明函 </w:t>
      </w: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cs="宋体"/>
          <w:b/>
          <w:color w:val="auto"/>
          <w:sz w:val="32"/>
          <w:highlight w:val="none"/>
          <w:shd w:val="clear" w:color="auto" w:fill="auto"/>
          <w:lang w:eastAsia="zh-CN"/>
        </w:rPr>
        <w:t>（标项一</w:t>
      </w:r>
      <w:r>
        <w:rPr>
          <w:rFonts w:hint="eastAsia" w:ascii="宋体" w:hAnsi="宋体" w:cs="宋体"/>
          <w:b/>
          <w:color w:val="auto"/>
          <w:sz w:val="32"/>
          <w:highlight w:val="none"/>
          <w:shd w:val="clear" w:color="auto" w:fill="auto"/>
          <w:lang w:val="en-US" w:eastAsia="zh-CN"/>
        </w:rPr>
        <w:t>或</w:t>
      </w:r>
      <w:r>
        <w:rPr>
          <w:rFonts w:hint="eastAsia" w:ascii="宋体" w:hAnsi="宋体" w:cs="宋体"/>
          <w:b/>
          <w:color w:val="auto"/>
          <w:sz w:val="32"/>
          <w:highlight w:val="none"/>
          <w:shd w:val="clear" w:color="auto" w:fill="auto"/>
          <w:lang w:eastAsia="zh-CN"/>
        </w:rPr>
        <w:t>标项二）</w:t>
      </w:r>
    </w:p>
    <w:p>
      <w:pPr>
        <w:pStyle w:val="2"/>
        <w:rPr>
          <w:color w:val="auto"/>
          <w:highlight w:val="none"/>
        </w:rPr>
      </w:pPr>
    </w:p>
    <w:p>
      <w:pPr>
        <w:spacing w:line="312" w:lineRule="auto"/>
        <w:rPr>
          <w:rFonts w:hint="eastAsia" w:ascii="宋体" w:hAnsi="宋体" w:cs="宋体"/>
          <w:color w:val="auto"/>
          <w:highlight w:val="none"/>
        </w:rPr>
      </w:pPr>
      <w:r>
        <w:rPr>
          <w:rFonts w:hint="eastAsia" w:ascii="宋体" w:hAnsi="宋体" w:cs="宋体"/>
          <w:color w:val="auto"/>
          <w:kern w:val="0"/>
          <w:sz w:val="24"/>
          <w:highlight w:val="none"/>
          <w:u w:val="single"/>
        </w:rPr>
        <w:t>衢州市民用航空管理局（衢州民航站）</w:t>
      </w:r>
      <w:r>
        <w:rPr>
          <w:rFonts w:hint="eastAsia" w:ascii="宋体" w:hAnsi="宋体" w:cs="宋体"/>
          <w:color w:val="auto"/>
          <w:sz w:val="24"/>
          <w:szCs w:val="24"/>
          <w:highlight w:val="none"/>
        </w:rPr>
        <w:t>：</w:t>
      </w:r>
    </w:p>
    <w:p>
      <w:pPr>
        <w:spacing w:line="312"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截至</w:t>
      </w:r>
      <w:r>
        <w:rPr>
          <w:rFonts w:hint="eastAsia" w:ascii="宋体" w:hAnsi="宋体" w:cs="宋体"/>
          <w:color w:val="auto"/>
          <w:sz w:val="24"/>
          <w:szCs w:val="24"/>
          <w:highlight w:val="none"/>
          <w:u w:val="single"/>
        </w:rPr>
        <w:t xml:space="preserve"> 衢州机场设备更新改造提升项目货检双视角X光检查仪、安检培训系统采购（第二次） （项目编号: ZZCG2024123-1）</w:t>
      </w:r>
      <w:r>
        <w:rPr>
          <w:rFonts w:hint="eastAsia" w:ascii="宋体" w:hAnsi="宋体" w:cs="宋体"/>
          <w:color w:val="auto"/>
          <w:sz w:val="24"/>
          <w:szCs w:val="24"/>
          <w:highlight w:val="none"/>
        </w:rPr>
        <w:t xml:space="preserve">的投标文件提交截止时间，往前追溯三年，期间未被信用中国”网站(www.creditchina.gov.cn)列入失信被执行人名单、重大税收违法案件当事人名单、政府采购不良行为记录名单;未被“中国政府采购网”(www.ccgp.gov.cn)列入政府采购严重违法失信行为记录名单。 </w:t>
      </w:r>
    </w:p>
    <w:p>
      <w:pPr>
        <w:spacing w:line="312"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本公司对上述声明的真实性负责。如有虚假，愿意承担相应责任，对此无任何异议。 </w:t>
      </w:r>
    </w:p>
    <w:p>
      <w:pPr>
        <w:spacing w:line="312"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特此声明！</w:t>
      </w:r>
    </w:p>
    <w:p>
      <w:pPr>
        <w:spacing w:line="312" w:lineRule="auto"/>
        <w:ind w:firstLine="480" w:firstLineChars="200"/>
        <w:rPr>
          <w:rFonts w:hint="eastAsia" w:ascii="宋体" w:hAnsi="宋体" w:cs="宋体"/>
          <w:color w:val="auto"/>
          <w:sz w:val="24"/>
          <w:szCs w:val="24"/>
          <w:highlight w:val="none"/>
        </w:rPr>
      </w:pPr>
    </w:p>
    <w:p>
      <w:pPr>
        <w:spacing w:line="312"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 </w:t>
      </w: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360" w:lineRule="auto"/>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szCs w:val="24"/>
          <w:highlight w:val="none"/>
        </w:rPr>
        <w:t>年  月  日</w:t>
      </w:r>
    </w:p>
    <w:p>
      <w:pPr>
        <w:widowControl/>
        <w:spacing w:line="312" w:lineRule="auto"/>
        <w:jc w:val="left"/>
        <w:rPr>
          <w:rFonts w:hint="eastAsia" w:ascii="宋体" w:hAnsi="宋体" w:cs="宋体"/>
          <w:color w:val="auto"/>
          <w:sz w:val="24"/>
          <w:highlight w:val="none"/>
        </w:rPr>
      </w:pPr>
    </w:p>
    <w:p>
      <w:pPr>
        <w:pStyle w:val="523"/>
        <w:snapToGrid w:val="0"/>
        <w:spacing w:line="360" w:lineRule="auto"/>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bookmarkStart w:id="105" w:name="_Toc8165"/>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ind w:firstLine="480" w:firstLineChars="200"/>
        <w:jc w:val="left"/>
        <w:outlineLvl w:val="1"/>
        <w:rPr>
          <w:rFonts w:hint="eastAsia" w:hAnsi="宋体" w:cs="宋体"/>
          <w:color w:val="auto"/>
          <w:sz w:val="24"/>
          <w:szCs w:val="22"/>
          <w:highlight w:val="none"/>
        </w:rPr>
      </w:pPr>
    </w:p>
    <w:p>
      <w:pPr>
        <w:pStyle w:val="523"/>
        <w:snapToGrid w:val="0"/>
        <w:spacing w:line="400" w:lineRule="exact"/>
        <w:jc w:val="left"/>
        <w:outlineLvl w:val="1"/>
        <w:rPr>
          <w:rFonts w:hint="eastAsia" w:hAnsi="宋体" w:cs="宋体"/>
          <w:color w:val="auto"/>
          <w:sz w:val="24"/>
          <w:szCs w:val="22"/>
          <w:highlight w:val="none"/>
        </w:rPr>
      </w:pPr>
      <w:r>
        <w:rPr>
          <w:rFonts w:hint="eastAsia" w:hAnsi="宋体" w:cs="宋体"/>
          <w:color w:val="auto"/>
          <w:sz w:val="24"/>
          <w:szCs w:val="22"/>
          <w:highlight w:val="none"/>
        </w:rPr>
        <w:t>表7：</w:t>
      </w:r>
      <w:bookmarkStart w:id="106" w:name="_Toc6494396"/>
      <w:r>
        <w:rPr>
          <w:rFonts w:hint="eastAsia" w:hAnsi="宋体" w:cs="宋体"/>
          <w:color w:val="auto"/>
          <w:sz w:val="24"/>
          <w:szCs w:val="22"/>
          <w:highlight w:val="none"/>
        </w:rPr>
        <w:t>小微企业/监狱企业声明函/残疾人福利性单位声明函</w:t>
      </w:r>
      <w:bookmarkEnd w:id="106"/>
    </w:p>
    <w:p>
      <w:pPr>
        <w:pStyle w:val="586"/>
        <w:spacing w:line="360" w:lineRule="auto"/>
        <w:jc w:val="center"/>
        <w:rPr>
          <w:rStyle w:val="608"/>
          <w:rFonts w:hint="eastAsia" w:ascii="宋体" w:hAnsi="宋体" w:eastAsia="宋体" w:cs="宋体"/>
          <w:b/>
          <w:bCs/>
          <w:color w:val="auto"/>
          <w:sz w:val="28"/>
          <w:szCs w:val="28"/>
          <w:highlight w:val="none"/>
        </w:rPr>
      </w:pPr>
    </w:p>
    <w:p>
      <w:pPr>
        <w:pStyle w:val="586"/>
        <w:spacing w:line="360" w:lineRule="auto"/>
        <w:jc w:val="center"/>
        <w:rPr>
          <w:rStyle w:val="608"/>
          <w:rFonts w:hint="eastAsia" w:ascii="宋体" w:hAnsi="宋体" w:eastAsia="宋体" w:cs="宋体"/>
          <w:b/>
          <w:bCs/>
          <w:color w:val="auto"/>
          <w:sz w:val="28"/>
          <w:szCs w:val="28"/>
          <w:highlight w:val="none"/>
          <w:lang w:val="zh-TW" w:eastAsia="zh-TW"/>
        </w:rPr>
      </w:pPr>
      <w:r>
        <w:rPr>
          <w:rStyle w:val="608"/>
          <w:rFonts w:hint="eastAsia" w:ascii="宋体" w:hAnsi="宋体" w:eastAsia="宋体" w:cs="宋体"/>
          <w:b/>
          <w:bCs/>
          <w:color w:val="auto"/>
          <w:sz w:val="28"/>
          <w:szCs w:val="28"/>
          <w:highlight w:val="none"/>
        </w:rPr>
        <w:t>1、</w:t>
      </w:r>
      <w:r>
        <w:rPr>
          <w:rStyle w:val="608"/>
          <w:rFonts w:hint="eastAsia" w:ascii="宋体" w:hAnsi="宋体" w:eastAsia="宋体" w:cs="宋体"/>
          <w:b/>
          <w:bCs/>
          <w:color w:val="auto"/>
          <w:sz w:val="28"/>
          <w:szCs w:val="28"/>
          <w:highlight w:val="none"/>
          <w:lang w:val="zh-TW" w:eastAsia="zh-TW"/>
        </w:rPr>
        <w:t>中小企业声明函</w:t>
      </w:r>
      <w:r>
        <w:rPr>
          <w:rStyle w:val="608"/>
          <w:rFonts w:hint="eastAsia" w:ascii="宋体" w:hAnsi="宋体" w:eastAsia="宋体" w:cs="宋体"/>
          <w:b/>
          <w:bCs/>
          <w:color w:val="auto"/>
          <w:sz w:val="28"/>
          <w:szCs w:val="28"/>
          <w:highlight w:val="none"/>
          <w:lang w:val="zh-TW"/>
        </w:rPr>
        <w:t>（货物）</w:t>
      </w:r>
    </w:p>
    <w:p>
      <w:pPr>
        <w:pStyle w:val="586"/>
        <w:spacing w:line="360" w:lineRule="auto"/>
        <w:rPr>
          <w:rStyle w:val="608"/>
          <w:rFonts w:hint="eastAsia" w:ascii="宋体" w:hAnsi="宋体" w:eastAsia="宋体" w:cs="宋体"/>
          <w:b/>
          <w:bCs/>
          <w:color w:val="auto"/>
          <w:szCs w:val="24"/>
          <w:highlight w:val="none"/>
        </w:rPr>
      </w:pPr>
    </w:p>
    <w:p>
      <w:pPr>
        <w:pStyle w:val="612"/>
        <w:spacing w:line="360" w:lineRule="auto"/>
        <w:ind w:firstLine="660"/>
        <w:rPr>
          <w:rFonts w:hint="eastAsia"/>
          <w:color w:val="auto"/>
          <w:sz w:val="24"/>
          <w:szCs w:val="24"/>
          <w:highlight w:val="none"/>
        </w:rPr>
      </w:pPr>
      <w:r>
        <w:rPr>
          <w:rFonts w:hint="eastAsia"/>
          <w:color w:val="auto"/>
          <w:sz w:val="24"/>
          <w:szCs w:val="24"/>
          <w:highlight w:val="none"/>
        </w:rPr>
        <w:t>本公司（联合体）郑重声明，根据《政府采购促进中小企业发展管理办法》（财库〔2020）46号）的规定，本公司（联合体）参加</w:t>
      </w:r>
      <w:r>
        <w:rPr>
          <w:rFonts w:hint="eastAsia" w:ascii="宋体" w:hAnsi="宋体" w:cs="宋体"/>
          <w:color w:val="auto"/>
          <w:kern w:val="0"/>
          <w:sz w:val="24"/>
          <w:highlight w:val="none"/>
          <w:u w:val="single"/>
        </w:rPr>
        <w:t>衢州市民用航空管理局（衢州民航站）</w:t>
      </w:r>
      <w:r>
        <w:rPr>
          <w:rFonts w:hint="eastAsia"/>
          <w:color w:val="auto"/>
          <w:sz w:val="24"/>
          <w:szCs w:val="24"/>
          <w:highlight w:val="none"/>
        </w:rPr>
        <w:t>的</w:t>
      </w:r>
      <w:r>
        <w:rPr>
          <w:rFonts w:hint="eastAsia" w:ascii="宋体" w:hAnsi="宋体" w:cs="宋体"/>
          <w:color w:val="auto"/>
          <w:sz w:val="24"/>
          <w:szCs w:val="24"/>
          <w:highlight w:val="none"/>
          <w:u w:val="single"/>
        </w:rPr>
        <w:t>衢州机场设备更新改造提升项目货检双视角X光检查仪、安检培训系统采购（第二次）</w:t>
      </w:r>
      <w:r>
        <w:rPr>
          <w:rFonts w:hint="eastAsia"/>
          <w:color w:val="auto"/>
          <w:sz w:val="24"/>
          <w:szCs w:val="24"/>
          <w:highlight w:val="none"/>
        </w:rPr>
        <w:t>采购活动,提供的货物全部由符合政策要求的中小企业制造。相关企业（含联合体中的中小企业、签订分包意向协议的中小企业）的具体情况如下：</w:t>
      </w:r>
    </w:p>
    <w:p>
      <w:pPr>
        <w:pStyle w:val="612"/>
        <w:tabs>
          <w:tab w:val="left" w:pos="1238"/>
          <w:tab w:val="left" w:pos="4435"/>
          <w:tab w:val="left" w:pos="6672"/>
        </w:tabs>
        <w:spacing w:line="360" w:lineRule="auto"/>
        <w:ind w:firstLine="482" w:firstLineChars="200"/>
        <w:rPr>
          <w:rFonts w:hint="eastAsia"/>
          <w:color w:val="auto"/>
          <w:sz w:val="24"/>
          <w:szCs w:val="24"/>
          <w:highlight w:val="none"/>
        </w:rPr>
      </w:pPr>
      <w:bookmarkStart w:id="107" w:name="bookmark30"/>
      <w:bookmarkEnd w:id="107"/>
      <w:r>
        <w:rPr>
          <w:rFonts w:hint="eastAsia"/>
          <w:b/>
          <w:bCs/>
          <w:color w:val="auto"/>
          <w:sz w:val="24"/>
          <w:szCs w:val="24"/>
          <w:highlight w:val="none"/>
          <w:lang w:val="en-US" w:eastAsia="zh-CN"/>
        </w:rPr>
        <w:t>1.</w:t>
      </w:r>
      <w:r>
        <w:rPr>
          <w:rFonts w:hint="eastAsia"/>
          <w:color w:val="auto"/>
          <w:sz w:val="24"/>
          <w:szCs w:val="24"/>
          <w:highlight w:val="none"/>
          <w:u w:val="single"/>
          <w:lang w:val="en-US" w:eastAsia="zh-CN"/>
        </w:rPr>
        <w:t xml:space="preserve">      </w:t>
      </w:r>
      <w:r>
        <w:rPr>
          <w:rFonts w:hint="eastAsia"/>
          <w:b/>
          <w:bCs/>
          <w:color w:val="auto"/>
          <w:sz w:val="24"/>
          <w:szCs w:val="24"/>
          <w:highlight w:val="none"/>
          <w:u w:val="single"/>
        </w:rPr>
        <w:t>（标的名称）</w:t>
      </w:r>
      <w:r>
        <w:rPr>
          <w:rFonts w:hint="eastAsia" w:cs="宋体"/>
          <w:b/>
          <w:bCs/>
          <w:i w:val="0"/>
          <w:iCs w:val="0"/>
          <w:color w:val="auto"/>
          <w:spacing w:val="0"/>
          <w:w w:val="100"/>
          <w:position w:val="0"/>
          <w:sz w:val="24"/>
          <w:szCs w:val="24"/>
          <w:highlight w:val="none"/>
          <w:u w:val="single"/>
          <w:lang w:eastAsia="zh-CN"/>
        </w:rPr>
        <w:t>（标项一或标项二）</w:t>
      </w:r>
      <w:r>
        <w:rPr>
          <w:rFonts w:hint="eastAsia"/>
          <w:color w:val="auto"/>
          <w:sz w:val="24"/>
          <w:szCs w:val="24"/>
          <w:highlight w:val="none"/>
        </w:rPr>
        <w:t>,属于</w:t>
      </w:r>
      <w:r>
        <w:rPr>
          <w:rFonts w:hint="eastAsia"/>
          <w:color w:val="auto"/>
          <w:sz w:val="24"/>
          <w:szCs w:val="24"/>
          <w:highlight w:val="none"/>
          <w:u w:val="single"/>
          <w:lang w:val="en-US" w:eastAsia="zh-CN"/>
        </w:rPr>
        <w:t xml:space="preserve"> 工业</w:t>
      </w:r>
      <w:r>
        <w:rPr>
          <w:rFonts w:hint="eastAsia"/>
          <w:color w:val="auto"/>
          <w:sz w:val="24"/>
          <w:szCs w:val="24"/>
          <w:highlight w:val="none"/>
          <w:u w:val="single"/>
        </w:rPr>
        <w:t>（</w:t>
      </w:r>
      <w:r>
        <w:rPr>
          <w:rFonts w:hint="eastAsia"/>
          <w:b/>
          <w:bCs/>
          <w:color w:val="auto"/>
          <w:sz w:val="24"/>
          <w:szCs w:val="24"/>
          <w:highlight w:val="none"/>
          <w:u w:val="single"/>
        </w:rPr>
        <w:t>采购文件中明确的所属行业</w:t>
      </w:r>
      <w:r>
        <w:rPr>
          <w:rFonts w:hint="eastAsia"/>
          <w:color w:val="auto"/>
          <w:sz w:val="24"/>
          <w:szCs w:val="24"/>
          <w:highlight w:val="none"/>
          <w:u w:val="single"/>
          <w:lang w:eastAsia="zh-CN"/>
        </w:rPr>
        <w:t>）</w:t>
      </w:r>
      <w:r>
        <w:rPr>
          <w:rFonts w:hint="eastAsia"/>
          <w:color w:val="auto"/>
          <w:sz w:val="24"/>
          <w:szCs w:val="24"/>
          <w:highlight w:val="none"/>
          <w:u w:val="single"/>
        </w:rPr>
        <w:t>行业</w:t>
      </w:r>
      <w:r>
        <w:rPr>
          <w:rFonts w:hint="eastAsia"/>
          <w:color w:val="auto"/>
          <w:sz w:val="24"/>
          <w:szCs w:val="24"/>
          <w:highlight w:val="none"/>
          <w:lang w:val="en-US" w:eastAsia="zh-CN"/>
        </w:rPr>
        <w:t>；</w:t>
      </w:r>
      <w:r>
        <w:rPr>
          <w:rFonts w:hint="eastAsia"/>
          <w:color w:val="auto"/>
          <w:sz w:val="24"/>
          <w:szCs w:val="24"/>
          <w:highlight w:val="none"/>
        </w:rPr>
        <w:t>制造商为</w:t>
      </w:r>
      <w:r>
        <w:rPr>
          <w:rFonts w:hint="eastAsia"/>
          <w:color w:val="auto"/>
          <w:sz w:val="24"/>
          <w:szCs w:val="24"/>
          <w:highlight w:val="none"/>
          <w:u w:val="single"/>
          <w:lang w:val="en-US" w:eastAsia="zh-CN"/>
        </w:rPr>
        <w:t xml:space="preserve">        </w:t>
      </w:r>
      <w:r>
        <w:rPr>
          <w:rFonts w:hint="eastAsia"/>
          <w:b/>
          <w:bCs/>
          <w:color w:val="auto"/>
          <w:sz w:val="24"/>
          <w:szCs w:val="24"/>
          <w:highlight w:val="none"/>
          <w:u w:val="single"/>
        </w:rPr>
        <w:t>（企业名称）</w:t>
      </w:r>
      <w:r>
        <w:rPr>
          <w:rFonts w:hint="eastAsia"/>
          <w:color w:val="auto"/>
          <w:sz w:val="24"/>
          <w:szCs w:val="24"/>
          <w:highlight w:val="none"/>
        </w:rPr>
        <w:t>,从业人员</w:t>
      </w:r>
      <w:r>
        <w:rPr>
          <w:rFonts w:hint="eastAsia"/>
          <w:color w:val="auto"/>
          <w:sz w:val="24"/>
          <w:szCs w:val="24"/>
          <w:highlight w:val="none"/>
          <w:u w:val="single"/>
        </w:rPr>
        <w:t xml:space="preserve"> </w:t>
      </w:r>
      <w:r>
        <w:rPr>
          <w:rFonts w:hint="eastAsia"/>
          <w:color w:val="auto"/>
          <w:sz w:val="24"/>
          <w:szCs w:val="24"/>
          <w:highlight w:val="none"/>
          <w:u w:val="single"/>
          <w:lang w:val="en-US" w:eastAsia="zh-CN"/>
        </w:rPr>
        <w:t xml:space="preserve">      </w:t>
      </w:r>
      <w:r>
        <w:rPr>
          <w:rFonts w:hint="eastAsia"/>
          <w:color w:val="auto"/>
          <w:sz w:val="24"/>
          <w:szCs w:val="24"/>
          <w:highlight w:val="none"/>
        </w:rPr>
        <w:t>人，营业收入为</w:t>
      </w:r>
      <w:r>
        <w:rPr>
          <w:rFonts w:hint="eastAsia"/>
          <w:color w:val="auto"/>
          <w:sz w:val="24"/>
          <w:szCs w:val="24"/>
          <w:highlight w:val="none"/>
          <w:u w:val="single"/>
          <w:lang w:val="en-US" w:eastAsia="zh-CN" w:bidi="zh-CN"/>
        </w:rPr>
        <w:t xml:space="preserve">       </w:t>
      </w:r>
      <w:r>
        <w:rPr>
          <w:rFonts w:hint="eastAsia"/>
          <w:color w:val="auto"/>
          <w:sz w:val="24"/>
          <w:szCs w:val="24"/>
          <w:highlight w:val="none"/>
        </w:rPr>
        <w:t>万元，资产总额为</w:t>
      </w:r>
      <w:r>
        <w:rPr>
          <w:rFonts w:hint="eastAsia"/>
          <w:color w:val="auto"/>
          <w:sz w:val="24"/>
          <w:szCs w:val="24"/>
          <w:highlight w:val="none"/>
          <w:u w:val="single"/>
        </w:rPr>
        <w:t xml:space="preserve"> </w:t>
      </w:r>
      <w:r>
        <w:rPr>
          <w:rFonts w:hint="eastAsia"/>
          <w:color w:val="auto"/>
          <w:sz w:val="24"/>
          <w:szCs w:val="24"/>
          <w:highlight w:val="none"/>
          <w:u w:val="single"/>
        </w:rPr>
        <w:tab/>
      </w:r>
      <w:r>
        <w:rPr>
          <w:rFonts w:hint="eastAsia"/>
          <w:color w:val="auto"/>
          <w:sz w:val="24"/>
          <w:szCs w:val="24"/>
          <w:highlight w:val="none"/>
          <w:u w:val="single"/>
          <w:lang w:val="en-US" w:eastAsia="zh-CN"/>
        </w:rPr>
        <w:t xml:space="preserve">  </w:t>
      </w:r>
      <w:r>
        <w:rPr>
          <w:rFonts w:hint="eastAsia"/>
          <w:color w:val="auto"/>
          <w:sz w:val="24"/>
          <w:szCs w:val="24"/>
          <w:highlight w:val="none"/>
        </w:rPr>
        <w:t>万元</w:t>
      </w:r>
      <w:r>
        <w:rPr>
          <w:rFonts w:hint="eastAsia"/>
          <w:color w:val="auto"/>
          <w:sz w:val="24"/>
          <w:szCs w:val="24"/>
          <w:highlight w:val="none"/>
          <w:lang w:val="en-US" w:eastAsia="zh-CN"/>
        </w:rPr>
        <w:t>,</w:t>
      </w:r>
      <w:r>
        <w:rPr>
          <w:rFonts w:hint="eastAsia"/>
          <w:color w:val="auto"/>
          <w:sz w:val="24"/>
          <w:szCs w:val="24"/>
          <w:highlight w:val="none"/>
        </w:rPr>
        <w:t>属于</w:t>
      </w:r>
      <w:r>
        <w:rPr>
          <w:rFonts w:hint="eastAsia"/>
          <w:color w:val="auto"/>
          <w:sz w:val="24"/>
          <w:szCs w:val="24"/>
          <w:highlight w:val="none"/>
          <w:u w:val="single"/>
          <w:lang w:val="en-US" w:eastAsia="zh-CN"/>
        </w:rPr>
        <w:t xml:space="preserve">          </w:t>
      </w:r>
      <w:r>
        <w:rPr>
          <w:rFonts w:hint="eastAsia"/>
          <w:b/>
          <w:bCs/>
          <w:color w:val="auto"/>
          <w:sz w:val="24"/>
          <w:szCs w:val="24"/>
          <w:highlight w:val="none"/>
          <w:u w:val="single"/>
        </w:rPr>
        <w:t>（中型企业、小 型企业、微型企业）</w:t>
      </w:r>
      <w:r>
        <w:rPr>
          <w:rFonts w:hint="eastAsia"/>
          <w:color w:val="auto"/>
          <w:sz w:val="24"/>
          <w:szCs w:val="24"/>
          <w:highlight w:val="none"/>
        </w:rPr>
        <w:t>,</w:t>
      </w:r>
      <w:bookmarkStart w:id="108" w:name="bookmark31"/>
      <w:bookmarkEnd w:id="108"/>
    </w:p>
    <w:p>
      <w:pPr>
        <w:pStyle w:val="612"/>
        <w:tabs>
          <w:tab w:val="left" w:pos="1238"/>
          <w:tab w:val="left" w:pos="4435"/>
          <w:tab w:val="left" w:pos="6672"/>
        </w:tabs>
        <w:spacing w:line="360" w:lineRule="auto"/>
        <w:ind w:firstLine="482" w:firstLineChars="200"/>
        <w:rPr>
          <w:rFonts w:hint="eastAsia"/>
          <w:color w:val="auto"/>
          <w:sz w:val="24"/>
          <w:szCs w:val="24"/>
          <w:highlight w:val="none"/>
        </w:rPr>
      </w:pPr>
      <w:r>
        <w:rPr>
          <w:rFonts w:hint="eastAsia"/>
          <w:b/>
          <w:bCs/>
          <w:color w:val="auto"/>
          <w:sz w:val="24"/>
          <w:szCs w:val="24"/>
          <w:highlight w:val="none"/>
          <w:lang w:val="en-US" w:eastAsia="zh-CN"/>
        </w:rPr>
        <w:t>2.</w:t>
      </w:r>
      <w:r>
        <w:rPr>
          <w:rFonts w:hint="eastAsia"/>
          <w:color w:val="auto"/>
          <w:sz w:val="24"/>
          <w:szCs w:val="24"/>
          <w:highlight w:val="none"/>
          <w:u w:val="single"/>
          <w:lang w:val="en-US" w:eastAsia="zh-CN"/>
        </w:rPr>
        <w:t xml:space="preserve">      </w:t>
      </w:r>
      <w:r>
        <w:rPr>
          <w:rFonts w:hint="eastAsia"/>
          <w:b/>
          <w:bCs/>
          <w:color w:val="auto"/>
          <w:sz w:val="24"/>
          <w:szCs w:val="24"/>
          <w:highlight w:val="none"/>
          <w:u w:val="single"/>
        </w:rPr>
        <w:t>（标的名称）</w:t>
      </w:r>
      <w:r>
        <w:rPr>
          <w:rFonts w:hint="eastAsia" w:cs="宋体"/>
          <w:b/>
          <w:bCs/>
          <w:i w:val="0"/>
          <w:iCs w:val="0"/>
          <w:color w:val="auto"/>
          <w:spacing w:val="0"/>
          <w:w w:val="100"/>
          <w:position w:val="0"/>
          <w:sz w:val="24"/>
          <w:szCs w:val="24"/>
          <w:highlight w:val="none"/>
          <w:u w:val="single"/>
          <w:lang w:eastAsia="zh-CN"/>
        </w:rPr>
        <w:t>（标项一或标项二）</w:t>
      </w:r>
      <w:r>
        <w:rPr>
          <w:rFonts w:hint="eastAsia"/>
          <w:color w:val="auto"/>
          <w:sz w:val="24"/>
          <w:szCs w:val="24"/>
          <w:highlight w:val="none"/>
        </w:rPr>
        <w:t>,属于</w:t>
      </w:r>
      <w:r>
        <w:rPr>
          <w:rFonts w:hint="eastAsia"/>
          <w:color w:val="auto"/>
          <w:sz w:val="24"/>
          <w:szCs w:val="24"/>
          <w:highlight w:val="none"/>
          <w:u w:val="single"/>
          <w:lang w:val="en-US" w:eastAsia="zh-CN"/>
        </w:rPr>
        <w:t xml:space="preserve"> 工业</w:t>
      </w:r>
      <w:r>
        <w:rPr>
          <w:rFonts w:hint="eastAsia"/>
          <w:color w:val="auto"/>
          <w:sz w:val="24"/>
          <w:szCs w:val="24"/>
          <w:highlight w:val="none"/>
          <w:u w:val="single"/>
        </w:rPr>
        <w:t>（</w:t>
      </w:r>
      <w:r>
        <w:rPr>
          <w:rFonts w:hint="eastAsia"/>
          <w:b/>
          <w:bCs/>
          <w:color w:val="auto"/>
          <w:sz w:val="24"/>
          <w:szCs w:val="24"/>
          <w:highlight w:val="none"/>
          <w:u w:val="single"/>
        </w:rPr>
        <w:t>采购文件中明确的所属行业</w:t>
      </w:r>
      <w:r>
        <w:rPr>
          <w:rFonts w:hint="eastAsia"/>
          <w:color w:val="auto"/>
          <w:sz w:val="24"/>
          <w:szCs w:val="24"/>
          <w:highlight w:val="none"/>
          <w:u w:val="single"/>
          <w:lang w:eastAsia="zh-CN"/>
        </w:rPr>
        <w:t>）</w:t>
      </w:r>
      <w:r>
        <w:rPr>
          <w:rFonts w:hint="eastAsia"/>
          <w:color w:val="auto"/>
          <w:sz w:val="24"/>
          <w:szCs w:val="24"/>
          <w:highlight w:val="none"/>
          <w:u w:val="single"/>
        </w:rPr>
        <w:t>行业</w:t>
      </w:r>
      <w:r>
        <w:rPr>
          <w:rFonts w:hint="eastAsia"/>
          <w:color w:val="auto"/>
          <w:sz w:val="24"/>
          <w:szCs w:val="24"/>
          <w:highlight w:val="none"/>
          <w:lang w:eastAsia="zh-CN"/>
        </w:rPr>
        <w:t>；</w:t>
      </w:r>
      <w:r>
        <w:rPr>
          <w:rFonts w:hint="eastAsia"/>
          <w:color w:val="auto"/>
          <w:sz w:val="24"/>
          <w:szCs w:val="24"/>
          <w:highlight w:val="none"/>
        </w:rPr>
        <w:t>制造商为</w:t>
      </w:r>
      <w:r>
        <w:rPr>
          <w:rFonts w:hint="eastAsia"/>
          <w:color w:val="auto"/>
          <w:sz w:val="24"/>
          <w:szCs w:val="24"/>
          <w:highlight w:val="none"/>
          <w:u w:val="single"/>
          <w:lang w:val="en-US" w:eastAsia="zh-CN"/>
        </w:rPr>
        <w:t xml:space="preserve">        </w:t>
      </w:r>
      <w:r>
        <w:rPr>
          <w:rFonts w:hint="eastAsia"/>
          <w:b/>
          <w:bCs/>
          <w:color w:val="auto"/>
          <w:sz w:val="24"/>
          <w:szCs w:val="24"/>
          <w:highlight w:val="none"/>
          <w:u w:val="single"/>
        </w:rPr>
        <w:t>（企业名称）</w:t>
      </w:r>
      <w:r>
        <w:rPr>
          <w:rFonts w:hint="eastAsia"/>
          <w:color w:val="auto"/>
          <w:sz w:val="24"/>
          <w:szCs w:val="24"/>
          <w:highlight w:val="none"/>
        </w:rPr>
        <w:t>,从业人员</w:t>
      </w:r>
      <w:r>
        <w:rPr>
          <w:rFonts w:hint="eastAsia"/>
          <w:color w:val="auto"/>
          <w:sz w:val="24"/>
          <w:szCs w:val="24"/>
          <w:highlight w:val="none"/>
          <w:u w:val="single"/>
        </w:rPr>
        <w:t xml:space="preserve"> </w:t>
      </w:r>
      <w:r>
        <w:rPr>
          <w:rFonts w:hint="eastAsia"/>
          <w:color w:val="auto"/>
          <w:sz w:val="24"/>
          <w:szCs w:val="24"/>
          <w:highlight w:val="none"/>
          <w:u w:val="single"/>
          <w:lang w:val="en-US" w:eastAsia="zh-CN"/>
        </w:rPr>
        <w:t xml:space="preserve">      </w:t>
      </w:r>
      <w:r>
        <w:rPr>
          <w:rFonts w:hint="eastAsia"/>
          <w:color w:val="auto"/>
          <w:sz w:val="24"/>
          <w:szCs w:val="24"/>
          <w:highlight w:val="none"/>
        </w:rPr>
        <w:t>人，营业收入为</w:t>
      </w:r>
      <w:r>
        <w:rPr>
          <w:rFonts w:hint="eastAsia"/>
          <w:color w:val="auto"/>
          <w:sz w:val="24"/>
          <w:szCs w:val="24"/>
          <w:highlight w:val="none"/>
          <w:u w:val="single"/>
          <w:lang w:val="en-US" w:eastAsia="zh-CN" w:bidi="zh-CN"/>
        </w:rPr>
        <w:t xml:space="preserve">       </w:t>
      </w:r>
      <w:r>
        <w:rPr>
          <w:rFonts w:hint="eastAsia"/>
          <w:color w:val="auto"/>
          <w:sz w:val="24"/>
          <w:szCs w:val="24"/>
          <w:highlight w:val="none"/>
        </w:rPr>
        <w:t>万元，资产总额为</w:t>
      </w:r>
      <w:r>
        <w:rPr>
          <w:rFonts w:hint="eastAsia"/>
          <w:color w:val="auto"/>
          <w:sz w:val="24"/>
          <w:szCs w:val="24"/>
          <w:highlight w:val="none"/>
          <w:u w:val="single"/>
        </w:rPr>
        <w:t xml:space="preserve"> </w:t>
      </w:r>
      <w:r>
        <w:rPr>
          <w:rFonts w:hint="eastAsia"/>
          <w:color w:val="auto"/>
          <w:sz w:val="24"/>
          <w:szCs w:val="24"/>
          <w:highlight w:val="none"/>
          <w:u w:val="single"/>
        </w:rPr>
        <w:tab/>
      </w:r>
      <w:r>
        <w:rPr>
          <w:rFonts w:hint="eastAsia"/>
          <w:color w:val="auto"/>
          <w:sz w:val="24"/>
          <w:szCs w:val="24"/>
          <w:highlight w:val="none"/>
          <w:u w:val="single"/>
          <w:lang w:val="en-US" w:eastAsia="zh-CN"/>
        </w:rPr>
        <w:t xml:space="preserve">  </w:t>
      </w:r>
      <w:r>
        <w:rPr>
          <w:rFonts w:hint="eastAsia"/>
          <w:color w:val="auto"/>
          <w:sz w:val="24"/>
          <w:szCs w:val="24"/>
          <w:highlight w:val="none"/>
        </w:rPr>
        <w:t>万元</w:t>
      </w:r>
      <w:r>
        <w:rPr>
          <w:rFonts w:hint="eastAsia"/>
          <w:color w:val="auto"/>
          <w:sz w:val="24"/>
          <w:szCs w:val="24"/>
          <w:highlight w:val="none"/>
          <w:lang w:val="en-US" w:eastAsia="zh-CN"/>
        </w:rPr>
        <w:t>,</w:t>
      </w:r>
      <w:r>
        <w:rPr>
          <w:rFonts w:hint="eastAsia"/>
          <w:color w:val="auto"/>
          <w:sz w:val="24"/>
          <w:szCs w:val="24"/>
          <w:highlight w:val="none"/>
        </w:rPr>
        <w:t>属于</w:t>
      </w:r>
      <w:r>
        <w:rPr>
          <w:rFonts w:hint="eastAsia"/>
          <w:color w:val="auto"/>
          <w:sz w:val="24"/>
          <w:szCs w:val="24"/>
          <w:highlight w:val="none"/>
          <w:u w:val="single"/>
          <w:lang w:val="en-US" w:eastAsia="zh-CN"/>
        </w:rPr>
        <w:t xml:space="preserve">          </w:t>
      </w:r>
      <w:r>
        <w:rPr>
          <w:rFonts w:hint="eastAsia"/>
          <w:b/>
          <w:bCs/>
          <w:color w:val="auto"/>
          <w:sz w:val="24"/>
          <w:szCs w:val="24"/>
          <w:highlight w:val="none"/>
          <w:u w:val="single"/>
        </w:rPr>
        <w:t>（中型企业、小 型企业、微型企业）</w:t>
      </w:r>
      <w:r>
        <w:rPr>
          <w:rFonts w:hint="eastAsia"/>
          <w:color w:val="auto"/>
          <w:sz w:val="24"/>
          <w:szCs w:val="24"/>
          <w:highlight w:val="none"/>
          <w:lang w:val="zh-CN" w:eastAsia="zh-CN" w:bidi="zh-CN"/>
        </w:rPr>
        <w:t>,</w:t>
      </w:r>
      <w:r>
        <w:rPr>
          <w:rFonts w:hint="eastAsia"/>
          <w:color w:val="auto"/>
          <w:sz w:val="24"/>
          <w:szCs w:val="24"/>
          <w:highlight w:val="none"/>
          <w:lang w:val="en-US" w:eastAsia="zh-CN" w:bidi="en-US"/>
        </w:rPr>
        <w:tab/>
      </w:r>
    </w:p>
    <w:p>
      <w:pPr>
        <w:pStyle w:val="612"/>
        <w:spacing w:line="360" w:lineRule="auto"/>
        <w:ind w:firstLine="660"/>
        <w:rPr>
          <w:rFonts w:hint="eastAsia"/>
          <w:color w:val="auto"/>
          <w:sz w:val="24"/>
          <w:szCs w:val="24"/>
          <w:highlight w:val="none"/>
        </w:rPr>
      </w:pPr>
      <w:r>
        <w:rPr>
          <w:rFonts w:hint="eastAsia"/>
          <w:color w:val="auto"/>
          <w:sz w:val="24"/>
          <w:szCs w:val="24"/>
          <w:highlight w:val="none"/>
        </w:rPr>
        <w:t>以上企业，不属于大企业的分支机构，不存在控股股东为大企业的情形</w:t>
      </w:r>
      <w:r>
        <w:rPr>
          <w:rFonts w:hint="eastAsia"/>
          <w:color w:val="auto"/>
          <w:sz w:val="24"/>
          <w:szCs w:val="24"/>
          <w:highlight w:val="none"/>
          <w:lang w:val="en-US" w:eastAsia="zh-CN"/>
        </w:rPr>
        <w:t>,</w:t>
      </w:r>
      <w:r>
        <w:rPr>
          <w:rFonts w:hint="eastAsia"/>
          <w:color w:val="auto"/>
          <w:sz w:val="24"/>
          <w:szCs w:val="24"/>
          <w:highlight w:val="none"/>
        </w:rPr>
        <w:t>也不存在与大企业的负责人为同一人的情形。</w:t>
      </w:r>
    </w:p>
    <w:p>
      <w:pPr>
        <w:pStyle w:val="612"/>
        <w:spacing w:line="360" w:lineRule="auto"/>
        <w:ind w:firstLine="660"/>
        <w:rPr>
          <w:rFonts w:hint="eastAsia"/>
          <w:color w:val="auto"/>
          <w:sz w:val="24"/>
          <w:szCs w:val="24"/>
          <w:highlight w:val="none"/>
        </w:rPr>
      </w:pPr>
      <w:r>
        <w:rPr>
          <w:rFonts w:hint="eastAsia"/>
          <w:color w:val="auto"/>
          <w:sz w:val="24"/>
          <w:szCs w:val="24"/>
          <w:highlight w:val="none"/>
        </w:rPr>
        <w:t>本企业对上述声明内容的真实性负责。如有虚假，将依法承担相应责任。</w:t>
      </w:r>
    </w:p>
    <w:p>
      <w:pPr>
        <w:pStyle w:val="612"/>
        <w:spacing w:line="360" w:lineRule="auto"/>
        <w:ind w:left="3860" w:firstLine="0"/>
        <w:jc w:val="left"/>
        <w:rPr>
          <w:rFonts w:hint="eastAsia"/>
          <w:color w:val="auto"/>
          <w:sz w:val="24"/>
          <w:szCs w:val="24"/>
          <w:highlight w:val="none"/>
        </w:rPr>
      </w:pPr>
      <w:r>
        <w:rPr>
          <w:rFonts w:hint="eastAsia"/>
          <w:color w:val="auto"/>
          <w:sz w:val="24"/>
          <w:szCs w:val="24"/>
          <w:highlight w:val="none"/>
        </w:rPr>
        <w:t>企业名称（盖章）:</w:t>
      </w:r>
    </w:p>
    <w:p>
      <w:pPr>
        <w:pStyle w:val="612"/>
        <w:spacing w:line="360" w:lineRule="auto"/>
        <w:ind w:firstLine="0"/>
        <w:jc w:val="center"/>
        <w:rPr>
          <w:rFonts w:hint="eastAsia"/>
          <w:color w:val="auto"/>
          <w:sz w:val="24"/>
          <w:szCs w:val="24"/>
          <w:highlight w:val="none"/>
        </w:rPr>
      </w:pPr>
      <w:r>
        <w:rPr>
          <w:rFonts w:hint="eastAsia"/>
          <w:color w:val="auto"/>
          <w:sz w:val="24"/>
          <w:szCs w:val="24"/>
          <w:highlight w:val="none"/>
        </w:rPr>
        <w:t>日期：</w:t>
      </w:r>
    </w:p>
    <w:p>
      <w:pPr>
        <w:pStyle w:val="612"/>
        <w:spacing w:line="360" w:lineRule="auto"/>
        <w:rPr>
          <w:rFonts w:hint="eastAsia"/>
          <w:b/>
          <w:bCs/>
          <w:color w:val="auto"/>
          <w:sz w:val="24"/>
          <w:szCs w:val="24"/>
          <w:highlight w:val="none"/>
          <w:lang w:val="en-US" w:eastAsia="zh-CN"/>
        </w:rPr>
      </w:pPr>
      <w:r>
        <w:rPr>
          <w:rFonts w:hint="eastAsia"/>
          <w:b/>
          <w:bCs/>
          <w:color w:val="auto"/>
          <w:sz w:val="24"/>
          <w:szCs w:val="24"/>
          <w:highlight w:val="none"/>
          <w:lang w:val="en-US" w:eastAsia="zh-CN"/>
        </w:rPr>
        <w:t>注：从业人员、营业收入、资产总额填报上一年度数据，无上一年度数据的新成立企业可不填报。</w:t>
      </w:r>
    </w:p>
    <w:p>
      <w:pPr>
        <w:pStyle w:val="605"/>
        <w:pBdr>
          <w:top w:val="none" w:color="auto" w:sz="0" w:space="0"/>
          <w:left w:val="none" w:color="auto" w:sz="0" w:space="0"/>
          <w:bottom w:val="none" w:color="auto" w:sz="0" w:space="0"/>
          <w:right w:val="none" w:color="auto" w:sz="0" w:space="0"/>
        </w:pBdr>
        <w:wordWrap w:val="0"/>
        <w:spacing w:line="360" w:lineRule="auto"/>
        <w:ind w:firstLine="570"/>
        <w:rPr>
          <w:rFonts w:hint="eastAsia" w:ascii="宋体" w:hAnsi="宋体" w:cs="宋体"/>
          <w:b/>
          <w:bCs/>
          <w:color w:val="auto"/>
          <w:sz w:val="24"/>
          <w:szCs w:val="24"/>
          <w:highlight w:val="none"/>
        </w:rPr>
      </w:pPr>
    </w:p>
    <w:p>
      <w:pPr>
        <w:pStyle w:val="612"/>
        <w:spacing w:line="400" w:lineRule="exact"/>
        <w:rPr>
          <w:rFonts w:hint="eastAsia"/>
          <w:b/>
          <w:bCs/>
          <w:color w:val="auto"/>
          <w:sz w:val="24"/>
          <w:szCs w:val="24"/>
          <w:highlight w:val="none"/>
          <w:lang w:val="en-US" w:eastAsia="zh-CN"/>
        </w:rPr>
      </w:pPr>
    </w:p>
    <w:p>
      <w:pPr>
        <w:spacing w:line="400" w:lineRule="exact"/>
        <w:rPr>
          <w:rFonts w:hint="eastAsia" w:ascii="宋体" w:hAnsi="宋体" w:cs="宋体"/>
          <w:b/>
          <w:color w:val="auto"/>
          <w:kern w:val="0"/>
          <w:sz w:val="24"/>
          <w:highlight w:val="none"/>
          <w:lang w:val="zh-CN"/>
        </w:rPr>
      </w:pPr>
    </w:p>
    <w:p>
      <w:pPr>
        <w:spacing w:line="400" w:lineRule="exact"/>
        <w:rPr>
          <w:rFonts w:hint="eastAsia" w:ascii="宋体" w:hAnsi="宋体" w:cs="宋体"/>
          <w:b/>
          <w:color w:val="auto"/>
          <w:kern w:val="0"/>
          <w:sz w:val="24"/>
          <w:highlight w:val="none"/>
          <w:lang w:val="zh-CN"/>
        </w:rPr>
      </w:pPr>
    </w:p>
    <w:p>
      <w:pPr>
        <w:spacing w:line="400" w:lineRule="exact"/>
        <w:rPr>
          <w:rFonts w:hint="eastAsia" w:ascii="宋体" w:hAnsi="宋体" w:cs="宋体"/>
          <w:b/>
          <w:color w:val="auto"/>
          <w:kern w:val="0"/>
          <w:sz w:val="24"/>
          <w:highlight w:val="none"/>
          <w:lang w:val="zh-CN"/>
        </w:rPr>
      </w:pPr>
    </w:p>
    <w:p>
      <w:pPr>
        <w:pStyle w:val="2"/>
        <w:rPr>
          <w:color w:val="auto"/>
          <w:highlight w:val="none"/>
          <w:lang w:val="zh-CN"/>
        </w:rPr>
      </w:pPr>
    </w:p>
    <w:p>
      <w:pPr>
        <w:spacing w:line="400" w:lineRule="exact"/>
        <w:rPr>
          <w:rFonts w:hint="eastAsia" w:ascii="宋体" w:hAnsi="宋体" w:cs="宋体"/>
          <w:b/>
          <w:color w:val="auto"/>
          <w:kern w:val="0"/>
          <w:sz w:val="24"/>
          <w:highlight w:val="none"/>
          <w:lang w:val="zh-CN"/>
        </w:rPr>
      </w:pPr>
    </w:p>
    <w:p>
      <w:pPr>
        <w:spacing w:line="400" w:lineRule="exact"/>
        <w:rPr>
          <w:rFonts w:hint="eastAsia" w:ascii="宋体" w:hAnsi="宋体" w:cs="宋体"/>
          <w:b/>
          <w:color w:val="auto"/>
          <w:spacing w:val="6"/>
          <w:sz w:val="24"/>
          <w:szCs w:val="24"/>
          <w:highlight w:val="none"/>
        </w:rPr>
      </w:pPr>
      <w:r>
        <w:rPr>
          <w:rFonts w:hint="eastAsia" w:ascii="宋体" w:hAnsi="宋体" w:cs="宋体"/>
          <w:b/>
          <w:color w:val="auto"/>
          <w:kern w:val="0"/>
          <w:sz w:val="24"/>
          <w:highlight w:val="none"/>
        </w:rPr>
        <w:t xml:space="preserve">                 2.</w:t>
      </w:r>
      <w:r>
        <w:rPr>
          <w:rFonts w:hint="eastAsia" w:ascii="宋体" w:hAnsi="宋体" w:cs="宋体"/>
          <w:b/>
          <w:color w:val="auto"/>
          <w:spacing w:val="6"/>
          <w:szCs w:val="28"/>
          <w:highlight w:val="none"/>
        </w:rPr>
        <w:t>监狱和戒毒企业证明材料</w:t>
      </w:r>
    </w:p>
    <w:p>
      <w:pPr>
        <w:pStyle w:val="2"/>
        <w:rPr>
          <w:color w:val="auto"/>
          <w:highlight w:val="none"/>
        </w:rPr>
      </w:pPr>
    </w:p>
    <w:p>
      <w:pPr>
        <w:pStyle w:val="2"/>
        <w:rPr>
          <w:color w:val="auto"/>
          <w:highlight w:val="none"/>
        </w:rPr>
      </w:pPr>
    </w:p>
    <w:p>
      <w:pPr>
        <w:snapToGrid w:val="0"/>
        <w:spacing w:line="360" w:lineRule="auto"/>
        <w:ind w:firstLine="480" w:firstLineChars="200"/>
        <w:jc w:val="left"/>
        <w:rPr>
          <w:rFonts w:hint="eastAsia" w:ascii="宋体" w:hAnsi="宋体" w:cs="宋体"/>
          <w:color w:val="auto"/>
          <w:sz w:val="24"/>
          <w:szCs w:val="24"/>
          <w:highlight w:val="none"/>
        </w:rPr>
      </w:pPr>
      <w:r>
        <w:rPr>
          <w:rFonts w:hint="eastAsia" w:ascii="宋体" w:hAnsi="宋体" w:cs="宋体"/>
          <w:color w:val="auto"/>
          <w:sz w:val="24"/>
          <w:szCs w:val="24"/>
          <w:highlight w:val="none"/>
        </w:rPr>
        <w:t>监狱和戒毒企业参加投标时应提供由省级以上监狱管理局、戒毒管理局（含新疆生产建设兵团）出具的属于监狱企业的证明文件。</w:t>
      </w:r>
    </w:p>
    <w:p>
      <w:pPr>
        <w:spacing w:line="360" w:lineRule="auto"/>
        <w:jc w:val="left"/>
        <w:rPr>
          <w:rFonts w:hint="eastAsia" w:ascii="宋体" w:hAnsi="宋体" w:cs="宋体"/>
          <w:color w:val="auto"/>
          <w:sz w:val="24"/>
          <w:szCs w:val="24"/>
          <w:highlight w:val="none"/>
        </w:rPr>
      </w:pPr>
    </w:p>
    <w:p>
      <w:pPr>
        <w:pStyle w:val="609"/>
        <w:spacing w:line="400" w:lineRule="exact"/>
        <w:jc w:val="center"/>
        <w:rPr>
          <w:rFonts w:hint="eastAsia" w:ascii="宋体" w:hAnsi="宋体" w:cs="宋体"/>
          <w:b/>
          <w:color w:val="auto"/>
          <w:spacing w:val="6"/>
          <w:sz w:val="24"/>
          <w:highlight w:val="none"/>
        </w:rPr>
      </w:pPr>
    </w:p>
    <w:p>
      <w:pPr>
        <w:snapToGrid w:val="0"/>
        <w:spacing w:line="400" w:lineRule="exact"/>
        <w:ind w:firstLine="5880" w:firstLineChars="2450"/>
        <w:rPr>
          <w:rFonts w:hint="eastAsia" w:ascii="宋体" w:hAnsi="宋体" w:cs="宋体"/>
          <w:color w:val="auto"/>
          <w:sz w:val="24"/>
          <w:szCs w:val="24"/>
          <w:highlight w:val="none"/>
        </w:rPr>
      </w:pPr>
      <w:r>
        <w:rPr>
          <w:rFonts w:hint="eastAsia" w:ascii="宋体" w:hAnsi="宋体" w:cs="宋体"/>
          <w:color w:val="auto"/>
          <w:sz w:val="24"/>
          <w:szCs w:val="24"/>
          <w:highlight w:val="none"/>
        </w:rPr>
        <w:t>单位名称（盖章）：</w:t>
      </w:r>
    </w:p>
    <w:p>
      <w:pPr>
        <w:pStyle w:val="605"/>
        <w:pBdr>
          <w:top w:val="none" w:color="auto" w:sz="0" w:space="0"/>
          <w:left w:val="none" w:color="auto" w:sz="0" w:space="0"/>
          <w:bottom w:val="none" w:color="auto" w:sz="0" w:space="0"/>
          <w:right w:val="none" w:color="auto" w:sz="0" w:space="0"/>
        </w:pBdr>
        <w:snapToGrid w:val="0"/>
        <w:spacing w:line="400" w:lineRule="exact"/>
        <w:ind w:firstLine="5880" w:firstLineChars="245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日  期：</w:t>
      </w:r>
    </w:p>
    <w:p>
      <w:pPr>
        <w:pStyle w:val="605"/>
        <w:pBdr>
          <w:top w:val="none" w:color="auto" w:sz="0" w:space="0"/>
          <w:left w:val="none" w:color="auto" w:sz="0" w:space="0"/>
          <w:bottom w:val="none" w:color="auto" w:sz="0" w:space="0"/>
          <w:right w:val="none" w:color="auto" w:sz="0" w:space="0"/>
        </w:pBdr>
        <w:snapToGrid w:val="0"/>
        <w:spacing w:line="400" w:lineRule="exact"/>
        <w:ind w:firstLine="0"/>
        <w:jc w:val="center"/>
        <w:rPr>
          <w:rFonts w:hint="eastAsia" w:ascii="宋体" w:hAnsi="宋体" w:cs="宋体"/>
          <w:color w:val="auto"/>
          <w:kern w:val="0"/>
          <w:sz w:val="24"/>
          <w:szCs w:val="24"/>
          <w:highlight w:val="none"/>
        </w:rPr>
      </w:pPr>
    </w:p>
    <w:p>
      <w:pPr>
        <w:pStyle w:val="609"/>
        <w:spacing w:line="400" w:lineRule="exact"/>
        <w:jc w:val="center"/>
        <w:rPr>
          <w:rFonts w:hint="eastAsia" w:ascii="宋体" w:hAnsi="宋体" w:cs="宋体"/>
          <w:b/>
          <w:color w:val="auto"/>
          <w:spacing w:val="6"/>
          <w:sz w:val="24"/>
          <w:highlight w:val="none"/>
        </w:rPr>
      </w:pPr>
    </w:p>
    <w:p>
      <w:pPr>
        <w:pStyle w:val="609"/>
        <w:spacing w:line="400" w:lineRule="exact"/>
        <w:jc w:val="center"/>
        <w:rPr>
          <w:rFonts w:hint="eastAsia" w:ascii="宋体" w:hAnsi="宋体" w:cs="宋体"/>
          <w:b/>
          <w:color w:val="auto"/>
          <w:spacing w:val="6"/>
          <w:sz w:val="24"/>
          <w:highlight w:val="none"/>
        </w:rPr>
      </w:pPr>
    </w:p>
    <w:p>
      <w:pPr>
        <w:pStyle w:val="609"/>
        <w:spacing w:line="400" w:lineRule="exact"/>
        <w:jc w:val="center"/>
        <w:rPr>
          <w:rFonts w:hint="eastAsia" w:ascii="宋体" w:hAnsi="宋体" w:cs="宋体"/>
          <w:b/>
          <w:color w:val="auto"/>
          <w:spacing w:val="6"/>
          <w:sz w:val="24"/>
          <w:highlight w:val="none"/>
        </w:rPr>
      </w:pPr>
    </w:p>
    <w:p>
      <w:pPr>
        <w:pStyle w:val="609"/>
        <w:spacing w:line="400" w:lineRule="exact"/>
        <w:jc w:val="center"/>
        <w:rPr>
          <w:rFonts w:hint="eastAsia" w:ascii="宋体" w:hAnsi="宋体" w:cs="宋体"/>
          <w:b/>
          <w:color w:val="auto"/>
          <w:spacing w:val="6"/>
          <w:sz w:val="24"/>
          <w:highlight w:val="none"/>
        </w:rPr>
      </w:pPr>
    </w:p>
    <w:p>
      <w:pPr>
        <w:pStyle w:val="609"/>
        <w:spacing w:line="400" w:lineRule="exact"/>
        <w:jc w:val="center"/>
        <w:rPr>
          <w:rFonts w:hint="eastAsia" w:ascii="宋体" w:hAnsi="宋体" w:cs="宋体"/>
          <w:b/>
          <w:color w:val="auto"/>
          <w:spacing w:val="6"/>
          <w:sz w:val="24"/>
          <w:highlight w:val="none"/>
        </w:rPr>
      </w:pPr>
    </w:p>
    <w:p>
      <w:pPr>
        <w:pStyle w:val="609"/>
        <w:spacing w:line="400" w:lineRule="exact"/>
        <w:jc w:val="center"/>
        <w:rPr>
          <w:rFonts w:hint="eastAsia" w:ascii="宋体" w:hAnsi="宋体" w:cs="宋体"/>
          <w:b/>
          <w:color w:val="auto"/>
          <w:spacing w:val="6"/>
          <w:sz w:val="24"/>
          <w:highlight w:val="none"/>
        </w:rPr>
      </w:pPr>
    </w:p>
    <w:p>
      <w:pPr>
        <w:pStyle w:val="609"/>
        <w:spacing w:line="400" w:lineRule="exact"/>
        <w:ind w:firstLine="2638" w:firstLineChars="900"/>
        <w:rPr>
          <w:rFonts w:hint="eastAsia" w:ascii="宋体" w:hAnsi="宋体" w:cs="宋体"/>
          <w:b/>
          <w:color w:val="auto"/>
          <w:spacing w:val="6"/>
          <w:sz w:val="28"/>
          <w:szCs w:val="28"/>
          <w:highlight w:val="none"/>
        </w:rPr>
      </w:pPr>
      <w:r>
        <w:rPr>
          <w:rFonts w:hint="eastAsia" w:ascii="宋体" w:hAnsi="宋体" w:cs="宋体"/>
          <w:b/>
          <w:color w:val="auto"/>
          <w:spacing w:val="6"/>
          <w:sz w:val="28"/>
          <w:szCs w:val="28"/>
          <w:highlight w:val="none"/>
        </w:rPr>
        <w:t>3.残疾人福利性单位声明函</w:t>
      </w:r>
    </w:p>
    <w:p>
      <w:pPr>
        <w:pStyle w:val="609"/>
        <w:spacing w:line="400" w:lineRule="exact"/>
        <w:rPr>
          <w:rFonts w:hint="eastAsia" w:ascii="宋体" w:hAnsi="宋体" w:cs="宋体"/>
          <w:b/>
          <w:color w:val="auto"/>
          <w:spacing w:val="6"/>
          <w:sz w:val="24"/>
          <w:highlight w:val="none"/>
        </w:rPr>
      </w:pPr>
    </w:p>
    <w:p>
      <w:pPr>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本单位郑重声明，根据《财政部 民政部 中国残疾人联合会关于促进残疾人就业政府采购政策的通知》（财库〔2017〕 141号）的规定，本单位为符合条件的残疾人福利性单位，且本单位参加______单位的______项目采购活动提供本单位制造的货物（由本单位承担工程/提供服务），或者提供其他残疾人福利性单位制造的货物（不包括使用非残疾人福利性单位注册商标的货物）。</w:t>
      </w:r>
    </w:p>
    <w:p>
      <w:pPr>
        <w:snapToGrid w:val="0"/>
        <w:spacing w:line="400" w:lineRule="exact"/>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本单位对上述声明的真实性负责。如有虚假，将依法承担相应责任。</w:t>
      </w:r>
    </w:p>
    <w:p>
      <w:pPr>
        <w:widowControl/>
        <w:spacing w:line="400" w:lineRule="exact"/>
        <w:jc w:val="left"/>
        <w:rPr>
          <w:rFonts w:hint="eastAsia" w:ascii="宋体" w:hAnsi="宋体" w:cs="宋体"/>
          <w:color w:val="auto"/>
          <w:sz w:val="24"/>
          <w:highlight w:val="none"/>
        </w:rPr>
      </w:pPr>
      <w:r>
        <w:rPr>
          <w:rFonts w:hint="eastAsia" w:ascii="宋体" w:hAnsi="宋体" w:cs="宋体"/>
          <w:color w:val="auto"/>
          <w:sz w:val="24"/>
          <w:szCs w:val="24"/>
          <w:highlight w:val="none"/>
        </w:rPr>
        <w:t xml:space="preserve">      </w:t>
      </w:r>
    </w:p>
    <w:p>
      <w:pPr>
        <w:widowControl/>
        <w:spacing w:line="400" w:lineRule="exact"/>
        <w:jc w:val="left"/>
        <w:rPr>
          <w:rFonts w:hint="eastAsia" w:ascii="宋体" w:hAnsi="宋体" w:cs="宋体"/>
          <w:color w:val="auto"/>
          <w:sz w:val="24"/>
          <w:highlight w:val="none"/>
        </w:rPr>
      </w:pPr>
    </w:p>
    <w:p>
      <w:pPr>
        <w:pStyle w:val="609"/>
        <w:spacing w:line="400" w:lineRule="exact"/>
        <w:jc w:val="center"/>
        <w:rPr>
          <w:rFonts w:hint="eastAsia" w:ascii="宋体" w:hAnsi="宋体" w:cs="宋体"/>
          <w:b/>
          <w:color w:val="auto"/>
          <w:spacing w:val="6"/>
          <w:sz w:val="24"/>
          <w:highlight w:val="none"/>
        </w:rPr>
      </w:pPr>
    </w:p>
    <w:p>
      <w:pPr>
        <w:snapToGrid w:val="0"/>
        <w:spacing w:line="400" w:lineRule="exact"/>
        <w:ind w:firstLine="5880" w:firstLineChars="2450"/>
        <w:rPr>
          <w:rFonts w:hint="eastAsia" w:ascii="宋体" w:hAnsi="宋体" w:cs="宋体"/>
          <w:color w:val="auto"/>
          <w:sz w:val="24"/>
          <w:szCs w:val="24"/>
          <w:highlight w:val="none"/>
        </w:rPr>
      </w:pPr>
      <w:r>
        <w:rPr>
          <w:rFonts w:hint="eastAsia" w:ascii="宋体" w:hAnsi="宋体" w:cs="宋体"/>
          <w:color w:val="auto"/>
          <w:sz w:val="24"/>
          <w:szCs w:val="24"/>
          <w:highlight w:val="none"/>
        </w:rPr>
        <w:t>单位名称（盖章）：</w:t>
      </w:r>
    </w:p>
    <w:p>
      <w:pPr>
        <w:pStyle w:val="605"/>
        <w:pBdr>
          <w:top w:val="none" w:color="auto" w:sz="0" w:space="0"/>
          <w:left w:val="none" w:color="auto" w:sz="0" w:space="0"/>
          <w:bottom w:val="none" w:color="auto" w:sz="0" w:space="0"/>
          <w:right w:val="none" w:color="auto" w:sz="0" w:space="0"/>
        </w:pBdr>
        <w:snapToGrid w:val="0"/>
        <w:spacing w:line="400" w:lineRule="exact"/>
        <w:ind w:firstLine="5880" w:firstLineChars="245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日  期：</w:t>
      </w:r>
    </w:p>
    <w:p>
      <w:pPr>
        <w:pStyle w:val="605"/>
        <w:pBdr>
          <w:top w:val="none" w:color="auto" w:sz="0" w:space="0"/>
          <w:left w:val="none" w:color="auto" w:sz="0" w:space="0"/>
          <w:bottom w:val="none" w:color="auto" w:sz="0" w:space="0"/>
          <w:right w:val="none" w:color="auto" w:sz="0" w:space="0"/>
        </w:pBdr>
        <w:snapToGrid w:val="0"/>
        <w:spacing w:line="400" w:lineRule="exact"/>
        <w:ind w:firstLine="0"/>
        <w:jc w:val="center"/>
        <w:rPr>
          <w:rFonts w:hint="eastAsia" w:ascii="宋体" w:hAnsi="宋体" w:cs="宋体"/>
          <w:color w:val="auto"/>
          <w:kern w:val="0"/>
          <w:sz w:val="24"/>
          <w:szCs w:val="24"/>
          <w:highlight w:val="none"/>
        </w:rPr>
      </w:pPr>
    </w:p>
    <w:p>
      <w:pPr>
        <w:widowControl/>
        <w:spacing w:line="400" w:lineRule="exact"/>
        <w:jc w:val="left"/>
        <w:rPr>
          <w:rFonts w:hint="eastAsia" w:ascii="宋体" w:hAnsi="宋体" w:cs="宋体"/>
          <w:color w:val="auto"/>
          <w:sz w:val="24"/>
          <w:highlight w:val="none"/>
        </w:rPr>
      </w:pPr>
    </w:p>
    <w:p>
      <w:pPr>
        <w:pStyle w:val="2"/>
        <w:rPr>
          <w:color w:val="auto"/>
          <w:highlight w:val="none"/>
        </w:rPr>
      </w:pPr>
    </w:p>
    <w:p>
      <w:pPr>
        <w:widowControl/>
        <w:spacing w:line="312" w:lineRule="auto"/>
        <w:jc w:val="left"/>
        <w:rPr>
          <w:rFonts w:hint="eastAsia" w:ascii="宋体" w:hAnsi="宋体" w:cs="宋体"/>
          <w:color w:val="auto"/>
          <w:sz w:val="24"/>
          <w:szCs w:val="22"/>
          <w:highlight w:val="none"/>
        </w:rPr>
      </w:pPr>
      <w:r>
        <w:rPr>
          <w:rFonts w:hint="eastAsia" w:ascii="宋体" w:hAnsi="宋体" w:cs="宋体"/>
          <w:color w:val="auto"/>
          <w:sz w:val="24"/>
          <w:szCs w:val="22"/>
          <w:highlight w:val="none"/>
        </w:rPr>
        <w:t>表8：与其他供应商无利害关系的声明函</w:t>
      </w:r>
    </w:p>
    <w:p>
      <w:pPr>
        <w:kinsoku/>
        <w:overflowPunct/>
        <w:bidi w:val="0"/>
        <w:spacing w:line="400" w:lineRule="exact"/>
        <w:jc w:val="center"/>
        <w:rPr>
          <w:rFonts w:hint="eastAsia" w:ascii="宋体" w:hAnsi="宋体" w:cs="宋体"/>
          <w:b/>
          <w:color w:val="auto"/>
          <w:sz w:val="32"/>
          <w:szCs w:val="32"/>
          <w:highlight w:val="none"/>
        </w:rPr>
      </w:pPr>
      <w:r>
        <w:rPr>
          <w:rFonts w:hint="eastAsia" w:ascii="宋体" w:hAnsi="宋体" w:cs="宋体"/>
          <w:b/>
          <w:color w:val="auto"/>
          <w:sz w:val="32"/>
          <w:szCs w:val="32"/>
          <w:highlight w:val="none"/>
        </w:rPr>
        <w:t>与其他供应商无利害关系的声明函</w:t>
      </w: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cs="宋体"/>
          <w:b/>
          <w:color w:val="auto"/>
          <w:sz w:val="32"/>
          <w:highlight w:val="none"/>
          <w:shd w:val="clear" w:color="auto" w:fill="auto"/>
          <w:lang w:eastAsia="zh-CN"/>
        </w:rPr>
        <w:t>（标项一</w:t>
      </w:r>
      <w:r>
        <w:rPr>
          <w:rFonts w:hint="eastAsia" w:ascii="宋体" w:hAnsi="宋体" w:cs="宋体"/>
          <w:b/>
          <w:color w:val="auto"/>
          <w:sz w:val="32"/>
          <w:highlight w:val="none"/>
          <w:shd w:val="clear" w:color="auto" w:fill="auto"/>
          <w:lang w:val="en-US" w:eastAsia="zh-CN"/>
        </w:rPr>
        <w:t>或</w:t>
      </w:r>
      <w:r>
        <w:rPr>
          <w:rFonts w:hint="eastAsia" w:ascii="宋体" w:hAnsi="宋体" w:cs="宋体"/>
          <w:b/>
          <w:color w:val="auto"/>
          <w:sz w:val="32"/>
          <w:highlight w:val="none"/>
          <w:shd w:val="clear" w:color="auto" w:fill="auto"/>
          <w:lang w:eastAsia="zh-CN"/>
        </w:rPr>
        <w:t>标项二）</w:t>
      </w:r>
    </w:p>
    <w:p>
      <w:pPr>
        <w:spacing w:line="480" w:lineRule="exact"/>
        <w:rPr>
          <w:rFonts w:hint="eastAsia" w:ascii="宋体" w:hAnsi="宋体" w:cs="宋体"/>
          <w:color w:val="auto"/>
          <w:highlight w:val="none"/>
        </w:rPr>
      </w:pPr>
      <w:r>
        <w:rPr>
          <w:rFonts w:hint="eastAsia" w:ascii="宋体" w:hAnsi="宋体" w:cs="宋体"/>
          <w:color w:val="auto"/>
          <w:kern w:val="0"/>
          <w:sz w:val="24"/>
          <w:highlight w:val="none"/>
          <w:u w:val="single"/>
        </w:rPr>
        <w:t>衢州市民用航空管理局（衢州民航站）</w:t>
      </w:r>
      <w:r>
        <w:rPr>
          <w:rFonts w:hint="eastAsia" w:ascii="宋体" w:hAnsi="宋体" w:cs="宋体"/>
          <w:color w:val="auto"/>
          <w:sz w:val="24"/>
          <w:szCs w:val="24"/>
          <w:highlight w:val="none"/>
        </w:rPr>
        <w:t>：</w:t>
      </w:r>
    </w:p>
    <w:p>
      <w:pPr>
        <w:pStyle w:val="2"/>
        <w:tabs>
          <w:tab w:val="left" w:pos="1903"/>
          <w:tab w:val="left" w:pos="4336"/>
        </w:tabs>
        <w:spacing w:after="0" w:line="480" w:lineRule="exact"/>
        <w:ind w:firstLine="720" w:firstLineChars="300"/>
        <w:rPr>
          <w:rFonts w:hint="eastAsia" w:ascii="宋体" w:hAnsi="宋体" w:cs="宋体"/>
          <w:color w:val="auto"/>
          <w:sz w:val="24"/>
          <w:szCs w:val="24"/>
          <w:highlight w:val="none"/>
        </w:rPr>
      </w:pPr>
      <w:r>
        <w:rPr>
          <w:rFonts w:hint="eastAsia" w:ascii="宋体" w:hAnsi="宋体" w:cs="宋体"/>
          <w:color w:val="auto"/>
          <w:sz w:val="24"/>
          <w:szCs w:val="24"/>
          <w:highlight w:val="none"/>
        </w:rPr>
        <w:t>我方</w:t>
      </w:r>
      <w:r>
        <w:rPr>
          <w:rFonts w:hint="eastAsia" w:ascii="宋体" w:hAnsi="宋体" w:cs="宋体"/>
          <w:color w:val="auto"/>
          <w:sz w:val="24"/>
          <w:szCs w:val="24"/>
          <w:highlight w:val="none"/>
          <w:u w:val="single"/>
        </w:rPr>
        <w:tab/>
      </w:r>
      <w:r>
        <w:rPr>
          <w:rFonts w:hint="eastAsia" w:ascii="宋体" w:hAnsi="宋体" w:cs="宋体"/>
          <w:color w:val="auto"/>
          <w:sz w:val="24"/>
          <w:szCs w:val="24"/>
          <w:highlight w:val="none"/>
          <w:u w:val="single"/>
        </w:rPr>
        <w:t>（供应商）</w:t>
      </w:r>
      <w:r>
        <w:rPr>
          <w:rFonts w:hint="eastAsia" w:ascii="宋体" w:hAnsi="宋体" w:cs="宋体"/>
          <w:color w:val="auto"/>
          <w:sz w:val="24"/>
          <w:szCs w:val="24"/>
          <w:highlight w:val="none"/>
          <w:u w:val="single"/>
        </w:rPr>
        <w:tab/>
      </w:r>
      <w:r>
        <w:rPr>
          <w:rFonts w:hint="eastAsia" w:ascii="宋体" w:hAnsi="宋体" w:cs="宋体"/>
          <w:color w:val="auto"/>
          <w:sz w:val="24"/>
          <w:szCs w:val="24"/>
          <w:highlight w:val="none"/>
        </w:rPr>
        <w:t>参加</w:t>
      </w:r>
      <w:r>
        <w:rPr>
          <w:rFonts w:hint="eastAsia" w:ascii="宋体" w:hAnsi="宋体" w:cs="宋体"/>
          <w:color w:val="auto"/>
          <w:sz w:val="24"/>
          <w:szCs w:val="24"/>
          <w:highlight w:val="none"/>
          <w:u w:val="single"/>
        </w:rPr>
        <w:t xml:space="preserve"> </w:t>
      </w:r>
      <w:r>
        <w:rPr>
          <w:rFonts w:hint="eastAsia" w:ascii="宋体" w:hAnsi="宋体" w:cs="宋体"/>
          <w:color w:val="auto"/>
          <w:kern w:val="0"/>
          <w:sz w:val="24"/>
          <w:highlight w:val="none"/>
          <w:u w:val="single"/>
        </w:rPr>
        <w:t>衢州市民用航空管理局（衢州民航站）</w:t>
      </w:r>
      <w:r>
        <w:rPr>
          <w:rFonts w:hint="eastAsia" w:ascii="宋体" w:hAnsi="宋体" w:cs="宋体"/>
          <w:color w:val="auto"/>
          <w:sz w:val="24"/>
          <w:szCs w:val="24"/>
          <w:highlight w:val="none"/>
        </w:rPr>
        <w:t>（采购人）</w:t>
      </w:r>
      <w:r>
        <w:rPr>
          <w:rFonts w:hint="eastAsia" w:ascii="宋体" w:hAnsi="宋体" w:cs="宋体"/>
          <w:color w:val="auto"/>
          <w:sz w:val="24"/>
          <w:szCs w:val="24"/>
          <w:highlight w:val="none"/>
          <w:u w:val="single"/>
        </w:rPr>
        <w:t xml:space="preserve"> 衢州机场设备更新改造提升项目货检双视角X光检查仪、安检培训系统采购（第二次） （项目编号: ZZCG2024123-1）</w:t>
      </w:r>
      <w:r>
        <w:rPr>
          <w:rFonts w:hint="eastAsia" w:ascii="宋体" w:hAnsi="宋体" w:cs="宋体"/>
          <w:color w:val="auto"/>
          <w:spacing w:val="-3"/>
          <w:sz w:val="24"/>
          <w:szCs w:val="24"/>
          <w:highlight w:val="none"/>
        </w:rPr>
        <w:t>政府采购活动，与其他供应商不存在法定代表人为同一人或存在直接控股、管理关系。</w:t>
      </w:r>
    </w:p>
    <w:p>
      <w:pPr>
        <w:pStyle w:val="2"/>
        <w:spacing w:after="0" w:line="480" w:lineRule="exact"/>
        <w:ind w:left="490" w:leftChars="170" w:right="-30" w:hanging="14" w:hangingChars="6"/>
        <w:rPr>
          <w:rFonts w:hint="eastAsia" w:ascii="宋体" w:hAnsi="宋体" w:cs="宋体"/>
          <w:color w:val="auto"/>
          <w:sz w:val="24"/>
          <w:szCs w:val="24"/>
          <w:highlight w:val="none"/>
        </w:rPr>
      </w:pPr>
      <w:r>
        <w:rPr>
          <w:rFonts w:hint="eastAsia" w:ascii="宋体" w:hAnsi="宋体" w:cs="宋体"/>
          <w:color w:val="auto"/>
          <w:sz w:val="24"/>
          <w:szCs w:val="24"/>
          <w:highlight w:val="none"/>
        </w:rPr>
        <w:t>我方对上述声明的真实性负责。如有虚假，愿意承担相应责任，对此无任何异议。特此声明！</w:t>
      </w:r>
    </w:p>
    <w:p>
      <w:pPr>
        <w:pStyle w:val="3"/>
        <w:ind w:firstLine="240"/>
        <w:rPr>
          <w:rFonts w:hint="eastAsia" w:ascii="宋体" w:hAnsi="宋体" w:eastAsia="宋体" w:cs="宋体"/>
          <w:color w:val="auto"/>
          <w:sz w:val="24"/>
          <w:szCs w:val="24"/>
          <w:highlight w:val="none"/>
        </w:rPr>
      </w:pPr>
    </w:p>
    <w:p>
      <w:pPr>
        <w:pStyle w:val="4"/>
        <w:rPr>
          <w:color w:val="auto"/>
          <w:highlight w:val="none"/>
        </w:rPr>
      </w:pP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360" w:lineRule="auto"/>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szCs w:val="24"/>
          <w:highlight w:val="none"/>
        </w:rPr>
        <w:t>年  月  日</w:t>
      </w:r>
    </w:p>
    <w:p>
      <w:pPr>
        <w:widowControl/>
        <w:spacing w:line="480" w:lineRule="exact"/>
        <w:jc w:val="left"/>
        <w:rPr>
          <w:rFonts w:hint="eastAsia" w:ascii="宋体" w:hAnsi="宋体" w:cs="宋体"/>
          <w:color w:val="auto"/>
          <w:sz w:val="24"/>
          <w:highlight w:val="none"/>
        </w:rPr>
      </w:pPr>
    </w:p>
    <w:p>
      <w:pPr>
        <w:widowControl/>
        <w:spacing w:line="480" w:lineRule="exact"/>
        <w:jc w:val="left"/>
        <w:rPr>
          <w:rFonts w:hint="eastAsia" w:ascii="宋体" w:hAnsi="宋体" w:cs="宋体"/>
          <w:color w:val="auto"/>
          <w:sz w:val="24"/>
          <w:highlight w:val="none"/>
        </w:rPr>
      </w:pPr>
    </w:p>
    <w:p>
      <w:pPr>
        <w:widowControl/>
        <w:spacing w:line="480" w:lineRule="exact"/>
        <w:jc w:val="left"/>
        <w:rPr>
          <w:rFonts w:hint="eastAsia" w:ascii="宋体" w:hAnsi="宋体" w:cs="宋体"/>
          <w:color w:val="auto"/>
          <w:sz w:val="24"/>
          <w:highlight w:val="none"/>
        </w:rPr>
      </w:pPr>
    </w:p>
    <w:p>
      <w:pPr>
        <w:widowControl/>
        <w:spacing w:line="480" w:lineRule="exact"/>
        <w:jc w:val="left"/>
        <w:rPr>
          <w:rFonts w:hint="eastAsia" w:ascii="宋体" w:hAnsi="宋体" w:cs="宋体"/>
          <w:color w:val="auto"/>
          <w:sz w:val="24"/>
          <w:szCs w:val="22"/>
          <w:highlight w:val="none"/>
        </w:rPr>
      </w:pPr>
      <w:r>
        <w:rPr>
          <w:rFonts w:hint="eastAsia" w:ascii="宋体" w:hAnsi="宋体" w:cs="宋体"/>
          <w:color w:val="auto"/>
          <w:sz w:val="24"/>
          <w:highlight w:val="none"/>
        </w:rPr>
        <w:t>表9：非联合体的声明函</w:t>
      </w:r>
    </w:p>
    <w:p>
      <w:pPr>
        <w:kinsoku/>
        <w:overflowPunct/>
        <w:bidi w:val="0"/>
        <w:spacing w:line="400" w:lineRule="exact"/>
        <w:jc w:val="center"/>
        <w:rPr>
          <w:rFonts w:hint="eastAsia" w:ascii="宋体" w:hAnsi="宋体" w:cs="宋体"/>
          <w:b/>
          <w:color w:val="auto"/>
          <w:sz w:val="32"/>
          <w:szCs w:val="22"/>
          <w:highlight w:val="none"/>
        </w:rPr>
      </w:pPr>
      <w:r>
        <w:rPr>
          <w:rFonts w:hint="eastAsia" w:ascii="宋体" w:hAnsi="宋体" w:cs="宋体"/>
          <w:b/>
          <w:color w:val="auto"/>
          <w:sz w:val="32"/>
          <w:szCs w:val="22"/>
          <w:highlight w:val="none"/>
        </w:rPr>
        <w:t xml:space="preserve">非联合体的声明函 </w:t>
      </w:r>
    </w:p>
    <w:p>
      <w:pPr>
        <w:kinsoku/>
        <w:overflowPunct/>
        <w:bidi w:val="0"/>
        <w:spacing w:line="400" w:lineRule="exact"/>
        <w:jc w:val="center"/>
        <w:rPr>
          <w:rFonts w:hint="eastAsia" w:ascii="宋体" w:hAnsi="宋体" w:eastAsia="宋体" w:cs="宋体"/>
          <w:b/>
          <w:color w:val="auto"/>
          <w:sz w:val="32"/>
          <w:highlight w:val="none"/>
          <w:shd w:val="clear" w:color="auto" w:fill="auto"/>
        </w:rPr>
      </w:pPr>
      <w:r>
        <w:rPr>
          <w:rFonts w:hint="eastAsia" w:ascii="宋体" w:hAnsi="宋体" w:cs="宋体"/>
          <w:b/>
          <w:color w:val="auto"/>
          <w:sz w:val="32"/>
          <w:highlight w:val="none"/>
          <w:shd w:val="clear" w:color="auto" w:fill="auto"/>
          <w:lang w:eastAsia="zh-CN"/>
        </w:rPr>
        <w:t>（标项一</w:t>
      </w:r>
      <w:r>
        <w:rPr>
          <w:rFonts w:hint="eastAsia" w:ascii="宋体" w:hAnsi="宋体" w:cs="宋体"/>
          <w:b/>
          <w:color w:val="auto"/>
          <w:sz w:val="32"/>
          <w:highlight w:val="none"/>
          <w:shd w:val="clear" w:color="auto" w:fill="auto"/>
          <w:lang w:val="en-US" w:eastAsia="zh-CN"/>
        </w:rPr>
        <w:t>或</w:t>
      </w:r>
      <w:r>
        <w:rPr>
          <w:rFonts w:hint="eastAsia" w:ascii="宋体" w:hAnsi="宋体" w:cs="宋体"/>
          <w:b/>
          <w:color w:val="auto"/>
          <w:sz w:val="32"/>
          <w:highlight w:val="none"/>
          <w:shd w:val="clear" w:color="auto" w:fill="auto"/>
          <w:lang w:eastAsia="zh-CN"/>
        </w:rPr>
        <w:t>标项二）</w:t>
      </w:r>
    </w:p>
    <w:p>
      <w:pPr>
        <w:spacing w:line="312" w:lineRule="auto"/>
        <w:ind w:firstLine="480" w:firstLineChars="200"/>
        <w:rPr>
          <w:rFonts w:hint="eastAsia" w:ascii="宋体" w:hAnsi="宋体" w:cs="宋体"/>
          <w:color w:val="auto"/>
          <w:sz w:val="24"/>
          <w:szCs w:val="24"/>
          <w:highlight w:val="none"/>
          <w:u w:val="single"/>
        </w:rPr>
      </w:pPr>
      <w:r>
        <w:rPr>
          <w:rFonts w:hint="eastAsia" w:ascii="宋体" w:hAnsi="宋体" w:cs="宋体"/>
          <w:color w:val="auto"/>
          <w:kern w:val="0"/>
          <w:sz w:val="24"/>
          <w:highlight w:val="none"/>
          <w:u w:val="single"/>
        </w:rPr>
        <w:t>衢州市民用航空管理局（衢州民航站）</w:t>
      </w:r>
      <w:r>
        <w:rPr>
          <w:rFonts w:hint="eastAsia" w:ascii="宋体" w:hAnsi="宋体" w:cs="宋体"/>
          <w:color w:val="auto"/>
          <w:sz w:val="24"/>
          <w:szCs w:val="24"/>
          <w:highlight w:val="none"/>
          <w:u w:val="single"/>
        </w:rPr>
        <w:t>：</w:t>
      </w:r>
    </w:p>
    <w:p>
      <w:pPr>
        <w:spacing w:line="312"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我方</w:t>
      </w:r>
      <w:r>
        <w:rPr>
          <w:rFonts w:hint="eastAsia" w:ascii="宋体" w:hAnsi="宋体" w:cs="宋体"/>
          <w:color w:val="auto"/>
          <w:sz w:val="24"/>
          <w:szCs w:val="24"/>
          <w:highlight w:val="none"/>
          <w:u w:val="single"/>
        </w:rPr>
        <w:t xml:space="preserve">    （供应商） </w:t>
      </w:r>
      <w:r>
        <w:rPr>
          <w:rFonts w:hint="eastAsia" w:ascii="宋体" w:hAnsi="宋体" w:cs="宋体"/>
          <w:color w:val="auto"/>
          <w:sz w:val="24"/>
          <w:szCs w:val="24"/>
          <w:highlight w:val="none"/>
        </w:rPr>
        <w:t>独立参加</w:t>
      </w:r>
      <w:r>
        <w:rPr>
          <w:rFonts w:hint="eastAsia" w:ascii="宋体" w:hAnsi="宋体" w:cs="宋体"/>
          <w:color w:val="auto"/>
          <w:sz w:val="24"/>
          <w:szCs w:val="24"/>
          <w:highlight w:val="none"/>
          <w:u w:val="single"/>
        </w:rPr>
        <w:t xml:space="preserve"> 衢州机场设备更新改造提升项目货检双视角X光检查仪、安检培训系统采购（第二次） （项目编号: ZZCG2024123-1）</w:t>
      </w:r>
      <w:r>
        <w:rPr>
          <w:rFonts w:hint="eastAsia" w:ascii="宋体" w:hAnsi="宋体" w:cs="宋体"/>
          <w:color w:val="auto"/>
          <w:sz w:val="24"/>
          <w:szCs w:val="24"/>
          <w:highlight w:val="none"/>
        </w:rPr>
        <w:t xml:space="preserve">政府采购活动，未与其他单位组成联合体。 </w:t>
      </w:r>
    </w:p>
    <w:p>
      <w:pPr>
        <w:spacing w:line="312"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本公司对上述声明的真实性负责。如有虚假，将依法承担相应责任。 </w:t>
      </w:r>
    </w:p>
    <w:p>
      <w:pPr>
        <w:spacing w:line="312" w:lineRule="auto"/>
        <w:ind w:firstLine="480" w:firstLineChars="2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特此声明！ </w:t>
      </w:r>
    </w:p>
    <w:p>
      <w:pPr>
        <w:pStyle w:val="2"/>
        <w:rPr>
          <w:rFonts w:hint="eastAsia" w:ascii="宋体" w:hAnsi="宋体" w:cs="宋体"/>
          <w:color w:val="auto"/>
          <w:sz w:val="24"/>
          <w:szCs w:val="24"/>
          <w:highlight w:val="none"/>
        </w:rPr>
      </w:pPr>
    </w:p>
    <w:p>
      <w:pPr>
        <w:pStyle w:val="3"/>
        <w:ind w:firstLine="210"/>
        <w:rPr>
          <w:rFonts w:hint="eastAsia"/>
          <w:color w:val="auto"/>
          <w:highlight w:val="none"/>
        </w:rPr>
      </w:pPr>
    </w:p>
    <w:p>
      <w:pPr>
        <w:adjustRightInd w:val="0"/>
        <w:snapToGrid w:val="0"/>
        <w:spacing w:line="360" w:lineRule="auto"/>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360" w:lineRule="auto"/>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360" w:lineRule="auto"/>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en-US" w:eastAsia="zh-CN"/>
        </w:rPr>
        <w:t xml:space="preserve">  </w:t>
      </w:r>
      <w:r>
        <w:rPr>
          <w:rFonts w:hint="eastAsia" w:ascii="宋体" w:hAnsi="宋体" w:cs="宋体"/>
          <w:color w:val="auto"/>
          <w:sz w:val="24"/>
          <w:szCs w:val="24"/>
          <w:highlight w:val="none"/>
        </w:rPr>
        <w:t>年  月  日</w:t>
      </w:r>
    </w:p>
    <w:p>
      <w:pPr>
        <w:widowControl/>
        <w:spacing w:line="400" w:lineRule="exact"/>
        <w:jc w:val="left"/>
        <w:rPr>
          <w:rFonts w:hint="eastAsia" w:ascii="宋体" w:hAnsi="宋体" w:cs="宋体"/>
          <w:color w:val="auto"/>
          <w:sz w:val="24"/>
          <w:highlight w:val="none"/>
        </w:rPr>
      </w:pPr>
    </w:p>
    <w:p>
      <w:pPr>
        <w:pStyle w:val="48"/>
        <w:adjustRightInd w:val="0"/>
        <w:snapToGrid w:val="0"/>
        <w:spacing w:line="400" w:lineRule="exact"/>
        <w:jc w:val="center"/>
        <w:outlineLvl w:val="1"/>
        <w:rPr>
          <w:rFonts w:hint="eastAsia" w:hAnsi="宋体" w:cs="宋体"/>
          <w:b/>
          <w:color w:val="auto"/>
          <w:sz w:val="30"/>
          <w:szCs w:val="30"/>
          <w:highlight w:val="none"/>
        </w:rPr>
      </w:pPr>
      <w:r>
        <w:rPr>
          <w:rFonts w:hint="eastAsia" w:hAnsi="宋体" w:cs="宋体"/>
          <w:b/>
          <w:color w:val="auto"/>
          <w:sz w:val="30"/>
          <w:szCs w:val="30"/>
          <w:highlight w:val="none"/>
        </w:rPr>
        <w:t>格式二：投标声明函</w:t>
      </w:r>
      <w:bookmarkEnd w:id="88"/>
      <w:bookmarkEnd w:id="105"/>
    </w:p>
    <w:p>
      <w:pPr>
        <w:adjustRightInd w:val="0"/>
        <w:snapToGrid w:val="0"/>
        <w:spacing w:line="400" w:lineRule="exact"/>
        <w:rPr>
          <w:rFonts w:hint="eastAsia" w:ascii="宋体" w:hAnsi="宋体" w:cs="宋体"/>
          <w:color w:val="auto"/>
          <w:sz w:val="24"/>
          <w:highlight w:val="none"/>
        </w:rPr>
      </w:pPr>
    </w:p>
    <w:p>
      <w:pPr>
        <w:adjustRightInd w:val="0"/>
        <w:snapToGrid w:val="0"/>
        <w:spacing w:line="400" w:lineRule="exact"/>
        <w:rPr>
          <w:rFonts w:hint="eastAsia" w:ascii="宋体" w:hAnsi="宋体" w:cs="宋体"/>
          <w:color w:val="auto"/>
          <w:sz w:val="24"/>
          <w:szCs w:val="24"/>
          <w:highlight w:val="none"/>
        </w:rPr>
      </w:pPr>
      <w:r>
        <w:rPr>
          <w:rFonts w:hint="eastAsia" w:ascii="宋体" w:hAnsi="宋体" w:cs="宋体"/>
          <w:color w:val="auto"/>
          <w:sz w:val="24"/>
          <w:szCs w:val="24"/>
          <w:highlight w:val="none"/>
          <w:lang w:eastAsia="zh-CN"/>
        </w:rPr>
        <w:t>衢州市民用航空管理局（衢州民航站）</w:t>
      </w:r>
      <w:r>
        <w:rPr>
          <w:rFonts w:hint="eastAsia" w:ascii="宋体" w:hAnsi="宋体" w:cs="宋体"/>
          <w:color w:val="auto"/>
          <w:sz w:val="24"/>
          <w:szCs w:val="24"/>
          <w:highlight w:val="none"/>
        </w:rPr>
        <w:t>、</w:t>
      </w:r>
    </w:p>
    <w:p>
      <w:pPr>
        <w:adjustRightInd w:val="0"/>
        <w:snapToGrid w:val="0"/>
        <w:spacing w:line="400" w:lineRule="exact"/>
        <w:rPr>
          <w:rFonts w:hint="eastAsia" w:ascii="宋体" w:hAnsi="宋体" w:cs="宋体"/>
          <w:b/>
          <w:color w:val="auto"/>
          <w:sz w:val="24"/>
          <w:szCs w:val="24"/>
          <w:highlight w:val="none"/>
        </w:rPr>
      </w:pPr>
      <w:r>
        <w:rPr>
          <w:rFonts w:hint="eastAsia" w:ascii="宋体" w:hAnsi="宋体" w:cs="宋体"/>
          <w:color w:val="auto"/>
          <w:sz w:val="24"/>
          <w:szCs w:val="24"/>
          <w:highlight w:val="none"/>
        </w:rPr>
        <w:t>浙江中正工程项目管理有限公司：</w:t>
      </w:r>
    </w:p>
    <w:p>
      <w:pPr>
        <w:pStyle w:val="48"/>
        <w:adjustRightInd w:val="0"/>
        <w:snapToGrid w:val="0"/>
        <w:spacing w:line="400" w:lineRule="exact"/>
        <w:ind w:firstLine="480" w:firstLineChars="200"/>
        <w:rPr>
          <w:rFonts w:hint="eastAsia" w:hAnsi="宋体" w:cs="宋体"/>
          <w:color w:val="auto"/>
          <w:sz w:val="24"/>
          <w:szCs w:val="24"/>
          <w:highlight w:val="none"/>
        </w:rPr>
      </w:pPr>
      <w:r>
        <w:rPr>
          <w:rFonts w:hint="eastAsia" w:hAnsi="宋体" w:cs="宋体"/>
          <w:color w:val="auto"/>
          <w:sz w:val="24"/>
          <w:szCs w:val="24"/>
          <w:highlight w:val="none"/>
        </w:rPr>
        <w:t>本单位自愿参加</w:t>
      </w:r>
      <w:r>
        <w:rPr>
          <w:rFonts w:hint="eastAsia" w:ascii="宋体" w:hAnsi="宋体" w:cs="宋体"/>
          <w:color w:val="auto"/>
          <w:sz w:val="24"/>
          <w:szCs w:val="24"/>
          <w:highlight w:val="none"/>
          <w:u w:val="single"/>
        </w:rPr>
        <w:t>衢州机场设备更新改造提升项目货检双视角X光检查仪、安检培训系统采购（第二次） （项目编号: ZZCG2024123-1）</w:t>
      </w:r>
      <w:r>
        <w:rPr>
          <w:rFonts w:hint="eastAsia" w:cs="宋体"/>
          <w:b/>
          <w:bCs/>
          <w:i w:val="0"/>
          <w:iCs w:val="0"/>
          <w:color w:val="auto"/>
          <w:spacing w:val="0"/>
          <w:w w:val="100"/>
          <w:position w:val="0"/>
          <w:sz w:val="24"/>
          <w:szCs w:val="24"/>
          <w:highlight w:val="none"/>
          <w:u w:val="single"/>
          <w:lang w:eastAsia="zh-CN"/>
        </w:rPr>
        <w:t>（标项一或标项二，标项名称：</w:t>
      </w:r>
      <w:r>
        <w:rPr>
          <w:rFonts w:hint="eastAsia" w:cs="宋体"/>
          <w:b/>
          <w:bCs/>
          <w:i w:val="0"/>
          <w:iCs w:val="0"/>
          <w:color w:val="auto"/>
          <w:spacing w:val="0"/>
          <w:w w:val="100"/>
          <w:position w:val="0"/>
          <w:sz w:val="24"/>
          <w:szCs w:val="24"/>
          <w:highlight w:val="none"/>
          <w:u w:val="single"/>
          <w:lang w:val="en-US" w:eastAsia="zh-CN"/>
        </w:rPr>
        <w:t xml:space="preserve">    </w:t>
      </w:r>
      <w:r>
        <w:rPr>
          <w:rFonts w:hint="eastAsia" w:cs="宋体"/>
          <w:b/>
          <w:bCs/>
          <w:i w:val="0"/>
          <w:iCs w:val="0"/>
          <w:color w:val="auto"/>
          <w:spacing w:val="0"/>
          <w:w w:val="100"/>
          <w:position w:val="0"/>
          <w:sz w:val="24"/>
          <w:szCs w:val="24"/>
          <w:highlight w:val="none"/>
          <w:u w:val="single"/>
          <w:lang w:eastAsia="zh-CN"/>
        </w:rPr>
        <w:t>）</w:t>
      </w:r>
      <w:r>
        <w:rPr>
          <w:rFonts w:hint="eastAsia" w:hAnsi="宋体" w:cs="宋体"/>
          <w:color w:val="auto"/>
          <w:sz w:val="24"/>
          <w:szCs w:val="24"/>
          <w:highlight w:val="none"/>
        </w:rPr>
        <w:t>的投标，并保证投标文件中所列举的投报价文件及相关资料和公司基本情况资料是真实的、合法的，我方：</w:t>
      </w:r>
    </w:p>
    <w:p>
      <w:pPr>
        <w:adjustRightInd w:val="0"/>
        <w:snapToGrid w:val="0"/>
        <w:spacing w:line="400" w:lineRule="exact"/>
        <w:ind w:firstLine="480"/>
        <w:rPr>
          <w:rFonts w:hint="eastAsia" w:ascii="宋体" w:hAnsi="宋体" w:cs="宋体"/>
          <w:color w:val="auto"/>
          <w:kern w:val="0"/>
          <w:sz w:val="24"/>
          <w:szCs w:val="24"/>
          <w:highlight w:val="none"/>
        </w:rPr>
      </w:pPr>
      <w:bookmarkStart w:id="109" w:name="_Toc522530053"/>
      <w:r>
        <w:rPr>
          <w:rFonts w:hint="eastAsia" w:ascii="宋体" w:hAnsi="宋体" w:cs="宋体"/>
          <w:color w:val="auto"/>
          <w:kern w:val="0"/>
          <w:sz w:val="24"/>
          <w:szCs w:val="24"/>
          <w:highlight w:val="none"/>
        </w:rPr>
        <w:t>1</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已详细阅读全部招标文件，包括招标文件补充文件（（如果有，包括相关的补充、更正、澄清公告和文件））、参考资料及有关附件，确认无误。我方完全理解并接受招标文件的各项规定和要求。</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2</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同意提供按照贵方可能要求的与投标有关的一切数据或资料等。若贵方需要，我方愿意提供我方作出的一切承诺的证明材料。</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3</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中标或者成交后，按采购文件规定与采购人签订合同。拒绝签订合同的，承诺按采购预算金额的2%对采购人进行赔偿；赔偿金额不足以弥补采购人损失的，承诺继续承担超过部分的损失。</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4</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同意在招标文件中投标人须知规定的开标日期起遵守本投标书中的承诺且在投标有效期满之前均具有约束力。</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5</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投标有效期内不撤销投标文件；强行撤销的，承诺按采购预算金额的2%赔偿对采购组织机构造成损失；</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6</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中标或者成交后，按采购文件规定的采购代理服务费标准，承诺在签订合同前向采购代理机构支付采购代理服务费。</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7</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完全理解贵方不一定要接受最低价的投标。</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8</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单位、法定代表人、本项目授权代表及本项目负责人在参加本项目前三年内（以法院判决书生效日期为准）均无行贿犯罪记录。</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9</w:t>
      </w:r>
      <w:r>
        <w:rPr>
          <w:rFonts w:hint="eastAsia" w:ascii="宋体" w:hAnsi="宋体" w:cs="宋体"/>
          <w:color w:val="auto"/>
          <w:kern w:val="0"/>
          <w:sz w:val="24"/>
          <w:szCs w:val="24"/>
          <w:highlight w:val="none"/>
          <w:lang w:val="en-US" w:eastAsia="zh-CN"/>
        </w:rPr>
        <w:t>.</w:t>
      </w:r>
      <w:r>
        <w:rPr>
          <w:rFonts w:hint="eastAsia" w:ascii="宋体" w:hAnsi="宋体" w:cs="宋体"/>
          <w:color w:val="auto"/>
          <w:kern w:val="0"/>
          <w:sz w:val="24"/>
          <w:szCs w:val="24"/>
          <w:highlight w:val="none"/>
        </w:rPr>
        <w:t>如有列情形之一的，我方愿意被取消中标资格（如中标），同时继续承担其他一切法律后果，并不再寻求任何旨在减轻或免除法律责任的解释：</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(1)提供虚假材料（承诺）谋取中标、成交的；</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(2)采取不正当手段诋毁、排挤其他投标人的；</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(3)与招标人、其它投标人或者招标代理机构恶意串通的；</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(4)向招标人、招标代理机构行贿或者提供其他不正当利益的；</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(5)在招标采购过程中与招标人进行协商谈判的；</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(6)拒绝有关部门监督检查或提供虚假情况的。</w:t>
      </w:r>
    </w:p>
    <w:p>
      <w:pPr>
        <w:adjustRightInd w:val="0"/>
        <w:snapToGrid w:val="0"/>
        <w:spacing w:line="400" w:lineRule="exact"/>
        <w:ind w:firstLine="480"/>
        <w:rPr>
          <w:rFonts w:hint="eastAsia" w:ascii="宋体" w:hAnsi="宋体" w:cs="宋体"/>
          <w:color w:val="auto"/>
          <w:kern w:val="0"/>
          <w:sz w:val="24"/>
          <w:szCs w:val="24"/>
          <w:highlight w:val="none"/>
        </w:rPr>
      </w:pP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法定（授权）代表人（签字或盖章）：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投标人盖章：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联系电话（手机及座机）：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传真：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电子邮件：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纳税人识别号：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开户银行：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银行账号：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联系地址：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邮政编码：                     </w:t>
      </w:r>
    </w:p>
    <w:p>
      <w:pPr>
        <w:adjustRightInd w:val="0"/>
        <w:snapToGrid w:val="0"/>
        <w:spacing w:line="400" w:lineRule="exact"/>
        <w:ind w:firstLine="480"/>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 xml:space="preserve">日    期： </w:t>
      </w:r>
      <w:r>
        <w:rPr>
          <w:rFonts w:hint="eastAsia" w:ascii="宋体" w:hAnsi="宋体" w:cs="宋体"/>
          <w:color w:val="auto"/>
          <w:kern w:val="0"/>
          <w:sz w:val="24"/>
          <w:szCs w:val="24"/>
          <w:highlight w:val="none"/>
          <w:lang w:val="en-US" w:eastAsia="zh-CN"/>
        </w:rPr>
        <w:t xml:space="preserve"> </w:t>
      </w:r>
      <w:r>
        <w:rPr>
          <w:rFonts w:hint="eastAsia" w:ascii="宋体" w:hAnsi="宋体" w:cs="宋体"/>
          <w:color w:val="auto"/>
          <w:kern w:val="0"/>
          <w:sz w:val="24"/>
          <w:szCs w:val="24"/>
          <w:highlight w:val="none"/>
        </w:rPr>
        <w:t xml:space="preserve">年 </w:t>
      </w:r>
      <w:r>
        <w:rPr>
          <w:rFonts w:hint="eastAsia" w:ascii="宋体" w:hAnsi="宋体" w:cs="宋体"/>
          <w:color w:val="auto"/>
          <w:kern w:val="0"/>
          <w:sz w:val="24"/>
          <w:szCs w:val="24"/>
          <w:highlight w:val="none"/>
        </w:rPr>
        <w:tab/>
      </w:r>
      <w:r>
        <w:rPr>
          <w:rFonts w:hint="eastAsia" w:ascii="宋体" w:hAnsi="宋体" w:cs="宋体"/>
          <w:color w:val="auto"/>
          <w:kern w:val="0"/>
          <w:sz w:val="24"/>
          <w:szCs w:val="24"/>
          <w:highlight w:val="none"/>
        </w:rPr>
        <w:t>月   日</w:t>
      </w:r>
    </w:p>
    <w:p>
      <w:pPr>
        <w:adjustRightInd w:val="0"/>
        <w:snapToGrid w:val="0"/>
        <w:spacing w:line="400" w:lineRule="exact"/>
        <w:ind w:firstLine="480"/>
        <w:rPr>
          <w:rFonts w:hint="eastAsia" w:ascii="宋体" w:hAnsi="宋体" w:cs="宋体"/>
          <w:color w:val="auto"/>
          <w:kern w:val="0"/>
          <w:sz w:val="24"/>
          <w:szCs w:val="24"/>
          <w:highlight w:val="none"/>
        </w:rPr>
      </w:pPr>
    </w:p>
    <w:p>
      <w:pPr>
        <w:adjustRightInd w:val="0"/>
        <w:snapToGrid w:val="0"/>
        <w:spacing w:line="400" w:lineRule="exact"/>
        <w:ind w:firstLine="480"/>
        <w:rPr>
          <w:rFonts w:hint="eastAsia" w:ascii="宋体" w:hAnsi="宋体" w:cs="宋体"/>
          <w:color w:val="auto"/>
          <w:kern w:val="0"/>
          <w:sz w:val="24"/>
          <w:szCs w:val="24"/>
          <w:highlight w:val="none"/>
        </w:rPr>
      </w:pPr>
    </w:p>
    <w:p>
      <w:pPr>
        <w:adjustRightInd w:val="0"/>
        <w:snapToGrid w:val="0"/>
        <w:spacing w:line="400" w:lineRule="exact"/>
        <w:rPr>
          <w:rFonts w:hint="eastAsia" w:ascii="宋体" w:hAnsi="宋体" w:cs="宋体"/>
          <w:color w:val="auto"/>
          <w:sz w:val="24"/>
          <w:szCs w:val="24"/>
          <w:highlight w:val="none"/>
        </w:rPr>
        <w:sectPr>
          <w:headerReference r:id="rId8" w:type="default"/>
          <w:footerReference r:id="rId9" w:type="default"/>
          <w:pgSz w:w="11906" w:h="16838"/>
          <w:pgMar w:top="1440" w:right="1440" w:bottom="1440" w:left="1440" w:header="851" w:footer="851" w:gutter="0"/>
          <w:cols w:space="720" w:num="1"/>
          <w:titlePg/>
          <w:docGrid w:linePitch="381" w:charSpace="0"/>
        </w:sectPr>
      </w:pPr>
      <w:r>
        <w:rPr>
          <w:rFonts w:hint="eastAsia" w:ascii="宋体" w:hAnsi="宋体" w:cs="宋体"/>
          <w:b/>
          <w:color w:val="auto"/>
          <w:kern w:val="0"/>
          <w:sz w:val="24"/>
          <w:szCs w:val="24"/>
          <w:highlight w:val="none"/>
          <w:lang w:val="zh-CN"/>
        </w:rPr>
        <w:t>注：未按照本投标声明函要求填报的将被视为非实质性响应，从而可能导致该投标文件被拒绝。</w:t>
      </w:r>
    </w:p>
    <w:p>
      <w:pPr>
        <w:pStyle w:val="48"/>
        <w:adjustRightInd w:val="0"/>
        <w:snapToGrid w:val="0"/>
        <w:spacing w:line="400" w:lineRule="exact"/>
        <w:outlineLvl w:val="1"/>
        <w:rPr>
          <w:rFonts w:hint="eastAsia" w:hAnsi="宋体" w:cs="宋体"/>
          <w:b/>
          <w:color w:val="auto"/>
          <w:sz w:val="28"/>
          <w:highlight w:val="none"/>
        </w:rPr>
      </w:pPr>
      <w:bookmarkStart w:id="110" w:name="_Toc15127"/>
      <w:r>
        <w:rPr>
          <w:rFonts w:hint="eastAsia" w:hAnsi="宋体" w:cs="宋体"/>
          <w:b/>
          <w:color w:val="auto"/>
          <w:kern w:val="0"/>
          <w:sz w:val="30"/>
          <w:highlight w:val="none"/>
          <w:lang w:val="zh-CN"/>
        </w:rPr>
        <w:t>格式三：</w:t>
      </w:r>
      <w:r>
        <w:rPr>
          <w:rFonts w:hint="eastAsia" w:hAnsi="宋体" w:cs="宋体"/>
          <w:b/>
          <w:color w:val="auto"/>
          <w:sz w:val="28"/>
          <w:highlight w:val="none"/>
        </w:rPr>
        <w:t>法定代表人身份证明或法定代表人身份证明及授权委托书</w:t>
      </w:r>
      <w:bookmarkEnd w:id="109"/>
      <w:bookmarkEnd w:id="110"/>
    </w:p>
    <w:p>
      <w:pPr>
        <w:pStyle w:val="48"/>
        <w:adjustRightInd w:val="0"/>
        <w:snapToGrid w:val="0"/>
        <w:spacing w:line="400" w:lineRule="exact"/>
        <w:jc w:val="center"/>
        <w:rPr>
          <w:rFonts w:hint="eastAsia" w:hAnsi="宋体" w:cs="宋体"/>
          <w:b/>
          <w:color w:val="auto"/>
          <w:sz w:val="28"/>
          <w:highlight w:val="none"/>
        </w:rPr>
      </w:pPr>
    </w:p>
    <w:p>
      <w:pPr>
        <w:pStyle w:val="48"/>
        <w:adjustRightInd w:val="0"/>
        <w:snapToGrid w:val="0"/>
        <w:spacing w:line="400" w:lineRule="exact"/>
        <w:jc w:val="center"/>
        <w:rPr>
          <w:rFonts w:hint="eastAsia" w:hAnsi="宋体" w:cs="宋体"/>
          <w:b/>
          <w:color w:val="auto"/>
          <w:kern w:val="0"/>
          <w:sz w:val="30"/>
          <w:highlight w:val="none"/>
          <w:lang w:val="zh-CN"/>
        </w:rPr>
      </w:pPr>
      <w:r>
        <w:rPr>
          <w:rFonts w:hint="eastAsia" w:hAnsi="宋体" w:cs="宋体"/>
          <w:b/>
          <w:color w:val="auto"/>
          <w:sz w:val="28"/>
          <w:highlight w:val="none"/>
        </w:rPr>
        <w:t>3-1法定代表人身份证明</w:t>
      </w:r>
    </w:p>
    <w:p>
      <w:pPr>
        <w:adjustRightInd w:val="0"/>
        <w:snapToGrid w:val="0"/>
        <w:spacing w:line="400" w:lineRule="exact"/>
        <w:rPr>
          <w:rFonts w:hint="eastAsia" w:ascii="宋体" w:hAnsi="宋体" w:cs="宋体"/>
          <w:color w:val="auto"/>
          <w:sz w:val="24"/>
          <w:highlight w:val="none"/>
        </w:rPr>
      </w:pPr>
    </w:p>
    <w:p>
      <w:pPr>
        <w:adjustRightInd w:val="0"/>
        <w:snapToGrid w:val="0"/>
        <w:spacing w:line="40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姓名：  性别：  年龄：  职务：</w:t>
      </w:r>
    </w:p>
    <w:p>
      <w:pPr>
        <w:adjustRightInd w:val="0"/>
        <w:snapToGrid w:val="0"/>
        <w:spacing w:line="400" w:lineRule="exact"/>
        <w:ind w:firstLine="480" w:firstLineChars="200"/>
        <w:rPr>
          <w:rFonts w:hint="eastAsia" w:ascii="宋体" w:hAnsi="宋体" w:cs="宋体"/>
          <w:color w:val="auto"/>
          <w:sz w:val="24"/>
          <w:highlight w:val="none"/>
          <w:u w:val="single"/>
        </w:rPr>
      </w:pPr>
      <w:r>
        <w:rPr>
          <w:rFonts w:hint="eastAsia" w:ascii="宋体" w:hAnsi="宋体" w:cs="宋体"/>
          <w:color w:val="auto"/>
          <w:sz w:val="24"/>
          <w:highlight w:val="none"/>
        </w:rPr>
        <w:t>身份证号码：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（投标人名称）的法定代表人。</w:t>
      </w:r>
    </w:p>
    <w:p>
      <w:pPr>
        <w:adjustRightInd w:val="0"/>
        <w:snapToGrid w:val="0"/>
        <w:spacing w:line="400" w:lineRule="exact"/>
        <w:ind w:firstLine="560"/>
        <w:rPr>
          <w:rFonts w:hint="eastAsia" w:ascii="宋体" w:hAnsi="宋体" w:cs="宋体"/>
          <w:color w:val="auto"/>
          <w:sz w:val="24"/>
          <w:highlight w:val="none"/>
        </w:rPr>
      </w:pP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特此证明。</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附：法定代表人身份证复印件</w:t>
      </w:r>
    </w:p>
    <w:p>
      <w:pPr>
        <w:adjustRightInd w:val="0"/>
        <w:snapToGrid w:val="0"/>
        <w:spacing w:line="400" w:lineRule="exact"/>
        <w:rPr>
          <w:rFonts w:hint="eastAsia" w:ascii="宋体" w:hAnsi="宋体" w:cs="宋体"/>
          <w:color w:val="auto"/>
          <w:sz w:val="24"/>
          <w:highlight w:val="none"/>
        </w:rPr>
      </w:pPr>
    </w:p>
    <w:p>
      <w:pPr>
        <w:adjustRightInd w:val="0"/>
        <w:snapToGrid w:val="0"/>
        <w:spacing w:line="400" w:lineRule="exact"/>
        <w:ind w:right="1200"/>
        <w:rPr>
          <w:rFonts w:hint="eastAsia" w:ascii="宋体" w:hAnsi="宋体" w:cs="宋体"/>
          <w:color w:val="auto"/>
          <w:sz w:val="24"/>
          <w:highlight w:val="none"/>
        </w:rPr>
      </w:pPr>
      <w:r>
        <w:rPr>
          <w:rFonts w:hint="eastAsia" w:ascii="宋体" w:hAnsi="宋体" w:cs="宋体"/>
          <w:color w:val="auto"/>
          <w:sz w:val="24"/>
          <w:highlight w:val="none"/>
        </w:rPr>
        <w:t xml:space="preserve">投标人：（全称加盖公章） </w:t>
      </w:r>
    </w:p>
    <w:p>
      <w:pPr>
        <w:adjustRightInd w:val="0"/>
        <w:snapToGrid w:val="0"/>
        <w:spacing w:line="400" w:lineRule="exact"/>
        <w:ind w:right="1200"/>
        <w:rPr>
          <w:rFonts w:hint="eastAsia" w:ascii="宋体" w:hAnsi="宋体" w:cs="宋体"/>
          <w:b/>
          <w:color w:val="auto"/>
          <w:sz w:val="24"/>
          <w:highlight w:val="none"/>
        </w:rPr>
      </w:pPr>
      <w:r>
        <w:rPr>
          <w:rFonts w:hint="eastAsia" w:ascii="宋体" w:hAnsi="宋体" w:cs="宋体"/>
          <w:color w:val="auto"/>
          <w:sz w:val="24"/>
          <w:highlight w:val="none"/>
        </w:rPr>
        <w:t>日期：   年    月    日</w:t>
      </w:r>
    </w:p>
    <w:tbl>
      <w:tblPr>
        <w:tblStyle w:val="97"/>
        <w:tblW w:w="924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2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6028" w:hRule="atLeast"/>
          <w:jc w:val="center"/>
        </w:trPr>
        <w:tc>
          <w:tcPr>
            <w:tcW w:w="9242" w:type="dxa"/>
            <w:vAlign w:val="center"/>
          </w:tcPr>
          <w:p>
            <w:pPr>
              <w:adjustRightInd w:val="0"/>
              <w:snapToGrid w:val="0"/>
              <w:spacing w:line="400" w:lineRule="exact"/>
              <w:jc w:val="center"/>
              <w:rPr>
                <w:rFonts w:hint="eastAsia" w:ascii="宋体" w:hAnsi="宋体" w:cs="宋体"/>
                <w:color w:val="auto"/>
                <w:highlight w:val="none"/>
              </w:rPr>
            </w:pPr>
            <w:r>
              <w:rPr>
                <w:rFonts w:hint="eastAsia" w:ascii="宋体" w:hAnsi="宋体" w:cs="宋体"/>
                <w:color w:val="auto"/>
                <w:highlight w:val="none"/>
              </w:rPr>
              <w:t>法定代表人身份证复印件粘贴处（正、反面）</w:t>
            </w:r>
          </w:p>
        </w:tc>
      </w:tr>
    </w:tbl>
    <w:p>
      <w:pPr>
        <w:spacing w:before="120" w:beforeLines="50" w:line="400" w:lineRule="exact"/>
        <w:jc w:val="center"/>
        <w:rPr>
          <w:rFonts w:hint="eastAsia" w:ascii="宋体" w:hAnsi="宋体" w:cs="宋体"/>
          <w:b/>
          <w:color w:val="auto"/>
          <w:highlight w:val="none"/>
        </w:rPr>
      </w:pPr>
    </w:p>
    <w:p>
      <w:pPr>
        <w:spacing w:before="120" w:beforeLines="50" w:line="400" w:lineRule="exact"/>
        <w:jc w:val="center"/>
        <w:rPr>
          <w:rFonts w:hint="eastAsia" w:ascii="宋体" w:hAnsi="宋体" w:cs="宋体"/>
          <w:b/>
          <w:color w:val="auto"/>
          <w:highlight w:val="none"/>
        </w:rPr>
      </w:pPr>
    </w:p>
    <w:p>
      <w:pPr>
        <w:spacing w:before="120" w:beforeLines="50" w:line="400" w:lineRule="exact"/>
        <w:jc w:val="center"/>
        <w:rPr>
          <w:rFonts w:hint="eastAsia" w:ascii="宋体" w:hAnsi="宋体" w:cs="宋体"/>
          <w:b/>
          <w:color w:val="auto"/>
          <w:highlight w:val="none"/>
        </w:rPr>
      </w:pPr>
    </w:p>
    <w:p>
      <w:pPr>
        <w:pStyle w:val="48"/>
        <w:spacing w:line="400" w:lineRule="exact"/>
        <w:rPr>
          <w:rFonts w:hint="eastAsia" w:hAnsi="宋体" w:cs="宋体"/>
          <w:b/>
          <w:color w:val="auto"/>
          <w:highlight w:val="none"/>
        </w:rPr>
      </w:pPr>
    </w:p>
    <w:p>
      <w:pPr>
        <w:spacing w:line="400" w:lineRule="exact"/>
        <w:rPr>
          <w:rFonts w:hint="eastAsia" w:ascii="宋体" w:hAnsi="宋体" w:cs="宋体"/>
          <w:b/>
          <w:color w:val="auto"/>
          <w:highlight w:val="none"/>
        </w:rPr>
      </w:pPr>
    </w:p>
    <w:p>
      <w:pPr>
        <w:pStyle w:val="48"/>
        <w:spacing w:line="400" w:lineRule="exact"/>
        <w:rPr>
          <w:color w:val="auto"/>
          <w:highlight w:val="none"/>
        </w:rPr>
      </w:pPr>
    </w:p>
    <w:p>
      <w:pPr>
        <w:spacing w:before="120" w:beforeLines="50" w:line="400" w:lineRule="exact"/>
        <w:jc w:val="center"/>
        <w:rPr>
          <w:rFonts w:hint="eastAsia" w:ascii="宋体" w:hAnsi="宋体" w:cs="宋体"/>
          <w:b/>
          <w:color w:val="auto"/>
          <w:highlight w:val="none"/>
        </w:rPr>
      </w:pPr>
      <w:r>
        <w:rPr>
          <w:rFonts w:hint="eastAsia" w:ascii="宋体" w:hAnsi="宋体" w:cs="宋体"/>
          <w:b/>
          <w:color w:val="auto"/>
          <w:highlight w:val="none"/>
        </w:rPr>
        <w:t>3-2法定代表人授权委托书</w:t>
      </w:r>
    </w:p>
    <w:p>
      <w:pPr>
        <w:adjustRightInd w:val="0"/>
        <w:snapToGrid w:val="0"/>
        <w:spacing w:line="400" w:lineRule="exact"/>
        <w:rPr>
          <w:rFonts w:hint="eastAsia" w:ascii="宋体" w:hAnsi="宋体" w:cs="宋体"/>
          <w:color w:val="auto"/>
          <w:sz w:val="24"/>
          <w:highlight w:val="none"/>
        </w:rPr>
      </w:pP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lang w:eastAsia="zh-CN"/>
        </w:rPr>
        <w:t>衢州市民用航空管理局（衢州民航站）</w:t>
      </w:r>
      <w:r>
        <w:rPr>
          <w:rFonts w:hint="eastAsia" w:ascii="宋体" w:hAnsi="宋体" w:cs="宋体"/>
          <w:color w:val="auto"/>
          <w:sz w:val="24"/>
          <w:highlight w:val="none"/>
        </w:rPr>
        <w:t xml:space="preserve">、 </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kern w:val="0"/>
          <w:sz w:val="24"/>
          <w:highlight w:val="none"/>
          <w:lang w:val="zh-CN"/>
        </w:rPr>
        <w:t>浙江中正工程项目管理有限公司：</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本人</w:t>
      </w:r>
      <w:r>
        <w:rPr>
          <w:rFonts w:hint="eastAsia" w:ascii="宋体" w:hAnsi="宋体" w:cs="宋体"/>
          <w:color w:val="auto"/>
          <w:sz w:val="24"/>
          <w:highlight w:val="none"/>
          <w:u w:val="single"/>
        </w:rPr>
        <w:t xml:space="preserve">      （姓名）</w:t>
      </w:r>
      <w:r>
        <w:rPr>
          <w:rFonts w:hint="eastAsia" w:ascii="宋体" w:hAnsi="宋体" w:cs="宋体"/>
          <w:color w:val="auto"/>
          <w:sz w:val="24"/>
          <w:highlight w:val="none"/>
        </w:rPr>
        <w:t>系</w:t>
      </w:r>
      <w:r>
        <w:rPr>
          <w:rFonts w:hint="eastAsia" w:ascii="宋体" w:hAnsi="宋体" w:cs="宋体"/>
          <w:color w:val="auto"/>
          <w:sz w:val="24"/>
          <w:highlight w:val="none"/>
          <w:u w:val="single"/>
        </w:rPr>
        <w:t xml:space="preserve">  （投标人名称）</w:t>
      </w:r>
      <w:r>
        <w:rPr>
          <w:rFonts w:hint="eastAsia" w:ascii="宋体" w:hAnsi="宋体" w:cs="宋体"/>
          <w:color w:val="auto"/>
          <w:sz w:val="24"/>
          <w:highlight w:val="none"/>
        </w:rPr>
        <w:t>的法定代表人，现委托</w:t>
      </w:r>
      <w:r>
        <w:rPr>
          <w:rFonts w:hint="eastAsia" w:ascii="宋体" w:hAnsi="宋体" w:cs="宋体"/>
          <w:color w:val="auto"/>
          <w:sz w:val="24"/>
          <w:highlight w:val="none"/>
          <w:u w:val="single"/>
        </w:rPr>
        <w:t xml:space="preserve">      （姓名）  （职务）</w:t>
      </w:r>
      <w:r>
        <w:rPr>
          <w:rFonts w:hint="eastAsia" w:ascii="宋体" w:hAnsi="宋体" w:cs="宋体"/>
          <w:color w:val="auto"/>
          <w:sz w:val="24"/>
          <w:highlight w:val="none"/>
        </w:rPr>
        <w:t>为我方授权代表，以我方名义签署、澄清、说明、补正、递交、撤回、修改</w:t>
      </w:r>
      <w:r>
        <w:rPr>
          <w:rFonts w:hint="eastAsia" w:ascii="宋体" w:hAnsi="宋体" w:cs="宋体"/>
          <w:color w:val="auto"/>
          <w:sz w:val="24"/>
          <w:szCs w:val="24"/>
          <w:highlight w:val="none"/>
          <w:u w:val="single"/>
        </w:rPr>
        <w:t>衢州机场设备更新改造提升项目货检双视角X光检查仪、安检培训系统采购（第二次） （项目编号: ZZCG2024123-1）</w:t>
      </w:r>
      <w:r>
        <w:rPr>
          <w:rFonts w:hint="eastAsia" w:cs="宋体"/>
          <w:b/>
          <w:bCs/>
          <w:i w:val="0"/>
          <w:iCs w:val="0"/>
          <w:color w:val="auto"/>
          <w:spacing w:val="0"/>
          <w:w w:val="100"/>
          <w:position w:val="0"/>
          <w:sz w:val="24"/>
          <w:szCs w:val="24"/>
          <w:highlight w:val="none"/>
          <w:u w:val="single"/>
          <w:lang w:eastAsia="zh-CN"/>
        </w:rPr>
        <w:t>（标项一或标项二，标项名称：</w:t>
      </w:r>
      <w:r>
        <w:rPr>
          <w:rFonts w:hint="eastAsia" w:cs="宋体"/>
          <w:b/>
          <w:bCs/>
          <w:i w:val="0"/>
          <w:iCs w:val="0"/>
          <w:color w:val="auto"/>
          <w:spacing w:val="0"/>
          <w:w w:val="100"/>
          <w:position w:val="0"/>
          <w:sz w:val="24"/>
          <w:szCs w:val="24"/>
          <w:highlight w:val="none"/>
          <w:u w:val="single"/>
          <w:lang w:val="en-US" w:eastAsia="zh-CN"/>
        </w:rPr>
        <w:t xml:space="preserve">      </w:t>
      </w:r>
      <w:r>
        <w:rPr>
          <w:rFonts w:hint="eastAsia" w:cs="宋体"/>
          <w:b/>
          <w:bCs/>
          <w:i w:val="0"/>
          <w:iCs w:val="0"/>
          <w:color w:val="auto"/>
          <w:spacing w:val="0"/>
          <w:w w:val="100"/>
          <w:position w:val="0"/>
          <w:sz w:val="24"/>
          <w:szCs w:val="24"/>
          <w:highlight w:val="none"/>
          <w:u w:val="single"/>
          <w:lang w:eastAsia="zh-CN"/>
        </w:rPr>
        <w:t>）</w:t>
      </w:r>
      <w:r>
        <w:rPr>
          <w:rFonts w:hint="eastAsia" w:ascii="宋体" w:hAnsi="宋体" w:cs="宋体"/>
          <w:color w:val="auto"/>
          <w:sz w:val="24"/>
          <w:highlight w:val="none"/>
        </w:rPr>
        <w:t>投标文件、签订合同和处理有关事宜，其法律后果由我方承担。</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在撤销授权的书面通知以前，本授权书一直有效。被授权人在授权书有效期内签署的所有文件不因授权的撤销而失效。</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该授权代表无转委托权，特此委托</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附：</w:t>
      </w:r>
    </w:p>
    <w:p>
      <w:pPr>
        <w:adjustRightInd w:val="0"/>
        <w:snapToGrid w:val="0"/>
        <w:spacing w:line="400" w:lineRule="exact"/>
        <w:ind w:firstLine="480" w:firstLineChars="200"/>
        <w:rPr>
          <w:rFonts w:hint="eastAsia"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委托代理人身份证复印件</w:t>
      </w:r>
    </w:p>
    <w:p>
      <w:pPr>
        <w:adjustRightInd w:val="0"/>
        <w:snapToGrid w:val="0"/>
        <w:spacing w:line="400" w:lineRule="exact"/>
        <w:ind w:firstLine="482" w:firstLineChars="200"/>
        <w:rPr>
          <w:rFonts w:hint="eastAsia" w:ascii="宋体" w:hAnsi="宋体" w:cs="宋体"/>
          <w:b/>
          <w:bCs/>
          <w:color w:val="auto"/>
          <w:sz w:val="24"/>
          <w:highlight w:val="none"/>
        </w:rPr>
      </w:pPr>
      <w:r>
        <w:rPr>
          <w:rFonts w:hint="eastAsia" w:ascii="宋体" w:hAnsi="宋体" w:cs="宋体"/>
          <w:b/>
          <w:bCs/>
          <w:color w:val="auto"/>
          <w:sz w:val="24"/>
          <w:highlight w:val="none"/>
        </w:rPr>
        <w:t>2</w:t>
      </w:r>
      <w:r>
        <w:rPr>
          <w:rFonts w:hint="eastAsia" w:ascii="宋体" w:hAnsi="宋体" w:cs="宋体"/>
          <w:b/>
          <w:bCs/>
          <w:color w:val="auto"/>
          <w:sz w:val="24"/>
          <w:highlight w:val="none"/>
          <w:lang w:val="en-US" w:eastAsia="zh-CN"/>
        </w:rPr>
        <w:t>.</w:t>
      </w:r>
      <w:r>
        <w:rPr>
          <w:rFonts w:hint="eastAsia" w:ascii="宋体" w:hAnsi="宋体" w:cs="宋体"/>
          <w:b/>
          <w:bCs/>
          <w:color w:val="auto"/>
          <w:sz w:val="24"/>
          <w:highlight w:val="none"/>
        </w:rPr>
        <w:t>授权代表为投标人在职员工的证明文件（投标人为其缴纳的社保记录或劳务合同等）。</w:t>
      </w:r>
    </w:p>
    <w:p>
      <w:pPr>
        <w:adjustRightInd w:val="0"/>
        <w:snapToGrid w:val="0"/>
        <w:spacing w:line="400" w:lineRule="exact"/>
        <w:rPr>
          <w:rFonts w:hint="eastAsia" w:ascii="宋体" w:hAnsi="宋体" w:cs="宋体"/>
          <w:color w:val="auto"/>
          <w:sz w:val="24"/>
          <w:highlight w:val="none"/>
        </w:rPr>
      </w:pP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投标人：（全称加盖公章）</w:t>
      </w:r>
    </w:p>
    <w:p>
      <w:pPr>
        <w:adjustRightInd w:val="0"/>
        <w:snapToGrid w:val="0"/>
        <w:spacing w:line="400" w:lineRule="exact"/>
        <w:rPr>
          <w:rFonts w:hint="eastAsia" w:ascii="宋体" w:hAnsi="宋体" w:cs="宋体"/>
          <w:color w:val="auto"/>
          <w:sz w:val="24"/>
          <w:highlight w:val="none"/>
        </w:rPr>
      </w:pPr>
      <w:r>
        <w:rPr>
          <w:rFonts w:hint="eastAsia" w:ascii="宋体" w:hAnsi="宋体" w:cs="宋体"/>
          <w:color w:val="auto"/>
          <w:sz w:val="24"/>
          <w:highlight w:val="none"/>
        </w:rPr>
        <w:t>法定代表：（签字或盖章）                        授权代表：（签字或盖章）</w:t>
      </w:r>
    </w:p>
    <w:p>
      <w:pPr>
        <w:adjustRightInd w:val="0"/>
        <w:snapToGrid w:val="0"/>
        <w:spacing w:line="400" w:lineRule="exact"/>
        <w:ind w:firstLine="5160" w:firstLineChars="2150"/>
        <w:rPr>
          <w:rFonts w:hint="eastAsia" w:ascii="宋体" w:hAnsi="宋体" w:cs="宋体"/>
          <w:color w:val="auto"/>
          <w:sz w:val="24"/>
          <w:highlight w:val="none"/>
        </w:rPr>
      </w:pPr>
      <w:r>
        <w:rPr>
          <w:rFonts w:hint="eastAsia" w:ascii="宋体" w:hAnsi="宋体" w:cs="宋体"/>
          <w:color w:val="auto"/>
          <w:sz w:val="24"/>
          <w:highlight w:val="none"/>
        </w:rPr>
        <w:t>日期：年月日</w:t>
      </w:r>
    </w:p>
    <w:tbl>
      <w:tblPr>
        <w:tblStyle w:val="97"/>
        <w:tblW w:w="9425"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2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59" w:hRule="atLeast"/>
          <w:jc w:val="center"/>
        </w:trPr>
        <w:tc>
          <w:tcPr>
            <w:tcW w:w="9425" w:type="dxa"/>
            <w:vAlign w:val="center"/>
          </w:tcPr>
          <w:p>
            <w:pPr>
              <w:adjustRightInd w:val="0"/>
              <w:snapToGrid w:val="0"/>
              <w:spacing w:line="400" w:lineRule="exact"/>
              <w:jc w:val="center"/>
              <w:rPr>
                <w:rFonts w:hint="eastAsia" w:ascii="宋体" w:hAnsi="宋体" w:cs="宋体"/>
                <w:color w:val="auto"/>
                <w:highlight w:val="none"/>
              </w:rPr>
            </w:pPr>
            <w:r>
              <w:rPr>
                <w:rFonts w:hint="eastAsia" w:ascii="宋体" w:hAnsi="宋体" w:cs="宋体"/>
                <w:color w:val="auto"/>
                <w:highlight w:val="none"/>
              </w:rPr>
              <w:t>授权代表身份证复印件粘贴处（正、反面）</w:t>
            </w:r>
          </w:p>
        </w:tc>
      </w:tr>
    </w:tbl>
    <w:p>
      <w:pPr>
        <w:adjustRightInd w:val="0"/>
        <w:snapToGrid w:val="0"/>
        <w:spacing w:line="400" w:lineRule="exact"/>
        <w:rPr>
          <w:rFonts w:hint="eastAsia" w:ascii="宋体" w:hAnsi="宋体" w:cs="宋体"/>
          <w:b/>
          <w:color w:val="auto"/>
          <w:sz w:val="24"/>
          <w:highlight w:val="none"/>
        </w:rPr>
      </w:pPr>
      <w:r>
        <w:rPr>
          <w:rFonts w:hint="eastAsia" w:ascii="宋体" w:hAnsi="宋体" w:cs="宋体"/>
          <w:b/>
          <w:color w:val="auto"/>
          <w:sz w:val="24"/>
          <w:highlight w:val="none"/>
        </w:rPr>
        <w:t>注：如投标文件由授权代表签字或盖章的，投标文件必须附此授权委托书，否则视为无效投标文件。</w:t>
      </w:r>
    </w:p>
    <w:bookmarkEnd w:id="89"/>
    <w:p>
      <w:pPr>
        <w:pStyle w:val="48"/>
        <w:adjustRightInd w:val="0"/>
        <w:snapToGrid w:val="0"/>
        <w:spacing w:line="400" w:lineRule="exact"/>
        <w:jc w:val="center"/>
        <w:outlineLvl w:val="1"/>
        <w:rPr>
          <w:rFonts w:hint="eastAsia" w:hAnsi="宋体" w:cs="宋体"/>
          <w:b/>
          <w:color w:val="auto"/>
          <w:kern w:val="0"/>
          <w:sz w:val="30"/>
          <w:highlight w:val="none"/>
          <w:lang w:val="zh-CN"/>
        </w:rPr>
      </w:pPr>
      <w:bookmarkStart w:id="111" w:name="_Toc522530054"/>
      <w:bookmarkStart w:id="112" w:name="_Toc391277571"/>
      <w:bookmarkStart w:id="113" w:name="_Toc354859475"/>
      <w:bookmarkStart w:id="114" w:name="_Toc354859551"/>
      <w:bookmarkStart w:id="115" w:name="_Toc354859632"/>
      <w:bookmarkStart w:id="116" w:name="_Toc233618991"/>
    </w:p>
    <w:p>
      <w:pPr>
        <w:pStyle w:val="48"/>
        <w:adjustRightInd w:val="0"/>
        <w:snapToGrid w:val="0"/>
        <w:spacing w:line="400" w:lineRule="exact"/>
        <w:jc w:val="center"/>
        <w:outlineLvl w:val="1"/>
        <w:rPr>
          <w:rFonts w:hint="eastAsia" w:hAnsi="宋体" w:cs="宋体"/>
          <w:b/>
          <w:color w:val="auto"/>
          <w:kern w:val="0"/>
          <w:sz w:val="30"/>
          <w:highlight w:val="none"/>
          <w:lang w:val="zh-CN"/>
        </w:rPr>
      </w:pPr>
    </w:p>
    <w:p>
      <w:pPr>
        <w:pStyle w:val="48"/>
        <w:adjustRightInd w:val="0"/>
        <w:snapToGrid w:val="0"/>
        <w:spacing w:line="400" w:lineRule="exact"/>
        <w:outlineLvl w:val="1"/>
        <w:rPr>
          <w:rFonts w:hint="eastAsia" w:hAnsi="宋体" w:cs="宋体"/>
          <w:b/>
          <w:color w:val="auto"/>
          <w:kern w:val="0"/>
          <w:sz w:val="30"/>
          <w:highlight w:val="none"/>
          <w:lang w:val="zh-CN"/>
        </w:rPr>
      </w:pPr>
    </w:p>
    <w:p>
      <w:pPr>
        <w:spacing w:line="400" w:lineRule="exact"/>
        <w:rPr>
          <w:rFonts w:hint="eastAsia" w:ascii="宋体" w:hAnsi="宋体" w:cs="宋体"/>
          <w:color w:val="auto"/>
          <w:highlight w:val="none"/>
          <w:lang w:val="zh-CN"/>
        </w:rPr>
      </w:pPr>
    </w:p>
    <w:p>
      <w:pPr>
        <w:pStyle w:val="3"/>
        <w:ind w:firstLine="210"/>
        <w:rPr>
          <w:rFonts w:hint="eastAsia"/>
          <w:color w:val="auto"/>
          <w:highlight w:val="none"/>
          <w:lang w:val="zh-CN"/>
        </w:rPr>
      </w:pPr>
    </w:p>
    <w:p>
      <w:pPr>
        <w:pStyle w:val="4"/>
        <w:rPr>
          <w:color w:val="auto"/>
          <w:highlight w:val="none"/>
          <w:lang w:val="zh-CN"/>
        </w:rPr>
      </w:pPr>
    </w:p>
    <w:p>
      <w:pPr>
        <w:pStyle w:val="48"/>
        <w:adjustRightInd w:val="0"/>
        <w:snapToGrid w:val="0"/>
        <w:spacing w:line="400" w:lineRule="exact"/>
        <w:jc w:val="center"/>
        <w:outlineLvl w:val="1"/>
        <w:rPr>
          <w:rFonts w:hint="eastAsia" w:hAnsi="宋体" w:cs="宋体"/>
          <w:b/>
          <w:color w:val="auto"/>
          <w:kern w:val="0"/>
          <w:sz w:val="30"/>
          <w:highlight w:val="none"/>
          <w:lang w:val="zh-CN"/>
        </w:rPr>
      </w:pPr>
      <w:bookmarkStart w:id="117" w:name="_Toc10253"/>
      <w:r>
        <w:rPr>
          <w:rFonts w:hint="eastAsia" w:hAnsi="宋体" w:cs="宋体"/>
          <w:b/>
          <w:color w:val="auto"/>
          <w:kern w:val="0"/>
          <w:sz w:val="30"/>
          <w:highlight w:val="none"/>
          <w:lang w:val="zh-CN"/>
        </w:rPr>
        <w:t>格式四：以往业绩情况表</w:t>
      </w:r>
      <w:bookmarkEnd w:id="111"/>
      <w:bookmarkEnd w:id="117"/>
    </w:p>
    <w:p>
      <w:pPr>
        <w:adjustRightInd w:val="0"/>
        <w:snapToGrid w:val="0"/>
        <w:spacing w:line="400" w:lineRule="exact"/>
        <w:jc w:val="center"/>
        <w:rPr>
          <w:rFonts w:hint="eastAsia" w:ascii="宋体" w:hAnsi="宋体" w:cs="宋体"/>
          <w:b/>
          <w:color w:val="auto"/>
          <w:sz w:val="24"/>
          <w:highlight w:val="none"/>
        </w:rPr>
      </w:pPr>
      <w:bookmarkStart w:id="118" w:name="_Toc25910"/>
      <w:bookmarkStart w:id="119" w:name="_Toc522530055"/>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年以来企业业绩情况汇总表</w:t>
      </w:r>
    </w:p>
    <w:tbl>
      <w:tblPr>
        <w:tblStyle w:val="97"/>
        <w:tblW w:w="9147" w:type="dxa"/>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499"/>
        <w:gridCol w:w="2690"/>
        <w:gridCol w:w="1914"/>
        <w:gridCol w:w="1000"/>
        <w:gridCol w:w="1414"/>
        <w:gridCol w:w="815"/>
        <w:gridCol w:w="815"/>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18"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序号</w:t>
            </w:r>
          </w:p>
        </w:tc>
        <w:tc>
          <w:tcPr>
            <w:tcW w:w="2690" w:type="dxa"/>
            <w:tcBorders>
              <w:top w:val="single" w:color="auto" w:sz="18" w:space="0"/>
              <w:left w:val="single" w:color="auto" w:sz="4"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项目名称</w:t>
            </w:r>
          </w:p>
        </w:tc>
        <w:tc>
          <w:tcPr>
            <w:tcW w:w="1914" w:type="dxa"/>
            <w:tcBorders>
              <w:top w:val="single" w:color="auto" w:sz="18" w:space="0"/>
              <w:left w:val="single" w:color="auto" w:sz="4"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sz w:val="24"/>
                <w:szCs w:val="24"/>
                <w:highlight w:val="none"/>
              </w:rPr>
              <w:t>合同内容</w:t>
            </w:r>
          </w:p>
        </w:tc>
        <w:tc>
          <w:tcPr>
            <w:tcW w:w="1000" w:type="dxa"/>
            <w:tcBorders>
              <w:top w:val="single" w:color="auto" w:sz="18" w:space="0"/>
              <w:left w:val="single" w:color="auto" w:sz="4"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合同价</w:t>
            </w:r>
          </w:p>
        </w:tc>
        <w:tc>
          <w:tcPr>
            <w:tcW w:w="1414" w:type="dxa"/>
            <w:tcBorders>
              <w:top w:val="single" w:color="auto" w:sz="18" w:space="0"/>
              <w:left w:val="single" w:color="auto" w:sz="4"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合同签订日期</w:t>
            </w:r>
          </w:p>
        </w:tc>
        <w:tc>
          <w:tcPr>
            <w:tcW w:w="815" w:type="dxa"/>
            <w:tcBorders>
              <w:top w:val="single" w:color="auto" w:sz="18" w:space="0"/>
              <w:left w:val="single" w:color="auto" w:sz="4" w:space="0"/>
              <w:bottom w:val="single" w:color="auto" w:sz="4" w:space="0"/>
              <w:right w:val="single" w:color="auto" w:sz="18" w:space="0"/>
            </w:tcBorders>
            <w:vAlign w:val="center"/>
          </w:tcPr>
          <w:p>
            <w:pPr>
              <w:autoSpaceDE w:val="0"/>
              <w:autoSpaceDN w:val="0"/>
              <w:adjustRightInd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所在页码</w:t>
            </w:r>
          </w:p>
        </w:tc>
        <w:tc>
          <w:tcPr>
            <w:tcW w:w="815" w:type="dxa"/>
            <w:tcBorders>
              <w:top w:val="single" w:color="auto" w:sz="18" w:space="0"/>
              <w:left w:val="single" w:color="auto" w:sz="4" w:space="0"/>
              <w:bottom w:val="single" w:color="auto" w:sz="4" w:space="0"/>
              <w:right w:val="single" w:color="auto" w:sz="18" w:space="0"/>
            </w:tcBorders>
            <w:vAlign w:val="center"/>
          </w:tcPr>
          <w:p>
            <w:pPr>
              <w:autoSpaceDE w:val="0"/>
              <w:autoSpaceDN w:val="0"/>
              <w:adjustRightInd w:val="0"/>
              <w:spacing w:line="400" w:lineRule="exact"/>
              <w:jc w:val="center"/>
              <w:rPr>
                <w:rFonts w:hint="eastAsia" w:ascii="宋体" w:hAnsi="宋体" w:cs="宋体"/>
                <w:b/>
                <w:color w:val="auto"/>
                <w:kern w:val="0"/>
                <w:sz w:val="24"/>
                <w:szCs w:val="24"/>
                <w:highlight w:val="none"/>
              </w:rPr>
            </w:pPr>
            <w:r>
              <w:rPr>
                <w:rFonts w:hint="eastAsia" w:ascii="宋体" w:hAnsi="宋体" w:cs="宋体"/>
                <w:b/>
                <w:color w:val="auto"/>
                <w:kern w:val="0"/>
                <w:sz w:val="24"/>
                <w:szCs w:val="24"/>
                <w:highlight w:val="none"/>
              </w:rPr>
              <w:t>备注</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1</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2</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3</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4"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w:t>
            </w:r>
          </w:p>
        </w:tc>
        <w:tc>
          <w:tcPr>
            <w:tcW w:w="269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4"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737" w:hRule="atLeast"/>
        </w:trPr>
        <w:tc>
          <w:tcPr>
            <w:tcW w:w="499" w:type="dxa"/>
            <w:tcBorders>
              <w:top w:val="single" w:color="auto" w:sz="4" w:space="0"/>
              <w:left w:val="single" w:color="auto" w:sz="18" w:space="0"/>
              <w:bottom w:val="single" w:color="auto" w:sz="18" w:space="0"/>
              <w:right w:val="single" w:color="auto" w:sz="4" w:space="0"/>
            </w:tcBorders>
            <w:vAlign w:val="center"/>
          </w:tcPr>
          <w:p>
            <w:pPr>
              <w:autoSpaceDE w:val="0"/>
              <w:autoSpaceDN w:val="0"/>
              <w:adjustRightInd w:val="0"/>
              <w:spacing w:line="400" w:lineRule="exact"/>
              <w:jc w:val="center"/>
              <w:rPr>
                <w:rFonts w:hint="eastAsia" w:ascii="宋体" w:hAnsi="宋体" w:cs="宋体"/>
                <w:color w:val="auto"/>
                <w:kern w:val="0"/>
                <w:sz w:val="24"/>
                <w:szCs w:val="24"/>
                <w:highlight w:val="none"/>
              </w:rPr>
            </w:pPr>
            <w:r>
              <w:rPr>
                <w:rFonts w:hint="eastAsia" w:ascii="宋体" w:hAnsi="宋体" w:cs="宋体"/>
                <w:color w:val="auto"/>
                <w:kern w:val="0"/>
                <w:sz w:val="24"/>
                <w:szCs w:val="24"/>
                <w:highlight w:val="none"/>
              </w:rPr>
              <w:t>…</w:t>
            </w:r>
          </w:p>
        </w:tc>
        <w:tc>
          <w:tcPr>
            <w:tcW w:w="2690" w:type="dxa"/>
            <w:tcBorders>
              <w:top w:val="single" w:color="auto" w:sz="4" w:space="0"/>
              <w:left w:val="single" w:color="auto" w:sz="4" w:space="0"/>
              <w:bottom w:val="single" w:color="auto" w:sz="18"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914" w:type="dxa"/>
            <w:tcBorders>
              <w:top w:val="single" w:color="auto" w:sz="4" w:space="0"/>
              <w:left w:val="single" w:color="auto" w:sz="4" w:space="0"/>
              <w:bottom w:val="single" w:color="auto" w:sz="18"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000" w:type="dxa"/>
            <w:tcBorders>
              <w:top w:val="single" w:color="auto" w:sz="4" w:space="0"/>
              <w:left w:val="single" w:color="auto" w:sz="4" w:space="0"/>
              <w:bottom w:val="single" w:color="auto" w:sz="18"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1414" w:type="dxa"/>
            <w:tcBorders>
              <w:top w:val="single" w:color="auto" w:sz="4" w:space="0"/>
              <w:left w:val="single" w:color="auto" w:sz="4" w:space="0"/>
              <w:bottom w:val="single" w:color="auto" w:sz="18" w:space="0"/>
              <w:right w:val="single" w:color="auto" w:sz="4"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18"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c>
          <w:tcPr>
            <w:tcW w:w="815" w:type="dxa"/>
            <w:tcBorders>
              <w:top w:val="single" w:color="auto" w:sz="4" w:space="0"/>
              <w:left w:val="single" w:color="auto" w:sz="4" w:space="0"/>
              <w:bottom w:val="single" w:color="auto" w:sz="18" w:space="0"/>
              <w:right w:val="single" w:color="auto" w:sz="18" w:space="0"/>
            </w:tcBorders>
            <w:vAlign w:val="center"/>
          </w:tcPr>
          <w:p>
            <w:pPr>
              <w:autoSpaceDE w:val="0"/>
              <w:autoSpaceDN w:val="0"/>
              <w:adjustRightInd w:val="0"/>
              <w:spacing w:line="400" w:lineRule="exact"/>
              <w:rPr>
                <w:rFonts w:hint="eastAsia" w:ascii="宋体" w:hAnsi="宋体" w:cs="宋体"/>
                <w:color w:val="auto"/>
                <w:kern w:val="0"/>
                <w:sz w:val="24"/>
                <w:szCs w:val="24"/>
                <w:highlight w:val="none"/>
              </w:rPr>
            </w:pPr>
          </w:p>
        </w:tc>
      </w:tr>
    </w:tbl>
    <w:p>
      <w:pPr>
        <w:adjustRightInd w:val="0"/>
        <w:snapToGrid w:val="0"/>
        <w:spacing w:line="400" w:lineRule="exact"/>
        <w:ind w:firstLine="482" w:firstLineChars="200"/>
        <w:rPr>
          <w:rFonts w:hint="eastAsia" w:ascii="宋体" w:hAnsi="宋体" w:cs="宋体"/>
          <w:color w:val="auto"/>
          <w:sz w:val="24"/>
          <w:highlight w:val="none"/>
        </w:rPr>
      </w:pPr>
      <w:r>
        <w:rPr>
          <w:rFonts w:hint="eastAsia" w:ascii="宋体" w:hAnsi="宋体" w:cs="宋体"/>
          <w:b/>
          <w:color w:val="auto"/>
          <w:kern w:val="0"/>
          <w:sz w:val="24"/>
          <w:szCs w:val="24"/>
          <w:highlight w:val="none"/>
        </w:rPr>
        <w:t>注：本表后附评分办法中要求的证明材料。</w:t>
      </w:r>
    </w:p>
    <w:p>
      <w:pPr>
        <w:adjustRightInd w:val="0"/>
        <w:snapToGrid w:val="0"/>
        <w:spacing w:line="400" w:lineRule="exact"/>
        <w:rPr>
          <w:rFonts w:hint="eastAsia" w:ascii="宋体" w:hAnsi="宋体" w:cs="宋体"/>
          <w:color w:val="auto"/>
          <w:kern w:val="0"/>
          <w:sz w:val="24"/>
          <w:highlight w:val="none"/>
          <w:lang w:val="zh-CN"/>
        </w:rPr>
      </w:pPr>
    </w:p>
    <w:p>
      <w:pPr>
        <w:adjustRightInd w:val="0"/>
        <w:snapToGrid w:val="0"/>
        <w:spacing w:line="400" w:lineRule="exac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400" w:lineRule="exact"/>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400" w:lineRule="exac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：年</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日</w:t>
      </w:r>
    </w:p>
    <w:p>
      <w:pPr>
        <w:adjustRightInd w:val="0"/>
        <w:snapToGrid w:val="0"/>
        <w:spacing w:line="400" w:lineRule="exact"/>
        <w:jc w:val="center"/>
        <w:rPr>
          <w:rFonts w:hint="eastAsia" w:ascii="宋体" w:hAnsi="宋体" w:cs="宋体"/>
          <w:b/>
          <w:color w:val="auto"/>
          <w:sz w:val="24"/>
          <w:highlight w:val="none"/>
        </w:rPr>
      </w:pPr>
    </w:p>
    <w:p>
      <w:pPr>
        <w:pStyle w:val="3"/>
        <w:spacing w:after="0" w:line="400" w:lineRule="exact"/>
        <w:ind w:firstLine="301"/>
        <w:rPr>
          <w:rFonts w:hint="eastAsia" w:ascii="宋体" w:hAnsi="宋体" w:eastAsia="宋体" w:cs="宋体"/>
          <w:color w:val="auto"/>
          <w:kern w:val="0"/>
          <w:sz w:val="24"/>
          <w:highlight w:val="none"/>
          <w:lang w:val="zh-CN"/>
        </w:rPr>
      </w:pPr>
      <w:r>
        <w:rPr>
          <w:rFonts w:hint="eastAsia" w:ascii="宋体" w:hAnsi="宋体" w:eastAsia="宋体" w:cs="宋体"/>
          <w:b/>
          <w:color w:val="auto"/>
          <w:kern w:val="0"/>
          <w:sz w:val="30"/>
          <w:szCs w:val="30"/>
          <w:highlight w:val="none"/>
        </w:rPr>
        <w:br w:type="page"/>
      </w:r>
    </w:p>
    <w:p>
      <w:pPr>
        <w:pStyle w:val="48"/>
        <w:adjustRightInd w:val="0"/>
        <w:snapToGrid w:val="0"/>
        <w:spacing w:line="400" w:lineRule="exact"/>
        <w:jc w:val="center"/>
        <w:outlineLvl w:val="1"/>
        <w:rPr>
          <w:rFonts w:hint="eastAsia" w:hAnsi="宋体" w:cs="宋体"/>
          <w:b/>
          <w:color w:val="auto"/>
          <w:kern w:val="0"/>
          <w:sz w:val="30"/>
          <w:highlight w:val="none"/>
          <w:lang w:val="zh-CN"/>
        </w:rPr>
      </w:pPr>
      <w:r>
        <w:rPr>
          <w:rFonts w:hint="eastAsia" w:hAnsi="宋体" w:cs="宋体"/>
          <w:b/>
          <w:color w:val="auto"/>
          <w:kern w:val="0"/>
          <w:sz w:val="30"/>
          <w:highlight w:val="none"/>
          <w:lang w:val="zh-CN"/>
        </w:rPr>
        <w:t>格式五：</w:t>
      </w:r>
      <w:bookmarkEnd w:id="118"/>
      <w:bookmarkEnd w:id="119"/>
      <w:bookmarkStart w:id="120" w:name="_Toc522530057"/>
      <w:r>
        <w:rPr>
          <w:rFonts w:hint="eastAsia" w:hAnsi="宋体" w:cs="宋体"/>
          <w:b/>
          <w:color w:val="auto"/>
          <w:kern w:val="0"/>
          <w:sz w:val="30"/>
          <w:highlight w:val="none"/>
          <w:lang w:val="zh-CN"/>
        </w:rPr>
        <w:t>商务/技术偏离表</w:t>
      </w:r>
    </w:p>
    <w:p>
      <w:pPr>
        <w:spacing w:line="400" w:lineRule="exact"/>
        <w:rPr>
          <w:color w:val="auto"/>
          <w:highlight w:val="none"/>
          <w:lang w:val="zh-CN"/>
        </w:rPr>
      </w:pPr>
    </w:p>
    <w:tbl>
      <w:tblPr>
        <w:tblStyle w:val="97"/>
        <w:tblW w:w="9242" w:type="dxa"/>
        <w:jc w:val="center"/>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677"/>
        <w:gridCol w:w="2693"/>
        <w:gridCol w:w="2593"/>
        <w:gridCol w:w="1431"/>
        <w:gridCol w:w="1848"/>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djustRightInd w:val="0"/>
              <w:snapToGrid w:val="0"/>
              <w:spacing w:line="400" w:lineRule="exact"/>
              <w:jc w:val="center"/>
              <w:rPr>
                <w:rFonts w:hint="eastAsia" w:ascii="宋体" w:hAnsi="宋体"/>
                <w:bCs/>
                <w:color w:val="auto"/>
                <w:sz w:val="24"/>
                <w:highlight w:val="none"/>
              </w:rPr>
            </w:pPr>
            <w:r>
              <w:rPr>
                <w:rFonts w:hint="eastAsia" w:ascii="宋体" w:hAnsi="宋体"/>
                <w:bCs/>
                <w:color w:val="auto"/>
                <w:sz w:val="24"/>
                <w:highlight w:val="none"/>
              </w:rPr>
              <w:t>序号</w:t>
            </w:r>
          </w:p>
        </w:tc>
        <w:tc>
          <w:tcPr>
            <w:tcW w:w="2693" w:type="dxa"/>
            <w:vAlign w:val="center"/>
          </w:tcPr>
          <w:p>
            <w:pPr>
              <w:adjustRightInd w:val="0"/>
              <w:snapToGrid w:val="0"/>
              <w:spacing w:line="400" w:lineRule="exact"/>
              <w:jc w:val="center"/>
              <w:rPr>
                <w:rFonts w:hint="eastAsia" w:ascii="宋体" w:hAnsi="宋体"/>
                <w:bCs/>
                <w:color w:val="auto"/>
                <w:sz w:val="24"/>
                <w:highlight w:val="none"/>
              </w:rPr>
            </w:pPr>
            <w:r>
              <w:rPr>
                <w:rFonts w:hint="eastAsia" w:ascii="宋体" w:hAnsi="宋体"/>
                <w:bCs/>
                <w:color w:val="auto"/>
                <w:sz w:val="24"/>
                <w:highlight w:val="none"/>
              </w:rPr>
              <w:t>招标文件要求</w:t>
            </w:r>
          </w:p>
        </w:tc>
        <w:tc>
          <w:tcPr>
            <w:tcW w:w="2593" w:type="dxa"/>
            <w:vAlign w:val="center"/>
          </w:tcPr>
          <w:p>
            <w:pPr>
              <w:adjustRightInd w:val="0"/>
              <w:snapToGrid w:val="0"/>
              <w:spacing w:line="400" w:lineRule="exact"/>
              <w:jc w:val="center"/>
              <w:rPr>
                <w:rFonts w:hint="eastAsia" w:ascii="宋体" w:hAnsi="宋体"/>
                <w:bCs/>
                <w:color w:val="auto"/>
                <w:sz w:val="24"/>
                <w:highlight w:val="none"/>
              </w:rPr>
            </w:pPr>
            <w:r>
              <w:rPr>
                <w:rFonts w:hint="eastAsia" w:ascii="宋体" w:hAnsi="宋体"/>
                <w:bCs/>
                <w:color w:val="auto"/>
                <w:sz w:val="24"/>
                <w:highlight w:val="none"/>
              </w:rPr>
              <w:t>投标文件响应</w:t>
            </w:r>
          </w:p>
        </w:tc>
        <w:tc>
          <w:tcPr>
            <w:tcW w:w="1431" w:type="dxa"/>
            <w:vAlign w:val="center"/>
          </w:tcPr>
          <w:p>
            <w:pPr>
              <w:adjustRightInd w:val="0"/>
              <w:snapToGrid w:val="0"/>
              <w:spacing w:line="400" w:lineRule="exact"/>
              <w:jc w:val="center"/>
              <w:rPr>
                <w:rFonts w:hint="eastAsia" w:ascii="宋体" w:hAnsi="宋体"/>
                <w:bCs/>
                <w:color w:val="auto"/>
                <w:sz w:val="24"/>
                <w:highlight w:val="none"/>
              </w:rPr>
            </w:pPr>
            <w:r>
              <w:rPr>
                <w:rFonts w:hint="eastAsia" w:ascii="宋体" w:hAnsi="宋体"/>
                <w:bCs/>
                <w:color w:val="auto"/>
                <w:sz w:val="24"/>
                <w:highlight w:val="none"/>
              </w:rPr>
              <w:t>正/负偏离</w:t>
            </w:r>
          </w:p>
        </w:tc>
        <w:tc>
          <w:tcPr>
            <w:tcW w:w="1848" w:type="dxa"/>
            <w:vAlign w:val="center"/>
          </w:tcPr>
          <w:p>
            <w:pPr>
              <w:adjustRightInd w:val="0"/>
              <w:snapToGrid w:val="0"/>
              <w:spacing w:line="400" w:lineRule="exact"/>
              <w:jc w:val="center"/>
              <w:rPr>
                <w:rFonts w:hint="eastAsia" w:ascii="宋体" w:hAnsi="宋体"/>
                <w:bCs/>
                <w:color w:val="auto"/>
                <w:sz w:val="24"/>
                <w:highlight w:val="none"/>
              </w:rPr>
            </w:pPr>
            <w:r>
              <w:rPr>
                <w:rFonts w:hint="eastAsia" w:ascii="宋体" w:hAnsi="宋体"/>
                <w:bCs/>
                <w:color w:val="auto"/>
                <w:sz w:val="24"/>
                <w:highlight w:val="none"/>
              </w:rPr>
              <w:t>理由</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1</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2</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3</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utoSpaceDE w:val="0"/>
              <w:autoSpaceDN w:val="0"/>
              <w:adjustRightInd w:val="0"/>
              <w:spacing w:line="400" w:lineRule="exact"/>
              <w:jc w:val="center"/>
              <w:rPr>
                <w:rFonts w:hint="eastAsia" w:ascii="宋体" w:hAnsi="宋体"/>
                <w:color w:val="auto"/>
                <w:kern w:val="0"/>
                <w:sz w:val="24"/>
                <w:highlight w:val="none"/>
              </w:rPr>
            </w:pPr>
            <w:r>
              <w:rPr>
                <w:rFonts w:hint="eastAsia" w:ascii="宋体" w:hAnsi="宋体"/>
                <w:color w:val="auto"/>
                <w:kern w:val="0"/>
                <w:sz w:val="24"/>
                <w:highlight w:val="none"/>
              </w:rPr>
              <w:t>…</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677" w:type="dxa"/>
            <w:vAlign w:val="center"/>
          </w:tcPr>
          <w:p>
            <w:pPr>
              <w:adjustRightInd w:val="0"/>
              <w:snapToGrid w:val="0"/>
              <w:spacing w:line="400" w:lineRule="exact"/>
              <w:jc w:val="center"/>
              <w:rPr>
                <w:rFonts w:hint="eastAsia" w:ascii="宋体" w:hAnsi="宋体"/>
                <w:color w:val="auto"/>
                <w:sz w:val="24"/>
                <w:highlight w:val="none"/>
              </w:rPr>
            </w:pPr>
            <w:r>
              <w:rPr>
                <w:rFonts w:hint="eastAsia" w:ascii="宋体" w:hAnsi="宋体"/>
                <w:color w:val="auto"/>
                <w:kern w:val="0"/>
                <w:sz w:val="24"/>
                <w:highlight w:val="none"/>
              </w:rPr>
              <w:t>…</w:t>
            </w:r>
          </w:p>
        </w:tc>
        <w:tc>
          <w:tcPr>
            <w:tcW w:w="2693" w:type="dxa"/>
            <w:vAlign w:val="center"/>
          </w:tcPr>
          <w:p>
            <w:pPr>
              <w:adjustRightInd w:val="0"/>
              <w:snapToGrid w:val="0"/>
              <w:spacing w:line="400" w:lineRule="exact"/>
              <w:jc w:val="center"/>
              <w:rPr>
                <w:rFonts w:hint="eastAsia" w:ascii="宋体" w:hAnsi="宋体"/>
                <w:color w:val="auto"/>
                <w:sz w:val="24"/>
                <w:highlight w:val="none"/>
              </w:rPr>
            </w:pPr>
          </w:p>
        </w:tc>
        <w:tc>
          <w:tcPr>
            <w:tcW w:w="2593" w:type="dxa"/>
            <w:vAlign w:val="center"/>
          </w:tcPr>
          <w:p>
            <w:pPr>
              <w:adjustRightInd w:val="0"/>
              <w:snapToGrid w:val="0"/>
              <w:spacing w:line="400" w:lineRule="exact"/>
              <w:jc w:val="center"/>
              <w:rPr>
                <w:rFonts w:hint="eastAsia" w:ascii="宋体" w:hAnsi="宋体"/>
                <w:color w:val="auto"/>
                <w:sz w:val="24"/>
                <w:highlight w:val="none"/>
              </w:rPr>
            </w:pPr>
          </w:p>
        </w:tc>
        <w:tc>
          <w:tcPr>
            <w:tcW w:w="1431" w:type="dxa"/>
            <w:vAlign w:val="center"/>
          </w:tcPr>
          <w:p>
            <w:pPr>
              <w:adjustRightInd w:val="0"/>
              <w:snapToGrid w:val="0"/>
              <w:spacing w:line="400" w:lineRule="exact"/>
              <w:jc w:val="center"/>
              <w:rPr>
                <w:rFonts w:hint="eastAsia" w:ascii="宋体" w:hAnsi="宋体"/>
                <w:color w:val="auto"/>
                <w:sz w:val="24"/>
                <w:highlight w:val="none"/>
              </w:rPr>
            </w:pPr>
          </w:p>
        </w:tc>
        <w:tc>
          <w:tcPr>
            <w:tcW w:w="1848" w:type="dxa"/>
            <w:vAlign w:val="center"/>
          </w:tcPr>
          <w:p>
            <w:pPr>
              <w:adjustRightInd w:val="0"/>
              <w:snapToGrid w:val="0"/>
              <w:spacing w:line="400" w:lineRule="exact"/>
              <w:jc w:val="center"/>
              <w:rPr>
                <w:rFonts w:hint="eastAsia" w:ascii="宋体" w:hAnsi="宋体"/>
                <w:color w:val="auto"/>
                <w:sz w:val="24"/>
                <w:highlight w:val="none"/>
              </w:rPr>
            </w:pPr>
          </w:p>
        </w:tc>
      </w:tr>
    </w:tbl>
    <w:p>
      <w:pPr>
        <w:autoSpaceDE w:val="0"/>
        <w:autoSpaceDN w:val="0"/>
        <w:adjustRightInd w:val="0"/>
        <w:spacing w:line="400" w:lineRule="exact"/>
        <w:ind w:firstLine="5160" w:firstLineChars="2150"/>
        <w:rPr>
          <w:rFonts w:hint="eastAsia" w:ascii="宋体" w:hAnsi="宋体"/>
          <w:color w:val="auto"/>
          <w:kern w:val="0"/>
          <w:sz w:val="24"/>
          <w:highlight w:val="none"/>
          <w:lang w:val="zh-CN"/>
        </w:rPr>
      </w:pPr>
    </w:p>
    <w:p>
      <w:pPr>
        <w:adjustRightInd w:val="0"/>
        <w:snapToGrid w:val="0"/>
        <w:spacing w:line="400" w:lineRule="exact"/>
        <w:ind w:firstLine="482" w:firstLineChars="200"/>
        <w:rPr>
          <w:rFonts w:hint="eastAsia" w:ascii="宋体" w:hAnsi="宋体"/>
          <w:b/>
          <w:color w:val="auto"/>
          <w:kern w:val="0"/>
          <w:sz w:val="24"/>
          <w:highlight w:val="none"/>
          <w:lang w:val="zh-CN"/>
        </w:rPr>
      </w:pPr>
      <w:r>
        <w:rPr>
          <w:rFonts w:hint="eastAsia" w:ascii="宋体" w:hAnsi="宋体"/>
          <w:b/>
          <w:color w:val="auto"/>
          <w:kern w:val="0"/>
          <w:sz w:val="24"/>
          <w:highlight w:val="none"/>
          <w:lang w:val="zh-CN"/>
        </w:rPr>
        <w:t>注：“商务偏离”是指对“商务部分”中条款的偏离，“技术偏离”是指对“第三部分  采购需求”中条款的偏离。本表仅在有偏离时填写，注明是正/负偏离，并说明理由。“投标文件响应”复制“招标文件要求”内容，不填写或未提供偏离表均视为无偏离，具体要求以评标办法为准。</w:t>
      </w:r>
    </w:p>
    <w:p>
      <w:pPr>
        <w:adjustRightInd w:val="0"/>
        <w:snapToGrid w:val="0"/>
        <w:spacing w:line="400" w:lineRule="exact"/>
        <w:rPr>
          <w:rFonts w:hint="eastAsia" w:ascii="宋体" w:hAnsi="宋体"/>
          <w:color w:val="auto"/>
          <w:kern w:val="0"/>
          <w:sz w:val="24"/>
          <w:highlight w:val="none"/>
          <w:lang w:val="zh-CN"/>
        </w:rPr>
      </w:pPr>
    </w:p>
    <w:p>
      <w:pPr>
        <w:adjustRightInd w:val="0"/>
        <w:snapToGrid w:val="0"/>
        <w:spacing w:line="400" w:lineRule="exact"/>
        <w:rPr>
          <w:rFonts w:hint="eastAsia" w:ascii="宋体" w:hAnsi="宋体"/>
          <w:color w:val="auto"/>
          <w:kern w:val="0"/>
          <w:sz w:val="24"/>
          <w:highlight w:val="none"/>
          <w:lang w:val="zh-CN"/>
        </w:rPr>
      </w:pPr>
    </w:p>
    <w:p>
      <w:pPr>
        <w:adjustRightInd w:val="0"/>
        <w:snapToGrid w:val="0"/>
        <w:spacing w:line="400" w:lineRule="exact"/>
        <w:rPr>
          <w:rFonts w:hint="eastAsia" w:ascii="宋体" w:hAnsi="宋体"/>
          <w:color w:val="auto"/>
          <w:kern w:val="0"/>
          <w:sz w:val="24"/>
          <w:highlight w:val="none"/>
        </w:rPr>
      </w:pPr>
      <w:r>
        <w:rPr>
          <w:rFonts w:hint="eastAsia" w:ascii="宋体" w:hAnsi="宋体"/>
          <w:color w:val="auto"/>
          <w:kern w:val="0"/>
          <w:sz w:val="24"/>
          <w:highlight w:val="none"/>
          <w:lang w:val="zh-CN"/>
        </w:rPr>
        <w:t>法定/授权代表：</w:t>
      </w:r>
      <w:r>
        <w:rPr>
          <w:rFonts w:hint="eastAsia" w:ascii="宋体" w:hAnsi="宋体"/>
          <w:color w:val="auto"/>
          <w:kern w:val="0"/>
          <w:sz w:val="24"/>
          <w:highlight w:val="none"/>
          <w:u w:val="single"/>
          <w:lang w:val="zh-CN"/>
        </w:rPr>
        <w:t xml:space="preserve">（签字或盖章） </w:t>
      </w:r>
    </w:p>
    <w:p>
      <w:pPr>
        <w:adjustRightInd w:val="0"/>
        <w:snapToGrid w:val="0"/>
        <w:spacing w:line="400" w:lineRule="exact"/>
        <w:rPr>
          <w:rFonts w:hint="eastAsia" w:ascii="宋体" w:hAnsi="宋体"/>
          <w:color w:val="auto"/>
          <w:kern w:val="0"/>
          <w:sz w:val="24"/>
          <w:highlight w:val="none"/>
          <w:u w:val="single"/>
          <w:lang w:val="zh-CN"/>
        </w:rPr>
      </w:pPr>
      <w:r>
        <w:rPr>
          <w:rFonts w:hint="eastAsia" w:ascii="宋体" w:hAnsi="宋体"/>
          <w:color w:val="auto"/>
          <w:kern w:val="0"/>
          <w:sz w:val="24"/>
          <w:highlight w:val="none"/>
          <w:lang w:val="zh-CN"/>
        </w:rPr>
        <w:t>投标人：</w:t>
      </w:r>
      <w:r>
        <w:rPr>
          <w:rFonts w:hint="eastAsia" w:ascii="宋体" w:hAnsi="宋体"/>
          <w:color w:val="auto"/>
          <w:kern w:val="0"/>
          <w:sz w:val="24"/>
          <w:highlight w:val="none"/>
          <w:u w:val="single"/>
          <w:lang w:val="zh-CN"/>
        </w:rPr>
        <w:t xml:space="preserve">（全称加盖公章）       </w:t>
      </w:r>
    </w:p>
    <w:p>
      <w:pPr>
        <w:adjustRightInd w:val="0"/>
        <w:snapToGrid w:val="0"/>
        <w:spacing w:line="400" w:lineRule="exact"/>
        <w:rPr>
          <w:rFonts w:hint="eastAsia" w:ascii="宋体" w:hAnsi="宋体"/>
          <w:color w:val="auto"/>
          <w:kern w:val="0"/>
          <w:sz w:val="24"/>
          <w:highlight w:val="none"/>
          <w:lang w:val="zh-CN"/>
        </w:rPr>
      </w:pPr>
      <w:r>
        <w:rPr>
          <w:rFonts w:hint="eastAsia" w:ascii="宋体" w:hAnsi="宋体"/>
          <w:color w:val="auto"/>
          <w:kern w:val="0"/>
          <w:sz w:val="24"/>
          <w:highlight w:val="none"/>
          <w:lang w:val="zh-CN"/>
        </w:rPr>
        <w:t>日期</w:t>
      </w:r>
      <w:r>
        <w:rPr>
          <w:rFonts w:hint="eastAsia" w:ascii="宋体" w:hAnsi="宋体"/>
          <w:color w:val="auto"/>
          <w:kern w:val="0"/>
          <w:sz w:val="24"/>
          <w:highlight w:val="none"/>
        </w:rPr>
        <w:t xml:space="preserve">： </w:t>
      </w:r>
      <w:r>
        <w:rPr>
          <w:rFonts w:hint="eastAsia" w:ascii="宋体" w:hAnsi="宋体"/>
          <w:color w:val="auto"/>
          <w:kern w:val="0"/>
          <w:sz w:val="24"/>
          <w:highlight w:val="none"/>
          <w:u w:val="single"/>
        </w:rPr>
        <w:t xml:space="preserve">   </w:t>
      </w:r>
      <w:r>
        <w:rPr>
          <w:rFonts w:hint="eastAsia" w:ascii="宋体" w:hAnsi="宋体"/>
          <w:color w:val="auto"/>
          <w:kern w:val="0"/>
          <w:sz w:val="24"/>
          <w:highlight w:val="none"/>
          <w:lang w:val="zh-CN"/>
        </w:rPr>
        <w:t>年</w:t>
      </w:r>
      <w:r>
        <w:rPr>
          <w:rFonts w:hint="eastAsia" w:ascii="宋体" w:hAnsi="宋体"/>
          <w:color w:val="auto"/>
          <w:kern w:val="0"/>
          <w:sz w:val="24"/>
          <w:highlight w:val="none"/>
          <w:u w:val="single"/>
        </w:rPr>
        <w:tab/>
      </w:r>
      <w:r>
        <w:rPr>
          <w:rFonts w:hint="eastAsia" w:ascii="宋体" w:hAnsi="宋体"/>
          <w:color w:val="auto"/>
          <w:kern w:val="0"/>
          <w:sz w:val="24"/>
          <w:highlight w:val="none"/>
          <w:u w:val="single"/>
        </w:rPr>
        <w:t xml:space="preserve"> </w:t>
      </w:r>
      <w:r>
        <w:rPr>
          <w:rFonts w:hint="eastAsia" w:ascii="宋体" w:hAnsi="宋体"/>
          <w:color w:val="auto"/>
          <w:kern w:val="0"/>
          <w:sz w:val="24"/>
          <w:highlight w:val="none"/>
          <w:lang w:val="zh-CN"/>
        </w:rPr>
        <w:t>月</w:t>
      </w:r>
      <w:r>
        <w:rPr>
          <w:rFonts w:hint="eastAsia" w:ascii="宋体" w:hAnsi="宋体"/>
          <w:color w:val="auto"/>
          <w:kern w:val="0"/>
          <w:sz w:val="24"/>
          <w:highlight w:val="none"/>
          <w:u w:val="single"/>
        </w:rPr>
        <w:t xml:space="preserve">   </w:t>
      </w:r>
      <w:r>
        <w:rPr>
          <w:rFonts w:hint="eastAsia" w:ascii="宋体" w:hAnsi="宋体"/>
          <w:color w:val="auto"/>
          <w:kern w:val="0"/>
          <w:sz w:val="24"/>
          <w:highlight w:val="none"/>
          <w:lang w:val="zh-CN"/>
        </w:rPr>
        <w:t>日</w:t>
      </w:r>
    </w:p>
    <w:p>
      <w:pPr>
        <w:pStyle w:val="27"/>
        <w:spacing w:after="0" w:line="400" w:lineRule="exact"/>
        <w:ind w:left="560"/>
        <w:rPr>
          <w:rFonts w:hint="eastAsia" w:ascii="宋体" w:hAnsi="宋体"/>
          <w:color w:val="auto"/>
          <w:kern w:val="0"/>
          <w:sz w:val="24"/>
          <w:highlight w:val="none"/>
        </w:rPr>
      </w:pPr>
      <w:r>
        <w:rPr>
          <w:rFonts w:hint="eastAsia" w:ascii="宋体" w:hAnsi="宋体"/>
          <w:color w:val="auto"/>
          <w:kern w:val="0"/>
          <w:sz w:val="24"/>
          <w:highlight w:val="none"/>
        </w:rPr>
        <w:t xml:space="preserve"> </w:t>
      </w:r>
    </w:p>
    <w:p>
      <w:pPr>
        <w:pStyle w:val="60"/>
        <w:spacing w:after="0" w:line="400" w:lineRule="exact"/>
        <w:ind w:left="560" w:firstLine="480"/>
        <w:rPr>
          <w:rFonts w:hint="eastAsia" w:ascii="宋体" w:hAnsi="宋体"/>
          <w:color w:val="auto"/>
          <w:kern w:val="0"/>
          <w:sz w:val="24"/>
          <w:highlight w:val="none"/>
          <w:lang w:val="zh-CN"/>
        </w:rPr>
      </w:pPr>
    </w:p>
    <w:p>
      <w:pPr>
        <w:pStyle w:val="3"/>
        <w:spacing w:after="0" w:line="400" w:lineRule="exact"/>
        <w:ind w:firstLine="240"/>
        <w:rPr>
          <w:rFonts w:hint="eastAsia" w:ascii="宋体" w:hAnsi="宋体"/>
          <w:color w:val="auto"/>
          <w:kern w:val="0"/>
          <w:sz w:val="24"/>
          <w:highlight w:val="none"/>
          <w:lang w:val="zh-CN"/>
        </w:rPr>
      </w:pPr>
    </w:p>
    <w:p>
      <w:pPr>
        <w:pStyle w:val="4"/>
        <w:rPr>
          <w:color w:val="auto"/>
          <w:highlight w:val="none"/>
          <w:lang w:val="zh-CN"/>
        </w:rPr>
      </w:pPr>
    </w:p>
    <w:p>
      <w:pPr>
        <w:spacing w:line="400" w:lineRule="exact"/>
        <w:rPr>
          <w:rFonts w:hint="eastAsia" w:ascii="宋体" w:hAnsi="宋体"/>
          <w:color w:val="auto"/>
          <w:kern w:val="0"/>
          <w:sz w:val="24"/>
          <w:highlight w:val="none"/>
          <w:lang w:val="zh-CN"/>
        </w:rPr>
      </w:pPr>
    </w:p>
    <w:p>
      <w:pPr>
        <w:pStyle w:val="27"/>
        <w:spacing w:after="0" w:line="400" w:lineRule="exact"/>
        <w:ind w:left="560"/>
        <w:rPr>
          <w:rFonts w:hint="eastAsia" w:ascii="宋体" w:hAnsi="宋体"/>
          <w:color w:val="auto"/>
          <w:kern w:val="0"/>
          <w:sz w:val="24"/>
          <w:highlight w:val="none"/>
          <w:lang w:val="zh-CN"/>
        </w:rPr>
      </w:pPr>
    </w:p>
    <w:p>
      <w:pPr>
        <w:pStyle w:val="60"/>
        <w:spacing w:after="0" w:line="400" w:lineRule="exact"/>
        <w:ind w:left="560" w:firstLine="480"/>
        <w:rPr>
          <w:rFonts w:hint="eastAsia" w:ascii="宋体" w:hAnsi="宋体"/>
          <w:color w:val="auto"/>
          <w:kern w:val="0"/>
          <w:sz w:val="24"/>
          <w:highlight w:val="none"/>
          <w:lang w:val="zh-CN"/>
        </w:rPr>
      </w:pPr>
    </w:p>
    <w:p>
      <w:pPr>
        <w:pStyle w:val="3"/>
        <w:spacing w:after="0" w:line="400" w:lineRule="exact"/>
        <w:ind w:firstLine="210"/>
        <w:rPr>
          <w:rFonts w:hint="eastAsia"/>
          <w:color w:val="auto"/>
          <w:highlight w:val="none"/>
          <w:lang w:val="zh-CN"/>
        </w:rPr>
      </w:pPr>
    </w:p>
    <w:p>
      <w:pPr>
        <w:pStyle w:val="3"/>
        <w:spacing w:after="0" w:line="400" w:lineRule="exact"/>
        <w:ind w:firstLine="210"/>
        <w:rPr>
          <w:rFonts w:hint="eastAsia"/>
          <w:color w:val="auto"/>
          <w:highlight w:val="none"/>
        </w:rPr>
      </w:pPr>
    </w:p>
    <w:p>
      <w:pPr>
        <w:adjustRightInd w:val="0"/>
        <w:snapToGrid w:val="0"/>
        <w:spacing w:line="400" w:lineRule="exact"/>
        <w:ind w:firstLine="562" w:firstLineChars="200"/>
        <w:jc w:val="center"/>
        <w:rPr>
          <w:rFonts w:hint="eastAsia" w:ascii="宋体" w:hAnsi="宋体" w:cs="宋体"/>
          <w:b/>
          <w:color w:val="auto"/>
          <w:highlight w:val="none"/>
        </w:rPr>
      </w:pPr>
    </w:p>
    <w:p>
      <w:pPr>
        <w:adjustRightInd w:val="0"/>
        <w:snapToGrid w:val="0"/>
        <w:spacing w:line="400" w:lineRule="exact"/>
        <w:ind w:firstLine="602" w:firstLineChars="200"/>
        <w:jc w:val="center"/>
        <w:rPr>
          <w:rFonts w:hint="eastAsia" w:ascii="宋体" w:hAnsi="宋体" w:cs="宋体"/>
          <w:b/>
          <w:color w:val="auto"/>
          <w:kern w:val="0"/>
          <w:sz w:val="30"/>
          <w:highlight w:val="none"/>
          <w:lang w:val="zh-CN"/>
        </w:rPr>
      </w:pPr>
      <w:r>
        <w:rPr>
          <w:rFonts w:hint="eastAsia" w:ascii="宋体" w:hAnsi="宋体" w:cs="宋体"/>
          <w:b/>
          <w:color w:val="auto"/>
          <w:kern w:val="0"/>
          <w:sz w:val="30"/>
          <w:highlight w:val="none"/>
          <w:lang w:val="zh-CN"/>
        </w:rPr>
        <w:t>格式六：拟投入本项目的服务团队情况表</w:t>
      </w:r>
      <w:bookmarkEnd w:id="120"/>
    </w:p>
    <w:p>
      <w:pPr>
        <w:pStyle w:val="27"/>
        <w:spacing w:after="0" w:line="400" w:lineRule="exact"/>
        <w:ind w:left="560"/>
        <w:rPr>
          <w:color w:val="auto"/>
          <w:highlight w:val="none"/>
        </w:rPr>
      </w:pPr>
    </w:p>
    <w:p>
      <w:pPr>
        <w:adjustRightInd w:val="0"/>
        <w:snapToGrid w:val="0"/>
        <w:spacing w:line="400" w:lineRule="exact"/>
        <w:jc w:val="center"/>
        <w:rPr>
          <w:rFonts w:hint="eastAsia" w:ascii="宋体" w:hAnsi="宋体" w:cs="宋体"/>
          <w:b/>
          <w:color w:val="auto"/>
          <w:sz w:val="24"/>
          <w:highlight w:val="none"/>
        </w:rPr>
      </w:pPr>
      <w:r>
        <w:rPr>
          <w:rFonts w:hint="eastAsia" w:ascii="宋体" w:hAnsi="宋体" w:cs="宋体"/>
          <w:b/>
          <w:color w:val="auto"/>
          <w:sz w:val="24"/>
          <w:highlight w:val="none"/>
        </w:rPr>
        <w:t>拟投入本项目的服务团队情况表</w:t>
      </w:r>
    </w:p>
    <w:tbl>
      <w:tblPr>
        <w:tblStyle w:val="97"/>
        <w:tblW w:w="9223" w:type="dxa"/>
        <w:tblInd w:w="0" w:type="dxa"/>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
      <w:tblGrid>
        <w:gridCol w:w="555"/>
        <w:gridCol w:w="1252"/>
        <w:gridCol w:w="3392"/>
        <w:gridCol w:w="1417"/>
        <w:gridCol w:w="1555"/>
        <w:gridCol w:w="1052"/>
      </w:tblGrid>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830" w:hRule="atLeast"/>
        </w:trPr>
        <w:tc>
          <w:tcPr>
            <w:tcW w:w="555" w:type="dxa"/>
            <w:vAlign w:val="center"/>
          </w:tcPr>
          <w:p>
            <w:pPr>
              <w:autoSpaceDE w:val="0"/>
              <w:autoSpaceDN w:val="0"/>
              <w:adjustRightInd w:val="0"/>
              <w:spacing w:line="400" w:lineRule="exact"/>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序号</w:t>
            </w:r>
          </w:p>
        </w:tc>
        <w:tc>
          <w:tcPr>
            <w:tcW w:w="1252" w:type="dxa"/>
            <w:vAlign w:val="center"/>
          </w:tcPr>
          <w:p>
            <w:pPr>
              <w:autoSpaceDE w:val="0"/>
              <w:autoSpaceDN w:val="0"/>
              <w:adjustRightInd w:val="0"/>
              <w:spacing w:line="400" w:lineRule="exact"/>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姓名</w:t>
            </w:r>
          </w:p>
        </w:tc>
        <w:tc>
          <w:tcPr>
            <w:tcW w:w="3392" w:type="dxa"/>
            <w:vAlign w:val="center"/>
          </w:tcPr>
          <w:p>
            <w:pPr>
              <w:autoSpaceDE w:val="0"/>
              <w:autoSpaceDN w:val="0"/>
              <w:adjustRightInd w:val="0"/>
              <w:spacing w:line="400" w:lineRule="exact"/>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职称及相关专业认证（或执业资格）情况（如评分需要）</w:t>
            </w:r>
          </w:p>
        </w:tc>
        <w:tc>
          <w:tcPr>
            <w:tcW w:w="1417" w:type="dxa"/>
            <w:vAlign w:val="center"/>
          </w:tcPr>
          <w:p>
            <w:pPr>
              <w:autoSpaceDE w:val="0"/>
              <w:autoSpaceDN w:val="0"/>
              <w:adjustRightInd w:val="0"/>
              <w:spacing w:line="400" w:lineRule="exact"/>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在本单位工作年限</w:t>
            </w:r>
          </w:p>
        </w:tc>
        <w:tc>
          <w:tcPr>
            <w:tcW w:w="1555" w:type="dxa"/>
            <w:vAlign w:val="center"/>
          </w:tcPr>
          <w:p>
            <w:pPr>
              <w:autoSpaceDE w:val="0"/>
              <w:autoSpaceDN w:val="0"/>
              <w:adjustRightInd w:val="0"/>
              <w:spacing w:line="400" w:lineRule="exact"/>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在本项目中拟担任职务</w:t>
            </w:r>
          </w:p>
        </w:tc>
        <w:tc>
          <w:tcPr>
            <w:tcW w:w="1052" w:type="dxa"/>
            <w:vAlign w:val="center"/>
          </w:tcPr>
          <w:p>
            <w:pPr>
              <w:autoSpaceDE w:val="0"/>
              <w:autoSpaceDN w:val="0"/>
              <w:adjustRightInd w:val="0"/>
              <w:spacing w:line="400" w:lineRule="exact"/>
              <w:jc w:val="center"/>
              <w:rPr>
                <w:rFonts w:hint="eastAsia" w:ascii="宋体" w:hAnsi="宋体" w:cs="宋体"/>
                <w:b/>
                <w:color w:val="auto"/>
                <w:kern w:val="0"/>
                <w:sz w:val="24"/>
                <w:highlight w:val="none"/>
              </w:rPr>
            </w:pPr>
            <w:r>
              <w:rPr>
                <w:rFonts w:hint="eastAsia" w:ascii="宋体" w:hAnsi="宋体" w:cs="宋体"/>
                <w:b/>
                <w:color w:val="auto"/>
                <w:kern w:val="0"/>
                <w:sz w:val="24"/>
                <w:highlight w:val="none"/>
              </w:rPr>
              <w:t>备注</w:t>
            </w: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1014"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1</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autoSpaceDE w:val="0"/>
              <w:autoSpaceDN w:val="0"/>
              <w:adjustRightInd w:val="0"/>
              <w:spacing w:line="400" w:lineRule="exact"/>
              <w:rPr>
                <w:rFonts w:hint="eastAsia" w:ascii="宋体" w:hAnsi="宋体" w:cs="宋体"/>
                <w:color w:val="auto"/>
                <w:kern w:val="0"/>
                <w:sz w:val="24"/>
                <w:highlight w:val="none"/>
              </w:rPr>
            </w:pPr>
            <w:r>
              <w:rPr>
                <w:rFonts w:hint="eastAsia" w:ascii="宋体" w:hAnsi="宋体" w:cs="宋体"/>
                <w:color w:val="auto"/>
                <w:kern w:val="0"/>
                <w:sz w:val="24"/>
                <w:highlight w:val="none"/>
              </w:rPr>
              <w:t xml:space="preserve"> 项目负责人</w:t>
            </w: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2</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kern w:val="0"/>
                <w:sz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3</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kern w:val="0"/>
                <w:sz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4</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sz w:val="24"/>
                <w:szCs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5</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sz w:val="24"/>
                <w:szCs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6</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kern w:val="0"/>
                <w:sz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7</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sz w:val="24"/>
                <w:szCs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r>
              <w:rPr>
                <w:rFonts w:hint="eastAsia" w:ascii="宋体" w:hAnsi="宋体" w:cs="宋体"/>
                <w:color w:val="auto"/>
                <w:kern w:val="0"/>
                <w:sz w:val="24"/>
                <w:highlight w:val="none"/>
              </w:rPr>
              <w:t>8</w:t>
            </w: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kern w:val="0"/>
                <w:sz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555" w:type="dxa"/>
            <w:vAlign w:val="center"/>
          </w:tcPr>
          <w:p>
            <w:pPr>
              <w:autoSpaceDE w:val="0"/>
              <w:autoSpaceDN w:val="0"/>
              <w:adjustRightInd w:val="0"/>
              <w:spacing w:line="400" w:lineRule="exact"/>
              <w:jc w:val="center"/>
              <w:rPr>
                <w:rFonts w:hint="eastAsia" w:ascii="宋体" w:hAnsi="宋体" w:cs="宋体"/>
                <w:color w:val="auto"/>
                <w:kern w:val="0"/>
                <w:sz w:val="24"/>
                <w:highlight w:val="none"/>
              </w:rPr>
            </w:pPr>
          </w:p>
        </w:tc>
        <w:tc>
          <w:tcPr>
            <w:tcW w:w="125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3392"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417" w:type="dxa"/>
            <w:vAlign w:val="center"/>
          </w:tcPr>
          <w:p>
            <w:pPr>
              <w:autoSpaceDE w:val="0"/>
              <w:autoSpaceDN w:val="0"/>
              <w:adjustRightInd w:val="0"/>
              <w:spacing w:line="400" w:lineRule="exact"/>
              <w:rPr>
                <w:rFonts w:hint="eastAsia" w:ascii="宋体" w:hAnsi="宋体" w:cs="宋体"/>
                <w:color w:val="auto"/>
                <w:kern w:val="0"/>
                <w:sz w:val="24"/>
                <w:highlight w:val="none"/>
              </w:rPr>
            </w:pPr>
          </w:p>
        </w:tc>
        <w:tc>
          <w:tcPr>
            <w:tcW w:w="1555" w:type="dxa"/>
            <w:vAlign w:val="center"/>
          </w:tcPr>
          <w:p>
            <w:pPr>
              <w:spacing w:line="360" w:lineRule="auto"/>
              <w:jc w:val="center"/>
              <w:rPr>
                <w:rFonts w:hint="eastAsia" w:ascii="宋体" w:hAnsi="宋体" w:cs="宋体"/>
                <w:color w:val="auto"/>
                <w:sz w:val="24"/>
                <w:szCs w:val="24"/>
                <w:highlight w:val="none"/>
              </w:rPr>
            </w:pPr>
          </w:p>
        </w:tc>
        <w:tc>
          <w:tcPr>
            <w:tcW w:w="1052" w:type="dxa"/>
            <w:vAlign w:val="center"/>
          </w:tcPr>
          <w:p>
            <w:pPr>
              <w:autoSpaceDE w:val="0"/>
              <w:autoSpaceDN w:val="0"/>
              <w:adjustRightInd w:val="0"/>
              <w:spacing w:line="400" w:lineRule="exact"/>
              <w:rPr>
                <w:rFonts w:hint="eastAsia" w:ascii="宋体" w:hAnsi="宋体" w:cs="宋体"/>
                <w:color w:val="auto"/>
                <w:kern w:val="0"/>
                <w:sz w:val="24"/>
                <w:highlight w:val="none"/>
              </w:rPr>
            </w:pPr>
          </w:p>
        </w:tc>
      </w:tr>
      <w:tr>
        <w:tblPrEx>
          <w:tblBorders>
            <w:top w:val="single" w:color="auto" w:sz="18" w:space="0"/>
            <w:left w:val="single" w:color="auto" w:sz="18" w:space="0"/>
            <w:bottom w:val="single" w:color="auto" w:sz="18" w:space="0"/>
            <w:right w:val="single" w:color="auto" w:sz="18" w:space="0"/>
            <w:insideH w:val="single" w:color="auto" w:sz="4" w:space="0"/>
            <w:insideV w:val="single" w:color="auto" w:sz="4" w:space="0"/>
          </w:tblBorders>
          <w:tblLayout w:type="fixed"/>
          <w:tblCellMar>
            <w:top w:w="0" w:type="dxa"/>
            <w:left w:w="108" w:type="dxa"/>
            <w:bottom w:w="0" w:type="dxa"/>
            <w:right w:w="108" w:type="dxa"/>
          </w:tblCellMar>
        </w:tblPrEx>
        <w:trPr>
          <w:trHeight w:val="567" w:hRule="exact"/>
        </w:trPr>
        <w:tc>
          <w:tcPr>
            <w:tcW w:w="9223" w:type="dxa"/>
            <w:gridSpan w:val="6"/>
            <w:vAlign w:val="center"/>
          </w:tcPr>
          <w:p>
            <w:pPr>
              <w:autoSpaceDE w:val="0"/>
              <w:autoSpaceDN w:val="0"/>
              <w:adjustRightInd w:val="0"/>
              <w:spacing w:line="400" w:lineRule="exact"/>
              <w:rPr>
                <w:rFonts w:hint="eastAsia" w:ascii="宋体" w:hAnsi="宋体" w:cs="宋体"/>
                <w:b/>
                <w:color w:val="auto"/>
                <w:kern w:val="0"/>
                <w:sz w:val="24"/>
                <w:highlight w:val="none"/>
              </w:rPr>
            </w:pPr>
            <w:r>
              <w:rPr>
                <w:rFonts w:hint="eastAsia" w:ascii="宋体" w:hAnsi="宋体" w:cs="宋体"/>
                <w:b/>
                <w:color w:val="auto"/>
                <w:kern w:val="0"/>
                <w:sz w:val="24"/>
                <w:highlight w:val="none"/>
              </w:rPr>
              <w:t>其他说明：（如有）</w:t>
            </w:r>
          </w:p>
        </w:tc>
      </w:tr>
    </w:tbl>
    <w:p>
      <w:pPr>
        <w:adjustRightInd w:val="0"/>
        <w:snapToGrid w:val="0"/>
        <w:spacing w:line="400" w:lineRule="exact"/>
        <w:rPr>
          <w:rFonts w:hint="eastAsia" w:ascii="宋体" w:hAnsi="宋体" w:cs="宋体"/>
          <w:color w:val="auto"/>
          <w:sz w:val="24"/>
          <w:highlight w:val="none"/>
        </w:rPr>
      </w:pPr>
      <w:r>
        <w:rPr>
          <w:rFonts w:hint="eastAsia" w:ascii="宋体" w:hAnsi="宋体" w:cs="宋体"/>
          <w:bCs/>
          <w:color w:val="auto"/>
          <w:kern w:val="0"/>
          <w:sz w:val="24"/>
          <w:highlight w:val="none"/>
        </w:rPr>
        <w:t>注：</w:t>
      </w:r>
      <w:r>
        <w:rPr>
          <w:rFonts w:hint="eastAsia" w:ascii="宋体" w:hAnsi="宋体" w:cs="宋体"/>
          <w:bCs/>
          <w:color w:val="auto"/>
          <w:sz w:val="24"/>
          <w:highlight w:val="none"/>
        </w:rPr>
        <w:t>本表后附对应的证明材料；“职称及相关专业认证”仅在评分办法有对应评分项时填写；具体内容见评分办法。</w:t>
      </w:r>
    </w:p>
    <w:p>
      <w:pPr>
        <w:adjustRightInd w:val="0"/>
        <w:snapToGrid w:val="0"/>
        <w:spacing w:line="400" w:lineRule="exact"/>
        <w:rPr>
          <w:rFonts w:hint="eastAsia" w:ascii="宋体" w:hAnsi="宋体" w:cs="宋体"/>
          <w:color w:val="auto"/>
          <w:kern w:val="0"/>
          <w:sz w:val="24"/>
          <w:highlight w:val="none"/>
          <w:lang w:val="zh-CN"/>
        </w:rPr>
      </w:pPr>
    </w:p>
    <w:p>
      <w:pPr>
        <w:adjustRightInd w:val="0"/>
        <w:snapToGrid w:val="0"/>
        <w:spacing w:line="400" w:lineRule="exac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400" w:lineRule="exact"/>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400" w:lineRule="exac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u w:val="single"/>
        </w:rPr>
        <w:tab/>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日</w:t>
      </w:r>
    </w:p>
    <w:p>
      <w:pPr>
        <w:autoSpaceDE w:val="0"/>
        <w:autoSpaceDN w:val="0"/>
        <w:adjustRightInd w:val="0"/>
        <w:spacing w:line="400" w:lineRule="exact"/>
        <w:rPr>
          <w:rFonts w:hint="eastAsia" w:ascii="宋体" w:hAnsi="宋体" w:cs="宋体"/>
          <w:color w:val="auto"/>
          <w:kern w:val="0"/>
          <w:sz w:val="24"/>
          <w:highlight w:val="none"/>
        </w:rPr>
      </w:pPr>
    </w:p>
    <w:p>
      <w:pPr>
        <w:pStyle w:val="48"/>
        <w:adjustRightInd w:val="0"/>
        <w:snapToGrid w:val="0"/>
        <w:spacing w:line="400" w:lineRule="exact"/>
        <w:jc w:val="center"/>
        <w:outlineLvl w:val="1"/>
        <w:rPr>
          <w:rFonts w:hint="eastAsia" w:hAnsi="宋体" w:cs="宋体"/>
          <w:b/>
          <w:color w:val="auto"/>
          <w:kern w:val="0"/>
          <w:sz w:val="30"/>
          <w:highlight w:val="none"/>
          <w:lang w:val="zh-CN"/>
        </w:rPr>
      </w:pPr>
    </w:p>
    <w:p>
      <w:pPr>
        <w:pStyle w:val="48"/>
        <w:adjustRightInd w:val="0"/>
        <w:snapToGrid w:val="0"/>
        <w:spacing w:line="400" w:lineRule="exact"/>
        <w:jc w:val="center"/>
        <w:outlineLvl w:val="1"/>
        <w:rPr>
          <w:rFonts w:hint="eastAsia" w:hAnsi="宋体" w:cs="宋体"/>
          <w:b/>
          <w:color w:val="auto"/>
          <w:kern w:val="0"/>
          <w:sz w:val="30"/>
          <w:highlight w:val="none"/>
          <w:lang w:val="zh-CN"/>
        </w:rPr>
      </w:pPr>
    </w:p>
    <w:p>
      <w:pPr>
        <w:pStyle w:val="48"/>
        <w:adjustRightInd w:val="0"/>
        <w:snapToGrid w:val="0"/>
        <w:spacing w:line="400" w:lineRule="exact"/>
        <w:jc w:val="center"/>
        <w:outlineLvl w:val="1"/>
        <w:rPr>
          <w:rFonts w:hint="eastAsia" w:hAnsi="宋体" w:cs="宋体"/>
          <w:b/>
          <w:color w:val="auto"/>
          <w:kern w:val="0"/>
          <w:sz w:val="30"/>
          <w:highlight w:val="none"/>
          <w:lang w:val="zh-CN"/>
        </w:rPr>
      </w:pPr>
    </w:p>
    <w:p>
      <w:pPr>
        <w:spacing w:line="400" w:lineRule="exact"/>
        <w:rPr>
          <w:rFonts w:hint="eastAsia" w:ascii="宋体" w:hAnsi="宋体" w:cs="宋体"/>
          <w:b/>
          <w:color w:val="auto"/>
          <w:kern w:val="0"/>
          <w:sz w:val="30"/>
          <w:highlight w:val="none"/>
          <w:lang w:val="zh-CN"/>
        </w:rPr>
      </w:pPr>
    </w:p>
    <w:p>
      <w:pPr>
        <w:pStyle w:val="48"/>
        <w:spacing w:line="400" w:lineRule="exact"/>
        <w:rPr>
          <w:rFonts w:hint="eastAsia" w:hAnsi="宋体" w:cs="宋体"/>
          <w:b/>
          <w:color w:val="auto"/>
          <w:kern w:val="0"/>
          <w:sz w:val="30"/>
          <w:highlight w:val="none"/>
          <w:lang w:val="zh-CN"/>
        </w:rPr>
      </w:pPr>
    </w:p>
    <w:p>
      <w:pPr>
        <w:spacing w:line="400" w:lineRule="exact"/>
        <w:rPr>
          <w:rFonts w:hint="eastAsia" w:ascii="宋体" w:hAnsi="宋体" w:cs="宋体"/>
          <w:b/>
          <w:color w:val="auto"/>
          <w:kern w:val="0"/>
          <w:sz w:val="30"/>
          <w:highlight w:val="none"/>
          <w:lang w:val="zh-CN"/>
        </w:rPr>
      </w:pPr>
    </w:p>
    <w:p>
      <w:pPr>
        <w:pStyle w:val="48"/>
        <w:spacing w:line="400" w:lineRule="exact"/>
        <w:rPr>
          <w:rFonts w:hint="eastAsia" w:hAnsi="宋体" w:cs="宋体"/>
          <w:b/>
          <w:color w:val="auto"/>
          <w:kern w:val="0"/>
          <w:sz w:val="30"/>
          <w:highlight w:val="none"/>
          <w:lang w:val="zh-CN"/>
        </w:rPr>
      </w:pPr>
    </w:p>
    <w:p>
      <w:pPr>
        <w:pStyle w:val="6"/>
        <w:spacing w:line="400" w:lineRule="exact"/>
        <w:ind w:left="0" w:firstLine="0"/>
        <w:jc w:val="center"/>
        <w:rPr>
          <w:rFonts w:hint="eastAsia" w:ascii="宋体" w:hAnsi="宋体" w:eastAsia="宋体" w:cs="宋体"/>
          <w:color w:val="auto"/>
          <w:sz w:val="28"/>
          <w:highlight w:val="none"/>
        </w:rPr>
      </w:pPr>
      <w:r>
        <w:rPr>
          <w:rFonts w:hint="eastAsia" w:ascii="宋体" w:hAnsi="宋体" w:eastAsia="宋体" w:cs="宋体"/>
          <w:color w:val="auto"/>
          <w:kern w:val="0"/>
          <w:sz w:val="30"/>
          <w:highlight w:val="none"/>
          <w:lang w:val="zh-CN"/>
        </w:rPr>
        <w:t>格式七：</w:t>
      </w:r>
      <w:bookmarkStart w:id="121" w:name="_Toc522530058"/>
      <w:bookmarkStart w:id="122" w:name="_Toc8841"/>
      <w:r>
        <w:rPr>
          <w:rFonts w:hint="eastAsia" w:ascii="宋体" w:hAnsi="宋体" w:eastAsia="宋体" w:cs="宋体"/>
          <w:color w:val="auto"/>
          <w:sz w:val="28"/>
          <w:szCs w:val="22"/>
          <w:highlight w:val="none"/>
        </w:rPr>
        <w:t>开标一览表</w:t>
      </w:r>
      <w:bookmarkEnd w:id="112"/>
      <w:bookmarkEnd w:id="113"/>
      <w:bookmarkEnd w:id="114"/>
      <w:bookmarkEnd w:id="115"/>
      <w:bookmarkEnd w:id="116"/>
      <w:bookmarkEnd w:id="121"/>
      <w:bookmarkEnd w:id="122"/>
    </w:p>
    <w:p>
      <w:pPr>
        <w:adjustRightInd w:val="0"/>
        <w:snapToGrid w:val="0"/>
        <w:spacing w:line="400" w:lineRule="exact"/>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衢州市民用航空管理局（衢州民航站）</w:t>
      </w:r>
    </w:p>
    <w:p>
      <w:pPr>
        <w:adjustRightInd w:val="0"/>
        <w:snapToGrid w:val="0"/>
        <w:spacing w:line="400" w:lineRule="exact"/>
        <w:rPr>
          <w:rFonts w:hint="eastAsia" w:ascii="宋体" w:hAnsi="宋体" w:cs="宋体"/>
          <w:b/>
          <w:color w:val="auto"/>
          <w:sz w:val="30"/>
          <w:highlight w:val="none"/>
        </w:rPr>
      </w:pPr>
      <w:r>
        <w:rPr>
          <w:rFonts w:hint="eastAsia" w:ascii="宋体" w:hAnsi="宋体" w:cs="宋体"/>
          <w:color w:val="auto"/>
          <w:sz w:val="24"/>
          <w:highlight w:val="none"/>
        </w:rPr>
        <w:t>浙江中正工程项目管理有限公司：</w:t>
      </w:r>
    </w:p>
    <w:p>
      <w:pPr>
        <w:spacing w:before="24" w:beforeLines="10" w:line="400" w:lineRule="exact"/>
        <w:ind w:firstLine="480" w:firstLineChars="200"/>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按贵方招标文件要求，如你方接受本投标文件，我方承诺按照如下开标一览表的价格完成</w:t>
      </w:r>
      <w:r>
        <w:rPr>
          <w:rFonts w:hint="eastAsia" w:ascii="宋体" w:hAnsi="宋体" w:cs="宋体"/>
          <w:color w:val="auto"/>
          <w:kern w:val="0"/>
          <w:sz w:val="24"/>
          <w:highlight w:val="none"/>
          <w:u w:val="single"/>
        </w:rPr>
        <w:t xml:space="preserve"> </w:t>
      </w:r>
      <w:r>
        <w:rPr>
          <w:rFonts w:hint="eastAsia" w:ascii="宋体" w:hAnsi="宋体" w:cs="宋体"/>
          <w:color w:val="auto"/>
          <w:sz w:val="24"/>
          <w:szCs w:val="24"/>
          <w:highlight w:val="none"/>
          <w:u w:val="single"/>
        </w:rPr>
        <w:t>衢州机场设备更新改造提升项目货检双视角X光检查仪、安检培训系统采购（第二次） （项目编号: ZZCG2024123-1）</w:t>
      </w:r>
      <w:r>
        <w:rPr>
          <w:rFonts w:hint="eastAsia" w:ascii="宋体" w:hAnsi="宋体" w:cs="宋体"/>
          <w:color w:val="auto"/>
          <w:kern w:val="0"/>
          <w:sz w:val="24"/>
          <w:highlight w:val="none"/>
          <w:lang w:val="zh-CN"/>
        </w:rPr>
        <w:t>的实施。</w:t>
      </w:r>
    </w:p>
    <w:p>
      <w:pPr>
        <w:kinsoku/>
        <w:overflowPunct/>
        <w:bidi w:val="0"/>
        <w:adjustRightInd w:val="0"/>
        <w:snapToGrid w:val="0"/>
        <w:spacing w:line="400" w:lineRule="exact"/>
        <w:ind w:right="480"/>
        <w:jc w:val="center"/>
        <w:rPr>
          <w:rFonts w:hint="eastAsia" w:ascii="宋体" w:hAnsi="宋体" w:eastAsia="宋体" w:cs="宋体"/>
          <w:b/>
          <w:color w:val="auto"/>
          <w:kern w:val="0"/>
          <w:sz w:val="24"/>
          <w:highlight w:val="none"/>
          <w:lang w:val="zh-CN"/>
        </w:rPr>
      </w:pPr>
      <w:r>
        <w:rPr>
          <w:rFonts w:hint="eastAsia" w:ascii="宋体" w:hAnsi="宋体" w:cs="宋体"/>
          <w:b/>
          <w:color w:val="auto"/>
          <w:kern w:val="0"/>
          <w:sz w:val="24"/>
          <w:highlight w:val="none"/>
          <w:lang w:val="zh-CN"/>
        </w:rPr>
        <w:t xml:space="preserve">                                            </w:t>
      </w:r>
      <w:r>
        <w:rPr>
          <w:rFonts w:hint="eastAsia" w:ascii="宋体" w:hAnsi="宋体" w:eastAsia="宋体" w:cs="宋体"/>
          <w:b/>
          <w:color w:val="auto"/>
          <w:kern w:val="0"/>
          <w:sz w:val="24"/>
          <w:highlight w:val="none"/>
          <w:lang w:val="zh-CN"/>
        </w:rPr>
        <w:t xml:space="preserve">                                              货币单位：人民币元</w:t>
      </w:r>
    </w:p>
    <w:tbl>
      <w:tblPr>
        <w:tblStyle w:val="97"/>
        <w:tblW w:w="9717" w:type="dxa"/>
        <w:jc w:val="center"/>
        <w:tblInd w:w="0" w:type="dxa"/>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005"/>
        <w:gridCol w:w="3214"/>
        <w:gridCol w:w="5498"/>
      </w:tblGrid>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449" w:hRule="atLeast"/>
          <w:tblHeader/>
          <w:jc w:val="center"/>
        </w:trPr>
        <w:tc>
          <w:tcPr>
            <w:tcW w:w="1005" w:type="dxa"/>
            <w:tcBorders>
              <w:top w:val="single" w:color="auto" w:sz="4" w:space="0"/>
              <w:right w:val="single" w:color="auto" w:sz="4" w:space="0"/>
            </w:tcBorders>
            <w:vAlign w:val="center"/>
          </w:tcPr>
          <w:p>
            <w:pPr>
              <w:spacing w:line="360" w:lineRule="auto"/>
              <w:jc w:val="center"/>
              <w:rPr>
                <w:rFonts w:hint="eastAsia" w:ascii="宋体" w:hAnsi="宋体" w:eastAsia="宋体" w:cs="宋体"/>
                <w:b/>
                <w:color w:val="auto"/>
                <w:sz w:val="24"/>
                <w:highlight w:val="none"/>
                <w:lang w:val="en-GB" w:eastAsia="zh-CN"/>
              </w:rPr>
            </w:pPr>
            <w:r>
              <w:rPr>
                <w:rFonts w:hint="eastAsia" w:ascii="宋体" w:hAnsi="宋体" w:cs="宋体"/>
                <w:b/>
                <w:color w:val="auto"/>
                <w:sz w:val="24"/>
                <w:highlight w:val="none"/>
                <w:lang w:val="en-GB" w:eastAsia="zh-CN"/>
              </w:rPr>
              <w:t>标项</w:t>
            </w:r>
          </w:p>
        </w:tc>
        <w:tc>
          <w:tcPr>
            <w:tcW w:w="3214" w:type="dxa"/>
            <w:tcBorders>
              <w:top w:val="single" w:color="auto" w:sz="4" w:space="0"/>
              <w:left w:val="single" w:color="auto" w:sz="4" w:space="0"/>
            </w:tcBorders>
            <w:vAlign w:val="center"/>
          </w:tcPr>
          <w:p>
            <w:pPr>
              <w:spacing w:line="360" w:lineRule="auto"/>
              <w:jc w:val="center"/>
              <w:rPr>
                <w:rFonts w:hint="eastAsia" w:ascii="宋体" w:hAnsi="宋体" w:cs="宋体"/>
                <w:b/>
                <w:color w:val="auto"/>
                <w:sz w:val="24"/>
                <w:highlight w:val="none"/>
                <w:lang w:val="en-GB" w:eastAsia="zh-CN"/>
              </w:rPr>
            </w:pPr>
            <w:r>
              <w:rPr>
                <w:rFonts w:hint="eastAsia" w:ascii="宋体" w:hAnsi="宋体" w:cs="宋体"/>
                <w:b/>
                <w:color w:val="auto"/>
                <w:sz w:val="24"/>
                <w:highlight w:val="none"/>
                <w:lang w:val="en-GB" w:eastAsia="zh-CN"/>
              </w:rPr>
              <w:t>标项</w:t>
            </w:r>
            <w:r>
              <w:rPr>
                <w:rFonts w:hint="eastAsia" w:ascii="宋体" w:hAnsi="宋体" w:eastAsia="宋体" w:cs="宋体"/>
                <w:b/>
                <w:color w:val="auto"/>
                <w:sz w:val="24"/>
                <w:highlight w:val="none"/>
                <w:lang w:val="en-GB"/>
              </w:rPr>
              <w:t>名称</w:t>
            </w:r>
          </w:p>
        </w:tc>
        <w:tc>
          <w:tcPr>
            <w:tcW w:w="5498" w:type="dxa"/>
            <w:tcBorders>
              <w:right w:val="single" w:color="auto" w:sz="4" w:space="0"/>
            </w:tcBorders>
            <w:vAlign w:val="center"/>
          </w:tcPr>
          <w:p>
            <w:pPr>
              <w:spacing w:line="360" w:lineRule="auto"/>
              <w:jc w:val="center"/>
              <w:rPr>
                <w:rFonts w:hint="eastAsia" w:ascii="宋体" w:hAnsi="宋体" w:eastAsia="宋体" w:cs="宋体"/>
                <w:b/>
                <w:color w:val="auto"/>
                <w:sz w:val="24"/>
                <w:highlight w:val="none"/>
                <w:lang w:val="en-GB"/>
              </w:rPr>
            </w:pPr>
            <w:r>
              <w:rPr>
                <w:rFonts w:hint="eastAsia" w:ascii="宋体" w:hAnsi="宋体" w:eastAsia="宋体" w:cs="宋体"/>
                <w:b/>
                <w:color w:val="auto"/>
                <w:sz w:val="24"/>
                <w:highlight w:val="none"/>
                <w:lang w:val="en-GB"/>
              </w:rPr>
              <w:t>投标报价</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855" w:hRule="atLeast"/>
          <w:jc w:val="center"/>
        </w:trPr>
        <w:tc>
          <w:tcPr>
            <w:tcW w:w="1005" w:type="dxa"/>
            <w:tcBorders>
              <w:right w:val="single" w:color="auto" w:sz="4" w:space="0"/>
            </w:tcBorders>
            <w:vAlign w:val="center"/>
          </w:tcPr>
          <w:p>
            <w:pPr>
              <w:spacing w:line="360" w:lineRule="auto"/>
              <w:jc w:val="center"/>
              <w:rPr>
                <w:rFonts w:hint="eastAsia" w:ascii="宋体" w:hAnsi="宋体" w:eastAsia="宋体" w:cs="宋体"/>
                <w:b w:val="0"/>
                <w:bCs w:val="0"/>
                <w:color w:val="auto"/>
                <w:sz w:val="24"/>
                <w:highlight w:val="none"/>
              </w:rPr>
            </w:pPr>
          </w:p>
        </w:tc>
        <w:tc>
          <w:tcPr>
            <w:tcW w:w="3214" w:type="dxa"/>
            <w:tcBorders>
              <w:left w:val="single" w:color="auto" w:sz="4" w:space="0"/>
            </w:tcBorders>
            <w:vAlign w:val="center"/>
          </w:tcPr>
          <w:p>
            <w:pPr>
              <w:spacing w:line="360" w:lineRule="auto"/>
              <w:jc w:val="center"/>
              <w:rPr>
                <w:rFonts w:hint="eastAsia" w:ascii="宋体" w:hAnsi="宋体" w:cs="宋体"/>
                <w:color w:val="auto"/>
                <w:sz w:val="24"/>
                <w:highlight w:val="none"/>
                <w:lang w:val="en-GB" w:eastAsia="zh-CN"/>
              </w:rPr>
            </w:pPr>
          </w:p>
        </w:tc>
        <w:tc>
          <w:tcPr>
            <w:tcW w:w="5498" w:type="dxa"/>
            <w:tcBorders>
              <w:bottom w:val="single" w:color="auto" w:sz="4" w:space="0"/>
              <w:right w:val="single" w:color="auto" w:sz="4" w:space="0"/>
            </w:tcBorders>
            <w:vAlign w:val="center"/>
          </w:tcPr>
          <w:p>
            <w:pPr>
              <w:spacing w:line="360" w:lineRule="auto"/>
              <w:rPr>
                <w:rFonts w:hint="eastAsia" w:ascii="宋体" w:hAnsi="宋体" w:eastAsia="宋体" w:cs="宋体"/>
                <w:color w:val="auto"/>
                <w:sz w:val="24"/>
                <w:highlight w:val="none"/>
                <w:u w:val="single"/>
                <w:lang w:val="en-US" w:eastAsia="zh-CN"/>
              </w:rPr>
            </w:pPr>
            <w:r>
              <w:rPr>
                <w:rFonts w:hint="eastAsia" w:ascii="宋体" w:hAnsi="宋体" w:eastAsia="宋体" w:cs="宋体"/>
                <w:color w:val="auto"/>
                <w:sz w:val="24"/>
                <w:highlight w:val="none"/>
              </w:rPr>
              <w:t>（小写）：</w:t>
            </w:r>
            <w:r>
              <w:rPr>
                <w:rFonts w:hint="eastAsia" w:ascii="宋体" w:hAnsi="宋体" w:eastAsia="宋体" w:cs="宋体"/>
                <w:color w:val="auto"/>
                <w:sz w:val="24"/>
                <w:highlight w:val="none"/>
                <w:u w:val="single"/>
                <w:lang w:val="en-US" w:eastAsia="zh-CN"/>
              </w:rPr>
              <w:t xml:space="preserve">            </w:t>
            </w:r>
          </w:p>
          <w:p>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（大写）：</w:t>
            </w:r>
            <w:r>
              <w:rPr>
                <w:rFonts w:hint="eastAsia" w:ascii="宋体" w:hAnsi="宋体" w:eastAsia="宋体" w:cs="宋体"/>
                <w:color w:val="auto"/>
                <w:sz w:val="24"/>
                <w:highlight w:val="none"/>
                <w:u w:val="single"/>
                <w:lang w:val="en-US" w:eastAsia="zh-CN"/>
              </w:rPr>
              <w:t xml:space="preserve">            </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385" w:hRule="atLeast"/>
          <w:jc w:val="center"/>
        </w:trPr>
        <w:tc>
          <w:tcPr>
            <w:tcW w:w="4219" w:type="dxa"/>
            <w:gridSpan w:val="2"/>
            <w:tcBorders>
              <w:right w:val="single" w:color="auto" w:sz="4" w:space="0"/>
            </w:tcBorders>
            <w:vAlign w:val="center"/>
          </w:tcPr>
          <w:p>
            <w:pPr>
              <w:spacing w:line="360" w:lineRule="auto"/>
              <w:jc w:val="center"/>
              <w:rPr>
                <w:rFonts w:hint="eastAsia" w:ascii="宋体" w:hAnsi="宋体" w:eastAsia="宋体" w:cs="宋体"/>
                <w:color w:val="auto"/>
                <w:sz w:val="24"/>
                <w:highlight w:val="none"/>
                <w:lang w:val="en-US" w:eastAsia="zh-CN"/>
              </w:rPr>
            </w:pPr>
            <w:r>
              <w:rPr>
                <w:rFonts w:hint="eastAsia" w:ascii="宋体" w:hAnsi="宋体" w:cs="宋体"/>
                <w:color w:val="auto"/>
                <w:sz w:val="24"/>
                <w:highlight w:val="none"/>
                <w:lang w:val="en-US" w:eastAsia="zh-CN"/>
              </w:rPr>
              <w:t>项目负责人</w:t>
            </w:r>
          </w:p>
        </w:tc>
        <w:tc>
          <w:tcPr>
            <w:tcW w:w="5498" w:type="dxa"/>
            <w:tcBorders>
              <w:left w:val="single" w:color="auto" w:sz="4" w:space="0"/>
              <w:bottom w:val="single" w:color="auto" w:sz="4" w:space="0"/>
              <w:right w:val="single" w:color="auto"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kinsoku/>
              <w:wordWrap/>
              <w:overflowPunct/>
              <w:topLinePunct w:val="0"/>
              <w:autoSpaceDE/>
              <w:autoSpaceDN/>
              <w:bidi w:val="0"/>
              <w:adjustRightInd/>
              <w:snapToGrid w:val="0"/>
              <w:spacing w:line="400" w:lineRule="exact"/>
              <w:ind w:right="-773" w:rightChars="-276"/>
              <w:jc w:val="left"/>
              <w:textAlignment w:val="auto"/>
              <w:rPr>
                <w:rFonts w:hint="eastAsia" w:ascii="宋体" w:hAnsi="宋体" w:eastAsia="宋体" w:cs="宋体"/>
                <w:color w:val="auto"/>
                <w:sz w:val="24"/>
                <w:highlight w:val="none"/>
              </w:rPr>
            </w:pP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385" w:hRule="atLeast"/>
          <w:jc w:val="center"/>
        </w:trPr>
        <w:tc>
          <w:tcPr>
            <w:tcW w:w="4219" w:type="dxa"/>
            <w:gridSpan w:val="2"/>
            <w:tcBorders>
              <w:right w:val="single" w:color="auto" w:sz="4" w:space="0"/>
            </w:tcBorders>
            <w:vAlign w:val="center"/>
          </w:tcPr>
          <w:p>
            <w:pPr>
              <w:jc w:val="center"/>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lang w:val="en-US" w:eastAsia="zh-CN"/>
              </w:rPr>
              <w:t>备注</w:t>
            </w:r>
          </w:p>
        </w:tc>
        <w:tc>
          <w:tcPr>
            <w:tcW w:w="5498" w:type="dxa"/>
            <w:tcBorders>
              <w:left w:val="single" w:color="auto" w:sz="4" w:space="0"/>
              <w:bottom w:val="single" w:color="auto" w:sz="4" w:space="0"/>
              <w:right w:val="single" w:color="auto" w:sz="4" w:space="0"/>
            </w:tcBorders>
            <w:vAlign w:val="center"/>
          </w:tcPr>
          <w:p>
            <w:pPr>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lang w:eastAsia="zh-CN"/>
              </w:rPr>
              <w:t>本</w:t>
            </w:r>
            <w:r>
              <w:rPr>
                <w:rFonts w:hint="eastAsia" w:ascii="宋体" w:hAnsi="宋体" w:eastAsia="宋体" w:cs="宋体"/>
                <w:b/>
                <w:bCs/>
                <w:color w:val="auto"/>
                <w:sz w:val="24"/>
                <w:szCs w:val="24"/>
                <w:highlight w:val="none"/>
              </w:rPr>
              <w:t>项目分标项</w:t>
            </w:r>
            <w:r>
              <w:rPr>
                <w:rFonts w:hint="eastAsia" w:ascii="宋体" w:hAnsi="宋体" w:eastAsia="宋体" w:cs="宋体"/>
                <w:b/>
                <w:bCs/>
                <w:color w:val="auto"/>
                <w:sz w:val="24"/>
                <w:szCs w:val="24"/>
                <w:highlight w:val="none"/>
                <w:lang w:eastAsia="zh-CN"/>
              </w:rPr>
              <w:t>一和标项二</w:t>
            </w:r>
            <w:r>
              <w:rPr>
                <w:rFonts w:hint="eastAsia" w:ascii="宋体" w:hAnsi="宋体" w:eastAsia="宋体" w:cs="宋体"/>
                <w:b/>
                <w:bCs/>
                <w:color w:val="auto"/>
                <w:sz w:val="24"/>
                <w:szCs w:val="24"/>
                <w:highlight w:val="none"/>
              </w:rPr>
              <w:t>，请按</w:t>
            </w:r>
            <w:r>
              <w:rPr>
                <w:rFonts w:hint="eastAsia" w:ascii="宋体" w:hAnsi="宋体" w:eastAsia="宋体" w:cs="宋体"/>
                <w:b/>
                <w:bCs/>
                <w:color w:val="auto"/>
                <w:sz w:val="24"/>
                <w:szCs w:val="24"/>
                <w:highlight w:val="none"/>
                <w:lang w:eastAsia="zh-CN"/>
              </w:rPr>
              <w:t>相关</w:t>
            </w:r>
            <w:r>
              <w:rPr>
                <w:rFonts w:hint="eastAsia" w:ascii="宋体" w:hAnsi="宋体" w:eastAsia="宋体" w:cs="宋体"/>
                <w:b/>
                <w:bCs/>
                <w:color w:val="auto"/>
                <w:sz w:val="24"/>
                <w:szCs w:val="24"/>
                <w:highlight w:val="none"/>
              </w:rPr>
              <w:t>要求，在</w:t>
            </w:r>
            <w:r>
              <w:rPr>
                <w:rFonts w:hint="eastAsia" w:ascii="宋体" w:hAnsi="宋体" w:eastAsia="宋体" w:cs="宋体"/>
                <w:b/>
                <w:bCs/>
                <w:color w:val="auto"/>
                <w:sz w:val="24"/>
                <w:szCs w:val="24"/>
                <w:highlight w:val="none"/>
                <w:lang w:eastAsia="zh-CN"/>
              </w:rPr>
              <w:t>相应</w:t>
            </w:r>
            <w:r>
              <w:rPr>
                <w:rFonts w:hint="eastAsia" w:ascii="宋体" w:hAnsi="宋体" w:eastAsia="宋体" w:cs="宋体"/>
                <w:b/>
                <w:bCs/>
                <w:color w:val="auto"/>
                <w:sz w:val="24"/>
                <w:szCs w:val="24"/>
                <w:highlight w:val="none"/>
              </w:rPr>
              <w:t>位置</w:t>
            </w:r>
            <w:r>
              <w:rPr>
                <w:rFonts w:hint="eastAsia" w:ascii="宋体" w:hAnsi="宋体" w:eastAsia="宋体" w:cs="宋体"/>
                <w:b/>
                <w:bCs/>
                <w:color w:val="auto"/>
                <w:sz w:val="24"/>
                <w:szCs w:val="24"/>
                <w:highlight w:val="none"/>
                <w:lang w:eastAsia="zh-CN"/>
              </w:rPr>
              <w:t>中</w:t>
            </w:r>
            <w:r>
              <w:rPr>
                <w:rFonts w:hint="eastAsia" w:ascii="宋体" w:hAnsi="宋体" w:eastAsia="宋体" w:cs="宋体"/>
                <w:b/>
                <w:bCs/>
                <w:color w:val="auto"/>
                <w:sz w:val="24"/>
                <w:szCs w:val="24"/>
                <w:highlight w:val="none"/>
              </w:rPr>
              <w:t>注明标项及标项名称。</w:t>
            </w:r>
          </w:p>
        </w:tc>
      </w:tr>
      <w:tr>
        <w:tblPrEx>
          <w:tblBorders>
            <w:top w:val="single" w:color="auto" w:sz="4" w:space="0"/>
            <w:left w:val="single" w:color="auto" w:sz="4" w:space="0"/>
            <w:bottom w:val="single" w:color="auto" w:sz="4" w:space="0"/>
            <w:right w:val="single" w:color="auto" w:sz="4" w:space="0"/>
            <w:insideH w:val="single" w:color="auto" w:sz="6" w:space="0"/>
            <w:insideV w:val="single" w:color="auto" w:sz="6" w:space="0"/>
          </w:tblBorders>
          <w:tblLayout w:type="fixed"/>
          <w:tblCellMar>
            <w:top w:w="0" w:type="dxa"/>
            <w:left w:w="108" w:type="dxa"/>
            <w:bottom w:w="0" w:type="dxa"/>
            <w:right w:w="108" w:type="dxa"/>
          </w:tblCellMar>
        </w:tblPrEx>
        <w:trPr>
          <w:cantSplit/>
          <w:trHeight w:val="855" w:hRule="atLeast"/>
          <w:jc w:val="center"/>
        </w:trPr>
        <w:tc>
          <w:tcPr>
            <w:tcW w:w="9717" w:type="dxa"/>
            <w:gridSpan w:val="3"/>
            <w:tcBorders>
              <w:right w:val="single" w:color="auto" w:sz="4" w:space="0"/>
            </w:tcBorders>
            <w:vAlign w:val="center"/>
          </w:tcPr>
          <w:p>
            <w:pP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本报价已包含招标文件“第二部分 投标人须知 \三、投标文件\（三）投标报价”要求的全部内容。</w:t>
            </w:r>
          </w:p>
        </w:tc>
      </w:tr>
    </w:tbl>
    <w:p>
      <w:pPr>
        <w:adjustRightInd w:val="0"/>
        <w:snapToGrid w:val="0"/>
        <w:spacing w:line="360" w:lineRule="auto"/>
        <w:jc w:val="left"/>
        <w:rPr>
          <w:rFonts w:hint="eastAsia" w:ascii="宋体" w:hAnsi="宋体" w:cs="宋体"/>
          <w:color w:val="auto"/>
          <w:kern w:val="0"/>
          <w:sz w:val="24"/>
          <w:highlight w:val="none"/>
          <w:lang w:val="zh-CN"/>
        </w:rPr>
      </w:pPr>
      <w:r>
        <w:rPr>
          <w:rFonts w:hint="eastAsia" w:ascii="宋体" w:hAnsi="宋体" w:cs="宋体"/>
          <w:b/>
          <w:color w:val="auto"/>
          <w:kern w:val="0"/>
          <w:sz w:val="24"/>
          <w:highlight w:val="none"/>
          <w:lang w:val="zh-CN"/>
        </w:rPr>
        <w:t>注：</w:t>
      </w:r>
      <w:r>
        <w:rPr>
          <w:rFonts w:hint="eastAsia" w:ascii="宋体" w:hAnsi="宋体" w:cs="宋体"/>
          <w:color w:val="auto"/>
          <w:kern w:val="0"/>
          <w:sz w:val="24"/>
          <w:highlight w:val="none"/>
          <w:lang w:val="zh-CN"/>
        </w:rPr>
        <w:t>1</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lang w:val="zh-CN"/>
        </w:rPr>
        <w:t>此表报价单不得涂改，请按规定要求填报。</w:t>
      </w:r>
    </w:p>
    <w:p>
      <w:pPr>
        <w:adjustRightInd w:val="0"/>
        <w:snapToGrid w:val="0"/>
        <w:spacing w:line="360" w:lineRule="auto"/>
        <w:ind w:firstLine="480" w:firstLineChars="200"/>
        <w:jc w:val="left"/>
        <w:rPr>
          <w:rFonts w:hint="eastAsia" w:ascii="宋体" w:hAnsi="宋体" w:cs="宋体"/>
          <w:color w:val="auto"/>
          <w:kern w:val="0"/>
          <w:sz w:val="24"/>
          <w:highlight w:val="none"/>
          <w:lang w:val="zh-CN"/>
        </w:rPr>
      </w:pPr>
      <w:r>
        <w:rPr>
          <w:rFonts w:hint="eastAsia" w:ascii="宋体" w:hAnsi="宋体" w:cs="宋体"/>
          <w:color w:val="auto"/>
          <w:kern w:val="0"/>
          <w:sz w:val="24"/>
          <w:highlight w:val="none"/>
          <w:lang w:val="zh-CN"/>
        </w:rPr>
        <w:t>2</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lang w:val="zh-CN"/>
        </w:rPr>
        <w:t>以上报价最终对应“第三部分 项目技术及服务要求”中的各项内容的收费。</w:t>
      </w:r>
    </w:p>
    <w:p>
      <w:pPr>
        <w:spacing w:line="360" w:lineRule="auto"/>
        <w:ind w:firstLine="480" w:firstLineChars="200"/>
        <w:jc w:val="left"/>
        <w:rPr>
          <w:rFonts w:hint="eastAsia" w:ascii="宋体" w:hAnsi="宋体" w:cs="宋体"/>
          <w:bCs/>
          <w:color w:val="auto"/>
          <w:sz w:val="24"/>
          <w:szCs w:val="24"/>
          <w:highlight w:val="none"/>
          <w:lang w:val="zh-CN"/>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rPr>
        <w:t>本项目的投标</w:t>
      </w:r>
      <w:r>
        <w:rPr>
          <w:rFonts w:hint="eastAsia" w:ascii="宋体" w:hAnsi="宋体" w:cs="宋体"/>
          <w:bCs/>
          <w:color w:val="auto"/>
          <w:sz w:val="24"/>
          <w:szCs w:val="24"/>
          <w:highlight w:val="none"/>
          <w:lang w:val="zh-CN"/>
        </w:rPr>
        <w:t>报价包括本次的货物价款、人工费、材料费、运输保险费、安装调试费（含安装人工等相关人工费用）、售后服务、各项税金、验收费等所有费用。</w:t>
      </w:r>
    </w:p>
    <w:p>
      <w:pPr>
        <w:spacing w:line="360" w:lineRule="auto"/>
        <w:ind w:firstLine="480" w:firstLineChars="200"/>
        <w:jc w:val="left"/>
        <w:rPr>
          <w:rFonts w:hint="eastAsia" w:ascii="宋体" w:hAnsi="宋体" w:cs="宋体"/>
          <w:bCs/>
          <w:color w:val="auto"/>
          <w:sz w:val="24"/>
          <w:szCs w:val="24"/>
          <w:highlight w:val="none"/>
        </w:rPr>
      </w:pPr>
      <w:r>
        <w:rPr>
          <w:rFonts w:hint="eastAsia" w:ascii="宋体" w:hAnsi="宋体" w:cs="宋体"/>
          <w:bCs/>
          <w:color w:val="auto"/>
          <w:sz w:val="24"/>
          <w:szCs w:val="24"/>
          <w:highlight w:val="none"/>
        </w:rPr>
        <w:t>4</w:t>
      </w:r>
      <w:r>
        <w:rPr>
          <w:rFonts w:hint="eastAsia" w:ascii="宋体" w:hAnsi="宋体" w:cs="宋体"/>
          <w:bCs/>
          <w:color w:val="auto"/>
          <w:sz w:val="24"/>
          <w:szCs w:val="24"/>
          <w:highlight w:val="none"/>
          <w:lang w:val="en-US" w:eastAsia="zh-CN"/>
        </w:rPr>
        <w:t>.</w:t>
      </w:r>
      <w:r>
        <w:rPr>
          <w:rFonts w:hint="eastAsia" w:ascii="宋体" w:hAnsi="宋体" w:cs="宋体"/>
          <w:b/>
          <w:color w:val="auto"/>
          <w:sz w:val="24"/>
          <w:szCs w:val="24"/>
          <w:highlight w:val="none"/>
        </w:rPr>
        <w:t>供应商报价低于项目预算50%的，应当在报价文件中详细阐述不影响产品质量或者诚信履约的具体原因。</w:t>
      </w:r>
    </w:p>
    <w:p>
      <w:pPr>
        <w:adjustRightInd w:val="0"/>
        <w:snapToGrid w:val="0"/>
        <w:spacing w:line="400" w:lineRule="exact"/>
        <w:ind w:firstLine="4759" w:firstLineChars="1983"/>
        <w:rPr>
          <w:rFonts w:hint="eastAsia" w:ascii="宋体" w:hAnsi="宋体" w:cs="宋体"/>
          <w:color w:val="auto"/>
          <w:kern w:val="0"/>
          <w:sz w:val="24"/>
          <w:highlight w:val="none"/>
          <w:lang w:val="zh-CN"/>
        </w:rPr>
      </w:pPr>
      <w:bookmarkStart w:id="126" w:name="_GoBack"/>
      <w:bookmarkEnd w:id="126"/>
    </w:p>
    <w:p>
      <w:pPr>
        <w:adjustRightInd w:val="0"/>
        <w:snapToGrid w:val="0"/>
        <w:spacing w:line="400" w:lineRule="exact"/>
        <w:ind w:firstLine="4759" w:firstLineChars="1983"/>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400" w:lineRule="exact"/>
        <w:ind w:firstLine="4759" w:firstLineChars="1983"/>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400" w:lineRule="exact"/>
        <w:ind w:firstLine="4759" w:firstLineChars="1983"/>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u w:val="single"/>
        </w:rPr>
        <w:tab/>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日</w:t>
      </w:r>
    </w:p>
    <w:p>
      <w:pPr>
        <w:pStyle w:val="6"/>
        <w:spacing w:line="400" w:lineRule="exact"/>
        <w:ind w:left="0" w:firstLine="0"/>
        <w:rPr>
          <w:rFonts w:hint="eastAsia" w:ascii="宋体" w:hAnsi="宋体" w:eastAsia="宋体" w:cs="宋体"/>
          <w:color w:val="auto"/>
          <w:sz w:val="28"/>
          <w:highlight w:val="none"/>
        </w:rPr>
        <w:sectPr>
          <w:footerReference r:id="rId11" w:type="first"/>
          <w:footerReference r:id="rId10" w:type="default"/>
          <w:pgSz w:w="11906" w:h="16838"/>
          <w:pgMar w:top="1440" w:right="1440" w:bottom="1440" w:left="1440" w:header="851" w:footer="851" w:gutter="0"/>
          <w:cols w:space="720" w:num="1"/>
          <w:titlePg/>
          <w:docGrid w:linePitch="381" w:charSpace="0"/>
        </w:sectPr>
      </w:pPr>
      <w:bookmarkStart w:id="123" w:name="_Toc522530061"/>
      <w:bookmarkStart w:id="124" w:name="_Toc16646"/>
    </w:p>
    <w:p>
      <w:pPr>
        <w:pStyle w:val="6"/>
        <w:kinsoku/>
        <w:overflowPunct/>
        <w:bidi w:val="0"/>
        <w:spacing w:line="400" w:lineRule="exact"/>
        <w:ind w:left="0" w:firstLine="0"/>
        <w:jc w:val="center"/>
        <w:rPr>
          <w:rFonts w:hint="eastAsia" w:ascii="宋体" w:hAnsi="宋体" w:eastAsia="宋体" w:cs="宋体"/>
          <w:color w:val="auto"/>
          <w:sz w:val="28"/>
          <w:highlight w:val="none"/>
          <w:lang w:eastAsia="zh-CN"/>
        </w:rPr>
      </w:pPr>
      <w:r>
        <w:rPr>
          <w:rFonts w:hint="eastAsia" w:ascii="宋体" w:hAnsi="宋体" w:eastAsia="宋体" w:cs="宋体"/>
          <w:color w:val="auto"/>
          <w:sz w:val="28"/>
          <w:highlight w:val="none"/>
        </w:rPr>
        <w:t>格式八：投标报价明细表</w:t>
      </w:r>
      <w:r>
        <w:rPr>
          <w:rFonts w:hint="eastAsia" w:ascii="宋体" w:hAnsi="宋体" w:eastAsia="宋体" w:cs="宋体"/>
          <w:color w:val="auto"/>
          <w:sz w:val="28"/>
          <w:highlight w:val="none"/>
          <w:lang w:eastAsia="zh-CN"/>
        </w:rPr>
        <w:t>（标项一或标项二）</w:t>
      </w:r>
    </w:p>
    <w:p>
      <w:pPr>
        <w:pStyle w:val="6"/>
        <w:spacing w:line="400" w:lineRule="exact"/>
        <w:ind w:left="0" w:firstLine="0"/>
        <w:jc w:val="center"/>
        <w:rPr>
          <w:rFonts w:hint="eastAsia" w:ascii="宋体" w:hAnsi="宋体" w:eastAsia="宋体" w:cs="宋体"/>
          <w:color w:val="auto"/>
          <w:sz w:val="28"/>
          <w:highlight w:val="none"/>
        </w:rPr>
      </w:pPr>
    </w:p>
    <w:p>
      <w:pPr>
        <w:rPr>
          <w:color w:val="auto"/>
          <w:highlight w:val="none"/>
        </w:rPr>
      </w:pPr>
    </w:p>
    <w:tbl>
      <w:tblPr>
        <w:tblStyle w:val="98"/>
        <w:tblW w:w="919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53"/>
        <w:gridCol w:w="692"/>
        <w:gridCol w:w="2041"/>
        <w:gridCol w:w="620"/>
        <w:gridCol w:w="813"/>
        <w:gridCol w:w="950"/>
        <w:gridCol w:w="950"/>
        <w:gridCol w:w="950"/>
        <w:gridCol w:w="1050"/>
        <w:gridCol w:w="57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3"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序号</w:t>
            </w:r>
          </w:p>
        </w:tc>
        <w:tc>
          <w:tcPr>
            <w:tcW w:w="692"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名称</w:t>
            </w:r>
          </w:p>
        </w:tc>
        <w:tc>
          <w:tcPr>
            <w:tcW w:w="2041"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技术参数</w:t>
            </w:r>
          </w:p>
        </w:tc>
        <w:tc>
          <w:tcPr>
            <w:tcW w:w="620"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品牌</w:t>
            </w:r>
          </w:p>
        </w:tc>
        <w:tc>
          <w:tcPr>
            <w:tcW w:w="813"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规格</w:t>
            </w:r>
          </w:p>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型号</w:t>
            </w:r>
          </w:p>
        </w:tc>
        <w:tc>
          <w:tcPr>
            <w:tcW w:w="950"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单位</w:t>
            </w:r>
          </w:p>
        </w:tc>
        <w:tc>
          <w:tcPr>
            <w:tcW w:w="950"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数量</w:t>
            </w:r>
          </w:p>
        </w:tc>
        <w:tc>
          <w:tcPr>
            <w:tcW w:w="950"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单价（元）</w:t>
            </w:r>
          </w:p>
        </w:tc>
        <w:tc>
          <w:tcPr>
            <w:tcW w:w="1050"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总价（元）</w:t>
            </w:r>
          </w:p>
        </w:tc>
        <w:tc>
          <w:tcPr>
            <w:tcW w:w="573"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3"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1</w:t>
            </w:r>
          </w:p>
        </w:tc>
        <w:tc>
          <w:tcPr>
            <w:tcW w:w="692" w:type="dxa"/>
            <w:vAlign w:val="center"/>
          </w:tcPr>
          <w:p>
            <w:pPr>
              <w:spacing w:line="360" w:lineRule="auto"/>
              <w:jc w:val="center"/>
              <w:rPr>
                <w:rFonts w:hint="eastAsia" w:ascii="宋体" w:hAnsi="宋体" w:cs="宋体"/>
                <w:color w:val="auto"/>
                <w:sz w:val="24"/>
                <w:szCs w:val="24"/>
                <w:highlight w:val="none"/>
              </w:rPr>
            </w:pPr>
          </w:p>
        </w:tc>
        <w:tc>
          <w:tcPr>
            <w:tcW w:w="2041" w:type="dxa"/>
            <w:vAlign w:val="center"/>
          </w:tcPr>
          <w:p>
            <w:pPr>
              <w:spacing w:line="360" w:lineRule="auto"/>
              <w:jc w:val="center"/>
              <w:rPr>
                <w:rFonts w:hint="eastAsia" w:ascii="宋体" w:hAnsi="宋体" w:cs="宋体"/>
                <w:color w:val="auto"/>
                <w:sz w:val="24"/>
                <w:szCs w:val="24"/>
                <w:highlight w:val="none"/>
              </w:rPr>
            </w:pPr>
          </w:p>
        </w:tc>
        <w:tc>
          <w:tcPr>
            <w:tcW w:w="620" w:type="dxa"/>
            <w:vAlign w:val="center"/>
          </w:tcPr>
          <w:p>
            <w:pPr>
              <w:spacing w:line="360" w:lineRule="auto"/>
              <w:jc w:val="center"/>
              <w:rPr>
                <w:rFonts w:hint="eastAsia" w:ascii="宋体" w:hAnsi="宋体" w:cs="宋体"/>
                <w:color w:val="auto"/>
                <w:sz w:val="24"/>
                <w:szCs w:val="24"/>
                <w:highlight w:val="none"/>
              </w:rPr>
            </w:pPr>
          </w:p>
        </w:tc>
        <w:tc>
          <w:tcPr>
            <w:tcW w:w="813"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1050" w:type="dxa"/>
            <w:vAlign w:val="center"/>
          </w:tcPr>
          <w:p>
            <w:pPr>
              <w:spacing w:line="360" w:lineRule="auto"/>
              <w:jc w:val="center"/>
              <w:rPr>
                <w:rFonts w:hint="eastAsia" w:ascii="宋体" w:hAnsi="宋体" w:cs="宋体"/>
                <w:color w:val="auto"/>
                <w:sz w:val="24"/>
                <w:szCs w:val="24"/>
                <w:highlight w:val="none"/>
              </w:rPr>
            </w:pPr>
          </w:p>
        </w:tc>
        <w:tc>
          <w:tcPr>
            <w:tcW w:w="573" w:type="dxa"/>
            <w:vAlign w:val="center"/>
          </w:tcPr>
          <w:p>
            <w:pPr>
              <w:spacing w:line="360" w:lineRule="auto"/>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3" w:type="dxa"/>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2</w:t>
            </w:r>
          </w:p>
        </w:tc>
        <w:tc>
          <w:tcPr>
            <w:tcW w:w="692" w:type="dxa"/>
            <w:vAlign w:val="center"/>
          </w:tcPr>
          <w:p>
            <w:pPr>
              <w:spacing w:line="360" w:lineRule="auto"/>
              <w:jc w:val="center"/>
              <w:rPr>
                <w:rFonts w:hint="eastAsia" w:ascii="宋体" w:hAnsi="宋体" w:cs="宋体"/>
                <w:color w:val="auto"/>
                <w:sz w:val="24"/>
                <w:szCs w:val="24"/>
                <w:highlight w:val="none"/>
              </w:rPr>
            </w:pPr>
          </w:p>
        </w:tc>
        <w:tc>
          <w:tcPr>
            <w:tcW w:w="2041" w:type="dxa"/>
            <w:vAlign w:val="center"/>
          </w:tcPr>
          <w:p>
            <w:pPr>
              <w:spacing w:line="360" w:lineRule="auto"/>
              <w:jc w:val="center"/>
              <w:rPr>
                <w:rFonts w:hint="eastAsia" w:ascii="宋体" w:hAnsi="宋体" w:cs="宋体"/>
                <w:color w:val="auto"/>
                <w:sz w:val="24"/>
                <w:szCs w:val="24"/>
                <w:highlight w:val="none"/>
              </w:rPr>
            </w:pPr>
          </w:p>
        </w:tc>
        <w:tc>
          <w:tcPr>
            <w:tcW w:w="620" w:type="dxa"/>
            <w:vAlign w:val="center"/>
          </w:tcPr>
          <w:p>
            <w:pPr>
              <w:spacing w:line="360" w:lineRule="auto"/>
              <w:jc w:val="center"/>
              <w:rPr>
                <w:rFonts w:hint="eastAsia" w:ascii="宋体" w:hAnsi="宋体" w:cs="宋体"/>
                <w:color w:val="auto"/>
                <w:sz w:val="24"/>
                <w:szCs w:val="24"/>
                <w:highlight w:val="none"/>
              </w:rPr>
            </w:pPr>
          </w:p>
        </w:tc>
        <w:tc>
          <w:tcPr>
            <w:tcW w:w="813"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1050" w:type="dxa"/>
            <w:vAlign w:val="center"/>
          </w:tcPr>
          <w:p>
            <w:pPr>
              <w:spacing w:line="360" w:lineRule="auto"/>
              <w:jc w:val="center"/>
              <w:rPr>
                <w:rFonts w:hint="eastAsia" w:ascii="宋体" w:hAnsi="宋体" w:cs="宋体"/>
                <w:color w:val="auto"/>
                <w:sz w:val="24"/>
                <w:szCs w:val="24"/>
                <w:highlight w:val="none"/>
              </w:rPr>
            </w:pPr>
          </w:p>
        </w:tc>
        <w:tc>
          <w:tcPr>
            <w:tcW w:w="573" w:type="dxa"/>
            <w:vAlign w:val="center"/>
          </w:tcPr>
          <w:p>
            <w:pPr>
              <w:spacing w:line="360" w:lineRule="auto"/>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3" w:type="dxa"/>
            <w:vAlign w:val="center"/>
          </w:tcPr>
          <w:p>
            <w:pPr>
              <w:spacing w:line="360" w:lineRule="auto"/>
              <w:jc w:val="center"/>
              <w:rPr>
                <w:rFonts w:hint="eastAsia" w:ascii="宋体" w:hAnsi="宋体" w:cs="宋体"/>
                <w:color w:val="auto"/>
                <w:sz w:val="24"/>
                <w:szCs w:val="24"/>
                <w:highlight w:val="none"/>
              </w:rPr>
            </w:pPr>
          </w:p>
        </w:tc>
        <w:tc>
          <w:tcPr>
            <w:tcW w:w="692" w:type="dxa"/>
            <w:vAlign w:val="center"/>
          </w:tcPr>
          <w:p>
            <w:pPr>
              <w:spacing w:line="360" w:lineRule="auto"/>
              <w:jc w:val="center"/>
              <w:rPr>
                <w:rFonts w:hint="eastAsia" w:ascii="宋体" w:hAnsi="宋体" w:cs="宋体"/>
                <w:color w:val="auto"/>
                <w:sz w:val="24"/>
                <w:szCs w:val="24"/>
                <w:highlight w:val="none"/>
              </w:rPr>
            </w:pPr>
          </w:p>
        </w:tc>
        <w:tc>
          <w:tcPr>
            <w:tcW w:w="2041" w:type="dxa"/>
            <w:vAlign w:val="center"/>
          </w:tcPr>
          <w:p>
            <w:pPr>
              <w:spacing w:line="360" w:lineRule="auto"/>
              <w:jc w:val="center"/>
              <w:rPr>
                <w:rFonts w:hint="eastAsia" w:ascii="宋体" w:hAnsi="宋体" w:cs="宋体"/>
                <w:color w:val="auto"/>
                <w:sz w:val="24"/>
                <w:szCs w:val="24"/>
                <w:highlight w:val="none"/>
              </w:rPr>
            </w:pPr>
          </w:p>
        </w:tc>
        <w:tc>
          <w:tcPr>
            <w:tcW w:w="620" w:type="dxa"/>
            <w:vAlign w:val="center"/>
          </w:tcPr>
          <w:p>
            <w:pPr>
              <w:spacing w:line="360" w:lineRule="auto"/>
              <w:jc w:val="center"/>
              <w:rPr>
                <w:rFonts w:hint="eastAsia" w:ascii="宋体" w:hAnsi="宋体" w:cs="宋体"/>
                <w:color w:val="auto"/>
                <w:sz w:val="24"/>
                <w:szCs w:val="24"/>
                <w:highlight w:val="none"/>
              </w:rPr>
            </w:pPr>
          </w:p>
        </w:tc>
        <w:tc>
          <w:tcPr>
            <w:tcW w:w="813"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1050" w:type="dxa"/>
            <w:vAlign w:val="center"/>
          </w:tcPr>
          <w:p>
            <w:pPr>
              <w:spacing w:line="360" w:lineRule="auto"/>
              <w:jc w:val="center"/>
              <w:rPr>
                <w:rFonts w:hint="eastAsia" w:ascii="宋体" w:hAnsi="宋体" w:cs="宋体"/>
                <w:color w:val="auto"/>
                <w:sz w:val="24"/>
                <w:szCs w:val="24"/>
                <w:highlight w:val="none"/>
              </w:rPr>
            </w:pPr>
          </w:p>
        </w:tc>
        <w:tc>
          <w:tcPr>
            <w:tcW w:w="573" w:type="dxa"/>
            <w:vAlign w:val="center"/>
          </w:tcPr>
          <w:p>
            <w:pPr>
              <w:spacing w:line="360" w:lineRule="auto"/>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3" w:type="dxa"/>
            <w:vAlign w:val="center"/>
          </w:tcPr>
          <w:p>
            <w:pPr>
              <w:spacing w:line="360" w:lineRule="auto"/>
              <w:jc w:val="center"/>
              <w:rPr>
                <w:rFonts w:hint="eastAsia" w:ascii="宋体" w:hAnsi="宋体" w:cs="宋体"/>
                <w:color w:val="auto"/>
                <w:sz w:val="24"/>
                <w:szCs w:val="24"/>
                <w:highlight w:val="none"/>
              </w:rPr>
            </w:pPr>
          </w:p>
        </w:tc>
        <w:tc>
          <w:tcPr>
            <w:tcW w:w="692" w:type="dxa"/>
            <w:vAlign w:val="center"/>
          </w:tcPr>
          <w:p>
            <w:pPr>
              <w:spacing w:line="360" w:lineRule="auto"/>
              <w:jc w:val="center"/>
              <w:rPr>
                <w:rFonts w:hint="eastAsia" w:ascii="宋体" w:hAnsi="宋体" w:cs="宋体"/>
                <w:color w:val="auto"/>
                <w:sz w:val="24"/>
                <w:szCs w:val="24"/>
                <w:highlight w:val="none"/>
              </w:rPr>
            </w:pPr>
          </w:p>
        </w:tc>
        <w:tc>
          <w:tcPr>
            <w:tcW w:w="2041" w:type="dxa"/>
            <w:vAlign w:val="center"/>
          </w:tcPr>
          <w:p>
            <w:pPr>
              <w:spacing w:line="360" w:lineRule="auto"/>
              <w:jc w:val="center"/>
              <w:rPr>
                <w:rFonts w:hint="eastAsia" w:ascii="宋体" w:hAnsi="宋体" w:cs="宋体"/>
                <w:color w:val="auto"/>
                <w:sz w:val="24"/>
                <w:szCs w:val="24"/>
                <w:highlight w:val="none"/>
              </w:rPr>
            </w:pPr>
          </w:p>
        </w:tc>
        <w:tc>
          <w:tcPr>
            <w:tcW w:w="620" w:type="dxa"/>
            <w:vAlign w:val="center"/>
          </w:tcPr>
          <w:p>
            <w:pPr>
              <w:spacing w:line="360" w:lineRule="auto"/>
              <w:jc w:val="center"/>
              <w:rPr>
                <w:rFonts w:hint="eastAsia" w:ascii="宋体" w:hAnsi="宋体" w:cs="宋体"/>
                <w:color w:val="auto"/>
                <w:sz w:val="24"/>
                <w:szCs w:val="24"/>
                <w:highlight w:val="none"/>
              </w:rPr>
            </w:pPr>
          </w:p>
        </w:tc>
        <w:tc>
          <w:tcPr>
            <w:tcW w:w="813"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1050" w:type="dxa"/>
            <w:vAlign w:val="center"/>
          </w:tcPr>
          <w:p>
            <w:pPr>
              <w:spacing w:line="360" w:lineRule="auto"/>
              <w:jc w:val="center"/>
              <w:rPr>
                <w:rFonts w:hint="eastAsia" w:ascii="宋体" w:hAnsi="宋体" w:cs="宋体"/>
                <w:color w:val="auto"/>
                <w:sz w:val="24"/>
                <w:szCs w:val="24"/>
                <w:highlight w:val="none"/>
              </w:rPr>
            </w:pPr>
          </w:p>
        </w:tc>
        <w:tc>
          <w:tcPr>
            <w:tcW w:w="573" w:type="dxa"/>
            <w:vAlign w:val="center"/>
          </w:tcPr>
          <w:p>
            <w:pPr>
              <w:spacing w:line="360" w:lineRule="auto"/>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553" w:type="dxa"/>
            <w:vAlign w:val="center"/>
          </w:tcPr>
          <w:p>
            <w:pPr>
              <w:spacing w:line="360" w:lineRule="auto"/>
              <w:jc w:val="center"/>
              <w:rPr>
                <w:rFonts w:hint="eastAsia" w:ascii="宋体" w:hAnsi="宋体" w:cs="宋体"/>
                <w:color w:val="auto"/>
                <w:sz w:val="24"/>
                <w:szCs w:val="24"/>
                <w:highlight w:val="none"/>
              </w:rPr>
            </w:pPr>
          </w:p>
        </w:tc>
        <w:tc>
          <w:tcPr>
            <w:tcW w:w="692" w:type="dxa"/>
            <w:vAlign w:val="center"/>
          </w:tcPr>
          <w:p>
            <w:pPr>
              <w:spacing w:line="360" w:lineRule="auto"/>
              <w:jc w:val="center"/>
              <w:rPr>
                <w:rFonts w:hint="eastAsia" w:ascii="宋体" w:hAnsi="宋体" w:cs="宋体"/>
                <w:color w:val="auto"/>
                <w:sz w:val="24"/>
                <w:szCs w:val="24"/>
                <w:highlight w:val="none"/>
              </w:rPr>
            </w:pPr>
          </w:p>
        </w:tc>
        <w:tc>
          <w:tcPr>
            <w:tcW w:w="2041" w:type="dxa"/>
            <w:vAlign w:val="center"/>
          </w:tcPr>
          <w:p>
            <w:pPr>
              <w:spacing w:line="360" w:lineRule="auto"/>
              <w:jc w:val="center"/>
              <w:rPr>
                <w:rFonts w:hint="eastAsia" w:ascii="宋体" w:hAnsi="宋体" w:cs="宋体"/>
                <w:color w:val="auto"/>
                <w:sz w:val="24"/>
                <w:szCs w:val="24"/>
                <w:highlight w:val="none"/>
              </w:rPr>
            </w:pPr>
          </w:p>
        </w:tc>
        <w:tc>
          <w:tcPr>
            <w:tcW w:w="620" w:type="dxa"/>
            <w:vAlign w:val="center"/>
          </w:tcPr>
          <w:p>
            <w:pPr>
              <w:spacing w:line="360" w:lineRule="auto"/>
              <w:jc w:val="center"/>
              <w:rPr>
                <w:rFonts w:hint="eastAsia" w:ascii="宋体" w:hAnsi="宋体" w:cs="宋体"/>
                <w:color w:val="auto"/>
                <w:sz w:val="24"/>
                <w:szCs w:val="24"/>
                <w:highlight w:val="none"/>
              </w:rPr>
            </w:pPr>
          </w:p>
        </w:tc>
        <w:tc>
          <w:tcPr>
            <w:tcW w:w="813"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1050" w:type="dxa"/>
            <w:vAlign w:val="center"/>
          </w:tcPr>
          <w:p>
            <w:pPr>
              <w:spacing w:line="360" w:lineRule="auto"/>
              <w:jc w:val="center"/>
              <w:rPr>
                <w:rFonts w:hint="eastAsia" w:ascii="宋体" w:hAnsi="宋体" w:cs="宋体"/>
                <w:color w:val="auto"/>
                <w:sz w:val="24"/>
                <w:szCs w:val="24"/>
                <w:highlight w:val="none"/>
              </w:rPr>
            </w:pPr>
          </w:p>
        </w:tc>
        <w:tc>
          <w:tcPr>
            <w:tcW w:w="573" w:type="dxa"/>
            <w:vAlign w:val="center"/>
          </w:tcPr>
          <w:p>
            <w:pPr>
              <w:spacing w:line="360" w:lineRule="auto"/>
              <w:jc w:val="center"/>
              <w:rPr>
                <w:rFonts w:hint="eastAsia" w:ascii="宋体" w:hAnsi="宋体" w:cs="宋体"/>
                <w:color w:val="auto"/>
                <w:sz w:val="24"/>
                <w:szCs w:val="24"/>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850" w:hRule="atLeast"/>
          <w:jc w:val="center"/>
        </w:trPr>
        <w:tc>
          <w:tcPr>
            <w:tcW w:w="3286" w:type="dxa"/>
            <w:gridSpan w:val="3"/>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合计</w:t>
            </w:r>
          </w:p>
        </w:tc>
        <w:tc>
          <w:tcPr>
            <w:tcW w:w="620" w:type="dxa"/>
            <w:vAlign w:val="center"/>
          </w:tcPr>
          <w:p>
            <w:pPr>
              <w:spacing w:line="360" w:lineRule="auto"/>
              <w:jc w:val="center"/>
              <w:rPr>
                <w:rFonts w:hint="eastAsia" w:ascii="宋体" w:hAnsi="宋体" w:cs="宋体"/>
                <w:color w:val="auto"/>
                <w:sz w:val="24"/>
                <w:szCs w:val="24"/>
                <w:highlight w:val="none"/>
              </w:rPr>
            </w:pPr>
          </w:p>
        </w:tc>
        <w:tc>
          <w:tcPr>
            <w:tcW w:w="813"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950" w:type="dxa"/>
            <w:vAlign w:val="center"/>
          </w:tcPr>
          <w:p>
            <w:pPr>
              <w:spacing w:line="360" w:lineRule="auto"/>
              <w:jc w:val="center"/>
              <w:rPr>
                <w:rFonts w:hint="eastAsia" w:ascii="宋体" w:hAnsi="宋体" w:cs="宋体"/>
                <w:color w:val="auto"/>
                <w:sz w:val="24"/>
                <w:szCs w:val="24"/>
                <w:highlight w:val="none"/>
              </w:rPr>
            </w:pPr>
          </w:p>
        </w:tc>
        <w:tc>
          <w:tcPr>
            <w:tcW w:w="1050" w:type="dxa"/>
            <w:vAlign w:val="center"/>
          </w:tcPr>
          <w:p>
            <w:pPr>
              <w:spacing w:line="360" w:lineRule="auto"/>
              <w:jc w:val="center"/>
              <w:rPr>
                <w:rFonts w:hint="eastAsia" w:ascii="宋体" w:hAnsi="宋体" w:cs="宋体"/>
                <w:color w:val="auto"/>
                <w:sz w:val="24"/>
                <w:szCs w:val="24"/>
                <w:highlight w:val="none"/>
              </w:rPr>
            </w:pPr>
          </w:p>
        </w:tc>
        <w:tc>
          <w:tcPr>
            <w:tcW w:w="573" w:type="dxa"/>
            <w:vAlign w:val="center"/>
          </w:tcPr>
          <w:p>
            <w:pPr>
              <w:spacing w:line="360" w:lineRule="auto"/>
              <w:jc w:val="center"/>
              <w:rPr>
                <w:rFonts w:hint="eastAsia" w:ascii="宋体" w:hAnsi="宋体" w:cs="宋体"/>
                <w:color w:val="auto"/>
                <w:sz w:val="24"/>
                <w:szCs w:val="24"/>
                <w:highlight w:val="none"/>
              </w:rPr>
            </w:pPr>
          </w:p>
        </w:tc>
      </w:tr>
    </w:tbl>
    <w:p>
      <w:pPr>
        <w:rPr>
          <w:color w:val="auto"/>
          <w:highlight w:val="none"/>
        </w:rPr>
      </w:pPr>
    </w:p>
    <w:p>
      <w:pPr>
        <w:adjustRightInd w:val="0"/>
        <w:snapToGrid w:val="0"/>
        <w:spacing w:line="360" w:lineRule="auto"/>
        <w:rPr>
          <w:rFonts w:hint="eastAsia" w:ascii="宋体" w:hAnsi="宋体" w:cs="宋体"/>
          <w:color w:val="auto"/>
          <w:kern w:val="0"/>
          <w:sz w:val="24"/>
          <w:highlight w:val="none"/>
          <w:lang w:val="zh-CN"/>
        </w:rPr>
      </w:pPr>
      <w:r>
        <w:rPr>
          <w:rFonts w:hint="eastAsia" w:ascii="宋体" w:hAnsi="宋体" w:cs="宋体"/>
          <w:color w:val="auto"/>
          <w:sz w:val="21"/>
          <w:szCs w:val="21"/>
          <w:highlight w:val="none"/>
        </w:rPr>
        <w:t xml:space="preserve">注： </w:t>
      </w:r>
      <w:r>
        <w:rPr>
          <w:rFonts w:hint="eastAsia" w:ascii="宋体" w:hAnsi="宋体" w:cs="宋体"/>
          <w:color w:val="auto"/>
          <w:sz w:val="24"/>
          <w:szCs w:val="24"/>
          <w:highlight w:val="none"/>
        </w:rPr>
        <w:t>1</w:t>
      </w:r>
      <w:r>
        <w:rPr>
          <w:rFonts w:hint="eastAsia" w:ascii="宋体" w:hAnsi="宋体" w:cs="宋体"/>
          <w:color w:val="auto"/>
          <w:sz w:val="24"/>
          <w:szCs w:val="24"/>
          <w:highlight w:val="none"/>
          <w:lang w:val="en-US" w:eastAsia="zh-CN"/>
        </w:rPr>
        <w:t>.</w:t>
      </w:r>
      <w:r>
        <w:rPr>
          <w:rFonts w:hint="eastAsia" w:ascii="宋体" w:hAnsi="宋体" w:cs="宋体"/>
          <w:color w:val="auto"/>
          <w:kern w:val="0"/>
          <w:sz w:val="24"/>
          <w:szCs w:val="24"/>
          <w:highlight w:val="none"/>
          <w:lang w:val="zh-CN"/>
        </w:rPr>
        <w:t>请按规定要求填报</w:t>
      </w:r>
      <w:r>
        <w:rPr>
          <w:rFonts w:hint="eastAsia" w:ascii="宋体" w:hAnsi="宋体" w:cs="宋体"/>
          <w:color w:val="auto"/>
          <w:kern w:val="0"/>
          <w:sz w:val="24"/>
          <w:highlight w:val="none"/>
          <w:lang w:val="zh-CN"/>
        </w:rPr>
        <w:t>。</w:t>
      </w:r>
    </w:p>
    <w:p>
      <w:pPr>
        <w:adjustRightInd w:val="0"/>
        <w:snapToGrid w:val="0"/>
        <w:spacing w:line="360" w:lineRule="auto"/>
        <w:ind w:firstLine="480" w:firstLineChars="200"/>
        <w:rPr>
          <w:color w:val="auto"/>
          <w:highlight w:val="none"/>
        </w:rPr>
      </w:pPr>
      <w:r>
        <w:rPr>
          <w:rFonts w:hint="eastAsia" w:ascii="宋体" w:hAnsi="宋体" w:cs="宋体"/>
          <w:color w:val="auto"/>
          <w:kern w:val="0"/>
          <w:sz w:val="24"/>
          <w:highlight w:val="none"/>
        </w:rPr>
        <w:t>2</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rPr>
        <w:t>以上报价应与“开标一览表”中的“投标报价”相一致。</w:t>
      </w:r>
    </w:p>
    <w:p>
      <w:pPr>
        <w:spacing w:line="400" w:lineRule="exact"/>
        <w:ind w:firstLine="480" w:firstLineChars="200"/>
        <w:rPr>
          <w:rFonts w:hint="eastAsia" w:ascii="宋体" w:hAnsi="宋体" w:cs="宋体"/>
          <w:bCs/>
          <w:color w:val="auto"/>
          <w:sz w:val="24"/>
          <w:szCs w:val="24"/>
          <w:highlight w:val="none"/>
        </w:rPr>
      </w:pPr>
      <w:r>
        <w:rPr>
          <w:rFonts w:hint="eastAsia" w:ascii="宋体" w:hAnsi="宋体" w:cs="宋体"/>
          <w:color w:val="auto"/>
          <w:kern w:val="0"/>
          <w:sz w:val="24"/>
          <w:highlight w:val="none"/>
        </w:rPr>
        <w:t>3</w:t>
      </w:r>
      <w:r>
        <w:rPr>
          <w:rFonts w:hint="eastAsia" w:ascii="宋体" w:hAnsi="宋体" w:cs="宋体"/>
          <w:color w:val="auto"/>
          <w:kern w:val="0"/>
          <w:sz w:val="24"/>
          <w:highlight w:val="none"/>
          <w:lang w:val="en-US" w:eastAsia="zh-CN"/>
        </w:rPr>
        <w:t>.</w:t>
      </w:r>
      <w:r>
        <w:rPr>
          <w:rFonts w:hint="eastAsia" w:ascii="宋体" w:hAnsi="宋体" w:cs="宋体"/>
          <w:color w:val="auto"/>
          <w:kern w:val="0"/>
          <w:sz w:val="24"/>
          <w:highlight w:val="none"/>
        </w:rPr>
        <w:t>本项目的投标报价</w:t>
      </w:r>
      <w:r>
        <w:rPr>
          <w:rFonts w:hint="eastAsia" w:ascii="宋体" w:hAnsi="宋体" w:cs="宋体"/>
          <w:bCs/>
          <w:color w:val="auto"/>
          <w:sz w:val="24"/>
          <w:szCs w:val="24"/>
          <w:highlight w:val="none"/>
          <w:lang w:val="zh-CN"/>
        </w:rPr>
        <w:t>包括本次的货物价款、人工费、材料费、运输保险费、安装调试费（含安装人工等相关人工费用）、售后服务、各项税金、验收费等所有费用。</w:t>
      </w:r>
    </w:p>
    <w:p>
      <w:pPr>
        <w:pStyle w:val="609"/>
        <w:widowControl/>
        <w:spacing w:line="360" w:lineRule="auto"/>
        <w:ind w:right="112" w:rightChars="40" w:firstLine="450"/>
        <w:jc w:val="left"/>
        <w:rPr>
          <w:rFonts w:hint="eastAsia" w:ascii="宋体" w:hAnsi="宋体" w:cs="宋体"/>
          <w:color w:val="auto"/>
          <w:kern w:val="0"/>
          <w:sz w:val="24"/>
          <w:szCs w:val="20"/>
          <w:highlight w:val="none"/>
        </w:rPr>
      </w:pPr>
    </w:p>
    <w:p>
      <w:pPr>
        <w:pStyle w:val="609"/>
        <w:widowControl/>
        <w:spacing w:line="360" w:lineRule="auto"/>
        <w:ind w:right="112" w:rightChars="40" w:firstLine="450"/>
        <w:jc w:val="left"/>
        <w:rPr>
          <w:rFonts w:hint="eastAsia" w:ascii="宋体" w:hAnsi="宋体" w:cs="宋体"/>
          <w:color w:val="auto"/>
          <w:kern w:val="0"/>
          <w:sz w:val="24"/>
          <w:szCs w:val="20"/>
          <w:highlight w:val="none"/>
          <w:lang w:val="zh-CN"/>
        </w:rPr>
      </w:pPr>
      <w:r>
        <w:rPr>
          <w:rFonts w:hint="eastAsia" w:ascii="宋体" w:hAnsi="宋体" w:cs="宋体"/>
          <w:color w:val="auto"/>
          <w:kern w:val="0"/>
          <w:sz w:val="24"/>
          <w:szCs w:val="20"/>
          <w:highlight w:val="none"/>
        </w:rPr>
        <w:t xml:space="preserve">              </w:t>
      </w:r>
    </w:p>
    <w:p>
      <w:pPr>
        <w:adjustRightInd w:val="0"/>
        <w:snapToGrid w:val="0"/>
        <w:spacing w:line="400" w:lineRule="exact"/>
        <w:rPr>
          <w:rFonts w:hint="eastAsia" w:ascii="宋体" w:hAnsi="宋体" w:cs="宋体"/>
          <w:color w:val="auto"/>
          <w:kern w:val="0"/>
          <w:sz w:val="24"/>
          <w:highlight w:val="none"/>
        </w:rPr>
      </w:pPr>
      <w:r>
        <w:rPr>
          <w:rFonts w:hint="eastAsia" w:ascii="宋体" w:hAnsi="宋体" w:cs="宋体"/>
          <w:color w:val="auto"/>
          <w:kern w:val="0"/>
          <w:sz w:val="24"/>
          <w:highlight w:val="none"/>
          <w:lang w:val="zh-CN"/>
        </w:rPr>
        <w:t>法定/授权代表：</w:t>
      </w:r>
      <w:r>
        <w:rPr>
          <w:rFonts w:hint="eastAsia" w:ascii="宋体" w:hAnsi="宋体" w:cs="宋体"/>
          <w:color w:val="auto"/>
          <w:kern w:val="0"/>
          <w:sz w:val="24"/>
          <w:highlight w:val="none"/>
          <w:u w:val="single"/>
          <w:lang w:val="zh-CN"/>
        </w:rPr>
        <w:t xml:space="preserve">（签字或盖章） </w:t>
      </w:r>
    </w:p>
    <w:p>
      <w:pPr>
        <w:adjustRightInd w:val="0"/>
        <w:snapToGrid w:val="0"/>
        <w:spacing w:line="400" w:lineRule="exact"/>
        <w:rPr>
          <w:rFonts w:hint="eastAsia" w:ascii="宋体" w:hAnsi="宋体" w:cs="宋体"/>
          <w:color w:val="auto"/>
          <w:kern w:val="0"/>
          <w:sz w:val="24"/>
          <w:highlight w:val="none"/>
          <w:u w:val="single"/>
          <w:lang w:val="zh-CN"/>
        </w:rPr>
      </w:pPr>
      <w:r>
        <w:rPr>
          <w:rFonts w:hint="eastAsia" w:ascii="宋体" w:hAnsi="宋体" w:cs="宋体"/>
          <w:color w:val="auto"/>
          <w:kern w:val="0"/>
          <w:sz w:val="24"/>
          <w:highlight w:val="none"/>
          <w:lang w:val="zh-CN"/>
        </w:rPr>
        <w:t>投标人：</w:t>
      </w:r>
      <w:r>
        <w:rPr>
          <w:rFonts w:hint="eastAsia" w:ascii="宋体" w:hAnsi="宋体" w:cs="宋体"/>
          <w:color w:val="auto"/>
          <w:kern w:val="0"/>
          <w:sz w:val="24"/>
          <w:highlight w:val="none"/>
          <w:u w:val="single"/>
          <w:lang w:val="zh-CN"/>
        </w:rPr>
        <w:t xml:space="preserve">（全称加盖公章）       </w:t>
      </w:r>
    </w:p>
    <w:p>
      <w:pPr>
        <w:adjustRightInd w:val="0"/>
        <w:snapToGrid w:val="0"/>
        <w:spacing w:line="400" w:lineRule="exact"/>
        <w:rPr>
          <w:rFonts w:hint="eastAsia" w:ascii="宋体" w:hAnsi="宋体" w:cs="宋体"/>
          <w:color w:val="auto"/>
          <w:kern w:val="0"/>
          <w:sz w:val="24"/>
          <w:highlight w:val="none"/>
          <w:u w:val="single"/>
        </w:rPr>
      </w:pPr>
      <w:r>
        <w:rPr>
          <w:rFonts w:hint="eastAsia" w:ascii="宋体" w:hAnsi="宋体" w:cs="宋体"/>
          <w:color w:val="auto"/>
          <w:kern w:val="0"/>
          <w:sz w:val="24"/>
          <w:highlight w:val="none"/>
          <w:lang w:val="zh-CN"/>
        </w:rPr>
        <w:t>日期</w:t>
      </w:r>
      <w:r>
        <w:rPr>
          <w:rFonts w:hint="eastAsia" w:ascii="宋体" w:hAnsi="宋体" w:cs="宋体"/>
          <w:color w:val="auto"/>
          <w:kern w:val="0"/>
          <w:sz w:val="24"/>
          <w:highlight w:val="none"/>
        </w:rPr>
        <w:t>：</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年</w:t>
      </w:r>
      <w:r>
        <w:rPr>
          <w:rFonts w:hint="eastAsia" w:ascii="宋体" w:hAnsi="宋体" w:cs="宋体"/>
          <w:color w:val="auto"/>
          <w:kern w:val="0"/>
          <w:sz w:val="24"/>
          <w:highlight w:val="none"/>
          <w:u w:val="single"/>
        </w:rPr>
        <w:tab/>
      </w:r>
      <w:r>
        <w:rPr>
          <w:rFonts w:hint="eastAsia" w:ascii="宋体" w:hAnsi="宋体" w:cs="宋体"/>
          <w:color w:val="auto"/>
          <w:kern w:val="0"/>
          <w:sz w:val="24"/>
          <w:highlight w:val="none"/>
          <w:lang w:val="zh-CN"/>
        </w:rPr>
        <w:t>月</w:t>
      </w:r>
      <w:r>
        <w:rPr>
          <w:rFonts w:hint="eastAsia" w:ascii="宋体" w:hAnsi="宋体" w:cs="宋体"/>
          <w:color w:val="auto"/>
          <w:kern w:val="0"/>
          <w:sz w:val="24"/>
          <w:highlight w:val="none"/>
          <w:u w:val="single"/>
        </w:rPr>
        <w:t xml:space="preserve">  </w:t>
      </w:r>
      <w:r>
        <w:rPr>
          <w:rFonts w:hint="eastAsia" w:ascii="宋体" w:hAnsi="宋体" w:cs="宋体"/>
          <w:color w:val="auto"/>
          <w:kern w:val="0"/>
          <w:sz w:val="24"/>
          <w:highlight w:val="none"/>
          <w:lang w:val="zh-CN"/>
        </w:rPr>
        <w:t>日</w:t>
      </w:r>
    </w:p>
    <w:p>
      <w:pPr>
        <w:adjustRightInd w:val="0"/>
        <w:snapToGrid w:val="0"/>
        <w:spacing w:line="400" w:lineRule="exact"/>
        <w:rPr>
          <w:rFonts w:hint="eastAsia" w:ascii="宋体" w:hAnsi="宋体" w:cs="宋体"/>
          <w:b/>
          <w:color w:val="auto"/>
          <w:szCs w:val="22"/>
          <w:highlight w:val="none"/>
        </w:rPr>
      </w:pPr>
    </w:p>
    <w:p>
      <w:pPr>
        <w:pStyle w:val="6"/>
        <w:spacing w:line="400" w:lineRule="exact"/>
        <w:ind w:left="0" w:firstLine="0"/>
        <w:rPr>
          <w:rFonts w:hint="eastAsia" w:ascii="宋体" w:hAnsi="宋体" w:eastAsia="宋体" w:cs="宋体"/>
          <w:color w:val="auto"/>
          <w:sz w:val="28"/>
          <w:highlight w:val="none"/>
        </w:rPr>
      </w:pPr>
    </w:p>
    <w:p>
      <w:pPr>
        <w:rPr>
          <w:color w:val="auto"/>
          <w:highlight w:val="none"/>
        </w:rPr>
      </w:pPr>
    </w:p>
    <w:p>
      <w:pPr>
        <w:pStyle w:val="2"/>
        <w:rPr>
          <w:color w:val="auto"/>
          <w:highlight w:val="none"/>
        </w:rPr>
      </w:pPr>
    </w:p>
    <w:p>
      <w:pPr>
        <w:pStyle w:val="3"/>
        <w:ind w:firstLine="210"/>
        <w:rPr>
          <w:rFonts w:hint="eastAsia"/>
          <w:color w:val="auto"/>
          <w:highlight w:val="none"/>
        </w:rPr>
      </w:pPr>
    </w:p>
    <w:p>
      <w:pPr>
        <w:rPr>
          <w:color w:val="auto"/>
          <w:highlight w:val="none"/>
        </w:rPr>
      </w:pPr>
    </w:p>
    <w:p>
      <w:pPr>
        <w:pStyle w:val="6"/>
        <w:spacing w:line="400" w:lineRule="exact"/>
        <w:ind w:left="0" w:firstLine="0"/>
        <w:rPr>
          <w:rFonts w:hint="eastAsia" w:ascii="宋体" w:hAnsi="宋体" w:eastAsia="宋体" w:cs="宋体"/>
          <w:color w:val="auto"/>
          <w:sz w:val="28"/>
          <w:highlight w:val="none"/>
        </w:rPr>
      </w:pPr>
      <w:r>
        <w:rPr>
          <w:rFonts w:hint="eastAsia" w:ascii="宋体" w:hAnsi="宋体" w:eastAsia="宋体" w:cs="宋体"/>
          <w:color w:val="auto"/>
          <w:sz w:val="28"/>
          <w:highlight w:val="none"/>
        </w:rPr>
        <w:t>投标文件封面</w:t>
      </w:r>
      <w:bookmarkEnd w:id="123"/>
      <w:bookmarkEnd w:id="124"/>
    </w:p>
    <w:p>
      <w:pPr>
        <w:tabs>
          <w:tab w:val="left" w:pos="4500"/>
        </w:tabs>
        <w:autoSpaceDE w:val="0"/>
        <w:autoSpaceDN w:val="0"/>
        <w:adjustRightInd w:val="0"/>
        <w:snapToGrid w:val="0"/>
        <w:spacing w:line="400" w:lineRule="exact"/>
        <w:jc w:val="center"/>
        <w:textAlignment w:val="bottom"/>
        <w:rPr>
          <w:rFonts w:hint="eastAsia" w:ascii="宋体" w:hAnsi="宋体" w:cs="宋体"/>
          <w:b/>
          <w:color w:val="auto"/>
          <w:sz w:val="44"/>
          <w:szCs w:val="44"/>
          <w:highlight w:val="none"/>
        </w:rPr>
      </w:pPr>
    </w:p>
    <w:p>
      <w:pPr>
        <w:tabs>
          <w:tab w:val="left" w:pos="4500"/>
        </w:tabs>
        <w:autoSpaceDE w:val="0"/>
        <w:autoSpaceDN w:val="0"/>
        <w:adjustRightInd w:val="0"/>
        <w:snapToGrid w:val="0"/>
        <w:spacing w:line="360" w:lineRule="auto"/>
        <w:jc w:val="center"/>
        <w:textAlignment w:val="bottom"/>
        <w:rPr>
          <w:rFonts w:hint="eastAsia" w:ascii="宋体" w:hAnsi="宋体" w:eastAsia="宋体" w:cs="宋体"/>
          <w:b/>
          <w:color w:val="auto"/>
          <w:sz w:val="44"/>
          <w:szCs w:val="44"/>
          <w:highlight w:val="none"/>
          <w:lang w:eastAsia="zh-CN"/>
        </w:rPr>
      </w:pPr>
      <w:r>
        <w:rPr>
          <w:rFonts w:hint="eastAsia" w:ascii="宋体" w:hAnsi="宋体" w:cs="宋体"/>
          <w:b/>
          <w:color w:val="auto"/>
          <w:sz w:val="44"/>
          <w:szCs w:val="44"/>
          <w:highlight w:val="none"/>
          <w:lang w:eastAsia="zh-CN"/>
        </w:rPr>
        <w:t>衢州机场设备更新改造提升项目货检双视角X光检查仪、安检培训系统采购（第二次）</w:t>
      </w:r>
    </w:p>
    <w:p>
      <w:pPr>
        <w:kinsoku/>
        <w:overflowPunct/>
        <w:bidi w:val="0"/>
        <w:spacing w:beforeLines="10" w:line="360" w:lineRule="auto"/>
        <w:jc w:val="center"/>
        <w:rPr>
          <w:rFonts w:hint="eastAsia" w:ascii="宋体" w:hAnsi="宋体" w:eastAsia="宋体" w:cs="宋体"/>
          <w:b/>
          <w:color w:val="auto"/>
          <w:sz w:val="32"/>
          <w:highlight w:val="none"/>
        </w:rPr>
      </w:pPr>
      <w:r>
        <w:rPr>
          <w:rFonts w:hint="eastAsia" w:ascii="宋体" w:hAnsi="宋体" w:cs="宋体"/>
          <w:b/>
          <w:color w:val="auto"/>
          <w:sz w:val="44"/>
          <w:szCs w:val="44"/>
          <w:highlight w:val="none"/>
          <w:lang w:eastAsia="zh-CN"/>
        </w:rPr>
        <w:t>（标项一或标项二）</w:t>
      </w:r>
    </w:p>
    <w:p>
      <w:pPr>
        <w:spacing w:before="24" w:beforeLines="10" w:line="360" w:lineRule="auto"/>
        <w:jc w:val="center"/>
        <w:rPr>
          <w:rFonts w:hint="eastAsia" w:ascii="宋体" w:hAnsi="宋体" w:cs="宋体"/>
          <w:b/>
          <w:color w:val="auto"/>
          <w:sz w:val="32"/>
          <w:highlight w:val="none"/>
        </w:rPr>
      </w:pPr>
    </w:p>
    <w:p>
      <w:pPr>
        <w:spacing w:before="24" w:beforeLines="10" w:line="360" w:lineRule="auto"/>
        <w:jc w:val="center"/>
        <w:rPr>
          <w:rFonts w:hint="eastAsia" w:ascii="宋体" w:hAnsi="宋体" w:eastAsia="宋体" w:cs="宋体"/>
          <w:b/>
          <w:color w:val="auto"/>
          <w:sz w:val="32"/>
          <w:highlight w:val="none"/>
          <w:lang w:eastAsia="zh-CN"/>
        </w:rPr>
      </w:pPr>
      <w:r>
        <w:rPr>
          <w:rFonts w:hint="eastAsia" w:ascii="宋体" w:hAnsi="宋体" w:cs="宋体"/>
          <w:b/>
          <w:color w:val="auto"/>
          <w:sz w:val="32"/>
          <w:highlight w:val="none"/>
        </w:rPr>
        <w:t>项目编号：</w:t>
      </w:r>
      <w:r>
        <w:rPr>
          <w:rFonts w:hint="eastAsia" w:ascii="宋体" w:hAnsi="宋体" w:cs="宋体"/>
          <w:b/>
          <w:color w:val="auto"/>
          <w:sz w:val="32"/>
          <w:highlight w:val="none"/>
          <w:lang w:eastAsia="zh-CN"/>
        </w:rPr>
        <w:t>ZZCG2024123-1</w:t>
      </w:r>
    </w:p>
    <w:p>
      <w:pPr>
        <w:pStyle w:val="60"/>
        <w:spacing w:after="0" w:line="360" w:lineRule="auto"/>
        <w:ind w:left="560"/>
        <w:rPr>
          <w:rFonts w:hint="eastAsia" w:ascii="宋体" w:hAnsi="宋体" w:eastAsia="宋体" w:cs="宋体"/>
          <w:color w:val="auto"/>
          <w:highlight w:val="none"/>
        </w:rPr>
      </w:pPr>
    </w:p>
    <w:bookmarkEnd w:id="18"/>
    <w:bookmarkEnd w:id="19"/>
    <w:bookmarkEnd w:id="20"/>
    <w:bookmarkEnd w:id="21"/>
    <w:bookmarkEnd w:id="90"/>
    <w:p>
      <w:pPr>
        <w:adjustRightInd w:val="0"/>
        <w:snapToGrid w:val="0"/>
        <w:spacing w:line="360" w:lineRule="auto"/>
        <w:jc w:val="center"/>
        <w:rPr>
          <w:rFonts w:hint="eastAsia" w:ascii="宋体" w:hAnsi="宋体" w:cs="宋体"/>
          <w:color w:val="auto"/>
          <w:sz w:val="72"/>
          <w:highlight w:val="none"/>
        </w:rPr>
      </w:pPr>
      <w:r>
        <w:rPr>
          <w:rFonts w:hint="eastAsia" w:ascii="宋体" w:hAnsi="宋体" w:cs="宋体"/>
          <w:color w:val="auto"/>
          <w:sz w:val="72"/>
          <w:highlight w:val="none"/>
        </w:rPr>
        <w:t>投</w:t>
      </w:r>
    </w:p>
    <w:p>
      <w:pPr>
        <w:spacing w:line="360" w:lineRule="auto"/>
        <w:jc w:val="center"/>
        <w:rPr>
          <w:rFonts w:hint="eastAsia" w:ascii="宋体" w:hAnsi="宋体" w:cs="宋体"/>
          <w:color w:val="auto"/>
          <w:sz w:val="72"/>
          <w:highlight w:val="none"/>
        </w:rPr>
      </w:pPr>
      <w:r>
        <w:rPr>
          <w:rFonts w:hint="eastAsia" w:ascii="宋体" w:hAnsi="宋体" w:cs="宋体"/>
          <w:color w:val="auto"/>
          <w:sz w:val="72"/>
          <w:highlight w:val="none"/>
        </w:rPr>
        <w:t>标</w:t>
      </w:r>
    </w:p>
    <w:p>
      <w:pPr>
        <w:spacing w:line="360" w:lineRule="auto"/>
        <w:jc w:val="center"/>
        <w:rPr>
          <w:rFonts w:hint="eastAsia" w:ascii="宋体" w:hAnsi="宋体" w:cs="宋体"/>
          <w:color w:val="auto"/>
          <w:sz w:val="72"/>
          <w:highlight w:val="none"/>
        </w:rPr>
      </w:pPr>
      <w:r>
        <w:rPr>
          <w:rFonts w:hint="eastAsia" w:ascii="宋体" w:hAnsi="宋体" w:cs="宋体"/>
          <w:color w:val="auto"/>
          <w:sz w:val="72"/>
          <w:highlight w:val="none"/>
        </w:rPr>
        <w:t>文</w:t>
      </w:r>
    </w:p>
    <w:p>
      <w:pPr>
        <w:spacing w:line="360" w:lineRule="auto"/>
        <w:jc w:val="center"/>
        <w:rPr>
          <w:rFonts w:hint="eastAsia" w:ascii="宋体" w:hAnsi="宋体" w:cs="宋体"/>
          <w:color w:val="auto"/>
          <w:sz w:val="72"/>
          <w:highlight w:val="none"/>
        </w:rPr>
      </w:pPr>
      <w:r>
        <w:rPr>
          <w:rFonts w:hint="eastAsia" w:ascii="宋体" w:hAnsi="宋体" w:cs="宋体"/>
          <w:color w:val="auto"/>
          <w:sz w:val="72"/>
          <w:highlight w:val="none"/>
        </w:rPr>
        <w:t>件</w:t>
      </w:r>
    </w:p>
    <w:p>
      <w:pPr>
        <w:pStyle w:val="48"/>
        <w:spacing w:line="360" w:lineRule="auto"/>
        <w:rPr>
          <w:color w:val="auto"/>
          <w:highlight w:val="none"/>
        </w:rPr>
      </w:pPr>
    </w:p>
    <w:p>
      <w:pPr>
        <w:spacing w:line="360" w:lineRule="auto"/>
        <w:ind w:firstLine="960" w:firstLineChars="300"/>
        <w:rPr>
          <w:rFonts w:hint="eastAsia" w:ascii="宋体" w:hAnsi="宋体" w:cs="宋体"/>
          <w:color w:val="auto"/>
          <w:sz w:val="32"/>
          <w:highlight w:val="none"/>
        </w:rPr>
      </w:pPr>
    </w:p>
    <w:p>
      <w:pPr>
        <w:spacing w:line="360" w:lineRule="auto"/>
        <w:ind w:firstLine="960" w:firstLineChars="300"/>
        <w:rPr>
          <w:rFonts w:hint="eastAsia" w:ascii="宋体" w:hAnsi="宋体" w:cs="宋体"/>
          <w:color w:val="auto"/>
          <w:sz w:val="32"/>
          <w:highlight w:val="none"/>
        </w:rPr>
      </w:pPr>
      <w:r>
        <w:rPr>
          <w:rFonts w:hint="eastAsia" w:ascii="宋体" w:hAnsi="宋体" w:cs="宋体"/>
          <w:color w:val="auto"/>
          <w:sz w:val="32"/>
          <w:highlight w:val="none"/>
        </w:rPr>
        <w:t>投标人：（加盖公章）</w:t>
      </w:r>
    </w:p>
    <w:p>
      <w:pPr>
        <w:spacing w:line="360" w:lineRule="auto"/>
        <w:ind w:firstLine="960" w:firstLineChars="300"/>
        <w:rPr>
          <w:rFonts w:hint="eastAsia" w:ascii="宋体" w:hAnsi="宋体" w:cs="宋体"/>
          <w:color w:val="auto"/>
          <w:sz w:val="32"/>
          <w:highlight w:val="none"/>
        </w:rPr>
      </w:pPr>
      <w:r>
        <w:rPr>
          <w:rFonts w:hint="eastAsia" w:ascii="宋体" w:hAnsi="宋体" w:cs="宋体"/>
          <w:color w:val="auto"/>
          <w:sz w:val="32"/>
          <w:highlight w:val="none"/>
        </w:rPr>
        <w:t>地址：</w:t>
      </w:r>
    </w:p>
    <w:p>
      <w:pPr>
        <w:spacing w:line="360" w:lineRule="auto"/>
        <w:ind w:firstLine="960" w:firstLineChars="300"/>
        <w:rPr>
          <w:rFonts w:hint="eastAsia" w:ascii="宋体" w:hAnsi="宋体" w:cs="宋体"/>
          <w:color w:val="auto"/>
          <w:sz w:val="32"/>
          <w:highlight w:val="none"/>
          <w:u w:val="single"/>
        </w:rPr>
      </w:pPr>
      <w:r>
        <w:rPr>
          <w:rFonts w:hint="eastAsia" w:ascii="宋体" w:hAnsi="宋体" w:cs="宋体"/>
          <w:color w:val="auto"/>
          <w:sz w:val="32"/>
          <w:highlight w:val="none"/>
        </w:rPr>
        <w:t>日期：</w:t>
      </w:r>
    </w:p>
    <w:p>
      <w:pPr>
        <w:pageBreakBefore/>
        <w:adjustRightInd w:val="0"/>
        <w:snapToGrid w:val="0"/>
        <w:spacing w:line="400" w:lineRule="exact"/>
        <w:jc w:val="center"/>
        <w:outlineLvl w:val="0"/>
        <w:rPr>
          <w:rFonts w:hint="eastAsia" w:ascii="宋体" w:hAnsi="宋体" w:cs="宋体"/>
          <w:b/>
          <w:color w:val="auto"/>
          <w:sz w:val="36"/>
          <w:highlight w:val="none"/>
        </w:rPr>
      </w:pPr>
      <w:bookmarkStart w:id="125" w:name="_Toc15453"/>
      <w:r>
        <w:rPr>
          <w:rFonts w:hint="eastAsia" w:ascii="宋体" w:hAnsi="宋体" w:cs="宋体"/>
          <w:b/>
          <w:color w:val="auto"/>
          <w:sz w:val="36"/>
          <w:highlight w:val="none"/>
        </w:rPr>
        <w:t>第六部分  评分办法</w:t>
      </w:r>
      <w:bookmarkEnd w:id="125"/>
    </w:p>
    <w:p>
      <w:pPr>
        <w:pStyle w:val="5"/>
        <w:topLinePunct/>
        <w:adjustRightInd w:val="0"/>
        <w:snapToGrid w:val="0"/>
        <w:spacing w:line="400" w:lineRule="exact"/>
        <w:ind w:firstLine="482" w:firstLineChars="200"/>
        <w:jc w:val="left"/>
        <w:rPr>
          <w:rStyle w:val="607"/>
          <w:rFonts w:hint="eastAsia"/>
          <w:color w:val="auto"/>
          <w:sz w:val="24"/>
          <w:szCs w:val="24"/>
          <w:highlight w:val="none"/>
        </w:rPr>
      </w:pPr>
      <w:r>
        <w:rPr>
          <w:rStyle w:val="607"/>
          <w:rFonts w:hint="eastAsia"/>
          <w:color w:val="auto"/>
          <w:sz w:val="24"/>
          <w:szCs w:val="24"/>
          <w:highlight w:val="none"/>
        </w:rPr>
        <w:t>一、总则</w:t>
      </w:r>
    </w:p>
    <w:p>
      <w:pPr>
        <w:pStyle w:val="5"/>
        <w:topLinePunct/>
        <w:adjustRightInd w:val="0"/>
        <w:snapToGrid w:val="0"/>
        <w:spacing w:line="400" w:lineRule="exact"/>
        <w:ind w:firstLine="480" w:firstLineChars="200"/>
        <w:jc w:val="left"/>
        <w:rPr>
          <w:rStyle w:val="607"/>
          <w:rFonts w:hint="eastAsia"/>
          <w:b w:val="0"/>
          <w:color w:val="auto"/>
          <w:kern w:val="18"/>
          <w:sz w:val="24"/>
          <w:szCs w:val="24"/>
          <w:highlight w:val="none"/>
        </w:rPr>
      </w:pPr>
      <w:r>
        <w:rPr>
          <w:rStyle w:val="607"/>
          <w:rFonts w:hint="eastAsia"/>
          <w:b w:val="0"/>
          <w:color w:val="auto"/>
          <w:sz w:val="24"/>
          <w:szCs w:val="24"/>
          <w:highlight w:val="none"/>
          <w:lang w:val="zh-TW"/>
        </w:rPr>
        <w:t>1</w:t>
      </w:r>
      <w:r>
        <w:rPr>
          <w:rStyle w:val="607"/>
          <w:rFonts w:hint="eastAsia"/>
          <w:b w:val="0"/>
          <w:color w:val="auto"/>
          <w:sz w:val="24"/>
          <w:szCs w:val="24"/>
          <w:highlight w:val="none"/>
          <w:lang w:val="en-US" w:eastAsia="zh-CN"/>
        </w:rPr>
        <w:t>.</w:t>
      </w:r>
      <w:r>
        <w:rPr>
          <w:rStyle w:val="607"/>
          <w:rFonts w:hint="eastAsia"/>
          <w:b w:val="0"/>
          <w:color w:val="auto"/>
          <w:sz w:val="24"/>
          <w:szCs w:val="24"/>
          <w:highlight w:val="none"/>
        </w:rPr>
        <w:t>根据《中华人民共和国政府采购法》、《政府采购货物和服务招标投标管理办法》（财政部</w:t>
      </w:r>
      <w:r>
        <w:rPr>
          <w:rStyle w:val="607"/>
          <w:rFonts w:hint="eastAsia"/>
          <w:b w:val="0"/>
          <w:color w:val="auto"/>
          <w:kern w:val="18"/>
          <w:sz w:val="24"/>
          <w:szCs w:val="24"/>
          <w:highlight w:val="none"/>
        </w:rPr>
        <w:t>第87号令）及相关法规的规定，结合采购项目特点制定本评标办法。</w:t>
      </w:r>
    </w:p>
    <w:p>
      <w:pPr>
        <w:pStyle w:val="5"/>
        <w:topLinePunct/>
        <w:adjustRightInd w:val="0"/>
        <w:snapToGrid w:val="0"/>
        <w:spacing w:line="400" w:lineRule="exact"/>
        <w:ind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lang w:val="zh-TW"/>
        </w:rPr>
        <w:t>2</w:t>
      </w:r>
      <w:r>
        <w:rPr>
          <w:rStyle w:val="607"/>
          <w:rFonts w:hint="eastAsia"/>
          <w:b w:val="0"/>
          <w:color w:val="auto"/>
          <w:sz w:val="24"/>
          <w:szCs w:val="24"/>
          <w:highlight w:val="none"/>
          <w:lang w:val="en-US" w:eastAsia="zh-CN"/>
        </w:rPr>
        <w:t>.</w:t>
      </w:r>
      <w:r>
        <w:rPr>
          <w:rStyle w:val="607"/>
          <w:rFonts w:hint="eastAsia"/>
          <w:b w:val="0"/>
          <w:color w:val="auto"/>
          <w:sz w:val="24"/>
          <w:szCs w:val="24"/>
          <w:highlight w:val="none"/>
        </w:rPr>
        <w:t>评标工作由采购代理机构负责组织，具体评标事务由评标委员会负责。</w:t>
      </w:r>
    </w:p>
    <w:p>
      <w:pPr>
        <w:pStyle w:val="5"/>
        <w:topLinePunct/>
        <w:adjustRightInd w:val="0"/>
        <w:snapToGrid w:val="0"/>
        <w:spacing w:line="400" w:lineRule="exact"/>
        <w:ind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rPr>
        <w:t>（1）评标委员会由5人组成（由采购人代表和评标专家组成，采购人代表人数不得超过总评委人数的三分之一）。</w:t>
      </w:r>
    </w:p>
    <w:p>
      <w:pPr>
        <w:pStyle w:val="5"/>
        <w:topLinePunct/>
        <w:adjustRightInd w:val="0"/>
        <w:snapToGrid w:val="0"/>
        <w:spacing w:line="400" w:lineRule="exact"/>
        <w:ind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rPr>
        <w:t>（2）评标专家确定方式：按相关规定从专家库中抽取。</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lang w:val="zh-TW"/>
        </w:rPr>
        <w:t>3</w:t>
      </w:r>
      <w:r>
        <w:rPr>
          <w:rStyle w:val="607"/>
          <w:rFonts w:hint="eastAsia"/>
          <w:b w:val="0"/>
          <w:color w:val="auto"/>
          <w:sz w:val="24"/>
          <w:szCs w:val="24"/>
          <w:highlight w:val="none"/>
          <w:lang w:val="en-US" w:eastAsia="zh-CN"/>
        </w:rPr>
        <w:t>.</w:t>
      </w:r>
      <w:r>
        <w:rPr>
          <w:rStyle w:val="607"/>
          <w:rFonts w:hint="eastAsia"/>
          <w:b w:val="0"/>
          <w:color w:val="auto"/>
          <w:sz w:val="24"/>
          <w:szCs w:val="24"/>
          <w:highlight w:val="none"/>
        </w:rPr>
        <w:t>评标工作应遵循公平、公正、科学及择优的原则，并以相同的评标程序和标准对待所有的投标人。</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lang w:val="zh-TW"/>
        </w:rPr>
        <w:t>4</w:t>
      </w:r>
      <w:r>
        <w:rPr>
          <w:rStyle w:val="607"/>
          <w:rFonts w:hint="eastAsia"/>
          <w:b w:val="0"/>
          <w:color w:val="auto"/>
          <w:sz w:val="24"/>
          <w:szCs w:val="24"/>
          <w:highlight w:val="none"/>
          <w:lang w:val="en-US" w:eastAsia="zh-CN"/>
        </w:rPr>
        <w:t>.</w:t>
      </w:r>
      <w:r>
        <w:rPr>
          <w:rStyle w:val="607"/>
          <w:rFonts w:hint="eastAsia"/>
          <w:b w:val="0"/>
          <w:color w:val="auto"/>
          <w:sz w:val="24"/>
          <w:szCs w:val="24"/>
          <w:highlight w:val="none"/>
        </w:rPr>
        <w:t>评标委员会按照采购项目文件规定的评标方法和标准进行评标，并独立履行下列职责：</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rPr>
        <w:t>（</w:t>
      </w:r>
      <w:r>
        <w:rPr>
          <w:rStyle w:val="607"/>
          <w:rFonts w:hint="eastAsia"/>
          <w:b w:val="0"/>
          <w:color w:val="auto"/>
          <w:sz w:val="24"/>
          <w:szCs w:val="24"/>
          <w:highlight w:val="none"/>
          <w:lang w:val="zh-TW"/>
        </w:rPr>
        <w:t>1</w:t>
      </w:r>
      <w:r>
        <w:rPr>
          <w:rStyle w:val="607"/>
          <w:rFonts w:hint="eastAsia"/>
          <w:b w:val="0"/>
          <w:color w:val="auto"/>
          <w:sz w:val="24"/>
          <w:szCs w:val="24"/>
          <w:highlight w:val="none"/>
        </w:rPr>
        <w:t>）审查投标文件是否符合招标文件要求，并作出评价；</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rPr>
        <w:t>（</w:t>
      </w:r>
      <w:r>
        <w:rPr>
          <w:rStyle w:val="607"/>
          <w:rFonts w:hint="eastAsia"/>
          <w:b w:val="0"/>
          <w:color w:val="auto"/>
          <w:sz w:val="24"/>
          <w:szCs w:val="24"/>
          <w:highlight w:val="none"/>
          <w:lang w:val="zh-TW"/>
        </w:rPr>
        <w:t>2</w:t>
      </w:r>
      <w:r>
        <w:rPr>
          <w:rStyle w:val="607"/>
          <w:rFonts w:hint="eastAsia"/>
          <w:b w:val="0"/>
          <w:color w:val="auto"/>
          <w:sz w:val="24"/>
          <w:szCs w:val="24"/>
          <w:highlight w:val="none"/>
        </w:rPr>
        <w:t>）要求投标投标人对投标文件有关事项作出解释或者澄清；</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rPr>
        <w:t>（</w:t>
      </w:r>
      <w:r>
        <w:rPr>
          <w:rStyle w:val="607"/>
          <w:rFonts w:hint="eastAsia"/>
          <w:b w:val="0"/>
          <w:color w:val="auto"/>
          <w:sz w:val="24"/>
          <w:szCs w:val="24"/>
          <w:highlight w:val="none"/>
          <w:lang w:val="zh-TW"/>
        </w:rPr>
        <w:t>3</w:t>
      </w:r>
      <w:r>
        <w:rPr>
          <w:rStyle w:val="607"/>
          <w:rFonts w:hint="eastAsia"/>
          <w:b w:val="0"/>
          <w:color w:val="auto"/>
          <w:sz w:val="24"/>
          <w:szCs w:val="24"/>
          <w:highlight w:val="none"/>
        </w:rPr>
        <w:t>）推荐中标候选人名单；</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rPr>
        <w:t>（</w:t>
      </w:r>
      <w:r>
        <w:rPr>
          <w:rStyle w:val="607"/>
          <w:rFonts w:hint="eastAsia"/>
          <w:b w:val="0"/>
          <w:color w:val="auto"/>
          <w:sz w:val="24"/>
          <w:szCs w:val="24"/>
          <w:highlight w:val="none"/>
          <w:lang w:val="zh-TW"/>
        </w:rPr>
        <w:t>4</w:t>
      </w:r>
      <w:r>
        <w:rPr>
          <w:rStyle w:val="607"/>
          <w:rFonts w:hint="eastAsia"/>
          <w:b w:val="0"/>
          <w:color w:val="auto"/>
          <w:sz w:val="24"/>
          <w:szCs w:val="24"/>
          <w:highlight w:val="none"/>
        </w:rPr>
        <w:t>）向采购代理机构或者有关部门报告非法干预评标工作的行为。</w:t>
      </w:r>
    </w:p>
    <w:p>
      <w:pPr>
        <w:pStyle w:val="5"/>
        <w:topLinePunct/>
        <w:adjustRightInd w:val="0"/>
        <w:snapToGrid w:val="0"/>
        <w:spacing w:line="400" w:lineRule="exact"/>
        <w:ind w:left="4" w:firstLine="482" w:firstLineChars="200"/>
        <w:jc w:val="left"/>
        <w:rPr>
          <w:rStyle w:val="607"/>
          <w:rFonts w:hint="eastAsia"/>
          <w:color w:val="auto"/>
          <w:sz w:val="24"/>
          <w:szCs w:val="24"/>
          <w:highlight w:val="none"/>
        </w:rPr>
      </w:pPr>
      <w:r>
        <w:rPr>
          <w:rStyle w:val="607"/>
          <w:rFonts w:hint="eastAsia"/>
          <w:color w:val="auto"/>
          <w:sz w:val="24"/>
          <w:szCs w:val="24"/>
          <w:highlight w:val="none"/>
        </w:rPr>
        <w:t>二、评标程序</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rPr>
      </w:pPr>
      <w:r>
        <w:rPr>
          <w:rStyle w:val="607"/>
          <w:rFonts w:hint="eastAsia"/>
          <w:b w:val="0"/>
          <w:color w:val="auto"/>
          <w:sz w:val="24"/>
          <w:szCs w:val="24"/>
          <w:highlight w:val="none"/>
        </w:rPr>
        <w:t>根据《政府采购货物和服务招标投标管理办法》的规定，评标按照下列工作程序进行：</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lang w:val="zh-TW"/>
        </w:rPr>
      </w:pPr>
      <w:r>
        <w:rPr>
          <w:rStyle w:val="607"/>
          <w:rFonts w:hint="eastAsia"/>
          <w:b w:val="0"/>
          <w:color w:val="auto"/>
          <w:sz w:val="24"/>
          <w:szCs w:val="24"/>
          <w:highlight w:val="none"/>
          <w:lang w:val="zh-TW"/>
        </w:rPr>
        <w:t>1</w:t>
      </w:r>
      <w:r>
        <w:rPr>
          <w:rStyle w:val="607"/>
          <w:rFonts w:hint="eastAsia"/>
          <w:b w:val="0"/>
          <w:color w:val="auto"/>
          <w:sz w:val="24"/>
          <w:szCs w:val="24"/>
          <w:highlight w:val="none"/>
          <w:lang w:val="en-US" w:eastAsia="zh-CN"/>
        </w:rPr>
        <w:t>.</w:t>
      </w:r>
      <w:r>
        <w:rPr>
          <w:rStyle w:val="607"/>
          <w:rFonts w:hint="eastAsia"/>
          <w:b w:val="0"/>
          <w:color w:val="auto"/>
          <w:sz w:val="24"/>
          <w:szCs w:val="24"/>
          <w:highlight w:val="none"/>
          <w:lang w:val="zh-TW"/>
        </w:rPr>
        <w:t>投标文件商务技术部分评审；</w:t>
      </w:r>
    </w:p>
    <w:p>
      <w:pPr>
        <w:pStyle w:val="5"/>
        <w:topLinePunct/>
        <w:adjustRightInd w:val="0"/>
        <w:snapToGrid w:val="0"/>
        <w:spacing w:line="400" w:lineRule="exact"/>
        <w:ind w:firstLine="480" w:firstLineChars="200"/>
        <w:jc w:val="left"/>
        <w:rPr>
          <w:rStyle w:val="607"/>
          <w:rFonts w:hint="eastAsia"/>
          <w:b w:val="0"/>
          <w:color w:val="auto"/>
          <w:sz w:val="24"/>
          <w:szCs w:val="24"/>
          <w:highlight w:val="none"/>
          <w:lang w:val="zh-TW"/>
        </w:rPr>
      </w:pPr>
      <w:r>
        <w:rPr>
          <w:rStyle w:val="607"/>
          <w:rFonts w:hint="eastAsia"/>
          <w:b w:val="0"/>
          <w:color w:val="auto"/>
          <w:sz w:val="24"/>
          <w:szCs w:val="24"/>
          <w:highlight w:val="none"/>
          <w:lang w:val="zh-TW"/>
        </w:rPr>
        <w:t>2</w:t>
      </w:r>
      <w:r>
        <w:rPr>
          <w:rStyle w:val="607"/>
          <w:rFonts w:hint="eastAsia"/>
          <w:b w:val="0"/>
          <w:color w:val="auto"/>
          <w:sz w:val="24"/>
          <w:szCs w:val="24"/>
          <w:highlight w:val="none"/>
          <w:lang w:val="en-US" w:eastAsia="zh-CN"/>
        </w:rPr>
        <w:t>.</w:t>
      </w:r>
      <w:r>
        <w:rPr>
          <w:rStyle w:val="607"/>
          <w:rFonts w:hint="eastAsia"/>
          <w:b w:val="0"/>
          <w:color w:val="auto"/>
          <w:sz w:val="24"/>
          <w:szCs w:val="24"/>
          <w:highlight w:val="none"/>
          <w:lang w:val="zh-TW"/>
        </w:rPr>
        <w:t>投标文件报价部分审查；</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lang w:val="zh-TW"/>
        </w:rPr>
      </w:pPr>
      <w:r>
        <w:rPr>
          <w:rStyle w:val="607"/>
          <w:rFonts w:hint="eastAsia"/>
          <w:b w:val="0"/>
          <w:color w:val="auto"/>
          <w:sz w:val="24"/>
          <w:szCs w:val="24"/>
          <w:highlight w:val="none"/>
          <w:lang w:val="zh-TW"/>
        </w:rPr>
        <w:t>3</w:t>
      </w:r>
      <w:r>
        <w:rPr>
          <w:rStyle w:val="607"/>
          <w:rFonts w:hint="eastAsia"/>
          <w:b w:val="0"/>
          <w:color w:val="auto"/>
          <w:sz w:val="24"/>
          <w:szCs w:val="24"/>
          <w:highlight w:val="none"/>
          <w:lang w:val="en-US" w:eastAsia="zh-CN"/>
        </w:rPr>
        <w:t>.</w:t>
      </w:r>
      <w:r>
        <w:rPr>
          <w:rStyle w:val="607"/>
          <w:rFonts w:hint="eastAsia"/>
          <w:b w:val="0"/>
          <w:color w:val="auto"/>
          <w:sz w:val="24"/>
          <w:szCs w:val="24"/>
          <w:highlight w:val="none"/>
          <w:lang w:val="zh-TW"/>
        </w:rPr>
        <w:t>推荐中标候选人名单，编写评标报告。</w:t>
      </w:r>
    </w:p>
    <w:p>
      <w:pPr>
        <w:pStyle w:val="5"/>
        <w:topLinePunct/>
        <w:adjustRightInd w:val="0"/>
        <w:snapToGrid w:val="0"/>
        <w:spacing w:line="400" w:lineRule="exact"/>
        <w:ind w:left="4" w:firstLine="482" w:firstLineChars="200"/>
        <w:jc w:val="left"/>
        <w:rPr>
          <w:rStyle w:val="607"/>
          <w:rFonts w:hint="eastAsia"/>
          <w:color w:val="auto"/>
          <w:sz w:val="24"/>
          <w:szCs w:val="24"/>
          <w:highlight w:val="none"/>
        </w:rPr>
      </w:pPr>
      <w:r>
        <w:rPr>
          <w:rStyle w:val="607"/>
          <w:rFonts w:hint="eastAsia"/>
          <w:color w:val="auto"/>
          <w:sz w:val="24"/>
          <w:szCs w:val="24"/>
          <w:highlight w:val="none"/>
        </w:rPr>
        <w:t>三、定标及定标程序</w:t>
      </w:r>
    </w:p>
    <w:p>
      <w:pPr>
        <w:pStyle w:val="5"/>
        <w:topLinePunct/>
        <w:adjustRightInd w:val="0"/>
        <w:snapToGrid w:val="0"/>
        <w:spacing w:line="400" w:lineRule="exact"/>
        <w:ind w:left="4" w:firstLine="480" w:firstLineChars="200"/>
        <w:jc w:val="left"/>
        <w:rPr>
          <w:rStyle w:val="607"/>
          <w:rFonts w:hint="eastAsia"/>
          <w:b w:val="0"/>
          <w:color w:val="auto"/>
          <w:sz w:val="24"/>
          <w:szCs w:val="24"/>
          <w:highlight w:val="none"/>
          <w:lang w:val="zh-TW"/>
        </w:rPr>
      </w:pPr>
      <w:r>
        <w:rPr>
          <w:rStyle w:val="607"/>
          <w:rFonts w:hint="eastAsia"/>
          <w:b w:val="0"/>
          <w:color w:val="auto"/>
          <w:sz w:val="24"/>
          <w:szCs w:val="24"/>
          <w:highlight w:val="none"/>
          <w:lang w:val="zh-TW"/>
        </w:rPr>
        <w:t>1</w:t>
      </w:r>
      <w:r>
        <w:rPr>
          <w:rStyle w:val="607"/>
          <w:rFonts w:hint="eastAsia"/>
          <w:b w:val="0"/>
          <w:color w:val="auto"/>
          <w:sz w:val="24"/>
          <w:szCs w:val="24"/>
          <w:highlight w:val="none"/>
          <w:lang w:val="en-US" w:eastAsia="zh-CN"/>
        </w:rPr>
        <w:t>.</w:t>
      </w:r>
      <w:r>
        <w:rPr>
          <w:rStyle w:val="607"/>
          <w:rFonts w:hint="eastAsia"/>
          <w:b w:val="0"/>
          <w:color w:val="auto"/>
          <w:sz w:val="24"/>
          <w:szCs w:val="24"/>
          <w:highlight w:val="none"/>
          <w:lang w:val="zh-TW"/>
        </w:rPr>
        <w:t>定标原则</w:t>
      </w:r>
    </w:p>
    <w:p>
      <w:pPr>
        <w:adjustRightInd w:val="0"/>
        <w:snapToGrid w:val="0"/>
        <w:spacing w:line="400" w:lineRule="exact"/>
        <w:ind w:firstLine="480" w:firstLineChars="200"/>
        <w:rPr>
          <w:rFonts w:hint="eastAsia" w:ascii="宋体" w:hAnsi="宋体" w:cs="宋体"/>
          <w:color w:val="auto"/>
          <w:sz w:val="24"/>
          <w:szCs w:val="22"/>
          <w:highlight w:val="none"/>
        </w:rPr>
      </w:pPr>
      <w:r>
        <w:rPr>
          <w:rFonts w:hint="eastAsia" w:ascii="宋体" w:hAnsi="宋体" w:cs="宋体"/>
          <w:color w:val="auto"/>
          <w:sz w:val="24"/>
          <w:szCs w:val="22"/>
          <w:highlight w:val="none"/>
        </w:rPr>
        <w:t>评标委员会根据以下规定确定投标人排名并推荐中标候选人。</w:t>
      </w:r>
    </w:p>
    <w:p>
      <w:pPr>
        <w:pStyle w:val="5"/>
        <w:numPr>
          <w:ilvl w:val="0"/>
          <w:numId w:val="0"/>
        </w:numPr>
        <w:topLinePunct/>
        <w:adjustRightInd w:val="0"/>
        <w:snapToGrid w:val="0"/>
        <w:spacing w:line="400" w:lineRule="exact"/>
        <w:ind w:leftChars="200"/>
        <w:jc w:val="left"/>
        <w:rPr>
          <w:rStyle w:val="607"/>
          <w:rFonts w:hint="eastAsia"/>
          <w:b w:val="0"/>
          <w:color w:val="auto"/>
          <w:sz w:val="24"/>
          <w:szCs w:val="24"/>
          <w:highlight w:val="none"/>
          <w:lang w:val="zh-TW"/>
        </w:rPr>
      </w:pPr>
      <w:r>
        <w:rPr>
          <w:rStyle w:val="607"/>
          <w:rFonts w:hint="eastAsia"/>
          <w:b w:val="0"/>
          <w:color w:val="auto"/>
          <w:sz w:val="24"/>
          <w:szCs w:val="24"/>
          <w:highlight w:val="none"/>
          <w:lang w:val="en-US" w:eastAsia="zh-CN"/>
        </w:rPr>
        <w:t>2.</w:t>
      </w:r>
      <w:r>
        <w:rPr>
          <w:rStyle w:val="607"/>
          <w:rFonts w:hint="eastAsia"/>
          <w:b w:val="0"/>
          <w:color w:val="auto"/>
          <w:sz w:val="24"/>
          <w:szCs w:val="24"/>
          <w:highlight w:val="none"/>
          <w:lang w:val="zh-TW"/>
        </w:rPr>
        <w:t>定标程序</w:t>
      </w:r>
    </w:p>
    <w:p>
      <w:pPr>
        <w:pStyle w:val="54"/>
        <w:spacing w:line="440" w:lineRule="exact"/>
        <w:ind w:firstLine="480" w:firstLineChars="200"/>
        <w:jc w:val="left"/>
        <w:rPr>
          <w:rStyle w:val="607"/>
          <w:rFonts w:hint="eastAsia"/>
          <w:color w:val="auto"/>
          <w:sz w:val="24"/>
          <w:szCs w:val="24"/>
          <w:highlight w:val="none"/>
          <w:lang w:eastAsia="zh-TW"/>
        </w:rPr>
      </w:pPr>
      <w:r>
        <w:rPr>
          <w:rStyle w:val="607"/>
          <w:rFonts w:hint="eastAsia"/>
          <w:color w:val="auto"/>
          <w:sz w:val="24"/>
          <w:szCs w:val="24"/>
          <w:highlight w:val="none"/>
          <w:lang w:eastAsia="zh-TW"/>
        </w:rPr>
        <w:t>（1）评委会将评标情况写出书面评审报告，推荐中标候选人，并按照综合评分的高低排列顺序，确定中标人；如投标人综合得分相同的，报价低者为中标人。综合得分且报价相同的，商务部分指标优者为中标人；如综合得分、投标报价和商务技术中的商务部分得分均相同的，则抽签选取中标候选人。</w:t>
      </w:r>
    </w:p>
    <w:p>
      <w:pPr>
        <w:pStyle w:val="54"/>
        <w:spacing w:line="440" w:lineRule="exact"/>
        <w:ind w:firstLine="480" w:firstLineChars="200"/>
        <w:jc w:val="left"/>
        <w:rPr>
          <w:rStyle w:val="607"/>
          <w:rFonts w:hint="eastAsia"/>
          <w:color w:val="auto"/>
          <w:sz w:val="24"/>
          <w:szCs w:val="24"/>
          <w:highlight w:val="none"/>
        </w:rPr>
      </w:pPr>
      <w:r>
        <w:rPr>
          <w:rStyle w:val="607"/>
          <w:rFonts w:hint="eastAsia"/>
          <w:color w:val="auto"/>
          <w:sz w:val="24"/>
          <w:szCs w:val="24"/>
          <w:highlight w:val="none"/>
          <w:lang w:eastAsia="zh-TW"/>
        </w:rPr>
        <w:t>（</w:t>
      </w:r>
      <w:r>
        <w:rPr>
          <w:rStyle w:val="607"/>
          <w:rFonts w:hint="eastAsia"/>
          <w:color w:val="auto"/>
          <w:sz w:val="24"/>
          <w:szCs w:val="24"/>
          <w:highlight w:val="none"/>
          <w:lang w:val="zh-TW" w:eastAsia="zh-TW"/>
        </w:rPr>
        <w:t>2</w:t>
      </w:r>
      <w:r>
        <w:rPr>
          <w:rStyle w:val="607"/>
          <w:rFonts w:hint="eastAsia"/>
          <w:color w:val="auto"/>
          <w:sz w:val="24"/>
          <w:szCs w:val="24"/>
          <w:highlight w:val="none"/>
          <w:lang w:eastAsia="zh-TW"/>
        </w:rPr>
        <w:t>）</w:t>
      </w:r>
      <w:r>
        <w:rPr>
          <w:rStyle w:val="607"/>
          <w:rFonts w:hint="eastAsia"/>
          <w:color w:val="auto"/>
          <w:sz w:val="24"/>
          <w:szCs w:val="24"/>
          <w:highlight w:val="none"/>
        </w:rPr>
        <w:t>评定结果经采购人确定后，采购人在中标人确定之日起2个工作日内将以书面形式发出《中标通知书》，并在浙江政府采购网公告中标结果。</w:t>
      </w:r>
    </w:p>
    <w:p>
      <w:pPr>
        <w:pStyle w:val="54"/>
        <w:spacing w:line="440" w:lineRule="exact"/>
        <w:ind w:firstLine="480" w:firstLineChars="200"/>
        <w:jc w:val="left"/>
        <w:rPr>
          <w:rStyle w:val="607"/>
          <w:rFonts w:hint="eastAsia"/>
          <w:color w:val="auto"/>
          <w:sz w:val="24"/>
          <w:szCs w:val="24"/>
          <w:highlight w:val="none"/>
        </w:rPr>
      </w:pPr>
      <w:r>
        <w:rPr>
          <w:rStyle w:val="607"/>
          <w:rFonts w:hint="eastAsia"/>
          <w:color w:val="auto"/>
          <w:sz w:val="24"/>
          <w:szCs w:val="24"/>
          <w:highlight w:val="none"/>
        </w:rPr>
        <w:t>（</w:t>
      </w:r>
      <w:r>
        <w:rPr>
          <w:rStyle w:val="607"/>
          <w:rFonts w:hint="eastAsia"/>
          <w:color w:val="auto"/>
          <w:sz w:val="24"/>
          <w:szCs w:val="24"/>
          <w:highlight w:val="none"/>
          <w:lang w:val="zh-TW"/>
        </w:rPr>
        <w:t>3</w:t>
      </w:r>
      <w:r>
        <w:rPr>
          <w:rStyle w:val="607"/>
          <w:rFonts w:hint="eastAsia"/>
          <w:color w:val="auto"/>
          <w:sz w:val="24"/>
          <w:szCs w:val="24"/>
          <w:highlight w:val="none"/>
        </w:rPr>
        <w:t>）采购代理机构不解释中标或落标原因，不退回投标文件和其他投标资料。</w:t>
      </w:r>
    </w:p>
    <w:p>
      <w:pPr>
        <w:rPr>
          <w:color w:val="auto"/>
          <w:highlight w:val="none"/>
        </w:rPr>
      </w:pPr>
    </w:p>
    <w:p>
      <w:pPr>
        <w:adjustRightInd w:val="0"/>
        <w:snapToGrid w:val="0"/>
        <w:spacing w:line="400" w:lineRule="exact"/>
        <w:ind w:firstLine="480" w:firstLineChars="200"/>
        <w:rPr>
          <w:rFonts w:hint="eastAsia" w:ascii="宋体" w:hAnsi="宋体" w:cs="宋体"/>
          <w:color w:val="auto"/>
          <w:sz w:val="24"/>
          <w:szCs w:val="22"/>
          <w:highlight w:val="none"/>
        </w:rPr>
      </w:pPr>
    </w:p>
    <w:p>
      <w:pPr>
        <w:pStyle w:val="54"/>
        <w:spacing w:line="400" w:lineRule="exact"/>
        <w:ind w:firstLine="482" w:firstLineChars="200"/>
        <w:jc w:val="left"/>
        <w:rPr>
          <w:rStyle w:val="607"/>
          <w:rFonts w:hint="eastAsia"/>
          <w:b/>
          <w:color w:val="auto"/>
          <w:sz w:val="24"/>
          <w:szCs w:val="24"/>
          <w:highlight w:val="none"/>
        </w:rPr>
      </w:pPr>
      <w:r>
        <w:rPr>
          <w:rStyle w:val="607"/>
          <w:rFonts w:hint="eastAsia"/>
          <w:b/>
          <w:color w:val="auto"/>
          <w:sz w:val="24"/>
          <w:szCs w:val="24"/>
          <w:highlight w:val="none"/>
        </w:rPr>
        <w:t>四、评标方法</w:t>
      </w:r>
    </w:p>
    <w:p>
      <w:pPr>
        <w:pStyle w:val="54"/>
        <w:spacing w:line="400" w:lineRule="exact"/>
        <w:ind w:firstLine="480" w:firstLineChars="200"/>
        <w:jc w:val="left"/>
        <w:rPr>
          <w:rStyle w:val="607"/>
          <w:rFonts w:hint="eastAsia"/>
          <w:color w:val="auto"/>
          <w:sz w:val="24"/>
          <w:szCs w:val="24"/>
          <w:highlight w:val="none"/>
          <w:lang w:val="zh-TW"/>
        </w:rPr>
      </w:pPr>
      <w:r>
        <w:rPr>
          <w:rStyle w:val="607"/>
          <w:rFonts w:hint="eastAsia"/>
          <w:color w:val="auto"/>
          <w:sz w:val="24"/>
          <w:szCs w:val="24"/>
          <w:highlight w:val="none"/>
          <w:lang w:val="zh-TW"/>
        </w:rPr>
        <w:t>1</w:t>
      </w:r>
      <w:r>
        <w:rPr>
          <w:rStyle w:val="607"/>
          <w:rFonts w:hint="eastAsia" w:eastAsia="宋体"/>
          <w:color w:val="auto"/>
          <w:sz w:val="24"/>
          <w:szCs w:val="24"/>
          <w:highlight w:val="none"/>
          <w:lang w:val="en-US" w:eastAsia="zh-CN"/>
        </w:rPr>
        <w:t>.</w:t>
      </w:r>
      <w:r>
        <w:rPr>
          <w:rStyle w:val="607"/>
          <w:rFonts w:hint="eastAsia"/>
          <w:color w:val="auto"/>
          <w:sz w:val="24"/>
          <w:szCs w:val="24"/>
          <w:highlight w:val="none"/>
        </w:rPr>
        <w:t>本次评标采用综合评分法，即在投标文件满足招标文件全部实质性要求的前提下，按照评审因素的量化指标评审得分从高到低的顺序推荐供应商为第一、第二、……中标候选人的评标办法。</w:t>
      </w:r>
    </w:p>
    <w:p>
      <w:pPr>
        <w:pStyle w:val="54"/>
        <w:pageBreakBefore w:val="0"/>
        <w:kinsoku/>
        <w:wordWrap/>
        <w:overflowPunct/>
        <w:topLinePunct w:val="0"/>
        <w:bidi w:val="0"/>
        <w:spacing w:line="400" w:lineRule="exact"/>
        <w:ind w:left="0" w:leftChars="0" w:right="0" w:rightChars="0" w:firstLine="480" w:firstLineChars="200"/>
        <w:textAlignment w:val="auto"/>
        <w:rPr>
          <w:rStyle w:val="607"/>
          <w:rFonts w:hint="eastAsia"/>
          <w:color w:val="auto"/>
          <w:sz w:val="24"/>
          <w:szCs w:val="24"/>
          <w:highlight w:val="none"/>
        </w:rPr>
      </w:pPr>
      <w:r>
        <w:rPr>
          <w:rStyle w:val="607"/>
          <w:rFonts w:hint="eastAsia"/>
          <w:color w:val="auto"/>
          <w:sz w:val="24"/>
          <w:szCs w:val="24"/>
          <w:highlight w:val="none"/>
          <w:lang w:val="zh-TW"/>
        </w:rPr>
        <w:t>2</w:t>
      </w:r>
      <w:r>
        <w:rPr>
          <w:rStyle w:val="607"/>
          <w:rFonts w:hint="eastAsia" w:eastAsia="宋体"/>
          <w:color w:val="auto"/>
          <w:sz w:val="24"/>
          <w:szCs w:val="24"/>
          <w:highlight w:val="none"/>
          <w:lang w:val="en-US" w:eastAsia="zh-CN"/>
        </w:rPr>
        <w:t>.</w:t>
      </w:r>
      <w:r>
        <w:rPr>
          <w:rStyle w:val="607"/>
          <w:rFonts w:hint="eastAsia" w:ascii="宋体" w:hAnsi="宋体" w:eastAsia="宋体" w:cs="宋体"/>
          <w:color w:val="auto"/>
          <w:sz w:val="24"/>
          <w:szCs w:val="24"/>
          <w:highlight w:val="none"/>
        </w:rPr>
        <w:t>本项</w:t>
      </w:r>
      <w:r>
        <w:rPr>
          <w:rStyle w:val="607"/>
          <w:rFonts w:hint="eastAsia" w:ascii="宋体" w:hAnsi="宋体" w:eastAsia="宋体" w:cs="宋体"/>
          <w:color w:val="auto"/>
          <w:sz w:val="24"/>
          <w:szCs w:val="24"/>
          <w:highlight w:val="none"/>
          <w:lang w:eastAsia="zh-CN"/>
        </w:rPr>
        <w:t>目各标项的分值</w:t>
      </w:r>
      <w:r>
        <w:rPr>
          <w:rStyle w:val="607"/>
          <w:rFonts w:hint="eastAsia" w:ascii="宋体" w:hAnsi="宋体" w:eastAsia="宋体" w:cs="宋体"/>
          <w:color w:val="auto"/>
          <w:sz w:val="24"/>
          <w:szCs w:val="24"/>
          <w:highlight w:val="none"/>
        </w:rPr>
        <w:t>为商务技术分</w:t>
      </w:r>
      <w:r>
        <w:rPr>
          <w:rStyle w:val="607"/>
          <w:rFonts w:hint="eastAsia" w:ascii="宋体" w:hAnsi="宋体" w:eastAsia="宋体" w:cs="宋体"/>
          <w:color w:val="auto"/>
          <w:sz w:val="24"/>
          <w:szCs w:val="24"/>
          <w:highlight w:val="none"/>
          <w:lang w:val="en-US" w:eastAsia="zh-CN"/>
        </w:rPr>
        <w:t>70</w:t>
      </w:r>
      <w:r>
        <w:rPr>
          <w:rStyle w:val="607"/>
          <w:rFonts w:hint="eastAsia" w:ascii="宋体" w:hAnsi="宋体" w:eastAsia="宋体" w:cs="宋体"/>
          <w:color w:val="auto"/>
          <w:sz w:val="24"/>
          <w:szCs w:val="24"/>
          <w:highlight w:val="none"/>
        </w:rPr>
        <w:t>分和报价分</w:t>
      </w:r>
      <w:r>
        <w:rPr>
          <w:rStyle w:val="607"/>
          <w:rFonts w:hint="eastAsia" w:ascii="宋体" w:hAnsi="宋体" w:eastAsia="宋体" w:cs="宋体"/>
          <w:color w:val="auto"/>
          <w:sz w:val="24"/>
          <w:szCs w:val="24"/>
          <w:highlight w:val="none"/>
          <w:lang w:val="en-US" w:eastAsia="zh-CN"/>
        </w:rPr>
        <w:t>30</w:t>
      </w:r>
      <w:r>
        <w:rPr>
          <w:rStyle w:val="607"/>
          <w:rFonts w:hint="eastAsia" w:ascii="宋体" w:hAnsi="宋体" w:eastAsia="宋体" w:cs="宋体"/>
          <w:color w:val="auto"/>
          <w:sz w:val="24"/>
          <w:szCs w:val="24"/>
          <w:highlight w:val="none"/>
        </w:rPr>
        <w:t>分合计评分，满分为</w:t>
      </w:r>
      <w:r>
        <w:rPr>
          <w:rStyle w:val="607"/>
          <w:rFonts w:hint="eastAsia" w:ascii="宋体" w:hAnsi="宋体" w:eastAsia="宋体" w:cs="宋体"/>
          <w:color w:val="auto"/>
          <w:sz w:val="24"/>
          <w:szCs w:val="24"/>
          <w:highlight w:val="none"/>
          <w:lang w:val="zh-TW"/>
        </w:rPr>
        <w:t>100</w:t>
      </w:r>
      <w:r>
        <w:rPr>
          <w:rStyle w:val="607"/>
          <w:rFonts w:hint="eastAsia" w:ascii="宋体" w:hAnsi="宋体" w:eastAsia="宋体" w:cs="宋体"/>
          <w:color w:val="auto"/>
          <w:sz w:val="24"/>
          <w:szCs w:val="24"/>
          <w:highlight w:val="none"/>
        </w:rPr>
        <w:t>分。</w:t>
      </w:r>
    </w:p>
    <w:p>
      <w:pPr>
        <w:pStyle w:val="54"/>
        <w:keepNext/>
        <w:keepLines/>
        <w:adjustRightInd w:val="0"/>
        <w:snapToGrid w:val="0"/>
        <w:spacing w:line="400" w:lineRule="exact"/>
        <w:ind w:firstLine="482" w:firstLineChars="200"/>
        <w:jc w:val="left"/>
        <w:rPr>
          <w:rStyle w:val="607"/>
          <w:rFonts w:hint="eastAsia"/>
          <w:bCs/>
          <w:color w:val="auto"/>
          <w:sz w:val="24"/>
          <w:szCs w:val="24"/>
          <w:highlight w:val="none"/>
        </w:rPr>
      </w:pPr>
      <w:r>
        <w:rPr>
          <w:rStyle w:val="607"/>
          <w:rFonts w:hint="eastAsia"/>
          <w:b/>
          <w:color w:val="auto"/>
          <w:sz w:val="24"/>
          <w:szCs w:val="24"/>
          <w:highlight w:val="none"/>
        </w:rPr>
        <w:t>五、评标细则及标准</w:t>
      </w:r>
    </w:p>
    <w:p>
      <w:pPr>
        <w:snapToGrid w:val="0"/>
        <w:spacing w:line="400" w:lineRule="exact"/>
        <w:ind w:firstLine="482" w:firstLineChars="200"/>
        <w:rPr>
          <w:rStyle w:val="608"/>
          <w:rFonts w:hint="eastAsia" w:ascii="宋体" w:hAnsi="宋体" w:cs="宋体"/>
          <w:b/>
          <w:bCs/>
          <w:color w:val="auto"/>
          <w:sz w:val="24"/>
          <w:szCs w:val="24"/>
          <w:highlight w:val="none"/>
        </w:rPr>
      </w:pPr>
      <w:r>
        <w:rPr>
          <w:rStyle w:val="607"/>
          <w:rFonts w:hint="eastAsia"/>
          <w:b/>
          <w:color w:val="auto"/>
          <w:sz w:val="24"/>
          <w:szCs w:val="24"/>
          <w:highlight w:val="none"/>
        </w:rPr>
        <w:t>1</w:t>
      </w:r>
      <w:r>
        <w:rPr>
          <w:rStyle w:val="608"/>
          <w:rFonts w:hint="eastAsia" w:ascii="宋体" w:hAnsi="宋体" w:cs="宋体"/>
          <w:b/>
          <w:bCs/>
          <w:color w:val="auto"/>
          <w:sz w:val="24"/>
          <w:szCs w:val="24"/>
          <w:highlight w:val="none"/>
        </w:rPr>
        <w:t>、在投标文件评审过程中，如果出现评标委员会成员意见不一致的情况，按照少数服从多数的原则确定。</w:t>
      </w:r>
    </w:p>
    <w:p>
      <w:pPr>
        <w:pStyle w:val="60"/>
        <w:pageBreakBefore w:val="0"/>
        <w:kinsoku/>
        <w:wordWrap/>
        <w:overflowPunct/>
        <w:topLinePunct w:val="0"/>
        <w:bidi w:val="0"/>
        <w:spacing w:after="0" w:line="400" w:lineRule="exact"/>
        <w:ind w:left="0" w:leftChars="0" w:right="0" w:rightChars="0" w:firstLine="482" w:firstLineChars="200"/>
        <w:textAlignment w:val="auto"/>
        <w:rPr>
          <w:rStyle w:val="608"/>
          <w:rFonts w:hint="eastAsia" w:ascii="宋体" w:hAnsi="宋体" w:eastAsia="宋体" w:cs="宋体"/>
          <w:b/>
          <w:bCs/>
          <w:color w:val="auto"/>
          <w:sz w:val="24"/>
          <w:szCs w:val="24"/>
          <w:highlight w:val="none"/>
          <w:lang w:eastAsia="zh-CN"/>
        </w:rPr>
      </w:pPr>
      <w:r>
        <w:rPr>
          <w:rStyle w:val="608"/>
          <w:rFonts w:hint="eastAsia" w:ascii="宋体" w:hAnsi="宋体" w:eastAsia="宋体" w:cs="宋体"/>
          <w:b/>
          <w:bCs/>
          <w:color w:val="auto"/>
          <w:sz w:val="24"/>
          <w:szCs w:val="24"/>
          <w:highlight w:val="none"/>
          <w:lang w:eastAsia="zh-CN"/>
        </w:rPr>
        <w:t>标项一：评分细</w:t>
      </w:r>
      <w:r>
        <w:rPr>
          <w:rStyle w:val="608"/>
          <w:rFonts w:hint="eastAsia" w:ascii="宋体" w:hAnsi="宋体" w:eastAsia="宋体" w:cs="宋体"/>
          <w:b/>
          <w:bCs/>
          <w:color w:val="auto"/>
          <w:sz w:val="24"/>
          <w:szCs w:val="24"/>
          <w:highlight w:val="none"/>
        </w:rPr>
        <w:t>则</w:t>
      </w:r>
    </w:p>
    <w:tbl>
      <w:tblPr>
        <w:tblStyle w:val="97"/>
        <w:tblW w:w="10400" w:type="dxa"/>
        <w:jc w:val="center"/>
        <w:tblInd w:w="0" w:type="dxa"/>
        <w:tblLayout w:type="fixed"/>
        <w:tblCellMar>
          <w:top w:w="15" w:type="dxa"/>
          <w:left w:w="15" w:type="dxa"/>
          <w:bottom w:w="15" w:type="dxa"/>
          <w:right w:w="15" w:type="dxa"/>
        </w:tblCellMar>
      </w:tblPr>
      <w:tblGrid>
        <w:gridCol w:w="1297"/>
        <w:gridCol w:w="8056"/>
        <w:gridCol w:w="1047"/>
      </w:tblGrid>
      <w:tr>
        <w:tblPrEx>
          <w:tblLayout w:type="fixed"/>
          <w:tblCellMar>
            <w:top w:w="15" w:type="dxa"/>
            <w:left w:w="15" w:type="dxa"/>
            <w:bottom w:w="15" w:type="dxa"/>
            <w:right w:w="15" w:type="dxa"/>
          </w:tblCellMar>
        </w:tblPrEx>
        <w:trPr>
          <w:trHeight w:val="90" w:hRule="atLeast"/>
          <w:jc w:val="center"/>
        </w:trPr>
        <w:tc>
          <w:tcPr>
            <w:tcW w:w="1297"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eastAsia" w:ascii="宋体" w:hAnsi="宋体" w:cs="宋体"/>
                <w:color w:val="auto"/>
                <w:sz w:val="24"/>
                <w:szCs w:val="24"/>
                <w:highlight w:val="none"/>
              </w:rPr>
            </w:pPr>
            <w:r>
              <w:rPr>
                <w:rFonts w:hint="eastAsia" w:ascii="宋体" w:hAnsi="宋体" w:cs="宋体"/>
                <w:b/>
                <w:color w:val="auto"/>
                <w:sz w:val="24"/>
                <w:szCs w:val="24"/>
                <w:highlight w:val="none"/>
              </w:rPr>
              <w:t>评分内容</w:t>
            </w:r>
          </w:p>
        </w:tc>
        <w:tc>
          <w:tcPr>
            <w:tcW w:w="8056"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eastAsia" w:ascii="宋体" w:hAnsi="宋体" w:cs="宋体"/>
                <w:color w:val="auto"/>
                <w:sz w:val="24"/>
                <w:szCs w:val="24"/>
                <w:highlight w:val="none"/>
              </w:rPr>
            </w:pPr>
            <w:r>
              <w:rPr>
                <w:rFonts w:hint="eastAsia" w:ascii="宋体" w:hAnsi="宋体" w:cs="宋体"/>
                <w:b/>
                <w:color w:val="auto"/>
                <w:sz w:val="24"/>
                <w:szCs w:val="24"/>
                <w:highlight w:val="none"/>
              </w:rPr>
              <w:t>细则内容</w:t>
            </w:r>
          </w:p>
        </w:tc>
        <w:tc>
          <w:tcPr>
            <w:tcW w:w="1047" w:type="dxa"/>
            <w:tcBorders>
              <w:top w:val="single" w:color="000000" w:sz="4" w:space="0"/>
              <w:left w:val="single" w:color="000000" w:sz="4" w:space="0"/>
              <w:bottom w:val="single" w:color="000000" w:sz="4" w:space="0"/>
              <w:right w:val="single" w:color="000000" w:sz="4" w:space="0"/>
            </w:tcBorders>
            <w:vAlign w:val="center"/>
          </w:tcPr>
          <w:p>
            <w:pPr>
              <w:snapToGrid w:val="0"/>
              <w:spacing w:line="360" w:lineRule="auto"/>
              <w:jc w:val="center"/>
              <w:rPr>
                <w:rFonts w:hint="eastAsia" w:ascii="宋体" w:hAnsi="宋体" w:cs="宋体"/>
                <w:color w:val="auto"/>
                <w:sz w:val="24"/>
                <w:szCs w:val="24"/>
                <w:highlight w:val="none"/>
              </w:rPr>
            </w:pPr>
            <w:r>
              <w:rPr>
                <w:rFonts w:hint="eastAsia" w:ascii="宋体" w:hAnsi="宋体" w:cs="宋体"/>
                <w:b/>
                <w:color w:val="auto"/>
                <w:sz w:val="24"/>
                <w:szCs w:val="24"/>
                <w:highlight w:val="none"/>
              </w:rPr>
              <w:t>分值</w:t>
            </w:r>
          </w:p>
        </w:tc>
      </w:tr>
      <w:tr>
        <w:tblPrEx>
          <w:tblLayout w:type="fixed"/>
          <w:tblCellMar>
            <w:top w:w="15" w:type="dxa"/>
            <w:left w:w="15" w:type="dxa"/>
            <w:bottom w:w="15" w:type="dxa"/>
            <w:right w:w="15" w:type="dxa"/>
          </w:tblCellMar>
        </w:tblPrEx>
        <w:trPr>
          <w:trHeight w:val="800" w:hRule="atLeast"/>
          <w:jc w:val="center"/>
        </w:trPr>
        <w:tc>
          <w:tcPr>
            <w:tcW w:w="129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企业业绩</w:t>
            </w:r>
          </w:p>
        </w:tc>
        <w:tc>
          <w:tcPr>
            <w:tcW w:w="8056" w:type="dxa"/>
            <w:tcBorders>
              <w:top w:val="single" w:color="000000" w:sz="4" w:space="0"/>
              <w:left w:val="single" w:color="auto" w:sz="4" w:space="0"/>
              <w:bottom w:val="single" w:color="000000" w:sz="4" w:space="0"/>
              <w:right w:val="single" w:color="000000" w:sz="4" w:space="0"/>
            </w:tcBorders>
            <w:vAlign w:val="center"/>
          </w:tcPr>
          <w:p>
            <w:pPr>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bidi="ar"/>
              </w:rPr>
              <w:t>投标人自20</w:t>
            </w:r>
            <w:r>
              <w:rPr>
                <w:rFonts w:hint="eastAsia" w:ascii="宋体" w:hAnsi="宋体" w:cs="宋体"/>
                <w:color w:val="auto"/>
                <w:sz w:val="24"/>
                <w:szCs w:val="24"/>
                <w:highlight w:val="none"/>
                <w:lang w:val="en-US" w:eastAsia="zh-CN" w:bidi="ar"/>
              </w:rPr>
              <w:t>22</w:t>
            </w:r>
            <w:r>
              <w:rPr>
                <w:rFonts w:hint="eastAsia" w:ascii="宋体" w:hAnsi="宋体" w:cs="宋体"/>
                <w:color w:val="auto"/>
                <w:sz w:val="24"/>
                <w:szCs w:val="24"/>
                <w:highlight w:val="none"/>
                <w:lang w:bidi="ar"/>
              </w:rPr>
              <w:t>年1月1日以来（时间以合同签订日期为准）承担过机场货检双视角 X 光检查仪类业绩的，每提供一个</w:t>
            </w:r>
            <w:r>
              <w:rPr>
                <w:rFonts w:hint="eastAsia" w:ascii="宋体" w:hAnsi="宋体" w:cs="宋体"/>
                <w:color w:val="auto"/>
                <w:sz w:val="24"/>
                <w:szCs w:val="24"/>
                <w:highlight w:val="none"/>
                <w:lang w:eastAsia="zh-CN" w:bidi="ar"/>
              </w:rPr>
              <w:t>合同</w:t>
            </w:r>
            <w:r>
              <w:rPr>
                <w:rFonts w:hint="eastAsia" w:ascii="宋体" w:hAnsi="宋体" w:cs="宋体"/>
                <w:color w:val="auto"/>
                <w:sz w:val="24"/>
                <w:szCs w:val="24"/>
                <w:highlight w:val="none"/>
                <w:lang w:bidi="ar"/>
              </w:rPr>
              <w:t>得0.5分，最高得3分。</w:t>
            </w:r>
          </w:p>
          <w:p>
            <w:pPr>
              <w:spacing w:line="360" w:lineRule="auto"/>
              <w:rPr>
                <w:rFonts w:hint="eastAsia" w:ascii="宋体" w:hAnsi="宋体" w:cs="宋体"/>
                <w:color w:val="auto"/>
                <w:sz w:val="24"/>
                <w:szCs w:val="24"/>
                <w:highlight w:val="none"/>
              </w:rPr>
            </w:pPr>
            <w:r>
              <w:rPr>
                <w:rFonts w:hint="eastAsia" w:ascii="宋体" w:hAnsi="宋体" w:cs="宋体"/>
                <w:b/>
                <w:bCs/>
                <w:color w:val="auto"/>
                <w:sz w:val="24"/>
                <w:szCs w:val="24"/>
                <w:highlight w:val="none"/>
              </w:rPr>
              <w:t>注：提供合同原件扫描件</w:t>
            </w:r>
            <w:r>
              <w:rPr>
                <w:rFonts w:hint="eastAsia" w:ascii="宋体" w:hAnsi="宋体" w:cs="宋体"/>
                <w:b/>
                <w:bCs/>
                <w:color w:val="auto"/>
                <w:sz w:val="24"/>
                <w:szCs w:val="24"/>
                <w:highlight w:val="none"/>
                <w:lang w:val="en-US" w:eastAsia="zh-CN"/>
              </w:rPr>
              <w:t>,</w:t>
            </w:r>
            <w:r>
              <w:rPr>
                <w:rFonts w:hint="eastAsia" w:ascii="宋体" w:hAnsi="宋体" w:cs="宋体"/>
                <w:b/>
                <w:bCs/>
                <w:color w:val="auto"/>
                <w:sz w:val="24"/>
                <w:szCs w:val="24"/>
                <w:highlight w:val="none"/>
              </w:rPr>
              <w:t>未提供不得分。</w:t>
            </w:r>
          </w:p>
        </w:tc>
        <w:tc>
          <w:tcPr>
            <w:tcW w:w="1047"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0-3分</w:t>
            </w:r>
          </w:p>
        </w:tc>
      </w:tr>
      <w:tr>
        <w:tblPrEx>
          <w:tblLayout w:type="fixed"/>
          <w:tblCellMar>
            <w:top w:w="15" w:type="dxa"/>
            <w:left w:w="15" w:type="dxa"/>
            <w:bottom w:w="15" w:type="dxa"/>
            <w:right w:w="15" w:type="dxa"/>
          </w:tblCellMar>
        </w:tblPrEx>
        <w:trPr>
          <w:trHeight w:val="90" w:hRule="atLeast"/>
          <w:jc w:val="center"/>
        </w:trPr>
        <w:tc>
          <w:tcPr>
            <w:tcW w:w="129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认证证书</w:t>
            </w:r>
          </w:p>
        </w:tc>
        <w:tc>
          <w:tcPr>
            <w:tcW w:w="8056" w:type="dxa"/>
            <w:tcBorders>
              <w:top w:val="single" w:color="000000" w:sz="4" w:space="0"/>
              <w:left w:val="single" w:color="auto" w:sz="4" w:space="0"/>
              <w:bottom w:val="single" w:color="000000" w:sz="4" w:space="0"/>
              <w:right w:val="single" w:color="000000" w:sz="4" w:space="0"/>
            </w:tcBorders>
            <w:vAlign w:val="center"/>
          </w:tcPr>
          <w:p>
            <w:pPr>
              <w:autoSpaceDE w:val="0"/>
              <w:autoSpaceDN w:val="0"/>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投标人（或制造商）具有有效的质量管理体系认证证书、环境管理体系认证证书、职业健康管理体系认证证书，每个得1分，最高得3分。</w:t>
            </w:r>
          </w:p>
          <w:p>
            <w:pPr>
              <w:spacing w:line="360" w:lineRule="auto"/>
              <w:rPr>
                <w:rFonts w:hint="eastAsia" w:ascii="宋体" w:hAnsi="宋体" w:cs="宋体"/>
                <w:color w:val="auto"/>
                <w:sz w:val="24"/>
                <w:szCs w:val="24"/>
                <w:highlight w:val="none"/>
              </w:rPr>
            </w:pPr>
            <w:r>
              <w:rPr>
                <w:rFonts w:hint="eastAsia" w:ascii="宋体" w:hAnsi="宋体" w:cs="宋体"/>
                <w:b/>
                <w:bCs/>
                <w:color w:val="auto"/>
                <w:sz w:val="24"/>
                <w:szCs w:val="24"/>
                <w:highlight w:val="none"/>
              </w:rPr>
              <w:t>注：提供证书扫描件及《全国认证认可信息公共服务平台》网站（http://cx.cnca.cn/CertECloud/index/index/page）查询截图并盖公章编入商务技术投标文件中，未提供不得分</w:t>
            </w:r>
            <w:r>
              <w:rPr>
                <w:rFonts w:hint="eastAsia" w:ascii="宋体" w:hAnsi="宋体" w:cs="宋体"/>
                <w:color w:val="auto"/>
                <w:sz w:val="24"/>
                <w:szCs w:val="24"/>
                <w:highlight w:val="none"/>
              </w:rPr>
              <w:t>。</w:t>
            </w:r>
          </w:p>
        </w:tc>
        <w:tc>
          <w:tcPr>
            <w:tcW w:w="1047"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0-3分</w:t>
            </w:r>
          </w:p>
        </w:tc>
      </w:tr>
      <w:tr>
        <w:tblPrEx>
          <w:tblLayout w:type="fixed"/>
          <w:tblCellMar>
            <w:top w:w="15" w:type="dxa"/>
            <w:left w:w="15" w:type="dxa"/>
            <w:bottom w:w="15" w:type="dxa"/>
            <w:right w:w="15" w:type="dxa"/>
          </w:tblCellMar>
        </w:tblPrEx>
        <w:trPr>
          <w:trHeight w:val="90" w:hRule="atLeast"/>
          <w:jc w:val="center"/>
        </w:trPr>
        <w:tc>
          <w:tcPr>
            <w:tcW w:w="129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产品基本性能参数响应程度</w:t>
            </w:r>
          </w:p>
          <w:p>
            <w:pPr>
              <w:autoSpaceDE w:val="0"/>
              <w:autoSpaceDN w:val="0"/>
              <w:adjustRightInd w:val="0"/>
              <w:snapToGrid w:val="0"/>
              <w:spacing w:line="360" w:lineRule="auto"/>
              <w:ind w:firstLine="480" w:firstLineChars="200"/>
              <w:jc w:val="center"/>
              <w:rPr>
                <w:rFonts w:hint="eastAsia" w:ascii="宋体" w:hAnsi="宋体" w:cs="宋体"/>
                <w:color w:val="auto"/>
                <w:sz w:val="24"/>
                <w:szCs w:val="24"/>
                <w:highlight w:val="none"/>
              </w:rPr>
            </w:pPr>
          </w:p>
        </w:tc>
        <w:tc>
          <w:tcPr>
            <w:tcW w:w="8056" w:type="dxa"/>
            <w:tcBorders>
              <w:top w:val="single" w:color="000000" w:sz="4" w:space="0"/>
              <w:left w:val="single" w:color="auto" w:sz="4" w:space="0"/>
              <w:bottom w:val="single" w:color="000000" w:sz="4" w:space="0"/>
              <w:right w:val="single" w:color="000000" w:sz="4" w:space="0"/>
            </w:tcBorders>
            <w:vAlign w:val="center"/>
          </w:tcPr>
          <w:p>
            <w:pPr>
              <w:autoSpaceDE w:val="0"/>
              <w:autoSpaceDN w:val="0"/>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zh-CN"/>
              </w:rPr>
              <w:t>根据投标产品基本性能参数配置及提供的证明材料，是否符合招标文件的要求及符合程度进行评价，基本性能满足或高于要求得满分。</w:t>
            </w:r>
            <w:r>
              <w:rPr>
                <w:rFonts w:hint="eastAsia" w:ascii="宋体" w:hAnsi="宋体" w:cs="宋体"/>
                <w:color w:val="auto"/>
                <w:sz w:val="24"/>
                <w:szCs w:val="24"/>
                <w:highlight w:val="none"/>
              </w:rPr>
              <w:t>全部满足招标文件要求的得</w:t>
            </w:r>
            <w:r>
              <w:rPr>
                <w:rFonts w:hint="eastAsia" w:ascii="宋体" w:hAnsi="宋体" w:cs="宋体"/>
                <w:color w:val="auto"/>
                <w:sz w:val="24"/>
                <w:szCs w:val="24"/>
                <w:highlight w:val="none"/>
                <w:lang w:val="en-US" w:eastAsia="zh-CN"/>
              </w:rPr>
              <w:t>25</w:t>
            </w:r>
            <w:r>
              <w:rPr>
                <w:rFonts w:hint="eastAsia" w:ascii="宋体" w:hAnsi="宋体" w:cs="宋体"/>
                <w:color w:val="auto"/>
                <w:sz w:val="24"/>
                <w:szCs w:val="24"/>
                <w:highlight w:val="none"/>
              </w:rPr>
              <w:t>分；如有负偏离每项扣</w:t>
            </w: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分，扣完为止。</w:t>
            </w:r>
          </w:p>
          <w:p>
            <w:pPr>
              <w:pStyle w:val="2"/>
              <w:spacing w:after="0" w:line="360" w:lineRule="auto"/>
              <w:rPr>
                <w:rFonts w:hint="eastAsia" w:ascii="宋体" w:hAnsi="宋体" w:cs="宋体"/>
                <w:color w:val="auto"/>
                <w:sz w:val="24"/>
                <w:szCs w:val="24"/>
                <w:highlight w:val="none"/>
              </w:rPr>
            </w:pPr>
            <w:r>
              <w:rPr>
                <w:rFonts w:hint="eastAsia" w:ascii="宋体" w:hAnsi="宋体" w:cs="宋体"/>
                <w:b/>
                <w:bCs/>
                <w:color w:val="auto"/>
                <w:sz w:val="24"/>
                <w:szCs w:val="24"/>
                <w:highlight w:val="none"/>
              </w:rPr>
              <w:t>注</w:t>
            </w:r>
            <w:r>
              <w:rPr>
                <w:rFonts w:hint="eastAsia" w:ascii="宋体" w:hAnsi="宋体" w:eastAsia="宋体" w:cs="宋体"/>
                <w:b/>
                <w:bCs/>
                <w:color w:val="auto"/>
                <w:sz w:val="24"/>
                <w:szCs w:val="24"/>
                <w:highlight w:val="none"/>
              </w:rPr>
              <w:t>：</w:t>
            </w:r>
            <w:r>
              <w:rPr>
                <w:rFonts w:hint="eastAsia" w:hAnsi="宋体" w:cs="宋体"/>
                <w:b/>
                <w:bCs/>
                <w:color w:val="auto"/>
                <w:sz w:val="24"/>
                <w:szCs w:val="24"/>
                <w:highlight w:val="none"/>
              </w:rPr>
              <w:t>如有负偏离指标的在《技术偏离表》中逐条响应；证明材料以“采购需求”清单要求中要求提供的相关证明材料为准</w:t>
            </w:r>
            <w:r>
              <w:rPr>
                <w:rFonts w:hint="eastAsia" w:hAnsi="宋体" w:cs="宋体"/>
                <w:b/>
                <w:bCs/>
                <w:color w:val="auto"/>
                <w:sz w:val="24"/>
                <w:szCs w:val="24"/>
                <w:highlight w:val="none"/>
                <w:lang w:eastAsia="zh-CN"/>
              </w:rPr>
              <w:t>（如有）</w:t>
            </w:r>
            <w:r>
              <w:rPr>
                <w:rFonts w:hint="eastAsia" w:hAnsi="宋体" w:cs="宋体"/>
                <w:b/>
                <w:bCs/>
                <w:color w:val="auto"/>
                <w:sz w:val="24"/>
                <w:szCs w:val="24"/>
                <w:highlight w:val="none"/>
              </w:rPr>
              <w:t>，未提供的视为负偏离。</w:t>
            </w:r>
          </w:p>
        </w:tc>
        <w:tc>
          <w:tcPr>
            <w:tcW w:w="1047" w:type="dxa"/>
            <w:tcBorders>
              <w:top w:val="single" w:color="000000" w:sz="4" w:space="0"/>
              <w:left w:val="single" w:color="000000" w:sz="4" w:space="0"/>
              <w:bottom w:val="single" w:color="000000" w:sz="4" w:space="0"/>
              <w:right w:val="single" w:color="000000" w:sz="4" w:space="0"/>
            </w:tcBorders>
            <w:vAlign w:val="center"/>
          </w:tcPr>
          <w:p>
            <w:pPr>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0-2</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分</w:t>
            </w:r>
          </w:p>
        </w:tc>
      </w:tr>
      <w:tr>
        <w:tblPrEx>
          <w:tblLayout w:type="fixed"/>
          <w:tblCellMar>
            <w:top w:w="15" w:type="dxa"/>
            <w:left w:w="15" w:type="dxa"/>
            <w:bottom w:w="15" w:type="dxa"/>
            <w:right w:w="15" w:type="dxa"/>
          </w:tblCellMar>
        </w:tblPrEx>
        <w:trPr>
          <w:trHeight w:val="553" w:hRule="atLeast"/>
          <w:jc w:val="center"/>
        </w:trPr>
        <w:tc>
          <w:tcPr>
            <w:tcW w:w="1297"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实施方案</w:t>
            </w:r>
          </w:p>
        </w:tc>
        <w:tc>
          <w:tcPr>
            <w:tcW w:w="805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提供针对本项目所需的供货组织方案，方案包括但不限于：</w:t>
            </w:r>
          </w:p>
          <w:p>
            <w:pPr>
              <w:numPr>
                <w:ilvl w:val="0"/>
                <w:numId w:val="0"/>
              </w:numPr>
              <w:autoSpaceDE w:val="0"/>
              <w:autoSpaceDN w:val="0"/>
              <w:adjustRightInd w:val="0"/>
              <w:snapToGrid w:val="0"/>
              <w:spacing w:line="360" w:lineRule="auto"/>
              <w:rPr>
                <w:rFonts w:hint="eastAsia" w:ascii="宋体" w:hAnsi="宋体" w:cs="宋体"/>
                <w:color w:val="auto"/>
                <w:sz w:val="24"/>
                <w:szCs w:val="24"/>
                <w:highlight w:val="none"/>
                <w:shd w:val="clear" w:color="auto" w:fill="FFFFFF"/>
                <w:lang w:val="zh-CN"/>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rPr>
              <w:t>进度控制：供货进度计划，进度保障措施的合理性、及时性、针对性等情况进行打分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rPr>
              <w:t>分值范围：4,3.5,</w:t>
            </w:r>
            <w:r>
              <w:rPr>
                <w:rFonts w:hint="eastAsia" w:ascii="宋体" w:hAnsi="宋体" w:cs="宋体"/>
                <w:color w:val="auto"/>
                <w:sz w:val="24"/>
                <w:szCs w:val="24"/>
                <w:highlight w:val="none"/>
                <w:shd w:val="clear" w:color="auto" w:fill="FFFFFF"/>
                <w:lang w:val="zh-CN"/>
              </w:rPr>
              <w:t>3,2.5,2,1.5,1,0.5,0）；</w:t>
            </w:r>
          </w:p>
          <w:p>
            <w:pPr>
              <w:autoSpaceDE w:val="0"/>
              <w:autoSpaceDN w:val="0"/>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安装调试：</w:t>
            </w:r>
            <w:r>
              <w:rPr>
                <w:rFonts w:hint="eastAsia" w:ascii="宋体" w:hAnsi="宋体" w:cs="宋体"/>
                <w:color w:val="auto"/>
                <w:sz w:val="24"/>
                <w:szCs w:val="24"/>
                <w:highlight w:val="none"/>
                <w:lang w:val="en-US" w:eastAsia="zh-CN"/>
              </w:rPr>
              <w:t>主要从对整套设备安装，调试方案，安装人员的资质、现场调整优化方案、沟通和协调能力</w:t>
            </w:r>
            <w:r>
              <w:rPr>
                <w:rFonts w:hint="eastAsia" w:ascii="宋体" w:hAnsi="宋体" w:cs="宋体"/>
                <w:color w:val="auto"/>
                <w:sz w:val="24"/>
                <w:szCs w:val="24"/>
                <w:highlight w:val="none"/>
              </w:rPr>
              <w:t xml:space="preserve">等情况进行打分 </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rPr>
              <w:t>分值范围：4,3.5,</w:t>
            </w:r>
            <w:r>
              <w:rPr>
                <w:rFonts w:hint="eastAsia" w:ascii="宋体" w:hAnsi="宋体" w:cs="宋体"/>
                <w:color w:val="auto"/>
                <w:sz w:val="24"/>
                <w:szCs w:val="24"/>
                <w:highlight w:val="none"/>
                <w:shd w:val="clear" w:color="auto" w:fill="FFFFFF"/>
                <w:lang w:val="zh-CN"/>
              </w:rPr>
              <w:t>3,2.5,2,1.5,1,0.5,0）；</w:t>
            </w:r>
          </w:p>
          <w:p>
            <w:pPr>
              <w:autoSpaceDE w:val="0"/>
              <w:autoSpaceDN w:val="0"/>
              <w:adjustRightInd w:val="0"/>
              <w:snapToGrid w:val="0"/>
              <w:spacing w:line="360" w:lineRule="auto"/>
              <w:rPr>
                <w:rFonts w:hint="eastAsia" w:ascii="宋体" w:hAnsi="宋体" w:cs="宋体"/>
                <w:b/>
                <w:bCs/>
                <w:color w:val="auto"/>
                <w:sz w:val="24"/>
                <w:szCs w:val="24"/>
                <w:highlight w:val="none"/>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rPr>
              <w:t>交货验收：</w:t>
            </w:r>
            <w:r>
              <w:rPr>
                <w:rFonts w:hint="eastAsia" w:ascii="宋体" w:hAnsi="宋体" w:cs="宋体"/>
                <w:color w:val="auto"/>
                <w:sz w:val="24"/>
                <w:szCs w:val="24"/>
                <w:highlight w:val="none"/>
                <w:lang w:val="en-US" w:eastAsia="zh-CN"/>
              </w:rPr>
              <w:t>主要从验收方案、验收记录报告的完整性、应急预案适用性</w:t>
            </w:r>
            <w:r>
              <w:rPr>
                <w:rFonts w:hint="eastAsia" w:ascii="宋体" w:hAnsi="宋体" w:cs="宋体"/>
                <w:color w:val="auto"/>
                <w:sz w:val="24"/>
                <w:szCs w:val="24"/>
                <w:highlight w:val="none"/>
              </w:rPr>
              <w:t>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rPr>
              <w:t>分值范围：5,4.5,4,3.5,</w:t>
            </w:r>
            <w:r>
              <w:rPr>
                <w:rFonts w:hint="eastAsia" w:ascii="宋体" w:hAnsi="宋体" w:cs="宋体"/>
                <w:color w:val="auto"/>
                <w:sz w:val="24"/>
                <w:szCs w:val="24"/>
                <w:highlight w:val="none"/>
                <w:shd w:val="clear" w:color="auto" w:fill="FFFFFF"/>
                <w:lang w:val="zh-CN"/>
              </w:rPr>
              <w:t>3,2.5,2,1.5,1,0.5,0）</w:t>
            </w:r>
            <w:r>
              <w:rPr>
                <w:rFonts w:hint="eastAsia" w:ascii="宋体" w:hAnsi="宋体" w:cs="宋体"/>
                <w:color w:val="auto"/>
                <w:sz w:val="24"/>
                <w:szCs w:val="24"/>
                <w:highlight w:val="none"/>
                <w:shd w:val="clear" w:color="auto" w:fill="FFFFFF"/>
                <w:lang w:val="zh-CN" w:eastAsia="zh-CN"/>
              </w:rPr>
              <w:t>。</w:t>
            </w:r>
          </w:p>
        </w:tc>
        <w:tc>
          <w:tcPr>
            <w:tcW w:w="1047" w:type="dxa"/>
            <w:tcBorders>
              <w:top w:val="single" w:color="000000" w:sz="4" w:space="0"/>
              <w:left w:val="single" w:color="000000" w:sz="4" w:space="0"/>
              <w:bottom w:val="single" w:color="auto" w:sz="4" w:space="0"/>
              <w:right w:val="single" w:color="000000" w:sz="4" w:space="0"/>
            </w:tcBorders>
            <w:vAlign w:val="center"/>
          </w:tcPr>
          <w:p>
            <w:pPr>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w:t>
            </w:r>
            <w:r>
              <w:rPr>
                <w:rFonts w:hint="eastAsia" w:ascii="宋体" w:hAnsi="宋体" w:cs="宋体"/>
                <w:color w:val="auto"/>
                <w:sz w:val="24"/>
                <w:szCs w:val="24"/>
                <w:highlight w:val="none"/>
                <w:lang w:val="en-US" w:eastAsia="zh-CN"/>
              </w:rPr>
              <w:t>13</w:t>
            </w:r>
            <w:r>
              <w:rPr>
                <w:rFonts w:hint="eastAsia" w:ascii="宋体" w:hAnsi="宋体" w:cs="宋体"/>
                <w:color w:val="auto"/>
                <w:sz w:val="24"/>
                <w:szCs w:val="24"/>
                <w:highlight w:val="none"/>
              </w:rPr>
              <w:t>分</w:t>
            </w:r>
          </w:p>
        </w:tc>
      </w:tr>
      <w:tr>
        <w:tblPrEx>
          <w:tblLayout w:type="fixed"/>
          <w:tblCellMar>
            <w:top w:w="15" w:type="dxa"/>
            <w:left w:w="15" w:type="dxa"/>
            <w:bottom w:w="15" w:type="dxa"/>
            <w:right w:w="15" w:type="dxa"/>
          </w:tblCellMar>
        </w:tblPrEx>
        <w:trPr>
          <w:trHeight w:val="83" w:hRule="atLeast"/>
          <w:jc w:val="center"/>
        </w:trPr>
        <w:tc>
          <w:tcPr>
            <w:tcW w:w="1297"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质保期</w:t>
            </w:r>
          </w:p>
        </w:tc>
        <w:tc>
          <w:tcPr>
            <w:tcW w:w="8056"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rPr>
                <w:rFonts w:hint="eastAsia" w:ascii="宋体" w:hAnsi="宋体" w:cs="宋体"/>
                <w:color w:val="auto"/>
                <w:sz w:val="24"/>
                <w:szCs w:val="24"/>
                <w:highlight w:val="none"/>
              </w:rPr>
            </w:pPr>
            <w:r>
              <w:rPr>
                <w:rFonts w:hint="eastAsia" w:ascii="宋体" w:hAnsi="宋体" w:cs="宋体"/>
                <w:color w:val="auto"/>
                <w:sz w:val="24"/>
                <w:szCs w:val="24"/>
                <w:highlight w:val="none"/>
              </w:rPr>
              <w:t>根据投标人承诺的质保期进行打分，质保期</w:t>
            </w:r>
            <w:r>
              <w:rPr>
                <w:rFonts w:hint="eastAsia" w:ascii="宋体" w:hAnsi="宋体" w:cs="宋体"/>
                <w:color w:val="auto"/>
                <w:sz w:val="24"/>
                <w:szCs w:val="24"/>
                <w:highlight w:val="none"/>
                <w:lang w:val="en-US" w:eastAsia="zh-CN"/>
              </w:rPr>
              <w:t>在</w:t>
            </w:r>
            <w:r>
              <w:rPr>
                <w:rFonts w:hint="eastAsia" w:ascii="宋体" w:hAnsi="宋体" w:cs="宋体"/>
                <w:color w:val="auto"/>
                <w:sz w:val="24"/>
                <w:szCs w:val="24"/>
                <w:highlight w:val="none"/>
              </w:rPr>
              <w:t>采购人要求的</w:t>
            </w:r>
            <w:r>
              <w:rPr>
                <w:rFonts w:hint="eastAsia" w:ascii="宋体" w:hAnsi="宋体" w:cs="宋体"/>
                <w:color w:val="auto"/>
                <w:sz w:val="24"/>
                <w:szCs w:val="24"/>
                <w:highlight w:val="none"/>
                <w:lang w:val="en-US" w:eastAsia="zh-CN"/>
              </w:rPr>
              <w:t>2年质保期的基础上</w:t>
            </w:r>
            <w:r>
              <w:rPr>
                <w:rFonts w:hint="eastAsia" w:ascii="宋体" w:hAnsi="宋体" w:cs="宋体"/>
                <w:color w:val="auto"/>
                <w:sz w:val="24"/>
                <w:szCs w:val="24"/>
                <w:highlight w:val="none"/>
              </w:rPr>
              <w:t>，每延长</w:t>
            </w:r>
            <w:r>
              <w:rPr>
                <w:rFonts w:hint="eastAsia" w:ascii="宋体" w:hAnsi="宋体" w:cs="宋体"/>
                <w:color w:val="auto"/>
                <w:sz w:val="24"/>
                <w:szCs w:val="24"/>
                <w:highlight w:val="none"/>
                <w:lang w:val="en-US" w:eastAsia="zh-CN"/>
              </w:rPr>
              <w:t>1年得</w:t>
            </w:r>
            <w:r>
              <w:rPr>
                <w:rFonts w:hint="eastAsia" w:ascii="宋体" w:hAnsi="宋体" w:cs="宋体"/>
                <w:color w:val="auto"/>
                <w:sz w:val="24"/>
                <w:szCs w:val="24"/>
                <w:highlight w:val="none"/>
              </w:rPr>
              <w:t>1分，本项最高</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w:t>
            </w: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rPr>
              <w:t>分</w:t>
            </w:r>
          </w:p>
        </w:tc>
      </w:tr>
      <w:tr>
        <w:tblPrEx>
          <w:tblLayout w:type="fixed"/>
          <w:tblCellMar>
            <w:top w:w="15" w:type="dxa"/>
            <w:left w:w="15" w:type="dxa"/>
            <w:bottom w:w="15" w:type="dxa"/>
            <w:right w:w="15" w:type="dxa"/>
          </w:tblCellMar>
        </w:tblPrEx>
        <w:trPr>
          <w:trHeight w:val="553" w:hRule="atLeast"/>
          <w:jc w:val="center"/>
        </w:trPr>
        <w:tc>
          <w:tcPr>
            <w:tcW w:w="1297" w:type="dxa"/>
            <w:tcBorders>
              <w:top w:val="single" w:color="auto"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jc w:val="center"/>
              <w:rPr>
                <w:rFonts w:hint="eastAsia" w:ascii="宋体" w:hAnsi="宋体" w:cs="宋体"/>
                <w:color w:val="auto"/>
                <w:kern w:val="0"/>
                <w:sz w:val="24"/>
                <w:szCs w:val="24"/>
                <w:highlight w:val="none"/>
                <w:lang w:bidi="ar"/>
              </w:rPr>
            </w:pPr>
            <w:r>
              <w:rPr>
                <w:rFonts w:hint="eastAsia" w:ascii="宋体" w:hAnsi="宋体" w:cs="宋体"/>
                <w:color w:val="auto"/>
                <w:kern w:val="0"/>
                <w:sz w:val="24"/>
                <w:szCs w:val="24"/>
                <w:highlight w:val="none"/>
                <w:lang w:bidi="ar"/>
              </w:rPr>
              <w:t>产品先进性及成熟性</w:t>
            </w:r>
          </w:p>
        </w:tc>
        <w:tc>
          <w:tcPr>
            <w:tcW w:w="8056" w:type="dxa"/>
            <w:tcBorders>
              <w:top w:val="single" w:color="auto" w:sz="4" w:space="0"/>
              <w:left w:val="single" w:color="000000" w:sz="4" w:space="0"/>
              <w:bottom w:val="single" w:color="000000" w:sz="4" w:space="0"/>
              <w:right w:val="single" w:color="000000" w:sz="4" w:space="0"/>
            </w:tcBorders>
            <w:vAlign w:val="center"/>
          </w:tcPr>
          <w:p>
            <w:pPr>
              <w:adjustRightInd w:val="0"/>
              <w:snapToGrid w:val="0"/>
              <w:spacing w:line="360" w:lineRule="auto"/>
              <w:jc w:val="left"/>
              <w:rPr>
                <w:rFonts w:hint="eastAsia" w:ascii="宋体" w:hAnsi="宋体" w:cs="宋体"/>
                <w:color w:val="auto"/>
                <w:kern w:val="0"/>
                <w:sz w:val="24"/>
                <w:szCs w:val="24"/>
                <w:highlight w:val="none"/>
                <w:lang w:bidi="ar"/>
              </w:rPr>
            </w:pPr>
            <w:r>
              <w:rPr>
                <w:rFonts w:hint="eastAsia" w:ascii="宋体" w:hAnsi="宋体" w:cs="宋体"/>
                <w:color w:val="auto"/>
                <w:sz w:val="24"/>
                <w:szCs w:val="24"/>
                <w:highlight w:val="none"/>
              </w:rPr>
              <w:t>根据投标人</w:t>
            </w:r>
            <w:r>
              <w:rPr>
                <w:rFonts w:hint="eastAsia" w:ascii="宋体" w:hAnsi="宋体" w:cs="宋体"/>
                <w:color w:val="auto"/>
                <w:sz w:val="24"/>
                <w:szCs w:val="24"/>
                <w:highlight w:val="none"/>
                <w:lang w:val="zh-CN"/>
              </w:rPr>
              <w:t>所投主要设备，包括不限于设备整体质量状况及稳定性、安全性、先进性、成熟性、节能环保性能</w:t>
            </w:r>
            <w:r>
              <w:rPr>
                <w:rFonts w:hint="eastAsia" w:ascii="宋体" w:hAnsi="宋体" w:cs="宋体"/>
                <w:color w:val="auto"/>
                <w:sz w:val="24"/>
                <w:szCs w:val="24"/>
                <w:highlight w:val="none"/>
                <w:lang w:val="zh-CN" w:eastAsia="zh-CN"/>
              </w:rPr>
              <w:t>等情况进行打分</w:t>
            </w:r>
            <w:r>
              <w:rPr>
                <w:rFonts w:hint="eastAsia" w:ascii="宋体" w:hAnsi="宋体" w:cs="宋体"/>
                <w:color w:val="auto"/>
                <w:sz w:val="24"/>
                <w:szCs w:val="24"/>
                <w:highlight w:val="none"/>
                <w:lang w:eastAsia="zh-CN"/>
              </w:rPr>
              <w:t>。</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rPr>
              <w:t>分值范围：</w:t>
            </w:r>
            <w:r>
              <w:rPr>
                <w:rFonts w:hint="eastAsia" w:ascii="宋体" w:hAnsi="宋体" w:cs="宋体"/>
                <w:color w:val="auto"/>
                <w:sz w:val="24"/>
                <w:szCs w:val="24"/>
                <w:highlight w:val="none"/>
                <w:lang w:val="en-US" w:eastAsia="zh-CN"/>
              </w:rPr>
              <w:t>5,4.5，</w:t>
            </w:r>
            <w:r>
              <w:rPr>
                <w:rFonts w:hint="eastAsia" w:ascii="宋体" w:hAnsi="宋体" w:cs="宋体"/>
                <w:color w:val="auto"/>
                <w:sz w:val="24"/>
                <w:szCs w:val="24"/>
                <w:highlight w:val="none"/>
              </w:rPr>
              <w:t>4,3.5,</w:t>
            </w:r>
            <w:r>
              <w:rPr>
                <w:rFonts w:hint="eastAsia" w:ascii="宋体" w:hAnsi="宋体" w:cs="宋体"/>
                <w:color w:val="auto"/>
                <w:sz w:val="24"/>
                <w:szCs w:val="24"/>
                <w:highlight w:val="none"/>
                <w:shd w:val="clear" w:color="auto" w:fill="FFFFFF"/>
                <w:lang w:val="zh-CN"/>
              </w:rPr>
              <w:t>3,2.5,2,1.5,1,0.5,0）</w:t>
            </w:r>
          </w:p>
        </w:tc>
        <w:tc>
          <w:tcPr>
            <w:tcW w:w="104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w:t>
            </w:r>
            <w:r>
              <w:rPr>
                <w:rFonts w:hint="eastAsia" w:ascii="宋体" w:hAnsi="宋体" w:cs="宋体"/>
                <w:color w:val="auto"/>
                <w:sz w:val="24"/>
                <w:szCs w:val="24"/>
                <w:highlight w:val="none"/>
                <w:lang w:val="en-US" w:eastAsia="zh-CN"/>
              </w:rPr>
              <w:t>5</w:t>
            </w:r>
            <w:r>
              <w:rPr>
                <w:rFonts w:hint="eastAsia" w:ascii="宋体" w:hAnsi="宋体" w:cs="宋体"/>
                <w:color w:val="auto"/>
                <w:sz w:val="24"/>
                <w:szCs w:val="24"/>
                <w:highlight w:val="none"/>
              </w:rPr>
              <w:t>分</w:t>
            </w:r>
          </w:p>
        </w:tc>
      </w:tr>
      <w:tr>
        <w:tblPrEx>
          <w:tblLayout w:type="fixed"/>
          <w:tblCellMar>
            <w:top w:w="15" w:type="dxa"/>
            <w:left w:w="15" w:type="dxa"/>
            <w:bottom w:w="15" w:type="dxa"/>
            <w:right w:w="15" w:type="dxa"/>
          </w:tblCellMar>
        </w:tblPrEx>
        <w:trPr>
          <w:trHeight w:val="553" w:hRule="atLeast"/>
          <w:jc w:val="center"/>
        </w:trPr>
        <w:tc>
          <w:tcPr>
            <w:tcW w:w="1297" w:type="dxa"/>
            <w:tcBorders>
              <w:top w:val="single" w:color="000000" w:sz="4" w:space="0"/>
              <w:left w:val="single" w:color="000000" w:sz="4" w:space="0"/>
              <w:bottom w:val="single" w:color="auto" w:sz="4" w:space="0"/>
              <w:right w:val="single" w:color="000000" w:sz="4" w:space="0"/>
            </w:tcBorders>
            <w:vAlign w:val="center"/>
          </w:tcPr>
          <w:p>
            <w:pPr>
              <w:autoSpaceDE w:val="0"/>
              <w:autoSpaceDN w:val="0"/>
              <w:adjustRightInd w:val="0"/>
              <w:snapToGrid w:val="0"/>
              <w:spacing w:line="360" w:lineRule="auto"/>
              <w:jc w:val="center"/>
              <w:rPr>
                <w:rFonts w:hint="eastAsia" w:ascii="宋体" w:hAnsi="宋体" w:cs="宋体"/>
                <w:b/>
                <w:bCs/>
                <w:color w:val="auto"/>
                <w:sz w:val="24"/>
                <w:szCs w:val="24"/>
                <w:highlight w:val="none"/>
                <w:lang w:bidi="ar"/>
              </w:rPr>
            </w:pPr>
            <w:r>
              <w:rPr>
                <w:rFonts w:hint="eastAsia" w:ascii="宋体" w:hAnsi="宋体" w:cs="宋体"/>
                <w:color w:val="auto"/>
                <w:sz w:val="24"/>
                <w:szCs w:val="24"/>
                <w:highlight w:val="none"/>
              </w:rPr>
              <w:t>售后服务</w:t>
            </w:r>
          </w:p>
        </w:tc>
        <w:tc>
          <w:tcPr>
            <w:tcW w:w="8056" w:type="dxa"/>
            <w:tcBorders>
              <w:top w:val="single" w:color="000000" w:sz="4" w:space="0"/>
              <w:left w:val="single" w:color="000000" w:sz="4" w:space="0"/>
              <w:bottom w:val="single" w:color="auto" w:sz="4" w:space="0"/>
              <w:right w:val="single" w:color="000000" w:sz="4" w:space="0"/>
            </w:tcBorders>
            <w:vAlign w:val="center"/>
          </w:tcPr>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rPr>
              <w:t>根据投标人提供的售后服务方案和售后维护服务机构的合理性、及时性、针对性</w:t>
            </w:r>
            <w:r>
              <w:rPr>
                <w:rFonts w:hint="eastAsia" w:ascii="宋体" w:hAnsi="宋体" w:cs="宋体"/>
                <w:color w:val="auto"/>
                <w:sz w:val="24"/>
                <w:szCs w:val="24"/>
                <w:highlight w:val="none"/>
                <w:lang w:val="zh-CN" w:eastAsia="zh-CN"/>
              </w:rPr>
              <w:t>等情况进行打分，包括但不限于：</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CN"/>
              </w:rPr>
              <w:t>响应时间：接故障报修后响应时间、接故障报修后</w:t>
            </w:r>
            <w:r>
              <w:rPr>
                <w:rFonts w:hint="eastAsia" w:ascii="宋体" w:hAnsi="宋体" w:cs="宋体"/>
                <w:color w:val="auto"/>
                <w:sz w:val="24"/>
                <w:szCs w:val="24"/>
                <w:highlight w:val="none"/>
                <w:lang w:val="en-US" w:eastAsia="zh-CN"/>
              </w:rPr>
              <w:t>人员</w:t>
            </w:r>
            <w:r>
              <w:rPr>
                <w:rFonts w:hint="eastAsia" w:ascii="宋体" w:hAnsi="宋体" w:cs="宋体"/>
                <w:color w:val="auto"/>
                <w:sz w:val="24"/>
                <w:szCs w:val="24"/>
                <w:highlight w:val="none"/>
                <w:lang w:val="zh-CN" w:eastAsia="zh-CN"/>
              </w:rPr>
              <w:t>到达抢修地点的时间、恢复故障时间等情况进行打分（</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kern w:val="2"/>
                <w:sz w:val="24"/>
                <w:szCs w:val="24"/>
                <w:highlight w:val="none"/>
                <w:lang w:val="zh-CN" w:eastAsia="zh-CN" w:bidi="ar-SA"/>
              </w:rPr>
              <w:t>3,2.5,2,1.5,1,0.5,0</w:t>
            </w:r>
            <w:r>
              <w:rPr>
                <w:rFonts w:hint="eastAsia" w:ascii="宋体" w:hAnsi="宋体" w:cs="宋体"/>
                <w:color w:val="auto"/>
                <w:sz w:val="24"/>
                <w:szCs w:val="24"/>
                <w:highlight w:val="none"/>
                <w:lang w:val="zh-CN" w:eastAsia="zh-CN"/>
              </w:rPr>
              <w:t>）；</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cs="宋体"/>
                <w:color w:val="auto"/>
                <w:sz w:val="24"/>
                <w:szCs w:val="24"/>
                <w:highlight w:val="none"/>
                <w:lang w:val="zh-CN" w:eastAsia="zh-CN"/>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CN"/>
              </w:rPr>
              <w:t>服务内容：零配件库储备能力、零配件调拨能力等情况进行打分（</w:t>
            </w:r>
            <w:r>
              <w:rPr>
                <w:rFonts w:hint="eastAsia" w:ascii="宋体" w:hAnsi="宋体" w:cs="宋体"/>
                <w:color w:val="auto"/>
                <w:sz w:val="24"/>
                <w:szCs w:val="24"/>
                <w:highlight w:val="none"/>
                <w:lang w:val="en-US" w:eastAsia="zh-CN"/>
              </w:rPr>
              <w:t>分值范围：2,1.5,1,0.5,0</w:t>
            </w:r>
            <w:r>
              <w:rPr>
                <w:rFonts w:hint="eastAsia" w:ascii="宋体" w:hAnsi="宋体" w:cs="宋体"/>
                <w:color w:val="auto"/>
                <w:sz w:val="24"/>
                <w:szCs w:val="24"/>
                <w:highlight w:val="none"/>
                <w:lang w:val="zh-CN" w:eastAsia="zh-CN"/>
              </w:rPr>
              <w:t>）；</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cs="宋体"/>
                <w:b/>
                <w:bCs/>
                <w:color w:val="auto"/>
                <w:sz w:val="24"/>
                <w:szCs w:val="24"/>
                <w:highlight w:val="none"/>
                <w:lang w:bidi="ar"/>
              </w:rPr>
            </w:pPr>
            <w:r>
              <w:rPr>
                <w:rFonts w:hint="eastAsia" w:ascii="宋体" w:hAnsi="宋体" w:cs="宋体"/>
                <w:color w:val="auto"/>
                <w:sz w:val="24"/>
                <w:szCs w:val="24"/>
                <w:highlight w:val="none"/>
                <w:lang w:val="en-US" w:eastAsia="zh-CN"/>
              </w:rPr>
              <w:t>3.</w:t>
            </w:r>
            <w:r>
              <w:rPr>
                <w:rFonts w:hint="eastAsia" w:ascii="宋体" w:hAnsi="宋体" w:cs="宋体"/>
                <w:color w:val="auto"/>
                <w:sz w:val="24"/>
                <w:szCs w:val="24"/>
                <w:highlight w:val="none"/>
                <w:lang w:val="zh-CN" w:eastAsia="zh-CN"/>
              </w:rPr>
              <w:t>故障处理办法：主要从应急应对措施、内容科学合理、后续处理方法（</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kern w:val="2"/>
                <w:sz w:val="24"/>
                <w:szCs w:val="24"/>
                <w:highlight w:val="none"/>
                <w:lang w:val="zh-CN" w:eastAsia="zh-CN" w:bidi="ar-SA"/>
              </w:rPr>
              <w:t>3,2.5,2,1.5,1,0.5,0</w:t>
            </w:r>
            <w:r>
              <w:rPr>
                <w:rFonts w:hint="eastAsia" w:ascii="宋体" w:hAnsi="宋体" w:cs="宋体"/>
                <w:color w:val="auto"/>
                <w:sz w:val="24"/>
                <w:szCs w:val="24"/>
                <w:highlight w:val="none"/>
                <w:lang w:val="zh-CN" w:eastAsia="zh-CN"/>
              </w:rPr>
              <w:t>）。</w:t>
            </w:r>
          </w:p>
        </w:tc>
        <w:tc>
          <w:tcPr>
            <w:tcW w:w="104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hint="eastAsia" w:ascii="宋体" w:hAnsi="宋体" w:cs="宋体"/>
                <w:b/>
                <w:bCs/>
                <w:color w:val="auto"/>
                <w:sz w:val="24"/>
                <w:szCs w:val="24"/>
                <w:highlight w:val="none"/>
              </w:rPr>
            </w:pPr>
            <w:r>
              <w:rPr>
                <w:rFonts w:hint="eastAsia" w:ascii="宋体" w:hAnsi="宋体" w:cs="宋体"/>
                <w:color w:val="auto"/>
                <w:sz w:val="24"/>
                <w:szCs w:val="24"/>
                <w:highlight w:val="none"/>
              </w:rPr>
              <w:t>0-8分</w:t>
            </w:r>
          </w:p>
        </w:tc>
      </w:tr>
      <w:tr>
        <w:tblPrEx>
          <w:tblLayout w:type="fixed"/>
          <w:tblCellMar>
            <w:top w:w="15" w:type="dxa"/>
            <w:left w:w="15" w:type="dxa"/>
            <w:bottom w:w="15" w:type="dxa"/>
            <w:right w:w="15" w:type="dxa"/>
          </w:tblCellMar>
        </w:tblPrEx>
        <w:trPr>
          <w:trHeight w:val="553" w:hRule="atLeast"/>
          <w:jc w:val="center"/>
        </w:trPr>
        <w:tc>
          <w:tcPr>
            <w:tcW w:w="1297" w:type="dxa"/>
            <w:tcBorders>
              <w:top w:val="single" w:color="000000" w:sz="4" w:space="0"/>
              <w:left w:val="single" w:color="000000" w:sz="4" w:space="0"/>
              <w:bottom w:val="single" w:color="auto" w:sz="4" w:space="0"/>
              <w:right w:val="single" w:color="000000" w:sz="4" w:space="0"/>
            </w:tcBorders>
            <w:vAlign w:val="center"/>
          </w:tcPr>
          <w:p>
            <w:pPr>
              <w:autoSpaceDE w:val="0"/>
              <w:autoSpaceDN w:val="0"/>
              <w:adjustRightInd w:val="0"/>
              <w:snapToGrid w:val="0"/>
              <w:spacing w:line="360" w:lineRule="auto"/>
              <w:jc w:val="center"/>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eastAsia="zh-CN"/>
              </w:rPr>
              <w:t>维修</w:t>
            </w:r>
            <w:r>
              <w:rPr>
                <w:rFonts w:hint="eastAsia" w:ascii="宋体" w:hAnsi="宋体" w:cs="宋体"/>
                <w:color w:val="auto"/>
                <w:sz w:val="24"/>
                <w:szCs w:val="24"/>
                <w:highlight w:val="none"/>
                <w:lang w:val="zh-CN"/>
              </w:rPr>
              <w:t>方案</w:t>
            </w:r>
          </w:p>
        </w:tc>
        <w:tc>
          <w:tcPr>
            <w:tcW w:w="8056" w:type="dxa"/>
            <w:tcBorders>
              <w:top w:val="single" w:color="000000" w:sz="4" w:space="0"/>
              <w:left w:val="single" w:color="000000" w:sz="4" w:space="0"/>
              <w:bottom w:val="single" w:color="auto" w:sz="4" w:space="0"/>
              <w:right w:val="single" w:color="000000" w:sz="4" w:space="0"/>
            </w:tcBorders>
            <w:vAlign w:val="center"/>
          </w:tcPr>
          <w:p>
            <w:pPr>
              <w:autoSpaceDE w:val="0"/>
              <w:autoSpaceDN w:val="0"/>
              <w:adjustRightInd w:val="0"/>
              <w:snapToGrid w:val="0"/>
              <w:spacing w:line="360" w:lineRule="auto"/>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rPr>
              <w:t>根据投标人</w:t>
            </w:r>
            <w:r>
              <w:rPr>
                <w:rFonts w:hint="eastAsia" w:ascii="宋体" w:hAnsi="宋体" w:cs="宋体"/>
                <w:color w:val="auto"/>
                <w:sz w:val="24"/>
                <w:szCs w:val="24"/>
                <w:highlight w:val="none"/>
                <w:lang w:val="zh-CN" w:eastAsia="zh-Hans"/>
              </w:rPr>
              <w:t>拟货检双视角 X 光检查仪关键部件（射线源）在质保期后的可维护性等情况进行打分：</w:t>
            </w:r>
          </w:p>
          <w:p>
            <w:pPr>
              <w:autoSpaceDE w:val="0"/>
              <w:autoSpaceDN w:val="0"/>
              <w:adjustRightInd w:val="0"/>
              <w:snapToGrid w:val="0"/>
              <w:spacing w:line="360" w:lineRule="auto"/>
              <w:rPr>
                <w:rFonts w:hint="eastAsia" w:ascii="宋体" w:hAnsi="宋体" w:cs="宋体"/>
                <w:color w:val="auto"/>
                <w:sz w:val="24"/>
                <w:szCs w:val="24"/>
                <w:highlight w:val="none"/>
                <w:lang w:val="zh-CN" w:eastAsia="zh-Hans"/>
              </w:rPr>
            </w:pPr>
            <w:r>
              <w:rPr>
                <w:rFonts w:hint="eastAsia" w:ascii="宋体" w:hAnsi="宋体" w:cs="宋体"/>
                <w:color w:val="auto"/>
                <w:sz w:val="24"/>
                <w:szCs w:val="24"/>
                <w:highlight w:val="none"/>
                <w:lang w:val="en-US" w:eastAsia="zh-CN"/>
              </w:rPr>
              <w:t>1.</w:t>
            </w:r>
            <w:r>
              <w:rPr>
                <w:rFonts w:hint="eastAsia" w:ascii="宋体" w:hAnsi="宋体" w:cs="宋体"/>
                <w:color w:val="auto"/>
                <w:sz w:val="24"/>
                <w:szCs w:val="24"/>
                <w:highlight w:val="none"/>
                <w:lang w:val="zh-CN" w:eastAsia="zh-Hans"/>
              </w:rPr>
              <w:t>射线源和控制器为分体独立结构，可分别单独更换的</w:t>
            </w:r>
            <w:r>
              <w:rPr>
                <w:rFonts w:hint="eastAsia" w:ascii="宋体" w:hAnsi="宋体" w:cs="宋体"/>
                <w:color w:val="auto"/>
                <w:sz w:val="24"/>
                <w:szCs w:val="24"/>
                <w:highlight w:val="none"/>
                <w:lang w:val="zh-CN"/>
              </w:rPr>
              <w:t>得4分，仅</w:t>
            </w:r>
            <w:r>
              <w:rPr>
                <w:rFonts w:hint="eastAsia" w:ascii="宋体" w:hAnsi="宋体" w:cs="宋体"/>
                <w:color w:val="auto"/>
                <w:sz w:val="24"/>
                <w:szCs w:val="24"/>
                <w:highlight w:val="none"/>
                <w:lang w:val="zh-CN" w:eastAsia="zh-Hans"/>
              </w:rPr>
              <w:t>可整体更换的得2</w:t>
            </w:r>
            <w:r>
              <w:rPr>
                <w:rFonts w:hint="eastAsia" w:ascii="宋体" w:hAnsi="宋体" w:cs="宋体"/>
                <w:color w:val="auto"/>
                <w:sz w:val="24"/>
                <w:szCs w:val="24"/>
                <w:highlight w:val="none"/>
                <w:lang w:val="zh-CN"/>
              </w:rPr>
              <w:t>分；</w:t>
            </w:r>
          </w:p>
          <w:p>
            <w:pPr>
              <w:autoSpaceDE w:val="0"/>
              <w:autoSpaceDN w:val="0"/>
              <w:adjustRightInd w:val="0"/>
              <w:snapToGrid w:val="0"/>
              <w:spacing w:line="360" w:lineRule="auto"/>
              <w:rPr>
                <w:rFonts w:hint="eastAsia" w:ascii="宋体" w:hAnsi="宋体" w:cs="宋体"/>
                <w:color w:val="auto"/>
                <w:sz w:val="24"/>
                <w:szCs w:val="24"/>
                <w:highlight w:val="none"/>
                <w:lang w:val="zh-CN" w:eastAsia="zh-Hans"/>
              </w:rPr>
            </w:pPr>
            <w:r>
              <w:rPr>
                <w:rFonts w:hint="eastAsia" w:ascii="宋体" w:hAnsi="宋体" w:cs="宋体"/>
                <w:color w:val="auto"/>
                <w:sz w:val="24"/>
                <w:szCs w:val="24"/>
                <w:highlight w:val="none"/>
                <w:lang w:val="en-US" w:eastAsia="zh-CN"/>
              </w:rPr>
              <w:t>2.</w:t>
            </w:r>
            <w:r>
              <w:rPr>
                <w:rFonts w:hint="eastAsia" w:ascii="宋体" w:hAnsi="宋体" w:cs="宋体"/>
                <w:color w:val="auto"/>
                <w:sz w:val="24"/>
                <w:szCs w:val="24"/>
                <w:highlight w:val="none"/>
                <w:lang w:val="zh-CN" w:eastAsia="zh-Hans"/>
              </w:rPr>
              <w:t>射线源和控制器可以单独维修的</w:t>
            </w:r>
            <w:r>
              <w:rPr>
                <w:rFonts w:hint="eastAsia" w:ascii="宋体" w:hAnsi="宋体" w:cs="宋体"/>
                <w:color w:val="auto"/>
                <w:sz w:val="24"/>
                <w:szCs w:val="24"/>
                <w:highlight w:val="none"/>
                <w:lang w:val="zh-CN"/>
              </w:rPr>
              <w:t>得3分</w:t>
            </w:r>
            <w:r>
              <w:rPr>
                <w:rFonts w:hint="eastAsia" w:ascii="宋体" w:hAnsi="宋体" w:cs="宋体"/>
                <w:color w:val="auto"/>
                <w:sz w:val="24"/>
                <w:szCs w:val="24"/>
                <w:highlight w:val="none"/>
                <w:lang w:val="zh-CN" w:eastAsia="zh-Hans"/>
              </w:rPr>
              <w:t>，无法维修只能更换的</w:t>
            </w:r>
            <w:r>
              <w:rPr>
                <w:rFonts w:hint="eastAsia" w:ascii="宋体" w:hAnsi="宋体" w:cs="宋体"/>
                <w:color w:val="auto"/>
                <w:sz w:val="24"/>
                <w:szCs w:val="24"/>
                <w:highlight w:val="none"/>
                <w:lang w:val="zh-CN"/>
              </w:rPr>
              <w:t>得1分</w:t>
            </w:r>
            <w:r>
              <w:rPr>
                <w:rFonts w:hint="eastAsia" w:ascii="宋体" w:hAnsi="宋体" w:cs="宋体"/>
                <w:color w:val="auto"/>
                <w:sz w:val="24"/>
                <w:szCs w:val="24"/>
                <w:highlight w:val="none"/>
                <w:lang w:val="zh-CN" w:eastAsia="zh-Hans"/>
              </w:rPr>
              <w:t>。</w:t>
            </w:r>
          </w:p>
          <w:p>
            <w:pPr>
              <w:autoSpaceDE w:val="0"/>
              <w:autoSpaceDN w:val="0"/>
              <w:adjustRightInd w:val="0"/>
              <w:snapToGrid w:val="0"/>
              <w:spacing w:line="360" w:lineRule="auto"/>
              <w:rPr>
                <w:rFonts w:hint="eastAsia" w:ascii="宋体" w:hAnsi="宋体" w:cs="宋体"/>
                <w:color w:val="auto"/>
                <w:sz w:val="24"/>
                <w:szCs w:val="24"/>
                <w:highlight w:val="none"/>
                <w:lang w:val="zh-CN"/>
              </w:rPr>
            </w:pPr>
            <w:r>
              <w:rPr>
                <w:rFonts w:hint="eastAsia" w:ascii="宋体" w:hAnsi="宋体" w:cs="宋体"/>
                <w:color w:val="auto"/>
                <w:sz w:val="24"/>
                <w:szCs w:val="24"/>
                <w:highlight w:val="none"/>
                <w:lang w:val="zh-CN" w:eastAsia="zh-Hans"/>
              </w:rPr>
              <w:t>注</w:t>
            </w:r>
            <w:r>
              <w:rPr>
                <w:rFonts w:hint="eastAsia" w:ascii="宋体" w:hAnsi="宋体" w:cs="宋体"/>
                <w:b/>
                <w:bCs/>
                <w:color w:val="auto"/>
                <w:sz w:val="24"/>
                <w:szCs w:val="24"/>
                <w:highlight w:val="none"/>
                <w:lang w:val="zh-CN" w:eastAsia="zh-Hans"/>
              </w:rPr>
              <w:t>：提供相关承诺函</w:t>
            </w:r>
            <w:r>
              <w:rPr>
                <w:rFonts w:hint="eastAsia" w:ascii="宋体" w:hAnsi="宋体" w:cs="宋体"/>
                <w:b/>
                <w:bCs/>
                <w:color w:val="auto"/>
                <w:sz w:val="24"/>
                <w:szCs w:val="24"/>
                <w:highlight w:val="none"/>
                <w:lang w:val="en-US" w:eastAsia="zh-CN"/>
              </w:rPr>
              <w:t>,</w:t>
            </w:r>
            <w:r>
              <w:rPr>
                <w:rFonts w:hint="eastAsia" w:ascii="宋体" w:hAnsi="宋体" w:cs="宋体"/>
                <w:b/>
                <w:bCs/>
                <w:color w:val="auto"/>
                <w:sz w:val="24"/>
                <w:szCs w:val="24"/>
                <w:highlight w:val="none"/>
              </w:rPr>
              <w:t>未提供不得分</w:t>
            </w:r>
            <w:r>
              <w:rPr>
                <w:rFonts w:hint="eastAsia" w:ascii="宋体" w:hAnsi="宋体" w:cs="宋体"/>
                <w:b/>
                <w:bCs/>
                <w:color w:val="auto"/>
                <w:sz w:val="24"/>
                <w:szCs w:val="24"/>
                <w:highlight w:val="none"/>
                <w:lang w:val="zh-CN" w:eastAsia="zh-Hans"/>
              </w:rPr>
              <w:t>。</w:t>
            </w:r>
          </w:p>
        </w:tc>
        <w:tc>
          <w:tcPr>
            <w:tcW w:w="104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w:t>
            </w:r>
            <w:r>
              <w:rPr>
                <w:rFonts w:hint="eastAsia" w:ascii="宋体" w:hAnsi="宋体" w:cs="宋体"/>
                <w:color w:val="auto"/>
                <w:sz w:val="24"/>
                <w:szCs w:val="24"/>
                <w:highlight w:val="none"/>
                <w:lang w:val="en-US" w:eastAsia="zh-CN"/>
              </w:rPr>
              <w:t>7</w:t>
            </w:r>
            <w:r>
              <w:rPr>
                <w:rFonts w:hint="eastAsia" w:ascii="宋体" w:hAnsi="宋体" w:cs="宋体"/>
                <w:color w:val="auto"/>
                <w:sz w:val="24"/>
                <w:szCs w:val="24"/>
                <w:highlight w:val="none"/>
              </w:rPr>
              <w:t>分</w:t>
            </w:r>
          </w:p>
        </w:tc>
      </w:tr>
      <w:tr>
        <w:tblPrEx>
          <w:tblLayout w:type="fixed"/>
          <w:tblCellMar>
            <w:top w:w="15" w:type="dxa"/>
            <w:left w:w="15" w:type="dxa"/>
            <w:bottom w:w="15" w:type="dxa"/>
            <w:right w:w="15" w:type="dxa"/>
          </w:tblCellMar>
        </w:tblPrEx>
        <w:trPr>
          <w:trHeight w:val="553" w:hRule="atLeast"/>
          <w:jc w:val="center"/>
        </w:trPr>
        <w:tc>
          <w:tcPr>
            <w:tcW w:w="1297" w:type="dxa"/>
            <w:tcBorders>
              <w:top w:val="single" w:color="000000" w:sz="4" w:space="0"/>
              <w:left w:val="single" w:color="000000" w:sz="4" w:space="0"/>
              <w:bottom w:val="single" w:color="auto" w:sz="4" w:space="0"/>
              <w:right w:val="single" w:color="000000" w:sz="4" w:space="0"/>
            </w:tcBorders>
            <w:vAlign w:val="center"/>
          </w:tcPr>
          <w:p>
            <w:pPr>
              <w:pStyle w:val="19"/>
              <w:spacing w:line="360" w:lineRule="auto"/>
              <w:ind w:left="0" w:leftChars="0"/>
              <w:jc w:val="center"/>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培训服务方案</w:t>
            </w:r>
          </w:p>
        </w:tc>
        <w:tc>
          <w:tcPr>
            <w:tcW w:w="8056" w:type="dxa"/>
            <w:tcBorders>
              <w:top w:val="single" w:color="000000" w:sz="4" w:space="0"/>
              <w:left w:val="single" w:color="000000" w:sz="4" w:space="0"/>
              <w:bottom w:val="single" w:color="auto" w:sz="4" w:space="0"/>
              <w:right w:val="single" w:color="000000" w:sz="4" w:space="0"/>
            </w:tcBorders>
            <w:vAlign w:val="center"/>
          </w:tcPr>
          <w:p>
            <w:pPr>
              <w:spacing w:line="360" w:lineRule="auto"/>
              <w:jc w:val="left"/>
              <w:rPr>
                <w:rFonts w:hint="eastAsia" w:ascii="宋体" w:hAnsi="宋体" w:eastAsia="宋体" w:cs="宋体"/>
                <w:color w:val="auto"/>
                <w:kern w:val="2"/>
                <w:sz w:val="24"/>
                <w:szCs w:val="24"/>
                <w:highlight w:val="none"/>
                <w:lang w:val="zh-CN" w:eastAsia="zh-CN" w:bidi="ar-SA"/>
              </w:rPr>
            </w:pPr>
            <w:r>
              <w:rPr>
                <w:rFonts w:hint="eastAsia" w:ascii="宋体" w:hAnsi="宋体" w:eastAsia="宋体" w:cs="宋体"/>
                <w:color w:val="auto"/>
                <w:kern w:val="2"/>
                <w:sz w:val="24"/>
                <w:szCs w:val="24"/>
                <w:highlight w:val="none"/>
                <w:lang w:val="zh-CN" w:eastAsia="zh-CN" w:bidi="ar-SA"/>
              </w:rPr>
              <w:t>根据投标人对采购单位操作人员及管理人员</w:t>
            </w:r>
            <w:r>
              <w:rPr>
                <w:rFonts w:hint="eastAsia" w:ascii="宋体" w:hAnsi="宋体" w:eastAsia="宋体" w:cs="宋体"/>
                <w:color w:val="auto"/>
                <w:kern w:val="2"/>
                <w:sz w:val="24"/>
                <w:szCs w:val="24"/>
                <w:highlight w:val="none"/>
                <w:lang w:val="en-US" w:eastAsia="zh-Hans" w:bidi="ar-SA"/>
              </w:rPr>
              <w:t>进行</w:t>
            </w:r>
            <w:r>
              <w:rPr>
                <w:rFonts w:hint="eastAsia" w:ascii="宋体" w:hAnsi="宋体" w:eastAsia="宋体" w:cs="宋体"/>
                <w:color w:val="auto"/>
                <w:kern w:val="2"/>
                <w:sz w:val="24"/>
                <w:szCs w:val="24"/>
                <w:highlight w:val="none"/>
                <w:lang w:val="en-US" w:eastAsia="zh-CN" w:bidi="ar-SA"/>
              </w:rPr>
              <w:t>的</w:t>
            </w:r>
            <w:r>
              <w:rPr>
                <w:rFonts w:hint="eastAsia" w:ascii="宋体" w:hAnsi="宋体" w:eastAsia="宋体" w:cs="宋体"/>
                <w:color w:val="auto"/>
                <w:kern w:val="2"/>
                <w:sz w:val="24"/>
                <w:szCs w:val="24"/>
                <w:highlight w:val="none"/>
                <w:lang w:val="en-US" w:eastAsia="zh-Hans" w:bidi="ar-SA"/>
              </w:rPr>
              <w:t>现场操作和常见问题处置</w:t>
            </w:r>
            <w:r>
              <w:rPr>
                <w:rFonts w:hint="eastAsia" w:ascii="宋体" w:hAnsi="宋体" w:eastAsia="宋体" w:cs="宋体"/>
                <w:color w:val="auto"/>
                <w:kern w:val="2"/>
                <w:sz w:val="24"/>
                <w:szCs w:val="24"/>
                <w:highlight w:val="none"/>
                <w:lang w:val="zh-CN" w:eastAsia="zh-CN" w:bidi="ar-SA"/>
              </w:rPr>
              <w:t>提供的培训计划方案，评委根据培训的内容、时间、频率</w:t>
            </w:r>
            <w:r>
              <w:rPr>
                <w:rFonts w:hint="eastAsia" w:ascii="宋体" w:hAnsi="宋体" w:eastAsia="宋体" w:cs="宋体"/>
                <w:color w:val="auto"/>
                <w:kern w:val="2"/>
                <w:sz w:val="24"/>
                <w:szCs w:val="24"/>
                <w:highlight w:val="none"/>
                <w:lang w:val="en-US" w:eastAsia="zh-CN" w:bidi="ar-SA"/>
              </w:rPr>
              <w:t>等情况进行打分</w:t>
            </w:r>
            <w:r>
              <w:rPr>
                <w:rFonts w:hint="eastAsia" w:ascii="宋体" w:hAnsi="宋体" w:eastAsia="宋体" w:cs="宋体"/>
                <w:color w:val="auto"/>
                <w:kern w:val="2"/>
                <w:sz w:val="24"/>
                <w:szCs w:val="24"/>
                <w:highlight w:val="none"/>
                <w:lang w:val="zh-CN" w:eastAsia="zh-CN" w:bidi="ar-SA"/>
              </w:rPr>
              <w:t>。</w:t>
            </w:r>
          </w:p>
          <w:p>
            <w:pPr>
              <w:spacing w:line="360" w:lineRule="auto"/>
              <w:jc w:val="left"/>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zh-CN" w:eastAsia="zh-CN" w:bidi="ar-SA"/>
              </w:rPr>
              <w:t>（</w:t>
            </w:r>
            <w:r>
              <w:rPr>
                <w:rFonts w:hint="eastAsia" w:ascii="宋体" w:hAnsi="宋体" w:eastAsia="宋体" w:cs="宋体"/>
                <w:color w:val="auto"/>
                <w:kern w:val="2"/>
                <w:sz w:val="24"/>
                <w:szCs w:val="24"/>
                <w:highlight w:val="none"/>
                <w:lang w:val="en-US" w:eastAsia="zh-CN" w:bidi="ar-SA"/>
              </w:rPr>
              <w:t>分值范围：4,3.5,</w:t>
            </w:r>
            <w:r>
              <w:rPr>
                <w:rFonts w:hint="eastAsia" w:ascii="宋体" w:hAnsi="宋体" w:eastAsia="宋体" w:cs="宋体"/>
                <w:color w:val="auto"/>
                <w:kern w:val="2"/>
                <w:sz w:val="24"/>
                <w:szCs w:val="24"/>
                <w:highlight w:val="none"/>
                <w:lang w:val="zh-CN" w:eastAsia="zh-CN" w:bidi="ar-SA"/>
              </w:rPr>
              <w:t>3,2.5,2,1.5,1,0.5,0）</w:t>
            </w:r>
          </w:p>
        </w:tc>
        <w:tc>
          <w:tcPr>
            <w:tcW w:w="104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0-4分</w:t>
            </w:r>
          </w:p>
        </w:tc>
      </w:tr>
      <w:tr>
        <w:tblPrEx>
          <w:tblLayout w:type="fixed"/>
          <w:tblCellMar>
            <w:top w:w="15" w:type="dxa"/>
            <w:left w:w="15" w:type="dxa"/>
            <w:bottom w:w="15" w:type="dxa"/>
            <w:right w:w="15" w:type="dxa"/>
          </w:tblCellMar>
        </w:tblPrEx>
        <w:trPr>
          <w:trHeight w:val="358" w:hRule="atLeast"/>
          <w:jc w:val="center"/>
        </w:trPr>
        <w:tc>
          <w:tcPr>
            <w:tcW w:w="1297" w:type="dxa"/>
            <w:tcBorders>
              <w:top w:val="single" w:color="auto" w:sz="4" w:space="0"/>
              <w:left w:val="single" w:color="auto" w:sz="4" w:space="0"/>
              <w:bottom w:val="single" w:color="auto" w:sz="4" w:space="0"/>
              <w:right w:val="single" w:color="000000" w:sz="4" w:space="0"/>
            </w:tcBorders>
            <w:vAlign w:val="center"/>
          </w:tcPr>
          <w:p>
            <w:pPr>
              <w:autoSpaceDE w:val="0"/>
              <w:autoSpaceDN w:val="0"/>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color w:val="auto"/>
                <w:sz w:val="24"/>
                <w:szCs w:val="24"/>
                <w:highlight w:val="none"/>
              </w:rPr>
              <w:t>投标报价</w:t>
            </w:r>
          </w:p>
        </w:tc>
        <w:tc>
          <w:tcPr>
            <w:tcW w:w="8056" w:type="dxa"/>
            <w:tcBorders>
              <w:top w:val="single" w:color="000000" w:sz="4" w:space="0"/>
              <w:left w:val="single" w:color="000000" w:sz="4" w:space="0"/>
              <w:bottom w:val="single" w:color="000000" w:sz="4" w:space="0"/>
              <w:right w:val="single" w:color="000000" w:sz="4" w:space="0"/>
            </w:tcBorders>
            <w:vAlign w:val="center"/>
          </w:tcPr>
          <w:p>
            <w:pPr>
              <w:autoSpaceDE w:val="0"/>
              <w:autoSpaceDN w:val="0"/>
              <w:adjustRightInd w:val="0"/>
              <w:snapToGrid w:val="0"/>
              <w:spacing w:line="360" w:lineRule="auto"/>
              <w:rPr>
                <w:rFonts w:hint="eastAsia" w:ascii="宋体" w:hAnsi="宋体" w:cs="宋体"/>
                <w:b/>
                <w:bCs/>
                <w:color w:val="auto"/>
                <w:sz w:val="24"/>
                <w:szCs w:val="24"/>
                <w:highlight w:val="none"/>
              </w:rPr>
            </w:pPr>
            <w:r>
              <w:rPr>
                <w:rFonts w:hint="eastAsia" w:ascii="宋体" w:hAnsi="宋体" w:cs="宋体"/>
                <w:b/>
                <w:bCs/>
                <w:color w:val="auto"/>
                <w:sz w:val="24"/>
                <w:szCs w:val="24"/>
                <w:highlight w:val="none"/>
              </w:rPr>
              <w:t>投标人报价高于最高限价的作无效标处理。</w:t>
            </w:r>
          </w:p>
          <w:p>
            <w:pPr>
              <w:autoSpaceDE w:val="0"/>
              <w:autoSpaceDN w:val="0"/>
              <w:adjustRightInd w:val="0"/>
              <w:snapToGrid w:val="0"/>
              <w:spacing w:line="360" w:lineRule="auto"/>
              <w:rPr>
                <w:rFonts w:hint="eastAsia" w:ascii="宋体" w:hAnsi="宋体" w:cs="宋体"/>
                <w:b/>
                <w:bCs/>
                <w:color w:val="auto"/>
                <w:sz w:val="24"/>
                <w:szCs w:val="24"/>
                <w:highlight w:val="none"/>
              </w:rPr>
            </w:pPr>
            <w:r>
              <w:rPr>
                <w:rFonts w:hint="eastAsia" w:ascii="宋体" w:hAnsi="宋体" w:cs="宋体"/>
                <w:color w:val="auto"/>
                <w:sz w:val="24"/>
                <w:szCs w:val="24"/>
                <w:highlight w:val="none"/>
              </w:rPr>
              <w:t>评标基准价为满足评标要求且投标价格最低的投标报价，投标报价得分=(基准价／投标报价)×30，四舍五入，保留两位小数。报价高于预算价（最高限价）的，为无效投标文件。</w:t>
            </w:r>
          </w:p>
        </w:tc>
        <w:tc>
          <w:tcPr>
            <w:tcW w:w="1047" w:type="dxa"/>
            <w:tcBorders>
              <w:top w:val="single" w:color="000000" w:sz="4" w:space="0"/>
              <w:left w:val="single" w:color="000000" w:sz="4" w:space="0"/>
              <w:bottom w:val="single" w:color="000000" w:sz="4" w:space="0"/>
              <w:right w:val="single" w:color="000000" w:sz="4" w:space="0"/>
            </w:tcBorders>
            <w:vAlign w:val="center"/>
          </w:tcPr>
          <w:p>
            <w:pPr>
              <w:adjustRightInd w:val="0"/>
              <w:snapToGrid w:val="0"/>
              <w:spacing w:line="360" w:lineRule="auto"/>
              <w:jc w:val="center"/>
              <w:rPr>
                <w:rFonts w:hint="eastAsia" w:ascii="宋体" w:hAnsi="宋体" w:cs="宋体"/>
                <w:color w:val="auto"/>
                <w:sz w:val="24"/>
                <w:szCs w:val="24"/>
                <w:highlight w:val="none"/>
              </w:rPr>
            </w:pPr>
            <w:r>
              <w:rPr>
                <w:rFonts w:hint="eastAsia" w:ascii="宋体" w:hAnsi="宋体" w:cs="宋体"/>
                <w:bCs/>
                <w:color w:val="auto"/>
                <w:sz w:val="24"/>
                <w:szCs w:val="24"/>
                <w:highlight w:val="none"/>
              </w:rPr>
              <w:t>0-30分</w:t>
            </w:r>
          </w:p>
        </w:tc>
      </w:tr>
    </w:tbl>
    <w:p>
      <w:pPr>
        <w:pStyle w:val="54"/>
        <w:spacing w:line="400" w:lineRule="exact"/>
        <w:ind w:firstLine="480" w:firstLineChars="200"/>
        <w:rPr>
          <w:rStyle w:val="607"/>
          <w:rFonts w:hint="eastAsia"/>
          <w:color w:val="auto"/>
          <w:sz w:val="24"/>
          <w:szCs w:val="24"/>
          <w:highlight w:val="none"/>
          <w:lang w:val="zh-TW"/>
        </w:rPr>
      </w:pPr>
      <w:r>
        <w:rPr>
          <w:rStyle w:val="607"/>
          <w:rFonts w:hint="eastAsia"/>
          <w:color w:val="auto"/>
          <w:sz w:val="24"/>
          <w:szCs w:val="24"/>
          <w:highlight w:val="none"/>
        </w:rPr>
        <w:t xml:space="preserve">(1) </w:t>
      </w:r>
      <w:r>
        <w:rPr>
          <w:rStyle w:val="607"/>
          <w:rFonts w:hint="eastAsia"/>
          <w:color w:val="auto"/>
          <w:sz w:val="24"/>
          <w:szCs w:val="24"/>
          <w:highlight w:val="none"/>
          <w:lang w:val="zh-TW" w:eastAsia="zh-TW"/>
        </w:rPr>
        <w:t>评标委员会根据表格，对各投标单位的商务技术标进行书面审核和评论后，由各专家独立</w:t>
      </w:r>
      <w:r>
        <w:rPr>
          <w:rStyle w:val="607"/>
          <w:rFonts w:hint="eastAsia"/>
          <w:color w:val="auto"/>
          <w:sz w:val="24"/>
          <w:szCs w:val="24"/>
          <w:highlight w:val="none"/>
        </w:rPr>
        <w:t>评</w:t>
      </w:r>
      <w:r>
        <w:rPr>
          <w:rStyle w:val="607"/>
          <w:rFonts w:hint="eastAsia"/>
          <w:color w:val="auto"/>
          <w:sz w:val="24"/>
          <w:szCs w:val="24"/>
          <w:highlight w:val="none"/>
          <w:lang w:val="zh-TW" w:eastAsia="zh-TW"/>
        </w:rPr>
        <w:t>分，打分时保留小数</w:t>
      </w:r>
      <w:r>
        <w:rPr>
          <w:rStyle w:val="607"/>
          <w:rFonts w:hint="eastAsia"/>
          <w:color w:val="auto"/>
          <w:sz w:val="24"/>
          <w:szCs w:val="24"/>
          <w:highlight w:val="none"/>
          <w:lang w:val="zh-TW"/>
        </w:rPr>
        <w:t>1</w:t>
      </w:r>
      <w:r>
        <w:rPr>
          <w:rStyle w:val="607"/>
          <w:rFonts w:hint="eastAsia"/>
          <w:color w:val="auto"/>
          <w:sz w:val="24"/>
          <w:szCs w:val="24"/>
          <w:highlight w:val="none"/>
          <w:lang w:val="zh-TW" w:eastAsia="zh-TW"/>
        </w:rPr>
        <w:t>位，每人一份评分表，并签名。在统计得分时，如果发现某一单项评分超过评分细则规定的分值范围，则该张评分表无效。投标人商务技术的最终得分为评标专家组成员的有效评分的算术平均值。计算时保留小数</w:t>
      </w:r>
      <w:r>
        <w:rPr>
          <w:rStyle w:val="607"/>
          <w:rFonts w:hint="eastAsia"/>
          <w:color w:val="auto"/>
          <w:sz w:val="24"/>
          <w:szCs w:val="24"/>
          <w:highlight w:val="none"/>
          <w:lang w:val="zh-TW"/>
        </w:rPr>
        <w:t>2</w:t>
      </w:r>
      <w:r>
        <w:rPr>
          <w:rStyle w:val="607"/>
          <w:rFonts w:hint="eastAsia"/>
          <w:color w:val="auto"/>
          <w:sz w:val="24"/>
          <w:szCs w:val="24"/>
          <w:highlight w:val="none"/>
          <w:lang w:val="zh-TW" w:eastAsia="zh-TW"/>
        </w:rPr>
        <w:t>位</w:t>
      </w:r>
      <w:r>
        <w:rPr>
          <w:rStyle w:val="607"/>
          <w:rFonts w:hint="eastAsia"/>
          <w:color w:val="auto"/>
          <w:sz w:val="24"/>
          <w:szCs w:val="24"/>
          <w:highlight w:val="none"/>
          <w:lang w:val="zh-TW"/>
        </w:rPr>
        <w:t>。</w:t>
      </w:r>
    </w:p>
    <w:p>
      <w:pPr>
        <w:pStyle w:val="54"/>
        <w:spacing w:line="400" w:lineRule="exact"/>
        <w:ind w:firstLine="480" w:firstLineChars="200"/>
        <w:rPr>
          <w:rStyle w:val="607"/>
          <w:rFonts w:hint="eastAsia"/>
          <w:color w:val="auto"/>
          <w:sz w:val="24"/>
          <w:szCs w:val="24"/>
          <w:highlight w:val="none"/>
          <w:lang w:val="zh-TW"/>
        </w:rPr>
      </w:pPr>
      <w:r>
        <w:rPr>
          <w:rStyle w:val="607"/>
          <w:rFonts w:hint="eastAsia"/>
          <w:color w:val="auto"/>
          <w:sz w:val="24"/>
          <w:szCs w:val="24"/>
          <w:highlight w:val="none"/>
          <w:lang w:val="zh-TW"/>
        </w:rPr>
        <w:t>（2）</w:t>
      </w:r>
      <w:r>
        <w:rPr>
          <w:rStyle w:val="607"/>
          <w:rFonts w:hint="eastAsia"/>
          <w:color w:val="auto"/>
          <w:sz w:val="24"/>
          <w:szCs w:val="24"/>
          <w:highlight w:val="none"/>
          <w:lang w:val="zh-TW" w:eastAsia="zh-TW"/>
        </w:rPr>
        <w:t>评标委员会全体人员对评分细则和投标文件，充分讨论后，按少数服从多数的原则集体统一评分。</w:t>
      </w:r>
    </w:p>
    <w:p>
      <w:pPr>
        <w:pStyle w:val="586"/>
        <w:spacing w:line="400" w:lineRule="exact"/>
        <w:ind w:firstLine="480" w:firstLineChars="200"/>
        <w:rPr>
          <w:rStyle w:val="608"/>
          <w:rFonts w:hint="eastAsia" w:ascii="宋体" w:hAnsi="宋体" w:eastAsia="宋体" w:cs="宋体"/>
          <w:b/>
          <w:bCs/>
          <w:color w:val="auto"/>
          <w:szCs w:val="24"/>
          <w:highlight w:val="none"/>
        </w:rPr>
      </w:pPr>
      <w:r>
        <w:rPr>
          <w:rStyle w:val="607"/>
          <w:rFonts w:hint="eastAsia"/>
          <w:color w:val="auto"/>
          <w:szCs w:val="24"/>
          <w:highlight w:val="none"/>
          <w:lang w:val="zh-TW"/>
        </w:rPr>
        <w:t>（3）</w:t>
      </w:r>
      <w:r>
        <w:rPr>
          <w:rStyle w:val="607"/>
          <w:rFonts w:hint="eastAsia"/>
          <w:color w:val="auto"/>
          <w:szCs w:val="24"/>
          <w:highlight w:val="none"/>
          <w:lang w:val="zh-TW" w:eastAsia="zh-TW"/>
        </w:rPr>
        <w:t>分析总报价及各个分项报价是否合理、报价范围是否完整、有否重大错漏项。如评标委员会一致认为最低投标报价或某些分项明显不合理，有降低质量、不能诚信履约的可能时，评标委员会有权通知投标方限期进行解释。如投标方未在规定期限内做出解释，或所作解释不合理，经评标委员会取得一致意见后，可确定该投标为无效报价。</w:t>
      </w:r>
    </w:p>
    <w:p>
      <w:pPr>
        <w:pStyle w:val="54"/>
        <w:spacing w:line="400" w:lineRule="exact"/>
        <w:ind w:firstLine="482" w:firstLineChars="200"/>
        <w:rPr>
          <w:rStyle w:val="608"/>
          <w:rFonts w:hint="eastAsia" w:ascii="宋体" w:hAnsi="宋体" w:eastAsia="宋体" w:cs="宋体"/>
          <w:b/>
          <w:bCs/>
          <w:color w:val="auto"/>
          <w:sz w:val="24"/>
          <w:szCs w:val="24"/>
          <w:highlight w:val="none"/>
          <w:lang w:val="zh-TW" w:eastAsia="zh-TW"/>
        </w:rPr>
      </w:pPr>
      <w:r>
        <w:rPr>
          <w:rStyle w:val="608"/>
          <w:rFonts w:hint="eastAsia" w:ascii="宋体" w:hAnsi="宋体" w:eastAsia="宋体" w:cs="宋体"/>
          <w:b/>
          <w:bCs/>
          <w:color w:val="auto"/>
          <w:sz w:val="24"/>
          <w:szCs w:val="24"/>
          <w:highlight w:val="none"/>
          <w:lang w:val="zh-TW"/>
        </w:rPr>
        <w:t>（</w:t>
      </w:r>
      <w:r>
        <w:rPr>
          <w:rStyle w:val="608"/>
          <w:rFonts w:hint="eastAsia" w:ascii="宋体" w:hAnsi="宋体" w:eastAsia="宋体" w:cs="宋体"/>
          <w:b/>
          <w:bCs/>
          <w:color w:val="auto"/>
          <w:sz w:val="24"/>
          <w:szCs w:val="24"/>
          <w:highlight w:val="none"/>
        </w:rPr>
        <w:t>4</w:t>
      </w:r>
      <w:r>
        <w:rPr>
          <w:rStyle w:val="608"/>
          <w:rFonts w:hint="eastAsia" w:ascii="宋体" w:hAnsi="宋体" w:eastAsia="宋体" w:cs="宋体"/>
          <w:b/>
          <w:bCs/>
          <w:color w:val="auto"/>
          <w:sz w:val="24"/>
          <w:szCs w:val="24"/>
          <w:highlight w:val="none"/>
          <w:lang w:val="zh-TW"/>
        </w:rPr>
        <w:t>）</w:t>
      </w:r>
      <w:r>
        <w:rPr>
          <w:rStyle w:val="608"/>
          <w:rFonts w:hint="eastAsia" w:ascii="宋体" w:hAnsi="宋体" w:eastAsia="宋体" w:cs="宋体"/>
          <w:b/>
          <w:bCs/>
          <w:color w:val="auto"/>
          <w:sz w:val="24"/>
          <w:szCs w:val="24"/>
          <w:highlight w:val="none"/>
          <w:lang w:val="zh-TW" w:eastAsia="zh-TW"/>
        </w:rPr>
        <w:t>评标委员会将推荐综合评分最高的投标者为中标候选人。</w:t>
      </w:r>
    </w:p>
    <w:p>
      <w:pPr>
        <w:pStyle w:val="60"/>
        <w:pageBreakBefore w:val="0"/>
        <w:kinsoku/>
        <w:wordWrap/>
        <w:overflowPunct/>
        <w:topLinePunct w:val="0"/>
        <w:bidi w:val="0"/>
        <w:spacing w:after="0" w:line="400" w:lineRule="exact"/>
        <w:ind w:left="0" w:leftChars="0" w:right="0" w:rightChars="0" w:firstLine="482" w:firstLineChars="200"/>
        <w:textAlignment w:val="auto"/>
        <w:rPr>
          <w:rStyle w:val="608"/>
          <w:rFonts w:hint="eastAsia" w:ascii="宋体" w:hAnsi="宋体" w:eastAsia="宋体" w:cs="宋体"/>
          <w:b/>
          <w:bCs/>
          <w:color w:val="auto"/>
          <w:sz w:val="24"/>
          <w:szCs w:val="24"/>
          <w:highlight w:val="none"/>
        </w:rPr>
      </w:pPr>
      <w:r>
        <w:rPr>
          <w:rStyle w:val="608"/>
          <w:rFonts w:hint="eastAsia" w:ascii="宋体" w:hAnsi="宋体" w:eastAsia="宋体" w:cs="宋体"/>
          <w:b/>
          <w:bCs/>
          <w:color w:val="auto"/>
          <w:sz w:val="24"/>
          <w:szCs w:val="24"/>
          <w:highlight w:val="none"/>
          <w:lang w:eastAsia="zh-CN"/>
        </w:rPr>
        <w:t>标项二：评分细</w:t>
      </w:r>
      <w:r>
        <w:rPr>
          <w:rStyle w:val="608"/>
          <w:rFonts w:hint="eastAsia" w:ascii="宋体" w:hAnsi="宋体" w:eastAsia="宋体" w:cs="宋体"/>
          <w:b/>
          <w:bCs/>
          <w:color w:val="auto"/>
          <w:sz w:val="24"/>
          <w:szCs w:val="24"/>
          <w:highlight w:val="none"/>
        </w:rPr>
        <w:t>则</w:t>
      </w:r>
    </w:p>
    <w:tbl>
      <w:tblPr>
        <w:tblStyle w:val="97"/>
        <w:tblW w:w="10400" w:type="dxa"/>
        <w:jc w:val="center"/>
        <w:tblInd w:w="0" w:type="dxa"/>
        <w:tblLayout w:type="fixed"/>
        <w:tblCellMar>
          <w:top w:w="15" w:type="dxa"/>
          <w:left w:w="15" w:type="dxa"/>
          <w:bottom w:w="15" w:type="dxa"/>
          <w:right w:w="15" w:type="dxa"/>
        </w:tblCellMar>
      </w:tblPr>
      <w:tblGrid>
        <w:gridCol w:w="1349"/>
        <w:gridCol w:w="8004"/>
        <w:gridCol w:w="1047"/>
      </w:tblGrid>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评分内容</w:t>
            </w:r>
          </w:p>
        </w:tc>
        <w:tc>
          <w:tcPr>
            <w:tcW w:w="8004"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细则内容</w:t>
            </w:r>
          </w:p>
        </w:tc>
        <w:tc>
          <w:tcPr>
            <w:tcW w:w="1047" w:type="dxa"/>
            <w:tcBorders>
              <w:top w:val="single" w:color="auto" w:sz="4" w:space="0"/>
              <w:left w:val="single" w:color="auto" w:sz="4" w:space="0"/>
              <w:bottom w:val="single" w:color="auto" w:sz="4" w:space="0"/>
              <w:right w:val="single" w:color="auto" w:sz="4" w:space="0"/>
            </w:tcBorders>
            <w:vAlign w:val="center"/>
          </w:tcPr>
          <w:p>
            <w:pPr>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
                <w:color w:val="auto"/>
                <w:sz w:val="24"/>
                <w:szCs w:val="24"/>
                <w:highlight w:val="none"/>
              </w:rPr>
              <w:t>分值</w:t>
            </w:r>
          </w:p>
        </w:tc>
      </w:tr>
      <w:tr>
        <w:tblPrEx>
          <w:tblLayout w:type="fixed"/>
          <w:tblCellMar>
            <w:top w:w="15" w:type="dxa"/>
            <w:left w:w="15" w:type="dxa"/>
            <w:bottom w:w="15" w:type="dxa"/>
            <w:right w:w="15" w:type="dxa"/>
          </w:tblCellMar>
        </w:tblPrEx>
        <w:trPr>
          <w:trHeight w:val="80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企业业绩</w:t>
            </w:r>
          </w:p>
        </w:tc>
        <w:tc>
          <w:tcPr>
            <w:tcW w:w="8004"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投标人自20</w:t>
            </w:r>
            <w:r>
              <w:rPr>
                <w:rFonts w:hint="eastAsia" w:ascii="宋体" w:hAnsi="宋体" w:eastAsia="宋体" w:cs="宋体"/>
                <w:color w:val="auto"/>
                <w:sz w:val="24"/>
                <w:szCs w:val="24"/>
                <w:highlight w:val="none"/>
                <w:lang w:val="en-US" w:eastAsia="zh-CN" w:bidi="ar"/>
              </w:rPr>
              <w:t>22</w:t>
            </w:r>
            <w:r>
              <w:rPr>
                <w:rFonts w:hint="eastAsia" w:ascii="宋体" w:hAnsi="宋体" w:eastAsia="宋体" w:cs="宋体"/>
                <w:color w:val="auto"/>
                <w:sz w:val="24"/>
                <w:szCs w:val="24"/>
                <w:highlight w:val="none"/>
                <w:lang w:bidi="ar"/>
              </w:rPr>
              <w:t>年1月1日以来（时间以合同签订日期为准）承担过机场安检培训系统类项目业绩的，每提供一个</w:t>
            </w:r>
            <w:r>
              <w:rPr>
                <w:rFonts w:hint="eastAsia" w:ascii="宋体" w:hAnsi="宋体" w:eastAsia="宋体" w:cs="宋体"/>
                <w:color w:val="auto"/>
                <w:sz w:val="24"/>
                <w:szCs w:val="24"/>
                <w:highlight w:val="none"/>
                <w:lang w:eastAsia="zh-CN" w:bidi="ar"/>
              </w:rPr>
              <w:t>合同</w:t>
            </w:r>
            <w:r>
              <w:rPr>
                <w:rFonts w:hint="eastAsia" w:ascii="宋体" w:hAnsi="宋体" w:eastAsia="宋体" w:cs="宋体"/>
                <w:color w:val="auto"/>
                <w:sz w:val="24"/>
                <w:szCs w:val="24"/>
                <w:highlight w:val="none"/>
                <w:lang w:bidi="ar"/>
              </w:rPr>
              <w:t>得0.5分，最高得3分。</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注：提供合同原件扫描件。否则不得分。</w:t>
            </w:r>
          </w:p>
        </w:tc>
        <w:tc>
          <w:tcPr>
            <w:tcW w:w="10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0-3分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认证证书</w:t>
            </w:r>
          </w:p>
        </w:tc>
        <w:tc>
          <w:tcPr>
            <w:tcW w:w="800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投标人（或制造商）具有有效的质量管理体系认证证书、环境管理体系认证证书、职业健康管理体系认证证书，每个得1分，最高得3分。</w:t>
            </w:r>
          </w:p>
          <w:p>
            <w:pPr>
              <w:spacing w:line="360" w:lineRule="auto"/>
              <w:jc w:val="left"/>
              <w:rPr>
                <w:rFonts w:hint="eastAsia" w:ascii="宋体" w:hAnsi="宋体" w:eastAsia="宋体" w:cs="宋体"/>
                <w:color w:val="auto"/>
                <w:sz w:val="24"/>
                <w:szCs w:val="24"/>
                <w:highlight w:val="none"/>
              </w:rPr>
            </w:pPr>
            <w:r>
              <w:rPr>
                <w:rFonts w:hint="eastAsia" w:ascii="宋体" w:hAnsi="宋体" w:eastAsia="宋体" w:cs="宋体"/>
                <w:b/>
                <w:bCs/>
                <w:color w:val="auto"/>
                <w:sz w:val="24"/>
                <w:szCs w:val="24"/>
                <w:highlight w:val="none"/>
              </w:rPr>
              <w:t>注：提供证书扫描件及《全国认证认可信息公共服务平台》网站（http://cx.cnca.cn/CertECloud/index/index/page）查询截图并盖公章编入商务技术投标文件中，未提供不得分</w:t>
            </w:r>
            <w:r>
              <w:rPr>
                <w:rFonts w:hint="eastAsia" w:ascii="宋体" w:hAnsi="宋体" w:eastAsia="宋体" w:cs="宋体"/>
                <w:color w:val="auto"/>
                <w:sz w:val="24"/>
                <w:szCs w:val="24"/>
                <w:highlight w:val="none"/>
              </w:rPr>
              <w:t>。</w:t>
            </w:r>
          </w:p>
        </w:tc>
        <w:tc>
          <w:tcPr>
            <w:tcW w:w="10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0-3分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产品基本性能参数响应程度</w:t>
            </w:r>
          </w:p>
          <w:p>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p>
        </w:tc>
        <w:tc>
          <w:tcPr>
            <w:tcW w:w="800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lang w:val="zh-CN"/>
              </w:rPr>
              <w:t>根据投标产品基本性能参数配置及提供的证明材料，是否符合招标文件的要求及符合程度进行评价，基本性能满足或高于要求得满分。</w:t>
            </w:r>
            <w:r>
              <w:rPr>
                <w:rFonts w:hint="eastAsia" w:ascii="宋体" w:hAnsi="宋体" w:eastAsia="宋体" w:cs="宋体"/>
                <w:color w:val="auto"/>
                <w:sz w:val="24"/>
                <w:szCs w:val="24"/>
                <w:highlight w:val="none"/>
              </w:rPr>
              <w:t>全部满足招标文件要求的得18分，如有负偏离每项扣0.5分，扣完为止。</w:t>
            </w:r>
          </w:p>
          <w:p>
            <w:pPr>
              <w:pStyle w:val="3"/>
              <w:spacing w:line="360" w:lineRule="auto"/>
              <w:ind w:firstLine="0"/>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注：</w:t>
            </w:r>
            <w:r>
              <w:rPr>
                <w:rFonts w:hint="eastAsia" w:hAnsi="宋体" w:cs="宋体"/>
                <w:b/>
                <w:bCs/>
                <w:color w:val="auto"/>
                <w:sz w:val="24"/>
                <w:szCs w:val="24"/>
                <w:highlight w:val="none"/>
              </w:rPr>
              <w:t>如有负偏离指标的在《技术偏离表》中逐条响应；证明材料以“采购需求”清单要求中要求提供的相关证明材料为准</w:t>
            </w:r>
            <w:r>
              <w:rPr>
                <w:rFonts w:hint="eastAsia" w:hAnsi="宋体" w:cs="宋体"/>
                <w:b/>
                <w:bCs/>
                <w:color w:val="auto"/>
                <w:sz w:val="24"/>
                <w:szCs w:val="24"/>
                <w:highlight w:val="none"/>
                <w:lang w:eastAsia="zh-CN"/>
              </w:rPr>
              <w:t>（如有）</w:t>
            </w:r>
            <w:r>
              <w:rPr>
                <w:rFonts w:hint="eastAsia" w:hAnsi="宋体" w:cs="宋体"/>
                <w:b/>
                <w:bCs/>
                <w:color w:val="auto"/>
                <w:sz w:val="24"/>
                <w:szCs w:val="24"/>
                <w:highlight w:val="none"/>
              </w:rPr>
              <w:t>，未提供的视为负偏离。</w:t>
            </w:r>
          </w:p>
        </w:tc>
        <w:tc>
          <w:tcPr>
            <w:tcW w:w="1047" w:type="dxa"/>
            <w:tcBorders>
              <w:top w:val="single" w:color="auto" w:sz="4" w:space="0"/>
              <w:left w:val="single" w:color="auto" w:sz="4" w:space="0"/>
              <w:bottom w:val="single" w:color="auto" w:sz="4" w:space="0"/>
              <w:right w:val="single" w:color="auto" w:sz="4" w:space="0"/>
            </w:tcBorders>
            <w:vAlign w:val="center"/>
          </w:tcPr>
          <w:p>
            <w:pPr>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0-18分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实施方案</w:t>
            </w:r>
          </w:p>
        </w:tc>
        <w:tc>
          <w:tcPr>
            <w:tcW w:w="8004" w:type="dxa"/>
            <w:tcBorders>
              <w:top w:val="single" w:color="auto" w:sz="4" w:space="0"/>
              <w:left w:val="single" w:color="auto" w:sz="4" w:space="0"/>
              <w:bottom w:val="single" w:color="auto" w:sz="4" w:space="0"/>
              <w:right w:val="single" w:color="auto" w:sz="4" w:space="0"/>
            </w:tcBorders>
            <w:vAlign w:val="center"/>
          </w:tcPr>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提供针对本项目所需的供货组织方案，方案包括但不限于：</w:t>
            </w:r>
          </w:p>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rPr>
              <w:t>进度控制：供货进度计划，进度保障措施的合理性、及时性、针对性等情况进行打分</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分值范围：</w:t>
            </w:r>
            <w:r>
              <w:rPr>
                <w:rFonts w:hint="eastAsia" w:ascii="宋体" w:hAnsi="宋体" w:cs="宋体"/>
                <w:color w:val="auto"/>
                <w:kern w:val="2"/>
                <w:sz w:val="24"/>
                <w:szCs w:val="24"/>
                <w:highlight w:val="none"/>
                <w:lang w:val="en-US" w:eastAsia="zh-CN" w:bidi="ar-SA"/>
              </w:rPr>
              <w:t>6,5.5</w:t>
            </w:r>
            <w:r>
              <w:rPr>
                <w:rFonts w:hint="eastAsia" w:ascii="宋体" w:hAnsi="宋体" w:eastAsia="宋体" w:cs="宋体"/>
                <w:color w:val="auto"/>
                <w:kern w:val="2"/>
                <w:sz w:val="24"/>
                <w:szCs w:val="24"/>
                <w:highlight w:val="none"/>
                <w:lang w:val="en-US" w:eastAsia="zh-CN" w:bidi="ar-SA"/>
              </w:rPr>
              <w:t>,5,4.5,4</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3.5,</w:t>
            </w:r>
            <w:r>
              <w:rPr>
                <w:rFonts w:hint="eastAsia" w:ascii="宋体" w:hAnsi="宋体" w:eastAsia="宋体" w:cs="宋体"/>
                <w:color w:val="auto"/>
                <w:kern w:val="2"/>
                <w:sz w:val="24"/>
                <w:szCs w:val="24"/>
                <w:highlight w:val="none"/>
                <w:lang w:val="zh-CN" w:eastAsia="zh-CN" w:bidi="ar-SA"/>
              </w:rPr>
              <w:t>3,2.5,2,1.5,1,0.5,0</w:t>
            </w:r>
            <w:r>
              <w:rPr>
                <w:rFonts w:hint="eastAsia" w:ascii="宋体" w:hAnsi="宋体" w:eastAsia="宋体" w:cs="宋体"/>
                <w:color w:val="auto"/>
                <w:sz w:val="24"/>
                <w:szCs w:val="24"/>
                <w:highlight w:val="none"/>
                <w:lang w:val="zh-CN"/>
              </w:rPr>
              <w:t>）；</w:t>
            </w:r>
          </w:p>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jc w:val="left"/>
              <w:textAlignment w:val="auto"/>
              <w:rPr>
                <w:rFonts w:hint="eastAsia" w:ascii="宋体" w:hAnsi="宋体" w:eastAsia="宋体" w:cs="宋体"/>
                <w:color w:val="auto"/>
                <w:sz w:val="24"/>
                <w:szCs w:val="24"/>
                <w:highlight w:val="none"/>
                <w:lang w:val="zh-CN"/>
              </w:rPr>
            </w:pPr>
            <w:r>
              <w:rPr>
                <w:rFonts w:hint="eastAsia" w:ascii="宋体" w:hAnsi="宋体" w:eastAsia="宋体" w:cs="宋体"/>
                <w:color w:val="auto"/>
                <w:sz w:val="24"/>
                <w:szCs w:val="24"/>
                <w:highlight w:val="none"/>
                <w:lang w:val="en-US" w:eastAsia="zh-CN"/>
              </w:rPr>
              <w:t>2.</w:t>
            </w:r>
            <w:r>
              <w:rPr>
                <w:rFonts w:hint="eastAsia" w:ascii="宋体" w:hAnsi="宋体" w:eastAsia="宋体" w:cs="宋体"/>
                <w:color w:val="auto"/>
                <w:sz w:val="24"/>
                <w:szCs w:val="24"/>
                <w:highlight w:val="none"/>
              </w:rPr>
              <w:t>质量控制：</w:t>
            </w:r>
            <w:r>
              <w:rPr>
                <w:rFonts w:hint="eastAsia" w:ascii="宋体" w:hAnsi="宋体" w:eastAsia="宋体" w:cs="宋体"/>
                <w:color w:val="auto"/>
                <w:sz w:val="24"/>
                <w:szCs w:val="24"/>
                <w:highlight w:val="none"/>
                <w:lang w:val="en-US" w:eastAsia="zh-CN"/>
              </w:rPr>
              <w:t>主要从</w:t>
            </w:r>
            <w:r>
              <w:rPr>
                <w:rFonts w:hint="eastAsia" w:ascii="宋体" w:hAnsi="宋体" w:eastAsia="宋体" w:cs="宋体"/>
                <w:color w:val="auto"/>
                <w:sz w:val="24"/>
                <w:szCs w:val="24"/>
                <w:highlight w:val="none"/>
              </w:rPr>
              <w:t>过程控制、测试和检查方法等情况进行打分</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分值范围：</w:t>
            </w:r>
            <w:r>
              <w:rPr>
                <w:rFonts w:hint="eastAsia" w:ascii="宋体" w:hAnsi="宋体" w:cs="宋体"/>
                <w:color w:val="auto"/>
                <w:kern w:val="2"/>
                <w:sz w:val="24"/>
                <w:szCs w:val="24"/>
                <w:highlight w:val="none"/>
                <w:lang w:val="en-US" w:eastAsia="zh-CN" w:bidi="ar-SA"/>
              </w:rPr>
              <w:t>6,5.5</w:t>
            </w:r>
            <w:r>
              <w:rPr>
                <w:rFonts w:hint="eastAsia" w:ascii="宋体" w:hAnsi="宋体" w:eastAsia="宋体" w:cs="宋体"/>
                <w:color w:val="auto"/>
                <w:kern w:val="2"/>
                <w:sz w:val="24"/>
                <w:szCs w:val="24"/>
                <w:highlight w:val="none"/>
                <w:lang w:val="en-US" w:eastAsia="zh-CN" w:bidi="ar-SA"/>
              </w:rPr>
              <w:t>,5,4.5,4</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3.5,</w:t>
            </w:r>
            <w:r>
              <w:rPr>
                <w:rFonts w:hint="eastAsia" w:ascii="宋体" w:hAnsi="宋体" w:eastAsia="宋体" w:cs="宋体"/>
                <w:color w:val="auto"/>
                <w:kern w:val="2"/>
                <w:sz w:val="24"/>
                <w:szCs w:val="24"/>
                <w:highlight w:val="none"/>
                <w:lang w:val="zh-CN" w:eastAsia="zh-CN" w:bidi="ar-SA"/>
              </w:rPr>
              <w:t>3,2.5,2,1.5,1,0.5,0</w:t>
            </w:r>
            <w:r>
              <w:rPr>
                <w:rFonts w:hint="eastAsia" w:ascii="宋体" w:hAnsi="宋体" w:eastAsia="宋体" w:cs="宋体"/>
                <w:color w:val="auto"/>
                <w:sz w:val="24"/>
                <w:szCs w:val="24"/>
                <w:highlight w:val="none"/>
                <w:lang w:val="zh-CN"/>
              </w:rPr>
              <w:t>）；</w:t>
            </w:r>
          </w:p>
          <w:p>
            <w:pPr>
              <w:keepNext w:val="0"/>
              <w:keepLines w:val="0"/>
              <w:pageBreakBefore w:val="0"/>
              <w:widowControl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jc w:val="left"/>
              <w:textAlignment w:val="auto"/>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3</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安装调试：</w:t>
            </w:r>
            <w:r>
              <w:rPr>
                <w:rFonts w:hint="eastAsia" w:ascii="宋体" w:hAnsi="宋体" w:eastAsia="宋体" w:cs="宋体"/>
                <w:color w:val="auto"/>
                <w:sz w:val="24"/>
                <w:szCs w:val="24"/>
                <w:highlight w:val="none"/>
                <w:lang w:val="en-US" w:eastAsia="zh-CN"/>
              </w:rPr>
              <w:t>主要从安装人员的资质、现场调整优化方案、沟通和协调能力</w:t>
            </w:r>
            <w:r>
              <w:rPr>
                <w:rFonts w:hint="eastAsia" w:ascii="宋体" w:hAnsi="宋体" w:eastAsia="宋体" w:cs="宋体"/>
                <w:color w:val="auto"/>
                <w:sz w:val="24"/>
                <w:szCs w:val="24"/>
                <w:highlight w:val="none"/>
              </w:rPr>
              <w:t xml:space="preserve">等情况进行打分 </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分值范围：</w:t>
            </w:r>
            <w:r>
              <w:rPr>
                <w:rFonts w:hint="eastAsia" w:ascii="宋体" w:hAnsi="宋体" w:cs="宋体"/>
                <w:color w:val="auto"/>
                <w:kern w:val="2"/>
                <w:sz w:val="24"/>
                <w:szCs w:val="24"/>
                <w:highlight w:val="none"/>
                <w:lang w:val="en-US" w:eastAsia="zh-CN" w:bidi="ar-SA"/>
              </w:rPr>
              <w:t>6,5.5</w:t>
            </w:r>
            <w:r>
              <w:rPr>
                <w:rFonts w:hint="eastAsia" w:ascii="宋体" w:hAnsi="宋体" w:eastAsia="宋体" w:cs="宋体"/>
                <w:color w:val="auto"/>
                <w:kern w:val="2"/>
                <w:sz w:val="24"/>
                <w:szCs w:val="24"/>
                <w:highlight w:val="none"/>
                <w:lang w:val="en-US" w:eastAsia="zh-CN" w:bidi="ar-SA"/>
              </w:rPr>
              <w:t>,5,4.5,4</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3.5,</w:t>
            </w:r>
            <w:r>
              <w:rPr>
                <w:rFonts w:hint="eastAsia" w:ascii="宋体" w:hAnsi="宋体" w:eastAsia="宋体" w:cs="宋体"/>
                <w:color w:val="auto"/>
                <w:kern w:val="2"/>
                <w:sz w:val="24"/>
                <w:szCs w:val="24"/>
                <w:highlight w:val="none"/>
                <w:lang w:val="zh-CN" w:eastAsia="zh-CN" w:bidi="ar-SA"/>
              </w:rPr>
              <w:t>3,2.5,2,1.5,1,0.5,0</w:t>
            </w:r>
            <w:r>
              <w:rPr>
                <w:rFonts w:hint="eastAsia" w:ascii="宋体" w:hAnsi="宋体" w:eastAsia="宋体" w:cs="宋体"/>
                <w:color w:val="auto"/>
                <w:sz w:val="24"/>
                <w:szCs w:val="24"/>
                <w:highlight w:val="none"/>
                <w:lang w:val="zh-CN"/>
              </w:rPr>
              <w:t>）；</w:t>
            </w:r>
          </w:p>
          <w:p>
            <w:pPr>
              <w:autoSpaceDE w:val="0"/>
              <w:autoSpaceDN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4</w:t>
            </w:r>
            <w:r>
              <w:rPr>
                <w:rFonts w:hint="eastAsia" w:ascii="宋体" w:hAnsi="宋体" w:eastAsia="宋体" w:cs="宋体"/>
                <w:color w:val="auto"/>
                <w:sz w:val="24"/>
                <w:szCs w:val="24"/>
                <w:highlight w:val="none"/>
                <w:lang w:val="en-US" w:eastAsia="zh-CN"/>
              </w:rPr>
              <w:t>.</w:t>
            </w:r>
            <w:r>
              <w:rPr>
                <w:rFonts w:hint="eastAsia" w:ascii="宋体" w:hAnsi="宋体" w:eastAsia="宋体" w:cs="宋体"/>
                <w:color w:val="auto"/>
                <w:sz w:val="24"/>
                <w:szCs w:val="24"/>
                <w:highlight w:val="none"/>
              </w:rPr>
              <w:t>交货验收：</w:t>
            </w:r>
            <w:r>
              <w:rPr>
                <w:rFonts w:hint="eastAsia" w:ascii="宋体" w:hAnsi="宋体" w:eastAsia="宋体" w:cs="宋体"/>
                <w:color w:val="auto"/>
                <w:sz w:val="24"/>
                <w:szCs w:val="24"/>
                <w:highlight w:val="none"/>
                <w:lang w:val="en-US" w:eastAsia="zh-CN"/>
              </w:rPr>
              <w:t>主要从验收方案、验收记录报告的完整性</w:t>
            </w:r>
            <w:r>
              <w:rPr>
                <w:rFonts w:hint="eastAsia" w:ascii="宋体" w:hAnsi="宋体" w:eastAsia="宋体" w:cs="宋体"/>
                <w:color w:val="auto"/>
                <w:sz w:val="24"/>
                <w:szCs w:val="24"/>
                <w:highlight w:val="none"/>
              </w:rPr>
              <w:t>等情况进行打分。</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rPr>
              <w:t>分值范围：</w:t>
            </w:r>
            <w:r>
              <w:rPr>
                <w:rFonts w:hint="eastAsia" w:ascii="宋体" w:hAnsi="宋体" w:cs="宋体"/>
                <w:color w:val="auto"/>
                <w:kern w:val="2"/>
                <w:sz w:val="24"/>
                <w:szCs w:val="24"/>
                <w:highlight w:val="none"/>
                <w:lang w:val="en-US" w:eastAsia="zh-CN" w:bidi="ar-SA"/>
              </w:rPr>
              <w:t>6,5.5</w:t>
            </w:r>
            <w:r>
              <w:rPr>
                <w:rFonts w:hint="eastAsia" w:ascii="宋体" w:hAnsi="宋体" w:eastAsia="宋体" w:cs="宋体"/>
                <w:color w:val="auto"/>
                <w:kern w:val="2"/>
                <w:sz w:val="24"/>
                <w:szCs w:val="24"/>
                <w:highlight w:val="none"/>
                <w:lang w:val="en-US" w:eastAsia="zh-CN" w:bidi="ar-SA"/>
              </w:rPr>
              <w:t>,5,4.5,4</w:t>
            </w:r>
            <w:r>
              <w:rPr>
                <w:rFonts w:hint="eastAsia" w:ascii="宋体" w:hAnsi="宋体" w:cs="宋体"/>
                <w:color w:val="auto"/>
                <w:kern w:val="2"/>
                <w:sz w:val="24"/>
                <w:szCs w:val="24"/>
                <w:highlight w:val="none"/>
                <w:lang w:val="en-US" w:eastAsia="zh-CN" w:bidi="ar-SA"/>
              </w:rPr>
              <w:t>,</w:t>
            </w:r>
            <w:r>
              <w:rPr>
                <w:rFonts w:hint="eastAsia" w:ascii="宋体" w:hAnsi="宋体" w:eastAsia="宋体" w:cs="宋体"/>
                <w:color w:val="auto"/>
                <w:kern w:val="2"/>
                <w:sz w:val="24"/>
                <w:szCs w:val="24"/>
                <w:highlight w:val="none"/>
                <w:lang w:val="en-US" w:eastAsia="zh-CN" w:bidi="ar-SA"/>
              </w:rPr>
              <w:t>3.5,</w:t>
            </w:r>
            <w:r>
              <w:rPr>
                <w:rFonts w:hint="eastAsia" w:ascii="宋体" w:hAnsi="宋体" w:eastAsia="宋体" w:cs="宋体"/>
                <w:color w:val="auto"/>
                <w:kern w:val="2"/>
                <w:sz w:val="24"/>
                <w:szCs w:val="24"/>
                <w:highlight w:val="none"/>
                <w:lang w:val="zh-CN" w:eastAsia="zh-CN" w:bidi="ar-SA"/>
              </w:rPr>
              <w:t>3,2.5,2,1.5,1,0.5,0</w:t>
            </w:r>
            <w:r>
              <w:rPr>
                <w:rFonts w:hint="eastAsia" w:ascii="宋体" w:hAnsi="宋体" w:eastAsia="宋体" w:cs="宋体"/>
                <w:color w:val="auto"/>
                <w:sz w:val="24"/>
                <w:szCs w:val="24"/>
                <w:highlight w:val="none"/>
                <w:lang w:val="zh-CN"/>
              </w:rPr>
              <w:t>）</w:t>
            </w:r>
            <w:r>
              <w:rPr>
                <w:rFonts w:hint="eastAsia" w:ascii="宋体" w:hAnsi="宋体" w:eastAsia="宋体" w:cs="宋体"/>
                <w:color w:val="auto"/>
                <w:sz w:val="24"/>
                <w:szCs w:val="24"/>
                <w:highlight w:val="none"/>
                <w:lang w:val="zh-CN" w:eastAsia="zh-CN"/>
              </w:rPr>
              <w:t>。</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0-24分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质保期</w:t>
            </w:r>
          </w:p>
        </w:tc>
        <w:tc>
          <w:tcPr>
            <w:tcW w:w="800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根据投标人承诺的质保期进行打分，质保期优于采购人要求的，每延长</w:t>
            </w:r>
            <w:r>
              <w:rPr>
                <w:rFonts w:hint="eastAsia" w:ascii="宋体" w:hAnsi="宋体" w:eastAsia="宋体" w:cs="宋体"/>
                <w:color w:val="auto"/>
                <w:sz w:val="24"/>
                <w:szCs w:val="24"/>
                <w:highlight w:val="none"/>
                <w:lang w:val="en-US" w:eastAsia="zh-CN"/>
              </w:rPr>
              <w:t>1</w:t>
            </w:r>
            <w:r>
              <w:rPr>
                <w:rFonts w:hint="eastAsia" w:ascii="宋体" w:hAnsi="宋体" w:eastAsia="宋体" w:cs="宋体"/>
                <w:color w:val="auto"/>
                <w:sz w:val="24"/>
                <w:szCs w:val="24"/>
                <w:highlight w:val="none"/>
                <w:lang w:eastAsia="zh-CN"/>
              </w:rPr>
              <w:t>年</w:t>
            </w:r>
            <w:r>
              <w:rPr>
                <w:rFonts w:hint="eastAsia" w:ascii="宋体" w:hAnsi="宋体" w:eastAsia="宋体" w:cs="宋体"/>
                <w:color w:val="auto"/>
                <w:sz w:val="24"/>
                <w:szCs w:val="24"/>
                <w:highlight w:val="none"/>
              </w:rPr>
              <w:t>得1分，本项最高2分。</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0-2分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送货方案</w:t>
            </w:r>
          </w:p>
        </w:tc>
        <w:tc>
          <w:tcPr>
            <w:tcW w:w="800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根据投标人针对本项目所提供的送货方案的合理性和可行性等情况进行打分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4,3.5,</w:t>
            </w:r>
            <w:r>
              <w:rPr>
                <w:rFonts w:hint="eastAsia" w:ascii="宋体" w:hAnsi="宋体" w:eastAsia="宋体" w:cs="宋体"/>
                <w:color w:val="auto"/>
                <w:sz w:val="24"/>
                <w:szCs w:val="24"/>
                <w:highlight w:val="none"/>
                <w:shd w:val="clear" w:color="auto" w:fill="FFFFFF"/>
                <w:lang w:val="zh-CN"/>
              </w:rPr>
              <w:t>3,2.5,2,1.5,1,0.5,0</w:t>
            </w:r>
            <w:r>
              <w:rPr>
                <w:rFonts w:hint="eastAsia" w:ascii="宋体" w:hAnsi="宋体" w:cs="宋体"/>
                <w:color w:val="auto"/>
                <w:sz w:val="24"/>
                <w:szCs w:val="24"/>
                <w:highlight w:val="none"/>
                <w:shd w:val="clear" w:color="auto" w:fill="FFFFFF"/>
                <w:lang w:val="zh-CN"/>
              </w:rPr>
              <w:t>）。</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0-4分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售后服务</w:t>
            </w:r>
          </w:p>
        </w:tc>
        <w:tc>
          <w:tcPr>
            <w:tcW w:w="8004" w:type="dxa"/>
            <w:tcBorders>
              <w:top w:val="single" w:color="auto" w:sz="4" w:space="0"/>
              <w:left w:val="single" w:color="auto" w:sz="4" w:space="0"/>
              <w:bottom w:val="single" w:color="auto" w:sz="4" w:space="0"/>
              <w:right w:val="single" w:color="auto" w:sz="4" w:space="0"/>
            </w:tcBorders>
            <w:vAlign w:val="center"/>
          </w:tcPr>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color w:val="auto"/>
                <w:sz w:val="24"/>
                <w:szCs w:val="24"/>
                <w:highlight w:val="none"/>
                <w:lang w:val="en-US" w:eastAsia="zh-CN"/>
              </w:rPr>
            </w:pPr>
            <w:r>
              <w:rPr>
                <w:rFonts w:hint="eastAsia" w:ascii="宋体" w:hAnsi="宋体" w:eastAsia="宋体" w:cs="宋体"/>
                <w:color w:val="auto"/>
                <w:sz w:val="24"/>
                <w:szCs w:val="24"/>
                <w:highlight w:val="none"/>
              </w:rPr>
              <w:t>根据投标人</w:t>
            </w:r>
            <w:r>
              <w:rPr>
                <w:rFonts w:hint="eastAsia" w:ascii="宋体" w:hAnsi="宋体" w:eastAsia="宋体" w:cs="宋体"/>
                <w:color w:val="auto"/>
                <w:sz w:val="24"/>
                <w:szCs w:val="24"/>
                <w:highlight w:val="none"/>
                <w:lang w:val="en-US" w:eastAsia="zh-CN"/>
              </w:rPr>
              <w:t>提供的售后服务方案</w:t>
            </w:r>
            <w:r>
              <w:rPr>
                <w:rFonts w:hint="eastAsia" w:ascii="宋体" w:hAnsi="宋体" w:eastAsia="宋体" w:cs="宋体"/>
                <w:color w:val="auto"/>
                <w:sz w:val="24"/>
                <w:szCs w:val="24"/>
                <w:highlight w:val="none"/>
              </w:rPr>
              <w:t>和售后维护服务机构</w:t>
            </w:r>
            <w:r>
              <w:rPr>
                <w:rFonts w:hint="eastAsia" w:ascii="宋体" w:hAnsi="宋体" w:cs="宋体"/>
                <w:color w:val="auto"/>
                <w:kern w:val="2"/>
                <w:sz w:val="24"/>
                <w:szCs w:val="24"/>
                <w:highlight w:val="none"/>
                <w:lang w:val="en-US" w:eastAsia="zh-CN"/>
              </w:rPr>
              <w:t>的</w:t>
            </w:r>
            <w:r>
              <w:rPr>
                <w:rFonts w:hint="eastAsia" w:ascii="宋体" w:hAnsi="宋体" w:eastAsia="宋体" w:cs="宋体"/>
                <w:color w:val="auto"/>
                <w:kern w:val="2"/>
                <w:sz w:val="24"/>
                <w:szCs w:val="24"/>
                <w:highlight w:val="none"/>
                <w:lang w:val="en-US" w:eastAsia="zh-CN"/>
              </w:rPr>
              <w:t>合理性</w:t>
            </w:r>
            <w:r>
              <w:rPr>
                <w:rFonts w:hint="eastAsia" w:ascii="宋体" w:hAnsi="宋体" w:cs="宋体"/>
                <w:color w:val="auto"/>
                <w:kern w:val="2"/>
                <w:sz w:val="24"/>
                <w:szCs w:val="24"/>
                <w:highlight w:val="none"/>
                <w:lang w:val="en-US" w:eastAsia="zh-CN"/>
              </w:rPr>
              <w:t>、</w:t>
            </w:r>
            <w:r>
              <w:rPr>
                <w:rFonts w:hint="eastAsia" w:ascii="宋体" w:hAnsi="宋体" w:eastAsia="宋体" w:cs="宋体"/>
                <w:color w:val="auto"/>
                <w:kern w:val="2"/>
                <w:sz w:val="24"/>
                <w:szCs w:val="24"/>
                <w:highlight w:val="none"/>
                <w:lang w:val="en-US" w:eastAsia="zh-CN"/>
              </w:rPr>
              <w:t>及时性</w:t>
            </w:r>
            <w:r>
              <w:rPr>
                <w:rFonts w:hint="eastAsia" w:ascii="宋体" w:hAnsi="宋体" w:cs="宋体"/>
                <w:color w:val="auto"/>
                <w:kern w:val="2"/>
                <w:sz w:val="24"/>
                <w:szCs w:val="24"/>
                <w:highlight w:val="none"/>
                <w:lang w:val="en-US" w:eastAsia="zh-CN"/>
              </w:rPr>
              <w:t>、针对性等</w:t>
            </w:r>
            <w:r>
              <w:rPr>
                <w:rFonts w:hint="eastAsia" w:ascii="宋体" w:hAnsi="宋体" w:eastAsia="宋体" w:cs="宋体"/>
                <w:color w:val="auto"/>
                <w:sz w:val="24"/>
                <w:szCs w:val="24"/>
                <w:highlight w:val="none"/>
              </w:rPr>
              <w:t>情况</w:t>
            </w:r>
            <w:r>
              <w:rPr>
                <w:rFonts w:hint="eastAsia" w:ascii="宋体" w:hAnsi="宋体" w:eastAsia="宋体" w:cs="宋体"/>
                <w:color w:val="auto"/>
                <w:sz w:val="24"/>
                <w:szCs w:val="24"/>
                <w:highlight w:val="none"/>
                <w:lang w:eastAsia="zh-CN"/>
              </w:rPr>
              <w:t>进行打分，</w:t>
            </w:r>
            <w:r>
              <w:rPr>
                <w:rFonts w:hint="eastAsia" w:ascii="宋体" w:hAnsi="宋体" w:eastAsia="宋体" w:cs="宋体"/>
                <w:color w:val="auto"/>
                <w:sz w:val="24"/>
                <w:szCs w:val="24"/>
                <w:highlight w:val="none"/>
                <w:lang w:val="en-US" w:eastAsia="zh-CN"/>
              </w:rPr>
              <w:t>包括但不限于：</w:t>
            </w:r>
          </w:p>
          <w:p>
            <w:pPr>
              <w:numPr>
                <w:ilvl w:val="0"/>
                <w:numId w:val="0"/>
              </w:numPr>
              <w:adjustRightInd w:val="0"/>
              <w:snapToGrid w:val="0"/>
              <w:spacing w:line="360" w:lineRule="auto"/>
              <w:jc w:val="left"/>
              <w:rPr>
                <w:rFonts w:hint="eastAsia" w:ascii="宋体" w:hAnsi="宋体" w:eastAsia="宋体" w:cs="宋体"/>
                <w:color w:val="auto"/>
                <w:sz w:val="24"/>
                <w:szCs w:val="24"/>
                <w:highlight w:val="none"/>
              </w:rPr>
            </w:pP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rPr>
              <w:t>响应时间</w:t>
            </w:r>
            <w:r>
              <w:rPr>
                <w:rFonts w:hint="eastAsia" w:ascii="宋体" w:hAnsi="宋体" w:cs="宋体"/>
                <w:color w:val="auto"/>
                <w:sz w:val="24"/>
                <w:szCs w:val="24"/>
                <w:highlight w:val="none"/>
                <w:lang w:eastAsia="zh-CN"/>
              </w:rPr>
              <w:t>：接故障报修后响应时间、接故障报修后</w:t>
            </w:r>
            <w:r>
              <w:rPr>
                <w:rFonts w:hint="eastAsia" w:ascii="宋体" w:hAnsi="宋体" w:cs="宋体"/>
                <w:color w:val="auto"/>
                <w:sz w:val="24"/>
                <w:szCs w:val="24"/>
                <w:highlight w:val="none"/>
                <w:lang w:val="en-US" w:eastAsia="zh-CN"/>
              </w:rPr>
              <w:t>人员</w:t>
            </w:r>
            <w:r>
              <w:rPr>
                <w:rFonts w:hint="eastAsia" w:ascii="宋体" w:hAnsi="宋体" w:cs="宋体"/>
                <w:color w:val="auto"/>
                <w:sz w:val="24"/>
                <w:szCs w:val="24"/>
                <w:highlight w:val="none"/>
                <w:lang w:eastAsia="zh-CN"/>
              </w:rPr>
              <w:t>到达抢修地点的时间、恢复车辆故障时间等情况进行打分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cs="宋体"/>
                <w:color w:val="auto"/>
                <w:sz w:val="24"/>
                <w:szCs w:val="24"/>
                <w:highlight w:val="none"/>
                <w:shd w:val="clear" w:color="auto" w:fill="FFFFFF"/>
                <w:lang w:val="zh-CN"/>
              </w:rPr>
            </w:pP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rPr>
              <w:t>服务内容</w:t>
            </w:r>
            <w:r>
              <w:rPr>
                <w:rFonts w:hint="eastAsia" w:ascii="宋体" w:hAnsi="宋体" w:cs="宋体"/>
                <w:color w:val="auto"/>
                <w:sz w:val="24"/>
                <w:szCs w:val="24"/>
                <w:highlight w:val="none"/>
                <w:lang w:eastAsia="zh-CN"/>
              </w:rPr>
              <w:t>：</w:t>
            </w:r>
            <w:r>
              <w:rPr>
                <w:rFonts w:hint="eastAsia" w:ascii="宋体" w:hAnsi="宋体" w:eastAsia="宋体" w:cs="宋体"/>
                <w:color w:val="auto"/>
                <w:sz w:val="22"/>
                <w:szCs w:val="22"/>
                <w:highlight w:val="none"/>
                <w:lang w:val="zh-CN" w:eastAsia="zh-CN"/>
              </w:rPr>
              <w:t>零配件库储</w:t>
            </w:r>
            <w:r>
              <w:rPr>
                <w:rFonts w:hint="eastAsia" w:ascii="宋体" w:hAnsi="宋体" w:eastAsia="宋体" w:cs="宋体"/>
                <w:color w:val="auto"/>
                <w:sz w:val="22"/>
                <w:szCs w:val="22"/>
                <w:highlight w:val="none"/>
                <w:lang w:eastAsia="zh-CN"/>
              </w:rPr>
              <w:t>备能力、零配件调拨能力</w:t>
            </w:r>
            <w:r>
              <w:rPr>
                <w:rFonts w:hint="eastAsia" w:ascii="宋体" w:hAnsi="宋体" w:cs="宋体"/>
                <w:color w:val="auto"/>
                <w:sz w:val="24"/>
                <w:szCs w:val="24"/>
                <w:highlight w:val="none"/>
                <w:lang w:eastAsia="zh-CN"/>
              </w:rPr>
              <w:t>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p>
            <w:pPr>
              <w:pageBreakBefore w:val="0"/>
              <w:pBdr>
                <w:top w:val="none" w:color="auto" w:sz="0" w:space="0"/>
                <w:left w:val="none" w:color="auto" w:sz="0" w:space="0"/>
                <w:bottom w:val="none" w:color="auto" w:sz="0" w:space="0"/>
                <w:right w:val="none" w:color="auto" w:sz="0" w:space="0"/>
              </w:pBdr>
              <w:shd w:val="clear" w:color="auto" w:fill="auto"/>
              <w:kinsoku/>
              <w:wordWrap/>
              <w:overflowPunct/>
              <w:topLinePunct w:val="0"/>
              <w:autoSpaceDE w:val="0"/>
              <w:autoSpaceDN w:val="0"/>
              <w:bidi w:val="0"/>
              <w:adjustRightInd w:val="0"/>
              <w:snapToGrid w:val="0"/>
              <w:spacing w:line="360" w:lineRule="auto"/>
              <w:ind w:right="0" w:rightChars="0"/>
              <w:jc w:val="both"/>
              <w:textAlignment w:val="auto"/>
              <w:rPr>
                <w:rFonts w:hint="eastAsia" w:ascii="宋体" w:hAnsi="宋体" w:eastAsia="宋体" w:cs="宋体"/>
                <w:color w:val="auto"/>
                <w:kern w:val="2"/>
                <w:sz w:val="24"/>
                <w:szCs w:val="24"/>
                <w:highlight w:val="none"/>
                <w:lang w:val="en-US" w:eastAsia="zh-CN"/>
              </w:rPr>
            </w:pPr>
            <w:r>
              <w:rPr>
                <w:rFonts w:hint="eastAsia" w:ascii="宋体" w:hAnsi="宋体" w:cs="宋体"/>
                <w:color w:val="auto"/>
                <w:sz w:val="24"/>
                <w:szCs w:val="24"/>
                <w:highlight w:val="none"/>
                <w:lang w:val="en-US" w:eastAsia="zh-CN"/>
              </w:rPr>
              <w:t>3.</w:t>
            </w:r>
            <w:r>
              <w:rPr>
                <w:rFonts w:hint="eastAsia" w:ascii="宋体" w:hAnsi="宋体" w:eastAsia="宋体" w:cs="宋体"/>
                <w:color w:val="auto"/>
                <w:sz w:val="24"/>
                <w:szCs w:val="24"/>
                <w:highlight w:val="none"/>
              </w:rPr>
              <w:t>故障处理办法</w:t>
            </w:r>
            <w:r>
              <w:rPr>
                <w:rFonts w:hint="eastAsia" w:ascii="宋体" w:hAnsi="宋体" w:cs="宋体"/>
                <w:color w:val="auto"/>
                <w:sz w:val="24"/>
                <w:szCs w:val="24"/>
                <w:highlight w:val="none"/>
                <w:lang w:eastAsia="zh-CN"/>
              </w:rPr>
              <w:t>：主要从应急应对措施、内容科学合理、后续处理方法等情况进行打分；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p>
            <w:pPr>
              <w:autoSpaceDE w:val="0"/>
              <w:autoSpaceDN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cs="宋体"/>
                <w:color w:val="auto"/>
                <w:sz w:val="24"/>
                <w:szCs w:val="24"/>
                <w:highlight w:val="none"/>
                <w:lang w:val="en-US" w:eastAsia="zh-CN"/>
              </w:rPr>
              <w:t>4.</w:t>
            </w:r>
            <w:r>
              <w:rPr>
                <w:rFonts w:hint="eastAsia" w:ascii="宋体" w:hAnsi="宋体" w:eastAsia="宋体" w:cs="宋体"/>
                <w:color w:val="auto"/>
                <w:sz w:val="24"/>
                <w:szCs w:val="24"/>
                <w:highlight w:val="none"/>
              </w:rPr>
              <w:t>服务承诺</w:t>
            </w:r>
            <w:r>
              <w:rPr>
                <w:rFonts w:hint="eastAsia" w:ascii="宋体" w:hAnsi="宋体" w:cs="宋体"/>
                <w:color w:val="auto"/>
                <w:sz w:val="24"/>
                <w:szCs w:val="24"/>
                <w:highlight w:val="none"/>
                <w:lang w:eastAsia="zh-CN"/>
              </w:rPr>
              <w:t>：主要从项目完成质量、后续服务保障体系等情况进行打分；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2</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1.5</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1</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0.5</w:t>
            </w:r>
            <w:r>
              <w:rPr>
                <w:rFonts w:hint="eastAsia" w:ascii="宋体" w:hAnsi="宋体" w:eastAsia="宋体" w:cs="宋体"/>
                <w:color w:val="auto"/>
                <w:sz w:val="24"/>
                <w:szCs w:val="24"/>
                <w:highlight w:val="none"/>
                <w:lang w:val="en-US" w:eastAsia="zh-CN"/>
              </w:rPr>
              <w:t>,0</w:t>
            </w:r>
            <w:r>
              <w:rPr>
                <w:rFonts w:hint="eastAsia" w:ascii="宋体" w:hAnsi="宋体" w:cs="宋体"/>
                <w:color w:val="auto"/>
                <w:sz w:val="24"/>
                <w:szCs w:val="24"/>
                <w:highlight w:val="none"/>
                <w:shd w:val="clear" w:color="auto" w:fill="FFFFFF"/>
                <w:lang w:val="zh-CN"/>
              </w:rPr>
              <w:t>）。</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0-8分</w:t>
            </w:r>
          </w:p>
        </w:tc>
      </w:tr>
      <w:tr>
        <w:tblPrEx>
          <w:tblLayout w:type="fixed"/>
          <w:tblCellMar>
            <w:top w:w="15" w:type="dxa"/>
            <w:left w:w="15" w:type="dxa"/>
            <w:bottom w:w="15" w:type="dxa"/>
            <w:right w:w="15" w:type="dxa"/>
          </w:tblCellMar>
        </w:tblPrEx>
        <w:trPr>
          <w:trHeight w:val="90"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退换货方案</w:t>
            </w:r>
          </w:p>
        </w:tc>
        <w:tc>
          <w:tcPr>
            <w:tcW w:w="800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根据投标人对货物质量问题、与采购要求不符等原因退货换货的处理方案的合理性和及时性等情况进行打分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4,3.5,</w:t>
            </w:r>
            <w:r>
              <w:rPr>
                <w:rFonts w:hint="eastAsia" w:ascii="宋体" w:hAnsi="宋体" w:eastAsia="宋体" w:cs="宋体"/>
                <w:color w:val="auto"/>
                <w:sz w:val="24"/>
                <w:szCs w:val="24"/>
                <w:highlight w:val="none"/>
                <w:shd w:val="clear" w:color="auto" w:fill="FFFFFF"/>
                <w:lang w:val="zh-CN"/>
              </w:rPr>
              <w:t>3,2.5,2,1.5,1,0.5,0</w:t>
            </w:r>
            <w:r>
              <w:rPr>
                <w:rFonts w:hint="eastAsia" w:ascii="宋体" w:hAnsi="宋体" w:cs="宋体"/>
                <w:color w:val="auto"/>
                <w:sz w:val="24"/>
                <w:szCs w:val="24"/>
                <w:highlight w:val="none"/>
                <w:shd w:val="clear" w:color="auto" w:fill="FFFFFF"/>
                <w:lang w:val="zh-CN"/>
              </w:rPr>
              <w:t>）</w:t>
            </w:r>
            <w:r>
              <w:rPr>
                <w:rFonts w:hint="eastAsia" w:ascii="宋体" w:hAnsi="宋体" w:eastAsia="宋体" w:cs="宋体"/>
                <w:color w:val="auto"/>
                <w:sz w:val="24"/>
                <w:szCs w:val="24"/>
                <w:highlight w:val="none"/>
              </w:rPr>
              <w:t>。</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0-4分</w:t>
            </w:r>
          </w:p>
        </w:tc>
      </w:tr>
      <w:tr>
        <w:tblPrEx>
          <w:tblLayout w:type="fixed"/>
          <w:tblCellMar>
            <w:top w:w="15" w:type="dxa"/>
            <w:left w:w="15" w:type="dxa"/>
            <w:bottom w:w="15" w:type="dxa"/>
            <w:right w:w="15" w:type="dxa"/>
          </w:tblCellMar>
        </w:tblPrEx>
        <w:trPr>
          <w:trHeight w:val="553"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pStyle w:val="19"/>
              <w:spacing w:line="360" w:lineRule="auto"/>
              <w:ind w:left="0" w:leftChars="0"/>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培训服务方案</w:t>
            </w:r>
          </w:p>
        </w:tc>
        <w:tc>
          <w:tcPr>
            <w:tcW w:w="8004" w:type="dxa"/>
            <w:tcBorders>
              <w:top w:val="single" w:color="auto" w:sz="4" w:space="0"/>
              <w:left w:val="single" w:color="auto" w:sz="4" w:space="0"/>
              <w:bottom w:val="single" w:color="auto" w:sz="4" w:space="0"/>
              <w:right w:val="single" w:color="auto" w:sz="4" w:space="0"/>
            </w:tcBorders>
            <w:vAlign w:val="center"/>
          </w:tcPr>
          <w:p>
            <w:pPr>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color w:val="auto"/>
                <w:kern w:val="0"/>
                <w:sz w:val="24"/>
                <w:szCs w:val="24"/>
                <w:highlight w:val="none"/>
                <w:lang w:val="zh-CN" w:bidi="ar"/>
              </w:rPr>
              <w:t>根据投标人对采购单位操作人员及管理人员提供的培训计划方案，评委根据培训的内容、时间、频率</w:t>
            </w:r>
            <w:r>
              <w:rPr>
                <w:rFonts w:hint="eastAsia" w:ascii="宋体" w:hAnsi="宋体" w:eastAsia="宋体" w:cs="宋体"/>
                <w:color w:val="auto"/>
                <w:sz w:val="24"/>
                <w:szCs w:val="24"/>
                <w:highlight w:val="none"/>
              </w:rPr>
              <w:t>等情况进行打分</w:t>
            </w:r>
            <w:r>
              <w:rPr>
                <w:rFonts w:hint="eastAsia" w:ascii="宋体" w:hAnsi="宋体" w:cs="宋体"/>
                <w:color w:val="auto"/>
                <w:sz w:val="24"/>
                <w:szCs w:val="24"/>
                <w:highlight w:val="none"/>
                <w:shd w:val="clear" w:color="auto" w:fill="FFFFFF"/>
                <w:lang w:val="zh-CN"/>
              </w:rPr>
              <w:t>（</w:t>
            </w:r>
            <w:r>
              <w:rPr>
                <w:rFonts w:hint="eastAsia" w:ascii="宋体" w:hAnsi="宋体" w:cs="宋体"/>
                <w:color w:val="auto"/>
                <w:sz w:val="24"/>
                <w:szCs w:val="24"/>
                <w:highlight w:val="none"/>
                <w:lang w:val="en-US" w:eastAsia="zh-CN"/>
              </w:rPr>
              <w:t>分值范围</w:t>
            </w:r>
            <w:r>
              <w:rPr>
                <w:rFonts w:hint="eastAsia" w:ascii="宋体" w:hAnsi="宋体" w:eastAsia="宋体" w:cs="宋体"/>
                <w:color w:val="auto"/>
                <w:sz w:val="24"/>
                <w:szCs w:val="24"/>
                <w:highlight w:val="none"/>
                <w:lang w:val="en-US" w:eastAsia="zh-CN"/>
              </w:rPr>
              <w:t>：</w:t>
            </w:r>
            <w:r>
              <w:rPr>
                <w:rFonts w:hint="eastAsia" w:ascii="宋体" w:hAnsi="宋体" w:cs="宋体"/>
                <w:color w:val="auto"/>
                <w:sz w:val="24"/>
                <w:szCs w:val="24"/>
                <w:highlight w:val="none"/>
                <w:lang w:val="en-US" w:eastAsia="zh-CN"/>
              </w:rPr>
              <w:t>4,3.5,</w:t>
            </w:r>
            <w:r>
              <w:rPr>
                <w:rFonts w:hint="eastAsia" w:ascii="宋体" w:hAnsi="宋体" w:eastAsia="宋体" w:cs="宋体"/>
                <w:color w:val="auto"/>
                <w:sz w:val="24"/>
                <w:szCs w:val="24"/>
                <w:highlight w:val="none"/>
                <w:shd w:val="clear" w:color="auto" w:fill="FFFFFF"/>
                <w:lang w:val="zh-CN"/>
              </w:rPr>
              <w:t>3,2.5,2,1.5,1,0.5,0</w:t>
            </w:r>
            <w:r>
              <w:rPr>
                <w:rFonts w:hint="eastAsia" w:ascii="宋体" w:hAnsi="宋体" w:cs="宋体"/>
                <w:color w:val="auto"/>
                <w:sz w:val="24"/>
                <w:szCs w:val="24"/>
                <w:highlight w:val="none"/>
                <w:shd w:val="clear" w:color="auto" w:fill="FFFFFF"/>
                <w:lang w:val="zh-CN"/>
              </w:rPr>
              <w:t>）</w:t>
            </w:r>
            <w:r>
              <w:rPr>
                <w:rFonts w:hint="eastAsia" w:ascii="宋体" w:hAnsi="宋体" w:eastAsia="宋体" w:cs="宋体"/>
                <w:color w:val="auto"/>
                <w:sz w:val="24"/>
                <w:szCs w:val="24"/>
                <w:highlight w:val="none"/>
                <w:shd w:val="clear" w:color="auto" w:fill="FFFFFF"/>
                <w:lang w:val="zh-CN"/>
              </w:rPr>
              <w:t>。</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0-4分</w:t>
            </w:r>
          </w:p>
        </w:tc>
      </w:tr>
      <w:tr>
        <w:tblPrEx>
          <w:tblLayout w:type="fixed"/>
          <w:tblCellMar>
            <w:top w:w="15" w:type="dxa"/>
            <w:left w:w="15" w:type="dxa"/>
            <w:bottom w:w="15" w:type="dxa"/>
            <w:right w:w="15" w:type="dxa"/>
          </w:tblCellMar>
        </w:tblPrEx>
        <w:trPr>
          <w:trHeight w:val="358" w:hRule="atLeast"/>
          <w:jc w:val="center"/>
        </w:trPr>
        <w:tc>
          <w:tcPr>
            <w:tcW w:w="1349"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color w:val="auto"/>
                <w:sz w:val="24"/>
                <w:szCs w:val="24"/>
                <w:highlight w:val="none"/>
              </w:rPr>
              <w:t>投标报价</w:t>
            </w:r>
          </w:p>
        </w:tc>
        <w:tc>
          <w:tcPr>
            <w:tcW w:w="8004" w:type="dxa"/>
            <w:tcBorders>
              <w:top w:val="single" w:color="auto" w:sz="4" w:space="0"/>
              <w:left w:val="single" w:color="auto" w:sz="4" w:space="0"/>
              <w:bottom w:val="single" w:color="auto" w:sz="4" w:space="0"/>
              <w:right w:val="single" w:color="auto" w:sz="4" w:space="0"/>
            </w:tcBorders>
            <w:vAlign w:val="center"/>
          </w:tcPr>
          <w:p>
            <w:pPr>
              <w:autoSpaceDE w:val="0"/>
              <w:autoSpaceDN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b/>
                <w:bCs/>
                <w:color w:val="auto"/>
                <w:sz w:val="24"/>
                <w:szCs w:val="24"/>
                <w:highlight w:val="none"/>
              </w:rPr>
              <w:t>投标人报价高于最高限价的作无效标处理。</w:t>
            </w:r>
          </w:p>
          <w:p>
            <w:pPr>
              <w:autoSpaceDE w:val="0"/>
              <w:autoSpaceDN w:val="0"/>
              <w:adjustRightInd w:val="0"/>
              <w:snapToGrid w:val="0"/>
              <w:spacing w:line="360" w:lineRule="auto"/>
              <w:jc w:val="left"/>
              <w:rPr>
                <w:rFonts w:hint="eastAsia" w:ascii="宋体" w:hAnsi="宋体" w:eastAsia="宋体" w:cs="宋体"/>
                <w:b/>
                <w:bCs/>
                <w:color w:val="auto"/>
                <w:sz w:val="24"/>
                <w:szCs w:val="24"/>
                <w:highlight w:val="none"/>
              </w:rPr>
            </w:pPr>
            <w:r>
              <w:rPr>
                <w:rFonts w:hint="eastAsia" w:ascii="宋体" w:hAnsi="宋体" w:eastAsia="宋体" w:cs="宋体"/>
                <w:color w:val="auto"/>
                <w:sz w:val="24"/>
                <w:szCs w:val="24"/>
                <w:highlight w:val="none"/>
              </w:rPr>
              <w:t>评标基准价为满足评标要求且投标价格最低的投标报价，投标报价得分=(基准价／投标报价)×30，四舍五入，保留两位小数。报价高于预算价（最高限价）的，为无效投标文件。</w:t>
            </w:r>
          </w:p>
        </w:tc>
        <w:tc>
          <w:tcPr>
            <w:tcW w:w="1047" w:type="dxa"/>
            <w:tcBorders>
              <w:top w:val="single" w:color="auto" w:sz="4" w:space="0"/>
              <w:left w:val="single" w:color="auto" w:sz="4" w:space="0"/>
              <w:bottom w:val="single" w:color="auto" w:sz="4" w:space="0"/>
              <w:right w:val="single" w:color="auto" w:sz="4" w:space="0"/>
            </w:tcBorders>
            <w:vAlign w:val="center"/>
          </w:tcPr>
          <w:p>
            <w:pPr>
              <w:adjustRightInd w:val="0"/>
              <w:snapToGrid w:val="0"/>
              <w:spacing w:line="360" w:lineRule="auto"/>
              <w:jc w:val="center"/>
              <w:rPr>
                <w:rFonts w:hint="eastAsia" w:ascii="宋体" w:hAnsi="宋体" w:eastAsia="宋体" w:cs="宋体"/>
                <w:color w:val="auto"/>
                <w:sz w:val="24"/>
                <w:szCs w:val="24"/>
                <w:highlight w:val="none"/>
              </w:rPr>
            </w:pPr>
            <w:r>
              <w:rPr>
                <w:rFonts w:hint="eastAsia" w:ascii="宋体" w:hAnsi="宋体" w:eastAsia="宋体" w:cs="宋体"/>
                <w:bCs/>
                <w:color w:val="auto"/>
                <w:sz w:val="24"/>
                <w:szCs w:val="24"/>
                <w:highlight w:val="none"/>
              </w:rPr>
              <w:t>0-30分</w:t>
            </w:r>
          </w:p>
        </w:tc>
      </w:tr>
    </w:tbl>
    <w:p>
      <w:pPr>
        <w:pStyle w:val="2"/>
        <w:rPr>
          <w:rFonts w:hint="eastAsia"/>
          <w:color w:val="auto"/>
          <w:highlight w:val="none"/>
        </w:rPr>
      </w:pPr>
    </w:p>
    <w:p>
      <w:pPr>
        <w:pStyle w:val="54"/>
        <w:spacing w:line="400" w:lineRule="exact"/>
        <w:ind w:firstLine="480" w:firstLineChars="200"/>
        <w:rPr>
          <w:rStyle w:val="607"/>
          <w:rFonts w:hint="eastAsia"/>
          <w:color w:val="auto"/>
          <w:sz w:val="24"/>
          <w:szCs w:val="24"/>
          <w:highlight w:val="none"/>
          <w:lang w:val="zh-TW"/>
        </w:rPr>
      </w:pPr>
      <w:r>
        <w:rPr>
          <w:rStyle w:val="607"/>
          <w:rFonts w:hint="eastAsia"/>
          <w:color w:val="auto"/>
          <w:sz w:val="24"/>
          <w:szCs w:val="24"/>
          <w:highlight w:val="none"/>
        </w:rPr>
        <w:t xml:space="preserve">(1) </w:t>
      </w:r>
      <w:r>
        <w:rPr>
          <w:rStyle w:val="607"/>
          <w:rFonts w:hint="eastAsia"/>
          <w:color w:val="auto"/>
          <w:sz w:val="24"/>
          <w:szCs w:val="24"/>
          <w:highlight w:val="none"/>
          <w:lang w:val="zh-TW" w:eastAsia="zh-TW"/>
        </w:rPr>
        <w:t>评标委员会根据表格，对各投标单位的商务技术标进行书面审核和评论后，由各专家独立</w:t>
      </w:r>
      <w:r>
        <w:rPr>
          <w:rStyle w:val="607"/>
          <w:rFonts w:hint="eastAsia"/>
          <w:color w:val="auto"/>
          <w:sz w:val="24"/>
          <w:szCs w:val="24"/>
          <w:highlight w:val="none"/>
        </w:rPr>
        <w:t>评</w:t>
      </w:r>
      <w:r>
        <w:rPr>
          <w:rStyle w:val="607"/>
          <w:rFonts w:hint="eastAsia"/>
          <w:color w:val="auto"/>
          <w:sz w:val="24"/>
          <w:szCs w:val="24"/>
          <w:highlight w:val="none"/>
          <w:lang w:val="zh-TW" w:eastAsia="zh-TW"/>
        </w:rPr>
        <w:t>分，打分时保留小数</w:t>
      </w:r>
      <w:r>
        <w:rPr>
          <w:rStyle w:val="607"/>
          <w:rFonts w:hint="eastAsia"/>
          <w:color w:val="auto"/>
          <w:sz w:val="24"/>
          <w:szCs w:val="24"/>
          <w:highlight w:val="none"/>
          <w:lang w:val="zh-TW"/>
        </w:rPr>
        <w:t>1</w:t>
      </w:r>
      <w:r>
        <w:rPr>
          <w:rStyle w:val="607"/>
          <w:rFonts w:hint="eastAsia"/>
          <w:color w:val="auto"/>
          <w:sz w:val="24"/>
          <w:szCs w:val="24"/>
          <w:highlight w:val="none"/>
          <w:lang w:val="zh-TW" w:eastAsia="zh-TW"/>
        </w:rPr>
        <w:t>位，每人一份评分表，并签名。在统计得分时，如果发现某一单项评分超过评分细则规定的分值范围，则该张评分表无效。投标人商务技术的最终得分为评标专家组成员的有效评分的算术平均值。计算时保留小数</w:t>
      </w:r>
      <w:r>
        <w:rPr>
          <w:rStyle w:val="607"/>
          <w:rFonts w:hint="eastAsia"/>
          <w:color w:val="auto"/>
          <w:sz w:val="24"/>
          <w:szCs w:val="24"/>
          <w:highlight w:val="none"/>
          <w:lang w:val="zh-TW"/>
        </w:rPr>
        <w:t>2</w:t>
      </w:r>
      <w:r>
        <w:rPr>
          <w:rStyle w:val="607"/>
          <w:rFonts w:hint="eastAsia"/>
          <w:color w:val="auto"/>
          <w:sz w:val="24"/>
          <w:szCs w:val="24"/>
          <w:highlight w:val="none"/>
          <w:lang w:val="zh-TW" w:eastAsia="zh-TW"/>
        </w:rPr>
        <w:t>位</w:t>
      </w:r>
      <w:r>
        <w:rPr>
          <w:rStyle w:val="607"/>
          <w:rFonts w:hint="eastAsia"/>
          <w:color w:val="auto"/>
          <w:sz w:val="24"/>
          <w:szCs w:val="24"/>
          <w:highlight w:val="none"/>
          <w:lang w:val="zh-TW"/>
        </w:rPr>
        <w:t>。</w:t>
      </w:r>
    </w:p>
    <w:p>
      <w:pPr>
        <w:pStyle w:val="54"/>
        <w:spacing w:line="400" w:lineRule="exact"/>
        <w:ind w:firstLine="480" w:firstLineChars="200"/>
        <w:rPr>
          <w:rStyle w:val="607"/>
          <w:rFonts w:hint="eastAsia"/>
          <w:color w:val="auto"/>
          <w:sz w:val="24"/>
          <w:szCs w:val="24"/>
          <w:highlight w:val="none"/>
          <w:lang w:val="zh-TW"/>
        </w:rPr>
      </w:pPr>
      <w:r>
        <w:rPr>
          <w:rStyle w:val="607"/>
          <w:rFonts w:hint="eastAsia"/>
          <w:color w:val="auto"/>
          <w:sz w:val="24"/>
          <w:szCs w:val="24"/>
          <w:highlight w:val="none"/>
          <w:lang w:val="zh-TW"/>
        </w:rPr>
        <w:t>（2）</w:t>
      </w:r>
      <w:r>
        <w:rPr>
          <w:rStyle w:val="607"/>
          <w:rFonts w:hint="eastAsia"/>
          <w:color w:val="auto"/>
          <w:sz w:val="24"/>
          <w:szCs w:val="24"/>
          <w:highlight w:val="none"/>
          <w:lang w:val="zh-TW" w:eastAsia="zh-TW"/>
        </w:rPr>
        <w:t>评标委员会全体人员对评分细则和投标文件，充分讨论后，按少数服从多数的原则集体统一评分。</w:t>
      </w:r>
    </w:p>
    <w:p>
      <w:pPr>
        <w:pStyle w:val="586"/>
        <w:spacing w:line="400" w:lineRule="exact"/>
        <w:ind w:firstLine="480" w:firstLineChars="200"/>
        <w:rPr>
          <w:rStyle w:val="608"/>
          <w:rFonts w:hint="eastAsia" w:ascii="宋体" w:hAnsi="宋体" w:eastAsia="宋体" w:cs="宋体"/>
          <w:b/>
          <w:bCs/>
          <w:color w:val="auto"/>
          <w:szCs w:val="24"/>
          <w:highlight w:val="none"/>
        </w:rPr>
      </w:pPr>
      <w:r>
        <w:rPr>
          <w:rStyle w:val="607"/>
          <w:rFonts w:hint="eastAsia"/>
          <w:color w:val="auto"/>
          <w:szCs w:val="24"/>
          <w:highlight w:val="none"/>
          <w:lang w:val="zh-TW"/>
        </w:rPr>
        <w:t>（3）</w:t>
      </w:r>
      <w:r>
        <w:rPr>
          <w:rStyle w:val="607"/>
          <w:rFonts w:hint="eastAsia"/>
          <w:color w:val="auto"/>
          <w:szCs w:val="24"/>
          <w:highlight w:val="none"/>
          <w:lang w:val="zh-TW" w:eastAsia="zh-TW"/>
        </w:rPr>
        <w:t>分析总报价及各个分项报价是否合理、报价范围是否完整、有否重大错漏项。如评标委员会一致认为最低投标报价或某些分项明显不合理，有降低质量、不能诚信履约的可能时，评标委员会有权通知投标方限期进行解释。如投标方未在规定期限内做出解释，或所作解释不合理，经评标委员会取得一致意见后，可确定该投标为无效报价。</w:t>
      </w:r>
    </w:p>
    <w:p>
      <w:pPr>
        <w:pStyle w:val="54"/>
        <w:spacing w:line="400" w:lineRule="exact"/>
        <w:ind w:firstLine="482" w:firstLineChars="200"/>
        <w:rPr>
          <w:rStyle w:val="608"/>
          <w:rFonts w:hint="eastAsia" w:ascii="宋体" w:hAnsi="宋体" w:eastAsia="宋体" w:cs="宋体"/>
          <w:b/>
          <w:bCs/>
          <w:color w:val="auto"/>
          <w:sz w:val="24"/>
          <w:szCs w:val="24"/>
          <w:highlight w:val="none"/>
          <w:lang w:val="zh-TW" w:eastAsia="zh-TW"/>
        </w:rPr>
      </w:pPr>
      <w:r>
        <w:rPr>
          <w:rStyle w:val="608"/>
          <w:rFonts w:hint="eastAsia" w:ascii="宋体" w:hAnsi="宋体" w:eastAsia="宋体" w:cs="宋体"/>
          <w:b/>
          <w:bCs/>
          <w:color w:val="auto"/>
          <w:sz w:val="24"/>
          <w:szCs w:val="24"/>
          <w:highlight w:val="none"/>
          <w:lang w:val="zh-TW"/>
        </w:rPr>
        <w:t>（</w:t>
      </w:r>
      <w:r>
        <w:rPr>
          <w:rStyle w:val="608"/>
          <w:rFonts w:hint="eastAsia" w:ascii="宋体" w:hAnsi="宋体" w:eastAsia="宋体" w:cs="宋体"/>
          <w:b/>
          <w:bCs/>
          <w:color w:val="auto"/>
          <w:sz w:val="24"/>
          <w:szCs w:val="24"/>
          <w:highlight w:val="none"/>
        </w:rPr>
        <w:t>4</w:t>
      </w:r>
      <w:r>
        <w:rPr>
          <w:rStyle w:val="608"/>
          <w:rFonts w:hint="eastAsia" w:ascii="宋体" w:hAnsi="宋体" w:eastAsia="宋体" w:cs="宋体"/>
          <w:b/>
          <w:bCs/>
          <w:color w:val="auto"/>
          <w:sz w:val="24"/>
          <w:szCs w:val="24"/>
          <w:highlight w:val="none"/>
          <w:lang w:val="zh-TW"/>
        </w:rPr>
        <w:t>）</w:t>
      </w:r>
      <w:r>
        <w:rPr>
          <w:rStyle w:val="608"/>
          <w:rFonts w:hint="eastAsia" w:ascii="宋体" w:hAnsi="宋体" w:eastAsia="宋体" w:cs="宋体"/>
          <w:b/>
          <w:bCs/>
          <w:color w:val="auto"/>
          <w:sz w:val="24"/>
          <w:szCs w:val="24"/>
          <w:highlight w:val="none"/>
          <w:lang w:val="zh-TW" w:eastAsia="zh-TW"/>
        </w:rPr>
        <w:t>评标委员会将推荐综合评分最高的投标者为中标候选人。</w:t>
      </w:r>
    </w:p>
    <w:p>
      <w:pPr>
        <w:pStyle w:val="2"/>
        <w:rPr>
          <w:rFonts w:hint="eastAsia"/>
          <w:color w:val="auto"/>
          <w:highlight w:val="none"/>
          <w:lang w:eastAsia="zh-CN"/>
        </w:rPr>
      </w:pPr>
    </w:p>
    <w:p>
      <w:pPr>
        <w:pStyle w:val="54"/>
        <w:spacing w:line="400" w:lineRule="exact"/>
        <w:ind w:firstLine="482" w:firstLineChars="200"/>
        <w:jc w:val="left"/>
        <w:rPr>
          <w:rStyle w:val="607"/>
          <w:rFonts w:hint="eastAsia"/>
          <w:b/>
          <w:color w:val="auto"/>
          <w:sz w:val="24"/>
          <w:szCs w:val="24"/>
          <w:highlight w:val="none"/>
          <w:lang w:val="zh-CN"/>
        </w:rPr>
      </w:pPr>
      <w:r>
        <w:rPr>
          <w:rStyle w:val="607"/>
          <w:rFonts w:hint="eastAsia"/>
          <w:b/>
          <w:color w:val="auto"/>
          <w:sz w:val="24"/>
          <w:szCs w:val="24"/>
          <w:highlight w:val="none"/>
          <w:lang w:val="zh-CN"/>
        </w:rPr>
        <w:t>六、开评标程序</w:t>
      </w:r>
    </w:p>
    <w:p>
      <w:pPr>
        <w:pStyle w:val="586"/>
        <w:spacing w:line="400" w:lineRule="exact"/>
        <w:ind w:firstLine="480" w:firstLineChars="200"/>
        <w:rPr>
          <w:rStyle w:val="607"/>
          <w:rFonts w:hint="eastAsia"/>
          <w:color w:val="auto"/>
          <w:szCs w:val="24"/>
          <w:highlight w:val="none"/>
          <w:lang w:val="zh-CN"/>
        </w:rPr>
      </w:pPr>
      <w:r>
        <w:rPr>
          <w:rStyle w:val="607"/>
          <w:rFonts w:hint="eastAsia"/>
          <w:color w:val="auto"/>
          <w:szCs w:val="24"/>
          <w:highlight w:val="none"/>
        </w:rPr>
        <w:t>1</w:t>
      </w:r>
      <w:r>
        <w:rPr>
          <w:rStyle w:val="607"/>
          <w:rFonts w:hint="eastAsia" w:eastAsia="宋体"/>
          <w:color w:val="auto"/>
          <w:szCs w:val="24"/>
          <w:highlight w:val="none"/>
          <w:lang w:val="en-US" w:eastAsia="zh-CN"/>
        </w:rPr>
        <w:t>.</w:t>
      </w:r>
      <w:r>
        <w:rPr>
          <w:rStyle w:val="607"/>
          <w:rFonts w:hint="eastAsia"/>
          <w:color w:val="auto"/>
          <w:szCs w:val="24"/>
          <w:highlight w:val="none"/>
          <w:lang w:val="zh-TW"/>
        </w:rPr>
        <w:t>工作人员宣布投标截止时间，截止时间以国家授时中心标准时间为准，宣布招标会议开始。</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rPr>
        <w:t>2</w:t>
      </w:r>
      <w:r>
        <w:rPr>
          <w:rStyle w:val="607"/>
          <w:rFonts w:hint="eastAsia" w:eastAsia="宋体"/>
          <w:color w:val="auto"/>
          <w:szCs w:val="24"/>
          <w:highlight w:val="none"/>
          <w:lang w:val="en-US" w:eastAsia="zh-CN"/>
        </w:rPr>
        <w:t>.</w:t>
      </w:r>
      <w:r>
        <w:rPr>
          <w:rStyle w:val="607"/>
          <w:rFonts w:hint="eastAsia"/>
          <w:color w:val="auto"/>
          <w:szCs w:val="24"/>
          <w:highlight w:val="none"/>
          <w:lang w:val="zh-TW"/>
        </w:rPr>
        <w:t>工作人员确认投标人法定代表人（负责人）或授权委托代理人资格、投标文件递交等情况。</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rPr>
        <w:t>3</w:t>
      </w:r>
      <w:r>
        <w:rPr>
          <w:rStyle w:val="607"/>
          <w:rFonts w:hint="eastAsia" w:eastAsia="宋体"/>
          <w:color w:val="auto"/>
          <w:szCs w:val="24"/>
          <w:highlight w:val="none"/>
          <w:lang w:val="en-US" w:eastAsia="zh-CN"/>
        </w:rPr>
        <w:t>.</w:t>
      </w:r>
      <w:r>
        <w:rPr>
          <w:rStyle w:val="607"/>
          <w:rFonts w:hint="eastAsia"/>
          <w:color w:val="auto"/>
          <w:szCs w:val="24"/>
          <w:highlight w:val="none"/>
          <w:lang w:val="zh-TW"/>
        </w:rPr>
        <w:t>本项目原则上采用政采云电子招投标开标及评审程序，但有下情形之一的，按以下情况处理：</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若投标人的电子投标文件在规定时间内无法解密或解密失败，工作人员将开启该投标人递交的电子备份投标文件，以完成开标。</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rPr>
        <w:t>4</w:t>
      </w:r>
      <w:r>
        <w:rPr>
          <w:rStyle w:val="607"/>
          <w:rFonts w:hint="eastAsia" w:eastAsia="宋体"/>
          <w:color w:val="auto"/>
          <w:szCs w:val="24"/>
          <w:highlight w:val="none"/>
          <w:lang w:val="en-US" w:eastAsia="zh-CN"/>
        </w:rPr>
        <w:t>.</w:t>
      </w:r>
      <w:r>
        <w:rPr>
          <w:rStyle w:val="607"/>
          <w:rFonts w:hint="eastAsia"/>
          <w:color w:val="auto"/>
          <w:szCs w:val="24"/>
          <w:highlight w:val="none"/>
          <w:lang w:val="zh-TW"/>
        </w:rPr>
        <w:t>电子投标开标及评审程序</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（1）投标截止时间后，投标人登录政采云平台，用“项目采购-开标评标”功能对电子投标文件进行在线解密。在线解密电子投标文件时间为开标时间起半个小时内。</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（2）评标委员会对商务技术文件进行评审；</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（3）在系统上商务技术</w:t>
      </w:r>
      <w:r>
        <w:rPr>
          <w:rStyle w:val="607"/>
          <w:rFonts w:hint="eastAsia"/>
          <w:color w:val="auto"/>
          <w:szCs w:val="24"/>
          <w:highlight w:val="none"/>
        </w:rPr>
        <w:t>文件</w:t>
      </w:r>
      <w:r>
        <w:rPr>
          <w:rStyle w:val="607"/>
          <w:rFonts w:hint="eastAsia"/>
          <w:color w:val="auto"/>
          <w:szCs w:val="24"/>
          <w:highlight w:val="none"/>
          <w:lang w:val="zh-TW"/>
        </w:rPr>
        <w:t>评审结果；</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（4）在系统上公开报价开标情况；</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（5）评标委员会对报价情况进行评审；</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（6）在系统上公布评审结果。</w:t>
      </w:r>
    </w:p>
    <w:p>
      <w:pPr>
        <w:pStyle w:val="586"/>
        <w:spacing w:line="400" w:lineRule="exact"/>
        <w:ind w:firstLine="480" w:firstLineChars="200"/>
        <w:rPr>
          <w:rStyle w:val="607"/>
          <w:rFonts w:hint="eastAsia"/>
          <w:color w:val="auto"/>
          <w:szCs w:val="24"/>
          <w:highlight w:val="none"/>
          <w:lang w:val="zh-TW"/>
        </w:rPr>
      </w:pPr>
      <w:r>
        <w:rPr>
          <w:rStyle w:val="607"/>
          <w:rFonts w:hint="eastAsia"/>
          <w:color w:val="auto"/>
          <w:szCs w:val="24"/>
          <w:highlight w:val="none"/>
          <w:lang w:val="zh-TW"/>
        </w:rPr>
        <w:t>特别说明：政采云公司如对电子化开标及评审程序有调整的，按调整后的程序操作。</w:t>
      </w:r>
    </w:p>
    <w:p>
      <w:pPr>
        <w:pStyle w:val="586"/>
        <w:spacing w:line="400" w:lineRule="exact"/>
        <w:ind w:firstLine="480" w:firstLineChars="200"/>
        <w:rPr>
          <w:rFonts w:hint="eastAsia" w:ascii="宋体" w:hAnsi="宋体" w:eastAsia="宋体" w:cs="宋体"/>
          <w:color w:val="auto"/>
          <w:szCs w:val="24"/>
          <w:highlight w:val="none"/>
        </w:rPr>
      </w:pPr>
      <w:r>
        <w:rPr>
          <w:rStyle w:val="607"/>
          <w:rFonts w:hint="eastAsia"/>
          <w:color w:val="auto"/>
          <w:szCs w:val="24"/>
          <w:highlight w:val="none"/>
        </w:rPr>
        <w:t>5</w:t>
      </w:r>
      <w:r>
        <w:rPr>
          <w:rStyle w:val="607"/>
          <w:rFonts w:hint="eastAsia"/>
          <w:color w:val="auto"/>
          <w:szCs w:val="24"/>
          <w:highlight w:val="none"/>
          <w:lang w:val="zh-TW"/>
        </w:rPr>
        <w:t>.开标会结束。</w:t>
      </w:r>
    </w:p>
    <w:sectPr>
      <w:pgSz w:w="11906" w:h="16838"/>
      <w:pgMar w:top="1440" w:right="1440" w:bottom="1440" w:left="1440" w:header="851" w:footer="851" w:gutter="0"/>
      <w:cols w:space="720" w:num="1"/>
      <w:titlePg/>
      <w:docGrid w:linePitch="381"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AFF" w:usb1="C0007841"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00002FF" w:usb1="4000ACFF" w:usb2="00000001" w:usb3="00000000" w:csb0="2000019F" w:csb1="00000000"/>
  </w:font>
  <w:font w:name="等线">
    <w:altName w:val="宋体"/>
    <w:panose1 w:val="02010600030101010101"/>
    <w:charset w:val="86"/>
    <w:family w:val="auto"/>
    <w:pitch w:val="default"/>
    <w:sig w:usb0="00000000" w:usb1="00000000" w:usb2="00000016" w:usb3="00000000" w:csb0="0004000F" w:csb1="00000000"/>
  </w:font>
  <w:font w:name="仿宋_GB2312">
    <w:altName w:val="仿宋"/>
    <w:panose1 w:val="02010609030101010101"/>
    <w:charset w:val="86"/>
    <w:family w:val="modern"/>
    <w:pitch w:val="default"/>
    <w:sig w:usb0="00000000" w:usb1="00000000" w:usb2="00000010" w:usb3="00000000" w:csb0="00040000" w:csb1="00000000"/>
  </w:font>
  <w:font w:name="仿宋">
    <w:panose1 w:val="02010609060101010101"/>
    <w:charset w:val="86"/>
    <w:family w:val="modern"/>
    <w:pitch w:val="default"/>
    <w:sig w:usb0="800002BF" w:usb1="38CF7CFA" w:usb2="00000016" w:usb3="00000000" w:csb0="00040001" w:csb1="00000000"/>
  </w:font>
  <w:font w:name="等线 Light">
    <w:altName w:val="宋体"/>
    <w:panose1 w:val="02010600030101010101"/>
    <w:charset w:val="86"/>
    <w:family w:val="auto"/>
    <w:pitch w:val="default"/>
    <w:sig w:usb0="00000000" w:usb1="00000000" w:usb2="00000016" w:usb3="00000000" w:csb0="0004000F" w:csb1="00000000"/>
  </w:font>
  <w:font w:name="Arial Unicode MS">
    <w:altName w:val="Arial"/>
    <w:panose1 w:val="020B0604020202020204"/>
    <w:charset w:val="00"/>
    <w:family w:val="swiss"/>
    <w:pitch w:val="default"/>
    <w:sig w:usb0="00000000" w:usb1="00000000" w:usb2="0000003F" w:usb3="00000000" w:csb0="603F01FF" w:csb1="FFFF0000"/>
  </w:font>
  <w:font w:name="Microsoft YaHei UI">
    <w:altName w:val="宋体"/>
    <w:panose1 w:val="020B0503020204020204"/>
    <w:charset w:val="86"/>
    <w:family w:val="swiss"/>
    <w:pitch w:val="default"/>
    <w:sig w:usb0="00000000" w:usb1="00000000" w:usb2="00000016" w:usb3="00000000" w:csb0="0004001F" w:csb1="00000000"/>
  </w:font>
  <w:font w:name="Calibri Light">
    <w:panose1 w:val="020F0302020204030204"/>
    <w:charset w:val="00"/>
    <w:family w:val="swiss"/>
    <w:pitch w:val="default"/>
    <w:sig w:usb0="A00002EF" w:usb1="4000207B" w:usb2="00000000" w:usb3="00000000" w:csb0="2000019F" w:csb1="00000000"/>
  </w:font>
  <w:font w:name="楷体_GB2312">
    <w:altName w:val="楷体"/>
    <w:panose1 w:val="00000000000000000000"/>
    <w:charset w:val="00"/>
    <w:family w:val="auto"/>
    <w:pitch w:val="default"/>
    <w:sig w:usb0="00000000" w:usb1="00000000" w:usb2="00000000" w:usb3="00000000" w:csb0="00000000" w:csb1="00000000"/>
  </w:font>
  <w:font w:name="楷体">
    <w:panose1 w:val="02010609060101010101"/>
    <w:charset w:val="86"/>
    <w:family w:val="auto"/>
    <w:pitch w:val="default"/>
    <w:sig w:usb0="800002BF" w:usb1="38CF7CFA" w:usb2="00000016" w:usb3="00000000" w:csb0="00040001" w:csb1="00000000"/>
  </w:font>
  <w:font w:name="方正姚体">
    <w:altName w:val="宋体"/>
    <w:panose1 w:val="02010601030101010101"/>
    <w:charset w:val="86"/>
    <w:family w:val="auto"/>
    <w:pitch w:val="default"/>
    <w:sig w:usb0="00000000" w:usb1="00000000" w:usb2="00000000" w:usb3="00000000" w:csb0="00040000" w:csb1="00000000"/>
  </w:font>
  <w:font w:name="隶书">
    <w:altName w:val="微软雅黑"/>
    <w:panose1 w:val="02010509060101010101"/>
    <w:charset w:val="86"/>
    <w:family w:val="modern"/>
    <w:pitch w:val="default"/>
    <w:sig w:usb0="00000000" w:usb1="0000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HYKai U3HK">
    <w:altName w:val="MingLiU-ExtB"/>
    <w:panose1 w:val="00000000000000000000"/>
    <w:charset w:val="88"/>
    <w:family w:val="modern"/>
    <w:pitch w:val="default"/>
    <w:sig w:usb0="00000000" w:usb1="00000000" w:usb2="00000010" w:usb3="00000000" w:csb0="00100000" w:csb1="00000000"/>
  </w:font>
  <w:font w:name="MingLiU-ExtB">
    <w:panose1 w:val="02020500000000000000"/>
    <w:charset w:val="88"/>
    <w:family w:val="auto"/>
    <w:pitch w:val="default"/>
    <w:sig w:usb0="8000002F" w:usb1="02000008" w:usb2="00000000" w:usb3="00000000" w:csb0="00100001" w:csb1="00000000"/>
  </w:font>
  <w:font w:name="Verdana">
    <w:panose1 w:val="020B0604030504040204"/>
    <w:charset w:val="00"/>
    <w:family w:val="swiss"/>
    <w:pitch w:val="default"/>
    <w:sig w:usb0="A10006FF" w:usb1="4000205B" w:usb2="00000010" w:usb3="00000000" w:csb0="2000019F" w:csb1="00000000"/>
  </w:font>
  <w:font w:name="Tahoma">
    <w:panose1 w:val="020B0604030504040204"/>
    <w:charset w:val="00"/>
    <w:family w:val="swiss"/>
    <w:pitch w:val="default"/>
    <w:sig w:usb0="E1002EFF" w:usb1="C000605B" w:usb2="00000029" w:usb3="00000000" w:csb0="200101FF" w:csb1="20280000"/>
  </w:font>
  <w:font w:name="华文楷体">
    <w:altName w:val="宋体"/>
    <w:panose1 w:val="02010600040101010101"/>
    <w:charset w:val="86"/>
    <w:family w:val="auto"/>
    <w:pitch w:val="default"/>
    <w:sig w:usb0="00000000" w:usb1="00000000" w:usb2="00000000" w:usb3="00000000" w:csb0="0004009F" w:csb1="DFD70000"/>
  </w:font>
  <w:font w:name="华文细黑">
    <w:altName w:val="微软雅黑"/>
    <w:panose1 w:val="02010600040101010101"/>
    <w:charset w:val="86"/>
    <w:family w:val="auto"/>
    <w:pitch w:val="default"/>
    <w:sig w:usb0="00000000" w:usb1="00000000" w:usb2="00000000" w:usb3="00000000" w:csb0="0004009F" w:csb1="DFD70000"/>
  </w:font>
  <w:font w:name="???|CS?o｡ﾀ?">
    <w:altName w:val="MS PGothic"/>
    <w:panose1 w:val="00000000000000000000"/>
    <w:charset w:val="80"/>
    <w:family w:val="modern"/>
    <w:pitch w:val="default"/>
    <w:sig w:usb0="00000000" w:usb1="00000000" w:usb2="00000010" w:usb3="00000000" w:csb0="00020000" w:csb1="00000000"/>
  </w:font>
  <w:font w:name="MS PGothic">
    <w:panose1 w:val="020B0600070205080204"/>
    <w:charset w:val="80"/>
    <w:family w:val="auto"/>
    <w:pitch w:val="default"/>
    <w:sig w:usb0="E00002FF" w:usb1="6AC7FDFB" w:usb2="00000012" w:usb3="00000000" w:csb0="4002009F" w:csb1="DFD70000"/>
  </w:font>
  <w:font w:name="华文仿宋">
    <w:altName w:val="仿宋"/>
    <w:panose1 w:val="02010600040101010101"/>
    <w:charset w:val="86"/>
    <w:family w:val="auto"/>
    <w:pitch w:val="default"/>
    <w:sig w:usb0="00000000" w:usb1="00000000" w:usb2="00000000" w:usb3="00000000" w:csb0="0004009F" w:csb1="DFD70000"/>
  </w:font>
  <w:font w:name="ヒラギノ角ゴ Pro W3">
    <w:altName w:val="MS Gothic"/>
    <w:panose1 w:val="00000000000000000000"/>
    <w:charset w:val="00"/>
    <w:family w:val="roman"/>
    <w:pitch w:val="default"/>
    <w:sig w:usb0="00000000" w:usb1="00000000" w:usb2="00000000" w:usb3="00000000" w:csb0="00040001" w:csb1="00000000"/>
  </w:font>
  <w:font w:name="MS Gothic">
    <w:panose1 w:val="020B0609070205080204"/>
    <w:charset w:val="80"/>
    <w:family w:val="auto"/>
    <w:pitch w:val="default"/>
    <w:sig w:usb0="E00002FF" w:usb1="6AC7FDFB" w:usb2="00000012" w:usb3="00000000" w:csb0="4002009F" w:csb1="DFD70000"/>
  </w:font>
  <w:font w:name="??_GB2312">
    <w:altName w:val="Times New Roman"/>
    <w:panose1 w:val="00000000000000000000"/>
    <w:charset w:val="00"/>
    <w:family w:val="roman"/>
    <w:pitch w:val="default"/>
    <w:sig w:usb0="00000000" w:usb1="00000000" w:usb2="00000000" w:usb3="00000000" w:csb0="00000001" w:csb1="00000000"/>
  </w:font>
  <w:font w:name="Arial">
    <w:panose1 w:val="020B0604020202020204"/>
    <w:charset w:val="00"/>
    <w:family w:val="auto"/>
    <w:pitch w:val="default"/>
    <w:sig w:usb0="E0002AFF" w:usb1="C0007843" w:usb2="00000009" w:usb3="00000000" w:csb0="400001FF" w:csb1="FFFF0000"/>
  </w:font>
  <w:font w:name="Arial Unicode MS">
    <w:altName w:val="宋体"/>
    <w:panose1 w:val="020B0604020202020204"/>
    <w:charset w:val="86"/>
    <w:family w:val="auto"/>
    <w:pitch w:val="default"/>
    <w:sig w:usb0="00000000" w:usb1="00000000" w:usb2="0000003F" w:usb3="00000000" w:csb0="603F01FF" w:csb1="FFFF0000"/>
  </w:font>
  <w:font w:name="楷体_GB2312">
    <w:altName w:val="楷体"/>
    <w:panose1 w:val="02010609030101010101"/>
    <w:charset w:val="86"/>
    <w:family w:val="modern"/>
    <w:pitch w:val="default"/>
    <w:sig w:usb0="00000000" w:usb1="00000000" w:usb2="00000000" w:usb3="00000000" w:csb0="00040000" w:csb1="00000000"/>
  </w:font>
  <w:font w:name="ヒラギノ角ゴ Pro W3">
    <w:altName w:val="MS Gothic"/>
    <w:panose1 w:val="00000000000000000000"/>
    <w:charset w:val="80"/>
    <w:family w:val="auto"/>
    <w:pitch w:val="default"/>
    <w:sig w:usb0="00000000" w:usb1="00000000" w:usb2="00000012" w:usb3="00000000" w:csb0="0002000D" w:csb1="00000000"/>
  </w:font>
  <w:font w:name="Wingdings 2">
    <w:altName w:val="Wingdings"/>
    <w:panose1 w:val="05020102010507070707"/>
    <w:charset w:val="00"/>
    <w:family w:val="auto"/>
    <w:pitch w:val="default"/>
    <w:sig w:usb0="00000000" w:usb1="00000000" w:usb2="00000000" w:usb3="00000000" w:csb0="80000000" w:csb1="00000000"/>
  </w:font>
  <w:font w:name="Wingdings">
    <w:panose1 w:val="05000000000000000000"/>
    <w:charset w:val="00"/>
    <w:family w:val="auto"/>
    <w:pitch w:val="default"/>
    <w:sig w:usb0="00000000" w:usb1="00000000" w:usb2="00000000" w:usb3="00000000" w:csb0="80000000" w:csb1="00000000"/>
  </w:font>
  <w:font w:name="Courier New">
    <w:panose1 w:val="02070309020205020404"/>
    <w:charset w:val="00"/>
    <w:family w:val="modern"/>
    <w:pitch w:val="default"/>
    <w:sig w:usb0="E0002AFF" w:usb1="C0007843" w:usb2="00000009" w:usb3="00000000" w:csb0="400001FF" w:csb1="FFFF0000"/>
  </w:font>
  <w:font w:name="Arial (W1)">
    <w:altName w:val="Arial"/>
    <w:panose1 w:val="00000000000000000000"/>
    <w:charset w:val="00"/>
    <w:family w:val="swiss"/>
    <w:pitch w:val="default"/>
    <w:sig w:usb0="00000000" w:usb1="00000000" w:usb2="00000008" w:usb3="00000000" w:csb0="000001FF" w:csb1="00000000"/>
  </w:font>
  <w:font w:name="Garamond">
    <w:altName w:val="PMingLiU"/>
    <w:panose1 w:val="02020404030301010803"/>
    <w:charset w:val="00"/>
    <w:family w:val="roman"/>
    <w:pitch w:val="default"/>
    <w:sig w:usb0="00000000" w:usb1="00000000" w:usb2="00000000" w:usb3="00000000" w:csb0="0000009F" w:csb1="DFD70000"/>
  </w:font>
  <w:font w:name="Book Antiqua">
    <w:altName w:val="Segoe Print"/>
    <w:panose1 w:val="02040602050305030304"/>
    <w:charset w:val="00"/>
    <w:family w:val="roman"/>
    <w:pitch w:val="default"/>
    <w:sig w:usb0="00000000" w:usb1="00000000" w:usb2="00000000" w:usb3="00000000" w:csb0="2000009F" w:csb1="DFD70000"/>
  </w:font>
  <w:font w:name="FuturaA Bk BT">
    <w:altName w:val="Arial"/>
    <w:panose1 w:val="00000000000000000000"/>
    <w:charset w:val="00"/>
    <w:family w:val="swiss"/>
    <w:pitch w:val="default"/>
    <w:sig w:usb0="00000000" w:usb1="00000000" w:usb2="00000000" w:usb3="00000000" w:csb0="0000001B" w:csb1="00000000"/>
  </w:font>
  <w:font w:name="Univers">
    <w:altName w:val="Malgun Gothic"/>
    <w:panose1 w:val="00000000000000000000"/>
    <w:charset w:val="00"/>
    <w:family w:val="swiss"/>
    <w:pitch w:val="default"/>
    <w:sig w:usb0="00000000" w:usb1="00000000" w:usb2="00000000" w:usb3="00000000" w:csb0="0000000F" w:csb1="00000000"/>
  </w:font>
  <w:font w:name="方正艺黑简体">
    <w:altName w:val="黑体"/>
    <w:panose1 w:val="03000509000000000000"/>
    <w:charset w:val="86"/>
    <w:family w:val="script"/>
    <w:pitch w:val="default"/>
    <w:sig w:usb0="00000000" w:usb1="00000000" w:usb2="00000000" w:usb3="00000000" w:csb0="00040000" w:csb1="00000000"/>
  </w:font>
  <w:font w:name="新宋体">
    <w:panose1 w:val="02010609030101010101"/>
    <w:charset w:val="86"/>
    <w:family w:val="modern"/>
    <w:pitch w:val="default"/>
    <w:sig w:usb0="00000003" w:usb1="288F0000" w:usb2="00000006" w:usb3="00000000" w:csb0="00040001" w:csb1="00000000"/>
  </w:font>
  <w:font w:name="方正美黑简体">
    <w:altName w:val="黑体"/>
    <w:panose1 w:val="00000000000000000000"/>
    <w:charset w:val="86"/>
    <w:family w:val="script"/>
    <w:pitch w:val="default"/>
    <w:sig w:usb0="00000000" w:usb1="00000000" w:usb2="00000010" w:usb3="00000000" w:csb0="00040000" w:csb1="00000000"/>
  </w:font>
  <w:font w:name="ˎ̥">
    <w:altName w:val="Times New Roman"/>
    <w:panose1 w:val="00000000000000000000"/>
    <w:charset w:val="00"/>
    <w:family w:val="roman"/>
    <w:pitch w:val="default"/>
    <w:sig w:usb0="00000000" w:usb1="00000000" w:usb2="00000000" w:usb3="00000000" w:csb0="00040001" w:csb1="00000000"/>
  </w:font>
  <w:font w:name="方正小标宋简体">
    <w:altName w:val="微软雅黑"/>
    <w:panose1 w:val="02010601030101010101"/>
    <w:charset w:val="86"/>
    <w:family w:val="script"/>
    <w:pitch w:val="default"/>
    <w:sig w:usb0="00000000" w:usb1="00000000" w:usb2="00000000" w:usb3="00000000" w:csb0="00040000" w:csb1="00000000"/>
  </w:font>
  <w:font w:name="Wingdings 2">
    <w:altName w:val="Wingdings"/>
    <w:panose1 w:val="05020102010507070707"/>
    <w:charset w:val="02"/>
    <w:family w:val="auto"/>
    <w:pitch w:val="default"/>
    <w:sig w:usb0="00000000" w:usb1="00000000" w:usb2="00000000" w:usb3="00000000" w:csb0="80000000" w:csb1="00000000"/>
  </w:font>
  <w:font w:name="PMingLiU">
    <w:panose1 w:val="02020500000000000000"/>
    <w:charset w:val="88"/>
    <w:family w:val="auto"/>
    <w:pitch w:val="default"/>
    <w:sig w:usb0="A00002FF" w:usb1="28CFFCFA" w:usb2="00000016" w:usb3="00000000" w:csb0="00100001" w:csb1="00000000"/>
  </w:font>
  <w:font w:name="Segoe Print">
    <w:panose1 w:val="02000600000000000000"/>
    <w:charset w:val="00"/>
    <w:family w:val="auto"/>
    <w:pitch w:val="default"/>
    <w:sig w:usb0="0000028F" w:usb1="00000000" w:usb2="00000000" w:usb3="00000000" w:csb0="2000009F" w:csb1="47010000"/>
  </w:font>
  <w:font w:name="Malgun Gothic">
    <w:panose1 w:val="020B0503020000020004"/>
    <w:charset w:val="81"/>
    <w:family w:val="auto"/>
    <w:pitch w:val="default"/>
    <w:sig w:usb0="900002AF" w:usb1="01D77CFB" w:usb2="00000012" w:usb3="00000000" w:csb0="00080001" w:csb1="00000000"/>
  </w:font>
  <w:font w:name="MS UI Gothic">
    <w:panose1 w:val="020B0600070205080204"/>
    <w:charset w:val="80"/>
    <w:family w:val="swiss"/>
    <w:pitch w:val="default"/>
    <w:sig w:usb0="E00002FF" w:usb1="6AC7FDFB" w:usb2="00000012" w:usb3="00000000" w:csb0="4002009F" w:csb1="DFD70000"/>
  </w:font>
  <w:font w:name="Helvetica Neue">
    <w:altName w:val="Times New Roman"/>
    <w:panose1 w:val="02000503000000020004"/>
    <w:charset w:val="00"/>
    <w:family w:val="auto"/>
    <w:pitch w:val="default"/>
    <w:sig w:usb0="00000000" w:usb1="00000000" w:usb2="00000010" w:usb3="00000000" w:csb0="00000000" w:csb1="00000000"/>
  </w:font>
  <w:font w:name="@幼圆">
    <w:altName w:val="宋体"/>
    <w:panose1 w:val="02010509060101010101"/>
    <w:charset w:val="86"/>
    <w:family w:val="modern"/>
    <w:pitch w:val="default"/>
    <w:sig w:usb0="00000000" w:usb1="00000000" w:usb2="00000000" w:usb3="00000000" w:csb0="00040000" w:csb1="00000000"/>
  </w:font>
  <w:font w:name="serif">
    <w:altName w:val="Segoe Print"/>
    <w:panose1 w:val="00000000000000000000"/>
    <w:charset w:val="00"/>
    <w:family w:val="auto"/>
    <w:pitch w:val="default"/>
    <w:sig w:usb0="00000000" w:usb1="00000000" w:usb2="00000000" w:usb3="00000000" w:csb0="00000001" w:csb1="00000000"/>
  </w:font>
  <w:font w:name="MingLiU">
    <w:panose1 w:val="02020509000000000000"/>
    <w:charset w:val="88"/>
    <w:family w:val="auto"/>
    <w:pitch w:val="default"/>
    <w:sig w:usb0="A00002FF" w:usb1="28CFFCFA" w:usb2="00000016" w:usb3="00000000" w:csb0="00100001" w:csb1="00000000"/>
  </w:font>
  <w:font w:name="MS Mincho">
    <w:panose1 w:val="02020609040205080304"/>
    <w:charset w:val="80"/>
    <w:family w:val="auto"/>
    <w:pitch w:val="default"/>
    <w:sig w:usb0="E00002FF" w:usb1="6AC7FDFB" w:usb2="00000012" w:usb3="00000000" w:csb0="4002009F" w:csb1="DFD70000"/>
  </w:font>
  <w:font w:name="_x000B__x000C_">
    <w:altName w:val="Times New Roman"/>
    <w:panose1 w:val="00000000000000000000"/>
    <w:charset w:val="00"/>
    <w:family w:val="roman"/>
    <w:pitch w:val="default"/>
    <w:sig w:usb0="00000000" w:usb1="00000000" w:usb2="00000000" w:usb3="00000000" w:csb0="00040001" w:csb1="00000000"/>
  </w:font>
  <w:font w:name="Plotter">
    <w:altName w:val="Tahoma"/>
    <w:panose1 w:val="00000000000000000000"/>
    <w:charset w:val="00"/>
    <w:family w:val="decorative"/>
    <w:pitch w:val="default"/>
    <w:sig w:usb0="00000000" w:usb1="00000000" w:usb2="81608000" w:usb3="00000000" w:csb0="816376A8" w:csb1="BFF7D17E"/>
  </w:font>
  <w:font w:name="Helvetica">
    <w:altName w:val="Arial"/>
    <w:panose1 w:val="020B0604020202020204"/>
    <w:charset w:val="00"/>
    <w:family w:val="swiss"/>
    <w:pitch w:val="default"/>
    <w:sig w:usb0="00000000" w:usb1="00000000" w:usb2="00000000" w:usb3="00000000" w:csb0="00000001" w:csb1="00000000"/>
  </w:font>
  <w:font w:name="Arial Narrow">
    <w:altName w:val="Arial"/>
    <w:panose1 w:val="020B0606020202030204"/>
    <w:charset w:val="00"/>
    <w:family w:val="swiss"/>
    <w:pitch w:val="default"/>
    <w:sig w:usb0="00000000" w:usb1="00000000" w:usb2="00000000" w:usb3="00000000" w:csb0="2000009F" w:csb1="DFD70000"/>
  </w:font>
  <w:font w:name="中圆体">
    <w:altName w:val="宋体"/>
    <w:panose1 w:val="00000000000000000000"/>
    <w:charset w:val="86"/>
    <w:family w:val="modern"/>
    <w:pitch w:val="default"/>
    <w:sig w:usb0="00000000" w:usb1="00000000" w:usb2="00000010" w:usb3="00000000" w:csb0="00040000" w:csb1="00000000"/>
  </w:font>
  <w:font w:name="Trebuchet MS">
    <w:panose1 w:val="020B0603020202020204"/>
    <w:charset w:val="00"/>
    <w:family w:val="auto"/>
    <w:pitch w:val="default"/>
    <w:sig w:usb0="00000287" w:usb1="00000003" w:usb2="00000000" w:usb3="00000000" w:csb0="2000009F" w:csb1="00000000"/>
  </w:font>
  <w:font w:name="System">
    <w:altName w:val="宋体"/>
    <w:panose1 w:val="00000000000000000000"/>
    <w:charset w:val="86"/>
    <w:family w:val="auto"/>
    <w:pitch w:val="default"/>
    <w:sig w:usb0="00000000" w:usb1="00000000" w:usb2="00000010" w:usb3="00000000" w:csb0="00040000" w:csb1="00000000"/>
  </w:font>
  <w:font w:name="Arial MT">
    <w:altName w:val="Arial"/>
    <w:panose1 w:val="00000000000000000000"/>
    <w:charset w:val="00"/>
    <w:family w:val="swiss"/>
    <w:pitch w:val="default"/>
    <w:sig w:usb0="00000000" w:usb1="00000000" w:usb2="00000000" w:usb3="00000000" w:csb0="00000001" w:csb1="00000000"/>
  </w:font>
  <w:font w:name="Century">
    <w:altName w:val="Nyala"/>
    <w:panose1 w:val="02040604050505020304"/>
    <w:charset w:val="00"/>
    <w:family w:val="roman"/>
    <w:pitch w:val="default"/>
    <w:sig w:usb0="00000000" w:usb1="00000000" w:usb2="00000000" w:usb3="00000000" w:csb0="2000009F" w:csb1="DFD70000"/>
  </w:font>
  <w:font w:name="Yu Gothic UI">
    <w:altName w:val="Meiryo UI"/>
    <w:panose1 w:val="020B0500000000000000"/>
    <w:charset w:val="80"/>
    <w:family w:val="auto"/>
    <w:pitch w:val="default"/>
    <w:sig w:usb0="00000000" w:usb1="00000000" w:usb2="00000016" w:usb3="00000000" w:csb0="2002009F" w:csb1="00000000"/>
  </w:font>
  <w:font w:name="B Frutiger Bold">
    <w:altName w:val="Arial"/>
    <w:panose1 w:val="00000000000000000000"/>
    <w:charset w:val="00"/>
    <w:family w:val="swiss"/>
    <w:pitch w:val="default"/>
    <w:sig w:usb0="00000000" w:usb1="00000000" w:usb2="00000000" w:usb3="00000000" w:csb0="00000001" w:csb1="00000000"/>
  </w:font>
  <w:font w:name="华文中宋">
    <w:altName w:val="宋体"/>
    <w:panose1 w:val="02010600040101010101"/>
    <w:charset w:val="86"/>
    <w:family w:val="auto"/>
    <w:pitch w:val="default"/>
    <w:sig w:usb0="00000000" w:usb1="00000000" w:usb2="00000000" w:usb3="00000000" w:csb0="0004009F" w:csb1="DFD70000"/>
  </w:font>
  <w:font w:name="Nyala">
    <w:panose1 w:val="02000504070300020003"/>
    <w:charset w:val="00"/>
    <w:family w:val="auto"/>
    <w:pitch w:val="default"/>
    <w:sig w:usb0="A000006F" w:usb1="00000000" w:usb2="00000800" w:usb3="00000000" w:csb0="00000093" w:csb1="00000000"/>
  </w:font>
  <w:font w:name="Meiryo UI">
    <w:panose1 w:val="020B0604030504040204"/>
    <w:charset w:val="80"/>
    <w:family w:val="auto"/>
    <w:pitch w:val="default"/>
    <w:sig w:usb0="E10102FF" w:usb1="EAC7FFFF" w:usb2="00010012" w:usb3="00000000" w:csb0="6002009F" w:csb1="DFD70000"/>
  </w:font>
  <w:font w:name="仿宋_GB2312">
    <w:altName w:val="仿宋"/>
    <w:panose1 w:val="00000000000000000000"/>
    <w:charset w:val="00"/>
    <w:family w:val="auto"/>
    <w:pitch w:val="default"/>
    <w:sig w:usb0="00000000" w:usb1="00000000" w:usb2="00000000" w:usb3="00000000" w:csb0="00000000" w:csb1="00000000"/>
  </w:font>
  <w:font w:name="AdobeFangsongStd-Regular">
    <w:altName w:val="Times New Roman"/>
    <w:panose1 w:val="00000000000000000000"/>
    <w:charset w:val="00"/>
    <w:family w:val="roman"/>
    <w:pitch w:val="default"/>
    <w:sig w:usb0="00000000" w:usb1="00000000" w:usb2="00000000" w:usb3="00000000" w:csb0="00000001" w:csb1="00000000"/>
  </w:font>
  <w:font w:name="Segoe UI Emoji">
    <w:altName w:val="Segoe UI"/>
    <w:panose1 w:val="00000000000000000000"/>
    <w:charset w:val="00"/>
    <w:family w:val="swiss"/>
    <w:pitch w:val="default"/>
    <w:sig w:usb0="00000000" w:usb1="00000000" w:usb2="00000000" w:usb3="00000000" w:csb0="00000001" w:csb1="00000000"/>
  </w:font>
  <w:font w:name="Segoe UI">
    <w:panose1 w:val="020B0502040204020203"/>
    <w:charset w:val="00"/>
    <w:family w:val="auto"/>
    <w:pitch w:val="default"/>
    <w:sig w:usb0="E10022FF" w:usb1="C000E47F" w:usb2="00000029" w:usb3="00000000" w:csb0="200001DF" w:csb1="20000000"/>
  </w:font>
  <w:font w:name="长城仿宋">
    <w:altName w:val="黑体"/>
    <w:panose1 w:val="00000000000000000000"/>
    <w:charset w:val="86"/>
    <w:family w:val="modern"/>
    <w:pitch w:val="default"/>
    <w:sig w:usb0="00000000" w:usb1="00000000" w:usb2="00000010" w:usb3="00000000" w:csb0="00040000" w:csb1="00000000"/>
  </w:font>
  <w:font w:name="??">
    <w:altName w:val="Segoe Print"/>
    <w:panose1 w:val="00000000000000000000"/>
    <w:charset w:val="00"/>
    <w:family w:val="roman"/>
    <w:pitch w:val="default"/>
    <w:sig w:usb0="00000000" w:usb1="00000000" w:usb2="00000000" w:usb3="00000000" w:csb0="00000001" w:csb1="00000000"/>
  </w:font>
  <w:font w:name="monospace">
    <w:altName w:val="Segoe Print"/>
    <w:panose1 w:val="00000000000000000000"/>
    <w:charset w:val="00"/>
    <w:family w:val="auto"/>
    <w:pitch w:val="default"/>
    <w:sig w:usb0="00000000" w:usb1="00000000" w:usb2="00000000" w:usb3="00000000" w:csb0="00040001" w:csb1="00000000"/>
  </w:font>
  <w:font w:name="华文新魏">
    <w:altName w:val="宋体"/>
    <w:panose1 w:val="02010800040101010101"/>
    <w:charset w:val="86"/>
    <w:family w:val="auto"/>
    <w:pitch w:val="default"/>
    <w:sig w:usb0="00000000" w:usb1="00000000" w:usb2="00000000" w:usb3="00000000" w:csb0="00040000" w:csb1="00000000"/>
  </w:font>
  <w:font w:name="MingLiU_HKSCS">
    <w:panose1 w:val="02020500000000000000"/>
    <w:charset w:val="88"/>
    <w:family w:val="roman"/>
    <w:pitch w:val="default"/>
    <w:sig w:usb0="A00002FF" w:usb1="38CFFCFA" w:usb2="00000016" w:usb3="00000000" w:csb0="00100001" w:csb1="00000000"/>
  </w:font>
  <w:font w:name="金山简魏碑">
    <w:altName w:val="宋体"/>
    <w:panose1 w:val="00000000000000000000"/>
    <w:charset w:val="86"/>
    <w:family w:val="modern"/>
    <w:pitch w:val="default"/>
    <w:sig w:usb0="00000000" w:usb1="00000000" w:usb2="00000010" w:usb3="00000000" w:csb0="00040000" w:csb1="00000000"/>
  </w:font>
  <w:font w:name="Arial Unicode MS">
    <w:altName w:val="Arial"/>
    <w:panose1 w:val="020B0604020202020204"/>
    <w:charset w:val="80"/>
    <w:family w:val="swiss"/>
    <w:pitch w:val="default"/>
    <w:sig w:usb0="00000000" w:usb1="00000000" w:usb2="0000003F" w:usb3="00000000" w:csb0="603F01FF" w:csb1="FFFF0000"/>
  </w:font>
  <w:font w:name="方正黑体_GBK">
    <w:altName w:val="微软雅黑"/>
    <w:panose1 w:val="02000000000000000000"/>
    <w:charset w:val="86"/>
    <w:family w:val="auto"/>
    <w:pitch w:val="default"/>
    <w:sig w:usb0="00000000" w:usb1="00000000" w:usb2="00000000" w:usb3="00000000" w:csb0="00040000" w:csb1="00000000"/>
  </w:font>
  <w:font w:name="Arial">
    <w:panose1 w:val="020B0604020202020204"/>
    <w:charset w:val="80"/>
    <w:family w:val="swiss"/>
    <w:pitch w:val="default"/>
    <w:sig w:usb0="E0002AFF" w:usb1="C0007843" w:usb2="00000009" w:usb3="00000000" w:csb0="400001FF" w:csb1="FFFF0000"/>
  </w:font>
  <w:font w:name="Corbel">
    <w:panose1 w:val="020B0503020204020204"/>
    <w:charset w:val="00"/>
    <w:family w:val="auto"/>
    <w:pitch w:val="default"/>
    <w:sig w:usb0="A00002EF" w:usb1="4000A44B" w:usb2="00000000" w:usb3="00000000" w:csb0="2000019F" w:csb1="00000000"/>
  </w:font>
  <w:font w:name="Malgun Gothic">
    <w:panose1 w:val="020B0503020000020004"/>
    <w:charset w:val="86"/>
    <w:family w:val="auto"/>
    <w:pitch w:val="default"/>
    <w:sig w:usb0="900002AF" w:usb1="01D77CFB" w:usb2="00000012" w:usb3="00000000" w:csb0="00080001" w:csb1="00000000"/>
  </w:font>
  <w:font w:name="RomanS">
    <w:altName w:val="Vrinda"/>
    <w:panose1 w:val="02000400000000000000"/>
    <w:charset w:val="00"/>
    <w:family w:val="auto"/>
    <w:pitch w:val="default"/>
    <w:sig w:usb0="00000000" w:usb1="00000000" w:usb2="00000000" w:usb3="00000000" w:csb0="000001FF" w:csb1="00000000"/>
  </w:font>
  <w:font w:name="Vrinda">
    <w:panose1 w:val="020B0502040204020203"/>
    <w:charset w:val="00"/>
    <w:family w:val="auto"/>
    <w:pitch w:val="default"/>
    <w:sig w:usb0="00010003" w:usb1="00000000" w:usb2="00000000" w:usb3="00000000" w:csb0="00000001" w:csb1="00000000"/>
  </w:font>
  <w:font w:name="CIDFont+F2">
    <w:altName w:val="宋体"/>
    <w:panose1 w:val="00000000000000000000"/>
    <w:charset w:val="86"/>
    <w:family w:val="auto"/>
    <w:pitch w:val="default"/>
    <w:sig w:usb0="00000000" w:usb1="00000000" w:usb2="00000000" w:usb3="00000000" w:csb0="00040000" w:csb1="00000000"/>
  </w:font>
  <w:font w:name="CIDFont+F4">
    <w:altName w:val="宋体"/>
    <w:panose1 w:val="00000000000000000000"/>
    <w:charset w:val="86"/>
    <w:family w:val="auto"/>
    <w:pitch w:val="default"/>
    <w:sig w:usb0="00000000" w:usb1="00000000" w:usb2="00000000" w:usb3="00000000" w:csb0="00040000" w:csb1="00000000"/>
  </w:font>
  <w:font w:name="Adobe 仿宋 Std R">
    <w:altName w:val="仿宋"/>
    <w:panose1 w:val="02020400000000000000"/>
    <w:charset w:val="86"/>
    <w:family w:val="roman"/>
    <w:pitch w:val="default"/>
    <w:sig w:usb0="00000000" w:usb1="00000000" w:usb2="00000016" w:usb3="00000000" w:csb0="00060007" w:csb1="00000000"/>
  </w:font>
  <w:font w:name="Adobe 明體 Std L">
    <w:altName w:val="PMingLiU-ExtB"/>
    <w:panose1 w:val="02020300000000000000"/>
    <w:charset w:val="88"/>
    <w:family w:val="auto"/>
    <w:pitch w:val="default"/>
    <w:sig w:usb0="00000000" w:usb1="00000000" w:usb2="00000016" w:usb3="00000000" w:csb0="00120005" w:csb1="00000000"/>
  </w:font>
  <w:font w:name="HakusyuSousyo_kk">
    <w:altName w:val="MS UI Gothic"/>
    <w:panose1 w:val="02000609000000000000"/>
    <w:charset w:val="80"/>
    <w:family w:val="auto"/>
    <w:pitch w:val="default"/>
    <w:sig w:usb0="00000000" w:usb1="00000000" w:usb2="00000010" w:usb3="00000000" w:csb0="4002009F" w:csb1="DFD70000"/>
  </w:font>
  <w:font w:name="PMingLiU-ExtB">
    <w:panose1 w:val="02020500000000000000"/>
    <w:charset w:val="88"/>
    <w:family w:val="auto"/>
    <w:pitch w:val="default"/>
    <w:sig w:usb0="8000002F" w:usb1="02000008" w:usb2="00000000" w:usb3="00000000" w:csb0="00100001" w:csb1="00000000"/>
  </w:font>
  <w:font w:name="Cambria Math">
    <w:panose1 w:val="02040503050406030204"/>
    <w:charset w:val="00"/>
    <w:family w:val="auto"/>
    <w:pitch w:val="default"/>
    <w:sig w:usb0="E00002FF" w:usb1="420024FF" w:usb2="00000000" w:usb3="00000000" w:csb0="2000019F" w:csb1="00000000"/>
  </w:font>
  <w:font w:name="HP Simplified Hans Light">
    <w:altName w:val="宋体"/>
    <w:panose1 w:val="00000000000000000000"/>
    <w:charset w:val="86"/>
    <w:family w:val="swiss"/>
    <w:pitch w:val="default"/>
    <w:sig w:usb0="00000000" w:usb1="00000000" w:usb2="00000010" w:usb3="00000000" w:csb0="00040000" w:csb1="00000000"/>
  </w:font>
  <w:font w:name="文鼎小标宋简">
    <w:altName w:val="Times New Roman"/>
    <w:panose1 w:val="02020603050405020304"/>
    <w:charset w:val="00"/>
    <w:family w:val="roman"/>
    <w:pitch w:val="default"/>
    <w:sig w:usb0="00000000" w:usb1="00000000" w:usb2="00000000" w:usb3="00000000" w:csb0="000001FF" w:csb1="00000000"/>
  </w:font>
  <w:font w:name="font-weight : 700">
    <w:altName w:val="微软雅黑"/>
    <w:panose1 w:val="00000000000000000000"/>
    <w:charset w:val="00"/>
    <w:family w:val="auto"/>
    <w:pitch w:val="default"/>
    <w:sig w:usb0="00000000" w:usb1="00000000" w:usb2="00000000" w:usb3="00000000" w:csb0="00040001" w:csb1="00000000"/>
  </w:font>
  <w:font w:name="Georgia">
    <w:panose1 w:val="02040502050405020303"/>
    <w:charset w:val="00"/>
    <w:family w:val="roman"/>
    <w:pitch w:val="default"/>
    <w:sig w:usb0="00000287" w:usb1="00000000" w:usb2="00000000" w:usb3="00000000" w:csb0="2000009F" w:csb1="00000000"/>
  </w:font>
  <w:font w:name="KaiTi_GB2312">
    <w:altName w:val="楷体"/>
    <w:panose1 w:val="02010609060101010101"/>
    <w:charset w:val="86"/>
    <w:family w:val="modern"/>
    <w:pitch w:val="default"/>
    <w:sig w:usb0="00000000" w:usb1="00000000" w:usb2="00000016" w:usb3="00000000" w:csb0="00040001" w:csb1="00000000"/>
  </w:font>
  <w:font w:name="等线">
    <w:altName w:val="微软雅黑"/>
    <w:panose1 w:val="02010600030101010101"/>
    <w:charset w:val="00"/>
    <w:family w:val="auto"/>
    <w:pitch w:val="default"/>
    <w:sig w:usb0="00000000" w:usb1="00000000" w:usb2="00000016" w:usb3="00000000" w:csb0="0004000F" w:csb1="00000000"/>
  </w:font>
  <w:font w:name="FangSong_GB2312">
    <w:altName w:val="仿宋"/>
    <w:panose1 w:val="02010609030101010101"/>
    <w:charset w:val="86"/>
    <w:family w:val="roman"/>
    <w:pitch w:val="default"/>
    <w:sig w:usb0="00000000" w:usb1="00000000" w:usb2="00000000" w:usb3="00000000" w:csb0="00040000" w:csb1="00000000"/>
  </w:font>
  <w:font w:name="方正书宋简体">
    <w:altName w:val="宋体"/>
    <w:panose1 w:val="00000000000000000000"/>
    <w:charset w:val="86"/>
    <w:family w:val="auto"/>
    <w:pitch w:val="default"/>
    <w:sig w:usb0="00000000" w:usb1="00000000" w:usb2="00000010" w:usb3="00000000" w:csb0="00040000" w:csb1="00000000"/>
  </w:font>
  <w:font w:name="Courier">
    <w:altName w:val="Courier New"/>
    <w:panose1 w:val="02070409020205020404"/>
    <w:charset w:val="00"/>
    <w:family w:val="modern"/>
    <w:pitch w:val="default"/>
    <w:sig w:usb0="00000000" w:usb1="00000000" w:usb2="00000000" w:usb3="00000000" w:csb0="00000001" w:csb1="00000000"/>
  </w:font>
  <w:font w:name="方正仿宋简体">
    <w:altName w:val="微软雅黑"/>
    <w:panose1 w:val="02010601030101010101"/>
    <w:charset w:val="86"/>
    <w:family w:val="auto"/>
    <w:pitch w:val="default"/>
    <w:sig w:usb0="00000000" w:usb1="00000000" w:usb2="00000010" w:usb3="00000000" w:csb0="00040000" w:csb1="00000000"/>
  </w:font>
  <w:font w:name="方正粗黑宋简体">
    <w:panose1 w:val="02000000000000000000"/>
    <w:charset w:val="86"/>
    <w:family w:val="auto"/>
    <w:pitch w:val="default"/>
    <w:sig w:usb0="A00002BF" w:usb1="184F6CFA" w:usb2="00000012" w:usb3="00000000" w:csb0="00040001" w:csb1="00000000"/>
  </w:font>
  <w:font w:name="方正小标宋_GBK">
    <w:altName w:val="微软雅黑"/>
    <w:panose1 w:val="00000000000000000000"/>
    <w:charset w:val="86"/>
    <w:family w:val="script"/>
    <w:pitch w:val="default"/>
    <w:sig w:usb0="00000000" w:usb1="00000000" w:usb2="00000000" w:usb3="00000000" w:csb0="00040000" w:csb1="00000000"/>
  </w:font>
  <w:font w:name="AlibabaPuHuiTi_2_45_Light">
    <w:altName w:val="Segoe Print"/>
    <w:panose1 w:val="00000000000000000000"/>
    <w:charset w:val="00"/>
    <w:family w:val="auto"/>
    <w:pitch w:val="default"/>
    <w:sig w:usb0="00000000" w:usb1="00000000" w:usb2="00000000" w:usb3="00000000" w:csb0="00000000" w:csb1="00000000"/>
  </w:font>
  <w:font w:name="Microsoft Sans Serif">
    <w:panose1 w:val="020B0604020202020204"/>
    <w:charset w:val="00"/>
    <w:family w:val="swiss"/>
    <w:pitch w:val="default"/>
    <w:sig w:usb0="E1002AFF" w:usb1="C0000002" w:usb2="00000008" w:usb3="00000000" w:csb0="200101FF" w:csb1="20280000"/>
  </w:font>
  <w:font w:name="NimbusSans-Regular">
    <w:altName w:val="Segoe Print"/>
    <w:panose1 w:val="00000000000000000000"/>
    <w:charset w:val="00"/>
    <w:family w:val="auto"/>
    <w:pitch w:val="default"/>
    <w:sig w:usb0="00000000" w:usb1="00000000" w:usb2="00000000" w:usb3="00000000" w:csb0="00040001" w:csb1="00000000"/>
  </w:font>
  <w:font w:name="Sylfaen">
    <w:panose1 w:val="010A0502050306030303"/>
    <w:charset w:val="00"/>
    <w:family w:val="auto"/>
    <w:pitch w:val="default"/>
    <w:sig w:usb0="04000687" w:usb1="00000000" w:usb2="00000000" w:usb3="00000000" w:csb0="2000009F" w:csb1="00000000"/>
  </w:font>
  <w:font w:name="CESI黑体-GB2312">
    <w:altName w:val="黑体"/>
    <w:panose1 w:val="02000500000000000000"/>
    <w:charset w:val="86"/>
    <w:family w:val="auto"/>
    <w:pitch w:val="default"/>
    <w:sig w:usb0="00000000" w:usb1="00000000" w:usb2="00000012" w:usb3="00000000" w:csb0="0004000F" w:csb1="00000000"/>
  </w:font>
  <w:font w:name="����">
    <w:altName w:val="Times New Roman"/>
    <w:panose1 w:val="00000000000000000000"/>
    <w:charset w:val="00"/>
    <w:family w:val="roman"/>
    <w:pitch w:val="default"/>
    <w:sig w:usb0="00000000" w:usb1="00000000" w:usb2="00000000" w:usb3="00000000" w:csb0="00040001" w:csb1="00000000"/>
  </w:font>
  <w:font w:name="宋体-简">
    <w:altName w:val="宋体"/>
    <w:panose1 w:val="00000000000000000000"/>
    <w:charset w:val="86"/>
    <w:family w:val="auto"/>
    <w:pitch w:val="default"/>
    <w:sig w:usb0="00000000" w:usb1="00000000" w:usb2="00000000" w:usb3="00000000" w:csb0="00040000" w:csb1="00000000"/>
  </w:font>
  <w:font w:name="Lucida Sans">
    <w:altName w:val="Lucida Sans Unicode"/>
    <w:panose1 w:val="020B0602030504020204"/>
    <w:charset w:val="00"/>
    <w:family w:val="swiss"/>
    <w:pitch w:val="default"/>
    <w:sig w:usb0="00000000" w:usb1="00000000" w:usb2="00000000" w:usb3="00000000" w:csb0="20000001" w:csb1="00000000"/>
  </w:font>
  <w:font w:name="汉仪书宋二KW">
    <w:altName w:val="宋体"/>
    <w:panose1 w:val="00020600040101010101"/>
    <w:charset w:val="86"/>
    <w:family w:val="auto"/>
    <w:pitch w:val="default"/>
    <w:sig w:usb0="00000000" w:usb1="00000000" w:usb2="00000000" w:usb3="00000000" w:csb0="00160000" w:csb1="00000000"/>
  </w:font>
  <w:font w:name="Hiragino Sans GB W3">
    <w:altName w:val="宋体"/>
    <w:panose1 w:val="020B0300000000000000"/>
    <w:charset w:val="86"/>
    <w:family w:val="auto"/>
    <w:pitch w:val="default"/>
    <w:sig w:usb0="00000000" w:usb1="00000000" w:usb2="00000000" w:usb3="00000000" w:csb0="00160000" w:csb1="00000000"/>
  </w:font>
  <w:font w:name="Lucida Sans Unicode">
    <w:panose1 w:val="020B0602030504020204"/>
    <w:charset w:val="00"/>
    <w:family w:val="auto"/>
    <w:pitch w:val="default"/>
    <w:sig w:usb0="80001AFF" w:usb1="0000396B" w:usb2="00000000" w:usb3="00000000" w:csb0="200000BF" w:csb1="D7F70000"/>
  </w:font>
  <w:font w:name="幼圆">
    <w:altName w:val="宋体"/>
    <w:panose1 w:val="02010509060101010101"/>
    <w:charset w:val="86"/>
    <w:family w:val="modern"/>
    <w:pitch w:val="default"/>
    <w:sig w:usb0="00000000" w:usb1="00000000" w:usb2="00000000" w:usb3="00000000" w:csb0="00040000" w:csb1="00000000"/>
  </w:font>
  <w:font w:name="Latha">
    <w:panose1 w:val="020B0604020202020204"/>
    <w:charset w:val="00"/>
    <w:family w:val="swiss"/>
    <w:pitch w:val="default"/>
    <w:sig w:usb0="00100003" w:usb1="00000000" w:usb2="00000000" w:usb3="00000000" w:csb0="00000001" w:csb1="00000000"/>
  </w:font>
  <w:font w:name="Futura Hv">
    <w:altName w:val="Segoe Print"/>
    <w:panose1 w:val="00000000000000000000"/>
    <w:charset w:val="00"/>
    <w:family w:val="swiss"/>
    <w:pitch w:val="default"/>
    <w:sig w:usb0="00000000" w:usb1="00000000" w:usb2="00000000" w:usb3="00000000" w:csb0="000001FB" w:csb1="00000000"/>
  </w:font>
  <w:font w:name="FHLHE E+ Futura Bk">
    <w:altName w:val="宋体"/>
    <w:panose1 w:val="00000000000000000000"/>
    <w:charset w:val="86"/>
    <w:family w:val="swiss"/>
    <w:pitch w:val="default"/>
    <w:sig w:usb0="00000000" w:usb1="00000000" w:usb2="00000010" w:usb3="00000000" w:csb0="00040000" w:csb1="00000000"/>
  </w:font>
  <w:font w:name="Futura Bk">
    <w:altName w:val="Segoe Print"/>
    <w:panose1 w:val="00000000000000000000"/>
    <w:charset w:val="00"/>
    <w:family w:val="swiss"/>
    <w:pitch w:val="default"/>
    <w:sig w:usb0="00000000" w:usb1="00000000" w:usb2="00000000" w:usb3="00000000" w:csb0="0000001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Century Gothic">
    <w:altName w:val="Segoe Print"/>
    <w:panose1 w:val="020B0502020202020204"/>
    <w:charset w:val="00"/>
    <w:family w:val="swiss"/>
    <w:pitch w:val="default"/>
    <w:sig w:usb0="00000000" w:usb1="00000000" w:usb2="00000000" w:usb3="00000000" w:csb0="2000009F" w:csb1="DFD7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Sans Serif">
    <w:altName w:val="Vrinda"/>
    <w:panose1 w:val="020B0500000000000000"/>
    <w:charset w:val="00"/>
    <w:family w:val="swiss"/>
    <w:pitch w:val="default"/>
    <w:sig w:usb0="00000000" w:usb1="00000000" w:usb2="00000000" w:usb3="00000000" w:csb0="00000001" w:csb1="00000000"/>
  </w:font>
  <w:font w:name="等线 Light">
    <w:altName w:val="微软雅黑"/>
    <w:panose1 w:val="02010600030101010101"/>
    <w:charset w:val="00"/>
    <w:family w:val="auto"/>
    <w:pitch w:val="default"/>
    <w:sig w:usb0="00000000" w:usb1="00000000" w:usb2="00000016" w:usb3="00000000" w:csb0="0004000F" w:csb1="00000000"/>
  </w:font>
  <w:font w:name="Microsoft YaHei UI">
    <w:altName w:val="微软雅黑"/>
    <w:panose1 w:val="020B0503020204020204"/>
    <w:charset w:val="00"/>
    <w:family w:val="swiss"/>
    <w:pitch w:val="default"/>
    <w:sig w:usb0="00000000" w:usb1="00000000" w:usb2="00000016" w:usb3="00000000" w:csb0="0004001F" w:csb1="00000000"/>
  </w:font>
  <w:font w:name="TimesNewRomanPSMT">
    <w:altName w:val="Times New Roman"/>
    <w:panose1 w:val="00000000000000000000"/>
    <w:charset w:val="00"/>
    <w:family w:val="roman"/>
    <w:pitch w:val="default"/>
    <w:sig w:usb0="00000000" w:usb1="00000000" w:usb2="00000010" w:usb3="00000000" w:csb0="00040001" w:csb1="00000000"/>
  </w:font>
  <w:font w:name="FZYaoTi">
    <w:altName w:val="宋体"/>
    <w:panose1 w:val="02010601030101010101"/>
    <w:charset w:val="86"/>
    <w:family w:val="roman"/>
    <w:pitch w:val="default"/>
    <w:sig w:usb0="00000000" w:usb1="00000000" w:usb2="00000000" w:usb3="00000000" w:csb0="00040000" w:csb1="00000000"/>
  </w:font>
  <w:font w:name="LiSu">
    <w:altName w:val="宋体"/>
    <w:panose1 w:val="02010509060101010101"/>
    <w:charset w:val="86"/>
    <w:family w:val="roman"/>
    <w:pitch w:val="default"/>
    <w:sig w:usb0="00000000" w:usb1="00000000" w:usb2="00000000" w:usb3="00000000" w:csb0="00040000" w:csb1="00000000"/>
  </w:font>
  <w:font w:name="STKaiti">
    <w:altName w:val="宋体"/>
    <w:panose1 w:val="02010600040101010101"/>
    <w:charset w:val="86"/>
    <w:family w:val="roman"/>
    <w:pitch w:val="default"/>
    <w:sig w:usb0="00000000" w:usb1="00000000" w:usb2="00000000" w:usb3="00000000" w:csb0="0004009F" w:csb1="DFD70000"/>
  </w:font>
  <w:font w:name="STXihei">
    <w:altName w:val="宋体"/>
    <w:panose1 w:val="02010600040101010101"/>
    <w:charset w:val="86"/>
    <w:family w:val="roman"/>
    <w:pitch w:val="default"/>
    <w:sig w:usb0="00000000" w:usb1="00000000" w:usb2="00000000" w:usb3="00000000" w:csb0="0004009F" w:csb1="DFD70000"/>
  </w:font>
  <w:font w:name="STFangsong">
    <w:altName w:val="宋体"/>
    <w:panose1 w:val="02010600040101010101"/>
    <w:charset w:val="86"/>
    <w:family w:val="roman"/>
    <w:pitch w:val="default"/>
    <w:sig w:usb0="00000000" w:usb1="00000000" w:usb2="00000000" w:usb3="00000000" w:csb0="0004009F" w:csb1="DFD70000"/>
  </w:font>
  <w:font w:name="HP Simplified Light">
    <w:altName w:val="Arial"/>
    <w:panose1 w:val="00000000000000000000"/>
    <w:charset w:val="00"/>
    <w:family w:val="swiss"/>
    <w:pitch w:val="default"/>
    <w:sig w:usb0="00000000" w:usb1="00000000" w:usb2="00000000" w:usb3="00000000" w:csb0="00000093" w:csb1="00000000"/>
  </w:font>
  <w:font w:name="H Yg 2gj">
    <w:altName w:val="宋体"/>
    <w:panose1 w:val="00000000000000000000"/>
    <w:charset w:val="86"/>
    <w:family w:val="swiss"/>
    <w:pitch w:val="default"/>
    <w:sig w:usb0="00000000" w:usb1="00000000" w:usb2="00000010" w:usb3="00000000" w:csb0="00040000" w:csb1="00000000"/>
  </w:font>
  <w:font w:name="汉仪粗黑简">
    <w:altName w:val="黑体"/>
    <w:panose1 w:val="00000000000000000000"/>
    <w:charset w:val="86"/>
    <w:family w:val="swiss"/>
    <w:pitch w:val="default"/>
    <w:sig w:usb0="00000000" w:usb1="00000000" w:usb2="00000010" w:usb3="00000000" w:csb0="00040000" w:csb1="00000000"/>
  </w:font>
  <w:font w:name="方正楷体_GBK">
    <w:altName w:val="微软雅黑"/>
    <w:panose1 w:val="02000000000000000000"/>
    <w:charset w:val="86"/>
    <w:family w:val="auto"/>
    <w:pitch w:val="default"/>
    <w:sig w:usb0="00000000" w:usb1="00000000" w:usb2="00000000" w:usb3="00000000" w:csb0="00040000" w:csb1="00000000"/>
  </w:font>
  <w:font w:name="font-weight : 400">
    <w:altName w:val="Segoe Print"/>
    <w:panose1 w:val="00000000000000000000"/>
    <w:charset w:val="00"/>
    <w:family w:val="auto"/>
    <w:pitch w:val="default"/>
    <w:sig w:usb0="00000000" w:usb1="00000000" w:usb2="00000000" w:usb3="00000000" w:csb0="00040001" w:csb1="00000000"/>
  </w:font>
  <w:font w:name="E-F1">
    <w:altName w:val="Malgun Gothic"/>
    <w:panose1 w:val="00000000000000000000"/>
    <w:charset w:val="81"/>
    <w:family w:val="roman"/>
    <w:pitch w:val="default"/>
    <w:sig w:usb0="00000000" w:usb1="00000000" w:usb2="00000033" w:usb3="00000000" w:csb0="00080000" w:csb1="00000000"/>
  </w:font>
  <w:font w:name="Simplified Arabic Fixed">
    <w:panose1 w:val="02070309020205020404"/>
    <w:charset w:val="00"/>
    <w:family w:val="auto"/>
    <w:pitch w:val="default"/>
    <w:sig w:usb0="00002003" w:usb1="00000000" w:usb2="00000000" w:usb3="00000000" w:csb0="00000041" w:csb1="20080000"/>
  </w:font>
  <w:font w:name="NumberOnly">
    <w:panose1 w:val="020B0500000000000000"/>
    <w:charset w:val="00"/>
    <w:family w:val="auto"/>
    <w:pitch w:val="default"/>
    <w:sig w:usb0="8000002F" w:usb1="10000048" w:usb2="00000000" w:usb3="00000000" w:csb0="00000111" w:csb1="40000000"/>
  </w:font>
  <w:font w:name="@微软雅黑">
    <w:panose1 w:val="020B0503020204020204"/>
    <w:charset w:val="86"/>
    <w:family w:val="swiss"/>
    <w:pitch w:val="default"/>
    <w:sig w:usb0="80000287" w:usb1="280F3C52" w:usb2="00000016" w:usb3="00000000" w:csb0="0004001F" w:csb1="00000000"/>
  </w:font>
  <w:font w:name="宋体..璂..">
    <w:altName w:val="宋体"/>
    <w:panose1 w:val="00000000000000000000"/>
    <w:charset w:val="86"/>
    <w:family w:val="roman"/>
    <w:pitch w:val="default"/>
    <w:sig w:usb0="00000000" w:usb1="00000000" w:usb2="00000010" w:usb3="00000000" w:csb0="00040000" w:csb1="00000000"/>
  </w:font>
  <w:font w:name="DFKai-SB">
    <w:panose1 w:val="03000509000000000000"/>
    <w:charset w:val="88"/>
    <w:family w:val="script"/>
    <w:pitch w:val="default"/>
    <w:sig w:usb0="00000003" w:usb1="082E0000" w:usb2="00000016" w:usb3="00000000" w:csb0="00100001" w:csb1="00000000"/>
  </w:font>
  <w:font w:name="CG Times">
    <w:altName w:val="微软雅黑"/>
    <w:panose1 w:val="02020603050405020304"/>
    <w:charset w:val="00"/>
    <w:family w:val="roman"/>
    <w:pitch w:val="default"/>
    <w:sig w:usb0="00000000" w:usb1="00000000" w:usb2="00000000" w:usb3="00000000" w:csb0="00040001" w:csb1="00000000"/>
  </w:font>
  <w:font w:name="创艺简标宋">
    <w:altName w:val="黑体"/>
    <w:panose1 w:val="00000000000000000000"/>
    <w:charset w:val="86"/>
    <w:family w:val="auto"/>
    <w:pitch w:val="default"/>
    <w:sig w:usb0="00000000" w:usb1="00000000" w:usb2="00000010" w:usb3="00000000" w:csb0="00040000" w:csb1="00000000"/>
  </w:font>
  <w:font w:name="Microsoft JhengHei Light">
    <w:altName w:val="Microsoft JhengHei"/>
    <w:panose1 w:val="020B0304030504040204"/>
    <w:charset w:val="88"/>
    <w:family w:val="auto"/>
    <w:pitch w:val="default"/>
    <w:sig w:usb0="00000000" w:usb1="00000000" w:usb2="00000016" w:usb3="00000000" w:csb0="00100009" w:csb1="00000000"/>
  </w:font>
  <w:font w:name="Latha">
    <w:panose1 w:val="020B0604020202020204"/>
    <w:charset w:val="01"/>
    <w:family w:val="roman"/>
    <w:pitch w:val="default"/>
    <w:sig w:usb0="00100003" w:usb1="00000000" w:usb2="00000000" w:usb3="00000000" w:csb0="00000001" w:csb1="00000000"/>
  </w:font>
  <w:font w:name="Microsoft JhengHei">
    <w:panose1 w:val="020B0604030504040204"/>
    <w:charset w:val="88"/>
    <w:family w:val="auto"/>
    <w:pitch w:val="default"/>
    <w:sig w:usb0="00000087" w:usb1="28AF4000" w:usb2="00000016" w:usb3="00000000" w:csb0="00100009" w:csb1="00000000"/>
  </w:font>
  <w:font w:name="y">
    <w:altName w:val="Segoe Print"/>
    <w:panose1 w:val="00000000000000000000"/>
    <w:charset w:val="00"/>
    <w:family w:val="auto"/>
    <w:pitch w:val="default"/>
    <w:sig w:usb0="00000000" w:usb1="00000000" w:usb2="00000000" w:usb3="00000000" w:csb0="00000000" w:csb1="00000000"/>
  </w:font>
  <w:font w:name="yu">
    <w:altName w:val="Segoe Print"/>
    <w:panose1 w:val="00000000000000000000"/>
    <w:charset w:val="00"/>
    <w:family w:val="auto"/>
    <w:pitch w:val="default"/>
    <w:sig w:usb0="00000000" w:usb1="00000000" w:usb2="00000000" w:usb3="00000000" w:csb0="00000000" w:csb1="00000000"/>
  </w:font>
  <w:font w:name="yue">
    <w:altName w:val="Segoe Print"/>
    <w:panose1 w:val="00000000000000000000"/>
    <w:charset w:val="00"/>
    <w:family w:val="auto"/>
    <w:pitch w:val="default"/>
    <w:sig w:usb0="00000000" w:usb1="00000000" w:usb2="00000000" w:usb3="00000000" w:csb0="00000000" w:csb1="00000000"/>
  </w:font>
  <w:font w:name="Gulim">
    <w:panose1 w:val="020B0600000101010101"/>
    <w:charset w:val="81"/>
    <w:family w:val="auto"/>
    <w:pitch w:val="default"/>
    <w:sig w:usb0="B00002AF" w:usb1="69D77CFB" w:usb2="00000030" w:usb3="00000000" w:csb0="4008009F" w:csb1="DFD70000"/>
  </w:font>
  <w:font w:name="Sitka Text">
    <w:altName w:val="Segoe Print"/>
    <w:panose1 w:val="00000000000000000000"/>
    <w:charset w:val="00"/>
    <w:family w:val="auto"/>
    <w:pitch w:val="default"/>
    <w:sig w:usb0="00000000" w:usb1="00000000" w:usb2="00000000" w:usb3="00000000" w:csb0="2000019F" w:csb1="00000000"/>
  </w:font>
  <w:font w:name="Swis721 WGL4 BT">
    <w:altName w:val="NumberOnly"/>
    <w:panose1 w:val="020B0504020202020204"/>
    <w:charset w:val="00"/>
    <w:family w:val="auto"/>
    <w:pitch w:val="default"/>
    <w:sig w:usb0="00000000" w:usb1="00000000" w:usb2="00000000" w:usb3="00000000" w:csb0="4000009F" w:csb1="DFD70000"/>
  </w:font>
  <w:font w:name="汉仪中黑KW">
    <w:altName w:val="黑体"/>
    <w:panose1 w:val="00020600040101010101"/>
    <w:charset w:val="86"/>
    <w:family w:val="auto"/>
    <w:pitch w:val="default"/>
    <w:sig w:usb0="00000000" w:usb1="00000000" w:usb2="00000016" w:usb3="00000000" w:csb0="00040000" w:csb1="00000000"/>
  </w:font>
  <w:font w:name="Kingsoft Sign">
    <w:altName w:val="Segoe Print"/>
    <w:panose1 w:val="05050102010706020507"/>
    <w:charset w:val="00"/>
    <w:family w:val="auto"/>
    <w:pitch w:val="default"/>
    <w:sig w:usb0="00000000" w:usb1="00000000" w:usb2="00000000" w:usb3="00000000" w:csb0="00000001" w:csb1="00000000"/>
  </w:font>
  <w:font w:name="Yu Gothic">
    <w:altName w:val="Meiryo UI"/>
    <w:panose1 w:val="020B0400000000000000"/>
    <w:charset w:val="80"/>
    <w:family w:val="auto"/>
    <w:pitch w:val="default"/>
    <w:sig w:usb0="00000000" w:usb1="00000000" w:usb2="00000016" w:usb3="00000000" w:csb0="2002009F" w:csb1="00000000"/>
  </w:font>
  <w:font w:name="宋体-PUA">
    <w:altName w:val="宋体"/>
    <w:panose1 w:val="00000000000000000000"/>
    <w:charset w:val="86"/>
    <w:family w:val="auto"/>
    <w:pitch w:val="default"/>
    <w:sig w:usb0="00000000" w:usb1="00000000" w:usb2="00000010" w:usb3="00000000" w:csb0="00040000" w:csb1="00000000"/>
  </w:font>
  <w:font w:name="Segoe UI Symbol">
    <w:panose1 w:val="020B0502040204020203"/>
    <w:charset w:val="00"/>
    <w:family w:val="swiss"/>
    <w:pitch w:val="default"/>
    <w:sig w:usb0="8000006F" w:usb1="1200FBEF" w:usb2="0064C000" w:usb3="00000002" w:csb0="00000001" w:csb1="40000000"/>
  </w:font>
  <w:font w:name="方正黑体简体">
    <w:altName w:val="Times New Roman"/>
    <w:panose1 w:val="00000000000000000000"/>
    <w:charset w:val="00"/>
    <w:family w:val="auto"/>
    <w:pitch w:val="default"/>
    <w:sig w:usb0="00000000" w:usb1="00000000" w:usb2="00000000" w:usb3="00000000" w:csb0="00040001" w:csb1="00000000"/>
  </w:font>
  <w:font w:name="方正仿宋_GBK">
    <w:altName w:val="微软雅黑"/>
    <w:panose1 w:val="02000000000000000000"/>
    <w:charset w:val="86"/>
    <w:family w:val="script"/>
    <w:pitch w:val="default"/>
    <w:sig w:usb0="00000000" w:usb1="00000000" w:usb2="00082016" w:usb3="00000000" w:csb0="00040001" w:csb1="00000000"/>
  </w:font>
  <w:font w:name="Arail">
    <w:altName w:val="Times New Roman"/>
    <w:panose1 w:val="00000000000000000000"/>
    <w:charset w:val="00"/>
    <w:family w:val="auto"/>
    <w:pitch w:val="default"/>
    <w:sig w:usb0="00000000" w:usb1="00000000" w:usb2="00000000" w:usb3="00000000" w:csb0="00040001" w:csb1="00000000"/>
  </w:font>
  <w:font w:name="汉仪雅酷黑-95J">
    <w:altName w:val="黑体"/>
    <w:panose1 w:val="00020600040101010101"/>
    <w:charset w:val="86"/>
    <w:family w:val="auto"/>
    <w:pitch w:val="default"/>
    <w:sig w:usb0="00000000" w:usb1="00000000" w:usb2="00000016" w:usb3="00000000" w:csb0="2004000F" w:csb1="00000000"/>
  </w:font>
  <w:font w:name="Kingsoft Symbol">
    <w:altName w:val="Symbol"/>
    <w:panose1 w:val="00000000000000000000"/>
    <w:charset w:val="00"/>
    <w:family w:val="auto"/>
    <w:pitch w:val="default"/>
    <w:sig w:usb0="00000000" w:usb1="00000000" w:usb2="00000000" w:usb3="00000000" w:csb0="00000000" w:csb1="00000000"/>
  </w:font>
  <w:font w:name="Symbol">
    <w:panose1 w:val="05050102010706020507"/>
    <w:charset w:val="00"/>
    <w:family w:val="auto"/>
    <w:pitch w:val="default"/>
    <w:sig w:usb0="00000000" w:usb1="00000000" w:usb2="00000000" w:usb3="00000000" w:csb0="80000000" w:csb1="00000000"/>
  </w:font>
  <w:font w:name="方正仿宋_GB2312">
    <w:altName w:val="仿宋"/>
    <w:panose1 w:val="00000000000000000000"/>
    <w:charset w:val="86"/>
    <w:family w:val="auto"/>
    <w:pitch w:val="default"/>
    <w:sig w:usb0="00000000" w:usb1="00000000" w:usb2="00000012" w:usb3="00000000" w:csb0="00040001" w:csb1="00000000"/>
  </w:font>
  <w:font w:name="DejaVu Sans">
    <w:altName w:val="Segoe Print"/>
    <w:panose1 w:val="020B0603030804020204"/>
    <w:charset w:val="00"/>
    <w:family w:val="auto"/>
    <w:pitch w:val="default"/>
    <w:sig w:usb0="00000000" w:usb1="00000000" w:usb2="0A246029" w:usb3="0400200C" w:csb0="600001FF" w:csb1="DFFF0000"/>
  </w:font>
  <w:font w:name="Noto Sans Syriac Eastern">
    <w:altName w:val="宋体"/>
    <w:panose1 w:val="02040503050306020203"/>
    <w:charset w:val="86"/>
    <w:family w:val="auto"/>
    <w:pitch w:val="default"/>
    <w:sig w:usb0="00000000" w:usb1="00000000" w:usb2="00000080" w:usb3="00000000" w:csb0="203E0161" w:csb1="D7FF0000"/>
  </w:font>
  <w:font w:name="文泉驿微米黑">
    <w:altName w:val="黑体"/>
    <w:panose1 w:val="020B0606030804020204"/>
    <w:charset w:val="86"/>
    <w:family w:val="auto"/>
    <w:pitch w:val="default"/>
    <w:sig w:usb0="00000000" w:usb1="00000000" w:usb2="00800036" w:usb3="00000000" w:csb0="603E019F" w:csb1="DFD70000"/>
  </w:font>
  <w:font w:name="华文中宋">
    <w:altName w:val="宋体"/>
    <w:panose1 w:val="00000000000000000000"/>
    <w:charset w:val="00"/>
    <w:family w:val="auto"/>
    <w:pitch w:val="default"/>
    <w:sig w:usb0="00000000" w:usb1="00000000" w:usb2="00000000" w:usb3="00000000" w:csb0="00040001" w:csb1="00000000"/>
  </w:font>
  <w:font w:name="Times New Toman">
    <w:altName w:val="Traditional Arabic"/>
    <w:panose1 w:val="02020603050405020304"/>
    <w:charset w:val="00"/>
    <w:family w:val="roman"/>
    <w:pitch w:val="default"/>
    <w:sig w:usb0="00000000" w:usb1="00000000" w:usb2="00000008" w:usb3="00000000" w:csb0="000001FF" w:csb1="00000000"/>
  </w:font>
  <w:font w:name="Arial">
    <w:panose1 w:val="020B0604020202020204"/>
    <w:charset w:val="86"/>
    <w:family w:val="auto"/>
    <w:pitch w:val="default"/>
    <w:sig w:usb0="E0002AFF" w:usb1="C0007843" w:usb2="00000009" w:usb3="00000000" w:csb0="400001FF" w:csb1="FFFF0000"/>
  </w:font>
  <w:font w:name="LiSu">
    <w:altName w:val="Segoe Print"/>
    <w:panose1 w:val="00000000000000000000"/>
    <w:charset w:val="00"/>
    <w:family w:val="auto"/>
    <w:pitch w:val="default"/>
    <w:sig w:usb0="00000000" w:usb1="00000000" w:usb2="00000000" w:usb3="00000000" w:csb0="00000000" w:csb1="00000000"/>
  </w:font>
  <w:font w:name="YouYuan">
    <w:altName w:val="Segoe Print"/>
    <w:panose1 w:val="00000000000000000000"/>
    <w:charset w:val="00"/>
    <w:family w:val="auto"/>
    <w:pitch w:val="default"/>
    <w:sig w:usb0="00000000" w:usb1="00000000" w:usb2="00000000" w:usb3="00000000" w:csb0="00000000" w:csb1="00000000"/>
  </w:font>
  <w:font w:name="Traditional Arabic">
    <w:panose1 w:val="02020603050405020304"/>
    <w:charset w:val="00"/>
    <w:family w:val="auto"/>
    <w:pitch w:val="default"/>
    <w:sig w:usb0="00006003" w:usb1="80000000" w:usb2="00000008" w:usb3="00000000" w:csb0="00000041" w:csb1="2008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KKc1bQVAgAAFQQAAA4AAAAAAAAA&#10;AQAgAAAAHwEAAGRycy9lMm9Eb2MueG1sUEsFBgAAAAAGAAYAWQEAAKYFA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24</w:t>
                    </w:r>
                    <w:r>
                      <w:rPr>
                        <w:rFonts w:hint="eastAsia"/>
                      </w:rPr>
                      <w:fldChar w:fldCharType="end"/>
                    </w:r>
                  </w:p>
                </w:txbxContent>
              </v:textbox>
            </v:shape>
          </w:pict>
        </mc:Fallback>
      </mc:AlternateContent>
    </w:r>
  </w:p>
  <w:p>
    <w:pPr>
      <w:pStyle w:val="58"/>
      <w:jc w:val="cen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framePr w:wrap="around" w:vAnchor="text" w:hAnchor="margin" w:xAlign="center" w:y="1"/>
      <w:rPr>
        <w:rStyle w:val="91"/>
      </w:rPr>
    </w:pPr>
    <w:r>
      <w:fldChar w:fldCharType="begin"/>
    </w:r>
    <w:r>
      <w:rPr>
        <w:rStyle w:val="91"/>
      </w:rPr>
      <w:instrText xml:space="preserve">PAGE  </w:instrText>
    </w:r>
    <w:r>
      <w:fldChar w:fldCharType="separate"/>
    </w:r>
    <w:r>
      <w:rPr>
        <w:rStyle w:val="91"/>
      </w:rPr>
      <w:t>1</w:t>
    </w:r>
    <w:r>
      <w:fldChar w:fldCharType="end"/>
    </w:r>
  </w:p>
  <w:p>
    <w:pPr>
      <w:pStyle w:val="58"/>
    </w:pPr>
  </w:p>
  <w:p/>
  <w:p/>
  <w:p/>
  <w:p/>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jc w:val="cente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AQ5FbsFgIAABUEAAAOAAAAAAAA&#10;AAEAIAAAAB8BAABkcnMvZTJvRG9jLnhtbFBLBQYAAAAABgAGAFkBAACnBQ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25</w:t>
                    </w:r>
                    <w:r>
                      <w:rPr>
                        <w:rFonts w:hint="eastAsia"/>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8"/>
      <w:spacing w:before="120" w:after="120"/>
      <w:ind w:firstLine="422"/>
      <w:jc w:val="center"/>
      <w:rPr>
        <w:b/>
        <w:color w:val="984806"/>
        <w:sz w:val="21"/>
        <w:szCs w:val="21"/>
      </w:rPr>
    </w:pPr>
    <w:r>
      <w:rPr>
        <w:sz w:val="21"/>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LNJWO7QAAAABQEAAA8AAAAAAAAAAQAg&#10;AAAAIgAAAGRycy9kb3ducmV2LnhtbFBLAQIUABQAAAAIAIdO4kBPia+8FgIAABUEAAAOAAAAAAAA&#10;AAEAIAAAAB8BAABkcnMvZTJvRG9jLnhtbFBLBQYAAAAABgAGAFkBAACnBQ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34</w:t>
                    </w:r>
                    <w:r>
                      <w:rPr>
                        <w:rFonts w:hint="eastAsia"/>
                      </w:rP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Ct4qQ0VAgAAFQQAAA4AAAAAAAAA&#10;AQAgAAAAHwEAAGRycy9lMm9Eb2MueG1sUEsFBgAAAAAGAAYAWQEAAKYFA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57</w:t>
                    </w:r>
                    <w:r>
                      <w:rPr>
                        <w:rFonts w:hint="eastAsia"/>
                      </w:rP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pPr>
                            <w:pStyle w:val="58"/>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336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dBVQXRQCAAAVBAAADgAAAAAAAAAB&#10;ACAAAAAfAQAAZHJzL2Uyb0RvYy54bWxQSwUGAAAAAAYABgBZAQAApQUAAAAA&#10;">
              <v:fill on="f" focussize="0,0"/>
              <v:stroke on="f" weight="0.5pt"/>
              <v:imagedata o:title=""/>
              <o:lock v:ext="edit" aspectratio="f"/>
              <v:textbox inset="0mm,0mm,0mm,0mm" style="mso-fit-shape-to-text:t;">
                <w:txbxContent>
                  <w:p>
                    <w:pPr>
                      <w:pStyle w:val="58"/>
                    </w:pPr>
                    <w:r>
                      <w:rPr>
                        <w:rFonts w:hint="eastAsia"/>
                      </w:rPr>
                      <w:fldChar w:fldCharType="begin"/>
                    </w:r>
                    <w:r>
                      <w:rPr>
                        <w:rFonts w:hint="eastAsia"/>
                      </w:rPr>
                      <w:instrText xml:space="preserve"> PAGE  \* MERGEFORMAT </w:instrText>
                    </w:r>
                    <w:r>
                      <w:rPr>
                        <w:rFonts w:hint="eastAsia"/>
                      </w:rPr>
                      <w:fldChar w:fldCharType="separate"/>
                    </w:r>
                    <w:r>
                      <w:t>47</w:t>
                    </w:r>
                    <w:r>
                      <w:rPr>
                        <w:rFonts w:hint="eastAsia"/>
                      </w:rP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jc w:val="left"/>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61"/>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99C78FC4"/>
    <w:multiLevelType w:val="singleLevel"/>
    <w:tmpl w:val="99C78FC4"/>
    <w:lvl w:ilvl="0" w:tentative="0">
      <w:start w:val="3"/>
      <w:numFmt w:val="chineseCounting"/>
      <w:suff w:val="space"/>
      <w:lvlText w:val="第%1部分"/>
      <w:lvlJc w:val="left"/>
      <w:rPr>
        <w:rFonts w:hint="eastAsia"/>
      </w:rPr>
    </w:lvl>
  </w:abstractNum>
  <w:abstractNum w:abstractNumId="1">
    <w:nsid w:val="F674539E"/>
    <w:multiLevelType w:val="singleLevel"/>
    <w:tmpl w:val="F674539E"/>
    <w:lvl w:ilvl="0" w:tentative="0">
      <w:start w:val="1"/>
      <w:numFmt w:val="decimal"/>
      <w:suff w:val="nothing"/>
      <w:lvlText w:val="（%1）"/>
      <w:lvlJc w:val="left"/>
    </w:lvl>
  </w:abstractNum>
  <w:abstractNum w:abstractNumId="2">
    <w:nsid w:val="2FF86FF6"/>
    <w:multiLevelType w:val="multilevel"/>
    <w:tmpl w:val="2FF86FF6"/>
    <w:lvl w:ilvl="0" w:tentative="0">
      <w:start w:val="1"/>
      <w:numFmt w:val="decimal"/>
      <w:lvlText w:val="%1"/>
      <w:lvlJc w:val="left"/>
      <w:pPr>
        <w:tabs>
          <w:tab w:val="left" w:pos="0"/>
        </w:tabs>
        <w:ind w:left="425" w:hanging="425"/>
      </w:pPr>
      <w:rPr>
        <w:rFonts w:hint="eastAsia"/>
      </w:rPr>
    </w:lvl>
    <w:lvl w:ilvl="1" w:tentative="0">
      <w:start w:val="1"/>
      <w:numFmt w:val="decimal"/>
      <w:lvlText w:val="%1.%2"/>
      <w:lvlJc w:val="left"/>
      <w:pPr>
        <w:tabs>
          <w:tab w:val="left" w:pos="0"/>
        </w:tabs>
        <w:ind w:left="567" w:hanging="567"/>
      </w:pPr>
      <w:rPr>
        <w:rFonts w:hint="eastAsia"/>
      </w:rPr>
    </w:lvl>
    <w:lvl w:ilvl="2" w:tentative="0">
      <w:start w:val="1"/>
      <w:numFmt w:val="decimal"/>
      <w:pStyle w:val="610"/>
      <w:lvlText w:val="%1.%2.%3"/>
      <w:lvlJc w:val="left"/>
      <w:pPr>
        <w:tabs>
          <w:tab w:val="left" w:pos="142"/>
        </w:tabs>
        <w:ind w:left="851" w:hanging="851"/>
      </w:pPr>
      <w:rPr>
        <w:rFonts w:hint="eastAsia"/>
      </w:rPr>
    </w:lvl>
    <w:lvl w:ilvl="3" w:tentative="0">
      <w:start w:val="1"/>
      <w:numFmt w:val="decimal"/>
      <w:lvlText w:val="%1.%2.%3.%4"/>
      <w:lvlJc w:val="left"/>
      <w:pPr>
        <w:tabs>
          <w:tab w:val="left" w:pos="0"/>
        </w:tabs>
        <w:ind w:left="851" w:hanging="851"/>
      </w:pPr>
      <w:rPr>
        <w:rFonts w:hint="eastAsia"/>
      </w:rPr>
    </w:lvl>
    <w:lvl w:ilvl="4" w:tentative="0">
      <w:start w:val="1"/>
      <w:numFmt w:val="decimal"/>
      <w:lvlText w:val="%1.%2.%3.%4.%5"/>
      <w:lvlJc w:val="left"/>
      <w:pPr>
        <w:tabs>
          <w:tab w:val="left" w:pos="0"/>
        </w:tabs>
        <w:ind w:left="992" w:hanging="992"/>
      </w:pPr>
      <w:rPr>
        <w:rFonts w:hint="eastAsia"/>
      </w:rPr>
    </w:lvl>
    <w:lvl w:ilvl="5" w:tentative="0">
      <w:start w:val="1"/>
      <w:numFmt w:val="decimal"/>
      <w:lvlText w:val="%1.%2.%3.%4.%5.%6"/>
      <w:lvlJc w:val="left"/>
      <w:pPr>
        <w:tabs>
          <w:tab w:val="left" w:pos="0"/>
        </w:tabs>
        <w:ind w:left="1134" w:hanging="1134"/>
      </w:pPr>
      <w:rPr>
        <w:rFonts w:hint="eastAsia"/>
      </w:rPr>
    </w:lvl>
    <w:lvl w:ilvl="6" w:tentative="0">
      <w:start w:val="1"/>
      <w:numFmt w:val="decimal"/>
      <w:lvlText w:val="%1.%2.%3.%4.%5.%6.%7"/>
      <w:lvlJc w:val="left"/>
      <w:pPr>
        <w:tabs>
          <w:tab w:val="left" w:pos="0"/>
        </w:tabs>
        <w:ind w:left="1276" w:hanging="1276"/>
      </w:pPr>
      <w:rPr>
        <w:rFonts w:hint="eastAsia"/>
      </w:rPr>
    </w:lvl>
    <w:lvl w:ilvl="7" w:tentative="0">
      <w:start w:val="1"/>
      <w:numFmt w:val="decimal"/>
      <w:lvlText w:val="%1.%2.%3.%4.%5.%6.%7.%8"/>
      <w:lvlJc w:val="left"/>
      <w:pPr>
        <w:tabs>
          <w:tab w:val="left" w:pos="0"/>
        </w:tabs>
        <w:ind w:left="1418" w:hanging="1418"/>
      </w:pPr>
      <w:rPr>
        <w:rFonts w:hint="eastAsia"/>
      </w:rPr>
    </w:lvl>
    <w:lvl w:ilvl="8" w:tentative="0">
      <w:start w:val="1"/>
      <w:numFmt w:val="decimal"/>
      <w:lvlText w:val="%1.%2.%3.%4.%5.%6.%7.%8.%9"/>
      <w:lvlJc w:val="left"/>
      <w:pPr>
        <w:tabs>
          <w:tab w:val="left" w:pos="0"/>
        </w:tabs>
        <w:ind w:left="1559" w:hanging="1559"/>
      </w:pPr>
      <w:rPr>
        <w:rFonts w:hint="eastAsia"/>
      </w:rPr>
    </w:lvl>
  </w:abstractNum>
  <w:abstractNum w:abstractNumId="3">
    <w:nsid w:val="3E21619A"/>
    <w:multiLevelType w:val="singleLevel"/>
    <w:tmpl w:val="3E21619A"/>
    <w:lvl w:ilvl="0" w:tentative="0">
      <w:start w:val="1"/>
      <w:numFmt w:val="chineseCounting"/>
      <w:suff w:val="nothing"/>
      <w:lvlText w:val="%1、"/>
      <w:lvlJc w:val="left"/>
      <w:rPr>
        <w:rFonts w:hint="eastAsia"/>
      </w:rPr>
    </w:lvl>
  </w:abstractNum>
  <w:abstractNum w:abstractNumId="4">
    <w:nsid w:val="6645F7C5"/>
    <w:multiLevelType w:val="singleLevel"/>
    <w:tmpl w:val="6645F7C5"/>
    <w:lvl w:ilvl="0" w:tentative="0">
      <w:start w:val="5"/>
      <w:numFmt w:val="decimal"/>
      <w:suff w:val="nothing"/>
      <w:lvlText w:val="%1."/>
      <w:lvlJc w:val="left"/>
    </w:lvl>
  </w:abstractNum>
  <w:abstractNum w:abstractNumId="5">
    <w:nsid w:val="675A4FD2"/>
    <w:multiLevelType w:val="singleLevel"/>
    <w:tmpl w:val="675A4FD2"/>
    <w:lvl w:ilvl="0" w:tentative="0">
      <w:start w:val="2"/>
      <w:numFmt w:val="chineseCounting"/>
      <w:suff w:val="nothing"/>
      <w:lvlText w:val="%1、"/>
      <w:lvlJc w:val="left"/>
    </w:lvl>
  </w:abstractNum>
  <w:num w:numId="1">
    <w:abstractNumId w:val="2"/>
  </w:num>
  <w:num w:numId="2">
    <w:abstractNumId w:val="3"/>
  </w:num>
  <w:num w:numId="3">
    <w:abstractNumId w:val="1"/>
  </w:num>
  <w:num w:numId="4">
    <w:abstractNumId w:val="0"/>
  </w:num>
  <w:num w:numId="5">
    <w:abstractNumId w:val="5"/>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Y2Y5MDk0NWFiZmRmYTdhMWNkODA3ZTYyMjg1MWY2MWMifQ=="/>
  </w:docVars>
  <w:rsids>
    <w:rsidRoot w:val="007A5D82"/>
    <w:rsid w:val="00027E82"/>
    <w:rsid w:val="00046B9C"/>
    <w:rsid w:val="000B2DD3"/>
    <w:rsid w:val="000B6D1D"/>
    <w:rsid w:val="000C5583"/>
    <w:rsid w:val="000D1422"/>
    <w:rsid w:val="000F5557"/>
    <w:rsid w:val="00105D0F"/>
    <w:rsid w:val="0013265A"/>
    <w:rsid w:val="0015040C"/>
    <w:rsid w:val="001A0CD4"/>
    <w:rsid w:val="001B2290"/>
    <w:rsid w:val="002131C9"/>
    <w:rsid w:val="002272AD"/>
    <w:rsid w:val="00243D83"/>
    <w:rsid w:val="0025204E"/>
    <w:rsid w:val="002903B8"/>
    <w:rsid w:val="0034556A"/>
    <w:rsid w:val="003979B3"/>
    <w:rsid w:val="003A42CB"/>
    <w:rsid w:val="003C5EF4"/>
    <w:rsid w:val="003F4551"/>
    <w:rsid w:val="00406FB1"/>
    <w:rsid w:val="00415500"/>
    <w:rsid w:val="00430F02"/>
    <w:rsid w:val="00483399"/>
    <w:rsid w:val="0048446F"/>
    <w:rsid w:val="004C66FE"/>
    <w:rsid w:val="005016A3"/>
    <w:rsid w:val="00553F2B"/>
    <w:rsid w:val="00560C55"/>
    <w:rsid w:val="005770C6"/>
    <w:rsid w:val="00592201"/>
    <w:rsid w:val="005C4530"/>
    <w:rsid w:val="005D5A89"/>
    <w:rsid w:val="00620CEE"/>
    <w:rsid w:val="006475F9"/>
    <w:rsid w:val="006557B5"/>
    <w:rsid w:val="0067025D"/>
    <w:rsid w:val="006D68BC"/>
    <w:rsid w:val="006F7EC8"/>
    <w:rsid w:val="007221E1"/>
    <w:rsid w:val="007506F2"/>
    <w:rsid w:val="00785368"/>
    <w:rsid w:val="0079676D"/>
    <w:rsid w:val="007A5D82"/>
    <w:rsid w:val="007C3852"/>
    <w:rsid w:val="007F7870"/>
    <w:rsid w:val="00806165"/>
    <w:rsid w:val="00842EA4"/>
    <w:rsid w:val="008618A5"/>
    <w:rsid w:val="0088327D"/>
    <w:rsid w:val="008B6D38"/>
    <w:rsid w:val="008D4084"/>
    <w:rsid w:val="0090511E"/>
    <w:rsid w:val="009175E9"/>
    <w:rsid w:val="00965F66"/>
    <w:rsid w:val="009B469A"/>
    <w:rsid w:val="009D3545"/>
    <w:rsid w:val="009F125B"/>
    <w:rsid w:val="009F2638"/>
    <w:rsid w:val="00A30AEF"/>
    <w:rsid w:val="00A575C1"/>
    <w:rsid w:val="00A74250"/>
    <w:rsid w:val="00AA31C9"/>
    <w:rsid w:val="00AE44FE"/>
    <w:rsid w:val="00B1163D"/>
    <w:rsid w:val="00B2721C"/>
    <w:rsid w:val="00B34A9D"/>
    <w:rsid w:val="00B52669"/>
    <w:rsid w:val="00B63531"/>
    <w:rsid w:val="00B648EC"/>
    <w:rsid w:val="00BC7179"/>
    <w:rsid w:val="00C23D3C"/>
    <w:rsid w:val="00C36099"/>
    <w:rsid w:val="00C40E2E"/>
    <w:rsid w:val="00C63501"/>
    <w:rsid w:val="00C82DC5"/>
    <w:rsid w:val="00C83E71"/>
    <w:rsid w:val="00C94444"/>
    <w:rsid w:val="00C97339"/>
    <w:rsid w:val="00CB7716"/>
    <w:rsid w:val="00CE6FFB"/>
    <w:rsid w:val="00D7121C"/>
    <w:rsid w:val="00D93836"/>
    <w:rsid w:val="00DC0A28"/>
    <w:rsid w:val="00E20DA8"/>
    <w:rsid w:val="00E4621F"/>
    <w:rsid w:val="00EB2895"/>
    <w:rsid w:val="00EC7558"/>
    <w:rsid w:val="00F02364"/>
    <w:rsid w:val="00F41063"/>
    <w:rsid w:val="00FC5D2D"/>
    <w:rsid w:val="011D1ADA"/>
    <w:rsid w:val="01343CDE"/>
    <w:rsid w:val="01411F7E"/>
    <w:rsid w:val="014E520E"/>
    <w:rsid w:val="01A65DF4"/>
    <w:rsid w:val="01AA487D"/>
    <w:rsid w:val="01B26DEB"/>
    <w:rsid w:val="01EA72A8"/>
    <w:rsid w:val="01F70F33"/>
    <w:rsid w:val="021777EF"/>
    <w:rsid w:val="02195631"/>
    <w:rsid w:val="02205F46"/>
    <w:rsid w:val="022E21C6"/>
    <w:rsid w:val="02372334"/>
    <w:rsid w:val="023B42B5"/>
    <w:rsid w:val="025564EB"/>
    <w:rsid w:val="028313BA"/>
    <w:rsid w:val="02857804"/>
    <w:rsid w:val="02C45A4B"/>
    <w:rsid w:val="02DE09FE"/>
    <w:rsid w:val="02DE46CD"/>
    <w:rsid w:val="0300101E"/>
    <w:rsid w:val="03031D77"/>
    <w:rsid w:val="03051C85"/>
    <w:rsid w:val="0319088C"/>
    <w:rsid w:val="03366254"/>
    <w:rsid w:val="039D113B"/>
    <w:rsid w:val="03A0685D"/>
    <w:rsid w:val="03A722EC"/>
    <w:rsid w:val="03D86C66"/>
    <w:rsid w:val="03DD1E88"/>
    <w:rsid w:val="03E13221"/>
    <w:rsid w:val="03E719A3"/>
    <w:rsid w:val="03EB570F"/>
    <w:rsid w:val="04073203"/>
    <w:rsid w:val="041465B3"/>
    <w:rsid w:val="0427203C"/>
    <w:rsid w:val="04375C55"/>
    <w:rsid w:val="043B3259"/>
    <w:rsid w:val="045C3220"/>
    <w:rsid w:val="04671DFA"/>
    <w:rsid w:val="04836EB7"/>
    <w:rsid w:val="04901016"/>
    <w:rsid w:val="04913A57"/>
    <w:rsid w:val="049D5887"/>
    <w:rsid w:val="04A65518"/>
    <w:rsid w:val="04BD70CC"/>
    <w:rsid w:val="04BE22A0"/>
    <w:rsid w:val="04C30E9E"/>
    <w:rsid w:val="04CF49E8"/>
    <w:rsid w:val="04CF6494"/>
    <w:rsid w:val="04EC0FC2"/>
    <w:rsid w:val="05155495"/>
    <w:rsid w:val="05203D67"/>
    <w:rsid w:val="053509BB"/>
    <w:rsid w:val="05363B99"/>
    <w:rsid w:val="055A008C"/>
    <w:rsid w:val="05660C79"/>
    <w:rsid w:val="05A94E9B"/>
    <w:rsid w:val="05B5354F"/>
    <w:rsid w:val="05C77D31"/>
    <w:rsid w:val="05CF34BF"/>
    <w:rsid w:val="05D626FD"/>
    <w:rsid w:val="05F36976"/>
    <w:rsid w:val="05F80E9F"/>
    <w:rsid w:val="06556A16"/>
    <w:rsid w:val="06671DFD"/>
    <w:rsid w:val="066C1FAC"/>
    <w:rsid w:val="06A85729"/>
    <w:rsid w:val="070B6B2B"/>
    <w:rsid w:val="07260087"/>
    <w:rsid w:val="072C55A5"/>
    <w:rsid w:val="072C7A50"/>
    <w:rsid w:val="073F5B5F"/>
    <w:rsid w:val="074A5FE6"/>
    <w:rsid w:val="07534A72"/>
    <w:rsid w:val="075524D7"/>
    <w:rsid w:val="07673B86"/>
    <w:rsid w:val="076E4329"/>
    <w:rsid w:val="077765EB"/>
    <w:rsid w:val="07D04F72"/>
    <w:rsid w:val="07E63C42"/>
    <w:rsid w:val="07E723AA"/>
    <w:rsid w:val="07F30816"/>
    <w:rsid w:val="084C20C2"/>
    <w:rsid w:val="085146E0"/>
    <w:rsid w:val="085B3EDF"/>
    <w:rsid w:val="086218C9"/>
    <w:rsid w:val="08715170"/>
    <w:rsid w:val="087D2589"/>
    <w:rsid w:val="08970A9A"/>
    <w:rsid w:val="089F124E"/>
    <w:rsid w:val="08AD60D8"/>
    <w:rsid w:val="08BA63EF"/>
    <w:rsid w:val="08D35662"/>
    <w:rsid w:val="08E763E3"/>
    <w:rsid w:val="08EF6EE4"/>
    <w:rsid w:val="09096B03"/>
    <w:rsid w:val="09190EEC"/>
    <w:rsid w:val="093D37A3"/>
    <w:rsid w:val="096D7C5A"/>
    <w:rsid w:val="09734935"/>
    <w:rsid w:val="09796F60"/>
    <w:rsid w:val="098C0F2C"/>
    <w:rsid w:val="099D5A30"/>
    <w:rsid w:val="09B878D0"/>
    <w:rsid w:val="09CA55FB"/>
    <w:rsid w:val="09E924D2"/>
    <w:rsid w:val="09EB2C7F"/>
    <w:rsid w:val="09EC0BAB"/>
    <w:rsid w:val="0A0C2E66"/>
    <w:rsid w:val="0A146479"/>
    <w:rsid w:val="0A1D3BE9"/>
    <w:rsid w:val="0A4C074B"/>
    <w:rsid w:val="0A6C3C00"/>
    <w:rsid w:val="0A705E7E"/>
    <w:rsid w:val="0A9B375F"/>
    <w:rsid w:val="0AAC6C0C"/>
    <w:rsid w:val="0AB255E0"/>
    <w:rsid w:val="0AC675CB"/>
    <w:rsid w:val="0AE6346D"/>
    <w:rsid w:val="0B085EBE"/>
    <w:rsid w:val="0B1262CC"/>
    <w:rsid w:val="0B1940D3"/>
    <w:rsid w:val="0B4E16E0"/>
    <w:rsid w:val="0B5B2301"/>
    <w:rsid w:val="0B5C2651"/>
    <w:rsid w:val="0B704EB8"/>
    <w:rsid w:val="0BA670FD"/>
    <w:rsid w:val="0BD206EB"/>
    <w:rsid w:val="0BE22D2E"/>
    <w:rsid w:val="0BE23A54"/>
    <w:rsid w:val="0BE76914"/>
    <w:rsid w:val="0C056249"/>
    <w:rsid w:val="0C274838"/>
    <w:rsid w:val="0C3F5C09"/>
    <w:rsid w:val="0C4563B9"/>
    <w:rsid w:val="0C5E0654"/>
    <w:rsid w:val="0C62612E"/>
    <w:rsid w:val="0C8072C3"/>
    <w:rsid w:val="0C92386B"/>
    <w:rsid w:val="0CA04CA2"/>
    <w:rsid w:val="0CAE3E7D"/>
    <w:rsid w:val="0CB85341"/>
    <w:rsid w:val="0CBD485A"/>
    <w:rsid w:val="0CD27274"/>
    <w:rsid w:val="0CE60C5B"/>
    <w:rsid w:val="0CFA1287"/>
    <w:rsid w:val="0CFD24B4"/>
    <w:rsid w:val="0D0117B4"/>
    <w:rsid w:val="0D01619F"/>
    <w:rsid w:val="0D036E96"/>
    <w:rsid w:val="0D2E4F2F"/>
    <w:rsid w:val="0D4041EB"/>
    <w:rsid w:val="0D4C180E"/>
    <w:rsid w:val="0DA678BA"/>
    <w:rsid w:val="0DBB1D88"/>
    <w:rsid w:val="0DCE0F79"/>
    <w:rsid w:val="0DDA199C"/>
    <w:rsid w:val="0DDA727B"/>
    <w:rsid w:val="0DDC0EB9"/>
    <w:rsid w:val="0DDC2799"/>
    <w:rsid w:val="0DDD00BB"/>
    <w:rsid w:val="0DFC60ED"/>
    <w:rsid w:val="0E125C73"/>
    <w:rsid w:val="0E173B47"/>
    <w:rsid w:val="0E2D6374"/>
    <w:rsid w:val="0E445115"/>
    <w:rsid w:val="0E586E56"/>
    <w:rsid w:val="0E965313"/>
    <w:rsid w:val="0EA91E75"/>
    <w:rsid w:val="0EE344B5"/>
    <w:rsid w:val="0F0D107C"/>
    <w:rsid w:val="0F0E6720"/>
    <w:rsid w:val="0F4D3080"/>
    <w:rsid w:val="0F627DA2"/>
    <w:rsid w:val="0F8A67B5"/>
    <w:rsid w:val="0FA461AB"/>
    <w:rsid w:val="0FE22AB7"/>
    <w:rsid w:val="0FE718AE"/>
    <w:rsid w:val="0FE81A41"/>
    <w:rsid w:val="0FF504C5"/>
    <w:rsid w:val="10236D77"/>
    <w:rsid w:val="10384BA1"/>
    <w:rsid w:val="103F4D87"/>
    <w:rsid w:val="10523E08"/>
    <w:rsid w:val="105F2958"/>
    <w:rsid w:val="10631D68"/>
    <w:rsid w:val="1064669D"/>
    <w:rsid w:val="10716375"/>
    <w:rsid w:val="107E3BF9"/>
    <w:rsid w:val="10877F6D"/>
    <w:rsid w:val="11061962"/>
    <w:rsid w:val="1115410E"/>
    <w:rsid w:val="112A1FBA"/>
    <w:rsid w:val="113D7F91"/>
    <w:rsid w:val="11696F12"/>
    <w:rsid w:val="118F603A"/>
    <w:rsid w:val="119E4B3A"/>
    <w:rsid w:val="11BC311D"/>
    <w:rsid w:val="11F92636"/>
    <w:rsid w:val="12292A1E"/>
    <w:rsid w:val="122E5B1E"/>
    <w:rsid w:val="123F44A2"/>
    <w:rsid w:val="12484E4A"/>
    <w:rsid w:val="12666BCC"/>
    <w:rsid w:val="12816125"/>
    <w:rsid w:val="128220B6"/>
    <w:rsid w:val="128C7D48"/>
    <w:rsid w:val="12AA3A07"/>
    <w:rsid w:val="12AC6E04"/>
    <w:rsid w:val="12E93547"/>
    <w:rsid w:val="12F3442E"/>
    <w:rsid w:val="133476EF"/>
    <w:rsid w:val="13445791"/>
    <w:rsid w:val="134635DB"/>
    <w:rsid w:val="1357367D"/>
    <w:rsid w:val="13646D10"/>
    <w:rsid w:val="13655A9E"/>
    <w:rsid w:val="139628D8"/>
    <w:rsid w:val="13A36590"/>
    <w:rsid w:val="13CF51DD"/>
    <w:rsid w:val="13D226AF"/>
    <w:rsid w:val="13D34AF5"/>
    <w:rsid w:val="13DB4F92"/>
    <w:rsid w:val="1418000B"/>
    <w:rsid w:val="1427438A"/>
    <w:rsid w:val="14565D1F"/>
    <w:rsid w:val="14787907"/>
    <w:rsid w:val="14806907"/>
    <w:rsid w:val="14806CD6"/>
    <w:rsid w:val="14A23E44"/>
    <w:rsid w:val="14A8396E"/>
    <w:rsid w:val="14B62C1A"/>
    <w:rsid w:val="14D44300"/>
    <w:rsid w:val="14D93CB1"/>
    <w:rsid w:val="14DA70D1"/>
    <w:rsid w:val="14EF7961"/>
    <w:rsid w:val="14F56D5A"/>
    <w:rsid w:val="14FB28FE"/>
    <w:rsid w:val="150429F6"/>
    <w:rsid w:val="150D2A54"/>
    <w:rsid w:val="15156A19"/>
    <w:rsid w:val="155623E0"/>
    <w:rsid w:val="1572095A"/>
    <w:rsid w:val="15C95B09"/>
    <w:rsid w:val="15EA5CAE"/>
    <w:rsid w:val="15FA19FE"/>
    <w:rsid w:val="15FE2327"/>
    <w:rsid w:val="160217CC"/>
    <w:rsid w:val="16027579"/>
    <w:rsid w:val="16171CB4"/>
    <w:rsid w:val="161F16D9"/>
    <w:rsid w:val="16260333"/>
    <w:rsid w:val="1643527D"/>
    <w:rsid w:val="164A6903"/>
    <w:rsid w:val="164C095D"/>
    <w:rsid w:val="16632339"/>
    <w:rsid w:val="167A25D1"/>
    <w:rsid w:val="16AF74C1"/>
    <w:rsid w:val="16B451A1"/>
    <w:rsid w:val="16DC353E"/>
    <w:rsid w:val="170A73BD"/>
    <w:rsid w:val="17160A43"/>
    <w:rsid w:val="174A5A95"/>
    <w:rsid w:val="174F4395"/>
    <w:rsid w:val="176B0DEA"/>
    <w:rsid w:val="1777258E"/>
    <w:rsid w:val="177B2B4C"/>
    <w:rsid w:val="17847968"/>
    <w:rsid w:val="17863144"/>
    <w:rsid w:val="1786425E"/>
    <w:rsid w:val="178A0924"/>
    <w:rsid w:val="17A16F12"/>
    <w:rsid w:val="17BE442F"/>
    <w:rsid w:val="17C54B98"/>
    <w:rsid w:val="17CF4BB8"/>
    <w:rsid w:val="17D21925"/>
    <w:rsid w:val="17DF243D"/>
    <w:rsid w:val="17E84521"/>
    <w:rsid w:val="17EB14FB"/>
    <w:rsid w:val="17FE0027"/>
    <w:rsid w:val="181B0779"/>
    <w:rsid w:val="18364E77"/>
    <w:rsid w:val="183D4FEE"/>
    <w:rsid w:val="18400A5E"/>
    <w:rsid w:val="18407A15"/>
    <w:rsid w:val="187C456B"/>
    <w:rsid w:val="187E6CAF"/>
    <w:rsid w:val="188633DB"/>
    <w:rsid w:val="188D05C7"/>
    <w:rsid w:val="18C73D32"/>
    <w:rsid w:val="18CB2B75"/>
    <w:rsid w:val="18DD2264"/>
    <w:rsid w:val="18EA4156"/>
    <w:rsid w:val="19024F6A"/>
    <w:rsid w:val="19167623"/>
    <w:rsid w:val="192B4317"/>
    <w:rsid w:val="19433FC8"/>
    <w:rsid w:val="196561E2"/>
    <w:rsid w:val="19675A6E"/>
    <w:rsid w:val="19775513"/>
    <w:rsid w:val="198F4E4D"/>
    <w:rsid w:val="199B28A1"/>
    <w:rsid w:val="19A66D22"/>
    <w:rsid w:val="19AD5C55"/>
    <w:rsid w:val="19AE250E"/>
    <w:rsid w:val="19B10BC9"/>
    <w:rsid w:val="19C55B70"/>
    <w:rsid w:val="19D71810"/>
    <w:rsid w:val="19F23284"/>
    <w:rsid w:val="1A034B64"/>
    <w:rsid w:val="1A110FAB"/>
    <w:rsid w:val="1A224AA1"/>
    <w:rsid w:val="1A2528D9"/>
    <w:rsid w:val="1A272330"/>
    <w:rsid w:val="1A3076E5"/>
    <w:rsid w:val="1A39737E"/>
    <w:rsid w:val="1A4C4DA1"/>
    <w:rsid w:val="1A791292"/>
    <w:rsid w:val="1A7F27BC"/>
    <w:rsid w:val="1AA56983"/>
    <w:rsid w:val="1AAF0325"/>
    <w:rsid w:val="1AD75490"/>
    <w:rsid w:val="1AE338C3"/>
    <w:rsid w:val="1AF24E1A"/>
    <w:rsid w:val="1AF632E9"/>
    <w:rsid w:val="1AF75459"/>
    <w:rsid w:val="1B1B2C06"/>
    <w:rsid w:val="1B23102F"/>
    <w:rsid w:val="1B943714"/>
    <w:rsid w:val="1B9951F6"/>
    <w:rsid w:val="1B9B1D0C"/>
    <w:rsid w:val="1BB13BF3"/>
    <w:rsid w:val="1BB74F63"/>
    <w:rsid w:val="1BCB12F4"/>
    <w:rsid w:val="1BCC09C5"/>
    <w:rsid w:val="1BDE3E04"/>
    <w:rsid w:val="1BE80AAD"/>
    <w:rsid w:val="1BED13FF"/>
    <w:rsid w:val="1BF70361"/>
    <w:rsid w:val="1C024CC8"/>
    <w:rsid w:val="1C037EB6"/>
    <w:rsid w:val="1C1532CA"/>
    <w:rsid w:val="1C177518"/>
    <w:rsid w:val="1C2F63A6"/>
    <w:rsid w:val="1C3F2750"/>
    <w:rsid w:val="1C411AC8"/>
    <w:rsid w:val="1C4B0137"/>
    <w:rsid w:val="1C4B41AF"/>
    <w:rsid w:val="1C6177B4"/>
    <w:rsid w:val="1C767F81"/>
    <w:rsid w:val="1C99460C"/>
    <w:rsid w:val="1CA650F5"/>
    <w:rsid w:val="1CBB49C8"/>
    <w:rsid w:val="1CEB159C"/>
    <w:rsid w:val="1CFD2715"/>
    <w:rsid w:val="1D047F18"/>
    <w:rsid w:val="1D0B6CAD"/>
    <w:rsid w:val="1D1D5D25"/>
    <w:rsid w:val="1D376E52"/>
    <w:rsid w:val="1D3B1492"/>
    <w:rsid w:val="1D3F5CDF"/>
    <w:rsid w:val="1D520FE4"/>
    <w:rsid w:val="1D54199D"/>
    <w:rsid w:val="1D5F7718"/>
    <w:rsid w:val="1D647783"/>
    <w:rsid w:val="1D8525E2"/>
    <w:rsid w:val="1D9407DB"/>
    <w:rsid w:val="1D9B7143"/>
    <w:rsid w:val="1DA67B23"/>
    <w:rsid w:val="1DA7646F"/>
    <w:rsid w:val="1DC558A4"/>
    <w:rsid w:val="1DD4732B"/>
    <w:rsid w:val="1DE63612"/>
    <w:rsid w:val="1DE85F2E"/>
    <w:rsid w:val="1DEF0FBF"/>
    <w:rsid w:val="1E19374A"/>
    <w:rsid w:val="1E29538D"/>
    <w:rsid w:val="1E497EFC"/>
    <w:rsid w:val="1E6D4EB4"/>
    <w:rsid w:val="1E7F7B76"/>
    <w:rsid w:val="1E9A38F0"/>
    <w:rsid w:val="1EA7571C"/>
    <w:rsid w:val="1EB9164B"/>
    <w:rsid w:val="1EBA0BB2"/>
    <w:rsid w:val="1EBF0860"/>
    <w:rsid w:val="1EE05F44"/>
    <w:rsid w:val="1EE447BD"/>
    <w:rsid w:val="1EF2097C"/>
    <w:rsid w:val="1F0075A3"/>
    <w:rsid w:val="1F2C0899"/>
    <w:rsid w:val="1F415C80"/>
    <w:rsid w:val="1F7223F2"/>
    <w:rsid w:val="1F9A2B40"/>
    <w:rsid w:val="1FA936A0"/>
    <w:rsid w:val="1FF668C6"/>
    <w:rsid w:val="2002708F"/>
    <w:rsid w:val="201C3760"/>
    <w:rsid w:val="201F3F2C"/>
    <w:rsid w:val="203A52F3"/>
    <w:rsid w:val="20446D01"/>
    <w:rsid w:val="20632CC8"/>
    <w:rsid w:val="2073171E"/>
    <w:rsid w:val="207768C4"/>
    <w:rsid w:val="2093656D"/>
    <w:rsid w:val="20A66858"/>
    <w:rsid w:val="20FB015C"/>
    <w:rsid w:val="20FF4B26"/>
    <w:rsid w:val="212649FA"/>
    <w:rsid w:val="212A476B"/>
    <w:rsid w:val="213C6A2D"/>
    <w:rsid w:val="216E0CF5"/>
    <w:rsid w:val="219D065F"/>
    <w:rsid w:val="21BA0F46"/>
    <w:rsid w:val="21CB5590"/>
    <w:rsid w:val="21E830FD"/>
    <w:rsid w:val="22137A2C"/>
    <w:rsid w:val="221C5BAB"/>
    <w:rsid w:val="223A7C20"/>
    <w:rsid w:val="224A67E6"/>
    <w:rsid w:val="225E5065"/>
    <w:rsid w:val="228418C8"/>
    <w:rsid w:val="229354C1"/>
    <w:rsid w:val="229D030B"/>
    <w:rsid w:val="22D0275F"/>
    <w:rsid w:val="22EB55BE"/>
    <w:rsid w:val="22F05634"/>
    <w:rsid w:val="22F55525"/>
    <w:rsid w:val="232A05DD"/>
    <w:rsid w:val="2331761B"/>
    <w:rsid w:val="23514754"/>
    <w:rsid w:val="23597941"/>
    <w:rsid w:val="235C6A64"/>
    <w:rsid w:val="236465ED"/>
    <w:rsid w:val="237301B7"/>
    <w:rsid w:val="2379206F"/>
    <w:rsid w:val="237F652B"/>
    <w:rsid w:val="23845305"/>
    <w:rsid w:val="239F233B"/>
    <w:rsid w:val="23AB13B0"/>
    <w:rsid w:val="23DF2177"/>
    <w:rsid w:val="23FC6428"/>
    <w:rsid w:val="240E27B8"/>
    <w:rsid w:val="241E3953"/>
    <w:rsid w:val="243C32E8"/>
    <w:rsid w:val="243F212F"/>
    <w:rsid w:val="244E059E"/>
    <w:rsid w:val="24572DE2"/>
    <w:rsid w:val="24624EEE"/>
    <w:rsid w:val="24912A34"/>
    <w:rsid w:val="2491647C"/>
    <w:rsid w:val="24A64F12"/>
    <w:rsid w:val="24E83286"/>
    <w:rsid w:val="24F82D4B"/>
    <w:rsid w:val="2510223E"/>
    <w:rsid w:val="25130C00"/>
    <w:rsid w:val="253749C3"/>
    <w:rsid w:val="25757BBB"/>
    <w:rsid w:val="2585514B"/>
    <w:rsid w:val="258D50FE"/>
    <w:rsid w:val="259C237B"/>
    <w:rsid w:val="259F0959"/>
    <w:rsid w:val="25A42B2E"/>
    <w:rsid w:val="25AB2640"/>
    <w:rsid w:val="25AB5457"/>
    <w:rsid w:val="25FF35A5"/>
    <w:rsid w:val="260A34EE"/>
    <w:rsid w:val="262313E5"/>
    <w:rsid w:val="262B36B8"/>
    <w:rsid w:val="26514040"/>
    <w:rsid w:val="26555A01"/>
    <w:rsid w:val="265F6A8C"/>
    <w:rsid w:val="26757865"/>
    <w:rsid w:val="26AE111A"/>
    <w:rsid w:val="26EF78E2"/>
    <w:rsid w:val="270840EE"/>
    <w:rsid w:val="27100B77"/>
    <w:rsid w:val="27126367"/>
    <w:rsid w:val="274F643E"/>
    <w:rsid w:val="275B048C"/>
    <w:rsid w:val="2760534C"/>
    <w:rsid w:val="278A3C65"/>
    <w:rsid w:val="279B2617"/>
    <w:rsid w:val="27D319B2"/>
    <w:rsid w:val="27DF3186"/>
    <w:rsid w:val="27E005DD"/>
    <w:rsid w:val="27E03436"/>
    <w:rsid w:val="27EA7948"/>
    <w:rsid w:val="28044DC0"/>
    <w:rsid w:val="280865AB"/>
    <w:rsid w:val="280C0791"/>
    <w:rsid w:val="280C5231"/>
    <w:rsid w:val="281F49DA"/>
    <w:rsid w:val="283A1A39"/>
    <w:rsid w:val="28806389"/>
    <w:rsid w:val="28836521"/>
    <w:rsid w:val="28883B56"/>
    <w:rsid w:val="28A145D8"/>
    <w:rsid w:val="28A649CC"/>
    <w:rsid w:val="28C33A61"/>
    <w:rsid w:val="28E2443B"/>
    <w:rsid w:val="28EC1DEA"/>
    <w:rsid w:val="28F03C43"/>
    <w:rsid w:val="29164A71"/>
    <w:rsid w:val="29482868"/>
    <w:rsid w:val="294B6114"/>
    <w:rsid w:val="29736E05"/>
    <w:rsid w:val="29C6331B"/>
    <w:rsid w:val="29D00C2D"/>
    <w:rsid w:val="29E46F79"/>
    <w:rsid w:val="29E626CA"/>
    <w:rsid w:val="29E9063C"/>
    <w:rsid w:val="29FD7131"/>
    <w:rsid w:val="2A017576"/>
    <w:rsid w:val="2A0B74FD"/>
    <w:rsid w:val="2A2C7628"/>
    <w:rsid w:val="2A3740FB"/>
    <w:rsid w:val="2A384608"/>
    <w:rsid w:val="2A4E1F8A"/>
    <w:rsid w:val="2A5F1BC5"/>
    <w:rsid w:val="2A633BFF"/>
    <w:rsid w:val="2AB15EF0"/>
    <w:rsid w:val="2AB8760C"/>
    <w:rsid w:val="2AC01D67"/>
    <w:rsid w:val="2B016278"/>
    <w:rsid w:val="2B101B22"/>
    <w:rsid w:val="2B1B054C"/>
    <w:rsid w:val="2B2D2AC4"/>
    <w:rsid w:val="2B325ED0"/>
    <w:rsid w:val="2B396AE6"/>
    <w:rsid w:val="2B404763"/>
    <w:rsid w:val="2B486B34"/>
    <w:rsid w:val="2B565C2C"/>
    <w:rsid w:val="2B81017E"/>
    <w:rsid w:val="2B892E82"/>
    <w:rsid w:val="2B94181A"/>
    <w:rsid w:val="2B9E3498"/>
    <w:rsid w:val="2BAB0DDD"/>
    <w:rsid w:val="2BB175F0"/>
    <w:rsid w:val="2BBC431E"/>
    <w:rsid w:val="2BCA57DE"/>
    <w:rsid w:val="2BD456EC"/>
    <w:rsid w:val="2C195B97"/>
    <w:rsid w:val="2C2858E8"/>
    <w:rsid w:val="2C2F2FEF"/>
    <w:rsid w:val="2C2F42A7"/>
    <w:rsid w:val="2C3E7B0C"/>
    <w:rsid w:val="2C4549EB"/>
    <w:rsid w:val="2C577E1C"/>
    <w:rsid w:val="2C605D23"/>
    <w:rsid w:val="2C657396"/>
    <w:rsid w:val="2C814143"/>
    <w:rsid w:val="2C8A0B90"/>
    <w:rsid w:val="2C9343C0"/>
    <w:rsid w:val="2C9F626A"/>
    <w:rsid w:val="2CA77679"/>
    <w:rsid w:val="2CB649F5"/>
    <w:rsid w:val="2CBA7FF9"/>
    <w:rsid w:val="2CC80477"/>
    <w:rsid w:val="2CDA7100"/>
    <w:rsid w:val="2D273E42"/>
    <w:rsid w:val="2D4D757F"/>
    <w:rsid w:val="2D50232D"/>
    <w:rsid w:val="2D602BCE"/>
    <w:rsid w:val="2D6C0E74"/>
    <w:rsid w:val="2D811361"/>
    <w:rsid w:val="2D861736"/>
    <w:rsid w:val="2DAB4BA4"/>
    <w:rsid w:val="2DAF56A3"/>
    <w:rsid w:val="2DB25E25"/>
    <w:rsid w:val="2DB7373B"/>
    <w:rsid w:val="2DD22450"/>
    <w:rsid w:val="2E2D23E8"/>
    <w:rsid w:val="2E3B046E"/>
    <w:rsid w:val="2E520C9F"/>
    <w:rsid w:val="2E550B10"/>
    <w:rsid w:val="2E823C93"/>
    <w:rsid w:val="2E835B8E"/>
    <w:rsid w:val="2EB432C2"/>
    <w:rsid w:val="2EC75D1E"/>
    <w:rsid w:val="2F096EF5"/>
    <w:rsid w:val="2F1C0F54"/>
    <w:rsid w:val="2F53589E"/>
    <w:rsid w:val="2F5C6AD1"/>
    <w:rsid w:val="2F761A0D"/>
    <w:rsid w:val="2F8A1E88"/>
    <w:rsid w:val="2F8B3B64"/>
    <w:rsid w:val="2F962509"/>
    <w:rsid w:val="2FAC5150"/>
    <w:rsid w:val="2FC83110"/>
    <w:rsid w:val="2FE6715E"/>
    <w:rsid w:val="302C4798"/>
    <w:rsid w:val="30335CA7"/>
    <w:rsid w:val="305C25BA"/>
    <w:rsid w:val="307652E0"/>
    <w:rsid w:val="307C7EDC"/>
    <w:rsid w:val="30BE30B2"/>
    <w:rsid w:val="30DD760C"/>
    <w:rsid w:val="30F037B7"/>
    <w:rsid w:val="30F901FF"/>
    <w:rsid w:val="310D58F9"/>
    <w:rsid w:val="310E2D9A"/>
    <w:rsid w:val="312A22E4"/>
    <w:rsid w:val="313559B3"/>
    <w:rsid w:val="3149639F"/>
    <w:rsid w:val="314B6E06"/>
    <w:rsid w:val="314F7D17"/>
    <w:rsid w:val="3174455B"/>
    <w:rsid w:val="317B18DA"/>
    <w:rsid w:val="31816B73"/>
    <w:rsid w:val="31851480"/>
    <w:rsid w:val="319028F9"/>
    <w:rsid w:val="31973EDC"/>
    <w:rsid w:val="319C2813"/>
    <w:rsid w:val="31C667C2"/>
    <w:rsid w:val="31C73ED6"/>
    <w:rsid w:val="31D71259"/>
    <w:rsid w:val="31E157EA"/>
    <w:rsid w:val="322C2610"/>
    <w:rsid w:val="3241526D"/>
    <w:rsid w:val="325E574A"/>
    <w:rsid w:val="32623B7E"/>
    <w:rsid w:val="326669AD"/>
    <w:rsid w:val="32802FE1"/>
    <w:rsid w:val="32A45429"/>
    <w:rsid w:val="32B702E8"/>
    <w:rsid w:val="32C257D5"/>
    <w:rsid w:val="32D86D2B"/>
    <w:rsid w:val="33547BBB"/>
    <w:rsid w:val="335C64D7"/>
    <w:rsid w:val="3365285E"/>
    <w:rsid w:val="33775F59"/>
    <w:rsid w:val="33824DCA"/>
    <w:rsid w:val="3388544D"/>
    <w:rsid w:val="338A0A3C"/>
    <w:rsid w:val="33930D63"/>
    <w:rsid w:val="339E1AB7"/>
    <w:rsid w:val="33A07A69"/>
    <w:rsid w:val="33E70D41"/>
    <w:rsid w:val="340347FD"/>
    <w:rsid w:val="34130690"/>
    <w:rsid w:val="34240224"/>
    <w:rsid w:val="34260863"/>
    <w:rsid w:val="34402037"/>
    <w:rsid w:val="34542266"/>
    <w:rsid w:val="347E62A7"/>
    <w:rsid w:val="348A2042"/>
    <w:rsid w:val="34992D08"/>
    <w:rsid w:val="34AE728B"/>
    <w:rsid w:val="34CD4FBC"/>
    <w:rsid w:val="34FD2414"/>
    <w:rsid w:val="35223B41"/>
    <w:rsid w:val="354B5F5A"/>
    <w:rsid w:val="354F0A7E"/>
    <w:rsid w:val="35845149"/>
    <w:rsid w:val="35901358"/>
    <w:rsid w:val="35AC118A"/>
    <w:rsid w:val="35FD2BCE"/>
    <w:rsid w:val="36021F40"/>
    <w:rsid w:val="36193CC3"/>
    <w:rsid w:val="36360E94"/>
    <w:rsid w:val="36412735"/>
    <w:rsid w:val="364A2F7B"/>
    <w:rsid w:val="36855DEE"/>
    <w:rsid w:val="368B1519"/>
    <w:rsid w:val="369E781D"/>
    <w:rsid w:val="36CE1B81"/>
    <w:rsid w:val="36FB6483"/>
    <w:rsid w:val="373D2BC0"/>
    <w:rsid w:val="37402414"/>
    <w:rsid w:val="374A56DF"/>
    <w:rsid w:val="374A6487"/>
    <w:rsid w:val="375740B2"/>
    <w:rsid w:val="377516AF"/>
    <w:rsid w:val="37752930"/>
    <w:rsid w:val="37841FFA"/>
    <w:rsid w:val="3791457C"/>
    <w:rsid w:val="37B976AA"/>
    <w:rsid w:val="3809170D"/>
    <w:rsid w:val="380D4601"/>
    <w:rsid w:val="3812716A"/>
    <w:rsid w:val="381B3522"/>
    <w:rsid w:val="385C2DCA"/>
    <w:rsid w:val="385C79B7"/>
    <w:rsid w:val="38613D37"/>
    <w:rsid w:val="386D4A46"/>
    <w:rsid w:val="387E7FB6"/>
    <w:rsid w:val="38A23D04"/>
    <w:rsid w:val="38AD7DDF"/>
    <w:rsid w:val="38B14C2C"/>
    <w:rsid w:val="38B25D8F"/>
    <w:rsid w:val="38BB1BF5"/>
    <w:rsid w:val="38FA3C19"/>
    <w:rsid w:val="390C3521"/>
    <w:rsid w:val="39562557"/>
    <w:rsid w:val="39586D27"/>
    <w:rsid w:val="395C7EA8"/>
    <w:rsid w:val="395F40DC"/>
    <w:rsid w:val="3971606B"/>
    <w:rsid w:val="398902C8"/>
    <w:rsid w:val="39A477F1"/>
    <w:rsid w:val="39C14F14"/>
    <w:rsid w:val="39CB65CF"/>
    <w:rsid w:val="3A04428C"/>
    <w:rsid w:val="3A103610"/>
    <w:rsid w:val="3A181A65"/>
    <w:rsid w:val="3A246F8E"/>
    <w:rsid w:val="3A354145"/>
    <w:rsid w:val="3A417075"/>
    <w:rsid w:val="3A424688"/>
    <w:rsid w:val="3A585D1D"/>
    <w:rsid w:val="3A752464"/>
    <w:rsid w:val="3A850084"/>
    <w:rsid w:val="3AA63641"/>
    <w:rsid w:val="3AAB2767"/>
    <w:rsid w:val="3ADE36D2"/>
    <w:rsid w:val="3AE51AD8"/>
    <w:rsid w:val="3AF575F3"/>
    <w:rsid w:val="3B052DAD"/>
    <w:rsid w:val="3B0D13A3"/>
    <w:rsid w:val="3B1C4644"/>
    <w:rsid w:val="3B200A99"/>
    <w:rsid w:val="3B487D3B"/>
    <w:rsid w:val="3B4A3C82"/>
    <w:rsid w:val="3B556612"/>
    <w:rsid w:val="3B5600FB"/>
    <w:rsid w:val="3B61265B"/>
    <w:rsid w:val="3B790C44"/>
    <w:rsid w:val="3BA00C79"/>
    <w:rsid w:val="3BA745F4"/>
    <w:rsid w:val="3BC545A0"/>
    <w:rsid w:val="3BC865EA"/>
    <w:rsid w:val="3BD7675C"/>
    <w:rsid w:val="3BEA2540"/>
    <w:rsid w:val="3C610815"/>
    <w:rsid w:val="3C9A5864"/>
    <w:rsid w:val="3D305709"/>
    <w:rsid w:val="3D68066C"/>
    <w:rsid w:val="3DBE43A6"/>
    <w:rsid w:val="3DE27A0D"/>
    <w:rsid w:val="3DFB1CCB"/>
    <w:rsid w:val="3E0620BF"/>
    <w:rsid w:val="3E236A22"/>
    <w:rsid w:val="3E251D20"/>
    <w:rsid w:val="3E4B5A15"/>
    <w:rsid w:val="3E554C90"/>
    <w:rsid w:val="3E570E68"/>
    <w:rsid w:val="3E7744D0"/>
    <w:rsid w:val="3E7D7A5C"/>
    <w:rsid w:val="3E99230E"/>
    <w:rsid w:val="3EB30D2E"/>
    <w:rsid w:val="3EB3129C"/>
    <w:rsid w:val="3EE24830"/>
    <w:rsid w:val="3EE905BF"/>
    <w:rsid w:val="3EF57891"/>
    <w:rsid w:val="3F165706"/>
    <w:rsid w:val="3F68201C"/>
    <w:rsid w:val="3F7074B3"/>
    <w:rsid w:val="3F742073"/>
    <w:rsid w:val="3FB81167"/>
    <w:rsid w:val="3FDA4591"/>
    <w:rsid w:val="3FF47336"/>
    <w:rsid w:val="3FF930D3"/>
    <w:rsid w:val="3FFB7900"/>
    <w:rsid w:val="3FFF7CB6"/>
    <w:rsid w:val="402152B6"/>
    <w:rsid w:val="4022067D"/>
    <w:rsid w:val="40245265"/>
    <w:rsid w:val="402A6BA5"/>
    <w:rsid w:val="40476EDE"/>
    <w:rsid w:val="404D43F0"/>
    <w:rsid w:val="40650FA5"/>
    <w:rsid w:val="40671860"/>
    <w:rsid w:val="40855658"/>
    <w:rsid w:val="408E49B1"/>
    <w:rsid w:val="4097520C"/>
    <w:rsid w:val="40B5573C"/>
    <w:rsid w:val="40B85BD6"/>
    <w:rsid w:val="40D92673"/>
    <w:rsid w:val="40DE568A"/>
    <w:rsid w:val="40ED37D6"/>
    <w:rsid w:val="40F87810"/>
    <w:rsid w:val="41053DD8"/>
    <w:rsid w:val="410B401A"/>
    <w:rsid w:val="411C7E79"/>
    <w:rsid w:val="41367526"/>
    <w:rsid w:val="413B3A1F"/>
    <w:rsid w:val="413C0389"/>
    <w:rsid w:val="414B26B4"/>
    <w:rsid w:val="414D2BD4"/>
    <w:rsid w:val="417C2072"/>
    <w:rsid w:val="418732DB"/>
    <w:rsid w:val="41943147"/>
    <w:rsid w:val="419C331C"/>
    <w:rsid w:val="419C69AF"/>
    <w:rsid w:val="41C024C4"/>
    <w:rsid w:val="41C7062A"/>
    <w:rsid w:val="41D05685"/>
    <w:rsid w:val="41E23311"/>
    <w:rsid w:val="41FB080C"/>
    <w:rsid w:val="41FF4189"/>
    <w:rsid w:val="42122CA8"/>
    <w:rsid w:val="421A7063"/>
    <w:rsid w:val="425E3582"/>
    <w:rsid w:val="4266334F"/>
    <w:rsid w:val="427C635A"/>
    <w:rsid w:val="42A90F16"/>
    <w:rsid w:val="42AC0E5B"/>
    <w:rsid w:val="42D12FBF"/>
    <w:rsid w:val="42F8343A"/>
    <w:rsid w:val="43024664"/>
    <w:rsid w:val="43083F52"/>
    <w:rsid w:val="432D2931"/>
    <w:rsid w:val="435E45D2"/>
    <w:rsid w:val="4362689F"/>
    <w:rsid w:val="43A510A4"/>
    <w:rsid w:val="43C721FD"/>
    <w:rsid w:val="43F501B0"/>
    <w:rsid w:val="4402095F"/>
    <w:rsid w:val="44170D25"/>
    <w:rsid w:val="44527CF9"/>
    <w:rsid w:val="4458374E"/>
    <w:rsid w:val="445A24BD"/>
    <w:rsid w:val="44664390"/>
    <w:rsid w:val="44755257"/>
    <w:rsid w:val="447F2497"/>
    <w:rsid w:val="44B474C7"/>
    <w:rsid w:val="450179BC"/>
    <w:rsid w:val="45071CEB"/>
    <w:rsid w:val="450C1F47"/>
    <w:rsid w:val="451D594D"/>
    <w:rsid w:val="451F622E"/>
    <w:rsid w:val="452610B1"/>
    <w:rsid w:val="45265639"/>
    <w:rsid w:val="452F5E5E"/>
    <w:rsid w:val="45383B45"/>
    <w:rsid w:val="456D703A"/>
    <w:rsid w:val="45732F05"/>
    <w:rsid w:val="4583117D"/>
    <w:rsid w:val="45900458"/>
    <w:rsid w:val="45937A62"/>
    <w:rsid w:val="45BF054E"/>
    <w:rsid w:val="45C66EB9"/>
    <w:rsid w:val="45D45AA8"/>
    <w:rsid w:val="45E325BE"/>
    <w:rsid w:val="45E9322E"/>
    <w:rsid w:val="45F63DA0"/>
    <w:rsid w:val="45FA50A9"/>
    <w:rsid w:val="460458BC"/>
    <w:rsid w:val="461E6462"/>
    <w:rsid w:val="462061AB"/>
    <w:rsid w:val="462D1E0F"/>
    <w:rsid w:val="46450F0B"/>
    <w:rsid w:val="46617AA3"/>
    <w:rsid w:val="4683165C"/>
    <w:rsid w:val="46984426"/>
    <w:rsid w:val="46A02D53"/>
    <w:rsid w:val="46A40226"/>
    <w:rsid w:val="46A4073F"/>
    <w:rsid w:val="46B7407C"/>
    <w:rsid w:val="46B90E05"/>
    <w:rsid w:val="46CD6008"/>
    <w:rsid w:val="46D2570C"/>
    <w:rsid w:val="46D71B00"/>
    <w:rsid w:val="46EE14D2"/>
    <w:rsid w:val="46FC4043"/>
    <w:rsid w:val="47040115"/>
    <w:rsid w:val="471B0744"/>
    <w:rsid w:val="47235A28"/>
    <w:rsid w:val="473379F7"/>
    <w:rsid w:val="474273A5"/>
    <w:rsid w:val="475E0F47"/>
    <w:rsid w:val="47620221"/>
    <w:rsid w:val="47673289"/>
    <w:rsid w:val="47707058"/>
    <w:rsid w:val="478A49F3"/>
    <w:rsid w:val="479C2A89"/>
    <w:rsid w:val="47AC01DC"/>
    <w:rsid w:val="47CA0E20"/>
    <w:rsid w:val="47CF2CAA"/>
    <w:rsid w:val="47E37A43"/>
    <w:rsid w:val="481141F7"/>
    <w:rsid w:val="482652C6"/>
    <w:rsid w:val="48364572"/>
    <w:rsid w:val="484D59E2"/>
    <w:rsid w:val="485E33F9"/>
    <w:rsid w:val="48611E7A"/>
    <w:rsid w:val="48642157"/>
    <w:rsid w:val="486F0102"/>
    <w:rsid w:val="487638D1"/>
    <w:rsid w:val="48963CBC"/>
    <w:rsid w:val="48980810"/>
    <w:rsid w:val="48A07DF6"/>
    <w:rsid w:val="48B35A17"/>
    <w:rsid w:val="48C82689"/>
    <w:rsid w:val="48CB1A2F"/>
    <w:rsid w:val="48D33E74"/>
    <w:rsid w:val="48ED2EAD"/>
    <w:rsid w:val="48F3457D"/>
    <w:rsid w:val="48F74FE7"/>
    <w:rsid w:val="49174972"/>
    <w:rsid w:val="491B29C2"/>
    <w:rsid w:val="4937195F"/>
    <w:rsid w:val="493D183B"/>
    <w:rsid w:val="494663F0"/>
    <w:rsid w:val="495121C7"/>
    <w:rsid w:val="496117B7"/>
    <w:rsid w:val="497E61D1"/>
    <w:rsid w:val="49852803"/>
    <w:rsid w:val="4989364F"/>
    <w:rsid w:val="49917631"/>
    <w:rsid w:val="499C71A3"/>
    <w:rsid w:val="49A23E49"/>
    <w:rsid w:val="49A37CB3"/>
    <w:rsid w:val="49AE34E3"/>
    <w:rsid w:val="49BD5341"/>
    <w:rsid w:val="49BE31C7"/>
    <w:rsid w:val="49D24610"/>
    <w:rsid w:val="49E86A80"/>
    <w:rsid w:val="4A001AB6"/>
    <w:rsid w:val="4A07545F"/>
    <w:rsid w:val="4A121ACE"/>
    <w:rsid w:val="4A260643"/>
    <w:rsid w:val="4A354DC8"/>
    <w:rsid w:val="4A601C45"/>
    <w:rsid w:val="4A667978"/>
    <w:rsid w:val="4A7B11CA"/>
    <w:rsid w:val="4A9E376C"/>
    <w:rsid w:val="4AB52EC7"/>
    <w:rsid w:val="4ABC3B25"/>
    <w:rsid w:val="4ABD2B10"/>
    <w:rsid w:val="4AC03833"/>
    <w:rsid w:val="4AD1289D"/>
    <w:rsid w:val="4AED73D2"/>
    <w:rsid w:val="4AF660AB"/>
    <w:rsid w:val="4B270FB0"/>
    <w:rsid w:val="4B28089A"/>
    <w:rsid w:val="4B2B24FF"/>
    <w:rsid w:val="4B2E7A87"/>
    <w:rsid w:val="4B33301D"/>
    <w:rsid w:val="4B56096D"/>
    <w:rsid w:val="4B706F71"/>
    <w:rsid w:val="4B771A77"/>
    <w:rsid w:val="4B786751"/>
    <w:rsid w:val="4B8C04A0"/>
    <w:rsid w:val="4B8E3B2C"/>
    <w:rsid w:val="4B94409A"/>
    <w:rsid w:val="4BB425C4"/>
    <w:rsid w:val="4BC06C5F"/>
    <w:rsid w:val="4C0C7A0A"/>
    <w:rsid w:val="4C2942E6"/>
    <w:rsid w:val="4C600D95"/>
    <w:rsid w:val="4C6C1695"/>
    <w:rsid w:val="4C79323F"/>
    <w:rsid w:val="4C8461EF"/>
    <w:rsid w:val="4C8D6888"/>
    <w:rsid w:val="4C983E5B"/>
    <w:rsid w:val="4CB008AD"/>
    <w:rsid w:val="4CB518A1"/>
    <w:rsid w:val="4CB6421D"/>
    <w:rsid w:val="4CCF13F7"/>
    <w:rsid w:val="4CE47047"/>
    <w:rsid w:val="4CEA2732"/>
    <w:rsid w:val="4CFB33DC"/>
    <w:rsid w:val="4D3A46AD"/>
    <w:rsid w:val="4D3F7B32"/>
    <w:rsid w:val="4D40643B"/>
    <w:rsid w:val="4D4871DD"/>
    <w:rsid w:val="4D5E01A0"/>
    <w:rsid w:val="4D6C226A"/>
    <w:rsid w:val="4D8E6102"/>
    <w:rsid w:val="4D9E0DEE"/>
    <w:rsid w:val="4DC4631F"/>
    <w:rsid w:val="4DCE091F"/>
    <w:rsid w:val="4DDB343F"/>
    <w:rsid w:val="4DFB70DA"/>
    <w:rsid w:val="4DFF05A3"/>
    <w:rsid w:val="4E3779FB"/>
    <w:rsid w:val="4E411AC2"/>
    <w:rsid w:val="4E456658"/>
    <w:rsid w:val="4E4F4DDD"/>
    <w:rsid w:val="4E4F59A0"/>
    <w:rsid w:val="4E594DDC"/>
    <w:rsid w:val="4E5A2CAE"/>
    <w:rsid w:val="4E662E38"/>
    <w:rsid w:val="4E6A26E4"/>
    <w:rsid w:val="4E6E4801"/>
    <w:rsid w:val="4E8250D8"/>
    <w:rsid w:val="4E9F25D3"/>
    <w:rsid w:val="4EA96D01"/>
    <w:rsid w:val="4EBF6B80"/>
    <w:rsid w:val="4EC54F0F"/>
    <w:rsid w:val="4ECC2EB6"/>
    <w:rsid w:val="4ED80CDA"/>
    <w:rsid w:val="4F076469"/>
    <w:rsid w:val="4F4B4AED"/>
    <w:rsid w:val="4F510271"/>
    <w:rsid w:val="4F5B730E"/>
    <w:rsid w:val="4F6D2041"/>
    <w:rsid w:val="4F6F73DD"/>
    <w:rsid w:val="4F793C80"/>
    <w:rsid w:val="4F7D256A"/>
    <w:rsid w:val="4F916869"/>
    <w:rsid w:val="4F98721B"/>
    <w:rsid w:val="4F9F30CF"/>
    <w:rsid w:val="4FC6669D"/>
    <w:rsid w:val="4FE01DD4"/>
    <w:rsid w:val="4FE106C7"/>
    <w:rsid w:val="4FE405D0"/>
    <w:rsid w:val="500D6C73"/>
    <w:rsid w:val="50252756"/>
    <w:rsid w:val="502B5A5E"/>
    <w:rsid w:val="502D6515"/>
    <w:rsid w:val="503C4B5D"/>
    <w:rsid w:val="503D1053"/>
    <w:rsid w:val="503E7050"/>
    <w:rsid w:val="504615CE"/>
    <w:rsid w:val="505D5C1B"/>
    <w:rsid w:val="50641853"/>
    <w:rsid w:val="509D0395"/>
    <w:rsid w:val="509F4AA8"/>
    <w:rsid w:val="50A64417"/>
    <w:rsid w:val="50C91743"/>
    <w:rsid w:val="50D259E6"/>
    <w:rsid w:val="50DA5799"/>
    <w:rsid w:val="50ED0543"/>
    <w:rsid w:val="51067C16"/>
    <w:rsid w:val="51094E52"/>
    <w:rsid w:val="510B58A3"/>
    <w:rsid w:val="51181152"/>
    <w:rsid w:val="51380850"/>
    <w:rsid w:val="513F7BDE"/>
    <w:rsid w:val="514A6211"/>
    <w:rsid w:val="516952AE"/>
    <w:rsid w:val="51893587"/>
    <w:rsid w:val="518E42B7"/>
    <w:rsid w:val="51A44805"/>
    <w:rsid w:val="51AB7DB1"/>
    <w:rsid w:val="51B159B8"/>
    <w:rsid w:val="51CC2CB9"/>
    <w:rsid w:val="51D7370F"/>
    <w:rsid w:val="51D92902"/>
    <w:rsid w:val="51FA3520"/>
    <w:rsid w:val="52072061"/>
    <w:rsid w:val="52183F03"/>
    <w:rsid w:val="52211ACC"/>
    <w:rsid w:val="523C1EA9"/>
    <w:rsid w:val="527643B4"/>
    <w:rsid w:val="527A5ABC"/>
    <w:rsid w:val="528513A7"/>
    <w:rsid w:val="52860AFE"/>
    <w:rsid w:val="52970987"/>
    <w:rsid w:val="529C3702"/>
    <w:rsid w:val="52A13E50"/>
    <w:rsid w:val="52BD6BA5"/>
    <w:rsid w:val="52CB7796"/>
    <w:rsid w:val="52CE4979"/>
    <w:rsid w:val="52E851D2"/>
    <w:rsid w:val="53045BD3"/>
    <w:rsid w:val="530B4D46"/>
    <w:rsid w:val="53400351"/>
    <w:rsid w:val="53563C85"/>
    <w:rsid w:val="536757A3"/>
    <w:rsid w:val="537E241C"/>
    <w:rsid w:val="53B33212"/>
    <w:rsid w:val="53D632E4"/>
    <w:rsid w:val="54282718"/>
    <w:rsid w:val="542A357C"/>
    <w:rsid w:val="54330E98"/>
    <w:rsid w:val="5439017D"/>
    <w:rsid w:val="54483FF6"/>
    <w:rsid w:val="545A05A8"/>
    <w:rsid w:val="545B188F"/>
    <w:rsid w:val="5460241F"/>
    <w:rsid w:val="5460332D"/>
    <w:rsid w:val="547D21C7"/>
    <w:rsid w:val="549764E9"/>
    <w:rsid w:val="54F17C19"/>
    <w:rsid w:val="552F7EE9"/>
    <w:rsid w:val="55464338"/>
    <w:rsid w:val="554F0CF8"/>
    <w:rsid w:val="555F7CF5"/>
    <w:rsid w:val="557275F1"/>
    <w:rsid w:val="557738CB"/>
    <w:rsid w:val="558C5CEF"/>
    <w:rsid w:val="558C6D44"/>
    <w:rsid w:val="558D7767"/>
    <w:rsid w:val="55930E6F"/>
    <w:rsid w:val="55A311EB"/>
    <w:rsid w:val="55AA00F9"/>
    <w:rsid w:val="55B00C41"/>
    <w:rsid w:val="55B25162"/>
    <w:rsid w:val="55DB3131"/>
    <w:rsid w:val="56081F25"/>
    <w:rsid w:val="560B0BE1"/>
    <w:rsid w:val="561B10BC"/>
    <w:rsid w:val="561C57DE"/>
    <w:rsid w:val="561F01FB"/>
    <w:rsid w:val="56426A33"/>
    <w:rsid w:val="56467876"/>
    <w:rsid w:val="564F52B5"/>
    <w:rsid w:val="5670722A"/>
    <w:rsid w:val="567B064F"/>
    <w:rsid w:val="56A6458A"/>
    <w:rsid w:val="56A675BE"/>
    <w:rsid w:val="56AF34CC"/>
    <w:rsid w:val="56C744F7"/>
    <w:rsid w:val="56D05DB9"/>
    <w:rsid w:val="56FE6B97"/>
    <w:rsid w:val="57024F39"/>
    <w:rsid w:val="57157D19"/>
    <w:rsid w:val="572214C9"/>
    <w:rsid w:val="57313DCE"/>
    <w:rsid w:val="574E0484"/>
    <w:rsid w:val="575701A2"/>
    <w:rsid w:val="577547D5"/>
    <w:rsid w:val="57B06A23"/>
    <w:rsid w:val="57CC6D86"/>
    <w:rsid w:val="57D90AFD"/>
    <w:rsid w:val="57EB5E17"/>
    <w:rsid w:val="57F31256"/>
    <w:rsid w:val="57FF4827"/>
    <w:rsid w:val="580A3E45"/>
    <w:rsid w:val="580F3506"/>
    <w:rsid w:val="581207C5"/>
    <w:rsid w:val="584741FA"/>
    <w:rsid w:val="584B02D1"/>
    <w:rsid w:val="584E7A49"/>
    <w:rsid w:val="58553E74"/>
    <w:rsid w:val="58953AD8"/>
    <w:rsid w:val="58AB2D49"/>
    <w:rsid w:val="58BB137F"/>
    <w:rsid w:val="58C56C3D"/>
    <w:rsid w:val="58F57697"/>
    <w:rsid w:val="590B0514"/>
    <w:rsid w:val="59273E84"/>
    <w:rsid w:val="592F012D"/>
    <w:rsid w:val="59432300"/>
    <w:rsid w:val="594450A9"/>
    <w:rsid w:val="59502101"/>
    <w:rsid w:val="59641F85"/>
    <w:rsid w:val="5966741B"/>
    <w:rsid w:val="596B5919"/>
    <w:rsid w:val="597520FE"/>
    <w:rsid w:val="59B67607"/>
    <w:rsid w:val="59D1733B"/>
    <w:rsid w:val="59DF1474"/>
    <w:rsid w:val="59E73D8B"/>
    <w:rsid w:val="59E80876"/>
    <w:rsid w:val="5A1676BE"/>
    <w:rsid w:val="5A2F1632"/>
    <w:rsid w:val="5A4D7B45"/>
    <w:rsid w:val="5A4F7429"/>
    <w:rsid w:val="5A7B6EB1"/>
    <w:rsid w:val="5A876E27"/>
    <w:rsid w:val="5A940B09"/>
    <w:rsid w:val="5A9F20E1"/>
    <w:rsid w:val="5AA6530C"/>
    <w:rsid w:val="5AA828B1"/>
    <w:rsid w:val="5AAE1FA0"/>
    <w:rsid w:val="5AE95305"/>
    <w:rsid w:val="5AFA3967"/>
    <w:rsid w:val="5AFC24F2"/>
    <w:rsid w:val="5B126C7E"/>
    <w:rsid w:val="5B137595"/>
    <w:rsid w:val="5B642BCB"/>
    <w:rsid w:val="5B8B23A0"/>
    <w:rsid w:val="5B8D5B73"/>
    <w:rsid w:val="5BA02A3D"/>
    <w:rsid w:val="5BA7441F"/>
    <w:rsid w:val="5BAA6BC3"/>
    <w:rsid w:val="5BBD27BC"/>
    <w:rsid w:val="5BC46D00"/>
    <w:rsid w:val="5BE54CAB"/>
    <w:rsid w:val="5BEB433C"/>
    <w:rsid w:val="5C0A21A7"/>
    <w:rsid w:val="5C201622"/>
    <w:rsid w:val="5C4252F4"/>
    <w:rsid w:val="5C636E7B"/>
    <w:rsid w:val="5C7B6323"/>
    <w:rsid w:val="5C8F2F02"/>
    <w:rsid w:val="5CA4234F"/>
    <w:rsid w:val="5CA5626B"/>
    <w:rsid w:val="5CBF5EBC"/>
    <w:rsid w:val="5CC72378"/>
    <w:rsid w:val="5CCF3818"/>
    <w:rsid w:val="5D16746F"/>
    <w:rsid w:val="5D2607D7"/>
    <w:rsid w:val="5D29334A"/>
    <w:rsid w:val="5D297DC8"/>
    <w:rsid w:val="5D2E7B7A"/>
    <w:rsid w:val="5D304D2C"/>
    <w:rsid w:val="5D456B0D"/>
    <w:rsid w:val="5D770A98"/>
    <w:rsid w:val="5D881A7F"/>
    <w:rsid w:val="5D911830"/>
    <w:rsid w:val="5D9A73ED"/>
    <w:rsid w:val="5DB8095B"/>
    <w:rsid w:val="5DC832EF"/>
    <w:rsid w:val="5DEC1281"/>
    <w:rsid w:val="5DF70310"/>
    <w:rsid w:val="5E162914"/>
    <w:rsid w:val="5E4D0684"/>
    <w:rsid w:val="5E551F5B"/>
    <w:rsid w:val="5E667147"/>
    <w:rsid w:val="5E6946A1"/>
    <w:rsid w:val="5EE60DAF"/>
    <w:rsid w:val="5F32376B"/>
    <w:rsid w:val="5F356D87"/>
    <w:rsid w:val="5F385700"/>
    <w:rsid w:val="5F525D06"/>
    <w:rsid w:val="5F755536"/>
    <w:rsid w:val="5F7C22CD"/>
    <w:rsid w:val="5F862EC8"/>
    <w:rsid w:val="5F8C797B"/>
    <w:rsid w:val="5FC60F23"/>
    <w:rsid w:val="5FCA1C81"/>
    <w:rsid w:val="5FE16BDB"/>
    <w:rsid w:val="5FF56D40"/>
    <w:rsid w:val="60025593"/>
    <w:rsid w:val="600D6C18"/>
    <w:rsid w:val="60432AC8"/>
    <w:rsid w:val="604B3BBD"/>
    <w:rsid w:val="60620C4F"/>
    <w:rsid w:val="6086434B"/>
    <w:rsid w:val="60B6165D"/>
    <w:rsid w:val="60CF3E67"/>
    <w:rsid w:val="60F819E2"/>
    <w:rsid w:val="61057182"/>
    <w:rsid w:val="61852A75"/>
    <w:rsid w:val="618C797C"/>
    <w:rsid w:val="6193127D"/>
    <w:rsid w:val="61AB7A39"/>
    <w:rsid w:val="61BF3F5A"/>
    <w:rsid w:val="61C02766"/>
    <w:rsid w:val="61E61E1C"/>
    <w:rsid w:val="61E7154B"/>
    <w:rsid w:val="61F97357"/>
    <w:rsid w:val="620E6A81"/>
    <w:rsid w:val="62273AA7"/>
    <w:rsid w:val="623F1D75"/>
    <w:rsid w:val="62481198"/>
    <w:rsid w:val="624C7713"/>
    <w:rsid w:val="626A2DA2"/>
    <w:rsid w:val="62710FF3"/>
    <w:rsid w:val="628B3790"/>
    <w:rsid w:val="6299493E"/>
    <w:rsid w:val="629B401A"/>
    <w:rsid w:val="62A860FF"/>
    <w:rsid w:val="62AF5B1B"/>
    <w:rsid w:val="62B357A2"/>
    <w:rsid w:val="62BA31BE"/>
    <w:rsid w:val="62D40F97"/>
    <w:rsid w:val="631651C6"/>
    <w:rsid w:val="63195F09"/>
    <w:rsid w:val="631F28F3"/>
    <w:rsid w:val="63222429"/>
    <w:rsid w:val="63597FCD"/>
    <w:rsid w:val="636001CA"/>
    <w:rsid w:val="63637018"/>
    <w:rsid w:val="6369228E"/>
    <w:rsid w:val="636E4DB0"/>
    <w:rsid w:val="637C55C1"/>
    <w:rsid w:val="63B46442"/>
    <w:rsid w:val="63B858D2"/>
    <w:rsid w:val="63BC10F2"/>
    <w:rsid w:val="63D01980"/>
    <w:rsid w:val="63FB31A4"/>
    <w:rsid w:val="64006189"/>
    <w:rsid w:val="64445A06"/>
    <w:rsid w:val="64A81F49"/>
    <w:rsid w:val="64D442D4"/>
    <w:rsid w:val="64EB2CED"/>
    <w:rsid w:val="64F0256E"/>
    <w:rsid w:val="64F94851"/>
    <w:rsid w:val="65300EC5"/>
    <w:rsid w:val="65676612"/>
    <w:rsid w:val="65B15EDA"/>
    <w:rsid w:val="65BE0513"/>
    <w:rsid w:val="65F5183A"/>
    <w:rsid w:val="66094390"/>
    <w:rsid w:val="66277D80"/>
    <w:rsid w:val="66373EED"/>
    <w:rsid w:val="664A20FA"/>
    <w:rsid w:val="66700AF6"/>
    <w:rsid w:val="669C5639"/>
    <w:rsid w:val="66AB52AA"/>
    <w:rsid w:val="66DE6FE0"/>
    <w:rsid w:val="66FF4B72"/>
    <w:rsid w:val="67067EF1"/>
    <w:rsid w:val="672F6B54"/>
    <w:rsid w:val="673C7338"/>
    <w:rsid w:val="67441893"/>
    <w:rsid w:val="6751313B"/>
    <w:rsid w:val="67637F1F"/>
    <w:rsid w:val="67655AF9"/>
    <w:rsid w:val="67916963"/>
    <w:rsid w:val="67A54EDB"/>
    <w:rsid w:val="67E308B5"/>
    <w:rsid w:val="67E4180D"/>
    <w:rsid w:val="67F47EA3"/>
    <w:rsid w:val="67F5484E"/>
    <w:rsid w:val="680C6096"/>
    <w:rsid w:val="68212DD9"/>
    <w:rsid w:val="682866AF"/>
    <w:rsid w:val="682B22EE"/>
    <w:rsid w:val="683A6524"/>
    <w:rsid w:val="686076D6"/>
    <w:rsid w:val="68624305"/>
    <w:rsid w:val="688374A8"/>
    <w:rsid w:val="68BF62C3"/>
    <w:rsid w:val="68C03953"/>
    <w:rsid w:val="68C41247"/>
    <w:rsid w:val="68E66CA0"/>
    <w:rsid w:val="69205D36"/>
    <w:rsid w:val="692F349B"/>
    <w:rsid w:val="69525280"/>
    <w:rsid w:val="69C3368B"/>
    <w:rsid w:val="69C37DEF"/>
    <w:rsid w:val="69D62B98"/>
    <w:rsid w:val="69DB042B"/>
    <w:rsid w:val="69E150CB"/>
    <w:rsid w:val="6A077BEE"/>
    <w:rsid w:val="6A375C7A"/>
    <w:rsid w:val="6A4677DE"/>
    <w:rsid w:val="6A4E00C3"/>
    <w:rsid w:val="6A69264A"/>
    <w:rsid w:val="6A6F73F0"/>
    <w:rsid w:val="6A8C721D"/>
    <w:rsid w:val="6AA7438C"/>
    <w:rsid w:val="6ACA6E2D"/>
    <w:rsid w:val="6AD4703F"/>
    <w:rsid w:val="6ADB5EA5"/>
    <w:rsid w:val="6AEA006D"/>
    <w:rsid w:val="6AED37AD"/>
    <w:rsid w:val="6AFC3C20"/>
    <w:rsid w:val="6B166A2F"/>
    <w:rsid w:val="6B4B3B82"/>
    <w:rsid w:val="6B4C171B"/>
    <w:rsid w:val="6B7F197D"/>
    <w:rsid w:val="6B82583D"/>
    <w:rsid w:val="6B85617D"/>
    <w:rsid w:val="6B9950CC"/>
    <w:rsid w:val="6BB86036"/>
    <w:rsid w:val="6BD10196"/>
    <w:rsid w:val="6BEE1CD1"/>
    <w:rsid w:val="6BF74566"/>
    <w:rsid w:val="6C1747D2"/>
    <w:rsid w:val="6C230986"/>
    <w:rsid w:val="6C461A87"/>
    <w:rsid w:val="6C800716"/>
    <w:rsid w:val="6CCD13E5"/>
    <w:rsid w:val="6CF23782"/>
    <w:rsid w:val="6D024FFB"/>
    <w:rsid w:val="6D0424D2"/>
    <w:rsid w:val="6D067C9B"/>
    <w:rsid w:val="6D0D4301"/>
    <w:rsid w:val="6D293F19"/>
    <w:rsid w:val="6D514BC8"/>
    <w:rsid w:val="6D671E98"/>
    <w:rsid w:val="6D923B5C"/>
    <w:rsid w:val="6D957BAF"/>
    <w:rsid w:val="6DA07839"/>
    <w:rsid w:val="6DC20C5A"/>
    <w:rsid w:val="6DCE6F9E"/>
    <w:rsid w:val="6DEF5C4F"/>
    <w:rsid w:val="6DF03867"/>
    <w:rsid w:val="6E056799"/>
    <w:rsid w:val="6E3549E7"/>
    <w:rsid w:val="6E491F3E"/>
    <w:rsid w:val="6E643ED2"/>
    <w:rsid w:val="6E903041"/>
    <w:rsid w:val="6E90725A"/>
    <w:rsid w:val="6ED65122"/>
    <w:rsid w:val="6ED66053"/>
    <w:rsid w:val="6F267698"/>
    <w:rsid w:val="6F38008C"/>
    <w:rsid w:val="6F707D01"/>
    <w:rsid w:val="6F712C4D"/>
    <w:rsid w:val="6F960763"/>
    <w:rsid w:val="6F9C0AB7"/>
    <w:rsid w:val="6FA619ED"/>
    <w:rsid w:val="6FD84B68"/>
    <w:rsid w:val="6FD9616A"/>
    <w:rsid w:val="6FE37C6B"/>
    <w:rsid w:val="6FEA5FD6"/>
    <w:rsid w:val="6FED1756"/>
    <w:rsid w:val="6FFC7800"/>
    <w:rsid w:val="700117AB"/>
    <w:rsid w:val="70087AE7"/>
    <w:rsid w:val="70161433"/>
    <w:rsid w:val="70315496"/>
    <w:rsid w:val="70425621"/>
    <w:rsid w:val="705769CA"/>
    <w:rsid w:val="705A7508"/>
    <w:rsid w:val="70613884"/>
    <w:rsid w:val="706E71BD"/>
    <w:rsid w:val="70701C4B"/>
    <w:rsid w:val="708E2982"/>
    <w:rsid w:val="70AE2678"/>
    <w:rsid w:val="70DB3D14"/>
    <w:rsid w:val="70E27F93"/>
    <w:rsid w:val="70E86135"/>
    <w:rsid w:val="71242F3A"/>
    <w:rsid w:val="713A32E9"/>
    <w:rsid w:val="71840BA1"/>
    <w:rsid w:val="718606CD"/>
    <w:rsid w:val="71950047"/>
    <w:rsid w:val="719E7039"/>
    <w:rsid w:val="71B749D5"/>
    <w:rsid w:val="71E25F25"/>
    <w:rsid w:val="71FA2C98"/>
    <w:rsid w:val="72427059"/>
    <w:rsid w:val="72555CDD"/>
    <w:rsid w:val="72641B0D"/>
    <w:rsid w:val="72676F72"/>
    <w:rsid w:val="726D7A40"/>
    <w:rsid w:val="726F7C81"/>
    <w:rsid w:val="72764ECB"/>
    <w:rsid w:val="72863C69"/>
    <w:rsid w:val="728C3623"/>
    <w:rsid w:val="72A024FF"/>
    <w:rsid w:val="72A722C8"/>
    <w:rsid w:val="72AD39B6"/>
    <w:rsid w:val="72D16B6E"/>
    <w:rsid w:val="72FF2E55"/>
    <w:rsid w:val="730B1548"/>
    <w:rsid w:val="735E2EF6"/>
    <w:rsid w:val="73831138"/>
    <w:rsid w:val="73976045"/>
    <w:rsid w:val="73A43391"/>
    <w:rsid w:val="73BD1768"/>
    <w:rsid w:val="73BE0238"/>
    <w:rsid w:val="73C46707"/>
    <w:rsid w:val="73D61DBE"/>
    <w:rsid w:val="73DD5DBE"/>
    <w:rsid w:val="73F3727F"/>
    <w:rsid w:val="74053D0B"/>
    <w:rsid w:val="74135CDD"/>
    <w:rsid w:val="742B1243"/>
    <w:rsid w:val="744F37AA"/>
    <w:rsid w:val="746C62BC"/>
    <w:rsid w:val="7475796A"/>
    <w:rsid w:val="748C15BC"/>
    <w:rsid w:val="74CC67F4"/>
    <w:rsid w:val="74F310F6"/>
    <w:rsid w:val="74FD204F"/>
    <w:rsid w:val="74FF0626"/>
    <w:rsid w:val="750751FF"/>
    <w:rsid w:val="751E0C7A"/>
    <w:rsid w:val="751F371C"/>
    <w:rsid w:val="75220830"/>
    <w:rsid w:val="752A6F6F"/>
    <w:rsid w:val="755F0E4A"/>
    <w:rsid w:val="759069F7"/>
    <w:rsid w:val="75941DF3"/>
    <w:rsid w:val="75954DD4"/>
    <w:rsid w:val="759C6DC0"/>
    <w:rsid w:val="75B65B36"/>
    <w:rsid w:val="75B66081"/>
    <w:rsid w:val="75E766FA"/>
    <w:rsid w:val="75F04356"/>
    <w:rsid w:val="75F94C86"/>
    <w:rsid w:val="7624278E"/>
    <w:rsid w:val="76387C51"/>
    <w:rsid w:val="76480B20"/>
    <w:rsid w:val="76942CFB"/>
    <w:rsid w:val="76966590"/>
    <w:rsid w:val="76A51677"/>
    <w:rsid w:val="76A74B48"/>
    <w:rsid w:val="76A828E8"/>
    <w:rsid w:val="76B6788D"/>
    <w:rsid w:val="77020631"/>
    <w:rsid w:val="770479A8"/>
    <w:rsid w:val="7723459B"/>
    <w:rsid w:val="774C6CD5"/>
    <w:rsid w:val="774D0367"/>
    <w:rsid w:val="7750360F"/>
    <w:rsid w:val="775365F7"/>
    <w:rsid w:val="776A08B1"/>
    <w:rsid w:val="777D168E"/>
    <w:rsid w:val="779A2034"/>
    <w:rsid w:val="77AD584D"/>
    <w:rsid w:val="77BD227A"/>
    <w:rsid w:val="77C278B4"/>
    <w:rsid w:val="77CB1F66"/>
    <w:rsid w:val="77F22C55"/>
    <w:rsid w:val="77F24742"/>
    <w:rsid w:val="77F576B8"/>
    <w:rsid w:val="77FD5607"/>
    <w:rsid w:val="781C5BB5"/>
    <w:rsid w:val="78215CC2"/>
    <w:rsid w:val="78392E32"/>
    <w:rsid w:val="784B6342"/>
    <w:rsid w:val="78536C2C"/>
    <w:rsid w:val="787903B0"/>
    <w:rsid w:val="787A3EB4"/>
    <w:rsid w:val="789C3D38"/>
    <w:rsid w:val="78FD0660"/>
    <w:rsid w:val="79003002"/>
    <w:rsid w:val="79195500"/>
    <w:rsid w:val="79331C0A"/>
    <w:rsid w:val="7955157C"/>
    <w:rsid w:val="79844DCF"/>
    <w:rsid w:val="79866B7F"/>
    <w:rsid w:val="798745EF"/>
    <w:rsid w:val="79AB48FE"/>
    <w:rsid w:val="79AD36FA"/>
    <w:rsid w:val="79B1652A"/>
    <w:rsid w:val="79C86F3E"/>
    <w:rsid w:val="79CC1038"/>
    <w:rsid w:val="79F67E12"/>
    <w:rsid w:val="79FF6CB0"/>
    <w:rsid w:val="7A054169"/>
    <w:rsid w:val="7A5B6F19"/>
    <w:rsid w:val="7A6D2FDF"/>
    <w:rsid w:val="7A700FB1"/>
    <w:rsid w:val="7A792F49"/>
    <w:rsid w:val="7A9B413D"/>
    <w:rsid w:val="7AAC7B7E"/>
    <w:rsid w:val="7AB90E57"/>
    <w:rsid w:val="7ADF4527"/>
    <w:rsid w:val="7AE37846"/>
    <w:rsid w:val="7AE47E86"/>
    <w:rsid w:val="7AF2720D"/>
    <w:rsid w:val="7B0C3F15"/>
    <w:rsid w:val="7B291028"/>
    <w:rsid w:val="7B4D629C"/>
    <w:rsid w:val="7B5074FF"/>
    <w:rsid w:val="7B684DCA"/>
    <w:rsid w:val="7B7A2C8B"/>
    <w:rsid w:val="7B7F2637"/>
    <w:rsid w:val="7B852BC5"/>
    <w:rsid w:val="7B8A228A"/>
    <w:rsid w:val="7B9C23BE"/>
    <w:rsid w:val="7BA90981"/>
    <w:rsid w:val="7BC4600E"/>
    <w:rsid w:val="7BE43371"/>
    <w:rsid w:val="7BFB3926"/>
    <w:rsid w:val="7C0F7337"/>
    <w:rsid w:val="7C274CBE"/>
    <w:rsid w:val="7C392F77"/>
    <w:rsid w:val="7C4A629F"/>
    <w:rsid w:val="7C4C6362"/>
    <w:rsid w:val="7C5E1C65"/>
    <w:rsid w:val="7C6876C8"/>
    <w:rsid w:val="7C6B7DF6"/>
    <w:rsid w:val="7C727507"/>
    <w:rsid w:val="7C931FE1"/>
    <w:rsid w:val="7CA420AB"/>
    <w:rsid w:val="7CAB28AE"/>
    <w:rsid w:val="7CD35696"/>
    <w:rsid w:val="7CDD1473"/>
    <w:rsid w:val="7CF52769"/>
    <w:rsid w:val="7CF6453B"/>
    <w:rsid w:val="7CFD4495"/>
    <w:rsid w:val="7D5702BA"/>
    <w:rsid w:val="7D5C18DE"/>
    <w:rsid w:val="7D787D90"/>
    <w:rsid w:val="7D8969B7"/>
    <w:rsid w:val="7DC45CC2"/>
    <w:rsid w:val="7DE17BBA"/>
    <w:rsid w:val="7DE215DB"/>
    <w:rsid w:val="7E144E8F"/>
    <w:rsid w:val="7E182D16"/>
    <w:rsid w:val="7E30094B"/>
    <w:rsid w:val="7E654AB8"/>
    <w:rsid w:val="7E704415"/>
    <w:rsid w:val="7EA61EED"/>
    <w:rsid w:val="7EA75F15"/>
    <w:rsid w:val="7EAC5AC6"/>
    <w:rsid w:val="7EDE0C50"/>
    <w:rsid w:val="7EE57C91"/>
    <w:rsid w:val="7EEB62EE"/>
    <w:rsid w:val="7F01354C"/>
    <w:rsid w:val="7F2F6772"/>
    <w:rsid w:val="7F3D57E1"/>
    <w:rsid w:val="7F405587"/>
    <w:rsid w:val="7F575472"/>
    <w:rsid w:val="7F624F6F"/>
    <w:rsid w:val="7F6C64EB"/>
    <w:rsid w:val="7F8B11B0"/>
    <w:rsid w:val="7F8F4F7D"/>
    <w:rsid w:val="7FA155C7"/>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iPriority="0" w:semiHidden="0" w:name="index 1"/>
    <w:lsdException w:qFormat="1" w:unhideWhenUsed="0" w:uiPriority="0" w:semiHidden="0" w:name="index 2"/>
    <w:lsdException w:qFormat="1" w:unhideWhenUsed="0" w:uiPriority="0" w:semiHidden="0" w:name="index 3"/>
    <w:lsdException w:qFormat="1" w:unhideWhenUsed="0" w:uiPriority="0" w:semiHidden="0" w:name="index 4"/>
    <w:lsdException w:qFormat="1" w:unhideWhenUsed="0" w:uiPriority="0" w:semiHidden="0" w:name="index 5"/>
    <w:lsdException w:qFormat="1" w:unhideWhenUsed="0" w:uiPriority="0" w:semiHidden="0" w:name="index 6"/>
    <w:lsdException w:qFormat="1" w:unhideWhenUsed="0" w:uiPriority="0" w:semiHidden="0" w:name="index 7"/>
    <w:lsdException w:qFormat="1" w:unhideWhenUsed="0" w:uiPriority="0" w:semiHidden="0" w:name="index 8"/>
    <w:lsdException w:qFormat="1" w:unhideWhenUsed="0" w:uiPriority="0" w:semiHidden="0" w:name="index 9"/>
    <w:lsdException w:qFormat="1" w:unhideWhenUsed="0" w:uiPriority="39" w:semiHidden="0" w:name="toc 1"/>
    <w:lsdException w:qFormat="1" w:unhideWhenUsed="0" w:uiPriority="39"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iPriority="0" w:semiHidden="0" w:name="annotation text"/>
    <w:lsdException w:qFormat="1" w:uiPriority="0" w:semiHidden="0" w:name="header"/>
    <w:lsdException w:qFormat="1" w:uiPriority="99" w:semiHidden="0" w:name="footer"/>
    <w:lsdException w:qFormat="1" w:unhideWhenUsed="0" w:uiPriority="0" w:semiHidden="0" w:name="index heading"/>
    <w:lsdException w:qFormat="1" w:unhideWhenUsed="0" w:uiPriority="0" w:semiHidden="0" w:name="caption"/>
    <w:lsdException w:qFormat="1" w:unhideWhenUsed="0" w:uiPriority="0" w:semiHidden="0" w:name="table of figures"/>
    <w:lsdException w:qFormat="1" w:unhideWhenUsed="0" w:uiPriority="0" w:semiHidden="0" w:name="envelope address"/>
    <w:lsdException w:qFormat="1" w:unhideWhenUsed="0" w:uiPriority="0" w:semiHidden="0" w:name="envelope return"/>
    <w:lsdException w:qFormat="1" w:unhideWhenUsed="0" w:uiPriority="0" w:semiHidden="0" w:name="footnote reference"/>
    <w:lsdException w:qFormat="1" w:unhideWhenUsed="0" w:uiPriority="0" w:semiHidden="0" w:name="annotation reference"/>
    <w:lsdException w:uiPriority="99"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qFormat="1" w:unhideWhenUsed="0" w:uiPriority="0" w:semiHidden="0" w:name="table of authorities"/>
    <w:lsdException w:qFormat="1" w:unhideWhenUsed="0" w:uiPriority="0" w:semiHidden="0" w:name="macro"/>
    <w:lsdException w:qFormat="1" w:unhideWhenUsed="0" w:uiPriority="0" w:semiHidden="0" w:name="toa heading"/>
    <w:lsdException w:qFormat="1" w:unhideWhenUsed="0" w:uiPriority="0" w:semiHidden="0" w:name="List"/>
    <w:lsdException w:qFormat="1" w:unhideWhenUsed="0" w:uiPriority="0" w:semiHidden="0" w:name="List Bullet"/>
    <w:lsdException w:qFormat="1" w:unhideWhenUsed="0" w:uiPriority="0" w:semiHidden="0" w:name="List Number"/>
    <w:lsdException w:qFormat="1" w:unhideWhenUsed="0" w:uiPriority="0" w:semiHidden="0" w:name="List 2"/>
    <w:lsdException w:qFormat="1" w:unhideWhenUsed="0" w:uiPriority="0" w:semiHidden="0" w:name="List 3"/>
    <w:lsdException w:qFormat="1"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0" w:semiHidden="0" w:name="List Bullet 4"/>
    <w:lsdException w:qFormat="1"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0" w:semiHidden="0" w:name="Title"/>
    <w:lsdException w:qFormat="1" w:unhideWhenUsed="0" w:uiPriority="0" w:semiHidden="0" w:name="Closing"/>
    <w:lsdException w:qFormat="1" w:unhideWhenUsed="0" w:uiPriority="0" w:semiHidden="0" w:name="Signature"/>
    <w:lsdException w:qFormat="1" w:uiPriority="1" w:semiHidden="0" w:name="Default Paragraph Font"/>
    <w:lsdException w:qFormat="1" w:uiPriority="0" w:semiHidden="0" w:name="Body Text"/>
    <w:lsdException w:qFormat="1" w:uiPriority="0" w:semiHidden="0" w:name="Body Text Indent"/>
    <w:lsdException w:qFormat="1" w:unhideWhenUsed="0" w:uiPriority="0" w:semiHidden="0" w:name="List Continue"/>
    <w:lsdException w:qFormat="1" w:unhideWhenUsed="0" w:uiPriority="0" w:semiHidden="0" w:name="List Continue 2"/>
    <w:lsdException w:qFormat="1" w:unhideWhenUsed="0" w:uiPriority="0" w:semiHidden="0" w:name="List Continue 3"/>
    <w:lsdException w:qFormat="1" w:unhideWhenUsed="0" w:uiPriority="0" w:semiHidden="0" w:name="List Continue 4"/>
    <w:lsdException w:qFormat="1" w:unhideWhenUsed="0" w:uiPriority="0" w:semiHidden="0" w:name="List Continue 5"/>
    <w:lsdException w:qFormat="1"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qFormat="1"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0" w:semiHidden="0" w:name="FollowedHyperlink"/>
    <w:lsdException w:qFormat="1" w:unhideWhenUsed="0" w:uiPriority="22"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qFormat="1" w:unhideWhenUsed="0" w:uiPriority="0" w:semiHidden="0" w:name="E-mail Signature"/>
    <w:lsdException w:qFormat="1" w:unhideWhenUsed="0" w:uiPriority="99" w:semiHidden="0" w:name="Normal (Web)"/>
    <w:lsdException w:uiPriority="99" w:name="HTML Acronym"/>
    <w:lsdException w:qFormat="1" w:unhideWhenUsed="0" w:uiPriority="0" w:semiHidden="0" w:name="HTML Address"/>
    <w:lsdException w:uiPriority="99" w:name="HTML Cite"/>
    <w:lsdException w:uiPriority="99" w:name="HTML Code"/>
    <w:lsdException w:uiPriority="99" w:name="HTML Definition"/>
    <w:lsdException w:uiPriority="99" w:name="HTML Keyboard"/>
    <w:lsdException w:qFormat="1" w:unhideWhenUsed="0" w:uiPriority="0" w:semiHidden="0" w:name="HTML Preformatted"/>
    <w:lsdException w:uiPriority="99" w:name="HTML Sample"/>
    <w:lsdException w:uiPriority="99" w:name="HTML Typewriter"/>
    <w:lsdException w:uiPriority="99" w:name="HTML Variable"/>
    <w:lsdException w:qFormat="1" w:uiPriority="99" w:semiHidden="0" w:name="Normal Table"/>
    <w:lsdException w:qFormat="1" w:unhideWhenUsed="0" w:uiPriority="0"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nhideWhenUsed="0" w:uiPriority="99" w:semiHidden="0"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8"/>
      <w:lang w:val="en-US" w:eastAsia="zh-CN" w:bidi="ar-SA"/>
    </w:rPr>
  </w:style>
  <w:style w:type="paragraph" w:styleId="5">
    <w:name w:val="heading 1"/>
    <w:basedOn w:val="1"/>
    <w:next w:val="1"/>
    <w:link w:val="106"/>
    <w:qFormat/>
    <w:uiPriority w:val="9"/>
    <w:pPr>
      <w:keepNext/>
      <w:widowControl/>
      <w:spacing w:line="360" w:lineRule="auto"/>
      <w:jc w:val="center"/>
      <w:outlineLvl w:val="0"/>
    </w:pPr>
    <w:rPr>
      <w:rFonts w:ascii="黑体"/>
      <w:b/>
      <w:kern w:val="0"/>
      <w:sz w:val="32"/>
    </w:rPr>
  </w:style>
  <w:style w:type="paragraph" w:styleId="6">
    <w:name w:val="heading 2"/>
    <w:basedOn w:val="1"/>
    <w:next w:val="1"/>
    <w:link w:val="185"/>
    <w:qFormat/>
    <w:uiPriority w:val="0"/>
    <w:pPr>
      <w:keepNext/>
      <w:keepLines/>
      <w:tabs>
        <w:tab w:val="left" w:pos="706"/>
        <w:tab w:val="left" w:pos="1110"/>
      </w:tabs>
      <w:spacing w:line="360" w:lineRule="auto"/>
      <w:ind w:left="106" w:firstLine="454"/>
      <w:outlineLvl w:val="1"/>
    </w:pPr>
    <w:rPr>
      <w:rFonts w:eastAsia="黑体"/>
      <w:b/>
      <w:sz w:val="21"/>
    </w:rPr>
  </w:style>
  <w:style w:type="paragraph" w:styleId="7">
    <w:name w:val="heading 3"/>
    <w:basedOn w:val="1"/>
    <w:next w:val="1"/>
    <w:link w:val="108"/>
    <w:qFormat/>
    <w:uiPriority w:val="0"/>
    <w:pPr>
      <w:keepNext/>
      <w:keepLines/>
      <w:widowControl/>
      <w:tabs>
        <w:tab w:val="left" w:pos="720"/>
      </w:tabs>
      <w:spacing w:before="120" w:after="120" w:line="360" w:lineRule="auto"/>
      <w:ind w:left="720" w:hanging="720"/>
      <w:jc w:val="center"/>
      <w:outlineLvl w:val="2"/>
    </w:pPr>
    <w:rPr>
      <w:b/>
      <w:kern w:val="0"/>
      <w:sz w:val="32"/>
    </w:rPr>
  </w:style>
  <w:style w:type="paragraph" w:styleId="8">
    <w:name w:val="heading 4"/>
    <w:basedOn w:val="1"/>
    <w:next w:val="1"/>
    <w:link w:val="109"/>
    <w:qFormat/>
    <w:uiPriority w:val="0"/>
    <w:pPr>
      <w:tabs>
        <w:tab w:val="left" w:pos="720"/>
      </w:tabs>
      <w:spacing w:before="280" w:after="290" w:line="372" w:lineRule="auto"/>
      <w:outlineLvl w:val="3"/>
    </w:pPr>
    <w:rPr>
      <w:rFonts w:ascii="Arial" w:hAnsi="Arial" w:eastAsia="黑体"/>
    </w:rPr>
  </w:style>
  <w:style w:type="paragraph" w:styleId="9">
    <w:name w:val="heading 5"/>
    <w:basedOn w:val="1"/>
    <w:next w:val="1"/>
    <w:link w:val="110"/>
    <w:qFormat/>
    <w:uiPriority w:val="0"/>
    <w:pPr>
      <w:keepNext/>
      <w:keepLines/>
      <w:spacing w:before="280" w:after="290" w:line="372" w:lineRule="auto"/>
      <w:outlineLvl w:val="4"/>
    </w:pPr>
    <w:rPr>
      <w:b/>
    </w:rPr>
  </w:style>
  <w:style w:type="paragraph" w:styleId="10">
    <w:name w:val="heading 6"/>
    <w:basedOn w:val="1"/>
    <w:next w:val="1"/>
    <w:link w:val="111"/>
    <w:qFormat/>
    <w:uiPriority w:val="0"/>
    <w:pPr>
      <w:keepNext/>
      <w:keepLines/>
      <w:widowControl/>
      <w:tabs>
        <w:tab w:val="left" w:pos="1440"/>
      </w:tabs>
      <w:spacing w:before="240" w:after="64" w:line="317" w:lineRule="auto"/>
      <w:ind w:left="1152" w:hanging="1152"/>
      <w:jc w:val="left"/>
      <w:outlineLvl w:val="5"/>
    </w:pPr>
    <w:rPr>
      <w:rFonts w:ascii="Arial" w:hAnsi="Arial" w:eastAsia="黑体"/>
      <w:b/>
      <w:kern w:val="0"/>
      <w:sz w:val="24"/>
    </w:rPr>
  </w:style>
  <w:style w:type="paragraph" w:styleId="11">
    <w:name w:val="heading 7"/>
    <w:basedOn w:val="1"/>
    <w:next w:val="1"/>
    <w:link w:val="112"/>
    <w:qFormat/>
    <w:uiPriority w:val="0"/>
    <w:pPr>
      <w:keepNext/>
      <w:keepLines/>
      <w:widowControl/>
      <w:tabs>
        <w:tab w:val="left" w:pos="2520"/>
      </w:tabs>
      <w:spacing w:before="240" w:after="64" w:line="317" w:lineRule="auto"/>
      <w:ind w:left="1296" w:hanging="1296"/>
      <w:jc w:val="left"/>
      <w:outlineLvl w:val="6"/>
    </w:pPr>
    <w:rPr>
      <w:b/>
      <w:kern w:val="0"/>
      <w:sz w:val="24"/>
    </w:rPr>
  </w:style>
  <w:style w:type="paragraph" w:styleId="12">
    <w:name w:val="heading 8"/>
    <w:basedOn w:val="1"/>
    <w:next w:val="1"/>
    <w:link w:val="113"/>
    <w:qFormat/>
    <w:uiPriority w:val="0"/>
    <w:pPr>
      <w:keepNext/>
      <w:keepLines/>
      <w:widowControl/>
      <w:tabs>
        <w:tab w:val="left" w:pos="1440"/>
      </w:tabs>
      <w:spacing w:before="240" w:after="64" w:line="317" w:lineRule="auto"/>
      <w:ind w:left="1440" w:hanging="1440"/>
      <w:jc w:val="left"/>
      <w:outlineLvl w:val="7"/>
    </w:pPr>
    <w:rPr>
      <w:rFonts w:ascii="Arial" w:hAnsi="Arial" w:eastAsia="黑体"/>
      <w:kern w:val="0"/>
      <w:sz w:val="24"/>
    </w:rPr>
  </w:style>
  <w:style w:type="paragraph" w:styleId="13">
    <w:name w:val="heading 9"/>
    <w:basedOn w:val="1"/>
    <w:next w:val="1"/>
    <w:link w:val="114"/>
    <w:qFormat/>
    <w:uiPriority w:val="0"/>
    <w:pPr>
      <w:keepNext/>
      <w:keepLines/>
      <w:widowControl/>
      <w:tabs>
        <w:tab w:val="left" w:pos="1584"/>
      </w:tabs>
      <w:spacing w:before="240" w:after="64" w:line="317" w:lineRule="auto"/>
      <w:ind w:left="1584" w:hanging="1584"/>
      <w:jc w:val="left"/>
      <w:outlineLvl w:val="8"/>
    </w:pPr>
    <w:rPr>
      <w:rFonts w:ascii="Arial" w:hAnsi="Arial" w:eastAsia="黑体"/>
      <w:kern w:val="0"/>
      <w:sz w:val="21"/>
    </w:rPr>
  </w:style>
  <w:style w:type="character" w:default="1" w:styleId="88">
    <w:name w:val="Default Paragraph Font"/>
    <w:unhideWhenUsed/>
    <w:qFormat/>
    <w:uiPriority w:val="1"/>
  </w:style>
  <w:style w:type="table" w:default="1" w:styleId="97">
    <w:name w:val="Normal Table"/>
    <w:unhideWhenUsed/>
    <w:qFormat/>
    <w:uiPriority w:val="99"/>
    <w:tblPr>
      <w:tblLayout w:type="fixed"/>
      <w:tblCellMar>
        <w:top w:w="0" w:type="dxa"/>
        <w:left w:w="108" w:type="dxa"/>
        <w:bottom w:w="0" w:type="dxa"/>
        <w:right w:w="108" w:type="dxa"/>
      </w:tblCellMar>
    </w:tblPr>
  </w:style>
  <w:style w:type="paragraph" w:styleId="2">
    <w:name w:val="Body Text"/>
    <w:basedOn w:val="1"/>
    <w:next w:val="3"/>
    <w:link w:val="117"/>
    <w:unhideWhenUsed/>
    <w:qFormat/>
    <w:uiPriority w:val="0"/>
    <w:pPr>
      <w:spacing w:after="120"/>
    </w:pPr>
  </w:style>
  <w:style w:type="paragraph" w:styleId="3">
    <w:name w:val="Body Text First Indent"/>
    <w:basedOn w:val="1"/>
    <w:next w:val="4"/>
    <w:link w:val="340"/>
    <w:qFormat/>
    <w:uiPriority w:val="0"/>
    <w:pPr>
      <w:ind w:firstLine="420" w:firstLineChars="100"/>
    </w:pPr>
    <w:rPr>
      <w:rFonts w:ascii="等线" w:hAnsi="等线" w:eastAsia="等线" w:cstheme="minorBidi"/>
      <w:sz w:val="21"/>
      <w:szCs w:val="22"/>
    </w:rPr>
  </w:style>
  <w:style w:type="paragraph" w:styleId="4">
    <w:name w:val="toc 6"/>
    <w:basedOn w:val="1"/>
    <w:next w:val="1"/>
    <w:qFormat/>
    <w:uiPriority w:val="0"/>
    <w:pPr>
      <w:ind w:left="1400"/>
      <w:jc w:val="left"/>
    </w:pPr>
    <w:rPr>
      <w:sz w:val="18"/>
    </w:rPr>
  </w:style>
  <w:style w:type="paragraph" w:styleId="14">
    <w:name w:val="List 3"/>
    <w:basedOn w:val="1"/>
    <w:qFormat/>
    <w:uiPriority w:val="0"/>
    <w:pPr>
      <w:ind w:left="100" w:leftChars="400" w:hanging="200" w:hangingChars="200"/>
    </w:pPr>
    <w:rPr>
      <w:sz w:val="21"/>
    </w:rPr>
  </w:style>
  <w:style w:type="paragraph" w:styleId="15">
    <w:name w:val="annotation subject"/>
    <w:basedOn w:val="16"/>
    <w:next w:val="16"/>
    <w:link w:val="353"/>
    <w:qFormat/>
    <w:uiPriority w:val="0"/>
    <w:rPr>
      <w:rFonts w:asciiTheme="minorHAnsi" w:hAnsiTheme="minorHAnsi" w:eastAsiaTheme="minorEastAsia" w:cstheme="minorBidi"/>
      <w:b/>
      <w:sz w:val="21"/>
      <w:szCs w:val="22"/>
    </w:rPr>
  </w:style>
  <w:style w:type="paragraph" w:styleId="16">
    <w:name w:val="annotation text"/>
    <w:basedOn w:val="1"/>
    <w:link w:val="121"/>
    <w:unhideWhenUsed/>
    <w:qFormat/>
    <w:uiPriority w:val="0"/>
    <w:pPr>
      <w:jc w:val="left"/>
    </w:pPr>
  </w:style>
  <w:style w:type="paragraph" w:styleId="17">
    <w:name w:val="toc 7"/>
    <w:basedOn w:val="1"/>
    <w:next w:val="1"/>
    <w:qFormat/>
    <w:uiPriority w:val="0"/>
    <w:pPr>
      <w:ind w:left="1680"/>
      <w:jc w:val="left"/>
    </w:pPr>
    <w:rPr>
      <w:sz w:val="18"/>
    </w:rPr>
  </w:style>
  <w:style w:type="paragraph" w:styleId="18">
    <w:name w:val="List Number 2"/>
    <w:basedOn w:val="1"/>
    <w:qFormat/>
    <w:uiPriority w:val="0"/>
    <w:pPr>
      <w:tabs>
        <w:tab w:val="left" w:pos="0"/>
      </w:tabs>
      <w:ind w:left="1146" w:hanging="720"/>
    </w:pPr>
    <w:rPr>
      <w:sz w:val="21"/>
    </w:rPr>
  </w:style>
  <w:style w:type="paragraph" w:styleId="19">
    <w:name w:val="table of authorities"/>
    <w:basedOn w:val="1"/>
    <w:next w:val="1"/>
    <w:qFormat/>
    <w:uiPriority w:val="0"/>
    <w:pPr>
      <w:ind w:left="420" w:leftChars="200"/>
    </w:pPr>
    <w:rPr>
      <w:sz w:val="21"/>
    </w:rPr>
  </w:style>
  <w:style w:type="paragraph" w:styleId="20">
    <w:name w:val="macro"/>
    <w:link w:val="338"/>
    <w:qFormat/>
    <w:uiPriority w:val="0"/>
    <w:pPr>
      <w:widowControl w:val="0"/>
      <w:tabs>
        <w:tab w:val="left" w:pos="480"/>
        <w:tab w:val="left" w:pos="960"/>
        <w:tab w:val="left" w:pos="1440"/>
        <w:tab w:val="left" w:pos="1920"/>
        <w:tab w:val="left" w:pos="2400"/>
        <w:tab w:val="left" w:pos="2880"/>
        <w:tab w:val="left" w:pos="3360"/>
        <w:tab w:val="left" w:pos="3840"/>
        <w:tab w:val="left" w:pos="4320"/>
      </w:tabs>
      <w:kinsoku w:val="0"/>
      <w:overflowPunct w:val="0"/>
      <w:autoSpaceDE w:val="0"/>
      <w:autoSpaceDN w:val="0"/>
      <w:snapToGrid w:val="0"/>
    </w:pPr>
    <w:rPr>
      <w:rFonts w:ascii="Courier New" w:hAnsi="Courier New" w:eastAsiaTheme="minorEastAsia" w:cstheme="minorBidi"/>
      <w:kern w:val="2"/>
      <w:sz w:val="24"/>
      <w:szCs w:val="22"/>
      <w:lang w:val="en-US" w:eastAsia="zh-CN" w:bidi="ar-SA"/>
    </w:rPr>
  </w:style>
  <w:style w:type="paragraph" w:styleId="21">
    <w:name w:val="Note Heading"/>
    <w:basedOn w:val="1"/>
    <w:next w:val="1"/>
    <w:link w:val="334"/>
    <w:qFormat/>
    <w:uiPriority w:val="0"/>
    <w:pPr>
      <w:jc w:val="center"/>
    </w:pPr>
    <w:rPr>
      <w:rFonts w:asciiTheme="minorHAnsi" w:hAnsiTheme="minorHAnsi" w:eastAsiaTheme="minorEastAsia" w:cstheme="minorBidi"/>
      <w:sz w:val="21"/>
      <w:szCs w:val="22"/>
    </w:rPr>
  </w:style>
  <w:style w:type="paragraph" w:styleId="22">
    <w:name w:val="List Bullet 4"/>
    <w:basedOn w:val="1"/>
    <w:qFormat/>
    <w:uiPriority w:val="0"/>
    <w:pPr>
      <w:tabs>
        <w:tab w:val="left" w:pos="1620"/>
      </w:tabs>
      <w:ind w:left="1620" w:hanging="360"/>
    </w:pPr>
    <w:rPr>
      <w:sz w:val="21"/>
    </w:rPr>
  </w:style>
  <w:style w:type="paragraph" w:styleId="23">
    <w:name w:val="index 8"/>
    <w:basedOn w:val="1"/>
    <w:next w:val="1"/>
    <w:qFormat/>
    <w:uiPriority w:val="0"/>
    <w:pPr>
      <w:ind w:left="1400" w:leftChars="1400"/>
    </w:pPr>
    <w:rPr>
      <w:sz w:val="21"/>
    </w:rPr>
  </w:style>
  <w:style w:type="paragraph" w:styleId="24">
    <w:name w:val="E-mail Signature"/>
    <w:basedOn w:val="1"/>
    <w:link w:val="328"/>
    <w:qFormat/>
    <w:uiPriority w:val="0"/>
    <w:rPr>
      <w:rFonts w:asciiTheme="minorHAnsi" w:hAnsiTheme="minorHAnsi" w:eastAsiaTheme="minorEastAsia" w:cstheme="minorBidi"/>
      <w:sz w:val="21"/>
      <w:szCs w:val="22"/>
    </w:rPr>
  </w:style>
  <w:style w:type="paragraph" w:styleId="25">
    <w:name w:val="List Number"/>
    <w:basedOn w:val="1"/>
    <w:qFormat/>
    <w:uiPriority w:val="0"/>
    <w:pPr>
      <w:tabs>
        <w:tab w:val="left" w:pos="360"/>
      </w:tabs>
      <w:ind w:left="360" w:hanging="360"/>
    </w:pPr>
    <w:rPr>
      <w:sz w:val="21"/>
    </w:rPr>
  </w:style>
  <w:style w:type="paragraph" w:styleId="26">
    <w:name w:val="Normal Indent"/>
    <w:basedOn w:val="1"/>
    <w:next w:val="27"/>
    <w:link w:val="305"/>
    <w:qFormat/>
    <w:uiPriority w:val="0"/>
    <w:pPr>
      <w:widowControl/>
      <w:ind w:firstLine="420"/>
      <w:jc w:val="left"/>
    </w:pPr>
    <w:rPr>
      <w:rFonts w:asciiTheme="minorHAnsi" w:hAnsiTheme="minorHAnsi" w:cstheme="minorBidi"/>
      <w:sz w:val="24"/>
      <w:szCs w:val="22"/>
    </w:rPr>
  </w:style>
  <w:style w:type="paragraph" w:styleId="27">
    <w:name w:val="Body Text Indent"/>
    <w:basedOn w:val="1"/>
    <w:next w:val="26"/>
    <w:link w:val="115"/>
    <w:unhideWhenUsed/>
    <w:qFormat/>
    <w:uiPriority w:val="0"/>
    <w:pPr>
      <w:spacing w:after="120"/>
      <w:ind w:left="420" w:leftChars="200"/>
    </w:pPr>
  </w:style>
  <w:style w:type="paragraph" w:styleId="28">
    <w:name w:val="caption"/>
    <w:basedOn w:val="1"/>
    <w:next w:val="1"/>
    <w:qFormat/>
    <w:uiPriority w:val="0"/>
    <w:rPr>
      <w:rFonts w:ascii="Arial" w:hAnsi="Arial" w:eastAsia="黑体"/>
      <w:sz w:val="20"/>
    </w:rPr>
  </w:style>
  <w:style w:type="paragraph" w:styleId="29">
    <w:name w:val="index 5"/>
    <w:basedOn w:val="1"/>
    <w:next w:val="1"/>
    <w:qFormat/>
    <w:uiPriority w:val="0"/>
    <w:pPr>
      <w:ind w:left="800" w:leftChars="800"/>
    </w:pPr>
    <w:rPr>
      <w:sz w:val="21"/>
    </w:rPr>
  </w:style>
  <w:style w:type="paragraph" w:styleId="30">
    <w:name w:val="List Bullet"/>
    <w:basedOn w:val="1"/>
    <w:qFormat/>
    <w:uiPriority w:val="0"/>
    <w:pPr>
      <w:tabs>
        <w:tab w:val="left" w:pos="735"/>
      </w:tabs>
      <w:ind w:left="735"/>
    </w:pPr>
    <w:rPr>
      <w:sz w:val="21"/>
    </w:rPr>
  </w:style>
  <w:style w:type="paragraph" w:styleId="31">
    <w:name w:val="envelope address"/>
    <w:basedOn w:val="1"/>
    <w:qFormat/>
    <w:uiPriority w:val="0"/>
    <w:pPr>
      <w:snapToGrid w:val="0"/>
      <w:ind w:left="100" w:leftChars="1400"/>
    </w:pPr>
    <w:rPr>
      <w:rFonts w:ascii="Arial" w:hAnsi="Arial"/>
      <w:sz w:val="24"/>
    </w:rPr>
  </w:style>
  <w:style w:type="paragraph" w:styleId="32">
    <w:name w:val="Document Map"/>
    <w:basedOn w:val="1"/>
    <w:link w:val="336"/>
    <w:qFormat/>
    <w:uiPriority w:val="0"/>
    <w:pPr>
      <w:shd w:val="clear" w:color="auto" w:fill="000080"/>
    </w:pPr>
    <w:rPr>
      <w:rFonts w:asciiTheme="minorHAnsi" w:hAnsiTheme="minorHAnsi" w:eastAsiaTheme="minorEastAsia" w:cstheme="minorBidi"/>
      <w:szCs w:val="22"/>
      <w:shd w:val="clear" w:color="auto" w:fill="000080"/>
    </w:rPr>
  </w:style>
  <w:style w:type="paragraph" w:styleId="33">
    <w:name w:val="toa heading"/>
    <w:basedOn w:val="1"/>
    <w:next w:val="1"/>
    <w:qFormat/>
    <w:uiPriority w:val="0"/>
    <w:pPr>
      <w:spacing w:before="120"/>
    </w:pPr>
    <w:rPr>
      <w:rFonts w:ascii="Arial" w:hAnsi="Arial"/>
      <w:sz w:val="24"/>
    </w:rPr>
  </w:style>
  <w:style w:type="paragraph" w:styleId="34">
    <w:name w:val="index 6"/>
    <w:basedOn w:val="1"/>
    <w:next w:val="1"/>
    <w:qFormat/>
    <w:uiPriority w:val="0"/>
    <w:pPr>
      <w:ind w:left="1000" w:leftChars="1000"/>
    </w:pPr>
    <w:rPr>
      <w:sz w:val="21"/>
    </w:rPr>
  </w:style>
  <w:style w:type="paragraph" w:styleId="35">
    <w:name w:val="Salutation"/>
    <w:basedOn w:val="1"/>
    <w:next w:val="1"/>
    <w:link w:val="344"/>
    <w:qFormat/>
    <w:uiPriority w:val="0"/>
    <w:rPr>
      <w:rFonts w:ascii="宋体" w:hAnsiTheme="minorHAnsi" w:eastAsiaTheme="minorEastAsia" w:cstheme="minorBidi"/>
      <w:szCs w:val="22"/>
    </w:rPr>
  </w:style>
  <w:style w:type="paragraph" w:styleId="36">
    <w:name w:val="Body Text 3"/>
    <w:basedOn w:val="1"/>
    <w:link w:val="348"/>
    <w:qFormat/>
    <w:uiPriority w:val="0"/>
    <w:pPr>
      <w:spacing w:after="120"/>
    </w:pPr>
    <w:rPr>
      <w:rFonts w:asciiTheme="minorHAnsi" w:hAnsiTheme="minorHAnsi" w:eastAsiaTheme="minorEastAsia" w:cstheme="minorBidi"/>
      <w:sz w:val="16"/>
      <w:szCs w:val="22"/>
    </w:rPr>
  </w:style>
  <w:style w:type="paragraph" w:styleId="37">
    <w:name w:val="Closing"/>
    <w:basedOn w:val="1"/>
    <w:link w:val="333"/>
    <w:qFormat/>
    <w:uiPriority w:val="0"/>
    <w:pPr>
      <w:ind w:left="100" w:leftChars="2100"/>
    </w:pPr>
    <w:rPr>
      <w:rFonts w:asciiTheme="minorHAnsi" w:hAnsiTheme="minorHAnsi" w:eastAsiaTheme="minorEastAsia" w:cstheme="minorBidi"/>
      <w:sz w:val="21"/>
      <w:szCs w:val="22"/>
    </w:rPr>
  </w:style>
  <w:style w:type="paragraph" w:styleId="38">
    <w:name w:val="List Bullet 3"/>
    <w:basedOn w:val="1"/>
    <w:qFormat/>
    <w:uiPriority w:val="0"/>
    <w:pPr>
      <w:tabs>
        <w:tab w:val="left" w:pos="1200"/>
      </w:tabs>
      <w:ind w:left="1200" w:hanging="360"/>
    </w:pPr>
    <w:rPr>
      <w:sz w:val="21"/>
    </w:rPr>
  </w:style>
  <w:style w:type="paragraph" w:styleId="39">
    <w:name w:val="List Number 3"/>
    <w:basedOn w:val="1"/>
    <w:qFormat/>
    <w:uiPriority w:val="0"/>
    <w:pPr>
      <w:tabs>
        <w:tab w:val="left" w:pos="1200"/>
      </w:tabs>
      <w:ind w:left="1200" w:hanging="360"/>
    </w:pPr>
    <w:rPr>
      <w:sz w:val="21"/>
    </w:rPr>
  </w:style>
  <w:style w:type="paragraph" w:styleId="40">
    <w:name w:val="List 2"/>
    <w:basedOn w:val="1"/>
    <w:qFormat/>
    <w:uiPriority w:val="0"/>
    <w:pPr>
      <w:ind w:left="100" w:leftChars="200" w:hanging="200" w:hangingChars="200"/>
    </w:pPr>
    <w:rPr>
      <w:sz w:val="21"/>
    </w:rPr>
  </w:style>
  <w:style w:type="paragraph" w:styleId="41">
    <w:name w:val="List Continue"/>
    <w:basedOn w:val="1"/>
    <w:qFormat/>
    <w:uiPriority w:val="0"/>
    <w:pPr>
      <w:spacing w:after="120"/>
      <w:ind w:left="420" w:leftChars="200"/>
    </w:pPr>
    <w:rPr>
      <w:sz w:val="21"/>
    </w:rPr>
  </w:style>
  <w:style w:type="paragraph" w:styleId="42">
    <w:name w:val="Block Text"/>
    <w:basedOn w:val="1"/>
    <w:qFormat/>
    <w:uiPriority w:val="0"/>
    <w:pPr>
      <w:spacing w:line="240" w:lineRule="exact"/>
      <w:ind w:left="475" w:leftChars="240" w:right="292" w:rightChars="292" w:firstLine="473"/>
    </w:pPr>
    <w:rPr>
      <w:rFonts w:ascii="宋体" w:hAnsi="宋体"/>
      <w:spacing w:val="-6"/>
      <w:sz w:val="21"/>
    </w:rPr>
  </w:style>
  <w:style w:type="paragraph" w:styleId="43">
    <w:name w:val="List Bullet 2"/>
    <w:basedOn w:val="1"/>
    <w:qFormat/>
    <w:uiPriority w:val="0"/>
    <w:pPr>
      <w:tabs>
        <w:tab w:val="left" w:pos="780"/>
      </w:tabs>
      <w:ind w:left="780" w:hanging="360"/>
    </w:pPr>
    <w:rPr>
      <w:sz w:val="21"/>
    </w:rPr>
  </w:style>
  <w:style w:type="paragraph" w:styleId="44">
    <w:name w:val="HTML Address"/>
    <w:basedOn w:val="1"/>
    <w:link w:val="339"/>
    <w:qFormat/>
    <w:uiPriority w:val="0"/>
    <w:rPr>
      <w:rFonts w:asciiTheme="minorHAnsi" w:hAnsiTheme="minorHAnsi" w:eastAsiaTheme="minorEastAsia" w:cstheme="minorBidi"/>
      <w:i/>
      <w:sz w:val="21"/>
      <w:szCs w:val="22"/>
    </w:rPr>
  </w:style>
  <w:style w:type="paragraph" w:styleId="45">
    <w:name w:val="index 4"/>
    <w:basedOn w:val="1"/>
    <w:next w:val="1"/>
    <w:qFormat/>
    <w:uiPriority w:val="0"/>
    <w:pPr>
      <w:ind w:left="600" w:leftChars="600"/>
    </w:pPr>
    <w:rPr>
      <w:sz w:val="21"/>
    </w:rPr>
  </w:style>
  <w:style w:type="paragraph" w:styleId="46">
    <w:name w:val="toc 5"/>
    <w:basedOn w:val="1"/>
    <w:next w:val="1"/>
    <w:qFormat/>
    <w:uiPriority w:val="0"/>
    <w:pPr>
      <w:ind w:left="1120"/>
      <w:jc w:val="left"/>
    </w:pPr>
    <w:rPr>
      <w:sz w:val="18"/>
    </w:rPr>
  </w:style>
  <w:style w:type="paragraph" w:styleId="47">
    <w:name w:val="toc 3"/>
    <w:basedOn w:val="1"/>
    <w:next w:val="1"/>
    <w:qFormat/>
    <w:uiPriority w:val="0"/>
    <w:pPr>
      <w:ind w:left="560"/>
      <w:jc w:val="left"/>
    </w:pPr>
    <w:rPr>
      <w:i/>
      <w:sz w:val="20"/>
    </w:rPr>
  </w:style>
  <w:style w:type="paragraph" w:styleId="48">
    <w:name w:val="Plain Text"/>
    <w:basedOn w:val="1"/>
    <w:next w:val="1"/>
    <w:link w:val="332"/>
    <w:qFormat/>
    <w:uiPriority w:val="0"/>
    <w:rPr>
      <w:rFonts w:ascii="宋体" w:hAnsi="Courier New" w:cstheme="minorBidi"/>
      <w:sz w:val="21"/>
      <w:szCs w:val="22"/>
    </w:rPr>
  </w:style>
  <w:style w:type="paragraph" w:styleId="49">
    <w:name w:val="List Bullet 5"/>
    <w:basedOn w:val="1"/>
    <w:qFormat/>
    <w:uiPriority w:val="0"/>
    <w:pPr>
      <w:tabs>
        <w:tab w:val="left" w:pos="2040"/>
      </w:tabs>
      <w:ind w:left="2040" w:hanging="360"/>
    </w:pPr>
    <w:rPr>
      <w:sz w:val="21"/>
    </w:rPr>
  </w:style>
  <w:style w:type="paragraph" w:styleId="50">
    <w:name w:val="List Number 4"/>
    <w:basedOn w:val="1"/>
    <w:qFormat/>
    <w:uiPriority w:val="0"/>
    <w:pPr>
      <w:tabs>
        <w:tab w:val="left" w:pos="1620"/>
      </w:tabs>
      <w:ind w:left="1620" w:hanging="360"/>
    </w:pPr>
    <w:rPr>
      <w:sz w:val="21"/>
    </w:rPr>
  </w:style>
  <w:style w:type="paragraph" w:styleId="51">
    <w:name w:val="toc 8"/>
    <w:basedOn w:val="1"/>
    <w:next w:val="1"/>
    <w:qFormat/>
    <w:uiPriority w:val="0"/>
    <w:pPr>
      <w:ind w:left="1960"/>
      <w:jc w:val="left"/>
    </w:pPr>
    <w:rPr>
      <w:sz w:val="18"/>
    </w:rPr>
  </w:style>
  <w:style w:type="paragraph" w:styleId="52">
    <w:name w:val="index 3"/>
    <w:basedOn w:val="1"/>
    <w:next w:val="1"/>
    <w:qFormat/>
    <w:uiPriority w:val="0"/>
    <w:pPr>
      <w:ind w:left="400" w:leftChars="400"/>
    </w:pPr>
    <w:rPr>
      <w:sz w:val="21"/>
    </w:rPr>
  </w:style>
  <w:style w:type="paragraph" w:styleId="53">
    <w:name w:val="Date"/>
    <w:basedOn w:val="1"/>
    <w:next w:val="1"/>
    <w:link w:val="331"/>
    <w:qFormat/>
    <w:uiPriority w:val="0"/>
    <w:pPr>
      <w:adjustRightInd w:val="0"/>
      <w:jc w:val="right"/>
      <w:textAlignment w:val="baseline"/>
    </w:pPr>
    <w:rPr>
      <w:rFonts w:eastAsia="仿宋_GB2312" w:asciiTheme="minorHAnsi" w:hAnsiTheme="minorHAnsi" w:cstheme="minorBidi"/>
      <w:b/>
      <w:szCs w:val="22"/>
    </w:rPr>
  </w:style>
  <w:style w:type="paragraph" w:styleId="54">
    <w:name w:val="Body Text Indent 2"/>
    <w:basedOn w:val="1"/>
    <w:link w:val="335"/>
    <w:qFormat/>
    <w:uiPriority w:val="0"/>
    <w:pPr>
      <w:spacing w:line="520" w:lineRule="exact"/>
      <w:ind w:firstLine="848" w:firstLineChars="303"/>
    </w:pPr>
    <w:rPr>
      <w:rFonts w:ascii="黑体" w:eastAsia="黑体" w:hAnsiTheme="minorHAnsi" w:cstheme="minorBidi"/>
      <w:szCs w:val="22"/>
    </w:rPr>
  </w:style>
  <w:style w:type="paragraph" w:styleId="55">
    <w:name w:val="endnote text"/>
    <w:basedOn w:val="1"/>
    <w:link w:val="327"/>
    <w:qFormat/>
    <w:uiPriority w:val="0"/>
    <w:pPr>
      <w:snapToGrid w:val="0"/>
    </w:pPr>
    <w:rPr>
      <w:rFonts w:asciiTheme="minorHAnsi" w:hAnsiTheme="minorHAnsi" w:eastAsiaTheme="minorEastAsia" w:cstheme="minorBidi"/>
      <w:sz w:val="21"/>
      <w:szCs w:val="22"/>
    </w:rPr>
  </w:style>
  <w:style w:type="paragraph" w:styleId="56">
    <w:name w:val="List Continue 5"/>
    <w:basedOn w:val="1"/>
    <w:qFormat/>
    <w:uiPriority w:val="0"/>
    <w:pPr>
      <w:spacing w:after="120"/>
      <w:ind w:left="2100" w:leftChars="1000"/>
    </w:pPr>
    <w:rPr>
      <w:sz w:val="21"/>
    </w:rPr>
  </w:style>
  <w:style w:type="paragraph" w:styleId="57">
    <w:name w:val="Balloon Text"/>
    <w:basedOn w:val="1"/>
    <w:next w:val="1"/>
    <w:link w:val="343"/>
    <w:qFormat/>
    <w:uiPriority w:val="99"/>
    <w:rPr>
      <w:rFonts w:asciiTheme="minorHAnsi" w:hAnsiTheme="minorHAnsi" w:eastAsiaTheme="minorEastAsia" w:cstheme="minorBidi"/>
      <w:sz w:val="18"/>
      <w:szCs w:val="22"/>
    </w:rPr>
  </w:style>
  <w:style w:type="paragraph" w:styleId="58">
    <w:name w:val="footer"/>
    <w:basedOn w:val="1"/>
    <w:link w:val="105"/>
    <w:unhideWhenUsed/>
    <w:qFormat/>
    <w:uiPriority w:val="99"/>
    <w:pPr>
      <w:tabs>
        <w:tab w:val="center" w:pos="4153"/>
        <w:tab w:val="right" w:pos="8306"/>
      </w:tabs>
      <w:snapToGrid w:val="0"/>
      <w:jc w:val="left"/>
    </w:pPr>
    <w:rPr>
      <w:sz w:val="18"/>
      <w:szCs w:val="18"/>
    </w:rPr>
  </w:style>
  <w:style w:type="paragraph" w:styleId="59">
    <w:name w:val="envelope return"/>
    <w:basedOn w:val="1"/>
    <w:qFormat/>
    <w:uiPriority w:val="0"/>
    <w:pPr>
      <w:snapToGrid w:val="0"/>
    </w:pPr>
    <w:rPr>
      <w:rFonts w:ascii="Arial" w:hAnsi="Arial"/>
      <w:sz w:val="21"/>
    </w:rPr>
  </w:style>
  <w:style w:type="paragraph" w:styleId="60">
    <w:name w:val="Body Text First Indent 2"/>
    <w:basedOn w:val="27"/>
    <w:next w:val="2"/>
    <w:link w:val="341"/>
    <w:qFormat/>
    <w:uiPriority w:val="0"/>
    <w:pPr>
      <w:ind w:firstLine="420" w:firstLineChars="200"/>
    </w:pPr>
    <w:rPr>
      <w:rFonts w:ascii="等线" w:hAnsi="等线" w:eastAsia="等线" w:cstheme="minorBidi"/>
      <w:sz w:val="21"/>
      <w:szCs w:val="22"/>
    </w:rPr>
  </w:style>
  <w:style w:type="paragraph" w:styleId="61">
    <w:name w:val="header"/>
    <w:basedOn w:val="1"/>
    <w:link w:val="104"/>
    <w:unhideWhenUsed/>
    <w:qFormat/>
    <w:uiPriority w:val="0"/>
    <w:pPr>
      <w:pBdr>
        <w:bottom w:val="single" w:color="auto" w:sz="6" w:space="1"/>
      </w:pBdr>
      <w:tabs>
        <w:tab w:val="center" w:pos="4153"/>
        <w:tab w:val="right" w:pos="8306"/>
      </w:tabs>
      <w:snapToGrid w:val="0"/>
      <w:jc w:val="center"/>
    </w:pPr>
    <w:rPr>
      <w:sz w:val="18"/>
      <w:szCs w:val="18"/>
    </w:rPr>
  </w:style>
  <w:style w:type="paragraph" w:styleId="62">
    <w:name w:val="Signature"/>
    <w:basedOn w:val="1"/>
    <w:link w:val="347"/>
    <w:qFormat/>
    <w:uiPriority w:val="0"/>
    <w:pPr>
      <w:ind w:left="100" w:leftChars="2100"/>
    </w:pPr>
    <w:rPr>
      <w:rFonts w:asciiTheme="minorHAnsi" w:hAnsiTheme="minorHAnsi" w:eastAsiaTheme="minorEastAsia" w:cstheme="minorBidi"/>
      <w:sz w:val="21"/>
      <w:szCs w:val="22"/>
    </w:rPr>
  </w:style>
  <w:style w:type="paragraph" w:styleId="63">
    <w:name w:val="toc 1"/>
    <w:basedOn w:val="1"/>
    <w:next w:val="1"/>
    <w:qFormat/>
    <w:uiPriority w:val="39"/>
    <w:pPr>
      <w:tabs>
        <w:tab w:val="right" w:leader="dot" w:pos="8364"/>
      </w:tabs>
      <w:spacing w:before="120" w:after="120" w:line="360" w:lineRule="auto"/>
      <w:jc w:val="left"/>
    </w:pPr>
    <w:rPr>
      <w:b/>
      <w:caps/>
      <w:sz w:val="20"/>
    </w:rPr>
  </w:style>
  <w:style w:type="paragraph" w:styleId="64">
    <w:name w:val="List Continue 4"/>
    <w:basedOn w:val="1"/>
    <w:qFormat/>
    <w:uiPriority w:val="0"/>
    <w:pPr>
      <w:spacing w:after="120"/>
      <w:ind w:left="1680" w:leftChars="800"/>
    </w:pPr>
    <w:rPr>
      <w:sz w:val="21"/>
    </w:rPr>
  </w:style>
  <w:style w:type="paragraph" w:styleId="65">
    <w:name w:val="toc 4"/>
    <w:basedOn w:val="1"/>
    <w:next w:val="1"/>
    <w:qFormat/>
    <w:uiPriority w:val="0"/>
    <w:pPr>
      <w:ind w:left="840"/>
      <w:jc w:val="left"/>
    </w:pPr>
    <w:rPr>
      <w:sz w:val="18"/>
    </w:rPr>
  </w:style>
  <w:style w:type="paragraph" w:styleId="66">
    <w:name w:val="index heading"/>
    <w:basedOn w:val="1"/>
    <w:next w:val="67"/>
    <w:qFormat/>
    <w:uiPriority w:val="0"/>
    <w:rPr>
      <w:rFonts w:ascii="Arial" w:hAnsi="Arial"/>
      <w:b/>
      <w:sz w:val="21"/>
    </w:rPr>
  </w:style>
  <w:style w:type="paragraph" w:styleId="67">
    <w:name w:val="index 1"/>
    <w:basedOn w:val="1"/>
    <w:next w:val="1"/>
    <w:unhideWhenUsed/>
    <w:qFormat/>
    <w:uiPriority w:val="0"/>
  </w:style>
  <w:style w:type="paragraph" w:styleId="68">
    <w:name w:val="Subtitle"/>
    <w:basedOn w:val="1"/>
    <w:next w:val="1"/>
    <w:link w:val="349"/>
    <w:qFormat/>
    <w:uiPriority w:val="0"/>
    <w:pPr>
      <w:spacing w:before="240" w:after="60" w:line="312" w:lineRule="auto"/>
      <w:jc w:val="center"/>
      <w:outlineLvl w:val="1"/>
    </w:pPr>
    <w:rPr>
      <w:rFonts w:ascii="Cambria" w:hAnsi="Cambria" w:eastAsiaTheme="minorEastAsia" w:cstheme="minorBidi"/>
      <w:b/>
      <w:kern w:val="28"/>
      <w:sz w:val="32"/>
      <w:szCs w:val="22"/>
    </w:rPr>
  </w:style>
  <w:style w:type="paragraph" w:styleId="69">
    <w:name w:val="List Number 5"/>
    <w:basedOn w:val="1"/>
    <w:qFormat/>
    <w:uiPriority w:val="0"/>
    <w:pPr>
      <w:tabs>
        <w:tab w:val="left" w:pos="2040"/>
      </w:tabs>
      <w:ind w:left="2040" w:hanging="360"/>
    </w:pPr>
    <w:rPr>
      <w:sz w:val="21"/>
    </w:rPr>
  </w:style>
  <w:style w:type="paragraph" w:styleId="70">
    <w:name w:val="List"/>
    <w:basedOn w:val="1"/>
    <w:qFormat/>
    <w:uiPriority w:val="0"/>
    <w:pPr>
      <w:ind w:left="200" w:hanging="200" w:hangingChars="200"/>
    </w:pPr>
    <w:rPr>
      <w:sz w:val="21"/>
    </w:rPr>
  </w:style>
  <w:style w:type="paragraph" w:styleId="71">
    <w:name w:val="footnote text"/>
    <w:basedOn w:val="1"/>
    <w:link w:val="350"/>
    <w:qFormat/>
    <w:uiPriority w:val="0"/>
    <w:pPr>
      <w:snapToGrid w:val="0"/>
      <w:jc w:val="left"/>
    </w:pPr>
    <w:rPr>
      <w:rFonts w:asciiTheme="minorHAnsi" w:hAnsiTheme="minorHAnsi" w:eastAsiaTheme="minorEastAsia" w:cstheme="minorBidi"/>
      <w:sz w:val="18"/>
      <w:szCs w:val="22"/>
    </w:rPr>
  </w:style>
  <w:style w:type="paragraph" w:styleId="72">
    <w:name w:val="List 5"/>
    <w:basedOn w:val="1"/>
    <w:qFormat/>
    <w:uiPriority w:val="0"/>
    <w:pPr>
      <w:ind w:left="100" w:leftChars="800" w:hanging="200" w:hangingChars="200"/>
    </w:pPr>
    <w:rPr>
      <w:sz w:val="21"/>
    </w:rPr>
  </w:style>
  <w:style w:type="paragraph" w:styleId="73">
    <w:name w:val="Body Text Indent 3"/>
    <w:basedOn w:val="1"/>
    <w:link w:val="346"/>
    <w:qFormat/>
    <w:uiPriority w:val="0"/>
    <w:pPr>
      <w:spacing w:line="520" w:lineRule="exact"/>
      <w:ind w:firstLine="547"/>
    </w:pPr>
    <w:rPr>
      <w:rFonts w:asciiTheme="minorHAnsi" w:hAnsiTheme="minorHAnsi" w:eastAsiaTheme="minorEastAsia" w:cstheme="minorBidi"/>
      <w:szCs w:val="22"/>
    </w:rPr>
  </w:style>
  <w:style w:type="paragraph" w:styleId="74">
    <w:name w:val="index 7"/>
    <w:basedOn w:val="1"/>
    <w:next w:val="1"/>
    <w:qFormat/>
    <w:uiPriority w:val="0"/>
    <w:pPr>
      <w:ind w:left="1200" w:leftChars="1200"/>
    </w:pPr>
    <w:rPr>
      <w:sz w:val="21"/>
    </w:rPr>
  </w:style>
  <w:style w:type="paragraph" w:styleId="75">
    <w:name w:val="index 9"/>
    <w:basedOn w:val="1"/>
    <w:next w:val="1"/>
    <w:qFormat/>
    <w:uiPriority w:val="0"/>
    <w:pPr>
      <w:ind w:left="1600" w:leftChars="1600"/>
    </w:pPr>
    <w:rPr>
      <w:sz w:val="21"/>
    </w:rPr>
  </w:style>
  <w:style w:type="paragraph" w:styleId="76">
    <w:name w:val="table of figures"/>
    <w:basedOn w:val="1"/>
    <w:next w:val="1"/>
    <w:qFormat/>
    <w:uiPriority w:val="0"/>
    <w:pPr>
      <w:ind w:left="560" w:hanging="560"/>
      <w:jc w:val="left"/>
    </w:pPr>
    <w:rPr>
      <w:smallCaps/>
      <w:sz w:val="20"/>
    </w:rPr>
  </w:style>
  <w:style w:type="paragraph" w:styleId="77">
    <w:name w:val="toc 2"/>
    <w:basedOn w:val="1"/>
    <w:next w:val="1"/>
    <w:qFormat/>
    <w:uiPriority w:val="39"/>
    <w:pPr>
      <w:tabs>
        <w:tab w:val="right" w:leader="dot" w:pos="8364"/>
      </w:tabs>
      <w:spacing w:line="360" w:lineRule="auto"/>
      <w:ind w:left="280"/>
      <w:jc w:val="left"/>
    </w:pPr>
    <w:rPr>
      <w:rFonts w:ascii="仿宋" w:hAnsi="仿宋" w:eastAsia="仿宋"/>
      <w:b/>
      <w:smallCaps/>
      <w:sz w:val="24"/>
    </w:rPr>
  </w:style>
  <w:style w:type="paragraph" w:styleId="78">
    <w:name w:val="toc 9"/>
    <w:basedOn w:val="1"/>
    <w:next w:val="1"/>
    <w:qFormat/>
    <w:uiPriority w:val="0"/>
    <w:pPr>
      <w:ind w:left="2240"/>
      <w:jc w:val="left"/>
    </w:pPr>
    <w:rPr>
      <w:sz w:val="18"/>
    </w:rPr>
  </w:style>
  <w:style w:type="paragraph" w:styleId="79">
    <w:name w:val="Body Text 2"/>
    <w:basedOn w:val="1"/>
    <w:link w:val="329"/>
    <w:qFormat/>
    <w:uiPriority w:val="0"/>
    <w:pPr>
      <w:spacing w:after="120" w:line="480" w:lineRule="auto"/>
    </w:pPr>
    <w:rPr>
      <w:rFonts w:asciiTheme="minorHAnsi" w:hAnsiTheme="minorHAnsi" w:eastAsiaTheme="minorEastAsia" w:cstheme="minorBidi"/>
      <w:sz w:val="21"/>
      <w:szCs w:val="22"/>
    </w:rPr>
  </w:style>
  <w:style w:type="paragraph" w:styleId="80">
    <w:name w:val="List 4"/>
    <w:basedOn w:val="1"/>
    <w:qFormat/>
    <w:uiPriority w:val="0"/>
    <w:pPr>
      <w:ind w:left="100" w:leftChars="600" w:hanging="200" w:hangingChars="200"/>
    </w:pPr>
    <w:rPr>
      <w:sz w:val="21"/>
    </w:rPr>
  </w:style>
  <w:style w:type="paragraph" w:styleId="81">
    <w:name w:val="List Continue 2"/>
    <w:basedOn w:val="1"/>
    <w:qFormat/>
    <w:uiPriority w:val="0"/>
    <w:pPr>
      <w:spacing w:after="120"/>
      <w:ind w:left="840" w:leftChars="400"/>
    </w:pPr>
    <w:rPr>
      <w:sz w:val="21"/>
    </w:rPr>
  </w:style>
  <w:style w:type="paragraph" w:styleId="82">
    <w:name w:val="Message Header"/>
    <w:basedOn w:val="1"/>
    <w:link w:val="351"/>
    <w:qFormat/>
    <w:uiPriority w:val="0"/>
    <w:pPr>
      <w:pBdr>
        <w:top w:val="single" w:color="auto" w:sz="6" w:space="1"/>
        <w:left w:val="single" w:color="auto" w:sz="6" w:space="1"/>
        <w:bottom w:val="single" w:color="auto" w:sz="6" w:space="1"/>
        <w:right w:val="single" w:color="auto" w:sz="6" w:space="1"/>
      </w:pBdr>
      <w:shd w:val="pct20" w:color="auto" w:fill="auto"/>
      <w:ind w:left="1080" w:leftChars="500" w:hanging="1080" w:hangingChars="500"/>
    </w:pPr>
    <w:rPr>
      <w:rFonts w:ascii="Arial" w:hAnsi="Arial" w:eastAsiaTheme="minorEastAsia" w:cstheme="minorBidi"/>
      <w:sz w:val="24"/>
      <w:szCs w:val="22"/>
      <w:shd w:val="pct20" w:color="auto" w:fill="auto"/>
    </w:rPr>
  </w:style>
  <w:style w:type="paragraph" w:styleId="83">
    <w:name w:val="HTML Preformatted"/>
    <w:basedOn w:val="1"/>
    <w:link w:val="352"/>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黑体" w:hAnsi="Courier New" w:eastAsia="黑体" w:cstheme="minorBidi"/>
      <w:sz w:val="21"/>
      <w:szCs w:val="22"/>
    </w:rPr>
  </w:style>
  <w:style w:type="paragraph" w:styleId="84">
    <w:name w:val="Normal (Web)"/>
    <w:basedOn w:val="1"/>
    <w:qFormat/>
    <w:uiPriority w:val="99"/>
    <w:pPr>
      <w:widowControl/>
      <w:spacing w:before="100" w:beforeAutospacing="1" w:after="100" w:afterAutospacing="1"/>
      <w:jc w:val="left"/>
    </w:pPr>
    <w:rPr>
      <w:rFonts w:ascii="宋体" w:hAnsi="宋体"/>
      <w:kern w:val="0"/>
      <w:sz w:val="24"/>
    </w:rPr>
  </w:style>
  <w:style w:type="paragraph" w:styleId="85">
    <w:name w:val="List Continue 3"/>
    <w:basedOn w:val="1"/>
    <w:qFormat/>
    <w:uiPriority w:val="0"/>
    <w:pPr>
      <w:spacing w:after="120"/>
      <w:ind w:left="1260" w:leftChars="600"/>
    </w:pPr>
    <w:rPr>
      <w:sz w:val="21"/>
    </w:rPr>
  </w:style>
  <w:style w:type="paragraph" w:styleId="86">
    <w:name w:val="index 2"/>
    <w:basedOn w:val="1"/>
    <w:next w:val="1"/>
    <w:qFormat/>
    <w:uiPriority w:val="0"/>
    <w:pPr>
      <w:ind w:left="200" w:leftChars="200"/>
    </w:pPr>
    <w:rPr>
      <w:sz w:val="21"/>
    </w:rPr>
  </w:style>
  <w:style w:type="paragraph" w:styleId="87">
    <w:name w:val="Title"/>
    <w:basedOn w:val="1"/>
    <w:link w:val="342"/>
    <w:qFormat/>
    <w:uiPriority w:val="0"/>
    <w:pPr>
      <w:widowControl/>
      <w:overflowPunct w:val="0"/>
      <w:autoSpaceDE w:val="0"/>
      <w:autoSpaceDN w:val="0"/>
      <w:adjustRightInd w:val="0"/>
      <w:jc w:val="center"/>
      <w:textAlignment w:val="baseline"/>
    </w:pPr>
    <w:rPr>
      <w:rFonts w:asciiTheme="minorHAnsi" w:hAnsiTheme="minorHAnsi" w:eastAsiaTheme="minorEastAsia" w:cstheme="minorBidi"/>
      <w:b/>
      <w:sz w:val="24"/>
      <w:szCs w:val="22"/>
      <w:lang w:val="en-GB"/>
    </w:rPr>
  </w:style>
  <w:style w:type="character" w:styleId="89">
    <w:name w:val="Strong"/>
    <w:basedOn w:val="88"/>
    <w:qFormat/>
    <w:uiPriority w:val="22"/>
    <w:rPr>
      <w:b/>
    </w:rPr>
  </w:style>
  <w:style w:type="character" w:styleId="90">
    <w:name w:val="endnote reference"/>
    <w:qFormat/>
    <w:uiPriority w:val="0"/>
    <w:rPr>
      <w:vertAlign w:val="superscript"/>
    </w:rPr>
  </w:style>
  <w:style w:type="character" w:styleId="91">
    <w:name w:val="page number"/>
    <w:basedOn w:val="88"/>
    <w:qFormat/>
    <w:uiPriority w:val="0"/>
  </w:style>
  <w:style w:type="character" w:styleId="92">
    <w:name w:val="FollowedHyperlink"/>
    <w:qFormat/>
    <w:uiPriority w:val="0"/>
    <w:rPr>
      <w:color w:val="800080"/>
      <w:u w:val="single"/>
    </w:rPr>
  </w:style>
  <w:style w:type="character" w:styleId="93">
    <w:name w:val="Emphasis"/>
    <w:qFormat/>
    <w:uiPriority w:val="0"/>
    <w:rPr>
      <w:color w:val="CC0000"/>
    </w:rPr>
  </w:style>
  <w:style w:type="character" w:styleId="94">
    <w:name w:val="Hyperlink"/>
    <w:qFormat/>
    <w:uiPriority w:val="99"/>
    <w:rPr>
      <w:color w:val="0000FF"/>
      <w:u w:val="single"/>
    </w:rPr>
  </w:style>
  <w:style w:type="character" w:styleId="95">
    <w:name w:val="annotation reference"/>
    <w:qFormat/>
    <w:uiPriority w:val="0"/>
    <w:rPr>
      <w:sz w:val="21"/>
    </w:rPr>
  </w:style>
  <w:style w:type="character" w:styleId="96">
    <w:name w:val="footnote reference"/>
    <w:qFormat/>
    <w:uiPriority w:val="0"/>
    <w:rPr>
      <w:vertAlign w:val="superscript"/>
    </w:rPr>
  </w:style>
  <w:style w:type="table" w:styleId="98">
    <w:name w:val="Table Grid"/>
    <w:basedOn w:val="97"/>
    <w:qFormat/>
    <w:uiPriority w:val="59"/>
    <w:tblP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Pr>
  </w:style>
  <w:style w:type="paragraph" w:customStyle="1" w:styleId="99">
    <w:name w:val="表格文字"/>
    <w:basedOn w:val="48"/>
    <w:next w:val="2"/>
    <w:qFormat/>
    <w:uiPriority w:val="0"/>
    <w:pPr>
      <w:adjustRightInd w:val="0"/>
      <w:spacing w:line="420" w:lineRule="atLeast"/>
      <w:textAlignment w:val="baseline"/>
    </w:pPr>
    <w:rPr>
      <w:kern w:val="0"/>
    </w:rPr>
  </w:style>
  <w:style w:type="paragraph" w:customStyle="1" w:styleId="100">
    <w:name w:val="BodyText1I2"/>
    <w:basedOn w:val="101"/>
    <w:next w:val="1"/>
    <w:qFormat/>
    <w:uiPriority w:val="0"/>
    <w:pPr>
      <w:tabs>
        <w:tab w:val="left" w:pos="435"/>
      </w:tabs>
      <w:ind w:firstLine="420" w:firstLineChars="200"/>
    </w:pPr>
  </w:style>
  <w:style w:type="paragraph" w:customStyle="1" w:styleId="101">
    <w:name w:val="BodyTextIndent"/>
    <w:basedOn w:val="1"/>
    <w:qFormat/>
    <w:uiPriority w:val="0"/>
    <w:pPr>
      <w:spacing w:after="120"/>
      <w:ind w:left="420" w:leftChars="200"/>
      <w:textAlignment w:val="baseline"/>
    </w:pPr>
  </w:style>
  <w:style w:type="paragraph" w:customStyle="1" w:styleId="102">
    <w:name w:val="List2"/>
    <w:basedOn w:val="70"/>
    <w:qFormat/>
    <w:uiPriority w:val="0"/>
    <w:pPr>
      <w:spacing w:after="120" w:line="400" w:lineRule="exact"/>
      <w:ind w:left="0" w:firstLine="0" w:firstLineChars="0"/>
    </w:pPr>
    <w:rPr>
      <w:sz w:val="24"/>
    </w:rPr>
  </w:style>
  <w:style w:type="paragraph" w:customStyle="1" w:styleId="103">
    <w:name w:val="文章正文"/>
    <w:basedOn w:val="1"/>
    <w:qFormat/>
    <w:uiPriority w:val="0"/>
    <w:pPr>
      <w:spacing w:line="360" w:lineRule="auto"/>
      <w:ind w:firstLine="200" w:firstLineChars="200"/>
    </w:pPr>
    <w:rPr>
      <w:sz w:val="24"/>
      <w:szCs w:val="24"/>
    </w:rPr>
  </w:style>
  <w:style w:type="character" w:customStyle="1" w:styleId="104">
    <w:name w:val="页眉 字符1"/>
    <w:basedOn w:val="88"/>
    <w:link w:val="61"/>
    <w:qFormat/>
    <w:uiPriority w:val="99"/>
    <w:rPr>
      <w:sz w:val="18"/>
      <w:szCs w:val="18"/>
    </w:rPr>
  </w:style>
  <w:style w:type="character" w:customStyle="1" w:styleId="105">
    <w:name w:val="页脚 字符1"/>
    <w:basedOn w:val="88"/>
    <w:link w:val="58"/>
    <w:qFormat/>
    <w:uiPriority w:val="99"/>
    <w:rPr>
      <w:sz w:val="18"/>
      <w:szCs w:val="18"/>
    </w:rPr>
  </w:style>
  <w:style w:type="character" w:customStyle="1" w:styleId="106">
    <w:name w:val="标题 1 字符"/>
    <w:basedOn w:val="88"/>
    <w:link w:val="5"/>
    <w:qFormat/>
    <w:uiPriority w:val="9"/>
    <w:rPr>
      <w:rFonts w:ascii="黑体" w:hAnsi="Calibri" w:eastAsia="宋体" w:cs="Times New Roman"/>
      <w:b/>
      <w:kern w:val="0"/>
      <w:sz w:val="32"/>
      <w:szCs w:val="20"/>
    </w:rPr>
  </w:style>
  <w:style w:type="character" w:customStyle="1" w:styleId="107">
    <w:name w:val="标题 2 Char"/>
    <w:basedOn w:val="88"/>
    <w:qFormat/>
    <w:uiPriority w:val="0"/>
    <w:rPr>
      <w:rFonts w:asciiTheme="majorHAnsi" w:hAnsiTheme="majorHAnsi" w:eastAsiaTheme="majorEastAsia" w:cstheme="majorBidi"/>
      <w:b/>
      <w:bCs/>
      <w:sz w:val="32"/>
      <w:szCs w:val="32"/>
    </w:rPr>
  </w:style>
  <w:style w:type="character" w:customStyle="1" w:styleId="108">
    <w:name w:val="标题 3 字符1"/>
    <w:basedOn w:val="88"/>
    <w:link w:val="7"/>
    <w:qFormat/>
    <w:uiPriority w:val="0"/>
    <w:rPr>
      <w:rFonts w:ascii="Calibri" w:hAnsi="Calibri" w:eastAsia="宋体" w:cs="Times New Roman"/>
      <w:b/>
      <w:kern w:val="0"/>
      <w:sz w:val="32"/>
      <w:szCs w:val="20"/>
    </w:rPr>
  </w:style>
  <w:style w:type="character" w:customStyle="1" w:styleId="109">
    <w:name w:val="标题 4 字符1"/>
    <w:basedOn w:val="88"/>
    <w:link w:val="8"/>
    <w:qFormat/>
    <w:uiPriority w:val="0"/>
    <w:rPr>
      <w:rFonts w:ascii="Arial" w:hAnsi="Arial" w:eastAsia="黑体" w:cs="Times New Roman"/>
      <w:b/>
      <w:sz w:val="28"/>
      <w:szCs w:val="20"/>
    </w:rPr>
  </w:style>
  <w:style w:type="character" w:customStyle="1" w:styleId="110">
    <w:name w:val="标题 5 字符1"/>
    <w:basedOn w:val="88"/>
    <w:link w:val="9"/>
    <w:qFormat/>
    <w:uiPriority w:val="0"/>
    <w:rPr>
      <w:rFonts w:ascii="Calibri" w:hAnsi="Calibri" w:eastAsia="宋体" w:cs="Times New Roman"/>
      <w:b/>
      <w:sz w:val="28"/>
      <w:szCs w:val="20"/>
    </w:rPr>
  </w:style>
  <w:style w:type="character" w:customStyle="1" w:styleId="111">
    <w:name w:val="标题 6 字符1"/>
    <w:basedOn w:val="88"/>
    <w:link w:val="10"/>
    <w:qFormat/>
    <w:uiPriority w:val="0"/>
    <w:rPr>
      <w:rFonts w:ascii="Arial" w:hAnsi="Arial" w:eastAsia="黑体" w:cs="Times New Roman"/>
      <w:b/>
      <w:kern w:val="0"/>
      <w:sz w:val="24"/>
      <w:szCs w:val="20"/>
    </w:rPr>
  </w:style>
  <w:style w:type="character" w:customStyle="1" w:styleId="112">
    <w:name w:val="标题 7 字符1"/>
    <w:basedOn w:val="88"/>
    <w:link w:val="11"/>
    <w:qFormat/>
    <w:uiPriority w:val="0"/>
    <w:rPr>
      <w:rFonts w:ascii="Calibri" w:hAnsi="Calibri" w:eastAsia="宋体" w:cs="Times New Roman"/>
      <w:b/>
      <w:kern w:val="0"/>
      <w:sz w:val="24"/>
      <w:szCs w:val="20"/>
    </w:rPr>
  </w:style>
  <w:style w:type="character" w:customStyle="1" w:styleId="113">
    <w:name w:val="标题 8 字符1"/>
    <w:basedOn w:val="88"/>
    <w:link w:val="12"/>
    <w:qFormat/>
    <w:uiPriority w:val="0"/>
    <w:rPr>
      <w:rFonts w:ascii="Arial" w:hAnsi="Arial" w:eastAsia="黑体" w:cs="Times New Roman"/>
      <w:kern w:val="0"/>
      <w:sz w:val="24"/>
      <w:szCs w:val="20"/>
    </w:rPr>
  </w:style>
  <w:style w:type="character" w:customStyle="1" w:styleId="114">
    <w:name w:val="标题 9 字符1"/>
    <w:basedOn w:val="88"/>
    <w:link w:val="13"/>
    <w:qFormat/>
    <w:uiPriority w:val="0"/>
    <w:rPr>
      <w:rFonts w:ascii="Arial" w:hAnsi="Arial" w:eastAsia="黑体" w:cs="Times New Roman"/>
      <w:kern w:val="0"/>
      <w:szCs w:val="20"/>
    </w:rPr>
  </w:style>
  <w:style w:type="character" w:customStyle="1" w:styleId="115">
    <w:name w:val="正文文本缩进 字符1"/>
    <w:basedOn w:val="88"/>
    <w:link w:val="27"/>
    <w:qFormat/>
    <w:uiPriority w:val="0"/>
    <w:rPr>
      <w:rFonts w:ascii="Calibri" w:hAnsi="Calibri" w:eastAsia="宋体" w:cs="Times New Roman"/>
      <w:sz w:val="28"/>
      <w:szCs w:val="20"/>
    </w:rPr>
  </w:style>
  <w:style w:type="character" w:customStyle="1" w:styleId="116">
    <w:name w:val="正文首行缩进 2 Char"/>
    <w:basedOn w:val="115"/>
    <w:qFormat/>
    <w:uiPriority w:val="0"/>
    <w:rPr>
      <w:rFonts w:ascii="Calibri" w:hAnsi="Calibri" w:eastAsia="宋体" w:cs="Times New Roman"/>
      <w:sz w:val="28"/>
      <w:szCs w:val="20"/>
    </w:rPr>
  </w:style>
  <w:style w:type="character" w:customStyle="1" w:styleId="117">
    <w:name w:val="正文文本 字符1"/>
    <w:basedOn w:val="88"/>
    <w:link w:val="2"/>
    <w:qFormat/>
    <w:uiPriority w:val="0"/>
    <w:rPr>
      <w:rFonts w:ascii="Calibri" w:hAnsi="Calibri" w:eastAsia="宋体" w:cs="Times New Roman"/>
      <w:sz w:val="28"/>
      <w:szCs w:val="20"/>
    </w:rPr>
  </w:style>
  <w:style w:type="character" w:customStyle="1" w:styleId="118">
    <w:name w:val="正文首行缩进 Char"/>
    <w:basedOn w:val="117"/>
    <w:link w:val="119"/>
    <w:qFormat/>
    <w:uiPriority w:val="0"/>
    <w:rPr>
      <w:rFonts w:ascii="Calibri" w:hAnsi="Calibri" w:eastAsia="宋体" w:cs="Times New Roman"/>
      <w:sz w:val="28"/>
      <w:szCs w:val="20"/>
    </w:rPr>
  </w:style>
  <w:style w:type="paragraph" w:customStyle="1" w:styleId="119">
    <w:name w:val="正文首行缩进1"/>
    <w:basedOn w:val="2"/>
    <w:link w:val="118"/>
    <w:qFormat/>
    <w:uiPriority w:val="0"/>
    <w:pPr>
      <w:spacing w:after="0"/>
      <w:ind w:firstLine="420" w:firstLineChars="100"/>
    </w:pPr>
  </w:style>
  <w:style w:type="character" w:customStyle="1" w:styleId="120">
    <w:name w:val="标题 Char"/>
    <w:basedOn w:val="88"/>
    <w:qFormat/>
    <w:uiPriority w:val="0"/>
    <w:rPr>
      <w:rFonts w:eastAsia="宋体" w:asciiTheme="majorHAnsi" w:hAnsiTheme="majorHAnsi" w:cstheme="majorBidi"/>
      <w:b/>
      <w:bCs/>
      <w:sz w:val="32"/>
      <w:szCs w:val="32"/>
    </w:rPr>
  </w:style>
  <w:style w:type="character" w:customStyle="1" w:styleId="121">
    <w:name w:val="批注文字 字符1"/>
    <w:basedOn w:val="88"/>
    <w:link w:val="16"/>
    <w:qFormat/>
    <w:uiPriority w:val="0"/>
    <w:rPr>
      <w:rFonts w:ascii="Calibri" w:hAnsi="Calibri" w:eastAsia="宋体" w:cs="Times New Roman"/>
      <w:sz w:val="28"/>
      <w:szCs w:val="20"/>
    </w:rPr>
  </w:style>
  <w:style w:type="character" w:customStyle="1" w:styleId="122">
    <w:name w:val="批注主题 Char"/>
    <w:basedOn w:val="121"/>
    <w:link w:val="123"/>
    <w:qFormat/>
    <w:uiPriority w:val="0"/>
    <w:rPr>
      <w:rFonts w:ascii="Calibri" w:hAnsi="Calibri" w:eastAsia="宋体" w:cs="Times New Roman"/>
      <w:b/>
      <w:bCs/>
      <w:sz w:val="28"/>
      <w:szCs w:val="20"/>
    </w:rPr>
  </w:style>
  <w:style w:type="paragraph" w:customStyle="1" w:styleId="123">
    <w:name w:val="批注主题1"/>
    <w:basedOn w:val="16"/>
    <w:next w:val="16"/>
    <w:link w:val="122"/>
    <w:qFormat/>
    <w:uiPriority w:val="0"/>
    <w:rPr>
      <w:b/>
      <w:bCs/>
    </w:rPr>
  </w:style>
  <w:style w:type="character" w:customStyle="1" w:styleId="124">
    <w:name w:val="宏文本 Char"/>
    <w:basedOn w:val="88"/>
    <w:qFormat/>
    <w:uiPriority w:val="0"/>
    <w:rPr>
      <w:rFonts w:ascii="Courier New" w:hAnsi="Courier New" w:eastAsia="宋体" w:cs="Courier New"/>
      <w:sz w:val="24"/>
      <w:szCs w:val="24"/>
    </w:rPr>
  </w:style>
  <w:style w:type="character" w:customStyle="1" w:styleId="125">
    <w:name w:val="注释标题 Char"/>
    <w:basedOn w:val="88"/>
    <w:qFormat/>
    <w:uiPriority w:val="0"/>
    <w:rPr>
      <w:rFonts w:ascii="Calibri" w:hAnsi="Calibri" w:eastAsia="宋体" w:cs="Times New Roman"/>
      <w:sz w:val="28"/>
      <w:szCs w:val="20"/>
    </w:rPr>
  </w:style>
  <w:style w:type="character" w:customStyle="1" w:styleId="126">
    <w:name w:val="电子邮件签名 Char"/>
    <w:basedOn w:val="88"/>
    <w:qFormat/>
    <w:uiPriority w:val="0"/>
    <w:rPr>
      <w:rFonts w:ascii="Calibri" w:hAnsi="Calibri" w:eastAsia="宋体" w:cs="Times New Roman"/>
      <w:sz w:val="28"/>
      <w:szCs w:val="20"/>
    </w:rPr>
  </w:style>
  <w:style w:type="character" w:customStyle="1" w:styleId="127">
    <w:name w:val="文档结构图 Char"/>
    <w:basedOn w:val="88"/>
    <w:qFormat/>
    <w:uiPriority w:val="0"/>
    <w:rPr>
      <w:rFonts w:ascii="宋体" w:hAnsi="Calibri" w:eastAsia="宋体" w:cs="Times New Roman"/>
      <w:sz w:val="18"/>
      <w:szCs w:val="18"/>
    </w:rPr>
  </w:style>
  <w:style w:type="character" w:customStyle="1" w:styleId="128">
    <w:name w:val="称呼 Char"/>
    <w:basedOn w:val="88"/>
    <w:qFormat/>
    <w:uiPriority w:val="0"/>
    <w:rPr>
      <w:rFonts w:ascii="Calibri" w:hAnsi="Calibri" w:eastAsia="宋体" w:cs="Times New Roman"/>
      <w:sz w:val="28"/>
      <w:szCs w:val="20"/>
    </w:rPr>
  </w:style>
  <w:style w:type="character" w:customStyle="1" w:styleId="129">
    <w:name w:val="正文文本 3 Char"/>
    <w:basedOn w:val="88"/>
    <w:qFormat/>
    <w:uiPriority w:val="0"/>
    <w:rPr>
      <w:rFonts w:ascii="Calibri" w:hAnsi="Calibri" w:eastAsia="宋体" w:cs="Times New Roman"/>
      <w:sz w:val="16"/>
      <w:szCs w:val="16"/>
    </w:rPr>
  </w:style>
  <w:style w:type="character" w:customStyle="1" w:styleId="130">
    <w:name w:val="结束语 Char"/>
    <w:basedOn w:val="88"/>
    <w:qFormat/>
    <w:uiPriority w:val="0"/>
    <w:rPr>
      <w:rFonts w:ascii="Calibri" w:hAnsi="Calibri" w:eastAsia="宋体" w:cs="Times New Roman"/>
      <w:sz w:val="28"/>
      <w:szCs w:val="20"/>
    </w:rPr>
  </w:style>
  <w:style w:type="character" w:customStyle="1" w:styleId="131">
    <w:name w:val="HTML 地址 Char"/>
    <w:basedOn w:val="88"/>
    <w:qFormat/>
    <w:uiPriority w:val="0"/>
    <w:rPr>
      <w:rFonts w:ascii="Calibri" w:hAnsi="Calibri" w:eastAsia="宋体" w:cs="Times New Roman"/>
      <w:i/>
      <w:iCs/>
      <w:sz w:val="28"/>
      <w:szCs w:val="20"/>
    </w:rPr>
  </w:style>
  <w:style w:type="character" w:customStyle="1" w:styleId="132">
    <w:name w:val="纯文本 Char"/>
    <w:basedOn w:val="88"/>
    <w:qFormat/>
    <w:uiPriority w:val="0"/>
    <w:rPr>
      <w:rFonts w:ascii="宋体" w:hAnsi="Courier New" w:eastAsia="宋体" w:cs="Courier New"/>
      <w:szCs w:val="21"/>
    </w:rPr>
  </w:style>
  <w:style w:type="character" w:customStyle="1" w:styleId="133">
    <w:name w:val="日期 Char"/>
    <w:basedOn w:val="88"/>
    <w:qFormat/>
    <w:uiPriority w:val="0"/>
    <w:rPr>
      <w:rFonts w:ascii="Calibri" w:hAnsi="Calibri" w:eastAsia="宋体" w:cs="Times New Roman"/>
      <w:sz w:val="28"/>
      <w:szCs w:val="20"/>
    </w:rPr>
  </w:style>
  <w:style w:type="character" w:customStyle="1" w:styleId="134">
    <w:name w:val="正文文本缩进 2 Char"/>
    <w:basedOn w:val="88"/>
    <w:link w:val="135"/>
    <w:qFormat/>
    <w:uiPriority w:val="0"/>
    <w:rPr>
      <w:rFonts w:ascii="Calibri" w:hAnsi="Calibri" w:eastAsia="宋体" w:cs="Times New Roman"/>
      <w:sz w:val="28"/>
      <w:szCs w:val="20"/>
    </w:rPr>
  </w:style>
  <w:style w:type="paragraph" w:customStyle="1" w:styleId="135">
    <w:name w:val="正文文本缩进 22"/>
    <w:basedOn w:val="1"/>
    <w:link w:val="134"/>
    <w:qFormat/>
    <w:uiPriority w:val="0"/>
    <w:pPr>
      <w:adjustRightInd w:val="0"/>
      <w:spacing w:line="400" w:lineRule="atLeast"/>
      <w:ind w:firstLine="540"/>
      <w:textAlignment w:val="baseline"/>
    </w:pPr>
  </w:style>
  <w:style w:type="character" w:customStyle="1" w:styleId="136">
    <w:name w:val="尾注文本 Char"/>
    <w:basedOn w:val="88"/>
    <w:qFormat/>
    <w:uiPriority w:val="0"/>
    <w:rPr>
      <w:rFonts w:ascii="Calibri" w:hAnsi="Calibri" w:eastAsia="宋体" w:cs="Times New Roman"/>
      <w:sz w:val="28"/>
      <w:szCs w:val="20"/>
    </w:rPr>
  </w:style>
  <w:style w:type="character" w:customStyle="1" w:styleId="137">
    <w:name w:val="批注框文本 Char"/>
    <w:basedOn w:val="88"/>
    <w:qFormat/>
    <w:uiPriority w:val="99"/>
    <w:rPr>
      <w:rFonts w:ascii="Calibri" w:hAnsi="Calibri" w:eastAsia="宋体" w:cs="Times New Roman"/>
      <w:sz w:val="18"/>
      <w:szCs w:val="18"/>
    </w:rPr>
  </w:style>
  <w:style w:type="character" w:customStyle="1" w:styleId="138">
    <w:name w:val="签名 Char"/>
    <w:basedOn w:val="88"/>
    <w:qFormat/>
    <w:uiPriority w:val="0"/>
    <w:rPr>
      <w:rFonts w:ascii="Calibri" w:hAnsi="Calibri" w:eastAsia="宋体" w:cs="Times New Roman"/>
      <w:sz w:val="28"/>
      <w:szCs w:val="20"/>
    </w:rPr>
  </w:style>
  <w:style w:type="character" w:customStyle="1" w:styleId="139">
    <w:name w:val="副标题 Char"/>
    <w:basedOn w:val="88"/>
    <w:qFormat/>
    <w:uiPriority w:val="0"/>
    <w:rPr>
      <w:rFonts w:eastAsia="宋体" w:asciiTheme="majorHAnsi" w:hAnsiTheme="majorHAnsi" w:cstheme="majorBidi"/>
      <w:b/>
      <w:bCs/>
      <w:kern w:val="28"/>
      <w:sz w:val="32"/>
      <w:szCs w:val="32"/>
    </w:rPr>
  </w:style>
  <w:style w:type="character" w:customStyle="1" w:styleId="140">
    <w:name w:val="脚注文本 Char"/>
    <w:basedOn w:val="88"/>
    <w:qFormat/>
    <w:uiPriority w:val="0"/>
    <w:rPr>
      <w:rFonts w:ascii="Calibri" w:hAnsi="Calibri" w:eastAsia="宋体" w:cs="Times New Roman"/>
      <w:sz w:val="18"/>
      <w:szCs w:val="18"/>
    </w:rPr>
  </w:style>
  <w:style w:type="character" w:customStyle="1" w:styleId="141">
    <w:name w:val="正文文本缩进 3 Char"/>
    <w:basedOn w:val="88"/>
    <w:link w:val="142"/>
    <w:qFormat/>
    <w:uiPriority w:val="0"/>
    <w:rPr>
      <w:rFonts w:ascii="Calibri" w:hAnsi="Calibri" w:eastAsia="宋体" w:cs="Times New Roman"/>
      <w:sz w:val="16"/>
      <w:szCs w:val="16"/>
    </w:rPr>
  </w:style>
  <w:style w:type="paragraph" w:customStyle="1" w:styleId="142">
    <w:name w:val="正文文本缩进 31"/>
    <w:basedOn w:val="1"/>
    <w:link w:val="141"/>
    <w:qFormat/>
    <w:uiPriority w:val="0"/>
    <w:pPr>
      <w:spacing w:line="360" w:lineRule="auto"/>
      <w:ind w:firstLine="490" w:firstLineChars="204"/>
    </w:pPr>
    <w:rPr>
      <w:sz w:val="16"/>
      <w:szCs w:val="16"/>
    </w:rPr>
  </w:style>
  <w:style w:type="character" w:customStyle="1" w:styleId="143">
    <w:name w:val="正文文本 2 Char"/>
    <w:basedOn w:val="88"/>
    <w:link w:val="144"/>
    <w:qFormat/>
    <w:uiPriority w:val="0"/>
    <w:rPr>
      <w:rFonts w:ascii="Calibri" w:hAnsi="Calibri" w:eastAsia="宋体" w:cs="Times New Roman"/>
      <w:sz w:val="28"/>
      <w:szCs w:val="20"/>
    </w:rPr>
  </w:style>
  <w:style w:type="paragraph" w:customStyle="1" w:styleId="144">
    <w:name w:val="正文文本 22"/>
    <w:basedOn w:val="1"/>
    <w:link w:val="143"/>
    <w:qFormat/>
    <w:uiPriority w:val="0"/>
    <w:pPr>
      <w:adjustRightInd w:val="0"/>
      <w:ind w:firstLine="510"/>
      <w:jc w:val="left"/>
      <w:textAlignment w:val="baseline"/>
    </w:pPr>
  </w:style>
  <w:style w:type="character" w:customStyle="1" w:styleId="145">
    <w:name w:val="信息标题 Char"/>
    <w:basedOn w:val="88"/>
    <w:qFormat/>
    <w:uiPriority w:val="0"/>
    <w:rPr>
      <w:rFonts w:asciiTheme="majorHAnsi" w:hAnsiTheme="majorHAnsi" w:eastAsiaTheme="majorEastAsia" w:cstheme="majorBidi"/>
      <w:sz w:val="24"/>
      <w:szCs w:val="24"/>
      <w:shd w:val="pct20" w:color="auto" w:fill="auto"/>
    </w:rPr>
  </w:style>
  <w:style w:type="character" w:customStyle="1" w:styleId="146">
    <w:name w:val="HTML 预设格式 Char"/>
    <w:basedOn w:val="88"/>
    <w:link w:val="147"/>
    <w:qFormat/>
    <w:uiPriority w:val="0"/>
    <w:rPr>
      <w:rFonts w:ascii="Courier New" w:hAnsi="Courier New" w:eastAsia="宋体" w:cs="Courier New"/>
      <w:sz w:val="20"/>
      <w:szCs w:val="20"/>
    </w:rPr>
  </w:style>
  <w:style w:type="paragraph" w:customStyle="1" w:styleId="147">
    <w:name w:val="HTML 预设格式1"/>
    <w:basedOn w:val="1"/>
    <w:link w:val="146"/>
    <w:qFormat/>
    <w:uiPriority w:val="0"/>
    <w:rPr>
      <w:rFonts w:ascii="Courier New" w:hAnsi="Courier New" w:cs="Courier New"/>
      <w:sz w:val="20"/>
    </w:rPr>
  </w:style>
  <w:style w:type="character" w:customStyle="1" w:styleId="148">
    <w:name w:val="bemq"/>
    <w:qFormat/>
    <w:uiPriority w:val="0"/>
  </w:style>
  <w:style w:type="character" w:customStyle="1" w:styleId="149">
    <w:name w:val="标题 Char3"/>
    <w:qFormat/>
    <w:uiPriority w:val="0"/>
    <w:rPr>
      <w:b/>
      <w:sz w:val="24"/>
      <w:lang w:val="en-GB"/>
    </w:rPr>
  </w:style>
  <w:style w:type="character" w:customStyle="1" w:styleId="150">
    <w:name w:val="HTML 打字机1"/>
    <w:qFormat/>
    <w:uiPriority w:val="0"/>
    <w:rPr>
      <w:rFonts w:ascii="Courier New" w:hAnsi="Courier New"/>
      <w:sz w:val="20"/>
    </w:rPr>
  </w:style>
  <w:style w:type="character" w:customStyle="1" w:styleId="151">
    <w:name w:val="样式1 Char Char"/>
    <w:link w:val="152"/>
    <w:qFormat/>
    <w:uiPriority w:val="0"/>
    <w:rPr>
      <w:rFonts w:ascii="黑体"/>
      <w:b/>
      <w:sz w:val="32"/>
    </w:rPr>
  </w:style>
  <w:style w:type="paragraph" w:customStyle="1" w:styleId="152">
    <w:name w:val="样式1"/>
    <w:basedOn w:val="5"/>
    <w:link w:val="151"/>
    <w:qFormat/>
    <w:uiPriority w:val="0"/>
    <w:pPr>
      <w:tabs>
        <w:tab w:val="left" w:pos="-839"/>
      </w:tabs>
      <w:ind w:left="1320" w:hanging="1320"/>
    </w:pPr>
    <w:rPr>
      <w:rFonts w:hAnsiTheme="minorHAnsi" w:eastAsiaTheme="minorEastAsia" w:cstheme="minorBidi"/>
      <w:kern w:val="2"/>
      <w:szCs w:val="22"/>
    </w:rPr>
  </w:style>
  <w:style w:type="character" w:customStyle="1" w:styleId="153">
    <w:name w:val="日期 Char1"/>
    <w:qFormat/>
    <w:uiPriority w:val="0"/>
    <w:rPr>
      <w:rFonts w:ascii="Times New Roman" w:hAnsi="Times New Roman" w:eastAsia="宋体"/>
    </w:rPr>
  </w:style>
  <w:style w:type="character" w:customStyle="1" w:styleId="154">
    <w:name w:val="标题 9 字符"/>
    <w:qFormat/>
    <w:uiPriority w:val="0"/>
    <w:rPr>
      <w:rFonts w:ascii="等线 Light" w:hAnsi="等线 Light" w:eastAsia="等线 Light"/>
      <w:kern w:val="2"/>
      <w:sz w:val="21"/>
    </w:rPr>
  </w:style>
  <w:style w:type="character" w:customStyle="1" w:styleId="155">
    <w:name w:val="标题 3 Char Char Char"/>
    <w:qFormat/>
    <w:uiPriority w:val="0"/>
    <w:rPr>
      <w:rFonts w:eastAsia="宋体"/>
      <w:b/>
      <w:kern w:val="2"/>
      <w:sz w:val="32"/>
      <w:lang w:val="en-US" w:eastAsia="zh-CN"/>
    </w:rPr>
  </w:style>
  <w:style w:type="character" w:customStyle="1" w:styleId="156">
    <w:name w:val="正文文本缩进 字符"/>
    <w:qFormat/>
    <w:uiPriority w:val="0"/>
    <w:rPr>
      <w:rFonts w:ascii="Times New Roman" w:hAnsi="Times New Roman" w:eastAsia="宋体"/>
      <w:kern w:val="2"/>
      <w:sz w:val="21"/>
    </w:rPr>
  </w:style>
  <w:style w:type="character" w:customStyle="1" w:styleId="157">
    <w:name w:val="style1 style6 style7"/>
    <w:qFormat/>
    <w:uiPriority w:val="0"/>
  </w:style>
  <w:style w:type="character" w:customStyle="1" w:styleId="158">
    <w:name w:val="h2 Char"/>
    <w:qFormat/>
    <w:uiPriority w:val="0"/>
    <w:rPr>
      <w:rFonts w:ascii="Arial" w:hAnsi="Arial" w:eastAsia="黑体"/>
      <w:color w:val="0000FF"/>
      <w:sz w:val="24"/>
      <w:lang w:val="en-US" w:eastAsia="zh-CN"/>
    </w:rPr>
  </w:style>
  <w:style w:type="character" w:customStyle="1" w:styleId="159">
    <w:name w:val="页脚 字符"/>
    <w:qFormat/>
    <w:uiPriority w:val="0"/>
    <w:rPr>
      <w:kern w:val="2"/>
      <w:sz w:val="18"/>
    </w:rPr>
  </w:style>
  <w:style w:type="character" w:customStyle="1" w:styleId="160">
    <w:name w:val="content3"/>
    <w:qFormat/>
    <w:uiPriority w:val="0"/>
    <w:rPr>
      <w:b/>
      <w:sz w:val="18"/>
    </w:rPr>
  </w:style>
  <w:style w:type="character" w:customStyle="1" w:styleId="161">
    <w:name w:val="street-address"/>
    <w:qFormat/>
    <w:uiPriority w:val="0"/>
  </w:style>
  <w:style w:type="character" w:customStyle="1" w:styleId="162">
    <w:name w:val="正文文本缩进 2 Char1"/>
    <w:qFormat/>
    <w:uiPriority w:val="0"/>
    <w:rPr>
      <w:rFonts w:ascii="黑体" w:eastAsia="黑体"/>
      <w:sz w:val="28"/>
    </w:rPr>
  </w:style>
  <w:style w:type="character" w:customStyle="1" w:styleId="163">
    <w:name w:val="标题 7 字符"/>
    <w:qFormat/>
    <w:uiPriority w:val="0"/>
    <w:rPr>
      <w:rFonts w:ascii="Times New Roman" w:hAnsi="Times New Roman" w:eastAsia="宋体"/>
      <w:b/>
      <w:kern w:val="2"/>
      <w:sz w:val="24"/>
    </w:rPr>
  </w:style>
  <w:style w:type="character" w:customStyle="1" w:styleId="164">
    <w:name w:val="正文（首行缩进两字） + Arial Char Char Char Char Char Char Char Char Char Char Char Char Char Char Char Char Char Char Char Char Char Char Char Char Char Char Char"/>
    <w:qFormat/>
    <w:uiPriority w:val="0"/>
    <w:rPr>
      <w:rFonts w:ascii="Arial" w:hAnsi="Arial" w:eastAsia="宋体"/>
      <w:sz w:val="24"/>
      <w:lang w:val="en-US" w:eastAsia="zh-CN"/>
    </w:rPr>
  </w:style>
  <w:style w:type="character" w:customStyle="1" w:styleId="165">
    <w:name w:val="内文 Char Char"/>
    <w:link w:val="166"/>
    <w:qFormat/>
    <w:uiPriority w:val="0"/>
    <w:rPr>
      <w:rFonts w:ascii="Arial" w:hAnsi="Arial" w:eastAsia="Times New Roman"/>
    </w:rPr>
  </w:style>
  <w:style w:type="paragraph" w:customStyle="1" w:styleId="166">
    <w:name w:val="内文"/>
    <w:link w:val="165"/>
    <w:qFormat/>
    <w:uiPriority w:val="0"/>
    <w:pPr>
      <w:adjustRightInd w:val="0"/>
      <w:snapToGrid w:val="0"/>
      <w:spacing w:line="400" w:lineRule="exact"/>
      <w:ind w:firstLine="200" w:firstLineChars="200"/>
      <w:jc w:val="both"/>
    </w:pPr>
    <w:rPr>
      <w:rFonts w:ascii="Arial" w:hAnsi="Arial" w:eastAsia="Times New Roman" w:cstheme="minorBidi"/>
      <w:kern w:val="2"/>
      <w:sz w:val="21"/>
      <w:szCs w:val="22"/>
      <w:lang w:val="en-US" w:eastAsia="zh-CN" w:bidi="ar-SA"/>
    </w:rPr>
  </w:style>
  <w:style w:type="character" w:customStyle="1" w:styleId="167">
    <w:name w:val="font14news1"/>
    <w:qFormat/>
    <w:uiPriority w:val="0"/>
    <w:rPr>
      <w:color w:val="333333"/>
      <w:sz w:val="21"/>
    </w:rPr>
  </w:style>
  <w:style w:type="character" w:customStyle="1" w:styleId="168">
    <w:name w:val="标题 6 Char1"/>
    <w:qFormat/>
    <w:uiPriority w:val="0"/>
    <w:rPr>
      <w:rFonts w:ascii="Arial" w:hAnsi="Arial" w:eastAsia="黑体"/>
      <w:b/>
      <w:sz w:val="24"/>
      <w:lang w:val="en-US" w:eastAsia="zh-CN"/>
    </w:rPr>
  </w:style>
  <w:style w:type="character" w:customStyle="1" w:styleId="169">
    <w:name w:val="HTML 变量1"/>
    <w:qFormat/>
    <w:uiPriority w:val="0"/>
    <w:rPr>
      <w:i/>
    </w:rPr>
  </w:style>
  <w:style w:type="character" w:customStyle="1" w:styleId="170">
    <w:name w:val="标题 2 Char1"/>
    <w:qFormat/>
    <w:uiPriority w:val="0"/>
    <w:rPr>
      <w:rFonts w:ascii="Arial" w:hAnsi="Arial" w:eastAsia="黑体"/>
      <w:b/>
      <w:sz w:val="32"/>
      <w:lang w:val="en-US" w:eastAsia="zh-CN"/>
    </w:rPr>
  </w:style>
  <w:style w:type="character" w:customStyle="1" w:styleId="171">
    <w:name w:val="样式10 Char"/>
    <w:link w:val="172"/>
    <w:qFormat/>
    <w:uiPriority w:val="0"/>
    <w:rPr>
      <w:b/>
      <w:sz w:val="24"/>
    </w:rPr>
  </w:style>
  <w:style w:type="paragraph" w:customStyle="1" w:styleId="172">
    <w:name w:val="样式10"/>
    <w:basedOn w:val="1"/>
    <w:link w:val="171"/>
    <w:qFormat/>
    <w:uiPriority w:val="0"/>
    <w:pPr>
      <w:spacing w:line="360" w:lineRule="auto"/>
    </w:pPr>
    <w:rPr>
      <w:rFonts w:asciiTheme="minorHAnsi" w:hAnsiTheme="minorHAnsi" w:eastAsiaTheme="minorEastAsia" w:cstheme="minorBidi"/>
      <w:b/>
      <w:sz w:val="24"/>
      <w:szCs w:val="22"/>
    </w:rPr>
  </w:style>
  <w:style w:type="character" w:customStyle="1" w:styleId="173">
    <w:name w:val="注释标题 字符"/>
    <w:qFormat/>
    <w:uiPriority w:val="0"/>
    <w:rPr>
      <w:kern w:val="2"/>
      <w:sz w:val="28"/>
    </w:rPr>
  </w:style>
  <w:style w:type="character" w:customStyle="1" w:styleId="174">
    <w:name w:val="标题 1 Char2"/>
    <w:qFormat/>
    <w:uiPriority w:val="0"/>
    <w:rPr>
      <w:rFonts w:ascii="Arial Unicode MS" w:hAnsi="Arial Unicode MS" w:eastAsia="Arial Unicode MS"/>
      <w:b/>
      <w:kern w:val="36"/>
      <w:sz w:val="48"/>
      <w:lang w:val="en-US" w:eastAsia="zh-CN"/>
    </w:rPr>
  </w:style>
  <w:style w:type="character" w:customStyle="1" w:styleId="175">
    <w:name w:val="Comment Text Char"/>
    <w:qFormat/>
    <w:uiPriority w:val="0"/>
    <w:rPr>
      <w:rFonts w:ascii="Times New Roman" w:hAnsi="Times New Roman" w:eastAsia="宋体"/>
      <w:sz w:val="24"/>
    </w:rPr>
  </w:style>
  <w:style w:type="character" w:customStyle="1" w:styleId="176">
    <w:name w:val="纯文本 字符"/>
    <w:qFormat/>
    <w:uiPriority w:val="0"/>
    <w:rPr>
      <w:rFonts w:ascii="宋体" w:hAnsi="Courier New" w:eastAsia="宋体"/>
      <w:kern w:val="2"/>
      <w:sz w:val="21"/>
    </w:rPr>
  </w:style>
  <w:style w:type="character" w:customStyle="1" w:styleId="177">
    <w:name w:val="页脚 Char2"/>
    <w:qFormat/>
    <w:uiPriority w:val="0"/>
    <w:rPr>
      <w:kern w:val="2"/>
      <w:sz w:val="18"/>
    </w:rPr>
  </w:style>
  <w:style w:type="character" w:customStyle="1" w:styleId="178">
    <w:name w:val="个人撰写风格"/>
    <w:qFormat/>
    <w:uiPriority w:val="0"/>
    <w:rPr>
      <w:rFonts w:ascii="Arial" w:hAnsi="Arial" w:eastAsia="宋体"/>
      <w:color w:val="auto"/>
      <w:sz w:val="20"/>
    </w:rPr>
  </w:style>
  <w:style w:type="character" w:customStyle="1" w:styleId="179">
    <w:name w:val="正文文本缩进 Char1"/>
    <w:qFormat/>
    <w:uiPriority w:val="0"/>
    <w:rPr>
      <w:rFonts w:ascii="宋体" w:hAnsi="宋体" w:eastAsia="宋体"/>
      <w:spacing w:val="-6"/>
      <w:kern w:val="2"/>
      <w:sz w:val="21"/>
      <w:lang w:val="en-US" w:eastAsia="zh-CN"/>
    </w:rPr>
  </w:style>
  <w:style w:type="character" w:customStyle="1" w:styleId="180">
    <w:name w:val="Char Char6"/>
    <w:qFormat/>
    <w:uiPriority w:val="0"/>
    <w:rPr>
      <w:rFonts w:ascii="宋体" w:hAnsi="Courier New" w:eastAsia="宋体"/>
      <w:kern w:val="2"/>
      <w:sz w:val="21"/>
      <w:lang w:val="en-US" w:eastAsia="zh-CN"/>
    </w:rPr>
  </w:style>
  <w:style w:type="character" w:customStyle="1" w:styleId="181">
    <w:name w:val="Char Char"/>
    <w:link w:val="182"/>
    <w:qFormat/>
    <w:uiPriority w:val="0"/>
    <w:rPr>
      <w:rFonts w:eastAsia="仿宋_GB2312"/>
      <w:sz w:val="28"/>
    </w:rPr>
  </w:style>
  <w:style w:type="paragraph" w:customStyle="1" w:styleId="182">
    <w:name w:val="Char12"/>
    <w:basedOn w:val="1"/>
    <w:link w:val="181"/>
    <w:qFormat/>
    <w:uiPriority w:val="0"/>
    <w:rPr>
      <w:rFonts w:eastAsia="仿宋_GB2312" w:asciiTheme="minorHAnsi" w:hAnsiTheme="minorHAnsi" w:cstheme="minorBidi"/>
      <w:szCs w:val="22"/>
    </w:rPr>
  </w:style>
  <w:style w:type="character" w:customStyle="1" w:styleId="183">
    <w:name w:val="Plain Text Char"/>
    <w:qFormat/>
    <w:uiPriority w:val="0"/>
    <w:rPr>
      <w:rFonts w:ascii="宋体" w:hAnsi="Courier New" w:eastAsia="宋体"/>
      <w:kern w:val="2"/>
      <w:sz w:val="21"/>
      <w:lang w:val="en-US" w:eastAsia="zh-CN"/>
    </w:rPr>
  </w:style>
  <w:style w:type="character" w:customStyle="1" w:styleId="184">
    <w:name w:val="zbggmain"/>
    <w:qFormat/>
    <w:uiPriority w:val="0"/>
  </w:style>
  <w:style w:type="character" w:customStyle="1" w:styleId="185">
    <w:name w:val="标题 2 字符"/>
    <w:link w:val="6"/>
    <w:qFormat/>
    <w:uiPriority w:val="0"/>
    <w:rPr>
      <w:rFonts w:ascii="Arial" w:hAnsi="Arial" w:eastAsia="黑体" w:cs="Times New Roman"/>
      <w:b/>
      <w:szCs w:val="20"/>
    </w:rPr>
  </w:style>
  <w:style w:type="character" w:customStyle="1" w:styleId="186">
    <w:name w:val="8953"/>
    <w:qFormat/>
    <w:uiPriority w:val="0"/>
  </w:style>
  <w:style w:type="character" w:customStyle="1" w:styleId="187">
    <w:name w:val="H1 Char"/>
    <w:qFormat/>
    <w:uiPriority w:val="0"/>
    <w:rPr>
      <w:rFonts w:ascii="Arial Unicode MS" w:hAnsi="Arial Unicode MS" w:eastAsia="Arial Unicode MS"/>
      <w:b/>
      <w:kern w:val="36"/>
      <w:sz w:val="48"/>
      <w:lang w:val="en-US" w:eastAsia="zh-CN"/>
    </w:rPr>
  </w:style>
  <w:style w:type="character" w:customStyle="1" w:styleId="188">
    <w:name w:val="样式 标题 3Heading 3 Char1Heading 3 Char Char列表编号33 bullet2ERM... Char"/>
    <w:link w:val="189"/>
    <w:qFormat/>
    <w:uiPriority w:val="0"/>
    <w:rPr>
      <w:b/>
    </w:rPr>
  </w:style>
  <w:style w:type="paragraph" w:customStyle="1" w:styleId="189">
    <w:name w:val="样式 标题 3Heading 3 Char1Heading 3 Char Char列表编号33 bullet2ERM..."/>
    <w:basedOn w:val="7"/>
    <w:link w:val="188"/>
    <w:qFormat/>
    <w:uiPriority w:val="0"/>
    <w:pPr>
      <w:widowControl w:val="0"/>
      <w:tabs>
        <w:tab w:val="clear" w:pos="720"/>
      </w:tabs>
      <w:adjustRightInd w:val="0"/>
      <w:snapToGrid w:val="0"/>
      <w:spacing w:before="0" w:after="0"/>
      <w:ind w:left="0" w:firstLine="0"/>
      <w:jc w:val="both"/>
    </w:pPr>
    <w:rPr>
      <w:rFonts w:asciiTheme="minorHAnsi" w:hAnsiTheme="minorHAnsi" w:eastAsiaTheme="minorEastAsia" w:cstheme="minorBidi"/>
      <w:kern w:val="2"/>
      <w:sz w:val="21"/>
      <w:szCs w:val="22"/>
    </w:rPr>
  </w:style>
  <w:style w:type="character" w:customStyle="1" w:styleId="190">
    <w:name w:val="Char Char12"/>
    <w:qFormat/>
    <w:uiPriority w:val="0"/>
    <w:rPr>
      <w:rFonts w:ascii="Arial" w:hAnsi="Arial" w:eastAsia="黑体"/>
      <w:b/>
      <w:sz w:val="24"/>
    </w:rPr>
  </w:style>
  <w:style w:type="character" w:customStyle="1" w:styleId="191">
    <w:name w:val="页眉 Char1"/>
    <w:qFormat/>
    <w:uiPriority w:val="0"/>
    <w:rPr>
      <w:rFonts w:eastAsia="宋体"/>
      <w:kern w:val="2"/>
      <w:sz w:val="18"/>
      <w:lang w:val="en-US" w:eastAsia="zh-CN"/>
    </w:rPr>
  </w:style>
  <w:style w:type="character" w:customStyle="1" w:styleId="192">
    <w:name w:val="正文文本缩进 2 字符"/>
    <w:qFormat/>
    <w:uiPriority w:val="0"/>
    <w:rPr>
      <w:rFonts w:ascii="Times New Roman" w:hAnsi="Times New Roman" w:eastAsia="宋体"/>
      <w:kern w:val="2"/>
      <w:sz w:val="21"/>
    </w:rPr>
  </w:style>
  <w:style w:type="character" w:customStyle="1" w:styleId="193">
    <w:name w:val="页眉 Char2"/>
    <w:qFormat/>
    <w:uiPriority w:val="0"/>
    <w:rPr>
      <w:kern w:val="2"/>
      <w:sz w:val="18"/>
    </w:rPr>
  </w:style>
  <w:style w:type="character" w:customStyle="1" w:styleId="194">
    <w:name w:val="批注主题 Char1"/>
    <w:qFormat/>
    <w:uiPriority w:val="0"/>
    <w:rPr>
      <w:b/>
    </w:rPr>
  </w:style>
  <w:style w:type="character" w:customStyle="1" w:styleId="195">
    <w:name w:val="qclx"/>
    <w:qFormat/>
    <w:uiPriority w:val="0"/>
  </w:style>
  <w:style w:type="character" w:customStyle="1" w:styleId="196">
    <w:name w:val="even Char Char"/>
    <w:qFormat/>
    <w:uiPriority w:val="0"/>
    <w:rPr>
      <w:rFonts w:ascii="Times New Roman" w:hAnsi="Times New Roman" w:eastAsia="宋体"/>
      <w:sz w:val="18"/>
    </w:rPr>
  </w:style>
  <w:style w:type="character" w:customStyle="1" w:styleId="197">
    <w:name w:val="正文文本缩进 3 Char1"/>
    <w:qFormat/>
    <w:uiPriority w:val="0"/>
    <w:rPr>
      <w:sz w:val="28"/>
    </w:rPr>
  </w:style>
  <w:style w:type="character" w:customStyle="1" w:styleId="198">
    <w:name w:val="信息标题 字符"/>
    <w:qFormat/>
    <w:uiPriority w:val="0"/>
    <w:rPr>
      <w:rFonts w:ascii="等线 Light" w:hAnsi="等线 Light" w:eastAsia="等线 Light"/>
      <w:kern w:val="2"/>
      <w:sz w:val="24"/>
      <w:shd w:val="pct20" w:color="auto" w:fill="auto"/>
    </w:rPr>
  </w:style>
  <w:style w:type="character" w:customStyle="1" w:styleId="199">
    <w:name w:val="标题 5 字符"/>
    <w:qFormat/>
    <w:uiPriority w:val="0"/>
    <w:rPr>
      <w:rFonts w:ascii="Times New Roman" w:hAnsi="Times New Roman" w:eastAsia="宋体"/>
      <w:b/>
      <w:kern w:val="2"/>
      <w:sz w:val="28"/>
    </w:rPr>
  </w:style>
  <w:style w:type="character" w:customStyle="1" w:styleId="200">
    <w:name w:val="HTML 预设格式 Char2"/>
    <w:qFormat/>
    <w:uiPriority w:val="0"/>
    <w:rPr>
      <w:rFonts w:ascii="黑体" w:hAnsi="Courier New" w:eastAsia="黑体"/>
    </w:rPr>
  </w:style>
  <w:style w:type="character" w:customStyle="1" w:styleId="201">
    <w:name w:val="p7"/>
    <w:qFormat/>
    <w:uiPriority w:val="0"/>
  </w:style>
  <w:style w:type="character" w:customStyle="1" w:styleId="202">
    <w:name w:val="签名 字符"/>
    <w:qFormat/>
    <w:uiPriority w:val="0"/>
    <w:rPr>
      <w:kern w:val="2"/>
      <w:sz w:val="28"/>
    </w:rPr>
  </w:style>
  <w:style w:type="character" w:customStyle="1" w:styleId="203">
    <w:name w:val="批注文字 Char1"/>
    <w:qFormat/>
    <w:uiPriority w:val="0"/>
    <w:rPr>
      <w:rFonts w:eastAsia="宋体"/>
      <w:kern w:val="2"/>
      <w:sz w:val="21"/>
      <w:lang w:val="en-US" w:eastAsia="zh-CN"/>
    </w:rPr>
  </w:style>
  <w:style w:type="character" w:customStyle="1" w:styleId="204">
    <w:name w:val="文档结构图 Char1"/>
    <w:qFormat/>
    <w:uiPriority w:val="0"/>
    <w:rPr>
      <w:rFonts w:eastAsia="宋体"/>
      <w:kern w:val="2"/>
      <w:sz w:val="21"/>
      <w:lang w:val="en-US" w:eastAsia="zh-CN"/>
    </w:rPr>
  </w:style>
  <w:style w:type="character" w:customStyle="1" w:styleId="205">
    <w:name w:val="纯文本 Char1"/>
    <w:qFormat/>
    <w:uiPriority w:val="0"/>
    <w:rPr>
      <w:rFonts w:ascii="宋体" w:hAnsi="Courier New" w:eastAsia="宋体"/>
      <w:kern w:val="2"/>
      <w:sz w:val="21"/>
    </w:rPr>
  </w:style>
  <w:style w:type="character" w:customStyle="1" w:styleId="206">
    <w:name w:val="无间隔 Char"/>
    <w:link w:val="207"/>
    <w:qFormat/>
    <w:locked/>
    <w:uiPriority w:val="0"/>
    <w:rPr>
      <w:rFonts w:ascii="宋体" w:hAnsi="宋体"/>
      <w:szCs w:val="24"/>
    </w:rPr>
  </w:style>
  <w:style w:type="paragraph" w:customStyle="1" w:styleId="207">
    <w:name w:val="无间隔1"/>
    <w:basedOn w:val="1"/>
    <w:link w:val="206"/>
    <w:qFormat/>
    <w:uiPriority w:val="0"/>
    <w:rPr>
      <w:rFonts w:ascii="宋体" w:hAnsi="宋体" w:eastAsiaTheme="minorEastAsia" w:cstheme="minorBidi"/>
      <w:sz w:val="21"/>
      <w:szCs w:val="24"/>
    </w:rPr>
  </w:style>
  <w:style w:type="character" w:customStyle="1" w:styleId="208">
    <w:name w:val="HTML 引文1"/>
    <w:qFormat/>
    <w:uiPriority w:val="0"/>
    <w:rPr>
      <w:i/>
    </w:rPr>
  </w:style>
  <w:style w:type="character" w:customStyle="1" w:styleId="209">
    <w:name w:val="Char Char13"/>
    <w:qFormat/>
    <w:uiPriority w:val="0"/>
    <w:rPr>
      <w:rFonts w:ascii="Times New Roman" w:hAnsi="Times New Roman" w:eastAsia="宋体"/>
      <w:b/>
      <w:sz w:val="28"/>
    </w:rPr>
  </w:style>
  <w:style w:type="character" w:customStyle="1" w:styleId="210">
    <w:name w:val="brown1"/>
    <w:qFormat/>
    <w:uiPriority w:val="0"/>
    <w:rPr>
      <w:color w:val="80786A"/>
    </w:rPr>
  </w:style>
  <w:style w:type="character" w:customStyle="1" w:styleId="211">
    <w:name w:val="正文首行缩进 2 字符"/>
    <w:basedOn w:val="212"/>
    <w:qFormat/>
    <w:uiPriority w:val="0"/>
    <w:rPr>
      <w:rFonts w:ascii="黑体" w:eastAsia="黑体"/>
      <w:sz w:val="28"/>
    </w:rPr>
  </w:style>
  <w:style w:type="character" w:customStyle="1" w:styleId="212">
    <w:name w:val="正文文本缩进 Char2"/>
    <w:qFormat/>
    <w:uiPriority w:val="0"/>
    <w:rPr>
      <w:rFonts w:ascii="黑体" w:eastAsia="黑体"/>
      <w:sz w:val="28"/>
    </w:rPr>
  </w:style>
  <w:style w:type="character" w:customStyle="1" w:styleId="213">
    <w:name w:val="正文非缩进 Char"/>
    <w:qFormat/>
    <w:uiPriority w:val="0"/>
    <w:rPr>
      <w:rFonts w:ascii="宋体" w:eastAsia="宋体"/>
      <w:snapToGrid w:val="0"/>
      <w:color w:val="000000"/>
      <w:kern w:val="28"/>
      <w:sz w:val="28"/>
      <w:lang w:val="en-US" w:eastAsia="zh-CN"/>
    </w:rPr>
  </w:style>
  <w:style w:type="character" w:customStyle="1" w:styleId="214">
    <w:name w:val="标题 1 1 Char"/>
    <w:qFormat/>
    <w:uiPriority w:val="0"/>
    <w:rPr>
      <w:rFonts w:ascii="Times New Roman" w:hAnsi="Times New Roman" w:eastAsia="宋体"/>
      <w:b/>
      <w:kern w:val="44"/>
      <w:sz w:val="44"/>
    </w:rPr>
  </w:style>
  <w:style w:type="character" w:customStyle="1" w:styleId="215">
    <w:name w:val="z-窗体底端 Char"/>
    <w:qFormat/>
    <w:uiPriority w:val="0"/>
    <w:rPr>
      <w:rFonts w:ascii="Arial" w:hAnsi="Arial"/>
      <w:vanish/>
      <w:sz w:val="16"/>
    </w:rPr>
  </w:style>
  <w:style w:type="paragraph" w:customStyle="1" w:styleId="216">
    <w:name w:val="z-窗体底端1"/>
    <w:basedOn w:val="1"/>
    <w:next w:val="1"/>
    <w:link w:val="382"/>
    <w:qFormat/>
    <w:uiPriority w:val="0"/>
    <w:pPr>
      <w:pBdr>
        <w:top w:val="single" w:color="auto" w:sz="6" w:space="1"/>
      </w:pBdr>
      <w:jc w:val="center"/>
    </w:pPr>
    <w:rPr>
      <w:rFonts w:ascii="Arial" w:hAnsi="Arial" w:eastAsiaTheme="minorEastAsia" w:cstheme="minorBidi"/>
      <w:vanish/>
      <w:sz w:val="16"/>
      <w:szCs w:val="22"/>
    </w:rPr>
  </w:style>
  <w:style w:type="character" w:customStyle="1" w:styleId="217">
    <w:name w:val="font161"/>
    <w:qFormat/>
    <w:uiPriority w:val="0"/>
    <w:rPr>
      <w:b/>
      <w:sz w:val="32"/>
    </w:rPr>
  </w:style>
  <w:style w:type="character" w:customStyle="1" w:styleId="218">
    <w:name w:val="脚注文本 字符"/>
    <w:qFormat/>
    <w:uiPriority w:val="0"/>
    <w:rPr>
      <w:kern w:val="2"/>
      <w:sz w:val="18"/>
    </w:rPr>
  </w:style>
  <w:style w:type="character" w:customStyle="1" w:styleId="219">
    <w:name w:val="HTML 代码1"/>
    <w:qFormat/>
    <w:uiPriority w:val="0"/>
    <w:rPr>
      <w:rFonts w:ascii="Courier New" w:hAnsi="Courier New"/>
      <w:sz w:val="20"/>
    </w:rPr>
  </w:style>
  <w:style w:type="character" w:customStyle="1" w:styleId="220">
    <w:name w:val="标题 Char2"/>
    <w:qFormat/>
    <w:uiPriority w:val="0"/>
    <w:rPr>
      <w:rFonts w:ascii="Arial" w:hAnsi="Arial" w:eastAsia="宋体"/>
      <w:b/>
      <w:sz w:val="32"/>
      <w:lang w:val="en-US" w:eastAsia="zh-CN"/>
    </w:rPr>
  </w:style>
  <w:style w:type="character" w:customStyle="1" w:styleId="221">
    <w:name w:val="正文文本 Char2"/>
    <w:qFormat/>
    <w:uiPriority w:val="0"/>
    <w:rPr>
      <w:sz w:val="24"/>
    </w:rPr>
  </w:style>
  <w:style w:type="character" w:customStyle="1" w:styleId="222">
    <w:name w:val="lemmatitleh11"/>
    <w:qFormat/>
    <w:uiPriority w:val="0"/>
  </w:style>
  <w:style w:type="character" w:customStyle="1" w:styleId="223">
    <w:name w:val="Char Char16"/>
    <w:qFormat/>
    <w:uiPriority w:val="0"/>
    <w:rPr>
      <w:kern w:val="2"/>
      <w:sz w:val="18"/>
    </w:rPr>
  </w:style>
  <w:style w:type="character" w:customStyle="1" w:styleId="224">
    <w:name w:val="正文首行缩进 Char1"/>
    <w:qFormat/>
    <w:uiPriority w:val="0"/>
    <w:rPr>
      <w:rFonts w:ascii="等线" w:hAnsi="等线" w:eastAsia="等线"/>
    </w:rPr>
  </w:style>
  <w:style w:type="character" w:customStyle="1" w:styleId="225">
    <w:name w:val="Char Char17"/>
    <w:qFormat/>
    <w:uiPriority w:val="0"/>
    <w:rPr>
      <w:kern w:val="2"/>
      <w:sz w:val="18"/>
    </w:rPr>
  </w:style>
  <w:style w:type="character" w:customStyle="1" w:styleId="226">
    <w:name w:val="font31"/>
    <w:basedOn w:val="88"/>
    <w:qFormat/>
    <w:uiPriority w:val="0"/>
    <w:rPr>
      <w:rFonts w:hint="eastAsia" w:ascii="宋体" w:hAnsi="宋体" w:eastAsia="宋体"/>
      <w:color w:val="0000FF"/>
      <w:sz w:val="21"/>
      <w:u w:val="none"/>
      <w:vertAlign w:val="superscript"/>
    </w:rPr>
  </w:style>
  <w:style w:type="character" w:customStyle="1" w:styleId="227">
    <w:name w:val="标题 4 Char1"/>
    <w:qFormat/>
    <w:uiPriority w:val="0"/>
    <w:rPr>
      <w:rFonts w:ascii="Arial" w:hAnsi="Arial" w:eastAsia="黑体"/>
      <w:b/>
      <w:kern w:val="2"/>
      <w:sz w:val="28"/>
      <w:lang w:val="en-US" w:eastAsia="zh-CN"/>
    </w:rPr>
  </w:style>
  <w:style w:type="character" w:customStyle="1" w:styleId="228">
    <w:name w:val="p141"/>
    <w:qFormat/>
    <w:uiPriority w:val="0"/>
    <w:rPr>
      <w:sz w:val="21"/>
      <w:szCs w:val="21"/>
    </w:rPr>
  </w:style>
  <w:style w:type="character" w:customStyle="1" w:styleId="229">
    <w:name w:val="批注引用1"/>
    <w:qFormat/>
    <w:uiPriority w:val="0"/>
    <w:rPr>
      <w:sz w:val="21"/>
    </w:rPr>
  </w:style>
  <w:style w:type="character" w:customStyle="1" w:styleId="230">
    <w:name w:val="发布"/>
    <w:qFormat/>
    <w:uiPriority w:val="0"/>
    <w:rPr>
      <w:rFonts w:ascii="黑体" w:eastAsia="黑体"/>
      <w:spacing w:val="22"/>
      <w:w w:val="100"/>
      <w:position w:val="3"/>
      <w:sz w:val="28"/>
    </w:rPr>
  </w:style>
  <w:style w:type="character" w:customStyle="1" w:styleId="231">
    <w:name w:val="j23x"/>
    <w:qFormat/>
    <w:uiPriority w:val="0"/>
  </w:style>
  <w:style w:type="character" w:customStyle="1" w:styleId="232">
    <w:name w:val="纯文本 Char2"/>
    <w:qFormat/>
    <w:uiPriority w:val="0"/>
    <w:rPr>
      <w:rFonts w:ascii="宋体" w:hAnsi="Courier New" w:eastAsia="宋体"/>
      <w:kern w:val="2"/>
      <w:sz w:val="21"/>
      <w:lang w:val="en-US" w:eastAsia="zh-CN"/>
    </w:rPr>
  </w:style>
  <w:style w:type="character" w:customStyle="1" w:styleId="233">
    <w:name w:val="567r"/>
    <w:qFormat/>
    <w:uiPriority w:val="0"/>
  </w:style>
  <w:style w:type="character" w:customStyle="1" w:styleId="234">
    <w:name w:val="文档结构图 字符"/>
    <w:qFormat/>
    <w:uiPriority w:val="0"/>
    <w:rPr>
      <w:rFonts w:ascii="Microsoft YaHei UI" w:hAnsi="Times New Roman" w:eastAsia="Microsoft YaHei UI"/>
      <w:kern w:val="2"/>
      <w:sz w:val="18"/>
    </w:rPr>
  </w:style>
  <w:style w:type="character" w:customStyle="1" w:styleId="235">
    <w:name w:val="正文文本 2 字符"/>
    <w:qFormat/>
    <w:uiPriority w:val="0"/>
    <w:rPr>
      <w:kern w:val="2"/>
      <w:sz w:val="28"/>
    </w:rPr>
  </w:style>
  <w:style w:type="character" w:customStyle="1" w:styleId="236">
    <w:name w:val="font01"/>
    <w:basedOn w:val="88"/>
    <w:qFormat/>
    <w:uiPriority w:val="0"/>
    <w:rPr>
      <w:rFonts w:hint="eastAsia" w:ascii="宋体" w:hAnsi="宋体" w:eastAsia="宋体" w:cs="宋体"/>
      <w:color w:val="000000"/>
      <w:sz w:val="22"/>
      <w:szCs w:val="22"/>
      <w:u w:val="none"/>
    </w:rPr>
  </w:style>
  <w:style w:type="character" w:customStyle="1" w:styleId="237">
    <w:name w:val="Title Char"/>
    <w:qFormat/>
    <w:uiPriority w:val="0"/>
    <w:rPr>
      <w:rFonts w:ascii="Arial" w:hAnsi="Arial" w:eastAsia="宋体"/>
      <w:b/>
      <w:kern w:val="2"/>
      <w:sz w:val="32"/>
      <w:lang w:val="en-US" w:eastAsia="zh-CN"/>
    </w:rPr>
  </w:style>
  <w:style w:type="character" w:customStyle="1" w:styleId="238">
    <w:name w:val="宏文本 字符"/>
    <w:qFormat/>
    <w:uiPriority w:val="0"/>
    <w:rPr>
      <w:rFonts w:ascii="Courier New" w:hAnsi="Courier New"/>
      <w:kern w:val="2"/>
      <w:sz w:val="24"/>
    </w:rPr>
  </w:style>
  <w:style w:type="character" w:customStyle="1" w:styleId="239">
    <w:name w:val="Char Char22"/>
    <w:qFormat/>
    <w:uiPriority w:val="0"/>
    <w:rPr>
      <w:rFonts w:ascii="Arial" w:hAnsi="Arial" w:eastAsia="黑体"/>
      <w:b/>
      <w:kern w:val="2"/>
      <w:sz w:val="32"/>
      <w:lang w:val="en-US" w:eastAsia="zh-CN"/>
    </w:rPr>
  </w:style>
  <w:style w:type="character" w:customStyle="1" w:styleId="240">
    <w:name w:val="尾注文本 字符"/>
    <w:qFormat/>
    <w:uiPriority w:val="0"/>
    <w:rPr>
      <w:kern w:val="2"/>
      <w:sz w:val="28"/>
    </w:rPr>
  </w:style>
  <w:style w:type="character" w:customStyle="1" w:styleId="241">
    <w:name w:val="副标题 Char1"/>
    <w:qFormat/>
    <w:uiPriority w:val="0"/>
    <w:rPr>
      <w:rFonts w:ascii="Calibri Light" w:hAnsi="Calibri Light" w:eastAsia="宋体"/>
      <w:b/>
      <w:kern w:val="28"/>
      <w:sz w:val="32"/>
    </w:rPr>
  </w:style>
  <w:style w:type="character" w:customStyle="1" w:styleId="242">
    <w:name w:val="正文文本 Char1"/>
    <w:qFormat/>
    <w:uiPriority w:val="0"/>
    <w:rPr>
      <w:rFonts w:ascii="宋体" w:hAnsi="宋体" w:eastAsia="宋体"/>
      <w:spacing w:val="-6"/>
      <w:kern w:val="2"/>
      <w:sz w:val="21"/>
      <w:lang w:val="en-US" w:eastAsia="zh-CN"/>
    </w:rPr>
  </w:style>
  <w:style w:type="character" w:customStyle="1" w:styleId="243">
    <w:name w:val="HTML 缩写1"/>
    <w:qFormat/>
    <w:uiPriority w:val="0"/>
  </w:style>
  <w:style w:type="character" w:customStyle="1" w:styleId="244">
    <w:name w:val="标题 1 Char1"/>
    <w:qFormat/>
    <w:uiPriority w:val="0"/>
    <w:rPr>
      <w:rFonts w:eastAsia="宋体"/>
      <w:b/>
      <w:kern w:val="44"/>
      <w:sz w:val="44"/>
      <w:lang w:val="en-US" w:eastAsia="zh-CN"/>
    </w:rPr>
  </w:style>
  <w:style w:type="character" w:customStyle="1" w:styleId="245">
    <w:name w:val="15"/>
    <w:qFormat/>
    <w:uiPriority w:val="0"/>
  </w:style>
  <w:style w:type="character" w:customStyle="1" w:styleId="246">
    <w:name w:val="样式 正文文本 Char"/>
    <w:link w:val="247"/>
    <w:qFormat/>
    <w:uiPriority w:val="0"/>
    <w:rPr>
      <w:rFonts w:ascii="Arial" w:hAnsi="Arial"/>
      <w:color w:val="000000"/>
    </w:rPr>
  </w:style>
  <w:style w:type="paragraph" w:customStyle="1" w:styleId="247">
    <w:name w:val="样式 正文文本"/>
    <w:basedOn w:val="1"/>
    <w:link w:val="246"/>
    <w:qFormat/>
    <w:uiPriority w:val="0"/>
    <w:pPr>
      <w:adjustRightInd w:val="0"/>
      <w:snapToGrid w:val="0"/>
      <w:spacing w:line="400" w:lineRule="exact"/>
      <w:ind w:firstLine="200" w:firstLineChars="200"/>
    </w:pPr>
    <w:rPr>
      <w:rFonts w:ascii="Arial" w:hAnsi="Arial" w:eastAsiaTheme="minorEastAsia" w:cstheme="minorBidi"/>
      <w:color w:val="000000"/>
      <w:sz w:val="21"/>
      <w:szCs w:val="22"/>
    </w:rPr>
  </w:style>
  <w:style w:type="character" w:customStyle="1" w:styleId="248">
    <w:name w:val="正文格式 Char"/>
    <w:link w:val="249"/>
    <w:qFormat/>
    <w:uiPriority w:val="0"/>
    <w:rPr>
      <w:rFonts w:ascii="Times New Roman" w:hAnsi="Times New Roman"/>
      <w:sz w:val="24"/>
    </w:rPr>
  </w:style>
  <w:style w:type="paragraph" w:customStyle="1" w:styleId="249">
    <w:name w:val="正文格式"/>
    <w:basedOn w:val="1"/>
    <w:link w:val="248"/>
    <w:qFormat/>
    <w:uiPriority w:val="0"/>
    <w:pPr>
      <w:widowControl/>
      <w:adjustRightInd w:val="0"/>
      <w:spacing w:line="480" w:lineRule="atLeast"/>
      <w:ind w:firstLine="482"/>
      <w:textAlignment w:val="baseline"/>
    </w:pPr>
    <w:rPr>
      <w:rFonts w:ascii="Times New Roman" w:hAnsi="Times New Roman" w:eastAsiaTheme="minorEastAsia" w:cstheme="minorBidi"/>
      <w:sz w:val="24"/>
      <w:szCs w:val="22"/>
    </w:rPr>
  </w:style>
  <w:style w:type="character" w:customStyle="1" w:styleId="250">
    <w:name w:val="bulletintext1"/>
    <w:qFormat/>
    <w:uiPriority w:val="0"/>
    <w:rPr>
      <w:color w:val="000000"/>
      <w:sz w:val="18"/>
    </w:rPr>
  </w:style>
  <w:style w:type="character" w:customStyle="1" w:styleId="251">
    <w:name w:val="fonts11"/>
    <w:qFormat/>
    <w:uiPriority w:val="0"/>
    <w:rPr>
      <w:sz w:val="18"/>
    </w:rPr>
  </w:style>
  <w:style w:type="character" w:customStyle="1" w:styleId="252">
    <w:name w:val="locality"/>
    <w:qFormat/>
    <w:uiPriority w:val="0"/>
  </w:style>
  <w:style w:type="character" w:customStyle="1" w:styleId="253">
    <w:name w:val="标题 3 字符"/>
    <w:qFormat/>
    <w:uiPriority w:val="0"/>
    <w:rPr>
      <w:rFonts w:ascii="Times New Roman" w:hAnsi="Times New Roman" w:eastAsia="宋体"/>
      <w:b/>
      <w:kern w:val="2"/>
      <w:sz w:val="32"/>
    </w:rPr>
  </w:style>
  <w:style w:type="character" w:customStyle="1" w:styleId="254">
    <w:name w:val="标题 8 字符"/>
    <w:qFormat/>
    <w:uiPriority w:val="0"/>
    <w:rPr>
      <w:rFonts w:ascii="等线 Light" w:hAnsi="等线 Light" w:eastAsia="等线 Light"/>
      <w:kern w:val="2"/>
      <w:sz w:val="24"/>
    </w:rPr>
  </w:style>
  <w:style w:type="character" w:customStyle="1" w:styleId="255">
    <w:name w:val="批注主题 字符"/>
    <w:qFormat/>
    <w:uiPriority w:val="0"/>
    <w:rPr>
      <w:b/>
      <w:kern w:val="2"/>
      <w:sz w:val="28"/>
    </w:rPr>
  </w:style>
  <w:style w:type="character" w:customStyle="1" w:styleId="256">
    <w:name w:val="H3 Char"/>
    <w:qFormat/>
    <w:uiPriority w:val="0"/>
    <w:rPr>
      <w:rFonts w:eastAsia="宋体"/>
      <w:b/>
      <w:kern w:val="2"/>
      <w:sz w:val="32"/>
      <w:lang w:val="en-US" w:eastAsia="zh-CN"/>
    </w:rPr>
  </w:style>
  <w:style w:type="character" w:customStyle="1" w:styleId="257">
    <w:name w:val="标题 9 Char1"/>
    <w:qFormat/>
    <w:uiPriority w:val="0"/>
    <w:rPr>
      <w:rFonts w:ascii="Arial" w:hAnsi="Arial" w:eastAsia="黑体"/>
      <w:sz w:val="21"/>
      <w:lang w:val="en-US" w:eastAsia="zh-CN"/>
    </w:rPr>
  </w:style>
  <w:style w:type="character" w:customStyle="1" w:styleId="258">
    <w:name w:val="公文正文 Char"/>
    <w:link w:val="259"/>
    <w:qFormat/>
    <w:uiPriority w:val="0"/>
    <w:rPr>
      <w:rFonts w:ascii="仿宋_GB2312" w:eastAsia="仿宋_GB2312"/>
      <w:sz w:val="24"/>
    </w:rPr>
  </w:style>
  <w:style w:type="paragraph" w:customStyle="1" w:styleId="259">
    <w:name w:val="公文正文"/>
    <w:basedOn w:val="1"/>
    <w:link w:val="258"/>
    <w:qFormat/>
    <w:uiPriority w:val="0"/>
    <w:pPr>
      <w:spacing w:before="156" w:line="360" w:lineRule="auto"/>
      <w:ind w:firstLine="360" w:firstLineChars="200"/>
    </w:pPr>
    <w:rPr>
      <w:rFonts w:ascii="仿宋_GB2312" w:eastAsia="仿宋_GB2312" w:hAnsiTheme="minorHAnsi" w:cstheme="minorBidi"/>
      <w:sz w:val="24"/>
      <w:szCs w:val="22"/>
    </w:rPr>
  </w:style>
  <w:style w:type="character" w:customStyle="1" w:styleId="260">
    <w:name w:val="正文文本缩进 3 字符"/>
    <w:qFormat/>
    <w:uiPriority w:val="0"/>
    <w:rPr>
      <w:rFonts w:ascii="Times New Roman" w:hAnsi="Times New Roman" w:eastAsia="宋体"/>
      <w:kern w:val="2"/>
      <w:sz w:val="16"/>
    </w:rPr>
  </w:style>
  <w:style w:type="character" w:customStyle="1" w:styleId="261">
    <w:name w:val="my Char"/>
    <w:link w:val="262"/>
    <w:qFormat/>
    <w:uiPriority w:val="0"/>
    <w:rPr>
      <w:rFonts w:ascii="宋体" w:hAnsi="宋体"/>
      <w:sz w:val="24"/>
    </w:rPr>
  </w:style>
  <w:style w:type="paragraph" w:customStyle="1" w:styleId="262">
    <w:name w:val="my"/>
    <w:basedOn w:val="1"/>
    <w:link w:val="261"/>
    <w:qFormat/>
    <w:uiPriority w:val="0"/>
    <w:pPr>
      <w:widowControl/>
      <w:tabs>
        <w:tab w:val="left" w:pos="0"/>
        <w:tab w:val="left" w:pos="5823"/>
      </w:tabs>
      <w:adjustRightInd w:val="0"/>
      <w:ind w:firstLine="480" w:firstLineChars="200"/>
    </w:pPr>
    <w:rPr>
      <w:rFonts w:ascii="宋体" w:hAnsi="宋体" w:eastAsiaTheme="minorEastAsia" w:cstheme="minorBidi"/>
      <w:sz w:val="24"/>
      <w:szCs w:val="22"/>
    </w:rPr>
  </w:style>
  <w:style w:type="character" w:customStyle="1" w:styleId="263">
    <w:name w:val="info1"/>
    <w:qFormat/>
    <w:uiPriority w:val="99"/>
    <w:rPr>
      <w:color w:val="000000"/>
      <w:spacing w:val="15"/>
      <w:sz w:val="24"/>
    </w:rPr>
  </w:style>
  <w:style w:type="character" w:customStyle="1" w:styleId="264">
    <w:name w:val="正文文本 2 Char1"/>
    <w:qFormat/>
    <w:uiPriority w:val="0"/>
  </w:style>
  <w:style w:type="character" w:customStyle="1" w:styleId="265">
    <w:name w:val="HTML 预设格式 Char1"/>
    <w:qFormat/>
    <w:uiPriority w:val="0"/>
    <w:rPr>
      <w:rFonts w:ascii="Courier New" w:hAnsi="Courier New" w:eastAsia="宋体"/>
      <w:kern w:val="2"/>
    </w:rPr>
  </w:style>
  <w:style w:type="character" w:customStyle="1" w:styleId="266">
    <w:name w:val="电子邮件签名 字符"/>
    <w:qFormat/>
    <w:uiPriority w:val="0"/>
    <w:rPr>
      <w:kern w:val="2"/>
      <w:sz w:val="28"/>
    </w:rPr>
  </w:style>
  <w:style w:type="character" w:customStyle="1" w:styleId="267">
    <w:name w:val="称呼 字符"/>
    <w:qFormat/>
    <w:uiPriority w:val="0"/>
    <w:rPr>
      <w:kern w:val="2"/>
      <w:sz w:val="28"/>
    </w:rPr>
  </w:style>
  <w:style w:type="character" w:customStyle="1" w:styleId="268">
    <w:name w:val="标题 4 Char Char Char Char Char Char"/>
    <w:qFormat/>
    <w:uiPriority w:val="0"/>
    <w:rPr>
      <w:rFonts w:eastAsia="宋体"/>
      <w:kern w:val="2"/>
      <w:sz w:val="24"/>
      <w:lang w:val="en-US" w:eastAsia="zh-CN"/>
    </w:rPr>
  </w:style>
  <w:style w:type="character" w:customStyle="1" w:styleId="269">
    <w:name w:val="标题 6 字符"/>
    <w:qFormat/>
    <w:uiPriority w:val="0"/>
    <w:rPr>
      <w:rFonts w:ascii="等线 Light" w:hAnsi="等线 Light" w:eastAsia="等线 Light"/>
      <w:b/>
      <w:kern w:val="2"/>
      <w:sz w:val="24"/>
    </w:rPr>
  </w:style>
  <w:style w:type="character" w:customStyle="1" w:styleId="270">
    <w:name w:val="标题 7 Char1"/>
    <w:qFormat/>
    <w:uiPriority w:val="0"/>
    <w:rPr>
      <w:rFonts w:eastAsia="宋体"/>
      <w:b/>
      <w:sz w:val="24"/>
      <w:lang w:val="en-US" w:eastAsia="zh-CN"/>
    </w:rPr>
  </w:style>
  <w:style w:type="character" w:customStyle="1" w:styleId="271">
    <w:name w:val="副标题 字符"/>
    <w:qFormat/>
    <w:uiPriority w:val="0"/>
    <w:rPr>
      <w:rFonts w:ascii="等线 Light" w:hAnsi="等线 Light"/>
      <w:b/>
      <w:kern w:val="28"/>
      <w:sz w:val="32"/>
    </w:rPr>
  </w:style>
  <w:style w:type="character" w:customStyle="1" w:styleId="272">
    <w:name w:val="font21"/>
    <w:basedOn w:val="88"/>
    <w:qFormat/>
    <w:uiPriority w:val="0"/>
    <w:rPr>
      <w:rFonts w:hint="eastAsia" w:ascii="宋体" w:hAnsi="宋体" w:eastAsia="宋体"/>
      <w:color w:val="FF0000"/>
      <w:sz w:val="21"/>
      <w:u w:val="none"/>
      <w:vertAlign w:val="superscript"/>
    </w:rPr>
  </w:style>
  <w:style w:type="character" w:customStyle="1" w:styleId="273">
    <w:name w:val="font41"/>
    <w:basedOn w:val="88"/>
    <w:qFormat/>
    <w:uiPriority w:val="0"/>
    <w:rPr>
      <w:rFonts w:hint="eastAsia" w:ascii="宋体" w:hAnsi="宋体" w:eastAsia="宋体" w:cs="宋体"/>
      <w:color w:val="000000"/>
      <w:sz w:val="20"/>
      <w:szCs w:val="20"/>
      <w:u w:val="none"/>
    </w:rPr>
  </w:style>
  <w:style w:type="character" w:customStyle="1" w:styleId="274">
    <w:name w:val="结束语 字符"/>
    <w:qFormat/>
    <w:uiPriority w:val="0"/>
    <w:rPr>
      <w:kern w:val="2"/>
      <w:sz w:val="28"/>
    </w:rPr>
  </w:style>
  <w:style w:type="character" w:customStyle="1" w:styleId="275">
    <w:name w:val="彩色列表 - 着色 1 字符"/>
    <w:link w:val="276"/>
    <w:qFormat/>
    <w:uiPriority w:val="0"/>
  </w:style>
  <w:style w:type="paragraph" w:customStyle="1" w:styleId="276">
    <w:name w:val="彩色列表 - 着色 12"/>
    <w:basedOn w:val="1"/>
    <w:link w:val="275"/>
    <w:qFormat/>
    <w:uiPriority w:val="0"/>
    <w:pPr>
      <w:ind w:firstLine="420" w:firstLineChars="200"/>
    </w:pPr>
    <w:rPr>
      <w:rFonts w:asciiTheme="minorHAnsi" w:hAnsiTheme="minorHAnsi" w:eastAsiaTheme="minorEastAsia" w:cstheme="minorBidi"/>
      <w:sz w:val="21"/>
      <w:szCs w:val="22"/>
    </w:rPr>
  </w:style>
  <w:style w:type="character" w:customStyle="1" w:styleId="277">
    <w:name w:val="正文文本 3 Char1"/>
    <w:qFormat/>
    <w:uiPriority w:val="0"/>
    <w:rPr>
      <w:rFonts w:eastAsia="宋体"/>
      <w:color w:val="FF0000"/>
      <w:kern w:val="2"/>
      <w:sz w:val="24"/>
      <w:lang w:val="en-US" w:eastAsia="zh-CN"/>
    </w:rPr>
  </w:style>
  <w:style w:type="character" w:customStyle="1" w:styleId="278">
    <w:name w:val="纯文本 Char3"/>
    <w:qFormat/>
    <w:uiPriority w:val="0"/>
    <w:rPr>
      <w:rFonts w:ascii="宋体" w:hAnsi="Courier New" w:eastAsia="宋体"/>
    </w:rPr>
  </w:style>
  <w:style w:type="character" w:customStyle="1" w:styleId="279">
    <w:name w:val="个人答复风格"/>
    <w:qFormat/>
    <w:uiPriority w:val="0"/>
    <w:rPr>
      <w:rFonts w:ascii="Arial" w:hAnsi="Arial" w:eastAsia="宋体"/>
      <w:color w:val="auto"/>
      <w:sz w:val="20"/>
    </w:rPr>
  </w:style>
  <w:style w:type="character" w:customStyle="1" w:styleId="280">
    <w:name w:val="标题 3 Char1"/>
    <w:qFormat/>
    <w:uiPriority w:val="0"/>
    <w:rPr>
      <w:rFonts w:eastAsia="宋体"/>
      <w:b/>
      <w:kern w:val="2"/>
      <w:sz w:val="32"/>
      <w:lang w:val="en-US" w:eastAsia="zh-CN"/>
    </w:rPr>
  </w:style>
  <w:style w:type="character" w:customStyle="1" w:styleId="281">
    <w:name w:val="脚注文本 Char1"/>
    <w:qFormat/>
    <w:uiPriority w:val="0"/>
    <w:rPr>
      <w:rFonts w:eastAsia="宋体"/>
      <w:kern w:val="2"/>
      <w:sz w:val="18"/>
      <w:lang w:val="en-US" w:eastAsia="zh-CN"/>
    </w:rPr>
  </w:style>
  <w:style w:type="character" w:customStyle="1" w:styleId="282">
    <w:name w:val="无格式表格 31"/>
    <w:qFormat/>
    <w:uiPriority w:val="0"/>
    <w:rPr>
      <w:i/>
      <w:color w:val="808080"/>
    </w:rPr>
  </w:style>
  <w:style w:type="character" w:customStyle="1" w:styleId="283">
    <w:name w:val="HTML 键盘1"/>
    <w:qFormat/>
    <w:uiPriority w:val="0"/>
    <w:rPr>
      <w:rFonts w:ascii="Courier New" w:hAnsi="Courier New"/>
      <w:sz w:val="20"/>
    </w:rPr>
  </w:style>
  <w:style w:type="character" w:customStyle="1" w:styleId="284">
    <w:name w:val="标题 Char1"/>
    <w:qFormat/>
    <w:uiPriority w:val="0"/>
    <w:rPr>
      <w:rFonts w:ascii="Cambria" w:hAnsi="Cambria" w:eastAsia="宋体"/>
      <w:b/>
      <w:sz w:val="32"/>
    </w:rPr>
  </w:style>
  <w:style w:type="character" w:customStyle="1" w:styleId="285">
    <w:name w:val="样式8 字符"/>
    <w:link w:val="286"/>
    <w:qFormat/>
    <w:uiPriority w:val="0"/>
    <w:rPr>
      <w:rFonts w:ascii="Times New Roman" w:hAnsi="Times New Roman"/>
      <w:sz w:val="24"/>
      <w:szCs w:val="27"/>
    </w:rPr>
  </w:style>
  <w:style w:type="paragraph" w:customStyle="1" w:styleId="286">
    <w:name w:val="样式8"/>
    <w:basedOn w:val="287"/>
    <w:link w:val="285"/>
    <w:qFormat/>
    <w:uiPriority w:val="0"/>
    <w:pPr>
      <w:tabs>
        <w:tab w:val="left" w:pos="1301"/>
        <w:tab w:val="left" w:pos="6043"/>
      </w:tabs>
      <w:ind w:right="0" w:rightChars="0"/>
    </w:pPr>
    <w:rPr>
      <w:rFonts w:eastAsiaTheme="minorEastAsia" w:cstheme="minorBidi"/>
    </w:rPr>
  </w:style>
  <w:style w:type="paragraph" w:customStyle="1" w:styleId="287">
    <w:name w:val="样式6"/>
    <w:basedOn w:val="1"/>
    <w:qFormat/>
    <w:uiPriority w:val="0"/>
    <w:pPr>
      <w:widowControl/>
      <w:tabs>
        <w:tab w:val="left" w:pos="1301"/>
        <w:tab w:val="left" w:pos="6043"/>
      </w:tabs>
      <w:adjustRightInd w:val="0"/>
      <w:snapToGrid w:val="0"/>
      <w:spacing w:line="360" w:lineRule="auto"/>
      <w:ind w:left="709" w:right="100" w:rightChars="100"/>
      <w:textAlignment w:val="baseline"/>
    </w:pPr>
    <w:rPr>
      <w:rFonts w:ascii="Times New Roman" w:hAnsi="Times New Roman"/>
      <w:sz w:val="24"/>
      <w:szCs w:val="27"/>
    </w:rPr>
  </w:style>
  <w:style w:type="character" w:customStyle="1" w:styleId="288">
    <w:name w:val="font11"/>
    <w:basedOn w:val="88"/>
    <w:qFormat/>
    <w:uiPriority w:val="0"/>
    <w:rPr>
      <w:rFonts w:hint="eastAsia" w:ascii="宋体" w:hAnsi="宋体" w:eastAsia="宋体"/>
      <w:color w:val="000000"/>
      <w:sz w:val="21"/>
      <w:u w:val="none"/>
      <w:vertAlign w:val="superscript"/>
    </w:rPr>
  </w:style>
  <w:style w:type="character" w:customStyle="1" w:styleId="289">
    <w:name w:val="页脚 Char1"/>
    <w:qFormat/>
    <w:uiPriority w:val="0"/>
    <w:rPr>
      <w:rFonts w:eastAsia="宋体"/>
      <w:kern w:val="2"/>
      <w:sz w:val="18"/>
      <w:lang w:val="en-US" w:eastAsia="zh-CN"/>
    </w:rPr>
  </w:style>
  <w:style w:type="character" w:customStyle="1" w:styleId="290">
    <w:name w:val="country-name"/>
    <w:qFormat/>
    <w:uiPriority w:val="0"/>
  </w:style>
  <w:style w:type="character" w:customStyle="1" w:styleId="291">
    <w:name w:val="HTML 样本1"/>
    <w:qFormat/>
    <w:uiPriority w:val="0"/>
    <w:rPr>
      <w:rFonts w:ascii="Courier New" w:hAnsi="Courier New"/>
    </w:rPr>
  </w:style>
  <w:style w:type="character" w:customStyle="1" w:styleId="292">
    <w:name w:val="标题 4 字符"/>
    <w:qFormat/>
    <w:uiPriority w:val="0"/>
    <w:rPr>
      <w:rFonts w:ascii="等线 Light" w:hAnsi="等线 Light" w:eastAsia="等线 Light"/>
      <w:b/>
      <w:kern w:val="2"/>
      <w:sz w:val="28"/>
    </w:rPr>
  </w:style>
  <w:style w:type="character" w:customStyle="1" w:styleId="293">
    <w:name w:val="zbggmain style9"/>
    <w:qFormat/>
    <w:uiPriority w:val="0"/>
  </w:style>
  <w:style w:type="character" w:customStyle="1" w:styleId="294">
    <w:name w:val="标题 1 Char Char"/>
    <w:qFormat/>
    <w:uiPriority w:val="0"/>
    <w:rPr>
      <w:rFonts w:ascii="Arial" w:hAnsi="Arial" w:eastAsia="黑体"/>
      <w:kern w:val="44"/>
      <w:sz w:val="24"/>
      <w:lang w:val="en-US" w:eastAsia="zh-CN"/>
    </w:rPr>
  </w:style>
  <w:style w:type="character" w:customStyle="1" w:styleId="295">
    <w:name w:val="批注框文本 Char1"/>
    <w:qFormat/>
    <w:uiPriority w:val="0"/>
    <w:rPr>
      <w:rFonts w:eastAsia="宋体"/>
      <w:kern w:val="2"/>
      <w:sz w:val="18"/>
      <w:lang w:val="en-US" w:eastAsia="zh-CN"/>
    </w:rPr>
  </w:style>
  <w:style w:type="character" w:customStyle="1" w:styleId="296">
    <w:name w:val="HTML 地址 字符"/>
    <w:qFormat/>
    <w:uiPriority w:val="0"/>
    <w:rPr>
      <w:i/>
      <w:kern w:val="2"/>
      <w:sz w:val="28"/>
    </w:rPr>
  </w:style>
  <w:style w:type="character" w:customStyle="1" w:styleId="297">
    <w:name w:val="正文文本 字符"/>
    <w:qFormat/>
    <w:uiPriority w:val="0"/>
    <w:rPr>
      <w:rFonts w:ascii="Times New Roman" w:hAnsi="Times New Roman" w:eastAsia="宋体"/>
      <w:kern w:val="2"/>
      <w:sz w:val="21"/>
    </w:rPr>
  </w:style>
  <w:style w:type="character" w:customStyle="1" w:styleId="298">
    <w:name w:val="页眉 字符"/>
    <w:qFormat/>
    <w:uiPriority w:val="0"/>
    <w:rPr>
      <w:kern w:val="2"/>
      <w:sz w:val="18"/>
    </w:rPr>
  </w:style>
  <w:style w:type="character" w:customStyle="1" w:styleId="299">
    <w:name w:val="标题 5 Char1"/>
    <w:qFormat/>
    <w:uiPriority w:val="0"/>
    <w:rPr>
      <w:rFonts w:eastAsia="宋体"/>
      <w:b/>
      <w:sz w:val="28"/>
      <w:lang w:val="en-US" w:eastAsia="zh-CN"/>
    </w:rPr>
  </w:style>
  <w:style w:type="character" w:customStyle="1" w:styleId="300">
    <w:name w:val="正文文字4 Char Char"/>
    <w:qFormat/>
    <w:uiPriority w:val="0"/>
    <w:rPr>
      <w:rFonts w:ascii="宋体" w:hAnsi="宋体" w:eastAsia="宋体"/>
      <w:spacing w:val="-6"/>
      <w:kern w:val="2"/>
      <w:sz w:val="21"/>
      <w:lang w:val="en-US" w:eastAsia="zh-CN"/>
    </w:rPr>
  </w:style>
  <w:style w:type="character" w:customStyle="1" w:styleId="301">
    <w:name w:val="z-窗体顶端 Char"/>
    <w:link w:val="302"/>
    <w:qFormat/>
    <w:uiPriority w:val="0"/>
    <w:rPr>
      <w:rFonts w:ascii="Arial" w:hAnsi="Arial"/>
      <w:vanish/>
      <w:sz w:val="16"/>
    </w:rPr>
  </w:style>
  <w:style w:type="paragraph" w:customStyle="1" w:styleId="302">
    <w:name w:val="z-窗体顶端1"/>
    <w:basedOn w:val="1"/>
    <w:next w:val="1"/>
    <w:link w:val="301"/>
    <w:qFormat/>
    <w:uiPriority w:val="0"/>
    <w:pPr>
      <w:pBdr>
        <w:bottom w:val="single" w:color="auto" w:sz="6" w:space="1"/>
      </w:pBdr>
      <w:jc w:val="center"/>
    </w:pPr>
    <w:rPr>
      <w:rFonts w:ascii="Arial" w:hAnsi="Arial" w:eastAsiaTheme="minorEastAsia" w:cstheme="minorBidi"/>
      <w:vanish/>
      <w:sz w:val="16"/>
      <w:szCs w:val="22"/>
    </w:rPr>
  </w:style>
  <w:style w:type="character" w:customStyle="1" w:styleId="303">
    <w:name w:val="正文文本 3 字符"/>
    <w:qFormat/>
    <w:uiPriority w:val="0"/>
    <w:rPr>
      <w:kern w:val="2"/>
      <w:sz w:val="16"/>
    </w:rPr>
  </w:style>
  <w:style w:type="character" w:customStyle="1" w:styleId="304">
    <w:name w:val="s81i"/>
    <w:qFormat/>
    <w:uiPriority w:val="0"/>
  </w:style>
  <w:style w:type="character" w:customStyle="1" w:styleId="305">
    <w:name w:val="正文缩进 字符"/>
    <w:link w:val="26"/>
    <w:qFormat/>
    <w:uiPriority w:val="0"/>
    <w:rPr>
      <w:rFonts w:eastAsia="宋体"/>
      <w:sz w:val="24"/>
    </w:rPr>
  </w:style>
  <w:style w:type="character" w:customStyle="1" w:styleId="306">
    <w:name w:val="Char Char23"/>
    <w:qFormat/>
    <w:uiPriority w:val="0"/>
    <w:rPr>
      <w:rFonts w:eastAsia="宋体"/>
      <w:b/>
      <w:kern w:val="44"/>
      <w:sz w:val="44"/>
      <w:lang w:val="en-US" w:eastAsia="zh-CN"/>
    </w:rPr>
  </w:style>
  <w:style w:type="character" w:customStyle="1" w:styleId="307">
    <w:name w:val="apple-converted-space"/>
    <w:qFormat/>
    <w:uiPriority w:val="0"/>
  </w:style>
  <w:style w:type="character" w:customStyle="1" w:styleId="308">
    <w:name w:val="highlight1"/>
    <w:qFormat/>
    <w:uiPriority w:val="0"/>
    <w:rPr>
      <w:color w:val="FF0000"/>
    </w:rPr>
  </w:style>
  <w:style w:type="character" w:customStyle="1" w:styleId="309">
    <w:name w:val="正文2 Char Char"/>
    <w:qFormat/>
    <w:uiPriority w:val="0"/>
    <w:rPr>
      <w:rFonts w:eastAsia="宋体"/>
      <w:kern w:val="2"/>
      <w:sz w:val="24"/>
      <w:lang w:val="en-US" w:eastAsia="zh-CN"/>
    </w:rPr>
  </w:style>
  <w:style w:type="character" w:customStyle="1" w:styleId="310">
    <w:name w:val="标题1"/>
    <w:qFormat/>
    <w:uiPriority w:val="0"/>
    <w:rPr>
      <w:b/>
      <w:sz w:val="28"/>
    </w:rPr>
  </w:style>
  <w:style w:type="character" w:customStyle="1" w:styleId="311">
    <w:name w:val="正文2 Char"/>
    <w:link w:val="312"/>
    <w:qFormat/>
    <w:uiPriority w:val="0"/>
    <w:rPr>
      <w:rFonts w:eastAsia="宋体"/>
      <w:sz w:val="24"/>
    </w:rPr>
  </w:style>
  <w:style w:type="paragraph" w:customStyle="1" w:styleId="312">
    <w:name w:val="正文2"/>
    <w:basedOn w:val="1"/>
    <w:link w:val="311"/>
    <w:qFormat/>
    <w:uiPriority w:val="0"/>
    <w:pPr>
      <w:spacing w:before="156" w:line="360" w:lineRule="auto"/>
      <w:ind w:firstLine="510" w:firstLineChars="200"/>
    </w:pPr>
    <w:rPr>
      <w:rFonts w:asciiTheme="minorHAnsi" w:hAnsiTheme="minorHAnsi" w:cstheme="minorBidi"/>
      <w:sz w:val="24"/>
      <w:szCs w:val="22"/>
    </w:rPr>
  </w:style>
  <w:style w:type="character" w:customStyle="1" w:styleId="313">
    <w:name w:val="HTML 定义1"/>
    <w:qFormat/>
    <w:uiPriority w:val="0"/>
    <w:rPr>
      <w:i/>
    </w:rPr>
  </w:style>
  <w:style w:type="character" w:customStyle="1" w:styleId="314">
    <w:name w:val="批注框文本 字符"/>
    <w:qFormat/>
    <w:uiPriority w:val="0"/>
    <w:rPr>
      <w:rFonts w:ascii="Times New Roman" w:hAnsi="Times New Roman" w:eastAsia="宋体"/>
      <w:kern w:val="2"/>
      <w:sz w:val="18"/>
    </w:rPr>
  </w:style>
  <w:style w:type="character" w:customStyle="1" w:styleId="315">
    <w:name w:val="75pk"/>
    <w:qFormat/>
    <w:uiPriority w:val="0"/>
  </w:style>
  <w:style w:type="character" w:customStyle="1" w:styleId="316">
    <w:name w:val="z-窗体底端 字符"/>
    <w:qFormat/>
    <w:uiPriority w:val="0"/>
    <w:rPr>
      <w:rFonts w:ascii="Arial" w:hAnsi="Arial"/>
      <w:vanish/>
      <w:kern w:val="2"/>
      <w:sz w:val="16"/>
    </w:rPr>
  </w:style>
  <w:style w:type="character" w:customStyle="1" w:styleId="317">
    <w:name w:val="页码1"/>
    <w:qFormat/>
    <w:uiPriority w:val="0"/>
  </w:style>
  <w:style w:type="character" w:customStyle="1" w:styleId="318">
    <w:name w:val="Char Char21"/>
    <w:qFormat/>
    <w:uiPriority w:val="0"/>
    <w:rPr>
      <w:rFonts w:eastAsia="楷体_GB2312"/>
      <w:kern w:val="2"/>
      <w:sz w:val="28"/>
      <w:lang w:val="en-US" w:eastAsia="zh-CN"/>
    </w:rPr>
  </w:style>
  <w:style w:type="character" w:customStyle="1" w:styleId="319">
    <w:name w:val="列出段落 字符"/>
    <w:qFormat/>
    <w:uiPriority w:val="0"/>
    <w:rPr>
      <w:kern w:val="2"/>
      <w:sz w:val="21"/>
    </w:rPr>
  </w:style>
  <w:style w:type="character" w:customStyle="1" w:styleId="320">
    <w:name w:val="批注文字 字符"/>
    <w:qFormat/>
    <w:uiPriority w:val="0"/>
    <w:rPr>
      <w:kern w:val="2"/>
      <w:sz w:val="28"/>
    </w:rPr>
  </w:style>
  <w:style w:type="character" w:customStyle="1" w:styleId="321">
    <w:name w:val="日期 Char2"/>
    <w:qFormat/>
    <w:uiPriority w:val="0"/>
    <w:rPr>
      <w:rFonts w:eastAsia="仿宋_GB2312"/>
      <w:b/>
      <w:sz w:val="28"/>
    </w:rPr>
  </w:style>
  <w:style w:type="character" w:customStyle="1" w:styleId="322">
    <w:name w:val="z-窗体顶端 Char1"/>
    <w:qFormat/>
    <w:uiPriority w:val="0"/>
    <w:rPr>
      <w:rFonts w:ascii="Arial" w:hAnsi="Arial"/>
      <w:vanish/>
      <w:sz w:val="16"/>
    </w:rPr>
  </w:style>
  <w:style w:type="paragraph" w:customStyle="1" w:styleId="323">
    <w:name w:val="z-窗体顶端2"/>
    <w:basedOn w:val="1"/>
    <w:next w:val="1"/>
    <w:link w:val="459"/>
    <w:qFormat/>
    <w:uiPriority w:val="0"/>
    <w:pPr>
      <w:pBdr>
        <w:bottom w:val="single" w:color="auto" w:sz="6" w:space="1"/>
      </w:pBdr>
      <w:jc w:val="center"/>
    </w:pPr>
    <w:rPr>
      <w:rFonts w:ascii="Arial" w:hAnsi="Arial" w:eastAsiaTheme="minorEastAsia" w:cstheme="minorBidi"/>
      <w:vanish/>
      <w:sz w:val="16"/>
      <w:szCs w:val="22"/>
    </w:rPr>
  </w:style>
  <w:style w:type="character" w:customStyle="1" w:styleId="324">
    <w:name w:val="标题 1 1 Char1"/>
    <w:qFormat/>
    <w:uiPriority w:val="0"/>
    <w:rPr>
      <w:rFonts w:ascii="Times New Roman" w:hAnsi="Times New Roman" w:eastAsia="宋体"/>
      <w:b/>
      <w:kern w:val="44"/>
      <w:sz w:val="44"/>
    </w:rPr>
  </w:style>
  <w:style w:type="character" w:customStyle="1" w:styleId="325">
    <w:name w:val="标题 8 Char1"/>
    <w:qFormat/>
    <w:uiPriority w:val="0"/>
    <w:rPr>
      <w:rFonts w:ascii="Arial" w:hAnsi="Arial" w:eastAsia="黑体"/>
      <w:sz w:val="24"/>
      <w:lang w:val="en-US" w:eastAsia="zh-CN"/>
    </w:rPr>
  </w:style>
  <w:style w:type="character" w:customStyle="1" w:styleId="326">
    <w:name w:val="font61"/>
    <w:qFormat/>
    <w:uiPriority w:val="0"/>
    <w:rPr>
      <w:rFonts w:hint="eastAsia" w:ascii="宋体" w:hAnsi="宋体" w:eastAsia="宋体" w:cs="宋体"/>
      <w:color w:val="000000"/>
      <w:sz w:val="20"/>
      <w:szCs w:val="20"/>
      <w:u w:val="none"/>
    </w:rPr>
  </w:style>
  <w:style w:type="character" w:customStyle="1" w:styleId="327">
    <w:name w:val="尾注文本 字符1"/>
    <w:basedOn w:val="88"/>
    <w:link w:val="55"/>
    <w:qFormat/>
    <w:uiPriority w:val="0"/>
  </w:style>
  <w:style w:type="character" w:customStyle="1" w:styleId="328">
    <w:name w:val="电子邮件签名 字符1"/>
    <w:basedOn w:val="88"/>
    <w:link w:val="24"/>
    <w:qFormat/>
    <w:uiPriority w:val="0"/>
  </w:style>
  <w:style w:type="character" w:customStyle="1" w:styleId="329">
    <w:name w:val="正文文本 2 字符1"/>
    <w:basedOn w:val="88"/>
    <w:link w:val="79"/>
    <w:qFormat/>
    <w:uiPriority w:val="0"/>
  </w:style>
  <w:style w:type="character" w:customStyle="1" w:styleId="330">
    <w:name w:val="正文文本 Char3"/>
    <w:basedOn w:val="88"/>
    <w:semiHidden/>
    <w:qFormat/>
    <w:uiPriority w:val="99"/>
    <w:rPr>
      <w:rFonts w:ascii="Calibri" w:hAnsi="Calibri" w:eastAsia="宋体" w:cs="Times New Roman"/>
      <w:sz w:val="28"/>
      <w:szCs w:val="20"/>
    </w:rPr>
  </w:style>
  <w:style w:type="character" w:customStyle="1" w:styleId="331">
    <w:name w:val="日期 字符"/>
    <w:basedOn w:val="88"/>
    <w:link w:val="53"/>
    <w:qFormat/>
    <w:uiPriority w:val="0"/>
    <w:rPr>
      <w:rFonts w:eastAsia="仿宋_GB2312"/>
      <w:b/>
      <w:sz w:val="28"/>
    </w:rPr>
  </w:style>
  <w:style w:type="character" w:customStyle="1" w:styleId="332">
    <w:name w:val="纯文本 字符1"/>
    <w:basedOn w:val="88"/>
    <w:link w:val="48"/>
    <w:qFormat/>
    <w:uiPriority w:val="0"/>
    <w:rPr>
      <w:rFonts w:ascii="宋体" w:hAnsi="Courier New" w:eastAsia="宋体"/>
    </w:rPr>
  </w:style>
  <w:style w:type="character" w:customStyle="1" w:styleId="333">
    <w:name w:val="结束语 字符1"/>
    <w:basedOn w:val="88"/>
    <w:link w:val="37"/>
    <w:qFormat/>
    <w:uiPriority w:val="0"/>
  </w:style>
  <w:style w:type="character" w:customStyle="1" w:styleId="334">
    <w:name w:val="注释标题 字符1"/>
    <w:basedOn w:val="88"/>
    <w:link w:val="21"/>
    <w:qFormat/>
    <w:uiPriority w:val="0"/>
  </w:style>
  <w:style w:type="character" w:customStyle="1" w:styleId="335">
    <w:name w:val="正文文本缩进 2 字符1"/>
    <w:basedOn w:val="88"/>
    <w:link w:val="54"/>
    <w:qFormat/>
    <w:uiPriority w:val="0"/>
    <w:rPr>
      <w:rFonts w:ascii="黑体" w:eastAsia="黑体"/>
      <w:sz w:val="28"/>
    </w:rPr>
  </w:style>
  <w:style w:type="character" w:customStyle="1" w:styleId="336">
    <w:name w:val="文档结构图 字符1"/>
    <w:basedOn w:val="88"/>
    <w:link w:val="32"/>
    <w:qFormat/>
    <w:uiPriority w:val="0"/>
    <w:rPr>
      <w:sz w:val="28"/>
      <w:shd w:val="clear" w:color="auto" w:fill="000080"/>
    </w:rPr>
  </w:style>
  <w:style w:type="character" w:customStyle="1" w:styleId="337">
    <w:name w:val="正文文本缩进 Char3"/>
    <w:basedOn w:val="88"/>
    <w:semiHidden/>
    <w:qFormat/>
    <w:uiPriority w:val="99"/>
    <w:rPr>
      <w:rFonts w:ascii="Calibri" w:hAnsi="Calibri" w:eastAsia="宋体" w:cs="Times New Roman"/>
      <w:sz w:val="28"/>
      <w:szCs w:val="20"/>
    </w:rPr>
  </w:style>
  <w:style w:type="character" w:customStyle="1" w:styleId="338">
    <w:name w:val="宏文本 字符1"/>
    <w:basedOn w:val="88"/>
    <w:link w:val="20"/>
    <w:qFormat/>
    <w:uiPriority w:val="0"/>
    <w:rPr>
      <w:rFonts w:ascii="Courier New" w:hAnsi="Courier New"/>
      <w:sz w:val="24"/>
    </w:rPr>
  </w:style>
  <w:style w:type="character" w:customStyle="1" w:styleId="339">
    <w:name w:val="HTML 地址 字符1"/>
    <w:basedOn w:val="88"/>
    <w:link w:val="44"/>
    <w:qFormat/>
    <w:uiPriority w:val="0"/>
    <w:rPr>
      <w:i/>
    </w:rPr>
  </w:style>
  <w:style w:type="character" w:customStyle="1" w:styleId="340">
    <w:name w:val="正文文本首行缩进 字符"/>
    <w:basedOn w:val="330"/>
    <w:link w:val="3"/>
    <w:qFormat/>
    <w:uiPriority w:val="0"/>
    <w:rPr>
      <w:rFonts w:ascii="等线" w:hAnsi="等线" w:eastAsia="等线" w:cs="Times New Roman"/>
      <w:sz w:val="28"/>
      <w:szCs w:val="20"/>
    </w:rPr>
  </w:style>
  <w:style w:type="character" w:customStyle="1" w:styleId="341">
    <w:name w:val="正文文本首行缩进 2 字符"/>
    <w:basedOn w:val="337"/>
    <w:link w:val="60"/>
    <w:qFormat/>
    <w:uiPriority w:val="0"/>
    <w:rPr>
      <w:rFonts w:ascii="等线" w:hAnsi="等线" w:eastAsia="等线" w:cs="Times New Roman"/>
      <w:sz w:val="28"/>
      <w:szCs w:val="20"/>
    </w:rPr>
  </w:style>
  <w:style w:type="character" w:customStyle="1" w:styleId="342">
    <w:name w:val="标题 字符"/>
    <w:basedOn w:val="88"/>
    <w:link w:val="87"/>
    <w:qFormat/>
    <w:uiPriority w:val="0"/>
    <w:rPr>
      <w:b/>
      <w:sz w:val="24"/>
      <w:lang w:val="en-GB"/>
    </w:rPr>
  </w:style>
  <w:style w:type="character" w:customStyle="1" w:styleId="343">
    <w:name w:val="批注框文本 字符1"/>
    <w:basedOn w:val="88"/>
    <w:link w:val="57"/>
    <w:qFormat/>
    <w:uiPriority w:val="99"/>
    <w:rPr>
      <w:sz w:val="18"/>
    </w:rPr>
  </w:style>
  <w:style w:type="character" w:customStyle="1" w:styleId="344">
    <w:name w:val="称呼 字符1"/>
    <w:basedOn w:val="88"/>
    <w:link w:val="35"/>
    <w:qFormat/>
    <w:uiPriority w:val="0"/>
    <w:rPr>
      <w:rFonts w:ascii="宋体"/>
      <w:sz w:val="28"/>
    </w:rPr>
  </w:style>
  <w:style w:type="character" w:customStyle="1" w:styleId="345">
    <w:name w:val="批注文字 Char2"/>
    <w:basedOn w:val="88"/>
    <w:semiHidden/>
    <w:qFormat/>
    <w:uiPriority w:val="99"/>
    <w:rPr>
      <w:rFonts w:ascii="Calibri" w:hAnsi="Calibri" w:eastAsia="宋体" w:cs="Times New Roman"/>
      <w:sz w:val="28"/>
      <w:szCs w:val="20"/>
    </w:rPr>
  </w:style>
  <w:style w:type="character" w:customStyle="1" w:styleId="346">
    <w:name w:val="正文文本缩进 3 字符1"/>
    <w:basedOn w:val="88"/>
    <w:link w:val="73"/>
    <w:qFormat/>
    <w:uiPriority w:val="0"/>
    <w:rPr>
      <w:sz w:val="28"/>
    </w:rPr>
  </w:style>
  <w:style w:type="character" w:customStyle="1" w:styleId="347">
    <w:name w:val="签名 字符1"/>
    <w:basedOn w:val="88"/>
    <w:link w:val="62"/>
    <w:qFormat/>
    <w:uiPriority w:val="0"/>
  </w:style>
  <w:style w:type="character" w:customStyle="1" w:styleId="348">
    <w:name w:val="正文文本 3 字符1"/>
    <w:basedOn w:val="88"/>
    <w:link w:val="36"/>
    <w:qFormat/>
    <w:uiPriority w:val="0"/>
    <w:rPr>
      <w:sz w:val="16"/>
    </w:rPr>
  </w:style>
  <w:style w:type="character" w:customStyle="1" w:styleId="349">
    <w:name w:val="副标题 字符1"/>
    <w:basedOn w:val="88"/>
    <w:link w:val="68"/>
    <w:qFormat/>
    <w:uiPriority w:val="0"/>
    <w:rPr>
      <w:rFonts w:ascii="Cambria" w:hAnsi="Cambria"/>
      <w:b/>
      <w:kern w:val="28"/>
      <w:sz w:val="32"/>
    </w:rPr>
  </w:style>
  <w:style w:type="character" w:customStyle="1" w:styleId="350">
    <w:name w:val="脚注文本 字符1"/>
    <w:basedOn w:val="88"/>
    <w:link w:val="71"/>
    <w:qFormat/>
    <w:uiPriority w:val="0"/>
    <w:rPr>
      <w:sz w:val="18"/>
    </w:rPr>
  </w:style>
  <w:style w:type="character" w:customStyle="1" w:styleId="351">
    <w:name w:val="信息标题 字符1"/>
    <w:basedOn w:val="88"/>
    <w:link w:val="82"/>
    <w:qFormat/>
    <w:uiPriority w:val="0"/>
    <w:rPr>
      <w:rFonts w:ascii="Arial" w:hAnsi="Arial"/>
      <w:sz w:val="24"/>
      <w:shd w:val="pct20" w:color="auto" w:fill="auto"/>
    </w:rPr>
  </w:style>
  <w:style w:type="character" w:customStyle="1" w:styleId="352">
    <w:name w:val="HTML 预设格式 字符"/>
    <w:basedOn w:val="88"/>
    <w:link w:val="83"/>
    <w:qFormat/>
    <w:uiPriority w:val="0"/>
    <w:rPr>
      <w:rFonts w:ascii="黑体" w:hAnsi="Courier New" w:eastAsia="黑体"/>
    </w:rPr>
  </w:style>
  <w:style w:type="character" w:customStyle="1" w:styleId="353">
    <w:name w:val="批注主题 字符1"/>
    <w:basedOn w:val="345"/>
    <w:link w:val="15"/>
    <w:qFormat/>
    <w:uiPriority w:val="0"/>
    <w:rPr>
      <w:rFonts w:ascii="Calibri" w:hAnsi="Calibri" w:eastAsia="宋体" w:cs="Times New Roman"/>
      <w:b/>
      <w:sz w:val="28"/>
      <w:szCs w:val="20"/>
    </w:rPr>
  </w:style>
  <w:style w:type="paragraph" w:customStyle="1" w:styleId="354">
    <w:name w:val="表1"/>
    <w:basedOn w:val="1"/>
    <w:qFormat/>
    <w:uiPriority w:val="0"/>
    <w:pPr>
      <w:tabs>
        <w:tab w:val="left" w:pos="720"/>
        <w:tab w:val="left" w:pos="851"/>
      </w:tabs>
      <w:overflowPunct w:val="0"/>
      <w:autoSpaceDE w:val="0"/>
      <w:autoSpaceDN w:val="0"/>
      <w:adjustRightInd w:val="0"/>
      <w:spacing w:before="200" w:line="320" w:lineRule="atLeast"/>
      <w:ind w:firstLine="624"/>
      <w:textAlignment w:val="baseline"/>
    </w:pPr>
    <w:rPr>
      <w:kern w:val="0"/>
      <w:sz w:val="24"/>
    </w:rPr>
  </w:style>
  <w:style w:type="paragraph" w:customStyle="1" w:styleId="355">
    <w:name w:val="xl39"/>
    <w:basedOn w:val="1"/>
    <w:qFormat/>
    <w:uiPriority w:val="0"/>
    <w:pPr>
      <w:widowControl/>
      <w:pBdr>
        <w:bottom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56">
    <w:name w:val="6'"/>
    <w:basedOn w:val="1"/>
    <w:qFormat/>
    <w:uiPriority w:val="0"/>
    <w:pPr>
      <w:autoSpaceDE w:val="0"/>
      <w:autoSpaceDN w:val="0"/>
      <w:adjustRightInd w:val="0"/>
      <w:snapToGrid w:val="0"/>
      <w:spacing w:line="320" w:lineRule="exact"/>
      <w:textAlignment w:val="baseline"/>
    </w:pPr>
    <w:rPr>
      <w:spacing w:val="20"/>
      <w:kern w:val="28"/>
      <w:sz w:val="21"/>
    </w:rPr>
  </w:style>
  <w:style w:type="paragraph" w:customStyle="1" w:styleId="357">
    <w:name w:val="正文A"/>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358">
    <w:name w:val="三级条标题"/>
    <w:basedOn w:val="359"/>
    <w:next w:val="360"/>
    <w:qFormat/>
    <w:uiPriority w:val="0"/>
    <w:pPr>
      <w:tabs>
        <w:tab w:val="left" w:pos="360"/>
        <w:tab w:val="left" w:pos="720"/>
        <w:tab w:val="left" w:pos="3600"/>
      </w:tabs>
      <w:ind w:left="2100" w:hanging="420"/>
      <w:jc w:val="left"/>
      <w:outlineLvl w:val="4"/>
    </w:pPr>
    <w:rPr>
      <w:rFonts w:ascii="Times New Roman"/>
      <w:sz w:val="20"/>
    </w:rPr>
  </w:style>
  <w:style w:type="paragraph" w:customStyle="1" w:styleId="359">
    <w:name w:val="二级条标题"/>
    <w:basedOn w:val="1"/>
    <w:next w:val="360"/>
    <w:qFormat/>
    <w:uiPriority w:val="0"/>
    <w:pPr>
      <w:widowControl/>
      <w:tabs>
        <w:tab w:val="left" w:pos="360"/>
      </w:tabs>
      <w:outlineLvl w:val="3"/>
    </w:pPr>
    <w:rPr>
      <w:rFonts w:ascii="黑体" w:eastAsia="黑体"/>
      <w:kern w:val="0"/>
      <w:sz w:val="21"/>
    </w:rPr>
  </w:style>
  <w:style w:type="paragraph" w:customStyle="1" w:styleId="360">
    <w:name w:val="段"/>
    <w:qFormat/>
    <w:uiPriority w:val="0"/>
    <w:pPr>
      <w:ind w:firstLine="200" w:firstLineChars="200"/>
      <w:jc w:val="both"/>
    </w:pPr>
    <w:rPr>
      <w:rFonts w:ascii="宋体" w:hAnsi="Calibri" w:eastAsia="宋体" w:cs="Times New Roman"/>
      <w:sz w:val="21"/>
      <w:lang w:val="en-US" w:eastAsia="zh-CN" w:bidi="ar-SA"/>
    </w:rPr>
  </w:style>
  <w:style w:type="paragraph" w:customStyle="1" w:styleId="361">
    <w:name w:val="reader-word-layer"/>
    <w:basedOn w:val="1"/>
    <w:qFormat/>
    <w:uiPriority w:val="0"/>
    <w:pPr>
      <w:widowControl/>
      <w:spacing w:before="100" w:beforeAutospacing="1" w:after="100" w:afterAutospacing="1"/>
      <w:jc w:val="left"/>
    </w:pPr>
    <w:rPr>
      <w:rFonts w:ascii="宋体" w:hAnsi="宋体"/>
      <w:kern w:val="0"/>
      <w:sz w:val="24"/>
    </w:rPr>
  </w:style>
  <w:style w:type="paragraph" w:customStyle="1" w:styleId="362">
    <w:name w:val="样式 居中"/>
    <w:basedOn w:val="1"/>
    <w:qFormat/>
    <w:uiPriority w:val="0"/>
    <w:pPr>
      <w:spacing w:line="360" w:lineRule="auto"/>
      <w:jc w:val="center"/>
    </w:pPr>
    <w:rPr>
      <w:sz w:val="21"/>
    </w:rPr>
  </w:style>
  <w:style w:type="paragraph" w:customStyle="1" w:styleId="363">
    <w:name w:val="正文_0"/>
    <w:qFormat/>
    <w:uiPriority w:val="0"/>
    <w:pPr>
      <w:widowControl w:val="0"/>
      <w:jc w:val="both"/>
    </w:pPr>
    <w:rPr>
      <w:rFonts w:ascii="Calibri" w:hAnsi="Calibri" w:eastAsia="宋体" w:cs="Times New Roman"/>
      <w:kern w:val="2"/>
      <w:sz w:val="21"/>
      <w:szCs w:val="24"/>
      <w:lang w:val="en-US" w:eastAsia="zh-CN" w:bidi="ar-SA"/>
    </w:rPr>
  </w:style>
  <w:style w:type="paragraph" w:customStyle="1" w:styleId="364">
    <w:name w:val="正文文本缩进1"/>
    <w:basedOn w:val="1"/>
    <w:qFormat/>
    <w:uiPriority w:val="0"/>
    <w:pPr>
      <w:spacing w:after="120"/>
      <w:ind w:left="420" w:leftChars="200"/>
    </w:pPr>
    <w:rPr>
      <w:sz w:val="21"/>
    </w:rPr>
  </w:style>
  <w:style w:type="paragraph" w:customStyle="1" w:styleId="365">
    <w:name w:val="编号列项（三级）"/>
    <w:qFormat/>
    <w:uiPriority w:val="0"/>
    <w:pPr>
      <w:ind w:left="800" w:leftChars="600" w:hanging="200" w:hangingChars="200"/>
    </w:pPr>
    <w:rPr>
      <w:rFonts w:ascii="宋体" w:hAnsi="Calibri" w:eastAsia="宋体" w:cs="Times New Roman"/>
      <w:lang w:val="en-US" w:eastAsia="zh-CN" w:bidi="ar-SA"/>
    </w:rPr>
  </w:style>
  <w:style w:type="paragraph" w:customStyle="1" w:styleId="366">
    <w:name w:val="正文文本缩进 21"/>
    <w:basedOn w:val="1"/>
    <w:qFormat/>
    <w:uiPriority w:val="0"/>
    <w:pPr>
      <w:adjustRightInd w:val="0"/>
      <w:spacing w:line="400" w:lineRule="atLeast"/>
      <w:ind w:firstLine="540"/>
      <w:textAlignment w:val="baseline"/>
    </w:pPr>
    <w:rPr>
      <w:rFonts w:ascii="宋体"/>
      <w:kern w:val="0"/>
      <w:sz w:val="24"/>
    </w:rPr>
  </w:style>
  <w:style w:type="paragraph" w:customStyle="1" w:styleId="367">
    <w:name w:val="封面标准名称"/>
    <w:qFormat/>
    <w:uiPriority w:val="0"/>
    <w:pPr>
      <w:widowControl w:val="0"/>
      <w:spacing w:line="680" w:lineRule="exact"/>
      <w:jc w:val="center"/>
      <w:textAlignment w:val="center"/>
    </w:pPr>
    <w:rPr>
      <w:rFonts w:ascii="黑体" w:hAnsi="Calibri" w:eastAsia="黑体" w:cs="Times New Roman"/>
      <w:sz w:val="52"/>
      <w:lang w:val="en-US" w:eastAsia="zh-CN" w:bidi="ar-SA"/>
    </w:rPr>
  </w:style>
  <w:style w:type="paragraph" w:customStyle="1" w:styleId="368">
    <w:name w:val="表名A"/>
    <w:basedOn w:val="1"/>
    <w:qFormat/>
    <w:uiPriority w:val="0"/>
    <w:pPr>
      <w:widowControl/>
      <w:tabs>
        <w:tab w:val="left" w:pos="0"/>
      </w:tabs>
      <w:adjustRightInd w:val="0"/>
      <w:snapToGrid w:val="0"/>
      <w:spacing w:beforeLines="80" w:afterLines="20"/>
    </w:pPr>
    <w:rPr>
      <w:b/>
      <w:snapToGrid w:val="0"/>
      <w:kern w:val="0"/>
      <w:sz w:val="21"/>
    </w:rPr>
  </w:style>
  <w:style w:type="paragraph" w:customStyle="1" w:styleId="369">
    <w:name w:val="样式 正文（首行缩进两字） + 首行缩进:  2 字符"/>
    <w:basedOn w:val="26"/>
    <w:qFormat/>
    <w:uiPriority w:val="0"/>
    <w:pPr>
      <w:widowControl w:val="0"/>
      <w:autoSpaceDE w:val="0"/>
      <w:autoSpaceDN w:val="0"/>
      <w:adjustRightInd w:val="0"/>
      <w:spacing w:line="460" w:lineRule="exact"/>
      <w:ind w:firstLine="536"/>
    </w:pPr>
    <w:rPr>
      <w:rFonts w:hint="eastAsia" w:ascii="宋体"/>
      <w:spacing w:val="6"/>
      <w:kern w:val="24"/>
    </w:rPr>
  </w:style>
  <w:style w:type="paragraph" w:customStyle="1" w:styleId="370">
    <w:name w:val="部分1"/>
    <w:basedOn w:val="1"/>
    <w:qFormat/>
    <w:uiPriority w:val="0"/>
    <w:pPr>
      <w:keepNext/>
      <w:pageBreakBefore/>
      <w:tabs>
        <w:tab w:val="left" w:pos="720"/>
      </w:tabs>
      <w:spacing w:line="360" w:lineRule="auto"/>
      <w:jc w:val="center"/>
      <w:outlineLvl w:val="0"/>
    </w:pPr>
    <w:rPr>
      <w:rFonts w:eastAsia="黑体"/>
      <w:b/>
      <w:kern w:val="44"/>
      <w:sz w:val="36"/>
    </w:rPr>
  </w:style>
  <w:style w:type="paragraph" w:customStyle="1" w:styleId="371">
    <w:name w:val="正文_0_1"/>
    <w:qFormat/>
    <w:uiPriority w:val="0"/>
    <w:pPr>
      <w:widowControl w:val="0"/>
      <w:jc w:val="both"/>
    </w:pPr>
    <w:rPr>
      <w:rFonts w:ascii="Calibri" w:hAnsi="Calibri" w:eastAsia="宋体" w:cs="Times New Roman"/>
      <w:kern w:val="2"/>
      <w:sz w:val="21"/>
      <w:szCs w:val="22"/>
      <w:lang w:val="en-US" w:eastAsia="zh-CN" w:bidi="ar-SA"/>
    </w:rPr>
  </w:style>
  <w:style w:type="paragraph" w:customStyle="1" w:styleId="372">
    <w:name w:val="xl568"/>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FF0000"/>
      <w:kern w:val="0"/>
      <w:sz w:val="20"/>
    </w:rPr>
  </w:style>
  <w:style w:type="paragraph" w:customStyle="1" w:styleId="373">
    <w:name w:val="文档结构图1"/>
    <w:basedOn w:val="1"/>
    <w:qFormat/>
    <w:uiPriority w:val="0"/>
    <w:pPr>
      <w:shd w:val="clear" w:color="auto" w:fill="000080"/>
    </w:pPr>
    <w:rPr>
      <w:kern w:val="0"/>
      <w:sz w:val="20"/>
      <w:shd w:val="clear" w:color="auto" w:fill="000080"/>
    </w:rPr>
  </w:style>
  <w:style w:type="paragraph" w:customStyle="1" w:styleId="374">
    <w:name w:val="简单回函地址"/>
    <w:basedOn w:val="1"/>
    <w:qFormat/>
    <w:uiPriority w:val="0"/>
    <w:pPr>
      <w:adjustRightInd w:val="0"/>
      <w:spacing w:line="312" w:lineRule="atLeast"/>
      <w:textAlignment w:val="baseline"/>
    </w:pPr>
    <w:rPr>
      <w:kern w:val="0"/>
      <w:sz w:val="21"/>
    </w:rPr>
  </w:style>
  <w:style w:type="paragraph" w:customStyle="1" w:styleId="375">
    <w:name w:val="Char Char Char Char Char Char3 Char Char Char Char Char Char Char"/>
    <w:basedOn w:val="1"/>
    <w:next w:val="1"/>
    <w:qFormat/>
    <w:uiPriority w:val="0"/>
    <w:rPr>
      <w:rFonts w:eastAsia="黑体"/>
    </w:rPr>
  </w:style>
  <w:style w:type="paragraph" w:customStyle="1" w:styleId="376">
    <w:name w:val="彩色列表 - 强调文字颜色 11"/>
    <w:basedOn w:val="1"/>
    <w:qFormat/>
    <w:uiPriority w:val="0"/>
    <w:pPr>
      <w:spacing w:before="100" w:beforeAutospacing="1" w:after="100" w:afterAutospacing="1" w:line="300" w:lineRule="auto"/>
      <w:ind w:firstLine="420" w:firstLineChars="200"/>
    </w:pPr>
    <w:rPr>
      <w:sz w:val="21"/>
    </w:rPr>
  </w:style>
  <w:style w:type="paragraph" w:customStyle="1" w:styleId="377">
    <w:name w:val="0"/>
    <w:basedOn w:val="1"/>
    <w:qFormat/>
    <w:uiPriority w:val="0"/>
    <w:pPr>
      <w:widowControl/>
    </w:pPr>
    <w:rPr>
      <w:kern w:val="0"/>
      <w:sz w:val="21"/>
    </w:rPr>
  </w:style>
  <w:style w:type="paragraph" w:customStyle="1" w:styleId="378">
    <w:name w:val="正文21"/>
    <w:basedOn w:val="1"/>
    <w:qFormat/>
    <w:uiPriority w:val="0"/>
    <w:pPr>
      <w:adjustRightInd w:val="0"/>
      <w:spacing w:line="420" w:lineRule="atLeast"/>
      <w:textAlignment w:val="baseline"/>
    </w:pPr>
    <w:rPr>
      <w:kern w:val="0"/>
      <w:sz w:val="21"/>
    </w:rPr>
  </w:style>
  <w:style w:type="paragraph" w:customStyle="1" w:styleId="379">
    <w:name w:val="标准书脚_偶数页"/>
    <w:qFormat/>
    <w:uiPriority w:val="0"/>
    <w:pPr>
      <w:spacing w:before="120"/>
    </w:pPr>
    <w:rPr>
      <w:rFonts w:ascii="Calibri" w:hAnsi="Calibri" w:eastAsia="宋体" w:cs="Times New Roman"/>
      <w:sz w:val="18"/>
      <w:lang w:val="en-US" w:eastAsia="zh-CN" w:bidi="ar-SA"/>
    </w:rPr>
  </w:style>
  <w:style w:type="paragraph" w:customStyle="1" w:styleId="380">
    <w:name w:val="目次、索引正文"/>
    <w:qFormat/>
    <w:uiPriority w:val="0"/>
    <w:pPr>
      <w:spacing w:line="320" w:lineRule="exact"/>
      <w:jc w:val="both"/>
    </w:pPr>
    <w:rPr>
      <w:rFonts w:ascii="宋体" w:hAnsi="Calibri" w:eastAsia="宋体" w:cs="Times New Roman"/>
      <w:lang w:val="en-US" w:eastAsia="zh-CN" w:bidi="ar-SA"/>
    </w:rPr>
  </w:style>
  <w:style w:type="paragraph" w:customStyle="1" w:styleId="381">
    <w:name w:val="网格表 31"/>
    <w:basedOn w:val="5"/>
    <w:next w:val="1"/>
    <w:qFormat/>
    <w:uiPriority w:val="0"/>
    <w:pPr>
      <w:keepLines/>
      <w:spacing w:before="480" w:line="276" w:lineRule="auto"/>
      <w:jc w:val="left"/>
      <w:outlineLvl w:val="9"/>
    </w:pPr>
    <w:rPr>
      <w:rFonts w:ascii="Cambria" w:hAnsi="Cambria"/>
      <w:color w:val="365F91"/>
      <w:sz w:val="28"/>
    </w:rPr>
  </w:style>
  <w:style w:type="character" w:customStyle="1" w:styleId="382">
    <w:name w:val="z-窗体底端 Char1"/>
    <w:basedOn w:val="88"/>
    <w:link w:val="216"/>
    <w:qFormat/>
    <w:uiPriority w:val="0"/>
    <w:rPr>
      <w:rFonts w:ascii="Arial" w:hAnsi="Arial"/>
      <w:vanish/>
      <w:sz w:val="16"/>
    </w:rPr>
  </w:style>
  <w:style w:type="paragraph" w:customStyle="1" w:styleId="383">
    <w:name w:val="正文表标题"/>
    <w:next w:val="360"/>
    <w:qFormat/>
    <w:uiPriority w:val="0"/>
    <w:pPr>
      <w:jc w:val="center"/>
    </w:pPr>
    <w:rPr>
      <w:rFonts w:ascii="黑体" w:hAnsi="Calibri" w:eastAsia="黑体" w:cs="Times New Roman"/>
      <w:sz w:val="21"/>
      <w:lang w:val="en-US" w:eastAsia="zh-CN" w:bidi="ar-SA"/>
    </w:rPr>
  </w:style>
  <w:style w:type="paragraph" w:customStyle="1" w:styleId="384">
    <w:name w:val="正文文字缩进 3"/>
    <w:basedOn w:val="1"/>
    <w:qFormat/>
    <w:uiPriority w:val="0"/>
    <w:pPr>
      <w:widowControl/>
      <w:spacing w:before="119" w:line="272" w:lineRule="atLeast"/>
      <w:ind w:left="719" w:firstLine="481"/>
      <w:jc w:val="left"/>
      <w:textAlignment w:val="baseline"/>
    </w:pPr>
    <w:rPr>
      <w:rFonts w:ascii="宋体"/>
      <w:color w:val="000000"/>
      <w:kern w:val="0"/>
      <w:sz w:val="24"/>
      <w:u w:color="000000"/>
    </w:rPr>
  </w:style>
  <w:style w:type="paragraph" w:customStyle="1" w:styleId="385">
    <w:name w:val="表内文字"/>
    <w:basedOn w:val="1"/>
    <w:qFormat/>
    <w:uiPriority w:val="0"/>
    <w:pPr>
      <w:tabs>
        <w:tab w:val="left" w:pos="1418"/>
      </w:tabs>
      <w:spacing w:line="360" w:lineRule="auto"/>
      <w:jc w:val="center"/>
    </w:pPr>
    <w:rPr>
      <w:rFonts w:hint="eastAsia" w:ascii="仿宋_GB2312" w:eastAsia="仿宋_GB2312"/>
      <w:spacing w:val="-20"/>
      <w:kern w:val="0"/>
      <w:sz w:val="24"/>
    </w:rPr>
  </w:style>
  <w:style w:type="paragraph" w:customStyle="1" w:styleId="386">
    <w:name w:val="网格表 32"/>
    <w:basedOn w:val="5"/>
    <w:next w:val="1"/>
    <w:qFormat/>
    <w:uiPriority w:val="0"/>
    <w:pPr>
      <w:keepLines/>
      <w:spacing w:before="480" w:line="276" w:lineRule="auto"/>
      <w:jc w:val="left"/>
      <w:outlineLvl w:val="9"/>
    </w:pPr>
    <w:rPr>
      <w:rFonts w:ascii="等线 Light" w:hAnsi="等线 Light" w:eastAsia="等线 Light"/>
      <w:color w:val="2E74B5"/>
      <w:sz w:val="28"/>
    </w:rPr>
  </w:style>
  <w:style w:type="paragraph" w:customStyle="1" w:styleId="387">
    <w:name w:val="四级条标题"/>
    <w:basedOn w:val="358"/>
    <w:next w:val="360"/>
    <w:qFormat/>
    <w:uiPriority w:val="0"/>
    <w:pPr>
      <w:ind w:left="0" w:firstLine="0"/>
      <w:outlineLvl w:val="5"/>
    </w:pPr>
  </w:style>
  <w:style w:type="paragraph" w:customStyle="1" w:styleId="388">
    <w:name w:val="xl56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18"/>
    </w:rPr>
  </w:style>
  <w:style w:type="paragraph" w:customStyle="1" w:styleId="389">
    <w:name w:val="font8"/>
    <w:basedOn w:val="1"/>
    <w:qFormat/>
    <w:uiPriority w:val="0"/>
    <w:pPr>
      <w:widowControl/>
      <w:spacing w:before="100" w:beforeAutospacing="1" w:after="100" w:afterAutospacing="1"/>
    </w:pPr>
    <w:rPr>
      <w:rFonts w:eastAsia="Arial Unicode MS"/>
      <w:kern w:val="0"/>
      <w:sz w:val="24"/>
    </w:rPr>
  </w:style>
  <w:style w:type="paragraph" w:customStyle="1" w:styleId="390">
    <w:name w:val="xl23"/>
    <w:basedOn w:val="1"/>
    <w:qFormat/>
    <w:uiPriority w:val="0"/>
    <w:pPr>
      <w:widowControl/>
      <w:pBdr>
        <w:top w:val="single" w:color="auto" w:sz="4" w:space="0"/>
        <w:left w:val="single" w:color="auto" w:sz="4" w:space="0"/>
        <w:bottom w:val="single" w:color="auto" w:sz="4" w:space="0"/>
        <w:right w:val="single" w:color="auto" w:sz="8" w:space="0"/>
      </w:pBdr>
      <w:spacing w:before="100" w:beforeAutospacing="1" w:after="100" w:afterAutospacing="1"/>
    </w:pPr>
    <w:rPr>
      <w:rFonts w:ascii="Arial Unicode MS" w:hAnsi="Arial Unicode MS" w:eastAsia="Arial Unicode MS"/>
      <w:kern w:val="0"/>
      <w:sz w:val="24"/>
    </w:rPr>
  </w:style>
  <w:style w:type="paragraph" w:customStyle="1" w:styleId="391">
    <w:name w:val="彩色列表 - 着色 11"/>
    <w:basedOn w:val="1"/>
    <w:qFormat/>
    <w:uiPriority w:val="0"/>
    <w:pPr>
      <w:widowControl/>
      <w:ind w:firstLine="420" w:firstLineChars="200"/>
      <w:jc w:val="left"/>
    </w:pPr>
    <w:rPr>
      <w:rFonts w:ascii="宋体" w:hAnsi="宋体"/>
      <w:kern w:val="0"/>
      <w:sz w:val="24"/>
    </w:rPr>
  </w:style>
  <w:style w:type="paragraph" w:customStyle="1" w:styleId="392">
    <w:name w:val="Char Char20"/>
    <w:basedOn w:val="1"/>
    <w:qFormat/>
    <w:uiPriority w:val="0"/>
    <w:pPr>
      <w:snapToGrid w:val="0"/>
      <w:spacing w:afterLines="30" w:line="360" w:lineRule="auto"/>
      <w:ind w:firstLine="200" w:firstLineChars="200"/>
    </w:pPr>
    <w:rPr>
      <w:sz w:val="21"/>
    </w:rPr>
  </w:style>
  <w:style w:type="paragraph" w:customStyle="1" w:styleId="393">
    <w:name w:val="附录一级条标题"/>
    <w:basedOn w:val="394"/>
    <w:next w:val="360"/>
    <w:qFormat/>
    <w:uiPriority w:val="0"/>
    <w:pPr>
      <w:tabs>
        <w:tab w:val="left" w:pos="720"/>
        <w:tab w:val="left" w:pos="840"/>
        <w:tab w:val="left" w:pos="1440"/>
      </w:tabs>
      <w:autoSpaceDN w:val="0"/>
      <w:ind w:left="0" w:firstLine="0"/>
      <w:outlineLvl w:val="2"/>
    </w:pPr>
  </w:style>
  <w:style w:type="paragraph" w:customStyle="1" w:styleId="394">
    <w:name w:val="附录章标题"/>
    <w:next w:val="360"/>
    <w:qFormat/>
    <w:uiPriority w:val="0"/>
    <w:pPr>
      <w:tabs>
        <w:tab w:val="left" w:pos="720"/>
        <w:tab w:val="left" w:pos="1440"/>
      </w:tabs>
      <w:wordWrap w:val="0"/>
      <w:overflowPunct w:val="0"/>
      <w:autoSpaceDE w:val="0"/>
      <w:spacing w:beforeLines="50" w:afterLines="50"/>
      <w:ind w:left="840" w:hanging="420"/>
      <w:jc w:val="both"/>
      <w:textAlignment w:val="baseline"/>
      <w:outlineLvl w:val="1"/>
    </w:pPr>
    <w:rPr>
      <w:rFonts w:ascii="黑体" w:hAnsi="Calibri" w:eastAsia="黑体" w:cs="Times New Roman"/>
      <w:kern w:val="21"/>
      <w:lang w:val="en-US" w:eastAsia="zh-CN" w:bidi="ar-SA"/>
    </w:rPr>
  </w:style>
  <w:style w:type="paragraph" w:customStyle="1" w:styleId="395">
    <w:name w:val="表格3"/>
    <w:basedOn w:val="1"/>
    <w:qFormat/>
    <w:uiPriority w:val="0"/>
    <w:pPr>
      <w:adjustRightInd w:val="0"/>
      <w:spacing w:line="420" w:lineRule="atLeast"/>
      <w:textAlignment w:val="baseline"/>
    </w:pPr>
    <w:rPr>
      <w:rFonts w:eastAsia="楷体"/>
      <w:kern w:val="0"/>
      <w:sz w:val="21"/>
    </w:rPr>
  </w:style>
  <w:style w:type="paragraph" w:customStyle="1" w:styleId="396">
    <w:name w:val="样式 一号 加粗 居中"/>
    <w:basedOn w:val="1"/>
    <w:qFormat/>
    <w:uiPriority w:val="0"/>
    <w:pPr>
      <w:jc w:val="center"/>
    </w:pPr>
    <w:rPr>
      <w:sz w:val="52"/>
    </w:rPr>
  </w:style>
  <w:style w:type="paragraph" w:customStyle="1" w:styleId="397">
    <w:name w:val="xl26"/>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kern w:val="0"/>
      <w:sz w:val="24"/>
    </w:rPr>
  </w:style>
  <w:style w:type="paragraph" w:customStyle="1" w:styleId="398">
    <w:name w:val="字母编号列项（一级）"/>
    <w:qFormat/>
    <w:uiPriority w:val="0"/>
    <w:pPr>
      <w:ind w:left="840" w:leftChars="200" w:hanging="420" w:hangingChars="200"/>
      <w:jc w:val="both"/>
    </w:pPr>
    <w:rPr>
      <w:rFonts w:ascii="宋体" w:hAnsi="Calibri" w:eastAsia="宋体" w:cs="Times New Roman"/>
      <w:lang w:val="en-US" w:eastAsia="zh-CN" w:bidi="ar-SA"/>
    </w:rPr>
  </w:style>
  <w:style w:type="paragraph" w:customStyle="1" w:styleId="399">
    <w:name w:val="aspnumfaautoadjustrightr"/>
    <w:qFormat/>
    <w:uiPriority w:val="0"/>
    <w:pPr>
      <w:widowControl w:val="0"/>
      <w:autoSpaceDE w:val="0"/>
      <w:autoSpaceDN w:val="0"/>
      <w:adjustRightInd w:val="0"/>
      <w:ind w:firstLine="720"/>
      <w:jc w:val="both"/>
    </w:pPr>
    <w:rPr>
      <w:rFonts w:ascii="Calibri" w:hAnsi="Calibri" w:eastAsia="宋体" w:cs="Times New Roman"/>
      <w:lang w:val="en-US" w:eastAsia="zh-CN" w:bidi="ar-SA"/>
    </w:rPr>
  </w:style>
  <w:style w:type="paragraph" w:customStyle="1" w:styleId="400">
    <w:name w:val="表格文字居中"/>
    <w:basedOn w:val="1"/>
    <w:qFormat/>
    <w:uiPriority w:val="0"/>
    <w:pPr>
      <w:adjustRightInd w:val="0"/>
      <w:snapToGrid w:val="0"/>
      <w:textAlignment w:val="center"/>
    </w:pPr>
    <w:rPr>
      <w:rFonts w:ascii="宋体"/>
      <w:snapToGrid w:val="0"/>
      <w:spacing w:val="12"/>
      <w:kern w:val="0"/>
      <w:sz w:val="21"/>
    </w:rPr>
  </w:style>
  <w:style w:type="paragraph" w:customStyle="1" w:styleId="401">
    <w:name w:val="p0"/>
    <w:basedOn w:val="1"/>
    <w:qFormat/>
    <w:uiPriority w:val="0"/>
    <w:pPr>
      <w:widowControl/>
      <w:spacing w:before="100" w:beforeAutospacing="1" w:after="100" w:afterAutospacing="1"/>
      <w:jc w:val="left"/>
    </w:pPr>
    <w:rPr>
      <w:rFonts w:ascii="宋体" w:hAnsi="宋体"/>
      <w:kern w:val="0"/>
      <w:sz w:val="24"/>
    </w:rPr>
  </w:style>
  <w:style w:type="paragraph" w:customStyle="1" w:styleId="402">
    <w:name w:val="正文缩进2"/>
    <w:basedOn w:val="1"/>
    <w:qFormat/>
    <w:uiPriority w:val="0"/>
    <w:pPr>
      <w:ind w:firstLine="420"/>
    </w:pPr>
    <w:rPr>
      <w:sz w:val="21"/>
    </w:rPr>
  </w:style>
  <w:style w:type="paragraph" w:customStyle="1" w:styleId="403">
    <w:name w:val="表头"/>
    <w:basedOn w:val="404"/>
    <w:qFormat/>
    <w:uiPriority w:val="0"/>
    <w:pPr>
      <w:spacing w:before="120" w:after="60"/>
    </w:pPr>
    <w:rPr>
      <w:rFonts w:ascii="黑体" w:eastAsia="黑体"/>
      <w:b/>
    </w:rPr>
  </w:style>
  <w:style w:type="paragraph" w:customStyle="1" w:styleId="404">
    <w:name w:val="表格方字"/>
    <w:basedOn w:val="1"/>
    <w:qFormat/>
    <w:uiPriority w:val="0"/>
    <w:pPr>
      <w:adjustRightInd w:val="0"/>
      <w:spacing w:line="420" w:lineRule="atLeast"/>
      <w:textAlignment w:val="baseline"/>
    </w:pPr>
    <w:rPr>
      <w:kern w:val="0"/>
      <w:sz w:val="21"/>
    </w:rPr>
  </w:style>
  <w:style w:type="paragraph" w:customStyle="1" w:styleId="405">
    <w:name w:val="正文段"/>
    <w:basedOn w:val="1"/>
    <w:qFormat/>
    <w:uiPriority w:val="0"/>
    <w:pPr>
      <w:widowControl/>
      <w:snapToGrid w:val="0"/>
      <w:spacing w:afterLines="50"/>
      <w:ind w:firstLine="200" w:firstLineChars="200"/>
    </w:pPr>
    <w:rPr>
      <w:kern w:val="0"/>
      <w:sz w:val="24"/>
    </w:rPr>
  </w:style>
  <w:style w:type="paragraph" w:customStyle="1" w:styleId="406">
    <w:name w:val="正文A Char Char Char"/>
    <w:qFormat/>
    <w:uiPriority w:val="0"/>
    <w:pPr>
      <w:tabs>
        <w:tab w:val="left" w:pos="0"/>
      </w:tabs>
      <w:adjustRightInd w:val="0"/>
      <w:spacing w:before="120" w:line="360" w:lineRule="auto"/>
      <w:ind w:firstLine="480"/>
      <w:jc w:val="both"/>
    </w:pPr>
    <w:rPr>
      <w:rFonts w:ascii="Calibri" w:hAnsi="Calibri" w:eastAsia="宋体" w:cs="Times New Roman"/>
      <w:snapToGrid w:val="0"/>
      <w:sz w:val="24"/>
      <w:lang w:val="en-US" w:eastAsia="zh-CN" w:bidi="ar-SA"/>
    </w:rPr>
  </w:style>
  <w:style w:type="paragraph" w:customStyle="1" w:styleId="407">
    <w:name w:val="列项●（二级）"/>
    <w:qFormat/>
    <w:uiPriority w:val="0"/>
    <w:pPr>
      <w:tabs>
        <w:tab w:val="left" w:pos="720"/>
        <w:tab w:val="left" w:pos="760"/>
        <w:tab w:val="left" w:pos="840"/>
      </w:tabs>
      <w:ind w:left="600" w:leftChars="400" w:hanging="200" w:hangingChars="200"/>
      <w:jc w:val="both"/>
    </w:pPr>
    <w:rPr>
      <w:rFonts w:ascii="宋体" w:hAnsi="Calibri" w:eastAsia="宋体" w:cs="Times New Roman"/>
      <w:lang w:val="en-US" w:eastAsia="zh-CN" w:bidi="ar-SA"/>
    </w:rPr>
  </w:style>
  <w:style w:type="paragraph" w:customStyle="1" w:styleId="408">
    <w:name w:val="xl560"/>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09">
    <w:name w:val="普通(网站)1"/>
    <w:basedOn w:val="1"/>
    <w:qFormat/>
    <w:uiPriority w:val="0"/>
    <w:pPr>
      <w:widowControl/>
      <w:spacing w:before="100" w:beforeAutospacing="1" w:after="100" w:afterAutospacing="1"/>
      <w:jc w:val="left"/>
    </w:pPr>
    <w:rPr>
      <w:rFonts w:ascii="宋体" w:hAnsi="宋体"/>
      <w:kern w:val="0"/>
      <w:sz w:val="24"/>
    </w:rPr>
  </w:style>
  <w:style w:type="paragraph" w:customStyle="1" w:styleId="410">
    <w:name w:val="xl557"/>
    <w:basedOn w:val="1"/>
    <w:qFormat/>
    <w:uiPriority w:val="0"/>
    <w:pPr>
      <w:widowControl/>
      <w:spacing w:before="100" w:beforeAutospacing="1" w:after="100" w:afterAutospacing="1"/>
      <w:jc w:val="left"/>
    </w:pPr>
    <w:rPr>
      <w:rFonts w:ascii="宋体" w:hAnsi="宋体"/>
      <w:color w:val="FF0000"/>
      <w:kern w:val="0"/>
      <w:sz w:val="20"/>
    </w:rPr>
  </w:style>
  <w:style w:type="paragraph" w:customStyle="1" w:styleId="411">
    <w:name w:val="1"/>
    <w:basedOn w:val="1"/>
    <w:qFormat/>
    <w:uiPriority w:val="0"/>
    <w:pPr>
      <w:adjustRightInd w:val="0"/>
      <w:spacing w:before="360" w:after="240" w:line="420" w:lineRule="atLeast"/>
      <w:ind w:firstLine="454"/>
      <w:textAlignment w:val="baseline"/>
    </w:pPr>
    <w:rPr>
      <w:b/>
      <w:kern w:val="0"/>
      <w:sz w:val="21"/>
    </w:rPr>
  </w:style>
  <w:style w:type="paragraph" w:customStyle="1" w:styleId="412">
    <w:name w:val="附录四级条标题"/>
    <w:basedOn w:val="413"/>
    <w:next w:val="360"/>
    <w:qFormat/>
    <w:uiPriority w:val="0"/>
    <w:pPr>
      <w:tabs>
        <w:tab w:val="left" w:pos="720"/>
        <w:tab w:val="left" w:pos="840"/>
        <w:tab w:val="left" w:pos="1440"/>
      </w:tabs>
      <w:outlineLvl w:val="5"/>
    </w:pPr>
  </w:style>
  <w:style w:type="paragraph" w:customStyle="1" w:styleId="413">
    <w:name w:val="附录三级条标题"/>
    <w:basedOn w:val="414"/>
    <w:next w:val="360"/>
    <w:qFormat/>
    <w:uiPriority w:val="0"/>
    <w:pPr>
      <w:tabs>
        <w:tab w:val="left" w:pos="720"/>
        <w:tab w:val="left" w:pos="840"/>
        <w:tab w:val="left" w:pos="1440"/>
      </w:tabs>
      <w:outlineLvl w:val="4"/>
    </w:pPr>
  </w:style>
  <w:style w:type="paragraph" w:customStyle="1" w:styleId="414">
    <w:name w:val="附录二级条标题"/>
    <w:basedOn w:val="393"/>
    <w:next w:val="360"/>
    <w:qFormat/>
    <w:uiPriority w:val="0"/>
    <w:pPr>
      <w:outlineLvl w:val="3"/>
    </w:pPr>
  </w:style>
  <w:style w:type="paragraph" w:customStyle="1" w:styleId="415">
    <w:name w:val="引文目录标题1"/>
    <w:basedOn w:val="1"/>
    <w:next w:val="1"/>
    <w:qFormat/>
    <w:uiPriority w:val="0"/>
    <w:pPr>
      <w:spacing w:before="120"/>
    </w:pPr>
    <w:rPr>
      <w:rFonts w:ascii="Arial" w:hAnsi="Arial"/>
      <w:sz w:val="24"/>
    </w:rPr>
  </w:style>
  <w:style w:type="paragraph" w:customStyle="1" w:styleId="416">
    <w:name w:val="Char Char Char Char Char Char Char Char Char"/>
    <w:basedOn w:val="1"/>
    <w:qFormat/>
    <w:uiPriority w:val="0"/>
    <w:pPr>
      <w:widowControl/>
      <w:spacing w:after="160" w:line="240" w:lineRule="exact"/>
      <w:jc w:val="left"/>
    </w:pPr>
    <w:rPr>
      <w:sz w:val="21"/>
    </w:rPr>
  </w:style>
  <w:style w:type="paragraph" w:customStyle="1" w:styleId="417">
    <w:name w:val="默认段落字体 Para Char Char Char Char"/>
    <w:basedOn w:val="1"/>
    <w:qFormat/>
    <w:uiPriority w:val="0"/>
    <w:pPr>
      <w:spacing w:line="360" w:lineRule="auto"/>
      <w:ind w:firstLine="200" w:firstLineChars="200"/>
    </w:pPr>
    <w:rPr>
      <w:rFonts w:ascii="宋体" w:hAnsi="宋体"/>
      <w:sz w:val="24"/>
    </w:rPr>
  </w:style>
  <w:style w:type="paragraph" w:customStyle="1" w:styleId="418">
    <w:name w:val="Char Char Char1 Char"/>
    <w:basedOn w:val="1"/>
    <w:next w:val="1"/>
    <w:qFormat/>
    <w:uiPriority w:val="0"/>
    <w:rPr>
      <w:sz w:val="21"/>
    </w:rPr>
  </w:style>
  <w:style w:type="paragraph" w:customStyle="1" w:styleId="419">
    <w:name w:val="列出段落3"/>
    <w:basedOn w:val="1"/>
    <w:qFormat/>
    <w:uiPriority w:val="0"/>
    <w:pPr>
      <w:spacing w:before="100" w:beforeAutospacing="1" w:after="100" w:afterAutospacing="1" w:line="300" w:lineRule="auto"/>
      <w:ind w:firstLine="420" w:firstLineChars="200"/>
    </w:pPr>
    <w:rPr>
      <w:sz w:val="21"/>
    </w:rPr>
  </w:style>
  <w:style w:type="paragraph" w:customStyle="1" w:styleId="420">
    <w:name w:val="xl2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宋体" w:hAnsi="宋体"/>
      <w:b/>
      <w:kern w:val="0"/>
      <w:sz w:val="24"/>
    </w:rPr>
  </w:style>
  <w:style w:type="paragraph" w:customStyle="1" w:styleId="421">
    <w:name w:val="实施日期"/>
    <w:basedOn w:val="422"/>
    <w:qFormat/>
    <w:uiPriority w:val="0"/>
    <w:pPr>
      <w:jc w:val="right"/>
    </w:pPr>
  </w:style>
  <w:style w:type="paragraph" w:customStyle="1" w:styleId="422">
    <w:name w:val="发布日期"/>
    <w:qFormat/>
    <w:uiPriority w:val="0"/>
    <w:rPr>
      <w:rFonts w:ascii="Calibri" w:hAnsi="Calibri" w:eastAsia="黑体" w:cs="Times New Roman"/>
      <w:sz w:val="28"/>
      <w:lang w:val="en-US" w:eastAsia="zh-CN" w:bidi="ar-SA"/>
    </w:rPr>
  </w:style>
  <w:style w:type="paragraph" w:customStyle="1" w:styleId="423">
    <w:name w:val="一般格式"/>
    <w:basedOn w:val="1"/>
    <w:qFormat/>
    <w:uiPriority w:val="0"/>
    <w:pPr>
      <w:spacing w:line="360" w:lineRule="auto"/>
      <w:ind w:firstLine="200" w:firstLineChars="200"/>
    </w:pPr>
    <w:rPr>
      <w:sz w:val="24"/>
    </w:rPr>
  </w:style>
  <w:style w:type="paragraph" w:customStyle="1" w:styleId="424">
    <w:name w:val="附录图标题"/>
    <w:next w:val="360"/>
    <w:qFormat/>
    <w:uiPriority w:val="0"/>
    <w:pPr>
      <w:tabs>
        <w:tab w:val="left" w:pos="360"/>
      </w:tabs>
      <w:jc w:val="center"/>
    </w:pPr>
    <w:rPr>
      <w:rFonts w:ascii="黑体" w:hAnsi="Calibri" w:eastAsia="黑体" w:cs="Times New Roman"/>
      <w:sz w:val="21"/>
      <w:lang w:val="en-US" w:eastAsia="zh-CN" w:bidi="ar-SA"/>
    </w:rPr>
  </w:style>
  <w:style w:type="paragraph" w:customStyle="1" w:styleId="425">
    <w:name w:val="1.4"/>
    <w:basedOn w:val="1"/>
    <w:qFormat/>
    <w:uiPriority w:val="0"/>
    <w:pPr>
      <w:widowControl/>
      <w:spacing w:line="288" w:lineRule="auto"/>
      <w:ind w:left="3" w:firstLine="503"/>
    </w:pPr>
    <w:rPr>
      <w:rFonts w:ascii="宋体" w:hAnsi="宋体"/>
      <w:kern w:val="0"/>
      <w:sz w:val="24"/>
    </w:rPr>
  </w:style>
  <w:style w:type="paragraph" w:customStyle="1" w:styleId="426">
    <w:name w:val="正文3"/>
    <w:qFormat/>
    <w:uiPriority w:val="0"/>
    <w:pPr>
      <w:widowControl w:val="0"/>
      <w:adjustRightInd w:val="0"/>
      <w:spacing w:line="360" w:lineRule="atLeast"/>
      <w:textAlignment w:val="baseline"/>
    </w:pPr>
    <w:rPr>
      <w:rFonts w:ascii="宋体" w:hAnsi="Calibri" w:eastAsia="宋体" w:cs="Times New Roman"/>
      <w:sz w:val="34"/>
      <w:lang w:val="en-US" w:eastAsia="zh-CN" w:bidi="ar-SA"/>
    </w:rPr>
  </w:style>
  <w:style w:type="paragraph" w:customStyle="1" w:styleId="427">
    <w:name w:val="p17"/>
    <w:basedOn w:val="1"/>
    <w:qFormat/>
    <w:uiPriority w:val="0"/>
    <w:pPr>
      <w:widowControl/>
      <w:spacing w:before="100" w:after="100" w:line="432" w:lineRule="auto"/>
      <w:jc w:val="left"/>
    </w:pPr>
    <w:rPr>
      <w:rFonts w:ascii="宋体" w:hAnsi="宋体"/>
      <w:kern w:val="0"/>
      <w:sz w:val="27"/>
    </w:rPr>
  </w:style>
  <w:style w:type="paragraph" w:customStyle="1" w:styleId="428">
    <w:name w:val="封面标准文稿编辑信息"/>
    <w:qFormat/>
    <w:uiPriority w:val="0"/>
    <w:pPr>
      <w:spacing w:before="180" w:line="180" w:lineRule="exact"/>
      <w:jc w:val="center"/>
    </w:pPr>
    <w:rPr>
      <w:rFonts w:ascii="宋体" w:hAnsi="Calibri" w:eastAsia="宋体" w:cs="Times New Roman"/>
      <w:sz w:val="21"/>
      <w:lang w:val="en-US" w:eastAsia="zh-CN" w:bidi="ar-SA"/>
    </w:rPr>
  </w:style>
  <w:style w:type="paragraph" w:customStyle="1" w:styleId="429">
    <w:name w:val="xl24"/>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430">
    <w:name w:val="xl569"/>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4"/>
    </w:rPr>
  </w:style>
  <w:style w:type="paragraph" w:customStyle="1" w:styleId="431">
    <w:name w:val="正文缩进3"/>
    <w:basedOn w:val="1"/>
    <w:qFormat/>
    <w:uiPriority w:val="0"/>
    <w:pPr>
      <w:ind w:firstLine="420"/>
    </w:pPr>
    <w:rPr>
      <w:sz w:val="21"/>
    </w:rPr>
  </w:style>
  <w:style w:type="paragraph" w:customStyle="1" w:styleId="432">
    <w:name w:val="五级条标题"/>
    <w:basedOn w:val="387"/>
    <w:next w:val="360"/>
    <w:qFormat/>
    <w:uiPriority w:val="0"/>
    <w:pPr>
      <w:outlineLvl w:val="6"/>
    </w:pPr>
  </w:style>
  <w:style w:type="paragraph" w:customStyle="1" w:styleId="433">
    <w:name w:val="正文文本 31"/>
    <w:basedOn w:val="1"/>
    <w:qFormat/>
    <w:uiPriority w:val="0"/>
    <w:rPr>
      <w:rFonts w:eastAsia="隶书"/>
      <w:kern w:val="0"/>
      <w:sz w:val="24"/>
    </w:rPr>
  </w:style>
  <w:style w:type="paragraph" w:customStyle="1" w:styleId="434">
    <w:name w:val="杭州页脚"/>
    <w:basedOn w:val="1"/>
    <w:qFormat/>
    <w:uiPriority w:val="0"/>
    <w:pPr>
      <w:tabs>
        <w:tab w:val="left" w:pos="340"/>
      </w:tabs>
      <w:adjustRightInd w:val="0"/>
      <w:snapToGrid w:val="0"/>
      <w:ind w:left="340" w:hanging="340"/>
    </w:pPr>
    <w:rPr>
      <w:rFonts w:eastAsia="HYKai U3HK"/>
      <w:sz w:val="20"/>
    </w:rPr>
  </w:style>
  <w:style w:type="paragraph" w:customStyle="1" w:styleId="435">
    <w:name w:val="xl38"/>
    <w:basedOn w:val="1"/>
    <w:qFormat/>
    <w:uiPriority w:val="0"/>
    <w:pPr>
      <w:widowControl/>
      <w:pBdr>
        <w:top w:val="single" w:color="auto" w:sz="4" w:space="0"/>
        <w:bottom w:val="single" w:color="auto" w:sz="8" w:space="0"/>
        <w:right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436">
    <w:name w:val="p16"/>
    <w:basedOn w:val="1"/>
    <w:qFormat/>
    <w:uiPriority w:val="0"/>
    <w:pPr>
      <w:widowControl/>
      <w:spacing w:before="100" w:beforeAutospacing="1" w:after="100" w:afterAutospacing="1"/>
      <w:jc w:val="left"/>
    </w:pPr>
    <w:rPr>
      <w:rFonts w:ascii="宋体" w:hAnsi="宋体"/>
      <w:kern w:val="0"/>
      <w:sz w:val="24"/>
    </w:rPr>
  </w:style>
  <w:style w:type="paragraph" w:customStyle="1" w:styleId="437">
    <w:name w:val="xl567"/>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FF0000"/>
      <w:kern w:val="0"/>
      <w:sz w:val="20"/>
    </w:rPr>
  </w:style>
  <w:style w:type="paragraph" w:customStyle="1" w:styleId="438">
    <w:name w:val="Char Char Char"/>
    <w:basedOn w:val="1"/>
    <w:qFormat/>
    <w:uiPriority w:val="0"/>
    <w:pPr>
      <w:spacing w:line="360" w:lineRule="auto"/>
      <w:ind w:firstLine="200" w:firstLineChars="200"/>
    </w:pPr>
    <w:rPr>
      <w:rFonts w:ascii="宋体" w:hAnsi="宋体"/>
      <w:sz w:val="24"/>
    </w:rPr>
  </w:style>
  <w:style w:type="paragraph" w:customStyle="1" w:styleId="439">
    <w:name w:val="样式 标题 3 + (中文) 黑体 小四 非加粗 段前: 7.8 磅 段后: 0 磅 行距: 固定值 20 磅"/>
    <w:basedOn w:val="7"/>
    <w:qFormat/>
    <w:uiPriority w:val="0"/>
    <w:pPr>
      <w:widowControl w:val="0"/>
      <w:tabs>
        <w:tab w:val="clear" w:pos="720"/>
      </w:tabs>
      <w:spacing w:before="0" w:after="0" w:line="400" w:lineRule="exact"/>
      <w:ind w:left="0" w:firstLine="0"/>
      <w:jc w:val="both"/>
    </w:pPr>
    <w:rPr>
      <w:rFonts w:eastAsia="黑体"/>
      <w:b w:val="0"/>
      <w:kern w:val="2"/>
      <w:sz w:val="24"/>
    </w:rPr>
  </w:style>
  <w:style w:type="paragraph" w:customStyle="1" w:styleId="440">
    <w:name w:val="纯文本1"/>
    <w:basedOn w:val="1"/>
    <w:qFormat/>
    <w:uiPriority w:val="0"/>
    <w:pPr>
      <w:widowControl/>
      <w:jc w:val="left"/>
    </w:pPr>
    <w:rPr>
      <w:rFonts w:ascii="宋体" w:hAnsi="Courier New"/>
      <w:kern w:val="0"/>
      <w:sz w:val="20"/>
    </w:rPr>
  </w:style>
  <w:style w:type="paragraph" w:customStyle="1" w:styleId="441">
    <w:name w:val="列出段落1"/>
    <w:basedOn w:val="1"/>
    <w:qFormat/>
    <w:uiPriority w:val="0"/>
    <w:pPr>
      <w:ind w:firstLine="420" w:firstLineChars="200"/>
    </w:pPr>
    <w:rPr>
      <w:sz w:val="21"/>
    </w:rPr>
  </w:style>
  <w:style w:type="paragraph" w:customStyle="1" w:styleId="442">
    <w:name w:val="正文文本 21"/>
    <w:basedOn w:val="1"/>
    <w:qFormat/>
    <w:uiPriority w:val="0"/>
    <w:pPr>
      <w:adjustRightInd w:val="0"/>
      <w:spacing w:line="300" w:lineRule="auto"/>
      <w:jc w:val="center"/>
    </w:pPr>
    <w:rPr>
      <w:rFonts w:hint="eastAsia" w:ascii="宋体" w:hAnsi="宋体"/>
      <w:sz w:val="24"/>
    </w:rPr>
  </w:style>
  <w:style w:type="paragraph" w:customStyle="1" w:styleId="443">
    <w:name w:val="表格文字2"/>
    <w:basedOn w:val="1"/>
    <w:qFormat/>
    <w:uiPriority w:val="0"/>
    <w:rPr>
      <w:spacing w:val="-4"/>
      <w:sz w:val="24"/>
    </w:rPr>
  </w:style>
  <w:style w:type="paragraph" w:customStyle="1" w:styleId="444">
    <w:name w:val="图表左对齐"/>
    <w:basedOn w:val="1"/>
    <w:qFormat/>
    <w:uiPriority w:val="0"/>
    <w:pPr>
      <w:spacing w:line="360" w:lineRule="exact"/>
      <w:jc w:val="left"/>
    </w:pPr>
    <w:rPr>
      <w:spacing w:val="-10"/>
      <w:sz w:val="24"/>
    </w:rPr>
  </w:style>
  <w:style w:type="paragraph" w:customStyle="1" w:styleId="445">
    <w:name w:val="标准书脚_奇数页"/>
    <w:qFormat/>
    <w:uiPriority w:val="0"/>
    <w:pPr>
      <w:spacing w:before="120"/>
      <w:jc w:val="right"/>
    </w:pPr>
    <w:rPr>
      <w:rFonts w:ascii="Calibri" w:hAnsi="Calibri" w:eastAsia="宋体" w:cs="Times New Roman"/>
      <w:sz w:val="18"/>
      <w:lang w:val="en-US" w:eastAsia="zh-CN" w:bidi="ar-SA"/>
    </w:rPr>
  </w:style>
  <w:style w:type="paragraph" w:customStyle="1" w:styleId="446">
    <w:name w:val="样式 标题 2 + Times New Roman 四号 非加粗 段前: 5 磅 段后: 0 磅 行距: 固定值 20..."/>
    <w:basedOn w:val="6"/>
    <w:qFormat/>
    <w:uiPriority w:val="0"/>
    <w:pPr>
      <w:tabs>
        <w:tab w:val="clear" w:pos="706"/>
      </w:tabs>
      <w:spacing w:before="100" w:line="400" w:lineRule="exact"/>
      <w:ind w:left="0" w:firstLine="0"/>
    </w:pPr>
    <w:rPr>
      <w:rFonts w:ascii="Times New Roman" w:hAnsi="Times New Roman"/>
      <w:b w:val="0"/>
      <w:kern w:val="0"/>
      <w:sz w:val="28"/>
    </w:rPr>
  </w:style>
  <w:style w:type="paragraph" w:customStyle="1" w:styleId="447">
    <w:name w:val="Char Char Char Char Char Char Char"/>
    <w:basedOn w:val="1"/>
    <w:qFormat/>
    <w:uiPriority w:val="0"/>
    <w:pPr>
      <w:widowControl/>
      <w:spacing w:after="160" w:line="240" w:lineRule="exact"/>
      <w:jc w:val="left"/>
    </w:pPr>
    <w:rPr>
      <w:rFonts w:ascii="Verdana" w:hAnsi="Verdana" w:eastAsia="仿宋_GB2312"/>
      <w:kern w:val="0"/>
      <w:sz w:val="30"/>
      <w:lang w:eastAsia="en-US"/>
    </w:rPr>
  </w:style>
  <w:style w:type="paragraph" w:customStyle="1" w:styleId="448">
    <w:name w:val="正文1"/>
    <w:basedOn w:val="1"/>
    <w:qFormat/>
    <w:uiPriority w:val="0"/>
    <w:pPr>
      <w:autoSpaceDE w:val="0"/>
      <w:autoSpaceDN w:val="0"/>
      <w:adjustRightInd w:val="0"/>
      <w:spacing w:before="120" w:line="360" w:lineRule="auto"/>
      <w:ind w:left="1366" w:hanging="686"/>
      <w:textAlignment w:val="baseline"/>
    </w:pPr>
    <w:rPr>
      <w:sz w:val="21"/>
    </w:rPr>
  </w:style>
  <w:style w:type="paragraph" w:customStyle="1" w:styleId="449">
    <w:name w:val="前言、引言标题"/>
    <w:next w:val="1"/>
    <w:qFormat/>
    <w:uiPriority w:val="0"/>
    <w:pPr>
      <w:shd w:val="clear" w:color="FFFFFF" w:fill="FFFFFF"/>
      <w:spacing w:before="640" w:after="560"/>
      <w:jc w:val="center"/>
      <w:outlineLvl w:val="0"/>
    </w:pPr>
    <w:rPr>
      <w:rFonts w:ascii="黑体" w:hAnsi="Calibri" w:eastAsia="黑体" w:cs="Times New Roman"/>
      <w:sz w:val="32"/>
      <w:lang w:val="en-US" w:eastAsia="zh-CN" w:bidi="ar-SA"/>
    </w:rPr>
  </w:style>
  <w:style w:type="paragraph" w:customStyle="1" w:styleId="450">
    <w:name w:val="纯文本3"/>
    <w:basedOn w:val="1"/>
    <w:qFormat/>
    <w:uiPriority w:val="0"/>
    <w:pPr>
      <w:widowControl/>
      <w:jc w:val="left"/>
    </w:pPr>
    <w:rPr>
      <w:rFonts w:ascii="宋体" w:hAnsi="Courier New"/>
      <w:kern w:val="0"/>
      <w:sz w:val="20"/>
    </w:rPr>
  </w:style>
  <w:style w:type="paragraph" w:customStyle="1" w:styleId="451">
    <w:name w:val="表格6"/>
    <w:basedOn w:val="1"/>
    <w:qFormat/>
    <w:uiPriority w:val="0"/>
    <w:pPr>
      <w:adjustRightInd w:val="0"/>
      <w:spacing w:line="420" w:lineRule="atLeast"/>
      <w:ind w:left="737"/>
      <w:textAlignment w:val="baseline"/>
    </w:pPr>
    <w:rPr>
      <w:rFonts w:ascii="宋体"/>
      <w:kern w:val="0"/>
      <w:sz w:val="21"/>
    </w:rPr>
  </w:style>
  <w:style w:type="paragraph" w:customStyle="1" w:styleId="452">
    <w:name w:val="reader-word-layer reader-word-s1-8"/>
    <w:basedOn w:val="1"/>
    <w:qFormat/>
    <w:uiPriority w:val="0"/>
    <w:pPr>
      <w:widowControl/>
      <w:spacing w:before="100" w:beforeAutospacing="1" w:after="100" w:afterAutospacing="1"/>
      <w:jc w:val="left"/>
    </w:pPr>
    <w:rPr>
      <w:rFonts w:ascii="宋体" w:hAnsi="宋体"/>
      <w:kern w:val="0"/>
      <w:sz w:val="24"/>
    </w:rPr>
  </w:style>
  <w:style w:type="paragraph" w:customStyle="1" w:styleId="453">
    <w:name w:val="默认段落字体 Para Char Char Char Char Char Char Char Char Char Char Char Char Char"/>
    <w:basedOn w:val="1"/>
    <w:qFormat/>
    <w:uiPriority w:val="0"/>
    <w:rPr>
      <w:sz w:val="21"/>
    </w:rPr>
  </w:style>
  <w:style w:type="paragraph" w:customStyle="1" w:styleId="454">
    <w:name w:val="修订1"/>
    <w:qFormat/>
    <w:uiPriority w:val="0"/>
    <w:rPr>
      <w:rFonts w:ascii="宋体" w:hAnsi="Calibri" w:eastAsia="宋体" w:cs="Times New Roman"/>
      <w:kern w:val="2"/>
      <w:sz w:val="28"/>
      <w:lang w:val="en-US" w:eastAsia="zh-CN" w:bidi="ar-SA"/>
    </w:rPr>
  </w:style>
  <w:style w:type="paragraph" w:customStyle="1" w:styleId="455">
    <w:name w:val="xl566"/>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spacing w:before="100" w:beforeAutospacing="1" w:after="100" w:afterAutospacing="1"/>
      <w:jc w:val="center"/>
    </w:pPr>
    <w:rPr>
      <w:rFonts w:ascii="宋体" w:hAnsi="宋体"/>
      <w:kern w:val="0"/>
      <w:sz w:val="20"/>
    </w:rPr>
  </w:style>
  <w:style w:type="paragraph" w:customStyle="1" w:styleId="456">
    <w:name w:val="列项◆（三级）"/>
    <w:qFormat/>
    <w:uiPriority w:val="0"/>
    <w:pPr>
      <w:tabs>
        <w:tab w:val="left" w:pos="720"/>
        <w:tab w:val="left" w:pos="960"/>
      </w:tabs>
      <w:ind w:left="800" w:leftChars="600" w:hanging="200" w:hangingChars="200"/>
    </w:pPr>
    <w:rPr>
      <w:rFonts w:ascii="宋体" w:hAnsi="Calibri" w:eastAsia="宋体" w:cs="Times New Roman"/>
      <w:lang w:val="en-US" w:eastAsia="zh-CN" w:bidi="ar-SA"/>
    </w:rPr>
  </w:style>
  <w:style w:type="paragraph" w:customStyle="1" w:styleId="457">
    <w:name w:val="目录3"/>
    <w:basedOn w:val="1"/>
    <w:qFormat/>
    <w:uiPriority w:val="0"/>
    <w:pPr>
      <w:adjustRightInd w:val="0"/>
      <w:spacing w:line="420" w:lineRule="atLeast"/>
      <w:ind w:left="454"/>
      <w:textAlignment w:val="baseline"/>
    </w:pPr>
    <w:rPr>
      <w:kern w:val="0"/>
      <w:sz w:val="21"/>
    </w:rPr>
  </w:style>
  <w:style w:type="paragraph" w:customStyle="1" w:styleId="458">
    <w:name w:val="默认段落字体 Para Char Char Char Char Char Char Char Char Char1 Char Char Char Char"/>
    <w:basedOn w:val="1"/>
    <w:qFormat/>
    <w:uiPriority w:val="0"/>
    <w:rPr>
      <w:rFonts w:ascii="Tahoma" w:hAnsi="Tahoma"/>
      <w:sz w:val="24"/>
    </w:rPr>
  </w:style>
  <w:style w:type="character" w:customStyle="1" w:styleId="459">
    <w:name w:val="z-窗体顶端 Char2"/>
    <w:basedOn w:val="88"/>
    <w:link w:val="323"/>
    <w:qFormat/>
    <w:uiPriority w:val="0"/>
    <w:rPr>
      <w:rFonts w:ascii="Arial" w:hAnsi="Arial"/>
      <w:vanish/>
      <w:sz w:val="16"/>
    </w:rPr>
  </w:style>
  <w:style w:type="paragraph" w:customStyle="1" w:styleId="460">
    <w:name w:val="xl66"/>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461">
    <w:name w:val="样式3"/>
    <w:basedOn w:val="7"/>
    <w:qFormat/>
    <w:uiPriority w:val="0"/>
    <w:pPr>
      <w:widowControl w:val="0"/>
      <w:tabs>
        <w:tab w:val="clear" w:pos="720"/>
      </w:tabs>
      <w:ind w:left="0" w:firstLine="0"/>
      <w:jc w:val="both"/>
    </w:pPr>
    <w:rPr>
      <w:b w:val="0"/>
      <w:kern w:val="2"/>
      <w:sz w:val="24"/>
    </w:rPr>
  </w:style>
  <w:style w:type="paragraph" w:customStyle="1" w:styleId="462">
    <w:name w:val="样式 居中 行距: 固定值 60 磅"/>
    <w:basedOn w:val="1"/>
    <w:qFormat/>
    <w:uiPriority w:val="0"/>
    <w:pPr>
      <w:spacing w:line="360" w:lineRule="auto"/>
      <w:jc w:val="center"/>
    </w:pPr>
    <w:rPr>
      <w:sz w:val="21"/>
    </w:rPr>
  </w:style>
  <w:style w:type="paragraph" w:customStyle="1" w:styleId="463">
    <w:name w:val="其他发布部门"/>
    <w:basedOn w:val="464"/>
    <w:qFormat/>
    <w:uiPriority w:val="0"/>
    <w:pPr>
      <w:spacing w:line="0" w:lineRule="atLeast"/>
    </w:pPr>
    <w:rPr>
      <w:rFonts w:ascii="黑体" w:eastAsia="黑体"/>
      <w:b w:val="0"/>
    </w:rPr>
  </w:style>
  <w:style w:type="paragraph" w:customStyle="1" w:styleId="464">
    <w:name w:val="发布部门"/>
    <w:next w:val="360"/>
    <w:qFormat/>
    <w:uiPriority w:val="0"/>
    <w:pPr>
      <w:jc w:val="center"/>
    </w:pPr>
    <w:rPr>
      <w:rFonts w:ascii="宋体" w:hAnsi="Calibri" w:eastAsia="宋体" w:cs="Times New Roman"/>
      <w:b/>
      <w:spacing w:val="20"/>
      <w:w w:val="135"/>
      <w:sz w:val="36"/>
      <w:lang w:val="en-US" w:eastAsia="zh-CN" w:bidi="ar-SA"/>
    </w:rPr>
  </w:style>
  <w:style w:type="paragraph" w:customStyle="1" w:styleId="465">
    <w:name w:val="示例"/>
    <w:next w:val="360"/>
    <w:qFormat/>
    <w:uiPriority w:val="0"/>
    <w:pPr>
      <w:tabs>
        <w:tab w:val="left" w:pos="720"/>
        <w:tab w:val="left" w:pos="816"/>
      </w:tabs>
      <w:ind w:firstLine="419" w:firstLineChars="233"/>
      <w:jc w:val="both"/>
    </w:pPr>
    <w:rPr>
      <w:rFonts w:ascii="宋体" w:hAnsi="Calibri" w:eastAsia="宋体" w:cs="Times New Roman"/>
      <w:sz w:val="18"/>
      <w:lang w:val="en-US" w:eastAsia="zh-CN" w:bidi="ar-SA"/>
    </w:rPr>
  </w:style>
  <w:style w:type="paragraph" w:customStyle="1" w:styleId="466">
    <w:name w:val="xl68"/>
    <w:basedOn w:val="1"/>
    <w:qFormat/>
    <w:uiPriority w:val="0"/>
    <w:pPr>
      <w:widowControl/>
      <w:pBdr>
        <w:top w:val="single" w:color="auto" w:sz="4" w:space="0"/>
        <w:left w:val="single" w:color="auto" w:sz="4" w:space="0"/>
        <w:right w:val="single" w:color="auto" w:sz="4" w:space="0"/>
      </w:pBdr>
      <w:spacing w:before="100" w:beforeAutospacing="1" w:after="100" w:afterAutospacing="1"/>
      <w:jc w:val="left"/>
      <w:textAlignment w:val="center"/>
    </w:pPr>
    <w:rPr>
      <w:rFonts w:ascii="华文楷体" w:hAnsi="华文楷体" w:eastAsia="华文楷体"/>
      <w:kern w:val="0"/>
      <w:sz w:val="24"/>
    </w:rPr>
  </w:style>
  <w:style w:type="paragraph" w:customStyle="1" w:styleId="467">
    <w:name w:val="样式 标题 1 + 黑体 三号 非加粗 居中 段前: 6 磅 段后: 6 磅 行距: 固定值 20 磅"/>
    <w:basedOn w:val="5"/>
    <w:qFormat/>
    <w:uiPriority w:val="0"/>
    <w:pPr>
      <w:keepLines/>
      <w:widowControl w:val="0"/>
      <w:spacing w:before="120" w:after="120" w:line="400" w:lineRule="exact"/>
      <w:jc w:val="both"/>
    </w:pPr>
    <w:rPr>
      <w:rFonts w:hAnsi="黑体" w:eastAsia="黑体"/>
      <w:b w:val="0"/>
      <w:kern w:val="44"/>
    </w:rPr>
  </w:style>
  <w:style w:type="paragraph" w:customStyle="1" w:styleId="468">
    <w:name w:val="标题2"/>
    <w:basedOn w:val="1"/>
    <w:qFormat/>
    <w:uiPriority w:val="0"/>
    <w:rPr>
      <w:rFonts w:ascii="宋体" w:hAnsi="宋体"/>
      <w:b/>
      <w:sz w:val="21"/>
    </w:rPr>
  </w:style>
  <w:style w:type="paragraph" w:customStyle="1" w:styleId="469">
    <w:name w:val="Char"/>
    <w:basedOn w:val="1"/>
    <w:qFormat/>
    <w:uiPriority w:val="0"/>
    <w:rPr>
      <w:rFonts w:ascii="仿宋_GB2312" w:eastAsia="仿宋_GB2312"/>
      <w:b/>
      <w:sz w:val="32"/>
    </w:rPr>
  </w:style>
  <w:style w:type="paragraph" w:customStyle="1" w:styleId="470">
    <w:name w:val="无间隔2"/>
    <w:qFormat/>
    <w:uiPriority w:val="0"/>
    <w:rPr>
      <w:rFonts w:ascii="Calibri" w:hAnsi="Calibri" w:eastAsia="宋体" w:cs="Times New Roman"/>
      <w:sz w:val="22"/>
      <w:lang w:val="en-US" w:eastAsia="en-US" w:bidi="ar-SA"/>
    </w:rPr>
  </w:style>
  <w:style w:type="paragraph" w:customStyle="1" w:styleId="471">
    <w:name w:val="xl57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color w:val="000000"/>
      <w:kern w:val="0"/>
      <w:sz w:val="20"/>
    </w:rPr>
  </w:style>
  <w:style w:type="paragraph" w:customStyle="1" w:styleId="472">
    <w:name w:val="Char Char Char 字元 字元"/>
    <w:basedOn w:val="1"/>
    <w:qFormat/>
    <w:uiPriority w:val="0"/>
    <w:rPr>
      <w:rFonts w:ascii="Tahoma" w:hAnsi="Tahoma"/>
      <w:sz w:val="24"/>
    </w:rPr>
  </w:style>
  <w:style w:type="paragraph" w:customStyle="1" w:styleId="473">
    <w:name w:val="标准书眉_偶数页"/>
    <w:basedOn w:val="1"/>
    <w:next w:val="1"/>
    <w:qFormat/>
    <w:uiPriority w:val="0"/>
    <w:pPr>
      <w:widowControl/>
      <w:tabs>
        <w:tab w:val="center" w:pos="4154"/>
        <w:tab w:val="right" w:pos="8306"/>
      </w:tabs>
      <w:spacing w:after="120"/>
    </w:pPr>
    <w:rPr>
      <w:kern w:val="0"/>
      <w:sz w:val="21"/>
    </w:rPr>
  </w:style>
  <w:style w:type="paragraph" w:customStyle="1" w:styleId="474">
    <w:name w:val="xl2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Arial Unicode MS" w:hAnsi="Arial Unicode MS"/>
      <w:b/>
      <w:kern w:val="0"/>
      <w:sz w:val="24"/>
    </w:rPr>
  </w:style>
  <w:style w:type="paragraph" w:customStyle="1" w:styleId="475">
    <w:name w:val="样式 正文缩进 + 首行缩进:  2 字符"/>
    <w:basedOn w:val="476"/>
    <w:qFormat/>
    <w:uiPriority w:val="99"/>
    <w:pPr>
      <w:spacing w:line="360" w:lineRule="auto"/>
      <w:ind w:firstLine="200"/>
    </w:pPr>
    <w:rPr>
      <w:rFonts w:ascii="Calibri" w:hAnsi="Calibri"/>
      <w:sz w:val="24"/>
      <w:szCs w:val="24"/>
    </w:rPr>
  </w:style>
  <w:style w:type="paragraph" w:customStyle="1" w:styleId="476">
    <w:name w:val="正文缩进_0"/>
    <w:basedOn w:val="371"/>
    <w:qFormat/>
    <w:uiPriority w:val="0"/>
    <w:pPr>
      <w:ind w:firstLine="420"/>
    </w:pPr>
    <w:rPr>
      <w:rFonts w:ascii="Times New Roman" w:hAnsi="Times New Roman"/>
      <w:kern w:val="0"/>
      <w:szCs w:val="20"/>
    </w:rPr>
  </w:style>
  <w:style w:type="paragraph" w:customStyle="1" w:styleId="477">
    <w:name w:val="列出段落2"/>
    <w:basedOn w:val="1"/>
    <w:qFormat/>
    <w:uiPriority w:val="0"/>
    <w:pPr>
      <w:spacing w:before="100" w:beforeAutospacing="1" w:after="100" w:afterAutospacing="1" w:line="300" w:lineRule="auto"/>
      <w:ind w:firstLine="420" w:firstLineChars="200"/>
    </w:pPr>
    <w:rPr>
      <w:sz w:val="21"/>
    </w:rPr>
  </w:style>
  <w:style w:type="paragraph" w:customStyle="1" w:styleId="478">
    <w:name w:val="xl57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kern w:val="0"/>
      <w:sz w:val="20"/>
    </w:rPr>
  </w:style>
  <w:style w:type="paragraph" w:customStyle="1" w:styleId="479">
    <w:name w:val="font1"/>
    <w:basedOn w:val="1"/>
    <w:qFormat/>
    <w:uiPriority w:val="0"/>
    <w:pPr>
      <w:widowControl/>
      <w:spacing w:before="100" w:beforeAutospacing="1" w:after="100" w:afterAutospacing="1"/>
      <w:jc w:val="left"/>
    </w:pPr>
    <w:rPr>
      <w:rFonts w:ascii="宋体" w:hAnsi="宋体"/>
      <w:color w:val="000000"/>
      <w:kern w:val="0"/>
      <w:sz w:val="20"/>
    </w:rPr>
  </w:style>
  <w:style w:type="paragraph" w:customStyle="1" w:styleId="480">
    <w:name w:val="表格"/>
    <w:basedOn w:val="1"/>
    <w:qFormat/>
    <w:uiPriority w:val="0"/>
    <w:pPr>
      <w:textAlignment w:val="center"/>
    </w:pPr>
    <w:rPr>
      <w:rFonts w:ascii="华文细黑" w:hAnsi="华文细黑"/>
      <w:kern w:val="0"/>
      <w:sz w:val="21"/>
    </w:rPr>
  </w:style>
  <w:style w:type="paragraph" w:customStyle="1" w:styleId="481">
    <w:name w:val="font5"/>
    <w:basedOn w:val="1"/>
    <w:qFormat/>
    <w:uiPriority w:val="0"/>
    <w:pPr>
      <w:widowControl/>
      <w:spacing w:before="100" w:beforeAutospacing="1" w:after="100" w:afterAutospacing="1"/>
      <w:jc w:val="left"/>
    </w:pPr>
    <w:rPr>
      <w:rFonts w:hint="eastAsia" w:ascii="宋体" w:hAnsi="宋体"/>
      <w:kern w:val="0"/>
      <w:sz w:val="18"/>
    </w:rPr>
  </w:style>
  <w:style w:type="paragraph" w:customStyle="1" w:styleId="482">
    <w:name w:val="图表脚注"/>
    <w:next w:val="360"/>
    <w:qFormat/>
    <w:uiPriority w:val="0"/>
    <w:pPr>
      <w:ind w:left="300" w:leftChars="200" w:hanging="100" w:hangingChars="100"/>
      <w:jc w:val="both"/>
    </w:pPr>
    <w:rPr>
      <w:rFonts w:ascii="宋体" w:hAnsi="Calibri" w:eastAsia="宋体" w:cs="Times New Roman"/>
      <w:sz w:val="18"/>
      <w:lang w:val="en-US" w:eastAsia="zh-CN" w:bidi="ar-SA"/>
    </w:rPr>
  </w:style>
  <w:style w:type="paragraph" w:customStyle="1" w:styleId="483">
    <w:name w:val="末级"/>
    <w:basedOn w:val="1"/>
    <w:qFormat/>
    <w:uiPriority w:val="0"/>
    <w:pPr>
      <w:tabs>
        <w:tab w:val="left" w:pos="851"/>
      </w:tabs>
      <w:spacing w:line="360" w:lineRule="auto"/>
      <w:ind w:firstLine="510"/>
    </w:pPr>
    <w:rPr>
      <w:sz w:val="24"/>
    </w:rPr>
  </w:style>
  <w:style w:type="paragraph" w:customStyle="1" w:styleId="484">
    <w:name w:val="内文正文"/>
    <w:qFormat/>
    <w:uiPriority w:val="0"/>
    <w:pPr>
      <w:autoSpaceDE w:val="0"/>
      <w:autoSpaceDN w:val="0"/>
      <w:spacing w:line="400" w:lineRule="exact"/>
      <w:ind w:firstLine="200" w:firstLineChars="200"/>
      <w:jc w:val="both"/>
      <w:textAlignment w:val="bottom"/>
    </w:pPr>
    <w:rPr>
      <w:rFonts w:ascii="宋体" w:hAnsi="???|CS?o｡ﾀ?" w:eastAsia="宋体" w:cs="Times New Roman"/>
      <w:sz w:val="21"/>
      <w:lang w:val="en-US" w:eastAsia="zh-CN" w:bidi="ar-SA"/>
    </w:rPr>
  </w:style>
  <w:style w:type="paragraph" w:customStyle="1" w:styleId="485">
    <w:name w:val="Char Char Char Char Char Char Char Char Char Char Char Char Char Char Char Char Char Char Char Char Char Char Char Char Char"/>
    <w:basedOn w:val="1"/>
    <w:qFormat/>
    <w:uiPriority w:val="0"/>
    <w:rPr>
      <w:rFonts w:ascii="Tahoma" w:hAnsi="Tahoma"/>
      <w:sz w:val="24"/>
    </w:rPr>
  </w:style>
  <w:style w:type="paragraph" w:customStyle="1" w:styleId="486">
    <w:name w:val="bold_10"/>
    <w:basedOn w:val="1"/>
    <w:next w:val="1"/>
    <w:qFormat/>
    <w:uiPriority w:val="0"/>
    <w:pPr>
      <w:widowControl/>
    </w:pPr>
    <w:rPr>
      <w:rFonts w:ascii="Arial" w:hAnsi="Arial"/>
      <w:b/>
      <w:kern w:val="0"/>
      <w:sz w:val="20"/>
      <w:lang w:val="en-AU"/>
    </w:rPr>
  </w:style>
  <w:style w:type="paragraph" w:customStyle="1" w:styleId="487">
    <w:name w:val="正文_0_0"/>
    <w:qFormat/>
    <w:uiPriority w:val="0"/>
    <w:pPr>
      <w:widowControl w:val="0"/>
      <w:jc w:val="both"/>
    </w:pPr>
    <w:rPr>
      <w:rFonts w:ascii="Calibri" w:hAnsi="Calibri" w:eastAsia="宋体" w:cs="Times New Roman"/>
      <w:kern w:val="2"/>
      <w:sz w:val="21"/>
      <w:szCs w:val="22"/>
      <w:lang w:val="en-US" w:eastAsia="zh-CN" w:bidi="ar-SA"/>
    </w:rPr>
  </w:style>
  <w:style w:type="paragraph" w:customStyle="1" w:styleId="488">
    <w:name w:val="p18"/>
    <w:basedOn w:val="1"/>
    <w:qFormat/>
    <w:uiPriority w:val="99"/>
    <w:pPr>
      <w:widowControl/>
      <w:spacing w:line="500" w:lineRule="atLeast"/>
      <w:ind w:firstLine="420"/>
    </w:pPr>
    <w:rPr>
      <w:kern w:val="0"/>
      <w:szCs w:val="28"/>
    </w:rPr>
  </w:style>
  <w:style w:type="paragraph" w:customStyle="1" w:styleId="489">
    <w:name w:val="xl57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000000"/>
      <w:kern w:val="0"/>
      <w:sz w:val="20"/>
    </w:rPr>
  </w:style>
  <w:style w:type="paragraph" w:customStyle="1" w:styleId="490">
    <w:name w:val="xl56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color w:val="000000"/>
      <w:kern w:val="0"/>
      <w:sz w:val="20"/>
    </w:rPr>
  </w:style>
  <w:style w:type="paragraph" w:customStyle="1" w:styleId="491">
    <w:name w:val="xl32"/>
    <w:basedOn w:val="1"/>
    <w:qFormat/>
    <w:uiPriority w:val="0"/>
    <w:pPr>
      <w:widowControl/>
      <w:spacing w:before="100" w:beforeAutospacing="1" w:after="100" w:afterAutospacing="1"/>
    </w:pPr>
    <w:rPr>
      <w:rFonts w:ascii="Arial Unicode MS" w:hAnsi="Arial Unicode MS" w:eastAsia="Arial Unicode MS"/>
      <w:b/>
      <w:kern w:val="0"/>
      <w:sz w:val="40"/>
    </w:rPr>
  </w:style>
  <w:style w:type="paragraph" w:customStyle="1" w:styleId="492">
    <w:name w:val="封面一致性程度标识"/>
    <w:qFormat/>
    <w:uiPriority w:val="0"/>
    <w:pPr>
      <w:spacing w:before="440" w:line="400" w:lineRule="exact"/>
      <w:jc w:val="center"/>
    </w:pPr>
    <w:rPr>
      <w:rFonts w:ascii="宋体" w:hAnsi="Calibri" w:eastAsia="宋体" w:cs="Times New Roman"/>
      <w:sz w:val="28"/>
      <w:lang w:val="en-US" w:eastAsia="zh-CN" w:bidi="ar-SA"/>
    </w:rPr>
  </w:style>
  <w:style w:type="paragraph" w:customStyle="1" w:styleId="493">
    <w:name w:val="Char Char3"/>
    <w:basedOn w:val="32"/>
    <w:qFormat/>
    <w:uiPriority w:val="0"/>
    <w:rPr>
      <w:rFonts w:ascii="Tahoma" w:hAnsi="Tahoma"/>
      <w:sz w:val="24"/>
    </w:rPr>
  </w:style>
  <w:style w:type="paragraph" w:customStyle="1" w:styleId="494">
    <w:name w:val="多级符号2"/>
    <w:basedOn w:val="495"/>
    <w:qFormat/>
    <w:uiPriority w:val="0"/>
    <w:pPr>
      <w:outlineLvl w:val="9"/>
    </w:pPr>
    <w:rPr>
      <w:b w:val="0"/>
      <w:sz w:val="24"/>
    </w:rPr>
  </w:style>
  <w:style w:type="paragraph" w:customStyle="1" w:styleId="495">
    <w:name w:val="多级符号1"/>
    <w:basedOn w:val="1"/>
    <w:next w:val="1"/>
    <w:qFormat/>
    <w:uiPriority w:val="0"/>
    <w:pPr>
      <w:spacing w:line="360" w:lineRule="auto"/>
      <w:jc w:val="left"/>
      <w:outlineLvl w:val="0"/>
    </w:pPr>
    <w:rPr>
      <w:rFonts w:eastAsia="仿宋_GB2312"/>
      <w:b/>
      <w:sz w:val="30"/>
    </w:rPr>
  </w:style>
  <w:style w:type="paragraph" w:customStyle="1" w:styleId="496">
    <w:name w:val="reader-word-layer reader-word-s1-9"/>
    <w:basedOn w:val="1"/>
    <w:qFormat/>
    <w:uiPriority w:val="0"/>
    <w:pPr>
      <w:widowControl/>
      <w:spacing w:before="100" w:beforeAutospacing="1" w:after="100" w:afterAutospacing="1"/>
      <w:jc w:val="left"/>
    </w:pPr>
    <w:rPr>
      <w:rFonts w:ascii="宋体" w:hAnsi="宋体"/>
      <w:kern w:val="0"/>
      <w:sz w:val="24"/>
    </w:rPr>
  </w:style>
  <w:style w:type="paragraph" w:customStyle="1" w:styleId="497">
    <w:name w:val="xl29"/>
    <w:basedOn w:val="1"/>
    <w:qFormat/>
    <w:uiPriority w:val="0"/>
    <w:pPr>
      <w:widowControl/>
      <w:pBdr>
        <w:top w:val="single" w:color="auto" w:sz="4" w:space="0"/>
        <w:left w:val="single" w:color="auto" w:sz="8" w:space="0"/>
        <w:bottom w:val="single" w:color="auto" w:sz="4" w:space="0"/>
        <w:right w:val="single" w:color="auto" w:sz="4" w:space="0"/>
      </w:pBdr>
      <w:shd w:val="clear" w:color="auto" w:fill="C0C0C0"/>
      <w:spacing w:before="100" w:beforeAutospacing="1" w:after="100" w:afterAutospacing="1"/>
    </w:pPr>
    <w:rPr>
      <w:rFonts w:ascii="Arial Unicode MS" w:hAnsi="Arial Unicode MS" w:eastAsia="Arial Unicode MS"/>
      <w:b/>
      <w:color w:val="FF0000"/>
      <w:kern w:val="0"/>
      <w:sz w:val="24"/>
    </w:rPr>
  </w:style>
  <w:style w:type="paragraph" w:customStyle="1" w:styleId="498">
    <w:name w:val="Char Char Char Char Char Char Char Char Char Char Char Char Char Char Char Char Char Char Char Char Char Char Char Char Char Char Char Char Char Char Char Char Char"/>
    <w:basedOn w:val="1"/>
    <w:qFormat/>
    <w:uiPriority w:val="0"/>
    <w:pPr>
      <w:widowControl/>
      <w:spacing w:after="160" w:line="240" w:lineRule="exact"/>
      <w:jc w:val="left"/>
    </w:pPr>
    <w:rPr>
      <w:rFonts w:ascii="Verdana" w:hAnsi="Verdana" w:eastAsia="仿宋_GB2312"/>
      <w:kern w:val="0"/>
      <w:sz w:val="24"/>
      <w:lang w:eastAsia="en-US"/>
    </w:rPr>
  </w:style>
  <w:style w:type="paragraph" w:customStyle="1" w:styleId="499">
    <w:name w:val="彩色底纹 - 着色 11"/>
    <w:qFormat/>
    <w:uiPriority w:val="0"/>
    <w:rPr>
      <w:rFonts w:ascii="Calibri" w:hAnsi="Calibri" w:eastAsia="宋体" w:cs="Times New Roman"/>
      <w:kern w:val="2"/>
      <w:sz w:val="21"/>
      <w:lang w:val="en-US" w:eastAsia="zh-CN" w:bidi="ar-SA"/>
    </w:rPr>
  </w:style>
  <w:style w:type="paragraph" w:customStyle="1" w:styleId="500">
    <w:name w:val="xl5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501">
    <w:name w:val="正文文字缩进 2"/>
    <w:basedOn w:val="1"/>
    <w:qFormat/>
    <w:uiPriority w:val="0"/>
    <w:pPr>
      <w:widowControl/>
      <w:spacing w:line="351" w:lineRule="atLeast"/>
      <w:ind w:firstLine="481"/>
      <w:textAlignment w:val="baseline"/>
    </w:pPr>
    <w:rPr>
      <w:rFonts w:ascii="仿宋_GB2312" w:eastAsia="仿宋_GB2312"/>
      <w:color w:val="000000"/>
      <w:kern w:val="0"/>
      <w:sz w:val="24"/>
      <w:u w:color="000000"/>
    </w:rPr>
  </w:style>
  <w:style w:type="paragraph" w:customStyle="1" w:styleId="502">
    <w:name w:val="xl558"/>
    <w:basedOn w:val="1"/>
    <w:qFormat/>
    <w:uiPriority w:val="0"/>
    <w:pPr>
      <w:widowControl/>
      <w:spacing w:before="100" w:beforeAutospacing="1" w:after="100" w:afterAutospacing="1"/>
      <w:jc w:val="left"/>
    </w:pPr>
    <w:rPr>
      <w:rFonts w:ascii="宋体" w:hAnsi="宋体"/>
      <w:kern w:val="0"/>
      <w:sz w:val="20"/>
    </w:rPr>
  </w:style>
  <w:style w:type="paragraph" w:customStyle="1" w:styleId="503">
    <w:name w:val="Table textB"/>
    <w:basedOn w:val="1"/>
    <w:next w:val="1"/>
    <w:qFormat/>
    <w:uiPriority w:val="0"/>
    <w:pPr>
      <w:widowControl/>
      <w:spacing w:before="80" w:after="80"/>
      <w:jc w:val="center"/>
    </w:pPr>
    <w:rPr>
      <w:rFonts w:ascii="Arial" w:hAnsi="Arial"/>
      <w:b/>
      <w:spacing w:val="-5"/>
      <w:kern w:val="0"/>
      <w:sz w:val="18"/>
    </w:rPr>
  </w:style>
  <w:style w:type="paragraph" w:customStyle="1" w:styleId="504">
    <w:name w:val="封面标准代替信息"/>
    <w:basedOn w:val="505"/>
    <w:qFormat/>
    <w:uiPriority w:val="0"/>
    <w:pPr>
      <w:spacing w:before="57"/>
    </w:pPr>
    <w:rPr>
      <w:rFonts w:ascii="宋体"/>
      <w:sz w:val="21"/>
    </w:rPr>
  </w:style>
  <w:style w:type="paragraph" w:customStyle="1" w:styleId="505">
    <w:name w:val="封面标准号2"/>
    <w:basedOn w:val="506"/>
    <w:qFormat/>
    <w:uiPriority w:val="0"/>
    <w:pPr>
      <w:adjustRightInd w:val="0"/>
      <w:spacing w:before="357" w:line="280" w:lineRule="exact"/>
    </w:pPr>
  </w:style>
  <w:style w:type="paragraph" w:customStyle="1" w:styleId="506">
    <w:name w:val="封面标准号1"/>
    <w:qFormat/>
    <w:uiPriority w:val="0"/>
    <w:pPr>
      <w:widowControl w:val="0"/>
      <w:kinsoku w:val="0"/>
      <w:overflowPunct w:val="0"/>
      <w:autoSpaceDE w:val="0"/>
      <w:autoSpaceDN w:val="0"/>
      <w:spacing w:before="308"/>
      <w:jc w:val="right"/>
      <w:textAlignment w:val="center"/>
    </w:pPr>
    <w:rPr>
      <w:rFonts w:ascii="Calibri" w:hAnsi="Calibri" w:eastAsia="宋体" w:cs="Times New Roman"/>
      <w:sz w:val="28"/>
      <w:lang w:val="en-US" w:eastAsia="zh-CN" w:bidi="ar-SA"/>
    </w:rPr>
  </w:style>
  <w:style w:type="paragraph" w:customStyle="1" w:styleId="507">
    <w:name w:val="flName"/>
    <w:basedOn w:val="1"/>
    <w:qFormat/>
    <w:uiPriority w:val="0"/>
    <w:pPr>
      <w:adjustRightInd w:val="0"/>
      <w:spacing w:before="320" w:after="160" w:line="360" w:lineRule="atLeast"/>
      <w:jc w:val="center"/>
      <w:textAlignment w:val="baseline"/>
    </w:pPr>
    <w:rPr>
      <w:rFonts w:ascii="Arial" w:eastAsia="黑体"/>
      <w:kern w:val="0"/>
      <w:sz w:val="32"/>
    </w:rPr>
  </w:style>
  <w:style w:type="paragraph" w:customStyle="1" w:styleId="508">
    <w:name w:val="Blockquote"/>
    <w:basedOn w:val="1"/>
    <w:qFormat/>
    <w:uiPriority w:val="0"/>
    <w:pPr>
      <w:autoSpaceDE w:val="0"/>
      <w:autoSpaceDN w:val="0"/>
      <w:adjustRightInd w:val="0"/>
      <w:spacing w:before="100" w:after="100"/>
      <w:ind w:left="360" w:right="360"/>
      <w:jc w:val="left"/>
    </w:pPr>
    <w:rPr>
      <w:kern w:val="0"/>
      <w:sz w:val="24"/>
    </w:rPr>
  </w:style>
  <w:style w:type="paragraph" w:customStyle="1" w:styleId="509">
    <w:name w:val="目次、标准名称标题"/>
    <w:basedOn w:val="1"/>
    <w:next w:val="360"/>
    <w:qFormat/>
    <w:uiPriority w:val="0"/>
    <w:pPr>
      <w:widowControl/>
      <w:shd w:val="clear" w:color="FFFFFF" w:fill="FFFFFF"/>
      <w:spacing w:before="640" w:after="560" w:line="460" w:lineRule="exact"/>
      <w:jc w:val="center"/>
      <w:outlineLvl w:val="0"/>
    </w:pPr>
    <w:rPr>
      <w:rFonts w:ascii="黑体" w:eastAsia="黑体"/>
      <w:kern w:val="0"/>
      <w:sz w:val="32"/>
    </w:rPr>
  </w:style>
  <w:style w:type="paragraph" w:customStyle="1" w:styleId="510">
    <w:name w:val="表中"/>
    <w:basedOn w:val="1"/>
    <w:qFormat/>
    <w:uiPriority w:val="0"/>
    <w:pPr>
      <w:autoSpaceDE w:val="0"/>
      <w:autoSpaceDN w:val="0"/>
      <w:adjustRightInd w:val="0"/>
      <w:spacing w:line="360" w:lineRule="atLeast"/>
    </w:pPr>
    <w:rPr>
      <w:rFonts w:ascii="宋体"/>
      <w:kern w:val="0"/>
      <w:sz w:val="21"/>
    </w:rPr>
  </w:style>
  <w:style w:type="paragraph" w:customStyle="1" w:styleId="511">
    <w:name w:val="1 Char Char Char"/>
    <w:basedOn w:val="1"/>
    <w:next w:val="7"/>
    <w:qFormat/>
    <w:uiPriority w:val="0"/>
    <w:pPr>
      <w:spacing w:line="500" w:lineRule="exact"/>
      <w:ind w:firstLine="200"/>
      <w:jc w:val="center"/>
    </w:pPr>
    <w:rPr>
      <w:rFonts w:ascii="仿宋_GB2312" w:hAnsi="Arial" w:eastAsia="仿宋_GB2312"/>
      <w:sz w:val="32"/>
    </w:rPr>
  </w:style>
  <w:style w:type="paragraph" w:customStyle="1" w:styleId="512">
    <w:name w:val="样式2"/>
    <w:basedOn w:val="76"/>
    <w:qFormat/>
    <w:uiPriority w:val="0"/>
    <w:pPr>
      <w:ind w:left="200" w:leftChars="200" w:hanging="200" w:hangingChars="200"/>
      <w:jc w:val="both"/>
    </w:pPr>
    <w:rPr>
      <w:rFonts w:ascii="Times New Roman" w:hAnsi="Times New Roman"/>
      <w:smallCaps w:val="0"/>
      <w:sz w:val="21"/>
    </w:rPr>
  </w:style>
  <w:style w:type="paragraph" w:customStyle="1" w:styleId="513">
    <w:name w:val="样式 标题 4 + 五号"/>
    <w:basedOn w:val="8"/>
    <w:qFormat/>
    <w:uiPriority w:val="0"/>
    <w:rPr>
      <w:kern w:val="0"/>
      <w:sz w:val="21"/>
    </w:rPr>
  </w:style>
  <w:style w:type="paragraph" w:customStyle="1" w:styleId="514">
    <w:name w:val="xl30"/>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color w:val="FF0000"/>
      <w:kern w:val="0"/>
      <w:sz w:val="24"/>
    </w:rPr>
  </w:style>
  <w:style w:type="paragraph" w:customStyle="1" w:styleId="515">
    <w:name w:val="字元 字元 Char Char Char 字元 字元 Char 字元 字元 Char Char 字元 字元1 Char Char Char Char Char Char 字元 字元"/>
    <w:basedOn w:val="1"/>
    <w:qFormat/>
    <w:uiPriority w:val="0"/>
    <w:rPr>
      <w:rFonts w:ascii="Tahoma" w:hAnsi="Tahoma"/>
      <w:sz w:val="24"/>
    </w:rPr>
  </w:style>
  <w:style w:type="paragraph" w:customStyle="1" w:styleId="516">
    <w:name w:val="Default"/>
    <w:qFormat/>
    <w:uiPriority w:val="0"/>
    <w:pPr>
      <w:widowControl w:val="0"/>
      <w:autoSpaceDE w:val="0"/>
      <w:autoSpaceDN w:val="0"/>
      <w:adjustRightInd w:val="0"/>
    </w:pPr>
    <w:rPr>
      <w:rFonts w:ascii="Arial" w:hAnsi="Arial" w:eastAsia="宋体" w:cs="Times New Roman"/>
      <w:color w:val="000000"/>
      <w:sz w:val="24"/>
      <w:lang w:val="en-US" w:eastAsia="zh-CN" w:bidi="ar-SA"/>
    </w:rPr>
  </w:style>
  <w:style w:type="paragraph" w:customStyle="1" w:styleId="517">
    <w:name w:val="Char11"/>
    <w:basedOn w:val="1"/>
    <w:qFormat/>
    <w:uiPriority w:val="0"/>
    <w:pPr>
      <w:widowControl/>
      <w:spacing w:after="160" w:line="240" w:lineRule="exact"/>
      <w:jc w:val="left"/>
    </w:pPr>
    <w:rPr>
      <w:rFonts w:ascii="Tahoma" w:hAnsi="Tahoma"/>
      <w:kern w:val="0"/>
      <w:sz w:val="24"/>
      <w:lang w:eastAsia="en-US"/>
    </w:rPr>
  </w:style>
  <w:style w:type="paragraph" w:customStyle="1" w:styleId="518">
    <w:name w:val="数字编号列项（二级）"/>
    <w:qFormat/>
    <w:uiPriority w:val="0"/>
    <w:pPr>
      <w:ind w:left="1260" w:leftChars="400" w:hanging="420" w:hangingChars="200"/>
      <w:jc w:val="both"/>
    </w:pPr>
    <w:rPr>
      <w:rFonts w:ascii="宋体" w:hAnsi="Calibri" w:eastAsia="宋体" w:cs="Times New Roman"/>
      <w:lang w:val="en-US" w:eastAsia="zh-CN" w:bidi="ar-SA"/>
    </w:rPr>
  </w:style>
  <w:style w:type="paragraph" w:customStyle="1" w:styleId="519">
    <w:name w:val="Char Char Char1 Char Char Char Char Char Char Char Char Char Char Char Char Char"/>
    <w:basedOn w:val="1"/>
    <w:qFormat/>
    <w:uiPriority w:val="0"/>
    <w:rPr>
      <w:rFonts w:ascii="Tahoma" w:hAnsi="Tahoma"/>
      <w:sz w:val="24"/>
    </w:rPr>
  </w:style>
  <w:style w:type="paragraph" w:customStyle="1" w:styleId="520">
    <w:name w:val="参考文献、索引标题"/>
    <w:basedOn w:val="449"/>
    <w:next w:val="1"/>
    <w:qFormat/>
    <w:uiPriority w:val="0"/>
    <w:pPr>
      <w:spacing w:after="200"/>
    </w:pPr>
    <w:rPr>
      <w:sz w:val="21"/>
    </w:rPr>
  </w:style>
  <w:style w:type="paragraph" w:customStyle="1" w:styleId="521">
    <w:name w:val="xl36"/>
    <w:basedOn w:val="1"/>
    <w:qFormat/>
    <w:uiPriority w:val="0"/>
    <w:pPr>
      <w:widowControl/>
      <w:pBdr>
        <w:top w:val="single" w:color="auto" w:sz="4" w:space="0"/>
        <w:left w:val="single" w:color="auto" w:sz="8"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22">
    <w:name w:val="xl33"/>
    <w:basedOn w:val="1"/>
    <w:qFormat/>
    <w:uiPriority w:val="0"/>
    <w:pPr>
      <w:widowControl/>
      <w:pBdr>
        <w:top w:val="single" w:color="auto" w:sz="8" w:space="0"/>
        <w:left w:val="single" w:color="auto" w:sz="8"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23">
    <w:name w:val="纯文本2"/>
    <w:basedOn w:val="1"/>
    <w:qFormat/>
    <w:uiPriority w:val="0"/>
    <w:pPr>
      <w:adjustRightInd w:val="0"/>
      <w:spacing w:line="360" w:lineRule="atLeast"/>
      <w:textAlignment w:val="baseline"/>
    </w:pPr>
    <w:rPr>
      <w:rFonts w:ascii="宋体" w:hAnsi="Courier New"/>
    </w:rPr>
  </w:style>
  <w:style w:type="paragraph" w:customStyle="1" w:styleId="524">
    <w:name w:val="Körper"/>
    <w:basedOn w:val="1"/>
    <w:qFormat/>
    <w:uiPriority w:val="0"/>
    <w:pPr>
      <w:widowControl/>
      <w:spacing w:before="120" w:line="240" w:lineRule="exact"/>
    </w:pPr>
    <w:rPr>
      <w:rFonts w:ascii="Arial" w:hAnsi="Arial"/>
      <w:kern w:val="0"/>
      <w:sz w:val="20"/>
      <w:lang w:val="de-DE" w:eastAsia="de-DE"/>
    </w:rPr>
  </w:style>
  <w:style w:type="paragraph" w:customStyle="1" w:styleId="525">
    <w:name w:val="2"/>
    <w:basedOn w:val="1"/>
    <w:qFormat/>
    <w:uiPriority w:val="0"/>
    <w:rPr>
      <w:rFonts w:ascii="Tahoma" w:hAnsi="Tahoma"/>
      <w:sz w:val="24"/>
    </w:rPr>
  </w:style>
  <w:style w:type="paragraph" w:customStyle="1" w:styleId="526">
    <w:name w:val="正文2 Char Char Char Char Char Char Char Char Char Char Char Char1 Char Char Char Char Char Char Char Char1 Char Char Char Char Char Char"/>
    <w:basedOn w:val="1"/>
    <w:qFormat/>
    <w:uiPriority w:val="0"/>
    <w:pPr>
      <w:widowControl/>
      <w:spacing w:line="400" w:lineRule="exact"/>
    </w:pPr>
    <w:rPr>
      <w:rFonts w:ascii="Verdana" w:hAnsi="Verdana" w:eastAsia="楷体_GB2312"/>
      <w:kern w:val="0"/>
      <w:lang w:eastAsia="en-US"/>
    </w:rPr>
  </w:style>
  <w:style w:type="paragraph" w:customStyle="1" w:styleId="527">
    <w:name w:val="金宏发行正文 Char"/>
    <w:basedOn w:val="1"/>
    <w:qFormat/>
    <w:uiPriority w:val="99"/>
    <w:pPr>
      <w:spacing w:line="500" w:lineRule="atLeast"/>
      <w:ind w:firstLine="560" w:firstLineChars="200"/>
    </w:pPr>
    <w:rPr>
      <w:rFonts w:ascii="Times New Roman" w:hAnsi="Times New Roman" w:eastAsia="仿宋_GB2312"/>
      <w:szCs w:val="28"/>
    </w:rPr>
  </w:style>
  <w:style w:type="paragraph" w:customStyle="1" w:styleId="528">
    <w:name w:val="样式 三号 加粗 居中"/>
    <w:basedOn w:val="1"/>
    <w:qFormat/>
    <w:uiPriority w:val="0"/>
    <w:pPr>
      <w:spacing w:line="360" w:lineRule="auto"/>
      <w:jc w:val="center"/>
    </w:pPr>
    <w:rPr>
      <w:b/>
      <w:sz w:val="32"/>
    </w:rPr>
  </w:style>
  <w:style w:type="paragraph" w:customStyle="1" w:styleId="529">
    <w:name w:val="标准称谓"/>
    <w:next w:val="1"/>
    <w:qFormat/>
    <w:uiPriority w:val="0"/>
    <w:pPr>
      <w:widowControl w:val="0"/>
      <w:kinsoku w:val="0"/>
      <w:overflowPunct w:val="0"/>
      <w:autoSpaceDE w:val="0"/>
      <w:autoSpaceDN w:val="0"/>
      <w:spacing w:line="0" w:lineRule="atLeast"/>
      <w:jc w:val="distribute"/>
    </w:pPr>
    <w:rPr>
      <w:rFonts w:ascii="宋体" w:hAnsi="Calibri" w:eastAsia="宋体" w:cs="Times New Roman"/>
      <w:b/>
      <w:spacing w:val="20"/>
      <w:w w:val="148"/>
      <w:sz w:val="52"/>
      <w:lang w:val="en-US" w:eastAsia="zh-CN" w:bidi="ar-SA"/>
    </w:rPr>
  </w:style>
  <w:style w:type="paragraph" w:customStyle="1" w:styleId="530">
    <w:name w:val="标准书眉_奇数页"/>
    <w:next w:val="1"/>
    <w:qFormat/>
    <w:uiPriority w:val="0"/>
    <w:pPr>
      <w:tabs>
        <w:tab w:val="center" w:pos="4154"/>
        <w:tab w:val="right" w:pos="8306"/>
      </w:tabs>
      <w:spacing w:after="120"/>
      <w:jc w:val="right"/>
    </w:pPr>
    <w:rPr>
      <w:rFonts w:ascii="Calibri" w:hAnsi="Calibri" w:eastAsia="宋体" w:cs="Times New Roman"/>
      <w:sz w:val="21"/>
      <w:lang w:val="en-US" w:eastAsia="zh-CN" w:bidi="ar-SA"/>
    </w:rPr>
  </w:style>
  <w:style w:type="paragraph" w:customStyle="1" w:styleId="531">
    <w:name w:val="xl65"/>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2">
    <w:name w:val="xl67"/>
    <w:basedOn w:val="1"/>
    <w:qFormat/>
    <w:uiPriority w:val="0"/>
    <w:pPr>
      <w:widowControl/>
      <w:pBdr>
        <w:top w:val="single" w:color="auto" w:sz="4" w:space="0"/>
        <w:left w:val="single" w:color="auto" w:sz="4" w:space="0"/>
        <w:right w:val="single" w:color="auto" w:sz="4" w:space="0"/>
      </w:pBdr>
      <w:spacing w:before="100" w:beforeAutospacing="1" w:after="100" w:afterAutospacing="1"/>
      <w:jc w:val="center"/>
      <w:textAlignment w:val="center"/>
    </w:pPr>
    <w:rPr>
      <w:rFonts w:ascii="华文楷体" w:hAnsi="华文楷体" w:eastAsia="华文楷体"/>
      <w:kern w:val="0"/>
      <w:sz w:val="24"/>
    </w:rPr>
  </w:style>
  <w:style w:type="paragraph" w:customStyle="1" w:styleId="533">
    <w:name w:val="xl31"/>
    <w:basedOn w:val="1"/>
    <w:qFormat/>
    <w:uiPriority w:val="0"/>
    <w:pPr>
      <w:widowControl/>
      <w:pBdr>
        <w:bottom w:val="single" w:color="auto" w:sz="4" w:space="0"/>
      </w:pBdr>
      <w:spacing w:before="100" w:beforeAutospacing="1" w:after="100" w:afterAutospacing="1"/>
      <w:jc w:val="center"/>
    </w:pPr>
    <w:rPr>
      <w:rFonts w:ascii="宋体" w:hAnsi="宋体"/>
      <w:kern w:val="0"/>
      <w:sz w:val="24"/>
    </w:rPr>
  </w:style>
  <w:style w:type="paragraph" w:customStyle="1" w:styleId="534">
    <w:name w:val="修订2"/>
    <w:qFormat/>
    <w:uiPriority w:val="0"/>
    <w:rPr>
      <w:rFonts w:ascii="Calibri" w:hAnsi="Calibri" w:eastAsia="宋体" w:cs="Times New Roman"/>
      <w:kern w:val="2"/>
      <w:sz w:val="28"/>
      <w:lang w:val="en-US" w:eastAsia="zh-CN" w:bidi="ar-SA"/>
    </w:rPr>
  </w:style>
  <w:style w:type="paragraph" w:customStyle="1" w:styleId="535">
    <w:name w:val="标题4"/>
    <w:basedOn w:val="1"/>
    <w:qFormat/>
    <w:uiPriority w:val="0"/>
    <w:rPr>
      <w:rFonts w:eastAsia="仿宋_GB2312"/>
      <w:sz w:val="32"/>
    </w:rPr>
  </w:style>
  <w:style w:type="paragraph" w:customStyle="1" w:styleId="536">
    <w:name w:val="3级"/>
    <w:basedOn w:val="1"/>
    <w:qFormat/>
    <w:uiPriority w:val="0"/>
    <w:pPr>
      <w:snapToGrid w:val="0"/>
      <w:spacing w:afterLines="30" w:line="360" w:lineRule="auto"/>
      <w:ind w:firstLine="200" w:firstLineChars="200"/>
    </w:pPr>
    <w:rPr>
      <w:rFonts w:ascii="宋体" w:hAnsi="Tahoma"/>
      <w:b/>
      <w:color w:val="0000FF"/>
    </w:rPr>
  </w:style>
  <w:style w:type="paragraph" w:customStyle="1" w:styleId="537">
    <w:name w:val="章标题"/>
    <w:next w:val="360"/>
    <w:qFormat/>
    <w:uiPriority w:val="0"/>
    <w:pPr>
      <w:tabs>
        <w:tab w:val="left" w:pos="420"/>
        <w:tab w:val="left" w:pos="480"/>
      </w:tabs>
      <w:spacing w:beforeLines="50" w:afterLines="50"/>
      <w:ind w:left="480" w:hanging="480"/>
      <w:jc w:val="both"/>
      <w:outlineLvl w:val="1"/>
    </w:pPr>
    <w:rPr>
      <w:rFonts w:ascii="黑体" w:hAnsi="Calibri" w:eastAsia="黑体" w:cs="Times New Roman"/>
      <w:b/>
      <w:lang w:val="en-US" w:eastAsia="zh-CN" w:bidi="ar-SA"/>
    </w:rPr>
  </w:style>
  <w:style w:type="paragraph" w:customStyle="1" w:styleId="538">
    <w:name w:val="xl34"/>
    <w:basedOn w:val="1"/>
    <w:qFormat/>
    <w:uiPriority w:val="0"/>
    <w:pPr>
      <w:widowControl/>
      <w:pBdr>
        <w:top w:val="single" w:color="auto" w:sz="8" w:space="0"/>
        <w:left w:val="single" w:color="auto" w:sz="4" w:space="0"/>
        <w:bottom w:val="single" w:color="auto" w:sz="4" w:space="0"/>
        <w:right w:val="single" w:color="auto" w:sz="4" w:space="0"/>
      </w:pBdr>
      <w:spacing w:before="100" w:beforeAutospacing="1" w:after="100" w:afterAutospacing="1"/>
    </w:pPr>
    <w:rPr>
      <w:rFonts w:ascii="Arial Unicode MS" w:hAnsi="Arial Unicode MS" w:eastAsia="Arial Unicode MS"/>
      <w:b/>
      <w:kern w:val="0"/>
      <w:sz w:val="36"/>
    </w:rPr>
  </w:style>
  <w:style w:type="paragraph" w:customStyle="1" w:styleId="539">
    <w:name w:val="图表小四中对齐"/>
    <w:basedOn w:val="1"/>
    <w:qFormat/>
    <w:uiPriority w:val="0"/>
    <w:pPr>
      <w:adjustRightInd w:val="0"/>
      <w:spacing w:line="360" w:lineRule="exact"/>
      <w:jc w:val="center"/>
      <w:textAlignment w:val="baseline"/>
    </w:pPr>
    <w:rPr>
      <w:color w:val="000000"/>
      <w:spacing w:val="-10"/>
      <w:sz w:val="24"/>
    </w:rPr>
  </w:style>
  <w:style w:type="paragraph" w:customStyle="1" w:styleId="540">
    <w:name w:val="标准书眉一"/>
    <w:qFormat/>
    <w:uiPriority w:val="0"/>
    <w:pPr>
      <w:jc w:val="both"/>
    </w:pPr>
    <w:rPr>
      <w:rFonts w:ascii="Calibri" w:hAnsi="Calibri" w:eastAsia="宋体" w:cs="Times New Roman"/>
      <w:lang w:val="en-US" w:eastAsia="zh-CN" w:bidi="ar-SA"/>
    </w:rPr>
  </w:style>
  <w:style w:type="paragraph" w:customStyle="1" w:styleId="541">
    <w:name w:val="Char Char Char Char Char Char3 Char Char Char Char Char Char Char Char Char Char"/>
    <w:basedOn w:val="1"/>
    <w:next w:val="1"/>
    <w:qFormat/>
    <w:uiPriority w:val="0"/>
    <w:rPr>
      <w:rFonts w:eastAsia="黑体"/>
    </w:rPr>
  </w:style>
  <w:style w:type="paragraph" w:customStyle="1" w:styleId="542">
    <w:name w:val="xl561"/>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pPr>
    <w:rPr>
      <w:rFonts w:ascii="宋体" w:hAnsi="宋体"/>
      <w:kern w:val="0"/>
      <w:sz w:val="20"/>
    </w:rPr>
  </w:style>
  <w:style w:type="paragraph" w:customStyle="1" w:styleId="543">
    <w:name w:val="正文 New New New New"/>
    <w:qFormat/>
    <w:uiPriority w:val="0"/>
    <w:pPr>
      <w:widowControl w:val="0"/>
      <w:jc w:val="both"/>
    </w:pPr>
    <w:rPr>
      <w:rFonts w:ascii="Calibri" w:hAnsi="Calibri" w:eastAsia="宋体" w:cs="Times New Roman"/>
      <w:sz w:val="21"/>
      <w:szCs w:val="24"/>
      <w:lang w:val="en-US" w:eastAsia="zh-CN" w:bidi="ar-SA"/>
    </w:rPr>
  </w:style>
  <w:style w:type="paragraph" w:customStyle="1" w:styleId="544">
    <w:name w:val="Char Char Char Char1"/>
    <w:basedOn w:val="1"/>
    <w:qFormat/>
    <w:uiPriority w:val="0"/>
    <w:rPr>
      <w:sz w:val="21"/>
    </w:rPr>
  </w:style>
  <w:style w:type="paragraph" w:customStyle="1" w:styleId="545">
    <w:name w:val="表文C"/>
    <w:basedOn w:val="1"/>
    <w:qFormat/>
    <w:uiPriority w:val="0"/>
    <w:pPr>
      <w:widowControl/>
      <w:tabs>
        <w:tab w:val="left" w:pos="0"/>
      </w:tabs>
      <w:adjustRightInd w:val="0"/>
      <w:snapToGrid w:val="0"/>
    </w:pPr>
    <w:rPr>
      <w:snapToGrid w:val="0"/>
      <w:kern w:val="0"/>
      <w:sz w:val="21"/>
    </w:rPr>
  </w:style>
  <w:style w:type="paragraph" w:customStyle="1" w:styleId="546">
    <w:name w:val="_Style 3"/>
    <w:qFormat/>
    <w:uiPriority w:val="0"/>
    <w:rPr>
      <w:rFonts w:ascii="Calibri" w:hAnsi="Calibri" w:eastAsia="宋体" w:cs="Times New Roman"/>
      <w:sz w:val="22"/>
      <w:szCs w:val="22"/>
      <w:lang w:val="en-US" w:eastAsia="zh-CN" w:bidi="ar-SA"/>
    </w:rPr>
  </w:style>
  <w:style w:type="paragraph" w:customStyle="1" w:styleId="547">
    <w:name w:val="font0"/>
    <w:basedOn w:val="1"/>
    <w:qFormat/>
    <w:uiPriority w:val="0"/>
    <w:pPr>
      <w:widowControl/>
      <w:spacing w:before="100" w:beforeAutospacing="1" w:after="100" w:afterAutospacing="1"/>
    </w:pPr>
    <w:rPr>
      <w:rFonts w:hint="eastAsia" w:ascii="宋体" w:hAnsi="宋体"/>
      <w:kern w:val="0"/>
      <w:sz w:val="24"/>
    </w:rPr>
  </w:style>
  <w:style w:type="paragraph" w:customStyle="1" w:styleId="548">
    <w:name w:val="一级条标题"/>
    <w:next w:val="360"/>
    <w:qFormat/>
    <w:uiPriority w:val="0"/>
    <w:pPr>
      <w:outlineLvl w:val="2"/>
    </w:pPr>
    <w:rPr>
      <w:rFonts w:ascii="Calibri" w:hAnsi="Calibri" w:eastAsia="黑体" w:cs="Times New Roman"/>
      <w:sz w:val="21"/>
      <w:lang w:val="en-US" w:eastAsia="zh-CN" w:bidi="ar-SA"/>
    </w:rPr>
  </w:style>
  <w:style w:type="paragraph" w:customStyle="1" w:styleId="549">
    <w:name w:val="注×："/>
    <w:qFormat/>
    <w:uiPriority w:val="0"/>
    <w:pPr>
      <w:widowControl w:val="0"/>
      <w:tabs>
        <w:tab w:val="left" w:pos="630"/>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50">
    <w:name w:val="投标正文"/>
    <w:basedOn w:val="1"/>
    <w:qFormat/>
    <w:uiPriority w:val="0"/>
    <w:pPr>
      <w:spacing w:line="360" w:lineRule="auto"/>
      <w:ind w:left="100" w:firstLine="480" w:firstLineChars="200"/>
    </w:pPr>
    <w:rPr>
      <w:sz w:val="24"/>
      <w:szCs w:val="24"/>
    </w:rPr>
  </w:style>
  <w:style w:type="paragraph" w:customStyle="1" w:styleId="551">
    <w:name w:val="标题 0"/>
    <w:basedOn w:val="5"/>
    <w:qFormat/>
    <w:uiPriority w:val="0"/>
    <w:pPr>
      <w:keepNext w:val="0"/>
      <w:widowControl w:val="0"/>
      <w:autoSpaceDE w:val="0"/>
      <w:autoSpaceDN w:val="0"/>
      <w:adjustRightInd w:val="0"/>
      <w:spacing w:line="240" w:lineRule="auto"/>
      <w:jc w:val="left"/>
    </w:pPr>
    <w:rPr>
      <w:rFonts w:ascii="宋体"/>
      <w:snapToGrid w:val="0"/>
      <w:color w:val="000000"/>
      <w:sz w:val="44"/>
    </w:rPr>
  </w:style>
  <w:style w:type="paragraph" w:customStyle="1" w:styleId="552">
    <w:name w:val="标准标志"/>
    <w:next w:val="1"/>
    <w:qFormat/>
    <w:uiPriority w:val="0"/>
    <w:pPr>
      <w:shd w:val="solid" w:color="FFFFFF" w:fill="FFFFFF"/>
      <w:spacing w:line="0" w:lineRule="atLeast"/>
      <w:jc w:val="right"/>
    </w:pPr>
    <w:rPr>
      <w:rFonts w:ascii="Calibri" w:hAnsi="Calibri" w:eastAsia="宋体" w:cs="Times New Roman"/>
      <w:b/>
      <w:w w:val="130"/>
      <w:sz w:val="96"/>
      <w:lang w:val="en-US" w:eastAsia="zh-CN" w:bidi="ar-SA"/>
    </w:rPr>
  </w:style>
  <w:style w:type="paragraph" w:customStyle="1" w:styleId="553">
    <w:name w:val="条文脚注"/>
    <w:basedOn w:val="71"/>
    <w:qFormat/>
    <w:uiPriority w:val="0"/>
    <w:pPr>
      <w:ind w:left="780" w:leftChars="200" w:hanging="360" w:hangingChars="200"/>
      <w:jc w:val="both"/>
    </w:pPr>
    <w:rPr>
      <w:rFonts w:ascii="宋体"/>
    </w:rPr>
  </w:style>
  <w:style w:type="paragraph" w:customStyle="1" w:styleId="554">
    <w:name w:val="HTML 地址1"/>
    <w:basedOn w:val="1"/>
    <w:qFormat/>
    <w:uiPriority w:val="0"/>
    <w:rPr>
      <w:i/>
      <w:kern w:val="0"/>
      <w:sz w:val="20"/>
    </w:rPr>
  </w:style>
  <w:style w:type="paragraph" w:customStyle="1" w:styleId="555">
    <w:name w:val="表格5"/>
    <w:basedOn w:val="556"/>
    <w:qFormat/>
    <w:uiPriority w:val="0"/>
    <w:pPr>
      <w:ind w:left="1021" w:hanging="284"/>
    </w:pPr>
    <w:rPr>
      <w:rFonts w:ascii="宋体"/>
    </w:rPr>
  </w:style>
  <w:style w:type="paragraph" w:customStyle="1" w:styleId="556">
    <w:name w:val="表格2"/>
    <w:basedOn w:val="1"/>
    <w:qFormat/>
    <w:uiPriority w:val="0"/>
    <w:pPr>
      <w:adjustRightInd w:val="0"/>
      <w:spacing w:line="420" w:lineRule="atLeast"/>
      <w:ind w:left="284" w:firstLine="454"/>
      <w:textAlignment w:val="baseline"/>
    </w:pPr>
    <w:rPr>
      <w:kern w:val="0"/>
      <w:sz w:val="21"/>
    </w:rPr>
  </w:style>
  <w:style w:type="paragraph" w:customStyle="1" w:styleId="557">
    <w:name w:val="_Style 10"/>
    <w:basedOn w:val="1"/>
    <w:next w:val="1"/>
    <w:qFormat/>
    <w:uiPriority w:val="0"/>
    <w:rPr>
      <w:sz w:val="21"/>
    </w:rPr>
  </w:style>
  <w:style w:type="paragraph" w:customStyle="1" w:styleId="558">
    <w:name w:val="Char1"/>
    <w:basedOn w:val="1"/>
    <w:qFormat/>
    <w:uiPriority w:val="0"/>
    <w:rPr>
      <w:rFonts w:ascii="仿宋_GB2312" w:eastAsia="仿宋_GB2312"/>
      <w:b/>
      <w:sz w:val="32"/>
    </w:rPr>
  </w:style>
  <w:style w:type="paragraph" w:customStyle="1" w:styleId="559">
    <w:name w:val="Char Char Char Char Char Char Char Char Char Char Char Char1 Char"/>
    <w:basedOn w:val="32"/>
    <w:qFormat/>
    <w:uiPriority w:val="0"/>
    <w:rPr>
      <w:rFonts w:ascii="等线" w:hAnsi="等线"/>
      <w:sz w:val="21"/>
    </w:rPr>
  </w:style>
  <w:style w:type="paragraph" w:customStyle="1" w:styleId="560">
    <w:name w:val="Char Char2"/>
    <w:basedOn w:val="1"/>
    <w:qFormat/>
    <w:uiPriority w:val="0"/>
    <w:rPr>
      <w:rFonts w:ascii="Tahoma" w:hAnsi="Tahoma"/>
      <w:sz w:val="24"/>
    </w:rPr>
  </w:style>
  <w:style w:type="paragraph" w:customStyle="1" w:styleId="561">
    <w:name w:val="目录1"/>
    <w:basedOn w:val="1"/>
    <w:qFormat/>
    <w:uiPriority w:val="0"/>
    <w:pPr>
      <w:adjustRightInd w:val="0"/>
      <w:spacing w:line="420" w:lineRule="atLeast"/>
      <w:textAlignment w:val="baseline"/>
    </w:pPr>
    <w:rPr>
      <w:rFonts w:eastAsia="黑体"/>
      <w:b/>
      <w:kern w:val="0"/>
      <w:sz w:val="21"/>
    </w:rPr>
  </w:style>
  <w:style w:type="paragraph" w:customStyle="1" w:styleId="562">
    <w:name w:val="收件单位"/>
    <w:basedOn w:val="1"/>
    <w:qFormat/>
    <w:uiPriority w:val="0"/>
    <w:pPr>
      <w:tabs>
        <w:tab w:val="left" w:pos="1365"/>
      </w:tabs>
      <w:spacing w:beforeLines="100"/>
    </w:pPr>
    <w:rPr>
      <w:rFonts w:eastAsia="华文仿宋"/>
      <w:sz w:val="30"/>
    </w:rPr>
  </w:style>
  <w:style w:type="paragraph" w:customStyle="1" w:styleId="563">
    <w:name w:val="表内居中"/>
    <w:qFormat/>
    <w:uiPriority w:val="0"/>
    <w:pPr>
      <w:jc w:val="center"/>
    </w:pPr>
    <w:rPr>
      <w:rFonts w:ascii="Calibri" w:hAnsi="Calibri" w:eastAsia="宋体" w:cs="Times New Roman"/>
      <w:lang w:val="en-US" w:eastAsia="zh-CN" w:bidi="ar-SA"/>
    </w:rPr>
  </w:style>
  <w:style w:type="paragraph" w:customStyle="1" w:styleId="564">
    <w:name w:val="封面标准英文名称"/>
    <w:qFormat/>
    <w:uiPriority w:val="0"/>
    <w:pPr>
      <w:widowControl w:val="0"/>
      <w:spacing w:before="370" w:line="400" w:lineRule="exact"/>
      <w:jc w:val="center"/>
    </w:pPr>
    <w:rPr>
      <w:rFonts w:ascii="Calibri" w:hAnsi="Calibri" w:eastAsia="宋体" w:cs="Times New Roman"/>
      <w:sz w:val="28"/>
      <w:lang w:val="en-US" w:eastAsia="zh-CN" w:bidi="ar-SA"/>
    </w:rPr>
  </w:style>
  <w:style w:type="paragraph" w:customStyle="1" w:styleId="565">
    <w:name w:val="文献分类号"/>
    <w:qFormat/>
    <w:uiPriority w:val="0"/>
    <w:pPr>
      <w:widowControl w:val="0"/>
      <w:textAlignment w:val="center"/>
    </w:pPr>
    <w:rPr>
      <w:rFonts w:ascii="Calibri" w:hAnsi="Calibri" w:eastAsia="黑体" w:cs="Times New Roman"/>
      <w:sz w:val="21"/>
      <w:lang w:val="en-US" w:eastAsia="zh-CN" w:bidi="ar-SA"/>
    </w:rPr>
  </w:style>
  <w:style w:type="paragraph" w:customStyle="1" w:styleId="566">
    <w:name w:val="封面正文"/>
    <w:qFormat/>
    <w:uiPriority w:val="0"/>
    <w:pPr>
      <w:jc w:val="both"/>
    </w:pPr>
    <w:rPr>
      <w:rFonts w:ascii="Calibri" w:hAnsi="Calibri" w:eastAsia="宋体" w:cs="Times New Roman"/>
      <w:lang w:val="en-US" w:eastAsia="zh-CN" w:bidi="ar-SA"/>
    </w:rPr>
  </w:style>
  <w:style w:type="paragraph" w:customStyle="1" w:styleId="567">
    <w:name w:val="表格1"/>
    <w:basedOn w:val="1"/>
    <w:qFormat/>
    <w:uiPriority w:val="0"/>
    <w:pPr>
      <w:adjustRightInd w:val="0"/>
      <w:spacing w:line="420" w:lineRule="atLeast"/>
      <w:ind w:left="284"/>
      <w:textAlignment w:val="baseline"/>
    </w:pPr>
    <w:rPr>
      <w:kern w:val="0"/>
      <w:sz w:val="21"/>
    </w:rPr>
  </w:style>
  <w:style w:type="paragraph" w:customStyle="1" w:styleId="568">
    <w:name w:val="xl35"/>
    <w:basedOn w:val="1"/>
    <w:qFormat/>
    <w:uiPriority w:val="0"/>
    <w:pPr>
      <w:widowControl/>
      <w:pBdr>
        <w:left w:val="single" w:color="auto" w:sz="4" w:space="0"/>
        <w:bottom w:val="single" w:color="auto" w:sz="4" w:space="0"/>
        <w:right w:val="single" w:color="auto" w:sz="4" w:space="0"/>
      </w:pBdr>
      <w:spacing w:before="100" w:beforeAutospacing="1" w:after="100" w:afterAutospacing="1"/>
      <w:jc w:val="center"/>
      <w:textAlignment w:val="center"/>
    </w:pPr>
    <w:rPr>
      <w:kern w:val="0"/>
      <w:sz w:val="24"/>
    </w:rPr>
  </w:style>
  <w:style w:type="paragraph" w:customStyle="1" w:styleId="569">
    <w:name w:val="xl27"/>
    <w:basedOn w:val="1"/>
    <w:qFormat/>
    <w:uiPriority w:val="0"/>
    <w:pPr>
      <w:widowControl/>
      <w:pBdr>
        <w:bottom w:val="single" w:color="auto" w:sz="4" w:space="0"/>
        <w:right w:val="single" w:color="auto" w:sz="4" w:space="0"/>
      </w:pBdr>
      <w:spacing w:before="100" w:beforeAutospacing="1" w:after="100" w:afterAutospacing="1"/>
      <w:jc w:val="center"/>
      <w:textAlignment w:val="center"/>
    </w:pPr>
    <w:rPr>
      <w:rFonts w:ascii="Arial Unicode MS" w:hAnsi="Arial Unicode MS"/>
      <w:kern w:val="0"/>
      <w:sz w:val="21"/>
    </w:rPr>
  </w:style>
  <w:style w:type="paragraph" w:customStyle="1" w:styleId="570">
    <w:name w:val="xl28"/>
    <w:basedOn w:val="1"/>
    <w:qFormat/>
    <w:uiPriority w:val="0"/>
    <w:pPr>
      <w:widowControl/>
      <w:pBdr>
        <w:top w:val="single" w:color="auto" w:sz="4" w:space="0"/>
        <w:left w:val="single" w:color="auto" w:sz="4" w:space="0"/>
        <w:bottom w:val="single" w:color="auto" w:sz="4" w:space="0"/>
        <w:right w:val="single" w:color="auto" w:sz="8" w:space="0"/>
      </w:pBdr>
      <w:shd w:val="clear" w:color="auto" w:fill="C0C0C0"/>
      <w:spacing w:before="100" w:beforeAutospacing="1" w:after="100" w:afterAutospacing="1"/>
    </w:pPr>
    <w:rPr>
      <w:rFonts w:ascii="Arial Unicode MS" w:hAnsi="Arial Unicode MS" w:eastAsia="Arial Unicode MS"/>
      <w:kern w:val="0"/>
      <w:sz w:val="24"/>
    </w:rPr>
  </w:style>
  <w:style w:type="paragraph" w:customStyle="1" w:styleId="571">
    <w:name w:val="xl51"/>
    <w:basedOn w:val="1"/>
    <w:qFormat/>
    <w:uiPriority w:val="0"/>
    <w:pPr>
      <w:widowControl/>
      <w:pBdr>
        <w:bottom w:val="single" w:color="auto" w:sz="4" w:space="0"/>
        <w:right w:val="single" w:color="auto" w:sz="4" w:space="0"/>
      </w:pBdr>
      <w:spacing w:before="100" w:beforeAutospacing="1" w:after="100" w:afterAutospacing="1"/>
      <w:textAlignment w:val="center"/>
    </w:pPr>
    <w:rPr>
      <w:rFonts w:ascii="Arial" w:hAnsi="Arial" w:eastAsia="Arial Unicode MS"/>
      <w:color w:val="000000"/>
      <w:kern w:val="0"/>
      <w:sz w:val="21"/>
    </w:rPr>
  </w:style>
  <w:style w:type="paragraph" w:customStyle="1" w:styleId="572">
    <w:name w:val="附录表标题"/>
    <w:next w:val="360"/>
    <w:qFormat/>
    <w:uiPriority w:val="0"/>
    <w:pPr>
      <w:tabs>
        <w:tab w:val="left" w:pos="360"/>
        <w:tab w:val="left" w:pos="720"/>
      </w:tabs>
      <w:jc w:val="center"/>
      <w:textAlignment w:val="baseline"/>
    </w:pPr>
    <w:rPr>
      <w:rFonts w:ascii="黑体" w:hAnsi="Calibri" w:eastAsia="黑体" w:cs="Times New Roman"/>
      <w:kern w:val="21"/>
      <w:lang w:val="en-US" w:eastAsia="zh-CN" w:bidi="ar-SA"/>
    </w:rPr>
  </w:style>
  <w:style w:type="paragraph" w:customStyle="1" w:styleId="573">
    <w:name w:val="_Style 32"/>
    <w:basedOn w:val="1"/>
    <w:next w:val="441"/>
    <w:qFormat/>
    <w:uiPriority w:val="34"/>
    <w:pPr>
      <w:ind w:firstLine="420" w:firstLineChars="200"/>
    </w:pPr>
  </w:style>
  <w:style w:type="paragraph" w:customStyle="1" w:styleId="574">
    <w:name w:val="日期1"/>
    <w:basedOn w:val="1"/>
    <w:next w:val="1"/>
    <w:qFormat/>
    <w:uiPriority w:val="0"/>
    <w:pPr>
      <w:ind w:left="100" w:leftChars="2500"/>
    </w:pPr>
    <w:rPr>
      <w:kern w:val="0"/>
      <w:sz w:val="20"/>
    </w:rPr>
  </w:style>
  <w:style w:type="paragraph" w:customStyle="1" w:styleId="575">
    <w:name w:val="xl572"/>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left"/>
    </w:pPr>
    <w:rPr>
      <w:rFonts w:ascii="宋体" w:hAnsi="宋体"/>
      <w:color w:val="FF0000"/>
      <w:kern w:val="0"/>
      <w:sz w:val="20"/>
    </w:rPr>
  </w:style>
  <w:style w:type="paragraph" w:customStyle="1" w:styleId="576">
    <w:name w:val="af17cgridlangnp1033langf"/>
    <w:qFormat/>
    <w:uiPriority w:val="0"/>
    <w:pPr>
      <w:widowControl w:val="0"/>
      <w:autoSpaceDE w:val="0"/>
      <w:autoSpaceDN w:val="0"/>
      <w:adjustRightInd w:val="0"/>
      <w:spacing w:before="156" w:line="360" w:lineRule="atLeast"/>
      <w:ind w:left="567" w:firstLine="510"/>
      <w:jc w:val="both"/>
    </w:pPr>
    <w:rPr>
      <w:rFonts w:ascii="Calibri" w:hAnsi="Calibri" w:eastAsia="宋体" w:cs="Times New Roman"/>
      <w:lang w:val="en-US" w:eastAsia="zh-CN" w:bidi="ar-SA"/>
    </w:rPr>
  </w:style>
  <w:style w:type="paragraph" w:customStyle="1" w:styleId="577">
    <w:name w:val="font6"/>
    <w:basedOn w:val="1"/>
    <w:qFormat/>
    <w:uiPriority w:val="0"/>
    <w:pPr>
      <w:widowControl/>
      <w:spacing w:before="100" w:beforeAutospacing="1" w:after="100" w:afterAutospacing="1"/>
    </w:pPr>
    <w:rPr>
      <w:rFonts w:hint="eastAsia" w:ascii="宋体" w:hAnsi="宋体"/>
      <w:b/>
      <w:kern w:val="0"/>
      <w:sz w:val="36"/>
      <w:u w:val="single"/>
    </w:rPr>
  </w:style>
  <w:style w:type="paragraph" w:customStyle="1" w:styleId="578">
    <w:name w:val="列项——（一级）"/>
    <w:qFormat/>
    <w:uiPriority w:val="0"/>
    <w:pPr>
      <w:widowControl w:val="0"/>
      <w:tabs>
        <w:tab w:val="left" w:pos="720"/>
        <w:tab w:val="left" w:pos="854"/>
      </w:tabs>
      <w:ind w:left="200" w:leftChars="200" w:hanging="200" w:hangingChars="200"/>
      <w:jc w:val="both"/>
    </w:pPr>
    <w:rPr>
      <w:rFonts w:ascii="宋体" w:hAnsi="Calibri" w:eastAsia="宋体" w:cs="Times New Roman"/>
      <w:lang w:val="en-US" w:eastAsia="zh-CN" w:bidi="ar-SA"/>
    </w:rPr>
  </w:style>
  <w:style w:type="paragraph" w:customStyle="1" w:styleId="579">
    <w:name w:val="19"/>
    <w:basedOn w:val="1"/>
    <w:qFormat/>
    <w:uiPriority w:val="0"/>
    <w:pPr>
      <w:widowControl/>
      <w:snapToGrid w:val="0"/>
      <w:spacing w:before="100" w:beforeAutospacing="1" w:after="120" w:line="360" w:lineRule="atLeast"/>
      <w:jc w:val="left"/>
    </w:pPr>
    <w:rPr>
      <w:rFonts w:ascii="宋体" w:hAnsi="宋体"/>
      <w:kern w:val="0"/>
    </w:rPr>
  </w:style>
  <w:style w:type="paragraph" w:customStyle="1" w:styleId="580">
    <w:name w:val="附录五级条标题"/>
    <w:basedOn w:val="412"/>
    <w:next w:val="360"/>
    <w:qFormat/>
    <w:uiPriority w:val="0"/>
    <w:pPr>
      <w:outlineLvl w:val="6"/>
    </w:pPr>
  </w:style>
  <w:style w:type="paragraph" w:customStyle="1" w:styleId="581">
    <w:name w:val="彩色底纹 - 强调文字颜色 11"/>
    <w:qFormat/>
    <w:uiPriority w:val="0"/>
    <w:rPr>
      <w:rFonts w:ascii="Calibri" w:hAnsi="Calibri" w:eastAsia="宋体" w:cs="Times New Roman"/>
      <w:kern w:val="2"/>
      <w:sz w:val="21"/>
      <w:lang w:val="en-US" w:eastAsia="zh-CN" w:bidi="ar-SA"/>
    </w:rPr>
  </w:style>
  <w:style w:type="paragraph" w:customStyle="1" w:styleId="582">
    <w:name w:val="xl559"/>
    <w:basedOn w:val="1"/>
    <w:qFormat/>
    <w:uiPriority w:val="0"/>
    <w:pPr>
      <w:widowControl/>
      <w:spacing w:before="100" w:beforeAutospacing="1" w:after="100" w:afterAutospacing="1"/>
      <w:jc w:val="center"/>
    </w:pPr>
    <w:rPr>
      <w:rFonts w:ascii="宋体" w:hAnsi="宋体"/>
      <w:color w:val="000000"/>
      <w:kern w:val="0"/>
      <w:sz w:val="20"/>
    </w:rPr>
  </w:style>
  <w:style w:type="paragraph" w:customStyle="1" w:styleId="583">
    <w:name w:val="正文内"/>
    <w:basedOn w:val="1"/>
    <w:qFormat/>
    <w:uiPriority w:val="0"/>
    <w:pPr>
      <w:spacing w:line="400" w:lineRule="exact"/>
      <w:ind w:firstLine="200" w:firstLineChars="200"/>
    </w:pPr>
    <w:rPr>
      <w:rFonts w:ascii="宋体" w:hAnsi="宋体"/>
      <w:sz w:val="21"/>
    </w:rPr>
  </w:style>
  <w:style w:type="paragraph" w:customStyle="1" w:styleId="584">
    <w:name w:val="表"/>
    <w:basedOn w:val="1"/>
    <w:qFormat/>
    <w:uiPriority w:val="0"/>
    <w:pPr>
      <w:spacing w:line="360" w:lineRule="auto"/>
      <w:jc w:val="center"/>
    </w:pPr>
    <w:rPr>
      <w:color w:val="000000"/>
      <w:sz w:val="21"/>
    </w:rPr>
  </w:style>
  <w:style w:type="paragraph" w:customStyle="1" w:styleId="585">
    <w:name w:val="附录标识"/>
    <w:basedOn w:val="449"/>
    <w:qFormat/>
    <w:uiPriority w:val="0"/>
    <w:pPr>
      <w:tabs>
        <w:tab w:val="left" w:pos="720"/>
        <w:tab w:val="left" w:pos="6405"/>
      </w:tabs>
      <w:spacing w:after="200"/>
      <w:ind w:left="360" w:hanging="360"/>
    </w:pPr>
    <w:rPr>
      <w:sz w:val="21"/>
    </w:rPr>
  </w:style>
  <w:style w:type="paragraph" w:customStyle="1" w:styleId="586">
    <w:name w:val="正文 A"/>
    <w:qFormat/>
    <w:uiPriority w:val="0"/>
    <w:rPr>
      <w:rFonts w:ascii="Calibri" w:hAnsi="Calibri" w:eastAsia="ヒラギノ角ゴ Pro W3" w:cs="Times New Roman"/>
      <w:color w:val="000000"/>
      <w:sz w:val="24"/>
      <w:lang w:val="en-US" w:eastAsia="zh-CN" w:bidi="ar-SA"/>
    </w:rPr>
  </w:style>
  <w:style w:type="paragraph" w:customStyle="1" w:styleId="587">
    <w:name w:val="标题C"/>
    <w:qFormat/>
    <w:uiPriority w:val="0"/>
    <w:pPr>
      <w:tabs>
        <w:tab w:val="left" w:pos="0"/>
      </w:tabs>
      <w:adjustRightInd w:val="0"/>
      <w:snapToGrid w:val="0"/>
      <w:spacing w:before="300"/>
      <w:outlineLvl w:val="2"/>
    </w:pPr>
    <w:rPr>
      <w:rFonts w:ascii="Calibri" w:hAnsi="Calibri" w:eastAsia="宋体" w:cs="Times New Roman"/>
      <w:b/>
      <w:snapToGrid w:val="0"/>
      <w:sz w:val="28"/>
      <w:lang w:val="en-US" w:eastAsia="zh-CN" w:bidi="ar-SA"/>
    </w:rPr>
  </w:style>
  <w:style w:type="paragraph" w:customStyle="1" w:styleId="588">
    <w:name w:val="其他标准称谓"/>
    <w:qFormat/>
    <w:uiPriority w:val="0"/>
    <w:pPr>
      <w:spacing w:line="0" w:lineRule="atLeast"/>
      <w:jc w:val="distribute"/>
    </w:pPr>
    <w:rPr>
      <w:rFonts w:ascii="黑体" w:hAnsi="宋体" w:eastAsia="黑体" w:cs="Times New Roman"/>
      <w:sz w:val="52"/>
      <w:lang w:val="en-US" w:eastAsia="zh-CN" w:bidi="ar-SA"/>
    </w:rPr>
  </w:style>
  <w:style w:type="paragraph" w:customStyle="1" w:styleId="589">
    <w:name w:val="默认段落字体 Para Char"/>
    <w:basedOn w:val="1"/>
    <w:qFormat/>
    <w:uiPriority w:val="0"/>
    <w:pPr>
      <w:tabs>
        <w:tab w:val="left" w:pos="425"/>
      </w:tabs>
      <w:ind w:left="425" w:hanging="425"/>
    </w:pPr>
    <w:rPr>
      <w:sz w:val="21"/>
    </w:rPr>
  </w:style>
  <w:style w:type="paragraph" w:customStyle="1" w:styleId="590">
    <w:name w:val="封面标准文稿类别"/>
    <w:qFormat/>
    <w:uiPriority w:val="0"/>
    <w:pPr>
      <w:spacing w:before="440" w:line="400" w:lineRule="exact"/>
      <w:jc w:val="center"/>
    </w:pPr>
    <w:rPr>
      <w:rFonts w:ascii="宋体" w:hAnsi="Calibri" w:eastAsia="宋体" w:cs="Times New Roman"/>
      <w:sz w:val="24"/>
      <w:lang w:val="en-US" w:eastAsia="zh-CN" w:bidi="ar-SA"/>
    </w:rPr>
  </w:style>
  <w:style w:type="paragraph" w:customStyle="1" w:styleId="591">
    <w:name w:val="_Style 40"/>
    <w:basedOn w:val="1"/>
    <w:qFormat/>
    <w:uiPriority w:val="0"/>
    <w:rPr>
      <w:sz w:val="21"/>
    </w:rPr>
  </w:style>
  <w:style w:type="paragraph" w:customStyle="1" w:styleId="592">
    <w:name w:val="af15hichaf0dbchf15cgrid"/>
    <w:qFormat/>
    <w:uiPriority w:val="0"/>
    <w:pPr>
      <w:widowControl w:val="0"/>
      <w:tabs>
        <w:tab w:val="center" w:pos="4320"/>
        <w:tab w:val="right" w:pos="8640"/>
      </w:tabs>
      <w:adjustRightInd w:val="0"/>
      <w:spacing w:line="315" w:lineRule="atLeast"/>
      <w:jc w:val="both"/>
      <w:textAlignment w:val="baseline"/>
    </w:pPr>
    <w:rPr>
      <w:rFonts w:ascii="宋体" w:hAnsi="Calibri" w:eastAsia="宋体" w:cs="Times New Roman"/>
      <w:sz w:val="21"/>
      <w:lang w:val="en-US" w:eastAsia="zh-CN" w:bidi="ar-SA"/>
    </w:rPr>
  </w:style>
  <w:style w:type="paragraph" w:customStyle="1" w:styleId="593">
    <w:name w:val="注："/>
    <w:next w:val="360"/>
    <w:qFormat/>
    <w:uiPriority w:val="0"/>
    <w:pPr>
      <w:widowControl w:val="0"/>
      <w:tabs>
        <w:tab w:val="left" w:pos="720"/>
      </w:tabs>
      <w:autoSpaceDE w:val="0"/>
      <w:autoSpaceDN w:val="0"/>
      <w:ind w:left="360" w:hanging="360"/>
      <w:jc w:val="both"/>
    </w:pPr>
    <w:rPr>
      <w:rFonts w:ascii="宋体" w:hAnsi="Calibri" w:eastAsia="宋体" w:cs="Times New Roman"/>
      <w:sz w:val="18"/>
      <w:lang w:val="en-US" w:eastAsia="zh-CN" w:bidi="ar-SA"/>
    </w:rPr>
  </w:style>
  <w:style w:type="paragraph" w:customStyle="1" w:styleId="594">
    <w:name w:val="font7"/>
    <w:basedOn w:val="1"/>
    <w:qFormat/>
    <w:uiPriority w:val="0"/>
    <w:pPr>
      <w:widowControl/>
      <w:spacing w:before="100" w:beforeAutospacing="1" w:after="100" w:afterAutospacing="1"/>
    </w:pPr>
    <w:rPr>
      <w:rFonts w:hint="eastAsia" w:ascii="宋体" w:hAnsi="宋体"/>
      <w:kern w:val="0"/>
      <w:sz w:val="24"/>
    </w:rPr>
  </w:style>
  <w:style w:type="paragraph" w:customStyle="1" w:styleId="595">
    <w:name w:val="彩色列表 - 强调文字颜色 12"/>
    <w:basedOn w:val="1"/>
    <w:qFormat/>
    <w:uiPriority w:val="0"/>
    <w:pPr>
      <w:ind w:firstLine="420" w:firstLineChars="200"/>
    </w:pPr>
    <w:rPr>
      <w:sz w:val="21"/>
    </w:rPr>
  </w:style>
  <w:style w:type="paragraph" w:customStyle="1" w:styleId="596">
    <w:name w:val="xl563"/>
    <w:basedOn w:val="1"/>
    <w:qFormat/>
    <w:uiPriority w:val="0"/>
    <w:pPr>
      <w:widowControl/>
      <w:pBdr>
        <w:top w:val="single" w:color="auto" w:sz="4" w:space="0"/>
        <w:left w:val="single" w:color="auto" w:sz="4" w:space="0"/>
        <w:bottom w:val="single" w:color="auto" w:sz="4" w:space="0"/>
        <w:right w:val="single" w:color="auto" w:sz="4" w:space="0"/>
      </w:pBdr>
      <w:spacing w:before="100" w:beforeAutospacing="1" w:after="100" w:afterAutospacing="1"/>
      <w:jc w:val="center"/>
      <w:textAlignment w:val="bottom"/>
    </w:pPr>
    <w:rPr>
      <w:rFonts w:ascii="方正姚体" w:hAnsi="宋体" w:eastAsia="方正姚体"/>
      <w:kern w:val="0"/>
      <w:sz w:val="20"/>
    </w:rPr>
  </w:style>
  <w:style w:type="paragraph" w:customStyle="1" w:styleId="597">
    <w:name w:val="xl37"/>
    <w:basedOn w:val="1"/>
    <w:qFormat/>
    <w:uiPriority w:val="0"/>
    <w:pPr>
      <w:widowControl/>
      <w:pBdr>
        <w:top w:val="single" w:color="auto" w:sz="4" w:space="0"/>
        <w:bottom w:val="single" w:color="auto" w:sz="8" w:space="0"/>
      </w:pBdr>
      <w:spacing w:before="100" w:beforeAutospacing="1" w:after="100" w:afterAutospacing="1"/>
    </w:pPr>
    <w:rPr>
      <w:rFonts w:ascii="Arial Unicode MS" w:hAnsi="Arial Unicode MS" w:eastAsia="Arial Unicode MS"/>
      <w:b/>
      <w:kern w:val="0"/>
      <w:sz w:val="36"/>
    </w:rPr>
  </w:style>
  <w:style w:type="paragraph" w:customStyle="1" w:styleId="598">
    <w:name w:val="正文样式"/>
    <w:basedOn w:val="1"/>
    <w:qFormat/>
    <w:uiPriority w:val="0"/>
    <w:pPr>
      <w:ind w:firstLine="480" w:firstLineChars="200"/>
    </w:pPr>
    <w:rPr>
      <w:rFonts w:eastAsia="华文仿宋"/>
      <w:szCs w:val="24"/>
    </w:rPr>
  </w:style>
  <w:style w:type="paragraph" w:customStyle="1" w:styleId="599">
    <w:name w:val="标题D"/>
    <w:qFormat/>
    <w:uiPriority w:val="0"/>
    <w:pPr>
      <w:adjustRightInd w:val="0"/>
      <w:snapToGrid w:val="0"/>
      <w:spacing w:before="240" w:line="360" w:lineRule="auto"/>
      <w:outlineLvl w:val="3"/>
    </w:pPr>
    <w:rPr>
      <w:rFonts w:ascii="Calibri" w:hAnsi="Calibri" w:eastAsia="宋体" w:cs="Times New Roman"/>
      <w:b/>
      <w:sz w:val="24"/>
      <w:lang w:val="en-US" w:eastAsia="zh-CN" w:bidi="ar-SA"/>
    </w:rPr>
  </w:style>
  <w:style w:type="paragraph" w:customStyle="1" w:styleId="600">
    <w:name w:val="正文图标题"/>
    <w:next w:val="360"/>
    <w:qFormat/>
    <w:uiPriority w:val="0"/>
    <w:pPr>
      <w:tabs>
        <w:tab w:val="left" w:pos="720"/>
      </w:tabs>
      <w:ind w:left="780" w:hanging="360"/>
      <w:jc w:val="center"/>
    </w:pPr>
    <w:rPr>
      <w:rFonts w:ascii="黑体" w:hAnsi="Calibri" w:eastAsia="黑体" w:cs="Times New Roman"/>
      <w:lang w:val="en-US" w:eastAsia="zh-CN" w:bidi="ar-SA"/>
    </w:rPr>
  </w:style>
  <w:style w:type="paragraph" w:customStyle="1" w:styleId="601">
    <w:name w:val="表格一"/>
    <w:basedOn w:val="1"/>
    <w:qFormat/>
    <w:uiPriority w:val="0"/>
    <w:pPr>
      <w:spacing w:line="240" w:lineRule="exact"/>
      <w:ind w:left="105" w:leftChars="50"/>
    </w:pPr>
    <w:rPr>
      <w:sz w:val="18"/>
    </w:rPr>
  </w:style>
  <w:style w:type="paragraph" w:customStyle="1" w:styleId="602">
    <w:name w:val="[Normal]"/>
    <w:qFormat/>
    <w:uiPriority w:val="0"/>
    <w:rPr>
      <w:rFonts w:ascii="宋体" w:hAnsi="宋体" w:eastAsia="宋体" w:cs="Times New Roman"/>
      <w:sz w:val="24"/>
      <w:szCs w:val="22"/>
      <w:lang w:val="zh-CN" w:eastAsia="zh-CN" w:bidi="ar-SA"/>
    </w:rPr>
  </w:style>
  <w:style w:type="paragraph" w:customStyle="1" w:styleId="603">
    <w:name w:val="moban"/>
    <w:basedOn w:val="1"/>
    <w:qFormat/>
    <w:uiPriority w:val="0"/>
    <w:pPr>
      <w:pBdr>
        <w:bottom w:val="single" w:color="auto" w:sz="4" w:space="5"/>
      </w:pBdr>
      <w:spacing w:line="360" w:lineRule="auto"/>
    </w:pPr>
  </w:style>
  <w:style w:type="character" w:customStyle="1" w:styleId="604">
    <w:name w:val="large1"/>
    <w:qFormat/>
    <w:uiPriority w:val="0"/>
    <w:rPr>
      <w:rFonts w:hint="eastAsia" w:ascii="宋体" w:hAnsi="宋体" w:eastAsia="宋体"/>
      <w:sz w:val="21"/>
      <w:szCs w:val="21"/>
    </w:rPr>
  </w:style>
  <w:style w:type="paragraph" w:customStyle="1" w:styleId="605">
    <w:name w:val="正文缩进2格"/>
    <w:qFormat/>
    <w:uiPriority w:val="99"/>
    <w:pPr>
      <w:widowControl w:val="0"/>
      <w:pBdr>
        <w:top w:val="none" w:color="FFFFFF" w:sz="0" w:space="31"/>
        <w:left w:val="none" w:color="FFFFFF" w:sz="0" w:space="31"/>
        <w:bottom w:val="none" w:color="FFFFFF" w:sz="0" w:space="31"/>
        <w:right w:val="none" w:color="FFFFFF" w:sz="0" w:space="31"/>
      </w:pBdr>
      <w:spacing w:line="600" w:lineRule="exact"/>
      <w:ind w:firstLine="639"/>
      <w:jc w:val="both"/>
    </w:pPr>
    <w:rPr>
      <w:rFonts w:ascii="??_GB2312" w:hAnsi="??_GB2312" w:eastAsia="宋体" w:cs="??_GB2312"/>
      <w:color w:val="000000"/>
      <w:kern w:val="2"/>
      <w:sz w:val="31"/>
      <w:szCs w:val="31"/>
      <w:u w:color="000000"/>
      <w:lang w:val="en-US" w:eastAsia="zh-CN" w:bidi="ar-SA"/>
    </w:rPr>
  </w:style>
  <w:style w:type="paragraph" w:customStyle="1" w:styleId="606">
    <w:name w:val="Table Paragraph"/>
    <w:basedOn w:val="1"/>
    <w:qFormat/>
    <w:uiPriority w:val="1"/>
    <w:rPr>
      <w:rFonts w:ascii="宋体" w:hAnsi="宋体" w:cs="宋体"/>
      <w:lang w:val="zh-CN" w:bidi="zh-CN"/>
    </w:rPr>
  </w:style>
  <w:style w:type="character" w:customStyle="1" w:styleId="607">
    <w:name w:val="Hyperlink.3"/>
    <w:basedOn w:val="608"/>
    <w:qFormat/>
    <w:uiPriority w:val="99"/>
    <w:rPr>
      <w:rFonts w:ascii="宋体" w:hAnsi="宋体" w:eastAsia="宋体" w:cs="宋体"/>
      <w:lang w:val="en-US"/>
    </w:rPr>
  </w:style>
  <w:style w:type="character" w:customStyle="1" w:styleId="608">
    <w:name w:val="无"/>
    <w:qFormat/>
    <w:uiPriority w:val="99"/>
  </w:style>
  <w:style w:type="paragraph" w:customStyle="1" w:styleId="609">
    <w:name w:val="正文_17"/>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610">
    <w:name w:val="标题3"/>
    <w:basedOn w:val="7"/>
    <w:qFormat/>
    <w:uiPriority w:val="0"/>
    <w:pPr>
      <w:numPr>
        <w:ilvl w:val="2"/>
        <w:numId w:val="1"/>
      </w:numPr>
      <w:adjustRightInd w:val="0"/>
      <w:snapToGrid w:val="0"/>
      <w:spacing w:before="200" w:after="200"/>
    </w:pPr>
    <w:rPr>
      <w:rFonts w:ascii="Times New Roman" w:hAnsi="Times New Roman"/>
      <w:snapToGrid w:val="0"/>
      <w:sz w:val="30"/>
    </w:rPr>
  </w:style>
  <w:style w:type="paragraph" w:customStyle="1" w:styleId="611">
    <w:name w:val="国普正文"/>
    <w:basedOn w:val="1"/>
    <w:qFormat/>
    <w:uiPriority w:val="0"/>
    <w:pPr>
      <w:spacing w:line="360" w:lineRule="auto"/>
      <w:ind w:firstLine="600" w:firstLineChars="200"/>
    </w:pPr>
    <w:rPr>
      <w:rFonts w:ascii="仿宋_GB2312" w:eastAsia="仿宋_GB2312"/>
      <w:sz w:val="30"/>
      <w:szCs w:val="30"/>
    </w:rPr>
  </w:style>
  <w:style w:type="paragraph" w:customStyle="1" w:styleId="612">
    <w:name w:val="Body text|1"/>
    <w:basedOn w:val="1"/>
    <w:qFormat/>
    <w:uiPriority w:val="0"/>
    <w:pPr>
      <w:spacing w:line="401" w:lineRule="auto"/>
      <w:ind w:firstLine="400"/>
    </w:pPr>
    <w:rPr>
      <w:rFonts w:ascii="宋体" w:hAnsi="宋体" w:cs="宋体"/>
      <w:sz w:val="30"/>
      <w:szCs w:val="30"/>
      <w:lang w:val="zh-TW" w:eastAsia="zh-TW" w:bidi="zh-TW"/>
    </w:rPr>
  </w:style>
  <w:style w:type="paragraph" w:customStyle="1" w:styleId="613">
    <w:name w:val="默认"/>
    <w:qFormat/>
    <w:uiPriority w:val="0"/>
    <w:rPr>
      <w:rFonts w:ascii="Arial Unicode MS" w:hAnsi="Arial Unicode MS" w:eastAsia="Arial Unicode MS" w:cs="Arial Unicode MS"/>
      <w:color w:val="000000"/>
      <w:sz w:val="22"/>
      <w:szCs w:val="22"/>
      <w:lang w:val="zh-TW" w:eastAsia="zh-TW" w:bidi="ar-SA"/>
    </w:rPr>
  </w:style>
  <w:style w:type="paragraph" w:customStyle="1" w:styleId="614">
    <w:name w:val="样式 10 磅"/>
    <w:qFormat/>
    <w:uiPriority w:val="0"/>
    <w:pPr>
      <w:widowControl w:val="0"/>
      <w:jc w:val="both"/>
    </w:pPr>
    <w:rPr>
      <w:rFonts w:ascii="Calibri" w:hAnsi="Calibri" w:eastAsia="宋体" w:cs="Times New Roman"/>
      <w:kern w:val="2"/>
      <w:sz w:val="21"/>
      <w:szCs w:val="24"/>
      <w:lang w:val="en-US" w:eastAsia="zh-CN" w:bidi="ar-SA"/>
    </w:rPr>
  </w:style>
  <w:style w:type="paragraph" w:customStyle="1" w:styleId="615">
    <w:name w:val="_Style 1"/>
    <w:qFormat/>
    <w:uiPriority w:val="0"/>
    <w:rPr>
      <w:rFonts w:ascii="Calibri" w:hAnsi="Calibri" w:eastAsia="宋体" w:cs="Times New Roman"/>
      <w:kern w:val="2"/>
      <w:sz w:val="28"/>
      <w:szCs w:val="22"/>
      <w:lang w:val="en-US" w:eastAsia="zh-CN" w:bidi="ar-SA"/>
    </w:rPr>
  </w:style>
  <w:style w:type="paragraph" w:customStyle="1" w:styleId="616">
    <w:name w:val="xl53"/>
    <w:basedOn w:val="1"/>
    <w:next w:val="1"/>
    <w:qFormat/>
    <w:uiPriority w:val="0"/>
    <w:pPr>
      <w:widowControl/>
      <w:pBdr>
        <w:top w:val="single" w:color="auto" w:sz="4" w:space="0"/>
        <w:left w:val="single" w:color="auto" w:sz="8" w:space="0"/>
        <w:bottom w:val="single" w:color="auto" w:sz="8" w:space="0"/>
        <w:right w:val="single" w:color="auto" w:sz="4" w:space="0"/>
      </w:pBdr>
      <w:spacing w:before="100" w:beforeAutospacing="1" w:after="100" w:afterAutospacing="1" w:line="100" w:lineRule="exact"/>
      <w:jc w:val="center"/>
    </w:pPr>
    <w:rPr>
      <w:rFonts w:ascii="宋体" w:hAnsi="宋体"/>
      <w:b/>
      <w:bCs/>
      <w:kern w:val="0"/>
      <w:sz w:val="20"/>
    </w:rPr>
  </w:style>
  <w:style w:type="paragraph" w:customStyle="1" w:styleId="617">
    <w:name w:val="列表段落1"/>
    <w:basedOn w:val="1"/>
    <w:qFormat/>
    <w:uiPriority w:val="34"/>
    <w:pPr>
      <w:ind w:firstLine="420"/>
    </w:pPr>
    <w:rPr>
      <w:rFonts w:ascii="Times New Roman" w:hAnsi="Times New Roman"/>
    </w:rPr>
  </w:style>
  <w:style w:type="paragraph" w:customStyle="1" w:styleId="618">
    <w:name w:val="列表段落111"/>
    <w:basedOn w:val="1"/>
    <w:qFormat/>
    <w:uiPriority w:val="34"/>
    <w:pPr>
      <w:ind w:firstLine="420"/>
    </w:pPr>
    <w:rPr>
      <w:rFonts w:ascii="Times New Roman" w:hAnsi="Times New Roman"/>
    </w:rPr>
  </w:style>
  <w:style w:type="paragraph" w:customStyle="1" w:styleId="619">
    <w:name w:val="列表段落11"/>
    <w:basedOn w:val="1"/>
    <w:qFormat/>
    <w:uiPriority w:val="34"/>
    <w:pPr>
      <w:ind w:firstLine="420"/>
    </w:pPr>
    <w:rPr>
      <w:rFonts w:ascii="Times New Roman" w:hAnsi="Times New Roman"/>
    </w:rPr>
  </w:style>
  <w:style w:type="character" w:customStyle="1" w:styleId="620">
    <w:name w:val="fontstyle01"/>
    <w:basedOn w:val="88"/>
    <w:qFormat/>
    <w:uiPriority w:val="0"/>
    <w:rPr>
      <w:rFonts w:hint="eastAsia" w:ascii="宋体" w:hAnsi="宋体" w:eastAsia="宋体"/>
      <w:color w:val="000000"/>
      <w:sz w:val="22"/>
      <w:szCs w:val="22"/>
    </w:rPr>
  </w:style>
  <w:style w:type="paragraph" w:customStyle="1" w:styleId="621">
    <w:name w:val="List Paragraph"/>
    <w:basedOn w:val="1"/>
    <w:qFormat/>
    <w:uiPriority w:val="0"/>
    <w:pPr>
      <w:ind w:firstLine="420" w:firstLineChars="200"/>
    </w:pPr>
    <w:rPr>
      <w:szCs w:val="24"/>
    </w:rPr>
  </w:style>
  <w:style w:type="paragraph" w:customStyle="1" w:styleId="622">
    <w:name w:val="toc 11"/>
    <w:next w:val="1"/>
    <w:qFormat/>
    <w:uiPriority w:val="0"/>
    <w:pPr>
      <w:wordWrap w:val="0"/>
      <w:jc w:val="both"/>
    </w:pPr>
    <w:rPr>
      <w:rFonts w:ascii="Times New Roman" w:hAnsi="Times New Roman" w:eastAsia="宋体" w:cs="Times New Roman"/>
      <w:sz w:val="21"/>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header" Target="header3.xml"/><Relationship Id="rId7" Type="http://schemas.openxmlformats.org/officeDocument/2006/relationships/footer" Target="footer3.xml"/><Relationship Id="rId6" Type="http://schemas.openxmlformats.org/officeDocument/2006/relationships/footer" Target="footer2.xml"/><Relationship Id="rId5" Type="http://schemas.openxmlformats.org/officeDocument/2006/relationships/footer" Target="footer1.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6" Type="http://schemas.openxmlformats.org/officeDocument/2006/relationships/fontTable" Target="fontTable.xml"/><Relationship Id="rId15" Type="http://schemas.openxmlformats.org/officeDocument/2006/relationships/customXml" Target="../customXml/item2.xml"/><Relationship Id="rId14" Type="http://schemas.openxmlformats.org/officeDocument/2006/relationships/numbering" Target="numbering.xml"/><Relationship Id="rId13" Type="http://schemas.openxmlformats.org/officeDocument/2006/relationships/customXml" Target="../customXml/item1.xml"/><Relationship Id="rId12" Type="http://schemas.openxmlformats.org/officeDocument/2006/relationships/theme" Target="theme/theme1.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B8C16B34-28DB-4D1E-9906-8BD5974CAE57}">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59</Pages>
  <Words>35471</Words>
  <Characters>36891</Characters>
  <Lines>294</Lines>
  <Paragraphs>82</Paragraphs>
  <ScaleCrop>false</ScaleCrop>
  <LinksUpToDate>false</LinksUpToDate>
  <CharactersWithSpaces>38488</CharactersWithSpaces>
  <Application>WPS Office_10.8.0.6370_F1E327BC-269C-435d-A152-05C5408002CA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2020-07-14T03:29:00Z</dcterms:created>
  <dc:creator>yht</dc:creator>
  <cp:lastModifiedBy>吕盎香</cp:lastModifiedBy>
  <cp:lastPrinted>2024-06-03T02:36:00Z</cp:lastPrinted>
  <dcterms:modified xsi:type="dcterms:W3CDTF">2025-04-03T07:08:49Z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2052-10.8.0.6370</vt:lpwstr>
  </property>
  <property fmtid="{D5CDD505-2E9C-101B-9397-08002B2CF9AE}" pid="3" name="ICV">
    <vt:lpwstr>ABD2F0A1708C45D3B83DD6885DC73026</vt:lpwstr>
  </property>
  <property fmtid="{D5CDD505-2E9C-101B-9397-08002B2CF9AE}" pid="4" name="commondata">
    <vt:lpwstr>eyJoZGlkIjoiNmRkMjM0YzBkMTQyODhiY2M3ZWU5ZTE4NTFhMDAxMGUifQ==</vt:lpwstr>
  </property>
  <property fmtid="{D5CDD505-2E9C-101B-9397-08002B2CF9AE}" pid="5" name="KSOTemplateDocerSaveRecord">
    <vt:lpwstr>eyJoZGlkIjoiMjFiY2U5MmFkMzQxYzE1ZWUwNjFiMDFjOWFjOTZkYzEiLCJ1c2VySWQiOiIzOTY3OTQ2OTcifQ==</vt:lpwstr>
  </property>
</Properties>
</file>