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hAnsi="宋体" w:cs="宋体"/>
          <w:b/>
          <w:color w:val="auto"/>
          <w:kern w:val="2"/>
          <w:sz w:val="48"/>
          <w:szCs w:val="48"/>
          <w:highlight w:val="none"/>
          <w:lang w:val="en-US" w:eastAsia="zh-CN" w:bidi="ar-SA"/>
        </w:rPr>
      </w:pPr>
      <w:bookmarkStart w:id="0" w:name="OLE_LINK2"/>
      <w:r>
        <w:rPr>
          <w:rFonts w:hint="eastAsia" w:hAnsi="宋体" w:cs="宋体"/>
          <w:b/>
          <w:color w:val="auto"/>
          <w:kern w:val="2"/>
          <w:sz w:val="48"/>
          <w:szCs w:val="48"/>
          <w:highlight w:val="none"/>
          <w:lang w:val="en-US" w:eastAsia="zh-CN" w:bidi="ar-SA"/>
        </w:rPr>
        <w:t>衢州机场设备更新改造提升项目除冰车采购</w:t>
      </w:r>
    </w:p>
    <w:bookmarkEnd w:id="0"/>
    <w:p>
      <w:pPr>
        <w:pStyle w:val="2"/>
        <w:rPr>
          <w:rFonts w:hint="eastAsia"/>
          <w:color w:val="auto"/>
          <w:highlight w:val="none"/>
          <w:lang w:val="en-US" w:eastAsia="zh-CN"/>
        </w:rPr>
      </w:pPr>
    </w:p>
    <w:p>
      <w:pPr>
        <w:pStyle w:val="2"/>
        <w:rPr>
          <w:rFonts w:hint="eastAsia"/>
          <w:color w:val="auto"/>
          <w:sz w:val="48"/>
          <w:szCs w:val="48"/>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60"/>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left="0" w:leftChars="0" w:firstLine="1402" w:firstLineChars="388"/>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u w:val="single"/>
          <w:lang w:eastAsia="zh-CN"/>
        </w:rPr>
        <w:t>ZZCG2024107</w:t>
      </w:r>
    </w:p>
    <w:p>
      <w:pPr>
        <w:kinsoku/>
        <w:overflowPunct/>
        <w:bidi w:val="0"/>
        <w:spacing w:beforeLines="10" w:line="360" w:lineRule="auto"/>
        <w:ind w:left="3274" w:leftChars="512" w:hanging="1840" w:hangingChars="509"/>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衢州机场设备更新改造提升项目除冰车采购</w:t>
      </w:r>
    </w:p>
    <w:p>
      <w:pPr>
        <w:widowControl/>
        <w:kinsoku/>
        <w:overflowPunct/>
        <w:bidi w:val="0"/>
        <w:spacing w:line="360" w:lineRule="auto"/>
        <w:ind w:left="0" w:leftChars="0" w:right="-2" w:firstLine="1402" w:firstLineChars="388"/>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6"/>
        <w:kinsoku/>
        <w:overflowPunct/>
        <w:bidi w:val="0"/>
        <w:spacing w:line="360" w:lineRule="auto"/>
        <w:ind w:left="0" w:leftChars="0" w:firstLine="818" w:firstLineChars="388"/>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pPr>
        <w:pStyle w:val="60"/>
        <w:kinsoku/>
        <w:overflowPunct/>
        <w:bidi w:val="0"/>
        <w:spacing w:after="0" w:line="360" w:lineRule="auto"/>
        <w:ind w:left="0" w:leftChars="0" w:firstLine="814" w:firstLineChars="388"/>
        <w:rPr>
          <w:rFonts w:hint="eastAsia" w:ascii="宋体" w:hAnsi="宋体" w:eastAsia="宋体" w:cs="宋体"/>
          <w:color w:val="auto"/>
          <w:highlight w:val="none"/>
        </w:rPr>
      </w:pPr>
    </w:p>
    <w:p>
      <w:pPr>
        <w:pStyle w:val="3"/>
        <w:kinsoku/>
        <w:overflowPunct/>
        <w:bidi w:val="0"/>
        <w:spacing w:after="0" w:line="360" w:lineRule="auto"/>
        <w:ind w:left="0" w:leftChars="0" w:firstLine="814" w:firstLineChars="388"/>
        <w:rPr>
          <w:rFonts w:hint="eastAsia" w:ascii="宋体" w:hAnsi="宋体" w:eastAsia="宋体" w:cs="宋体"/>
          <w:color w:val="auto"/>
          <w:highlight w:val="none"/>
        </w:rPr>
      </w:pPr>
    </w:p>
    <w:p>
      <w:pPr>
        <w:pStyle w:val="3"/>
        <w:kinsoku/>
        <w:overflowPunct/>
        <w:bidi w:val="0"/>
        <w:spacing w:after="0" w:line="360" w:lineRule="auto"/>
        <w:ind w:left="0" w:leftChars="0" w:firstLine="814" w:firstLineChars="388"/>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衢州市民用航空管理局（衢州民航站）</w:t>
      </w:r>
    </w:p>
    <w:p>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4"/>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3</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4"/>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63"/>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pPr>
        <w:pStyle w:val="63"/>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48"/>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1" w:name="_Toc32624"/>
      <w:r>
        <w:rPr>
          <w:rFonts w:hint="eastAsia" w:ascii="宋体" w:hAnsi="宋体" w:eastAsia="宋体" w:cs="宋体"/>
          <w:b/>
          <w:color w:val="auto"/>
          <w:sz w:val="36"/>
          <w:highlight w:val="none"/>
        </w:rPr>
        <w:t xml:space="preserve"> 第一部分  招标公告</w:t>
      </w:r>
      <w:bookmarkEnd w:id="1"/>
      <w:bookmarkStart w:id="2" w:name="_Toc225840107"/>
    </w:p>
    <w:tbl>
      <w:tblPr>
        <w:tblStyle w:val="9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42" w:type="dxa"/>
          </w:tcPr>
          <w:p>
            <w:pPr>
              <w:pStyle w:val="84"/>
              <w:keepNext w:val="0"/>
              <w:keepLines w:val="0"/>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4"/>
              <w:keepNext w:val="0"/>
              <w:keepLines w:val="0"/>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衢州机场设备更新改造提升项目除冰车采购</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项目基本情况</w:t>
      </w:r>
    </w:p>
    <w:p>
      <w:pPr>
        <w:pStyle w:val="60"/>
        <w:keepNext w:val="0"/>
        <w:keepLines w:val="0"/>
        <w:pageBreakBefore w:val="0"/>
        <w:numPr>
          <w:ilvl w:val="0"/>
          <w:numId w:val="0"/>
        </w:numPr>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ZZCG2024107</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衢州机场设备更新改造提升项目除冰车采购</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1800000</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1800000</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衢州机场设备更新改造提升项目除冰车采购</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snapToGrid w:val="0"/>
        <w:spacing w:line="360" w:lineRule="auto"/>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1800000 </w:t>
      </w:r>
    </w:p>
    <w:p>
      <w:pPr>
        <w:snapToGrid w:val="0"/>
        <w:spacing w:line="360" w:lineRule="auto"/>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w:t>
      </w:r>
      <w:r>
        <w:rPr>
          <w:rFonts w:hint="eastAsia" w:ascii="宋体" w:hAnsi="宋体" w:cs="宋体"/>
          <w:color w:val="auto"/>
          <w:sz w:val="24"/>
          <w:szCs w:val="24"/>
          <w:highlight w:val="none"/>
          <w:lang w:eastAsia="zh-CN"/>
        </w:rPr>
        <w:t>衢州机场设备更新采购除冰车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具体详见第三部分采购需求</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合同履约期</w:t>
      </w:r>
      <w:r>
        <w:rPr>
          <w:rFonts w:hint="eastAsia" w:ascii="宋体" w:hAnsi="宋体" w:eastAsia="宋体" w:cs="宋体"/>
          <w:color w:val="auto"/>
          <w:sz w:val="24"/>
          <w:szCs w:val="24"/>
          <w:highlight w:val="none"/>
          <w:lang w:eastAsia="zh-CN"/>
        </w:rPr>
        <w:t>限：</w:t>
      </w:r>
      <w:r>
        <w:rPr>
          <w:rFonts w:hint="eastAsia" w:ascii="宋体" w:hAnsi="宋体" w:eastAsia="宋体" w:cs="宋体"/>
          <w:color w:val="auto"/>
          <w:sz w:val="24"/>
          <w:szCs w:val="24"/>
          <w:highlight w:val="none"/>
          <w:lang w:val="en-US" w:eastAsia="zh-CN"/>
        </w:rPr>
        <w:t>合同签订后3个月内完成供货及安装、调试，并由中标人提交验收申请，采购人组织验收，验收通过则视为验收合格。本项目要求提供整车质保期质保2年，动力电池5年质保，驱动电机及控制器5年质保。自验收合格并正式移交招标人之日开始计算。服务期满无质量、服务问题视为履约完成。</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bookmarkStart w:id="3" w:name="OLE_LINK3"/>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bookmarkEnd w:id="3"/>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）非联合体投标。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时间：/至2025年3月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w:t>
      </w:r>
      <w:bookmarkStart w:id="4" w:name="OLE_LINK4"/>
      <w:r>
        <w:rPr>
          <w:rFonts w:hint="eastAsia" w:ascii="宋体" w:hAnsi="宋体" w:eastAsia="宋体" w:cs="宋体"/>
          <w:color w:val="auto"/>
          <w:sz w:val="24"/>
          <w:szCs w:val="24"/>
          <w:highlight w:val="none"/>
        </w:rPr>
        <w:t xml:space="preserve">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bookmarkEnd w:id="4"/>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提交投标文件截止时间：2025年3月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:30（北京时间）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bookmarkStart w:id="5" w:name="OLE_LINK5"/>
      <w:r>
        <w:rPr>
          <w:rFonts w:hint="eastAsia" w:ascii="宋体" w:hAnsi="宋体" w:eastAsia="宋体" w:cs="宋体"/>
          <w:color w:val="auto"/>
          <w:sz w:val="24"/>
          <w:szCs w:val="24"/>
          <w:highlight w:val="none"/>
        </w:rPr>
        <w:t>政采云平台（http://zfcg.czt.zj.gov.cn）</w:t>
      </w:r>
      <w:bookmarkEnd w:id="5"/>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开标时间：2025年3月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:30（北京时间）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cs="宋体"/>
          <w:color w:val="auto"/>
          <w:sz w:val="24"/>
          <w:szCs w:val="24"/>
          <w:highlight w:val="none"/>
          <w:lang w:eastAsia="zh-CN"/>
        </w:rPr>
        <w:t>五</w:t>
      </w:r>
      <w:r>
        <w:rPr>
          <w:rStyle w:val="89"/>
          <w:rFonts w:hint="eastAsia" w:ascii="宋体" w:hAnsi="宋体" w:eastAsia="宋体" w:cs="宋体"/>
          <w:color w:val="auto"/>
          <w:sz w:val="24"/>
          <w:szCs w:val="24"/>
          <w:highlight w:val="none"/>
          <w:lang w:eastAsia="zh-CN"/>
        </w:rPr>
        <w:t>、</w:t>
      </w:r>
      <w:r>
        <w:rPr>
          <w:rStyle w:val="89"/>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360" w:lineRule="auto"/>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cs="宋体"/>
          <w:color w:val="auto"/>
          <w:sz w:val="24"/>
          <w:szCs w:val="24"/>
          <w:highlight w:val="none"/>
          <w:lang w:eastAsia="zh-CN"/>
        </w:rPr>
        <w:t>七</w:t>
      </w:r>
      <w:r>
        <w:rPr>
          <w:rStyle w:val="89"/>
          <w:rFonts w:hint="eastAsia" w:ascii="宋体" w:hAnsi="宋体" w:eastAsia="宋体" w:cs="宋体"/>
          <w:color w:val="auto"/>
          <w:sz w:val="24"/>
          <w:szCs w:val="24"/>
          <w:highlight w:val="none"/>
        </w:rPr>
        <w:t>、对本次采购提出询问、质疑、投诉，请按以下方式联系</w:t>
      </w:r>
    </w:p>
    <w:p>
      <w:pPr>
        <w:pStyle w:val="84"/>
        <w:spacing w:before="0" w:beforeAutospacing="0" w:after="0" w:afterAutospacing="0" w:line="360" w:lineRule="auto"/>
        <w:ind w:firstLine="482"/>
        <w:rPr>
          <w:rFonts w:hint="eastAsia" w:eastAsia="宋体" w:cs="宋体"/>
          <w:color w:val="auto"/>
          <w:szCs w:val="24"/>
          <w:highlight w:val="none"/>
          <w:lang w:eastAsia="zh-CN"/>
        </w:rPr>
      </w:pPr>
      <w:r>
        <w:rPr>
          <w:rFonts w:hint="eastAsia" w:cs="宋体"/>
          <w:color w:val="auto"/>
          <w:szCs w:val="24"/>
          <w:highlight w:val="none"/>
        </w:rPr>
        <w:t>1.采购人信息：</w:t>
      </w:r>
      <w:r>
        <w:rPr>
          <w:rFonts w:hint="eastAsia" w:cs="宋体"/>
          <w:color w:val="auto"/>
          <w:szCs w:val="24"/>
          <w:highlight w:val="none"/>
          <w:lang w:eastAsia="zh-CN"/>
        </w:rPr>
        <w:t>衢州市民用航空管理局（衢州民航站）</w:t>
      </w:r>
    </w:p>
    <w:p>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cs="宋体"/>
          <w:color w:val="auto"/>
          <w:sz w:val="24"/>
          <w:szCs w:val="24"/>
          <w:highlight w:val="none"/>
        </w:rPr>
        <w:t>地址：衢州市柯城区三江中路2号</w:t>
      </w:r>
    </w:p>
    <w:p>
      <w:pPr>
        <w:pStyle w:val="84"/>
        <w:spacing w:before="0" w:beforeAutospacing="0" w:after="0" w:afterAutospacing="0" w:line="360" w:lineRule="auto"/>
        <w:ind w:firstLine="482"/>
        <w:rPr>
          <w:rFonts w:cs="宋体"/>
          <w:color w:val="auto"/>
          <w:szCs w:val="24"/>
          <w:highlight w:val="none"/>
        </w:rPr>
      </w:pPr>
      <w:r>
        <w:rPr>
          <w:rFonts w:hint="eastAsia" w:cs="宋体"/>
          <w:color w:val="auto"/>
          <w:szCs w:val="24"/>
          <w:highlight w:val="none"/>
        </w:rPr>
        <w:t xml:space="preserve">传    真：/ </w:t>
      </w:r>
    </w:p>
    <w:p>
      <w:pPr>
        <w:pStyle w:val="84"/>
        <w:spacing w:before="0" w:beforeAutospacing="0" w:after="0" w:afterAutospacing="0" w:line="360" w:lineRule="auto"/>
        <w:ind w:firstLine="482"/>
        <w:rPr>
          <w:rFonts w:cs="宋体"/>
          <w:color w:val="auto"/>
          <w:szCs w:val="24"/>
          <w:highlight w:val="none"/>
        </w:rPr>
      </w:pPr>
      <w:r>
        <w:rPr>
          <w:rFonts w:hint="eastAsia" w:cs="宋体"/>
          <w:color w:val="auto"/>
          <w:szCs w:val="24"/>
          <w:highlight w:val="none"/>
        </w:rPr>
        <w:t>项目联系人（询问）：</w:t>
      </w:r>
      <w:r>
        <w:rPr>
          <w:rFonts w:hint="eastAsia" w:cs="宋体"/>
          <w:color w:val="auto"/>
          <w:szCs w:val="24"/>
          <w:highlight w:val="none"/>
          <w:lang w:eastAsia="zh-CN"/>
        </w:rPr>
        <w:t>陈先生</w:t>
      </w:r>
    </w:p>
    <w:p>
      <w:pPr>
        <w:pStyle w:val="84"/>
        <w:spacing w:before="0" w:beforeAutospacing="0" w:after="0" w:afterAutospacing="0" w:line="360" w:lineRule="auto"/>
        <w:ind w:firstLine="482"/>
        <w:rPr>
          <w:rFonts w:hint="default" w:eastAsia="宋体" w:cs="宋体"/>
          <w:color w:val="auto"/>
          <w:szCs w:val="24"/>
          <w:highlight w:val="none"/>
          <w:lang w:val="en-US" w:eastAsia="zh-CN"/>
        </w:rPr>
      </w:pPr>
      <w:r>
        <w:rPr>
          <w:rFonts w:hint="eastAsia" w:cs="宋体"/>
          <w:color w:val="auto"/>
          <w:szCs w:val="24"/>
          <w:highlight w:val="none"/>
        </w:rPr>
        <w:t>项目联系方式（询问）：0570-</w:t>
      </w:r>
      <w:r>
        <w:rPr>
          <w:rFonts w:hint="eastAsia" w:cs="宋体"/>
          <w:color w:val="auto"/>
          <w:szCs w:val="24"/>
          <w:highlight w:val="none"/>
          <w:lang w:val="en-US" w:eastAsia="zh-CN"/>
        </w:rPr>
        <w:t>3032109</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质疑联系人：余先生</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质疑联系方式：0570-3032883</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pStyle w:val="60"/>
        <w:kinsoku/>
        <w:overflowPunct/>
        <w:bidi w:val="0"/>
        <w:spacing w:after="0" w:line="360" w:lineRule="auto"/>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2"/>
          <w:highlight w:val="none"/>
        </w:rPr>
        <w:t>3.</w:t>
      </w:r>
      <w:r>
        <w:rPr>
          <w:rFonts w:hint="eastAsia" w:ascii="宋体" w:hAnsi="宋体" w:eastAsia="宋体" w:cs="宋体"/>
          <w:color w:val="auto"/>
          <w:kern w:val="2"/>
          <w:sz w:val="24"/>
          <w:szCs w:val="24"/>
          <w:highlight w:val="none"/>
          <w:lang w:val="en-US" w:eastAsia="zh-CN" w:bidi="ar-SA"/>
        </w:rPr>
        <w:t xml:space="preserve">同级政府采购监督管理部门            </w:t>
      </w:r>
    </w:p>
    <w:p>
      <w:pPr>
        <w:pStyle w:val="60"/>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称：衢州市财政局             </w:t>
      </w:r>
    </w:p>
    <w:p>
      <w:pPr>
        <w:pStyle w:val="60"/>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址：衢州市三江东路28号             </w:t>
      </w:r>
    </w:p>
    <w:p>
      <w:pPr>
        <w:pStyle w:val="60"/>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pPr>
        <w:pStyle w:val="60"/>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 ：黄女士             </w:t>
      </w:r>
    </w:p>
    <w:p>
      <w:pPr>
        <w:pStyle w:val="60"/>
        <w:keepNext w:val="0"/>
        <w:keepLines w:val="0"/>
        <w:pageBreakBefore w:val="0"/>
        <w:widowControl w:val="0"/>
        <w:kinsoku/>
        <w:wordWrap/>
        <w:overflowPunct/>
        <w:topLinePunct w:val="0"/>
        <w:bidi w:val="0"/>
        <w:snapToGrid/>
        <w:spacing w:after="0" w:line="360"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监督投诉电话：</w:t>
      </w:r>
      <w:bookmarkStart w:id="6" w:name="OLE_LINK6"/>
      <w:r>
        <w:rPr>
          <w:rFonts w:hint="eastAsia" w:ascii="宋体" w:hAnsi="宋体" w:eastAsia="宋体" w:cs="宋体"/>
          <w:color w:val="auto"/>
          <w:kern w:val="2"/>
          <w:sz w:val="24"/>
          <w:szCs w:val="24"/>
          <w:highlight w:val="none"/>
          <w:lang w:val="en-US" w:eastAsia="zh-CN" w:bidi="ar-SA"/>
        </w:rPr>
        <w:t>19957000570</w:t>
      </w:r>
    </w:p>
    <w:bookmarkEnd w:id="6"/>
    <w:p>
      <w:pPr>
        <w:pStyle w:val="60"/>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p>
    <w:p>
      <w:pPr>
        <w:pStyle w:val="60"/>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8"/>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7" w:name="_Toc31506"/>
      <w:r>
        <w:rPr>
          <w:rFonts w:hint="eastAsia" w:ascii="宋体" w:hAnsi="宋体" w:eastAsia="宋体" w:cs="宋体"/>
          <w:b/>
          <w:color w:val="auto"/>
          <w:sz w:val="36"/>
          <w:highlight w:val="none"/>
        </w:rPr>
        <w:t>第二部分  投标人须知</w:t>
      </w:r>
      <w:bookmarkEnd w:id="7"/>
    </w:p>
    <w:p>
      <w:pPr>
        <w:pStyle w:val="6"/>
        <w:kinsoku/>
        <w:overflowPunct/>
        <w:bidi w:val="0"/>
        <w:spacing w:line="400" w:lineRule="exact"/>
        <w:ind w:left="560" w:firstLine="0"/>
        <w:jc w:val="center"/>
        <w:rPr>
          <w:rFonts w:hint="eastAsia" w:ascii="宋体" w:hAnsi="宋体" w:eastAsia="宋体" w:cs="宋体"/>
          <w:color w:val="auto"/>
          <w:sz w:val="32"/>
          <w:highlight w:val="none"/>
        </w:rPr>
      </w:pPr>
      <w:bookmarkStart w:id="8" w:name="_Toc519670190"/>
      <w:bookmarkStart w:id="9" w:name="_Toc16117"/>
      <w:bookmarkStart w:id="10" w:name="_Toc522530040"/>
      <w:r>
        <w:rPr>
          <w:rFonts w:hint="eastAsia" w:ascii="宋体" w:hAnsi="宋体" w:eastAsia="宋体" w:cs="宋体"/>
          <w:color w:val="auto"/>
          <w:sz w:val="32"/>
          <w:highlight w:val="none"/>
        </w:rPr>
        <w:t>前 附 表</w:t>
      </w:r>
      <w:bookmarkEnd w:id="8"/>
      <w:bookmarkEnd w:id="9"/>
      <w:bookmarkEnd w:id="10"/>
    </w:p>
    <w:tbl>
      <w:tblPr>
        <w:tblStyle w:val="97"/>
        <w:tblW w:w="1071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68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68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684"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684"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684"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684"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2"/>
                <w:highlight w:val="none"/>
              </w:rPr>
              <w:t>由投标人决定是否递交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：密封包装后（建议顺丰邮寄）投标截止时间前递交一份，邮寄地址：衢州市九华北大道509号2#楼二单元九楼。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684"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8"/>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color w:val="auto"/>
                <w:highlight w:val="none"/>
                <w:lang w:val="en-US" w:eastAsia="zh-CN"/>
              </w:rPr>
            </w:pPr>
            <w:r>
              <w:rPr>
                <w:rFonts w:hint="eastAsia"/>
                <w:color w:val="auto"/>
                <w:highlight w:val="none"/>
                <w:lang w:val="en-US" w:eastAsia="zh-CN"/>
              </w:rPr>
              <w:t>履约担保</w:t>
            </w:r>
          </w:p>
        </w:tc>
        <w:tc>
          <w:tcPr>
            <w:tcW w:w="8684" w:type="dxa"/>
            <w:vAlign w:val="center"/>
          </w:tcPr>
          <w:p>
            <w:pPr>
              <w:pStyle w:val="48"/>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履约担保的形式：银行保函或保险保函。</w:t>
            </w:r>
          </w:p>
          <w:p>
            <w:pPr>
              <w:pStyle w:val="48"/>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履约担保的金额：中标价1%的履约担保。</w:t>
            </w:r>
          </w:p>
          <w:p>
            <w:pPr>
              <w:pStyle w:val="48"/>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履约担保的缴纳时间：在合同签订后15日历天内提交采用履约保函。</w:t>
            </w:r>
          </w:p>
          <w:p>
            <w:pPr>
              <w:pStyle w:val="48"/>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履约担保在合同约定期间内或服务期、质量保证期的履约过程中内不予退还或者应完全有效，待合同履约期满后，无质量、服务问题，保函到期自动失效。</w:t>
            </w:r>
          </w:p>
          <w:p>
            <w:pPr>
              <w:pStyle w:val="48"/>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如有履约担保被扣除，导致履约担保额度不足的，须重新补足履约担保额度。</w:t>
            </w:r>
          </w:p>
          <w:p>
            <w:pPr>
              <w:pStyle w:val="48"/>
              <w:keepNext w:val="0"/>
              <w:keepLines w:val="0"/>
              <w:pageBreakBefore w:val="0"/>
              <w:widowControl w:val="0"/>
              <w:numPr>
                <w:ilvl w:val="0"/>
                <w:numId w:val="0"/>
              </w:numPr>
              <w:kinsoku/>
              <w:wordWrap/>
              <w:overflowPunct/>
              <w:topLinePunct w:val="0"/>
              <w:bidi w:val="0"/>
              <w:snapToGrid w:val="0"/>
              <w:spacing w:line="360" w:lineRule="auto"/>
              <w:ind w:left="0" w:leftChars="0" w:firstLine="0" w:firstLine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lang w:eastAsia="zh-CN"/>
              </w:rPr>
              <w:t>质保期满后，无质量、服务问题视为合同履行完成”。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color w:val="auto"/>
                <w:highlight w:val="none"/>
                <w:lang w:val="en-US" w:eastAsia="zh-CN"/>
              </w:rPr>
            </w:pPr>
            <w:r>
              <w:rPr>
                <w:rFonts w:hint="eastAsia" w:ascii="宋体" w:hAnsi="宋体" w:eastAsia="宋体" w:cs="宋体"/>
                <w:color w:val="auto"/>
                <w:sz w:val="24"/>
                <w:highlight w:val="none"/>
              </w:rPr>
              <w:t>招标代理服务费</w:t>
            </w:r>
          </w:p>
        </w:tc>
        <w:tc>
          <w:tcPr>
            <w:tcW w:w="8684" w:type="dxa"/>
            <w:vAlign w:val="center"/>
          </w:tcPr>
          <w:p>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1、本项目根据中标价，参照原国家计委关于印发《招标代理服务收费管理暂行办法》的通知（计价格[2002]1980号）的收费标准向</w:t>
            </w:r>
            <w:r>
              <w:rPr>
                <w:rFonts w:hint="eastAsia" w:ascii="宋体" w:hAnsi="宋体" w:eastAsia="宋体" w:cs="宋体"/>
                <w:color w:val="auto"/>
                <w:sz w:val="24"/>
                <w:highlight w:val="none"/>
                <w:u w:val="single"/>
              </w:rPr>
              <w:t>中标人</w:t>
            </w:r>
            <w:r>
              <w:rPr>
                <w:rFonts w:hint="eastAsia" w:ascii="宋体" w:hAnsi="宋体" w:eastAsia="宋体" w:cs="宋体"/>
                <w:color w:val="auto"/>
                <w:sz w:val="24"/>
                <w:highlight w:val="none"/>
              </w:rPr>
              <w:t>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cs="宋体"/>
                <w:color w:val="auto"/>
                <w:sz w:val="24"/>
                <w:highlight w:val="none"/>
                <w:lang w:val="en-US" w:eastAsia="zh-CN"/>
              </w:rPr>
              <w:t>,</w:t>
            </w:r>
            <w:r>
              <w:rPr>
                <w:rFonts w:hint="eastAsia" w:ascii="宋体" w:hAnsi="宋体"/>
                <w:color w:val="auto"/>
                <w:sz w:val="24"/>
                <w:szCs w:val="22"/>
                <w:highlight w:val="none"/>
                <w:shd w:val="clear" w:color="auto" w:fill="auto"/>
              </w:rPr>
              <w:t>其他相关费用可咨询采购代理</w:t>
            </w:r>
            <w:r>
              <w:rPr>
                <w:rFonts w:hint="eastAsia" w:ascii="宋体" w:hAnsi="宋体" w:eastAsia="宋体" w:cs="宋体"/>
                <w:color w:val="auto"/>
                <w:sz w:val="24"/>
                <w:highlight w:val="none"/>
              </w:rPr>
              <w:t>。</w:t>
            </w:r>
          </w:p>
          <w:p>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1）收款单位（户名）：浙江中正工程项目管理有限公司衢州分公司</w:t>
            </w:r>
          </w:p>
          <w:p>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  户：工行衢州市南区支行</w:t>
            </w:r>
          </w:p>
          <w:p>
            <w:pPr>
              <w:autoSpaceDE w:val="0"/>
              <w:autoSpaceDN w:val="0"/>
              <w:adjustRightInd w:val="0"/>
              <w:spacing w:line="288" w:lineRule="auto"/>
              <w:ind w:right="-20"/>
              <w:rPr>
                <w:rFonts w:hint="eastAsia" w:ascii="宋体" w:hAnsi="宋体" w:eastAsia="宋体" w:cs="宋体"/>
                <w:color w:val="auto"/>
                <w:highlight w:val="none"/>
              </w:rPr>
            </w:pPr>
            <w:r>
              <w:rPr>
                <w:rFonts w:hint="eastAsia" w:ascii="宋体" w:hAnsi="宋体" w:eastAsia="宋体" w:cs="宋体"/>
                <w:color w:val="auto"/>
                <w:sz w:val="24"/>
                <w:szCs w:val="22"/>
                <w:highlight w:val="none"/>
              </w:rPr>
              <w:t>3）账  号：1209 2700 0920 0172 837</w:t>
            </w:r>
          </w:p>
          <w:p>
            <w:pPr>
              <w:adjustRightInd w:val="0"/>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以上费用均不在报价中单列，请供应商在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报价中予以考虑。</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hAnsi="宋体" w:cs="宋体"/>
                <w:color w:val="auto"/>
                <w:sz w:val="24"/>
                <w:szCs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结算方式及时间为：在领取成交通知书时由成交人一次性向采购代理机构付清。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）本项目所属行</w:t>
            </w:r>
            <w:r>
              <w:rPr>
                <w:rFonts w:hint="eastAsia" w:ascii="宋体" w:hAnsi="宋体" w:eastAsia="宋体" w:cs="宋体"/>
                <w:color w:val="auto"/>
                <w:sz w:val="24"/>
                <w:highlight w:val="none"/>
                <w:u w:val="none"/>
                <w:lang w:eastAsia="zh-CN"/>
              </w:rPr>
              <w:t>业</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5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684"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254" w:type="dxa"/>
            <w:vAlign w:val="center"/>
          </w:tcPr>
          <w:p>
            <w:pPr>
              <w:pStyle w:val="48"/>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684" w:type="dxa"/>
            <w:vAlign w:val="center"/>
          </w:tcPr>
          <w:p>
            <w:pPr>
              <w:pStyle w:val="48"/>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pPr>
              <w:pStyle w:val="48"/>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tc>
      </w:tr>
      <w:bookmarkEnd w:id="2"/>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1" w:name="_Toc994"/>
      <w:bookmarkStart w:id="12" w:name="_Toc522530041"/>
      <w:bookmarkStart w:id="13" w:name="_Toc233618972"/>
      <w:bookmarkStart w:id="14" w:name="_Toc226106467"/>
      <w:bookmarkStart w:id="15" w:name="_Toc226521904"/>
      <w:bookmarkStart w:id="16" w:name="_Toc226106516"/>
      <w:bookmarkStart w:id="17" w:name="_Toc225840109"/>
      <w:r>
        <w:rPr>
          <w:rFonts w:hint="eastAsia" w:ascii="宋体" w:hAnsi="宋体" w:eastAsia="宋体" w:cs="宋体"/>
          <w:b/>
          <w:color w:val="auto"/>
          <w:sz w:val="32"/>
          <w:highlight w:val="none"/>
        </w:rPr>
        <w:t>一、总 则</w:t>
      </w:r>
      <w:bookmarkEnd w:id="11"/>
      <w:bookmarkEnd w:id="12"/>
      <w:bookmarkEnd w:id="13"/>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8" w:name="_Hlt74730295"/>
      <w:bookmarkEnd w:id="18"/>
      <w:bookmarkStart w:id="19" w:name="_Hlt74714665"/>
      <w:bookmarkEnd w:id="19"/>
      <w:bookmarkStart w:id="20" w:name="_Hlt74730208"/>
      <w:bookmarkStart w:id="21"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2" w:name="_Toc91899873"/>
      <w:r>
        <w:rPr>
          <w:rFonts w:hint="eastAsia" w:ascii="宋体" w:hAnsi="宋体" w:eastAsia="宋体" w:cs="宋体"/>
          <w:b/>
          <w:color w:val="auto"/>
          <w:sz w:val="24"/>
          <w:highlight w:val="none"/>
        </w:rPr>
        <w:t>（二）采购方式</w:t>
      </w:r>
      <w:bookmarkEnd w:id="22"/>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0"/>
      <w:bookmarkEnd w:id="21"/>
      <w:bookmarkStart w:id="23" w:name="_Hlt68516771"/>
      <w:bookmarkEnd w:id="23"/>
      <w:bookmarkStart w:id="24" w:name="_Hlt74388212"/>
      <w:bookmarkEnd w:id="24"/>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5" w:name="_Toc91899877"/>
      <w:bookmarkStart w:id="26"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衢州市财政局</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5"/>
    <w:bookmarkEnd w:id="26"/>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7" w:name="_Hlt75236290"/>
      <w:bookmarkEnd w:id="27"/>
      <w:bookmarkStart w:id="28" w:name="_Hlt68072990"/>
      <w:bookmarkEnd w:id="28"/>
      <w:bookmarkStart w:id="29" w:name="_Hlt74729768"/>
      <w:bookmarkEnd w:id="29"/>
      <w:bookmarkStart w:id="30" w:name="_Hlt74707468"/>
      <w:bookmarkEnd w:id="30"/>
      <w:bookmarkStart w:id="31" w:name="_Hlt68057669"/>
      <w:bookmarkEnd w:id="31"/>
      <w:bookmarkStart w:id="32"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2"/>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3" w:name="_Toc522530042"/>
      <w:bookmarkStart w:id="34" w:name="_Toc9352"/>
      <w:bookmarkStart w:id="35" w:name="_Toc233618973"/>
      <w:r>
        <w:rPr>
          <w:rFonts w:hint="eastAsia" w:ascii="宋体" w:hAnsi="宋体" w:eastAsia="宋体" w:cs="宋体"/>
          <w:b/>
          <w:color w:val="auto"/>
          <w:sz w:val="32"/>
          <w:highlight w:val="none"/>
        </w:rPr>
        <w:t>二、招标文件</w:t>
      </w:r>
      <w:bookmarkEnd w:id="33"/>
      <w:bookmarkEnd w:id="34"/>
      <w:bookmarkEnd w:id="35"/>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6" w:name="_Toc91899880"/>
      <w:bookmarkStart w:id="37" w:name="_Hlt74730307"/>
      <w:r>
        <w:rPr>
          <w:rFonts w:hint="eastAsia" w:ascii="宋体" w:hAnsi="宋体" w:eastAsia="宋体" w:cs="宋体"/>
          <w:b/>
          <w:color w:val="auto"/>
          <w:sz w:val="24"/>
          <w:highlight w:val="none"/>
        </w:rPr>
        <w:t>（一）招标文件的</w:t>
      </w:r>
      <w:bookmarkEnd w:id="36"/>
      <w:r>
        <w:rPr>
          <w:rFonts w:hint="eastAsia" w:ascii="宋体" w:hAnsi="宋体" w:eastAsia="宋体" w:cs="宋体"/>
          <w:b/>
          <w:color w:val="auto"/>
          <w:sz w:val="24"/>
          <w:highlight w:val="none"/>
        </w:rPr>
        <w:t>组成</w:t>
      </w:r>
    </w:p>
    <w:bookmarkEnd w:id="37"/>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8" w:name="_Toc91899884"/>
      <w:bookmarkStart w:id="39" w:name="_Toc20674"/>
      <w:bookmarkStart w:id="40" w:name="_Toc522530043"/>
      <w:bookmarkStart w:id="41" w:name="_Toc2336189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8"/>
      <w:bookmarkEnd w:id="39"/>
      <w:bookmarkEnd w:id="40"/>
      <w:bookmarkEnd w:id="41"/>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eastAsia="宋体" w:cs="宋体"/>
          <w:b/>
          <w:bCs/>
          <w:color w:val="auto"/>
          <w:kern w:val="2"/>
          <w:sz w:val="24"/>
          <w:szCs w:val="22"/>
          <w:highlight w:val="none"/>
          <w:lang w:val="en-US" w:eastAsia="zh-CN" w:bidi="ar-SA"/>
        </w:rPr>
        <w:t>本次供应商报价高于最高限价的，为无效响应文件。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w:t>
      </w:r>
      <w:r>
        <w:rPr>
          <w:rFonts w:hint="eastAsia" w:ascii="宋体" w:hAnsi="宋体" w:cs="宋体"/>
          <w:bCs/>
          <w:color w:val="auto"/>
          <w:sz w:val="24"/>
          <w:szCs w:val="24"/>
          <w:highlight w:val="none"/>
          <w:lang w:val="zh-CN"/>
        </w:rPr>
        <w:t>整车、车辆购置税、</w:t>
      </w:r>
      <w:r>
        <w:rPr>
          <w:rFonts w:hint="eastAsia" w:ascii="宋体" w:hAnsi="宋体" w:eastAsia="宋体" w:cs="宋体"/>
          <w:bCs/>
          <w:color w:val="auto"/>
          <w:sz w:val="24"/>
          <w:szCs w:val="24"/>
          <w:highlight w:val="none"/>
          <w:lang w:val="zh-CN"/>
        </w:rPr>
        <w:t>运输费、附件费、车辆调试费、辅料费（如有）、设备维护费、培训费、税金、完成本项目的其它费用和政策性文件规定及合同包含的所有风险、责任等各项应有费用等所有费用。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2" w:name="_Hlt75236011"/>
      <w:bookmarkEnd w:id="42"/>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2"/>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3"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3"/>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4" w:name="_Toc19525"/>
      <w:bookmarkStart w:id="45" w:name="_Toc522530044"/>
      <w:bookmarkStart w:id="46" w:name="_Toc91899892"/>
      <w:r>
        <w:rPr>
          <w:rFonts w:hint="eastAsia" w:ascii="宋体" w:hAnsi="宋体" w:eastAsia="宋体" w:cs="宋体"/>
          <w:b/>
          <w:color w:val="auto"/>
          <w:sz w:val="32"/>
          <w:highlight w:val="none"/>
        </w:rPr>
        <w:t>四、投 标</w:t>
      </w:r>
      <w:bookmarkEnd w:id="44"/>
      <w:bookmarkEnd w:id="45"/>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r>
        <w:rPr>
          <w:rFonts w:hint="eastAsia" w:ascii="宋体" w:hAnsi="宋体" w:cs="宋体"/>
          <w:b/>
          <w:bCs/>
          <w:color w:val="auto"/>
          <w:sz w:val="24"/>
          <w:szCs w:val="22"/>
          <w:highlight w:val="none"/>
          <w:lang w:eastAsia="zh-CN"/>
        </w:rPr>
        <w:t>，(采购人、采购代理机构不强制或变相强制投标人提交备份投标文件，投标人可按实际需求决定是否递交</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6"/>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7" w:name="_Toc6430"/>
      <w:bookmarkStart w:id="48" w:name="_Toc91899897"/>
      <w:bookmarkStart w:id="49" w:name="_Toc522530045"/>
      <w:bookmarkStart w:id="50" w:name="_Toc233618976"/>
      <w:r>
        <w:rPr>
          <w:rFonts w:hint="eastAsia" w:ascii="宋体" w:hAnsi="宋体" w:eastAsia="宋体" w:cs="宋体"/>
          <w:b/>
          <w:color w:val="auto"/>
          <w:sz w:val="32"/>
          <w:highlight w:val="none"/>
        </w:rPr>
        <w:t>五、开 标</w:t>
      </w:r>
      <w:bookmarkEnd w:id="47"/>
      <w:bookmarkEnd w:id="48"/>
      <w:bookmarkEnd w:id="49"/>
      <w:bookmarkEnd w:id="50"/>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1" w:name="_Toc24550037"/>
      <w:bookmarkStart w:id="52" w:name="_Toc33194393"/>
      <w:r>
        <w:rPr>
          <w:rFonts w:hint="eastAsia" w:ascii="宋体" w:hAnsi="宋体" w:eastAsia="宋体" w:cs="宋体"/>
          <w:b/>
          <w:bCs/>
          <w:color w:val="auto"/>
          <w:sz w:val="24"/>
          <w:szCs w:val="22"/>
          <w:highlight w:val="none"/>
        </w:rPr>
        <w:t>（四）投标人资格审查</w:t>
      </w:r>
      <w:bookmarkEnd w:id="51"/>
      <w:bookmarkEnd w:id="52"/>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3" w:name="_Hlt75236101"/>
      <w:bookmarkEnd w:id="53"/>
      <w:bookmarkStart w:id="54" w:name="_Toc91899902"/>
      <w:bookmarkStart w:id="55" w:name="_Toc29851"/>
      <w:bookmarkStart w:id="56" w:name="_Toc233618977"/>
      <w:bookmarkStart w:id="57" w:name="_Toc522530046"/>
      <w:r>
        <w:rPr>
          <w:rFonts w:hint="eastAsia" w:ascii="宋体" w:hAnsi="宋体" w:eastAsia="宋体" w:cs="宋体"/>
          <w:b/>
          <w:color w:val="auto"/>
          <w:sz w:val="32"/>
          <w:highlight w:val="none"/>
        </w:rPr>
        <w:t>六、评 标</w:t>
      </w:r>
      <w:bookmarkEnd w:id="54"/>
      <w:bookmarkEnd w:id="55"/>
      <w:bookmarkEnd w:id="56"/>
      <w:bookmarkEnd w:id="57"/>
    </w:p>
    <w:p>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8"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8"/>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8"/>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pStyle w:val="49"/>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59" w:name="_Hlk33211013"/>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9"/>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0" w:name="_Toc33194396"/>
      <w:bookmarkStart w:id="61" w:name="OLE_LINK12"/>
      <w:bookmarkStart w:id="62" w:name="OLE_LINK16"/>
      <w:r>
        <w:rPr>
          <w:rFonts w:hint="eastAsia" w:ascii="宋体" w:hAnsi="宋体" w:eastAsia="宋体" w:cs="宋体"/>
          <w:color w:val="auto"/>
          <w:sz w:val="24"/>
          <w:szCs w:val="22"/>
          <w:highlight w:val="none"/>
        </w:rPr>
        <w:t>（1）投标文件未有效授权，法定代表人授权委托书等填写不完整或有涂改的；</w:t>
      </w:r>
      <w:bookmarkEnd w:id="60"/>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3"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3"/>
      <w:bookmarkStart w:id="64"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4"/>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61"/>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62"/>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w:t>
      </w:r>
      <w:bookmarkStart w:id="123" w:name="_GoBack"/>
      <w:bookmarkEnd w:id="123"/>
      <w:r>
        <w:rPr>
          <w:rFonts w:hint="eastAsia" w:ascii="宋体" w:hAnsi="宋体" w:eastAsia="宋体" w:cs="宋体"/>
          <w:color w:val="auto"/>
          <w:sz w:val="24"/>
          <w:szCs w:val="22"/>
          <w:highlight w:val="none"/>
        </w:rPr>
        <w:t>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8"/>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5"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6" w:name="_Toc23416"/>
      <w:bookmarkStart w:id="67" w:name="_Toc522530047"/>
      <w:bookmarkStart w:id="68" w:name="_Toc233618978"/>
      <w:r>
        <w:rPr>
          <w:rFonts w:hint="eastAsia" w:ascii="宋体" w:hAnsi="宋体" w:eastAsia="宋体" w:cs="宋体"/>
          <w:b/>
          <w:color w:val="auto"/>
          <w:sz w:val="32"/>
          <w:highlight w:val="none"/>
        </w:rPr>
        <w:t>七、定 标</w:t>
      </w:r>
      <w:bookmarkEnd w:id="65"/>
      <w:bookmarkEnd w:id="66"/>
      <w:bookmarkEnd w:id="67"/>
      <w:bookmarkEnd w:id="68"/>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9" w:name="_Hlt75236103"/>
      <w:bookmarkEnd w:id="69"/>
      <w:bookmarkStart w:id="70" w:name="_Toc86216995"/>
      <w:bookmarkStart w:id="71"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2" w:name="_Toc15506"/>
      <w:bookmarkStart w:id="73" w:name="_Toc233618979"/>
      <w:bookmarkStart w:id="74" w:name="_Toc522530048"/>
      <w:r>
        <w:rPr>
          <w:rFonts w:hint="eastAsia" w:ascii="宋体" w:hAnsi="宋体" w:eastAsia="宋体" w:cs="宋体"/>
          <w:b/>
          <w:color w:val="auto"/>
          <w:sz w:val="32"/>
          <w:highlight w:val="none"/>
        </w:rPr>
        <w:t>八、</w:t>
      </w:r>
      <w:bookmarkEnd w:id="70"/>
      <w:r>
        <w:rPr>
          <w:rFonts w:hint="eastAsia" w:ascii="宋体" w:hAnsi="宋体" w:eastAsia="宋体" w:cs="宋体"/>
          <w:b/>
          <w:color w:val="auto"/>
          <w:sz w:val="32"/>
          <w:highlight w:val="none"/>
        </w:rPr>
        <w:t>合同签订及其他</w:t>
      </w:r>
      <w:bookmarkEnd w:id="72"/>
      <w:bookmarkEnd w:id="73"/>
      <w:bookmarkEnd w:id="74"/>
    </w:p>
    <w:bookmarkEnd w:id="71"/>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bookmarkStart w:id="75" w:name="_Toc492733886"/>
      <w:bookmarkStart w:id="76" w:name="_Toc1203"/>
      <w:bookmarkStart w:id="77" w:name="_Toc233618986"/>
      <w:bookmarkStart w:id="78" w:name="_Toc86217003"/>
      <w:r>
        <w:rPr>
          <w:rFonts w:hint="eastAsia" w:ascii="宋体" w:hAnsi="宋体" w:eastAsia="宋体" w:cs="宋体"/>
          <w:b/>
          <w:bCs/>
          <w:color w:val="auto"/>
          <w:sz w:val="24"/>
          <w:szCs w:val="24"/>
          <w:highlight w:val="none"/>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1.1投标人拟投民航专用车辆需为中国民用航空局“民用机场专用设备信息管理系统”通告中“质量一致性审核有效期”内的产品；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所有车辆除特殊说明外，均需配置分辨率不低于1080P的内外双视角行车记录仪，存储器内存不低于32G。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所有车辆车漆颜色及喷涂方案均需取得业主认可及同意。</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车辆清单</w:t>
      </w:r>
    </w:p>
    <w:tbl>
      <w:tblPr>
        <w:tblStyle w:val="97"/>
        <w:tblW w:w="928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3"/>
        <w:gridCol w:w="2026"/>
        <w:gridCol w:w="3484"/>
        <w:gridCol w:w="900"/>
        <w:gridCol w:w="765"/>
        <w:gridCol w:w="1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92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序号</w:t>
            </w:r>
          </w:p>
        </w:tc>
        <w:tc>
          <w:tcPr>
            <w:tcW w:w="551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名称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单位</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数量</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2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民航专用车辆</w:t>
            </w:r>
          </w:p>
        </w:tc>
        <w:tc>
          <w:tcPr>
            <w:tcW w:w="348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飞机除冰车（除冰车）</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辆</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r>
    </w:tbl>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飞机除冰车（除冰车）相关技术参数规格</w:t>
      </w:r>
    </w:p>
    <w:p>
      <w:pPr>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440" w:lineRule="exact"/>
        <w:ind w:leftChars="200" w:right="0" w:righ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基本要求：</w:t>
      </w:r>
    </w:p>
    <w:p>
      <w:pPr>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eastAsia="zh-CN"/>
        </w:rPr>
        <w:t>飞机除冰车（除冰车）</w:t>
      </w:r>
      <w:r>
        <w:rPr>
          <w:rFonts w:hint="eastAsia" w:ascii="宋体" w:hAnsi="宋体" w:eastAsia="宋体" w:cs="宋体"/>
          <w:color w:val="auto"/>
          <w:sz w:val="24"/>
          <w:szCs w:val="24"/>
          <w:highlight w:val="none"/>
        </w:rPr>
        <w:t>应适用于除空客A380以外所有机型，可除去飞机机身上的冰雪和防冰。车辆应具有操作灵活，使用方便的特点，保证在正常操作条件下不发生任何危险。除冰车的设计、制造、试验等应按国际及国家高空作业车、消防车、机动车等相关标准执行。符合自行式飞机除冰防冰车功能要求（GB/T 23417-2009/TSO 11077:1993）。工作环境在-30℃～+50℃范围内，空气相对湿度：20%-100%（平均80%），抗风能力至少大于6级时可正常使用。</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要求在中国民用航空局民用机场专用设备信息管理系统网站已通告现行有效的飞机除冰车（提供网站截图及网址）。</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供货方必须提供为期</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个月的免费保修期，时间从验收合格并正式移交业主之日算起。保修期内由于设备质量原因造成的损伤和损坏，投标方必须免费修复，如由于质量设备原因造成安全事故（包括飞机，人员），购买方有索取赔偿的权利。</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主要技术规格：</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2.1液箱有效总容量≥6000L，其中除冰液箱容量≥5000L，防冰液箱容量≥1000L。</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2.2除冰喷射器工作压力：≥1.0Mpa，除冰喷洒流量≥220L/min，最大射程≥25M。防冰喷射器工作压力：≥0.35Mpa，防冰喷洒流量：≥76L/min，最大射程≥25M。</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2.3额定除冰喷洒温度≥85℃，除冰液最高加热温度95℃。</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2.4加热能力：</w:t>
      </w:r>
      <w:r>
        <w:rPr>
          <w:rFonts w:hint="eastAsia" w:ascii="宋体" w:hAnsi="宋体" w:eastAsia="宋体" w:cs="宋体"/>
          <w:color w:val="auto"/>
          <w:sz w:val="24"/>
          <w:szCs w:val="24"/>
          <w:highlight w:val="none"/>
          <w:lang w:val="en-US" w:eastAsia="zh-CN"/>
        </w:rPr>
        <w:t>即热式，加热时间＜3min；</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2.5高空作业范围：最大工作高度≥14米，最大作业幅度≥8米，额定荷载≥200公斤，左右回转角度≥350度。</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2.6最高车速≤60km/h，除冰行驶最低稳定车速：≤</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km/h</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安全性</w:t>
      </w:r>
      <w:r>
        <w:rPr>
          <w:rFonts w:hint="eastAsia" w:ascii="宋体" w:hAnsi="宋体" w:eastAsia="宋体" w:cs="宋体"/>
          <w:b/>
          <w:bCs/>
          <w:color w:val="auto"/>
          <w:sz w:val="24"/>
          <w:szCs w:val="24"/>
          <w:highlight w:val="none"/>
        </w:rPr>
        <w:t>要求</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3.1所有设备(除吊臂、吊篮外)应整体装在车体内。车体罩壳的设计应考虑方便检修和维护各个系统。</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3.2车辆可在低速行驶状态下同时喷射除冰液和操作吊臂。</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有2套高空作业操作装置，可进行上操作和下操作；有高空作业应急操作装置。液压系统有液压锁，保证液压系统的“失败-安全”特性，即使液压系统出现故障时，高空作业臂会自动锁闭，保证不会出现任何危险。</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3.4当罐内无液体、风速高达20m/s时，车及吊臂在任何位置都能保证安全性和稳定性。</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3.5操作系统应采用可编程控制器技术，操作简便，有故障诊断功能。</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除冰系统</w:t>
      </w:r>
    </w:p>
    <w:p>
      <w:pPr>
        <w:keepNext w:val="0"/>
        <w:keepLines w:val="0"/>
        <w:pageBreakBefore w:val="0"/>
        <w:widowControl w:val="0"/>
        <w:tabs>
          <w:tab w:val="left" w:pos="177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除冰系统应由液罐、主泵、加热系统、吊臂及工作舱、喷枪等组成。</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4.1液罐</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4.1.1液罐与底盘的连接应有减震装置，并应满足当车辆在不平坦的路面行驶时，液罐能承受底盘的扭曲。液罐有效容积≥6000L，I型液箱（除冰液）容积至少为5000升，II 型液箱（防冰液）容积至少为1000升，液罐内应有防波隔板。 </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液罐应装有清洁用的操作孔、消除真空的通气孔、快速排放阀以及加注口。加注口应装有防冲压的溢流管，并带自冲洗线型过滤器或进液口配装防波装置和过滤网。系统在泵以最大速度排放时，能排出液罐内的全部液体而不产生气穴。</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4.1.3在液罐外和驾驶室内应分别设置液位计。</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4.2主泵</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主泵的动力来自车载发动机或辅助发动机。壳体和转子采用铸青铜或有防腐性能的轻合金材料制造。泵轴采用不锈钢材料制造。</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4.2.1泵的排量≥220L/min。</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4.2.2泵应有自启动功能，空转3分钟不损坏，同进应有低液位自动保护系统。</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4.2.3泵的吸液管尽可能短，并且弯曲和连接件尽可能少。</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4.2.4泵的品牌、型号应选择成熟品牌的标准产品。</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4.3加热系统</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4.3.1额定热功率≥1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00KW，热效率不低于88%。</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4.3.2加热速度：液体自10℃开始至喷嘴出口液体温度达到80℃，加热时间不大于5分钟。</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4.3.3加热器必须有温度控制器和过热切断开关，使喷嘴出口液体能保持一定温度，正负误差不超过3℃</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4.3.4液体加热器应适于在机场上连续工作并在除冰时车辆可以运动。加热器的燃烧室为封闭式并符合机场当局对在机场操作的许可。</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4.3.5液体系统加热器的位置应在液泵的出口以便从喷枪中流出的液体的温度为液箱温度和液体流过加热器后的温度升高之和。</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4.3.6液体加热器应有安全装置以避免对设备造成损坏或是产生不安全因素。需要安装火焰测试回路，气流监视回路，液流开关，排出火花消除器和防油料存积装置。</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4.3.7加热器应完全封闭在车身内，燃烧室外应有适当的保护罩。</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4.3.8加热盘管应为不锈钢材料，确保长期的稳定使用。</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4.3.9加热器的控制应采用单独的带液晶显示屏的加热器电脑控制器，所有加热器参数的设定和故障代码显示都可以通过显示屏显示和处理。</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4.3.10加热系统必须具有超温、超压、液箱低液位、干烧等安全保护装置。</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4.4吊臂和工作舱</w:t>
      </w:r>
      <w:r>
        <w:rPr>
          <w:rFonts w:hint="eastAsia" w:ascii="宋体" w:hAnsi="宋体" w:eastAsia="宋体" w:cs="宋体"/>
          <w:color w:val="auto"/>
          <w:sz w:val="24"/>
          <w:szCs w:val="24"/>
          <w:highlight w:val="none"/>
        </w:rPr>
        <w:tab/>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4.4.1吊臂的材料应为优质钢材，吊臂采用全液压系统控制，所有轴销上均应设置润滑轴套。在6级风力下，吊臂能正常工作。</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▲4.4.2工作舱为</w:t>
      </w:r>
      <w:r>
        <w:rPr>
          <w:rFonts w:hint="eastAsia" w:ascii="宋体" w:hAnsi="宋体" w:cs="宋体"/>
          <w:color w:val="auto"/>
          <w:sz w:val="24"/>
          <w:szCs w:val="24"/>
          <w:highlight w:val="none"/>
          <w:lang w:val="en-US" w:eastAsia="zh-CN"/>
        </w:rPr>
        <w:t>封闭</w:t>
      </w:r>
      <w:r>
        <w:rPr>
          <w:rFonts w:hint="eastAsia" w:ascii="宋体" w:hAnsi="宋体" w:eastAsia="宋体" w:cs="宋体"/>
          <w:color w:val="auto"/>
          <w:sz w:val="24"/>
          <w:szCs w:val="24"/>
          <w:highlight w:val="none"/>
        </w:rPr>
        <w:t>式，设有调平系统，在工作时必须自动保持水平位置，工作舱内应安装可拆卸式安全带，有防滑底板和防撞安全保护。</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4.4.3工作舱额定荷载≥</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kg，入口应在正前面或侧面，而且为自锁型门，保证操作人员安全正常操作。</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4.4.5工作舱内应有各种液体的选择按键并有相应的指示显示。</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工作舱内应有高空作业的操作功能，实现吊臂及飞臂的升降、伸缩、工作舱找平、高空作业急停以及工作舱回转及速度控制，并配有对讲系统，实现工作舱与驾驶员双方人员相互通话，两端设有独立的音量控制，并提供连续、双向不用手持的通信。</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4.4.7工作舱外侧应配置防撞装置和防撞声光报警，以防撞击损坏飞行器。</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4.5喷枪</w:t>
      </w:r>
      <w:r>
        <w:rPr>
          <w:rFonts w:hint="eastAsia" w:ascii="宋体" w:hAnsi="宋体" w:eastAsia="宋体" w:cs="宋体"/>
          <w:color w:val="auto"/>
          <w:sz w:val="24"/>
          <w:szCs w:val="24"/>
          <w:highlight w:val="none"/>
        </w:rPr>
        <w:tab/>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在工作舱前部应设置</w:t>
      </w:r>
      <w:r>
        <w:rPr>
          <w:rFonts w:hint="eastAsia" w:ascii="宋体" w:hAnsi="宋体" w:cs="宋体"/>
          <w:color w:val="auto"/>
          <w:sz w:val="24"/>
          <w:szCs w:val="24"/>
          <w:highlight w:val="none"/>
          <w:lang w:val="en-US" w:eastAsia="zh-CN"/>
        </w:rPr>
        <w:t>至少</w:t>
      </w:r>
      <w:r>
        <w:rPr>
          <w:rFonts w:hint="eastAsia" w:ascii="宋体" w:hAnsi="宋体" w:eastAsia="宋体" w:cs="宋体"/>
          <w:color w:val="auto"/>
          <w:sz w:val="24"/>
          <w:szCs w:val="24"/>
          <w:highlight w:val="none"/>
        </w:rPr>
        <w:t>一把可自由移动的喷枪，能喷水或除冰液和防冰液。在车体一侧或前部应设置手持式副喷枪。软管长度≥15m，电动巻绕存放。</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4.6安全装置</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举升油缸内应有控制阀，防止液压系统故障时，吊臂失控下落。液压系统应设置液压油冷却器和低油位保护开关。在吊臂控制板和工作舱控制板上应有应急设置，用于放下吊臂。地面吊臂控制应优先于工作舱控制，并考虑用蓄电池或手动液压系统，用于在主液压泵失效时放下吊篮。</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4.6.2车辆应至少分别在驾驶室控制板、工作舱控制板、加热器控制板上设置紧急停止开关。</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4.6.3除冰车在操作人员和地面人员能触及的地方应分别安装紧急停止开关。任一紧急停止开关按下时，车辆所有动作均应停止。该开关应有明显的识别标记。</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4.6.4应急装置应能在主动力或控制系统出现故障时，将车辆置于可拖拽的状态。</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4.6.5车辆应装有发动机紧急停车按钮，应配备倒车及平台升降蜂鸣器。</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4.6.6飞机除冰车故障或停止工作时能够将空中装置及全负载位置工作盖降至一般存放位置。</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汽车底盘要求</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底盘应采用</w:t>
      </w:r>
      <w:r>
        <w:rPr>
          <w:rStyle w:val="88"/>
          <w:rFonts w:hint="eastAsia" w:ascii="宋体" w:hAnsi="宋体" w:eastAsia="宋体" w:cs="宋体"/>
          <w:color w:val="auto"/>
          <w:sz w:val="24"/>
          <w:szCs w:val="24"/>
          <w:highlight w:val="none"/>
          <w:lang w:eastAsia="zh-CN"/>
        </w:rPr>
        <w:t>方向盘左置的202</w:t>
      </w:r>
      <w:r>
        <w:rPr>
          <w:rStyle w:val="88"/>
          <w:rFonts w:hint="eastAsia" w:ascii="宋体" w:hAnsi="宋体" w:cs="宋体"/>
          <w:color w:val="auto"/>
          <w:sz w:val="24"/>
          <w:szCs w:val="24"/>
          <w:highlight w:val="none"/>
          <w:lang w:val="en-US" w:eastAsia="zh-CN"/>
        </w:rPr>
        <w:t>4</w:t>
      </w:r>
      <w:r>
        <w:rPr>
          <w:rStyle w:val="88"/>
          <w:rFonts w:hint="eastAsia" w:ascii="宋体" w:hAnsi="宋体" w:eastAsia="宋体" w:cs="宋体"/>
          <w:color w:val="auto"/>
          <w:sz w:val="24"/>
          <w:szCs w:val="24"/>
          <w:highlight w:val="none"/>
          <w:lang w:eastAsia="zh-CN"/>
        </w:rPr>
        <w:t>年</w:t>
      </w:r>
      <w:r>
        <w:rPr>
          <w:rStyle w:val="88"/>
          <w:rFonts w:hint="eastAsia" w:ascii="宋体" w:hAnsi="宋体" w:cs="宋体"/>
          <w:color w:val="auto"/>
          <w:sz w:val="24"/>
          <w:szCs w:val="24"/>
          <w:highlight w:val="none"/>
          <w:lang w:val="en-US" w:eastAsia="zh-CN"/>
        </w:rPr>
        <w:t>10</w:t>
      </w:r>
      <w:r>
        <w:rPr>
          <w:rStyle w:val="88"/>
          <w:rFonts w:hint="eastAsia" w:ascii="宋体" w:hAnsi="宋体" w:eastAsia="宋体" w:cs="宋体"/>
          <w:color w:val="auto"/>
          <w:sz w:val="24"/>
          <w:szCs w:val="24"/>
          <w:highlight w:val="none"/>
          <w:lang w:eastAsia="zh-CN"/>
        </w:rPr>
        <w:t>月1日以后生产的</w:t>
      </w:r>
      <w:r>
        <w:rPr>
          <w:rFonts w:hint="eastAsia" w:ascii="宋体" w:hAnsi="宋体" w:eastAsia="宋体" w:cs="宋体"/>
          <w:color w:val="auto"/>
          <w:sz w:val="24"/>
          <w:szCs w:val="24"/>
          <w:highlight w:val="none"/>
        </w:rPr>
        <w:t>能满足飞机除冰作业的特殊要求的商用底盘或专用底盘</w:t>
      </w:r>
      <w:r>
        <w:rPr>
          <w:rFonts w:hint="eastAsia" w:ascii="宋体" w:hAnsi="宋体" w:cs="宋体"/>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5.2应采用直列六缸增压中冷柴油发动机，功率≥</w:t>
      </w:r>
      <w:r>
        <w:rPr>
          <w:rFonts w:hint="eastAsia" w:ascii="宋体" w:hAnsi="宋体" w:cs="宋体"/>
          <w:color w:val="auto"/>
          <w:sz w:val="24"/>
          <w:szCs w:val="24"/>
          <w:highlight w:val="none"/>
          <w:lang w:val="en-US" w:eastAsia="zh-CN"/>
        </w:rPr>
        <w:t>220</w:t>
      </w:r>
      <w:r>
        <w:rPr>
          <w:rFonts w:hint="eastAsia" w:ascii="宋体" w:hAnsi="宋体" w:eastAsia="宋体" w:cs="宋体"/>
          <w:color w:val="auto"/>
          <w:sz w:val="24"/>
          <w:szCs w:val="24"/>
          <w:highlight w:val="none"/>
          <w:lang w:val="en-US" w:eastAsia="zh-CN"/>
        </w:rPr>
        <w:t>KW。排放标准符合国六及以上排放标准。</w:t>
      </w:r>
    </w:p>
    <w:p>
      <w:pPr>
        <w:pStyle w:val="3"/>
        <w:keepNext w:val="0"/>
        <w:keepLines w:val="0"/>
        <w:pageBreakBefore w:val="0"/>
        <w:widowControl w:val="0"/>
        <w:kinsoku/>
        <w:wordWrap/>
        <w:overflowPunct/>
        <w:topLinePunct w:val="0"/>
        <w:autoSpaceDE/>
        <w:autoSpaceDN/>
        <w:bidi w:val="0"/>
        <w:adjustRightInd/>
        <w:snapToGrid/>
        <w:spacing w:after="0" w:line="440" w:lineRule="exact"/>
        <w:ind w:left="478" w:leftChars="85" w:right="0" w:rightChars="0" w:hanging="240" w:hangingChars="100"/>
        <w:textAlignment w:val="auto"/>
        <w:rPr>
          <w:rFonts w:hint="default"/>
          <w:color w:val="auto"/>
          <w:highlight w:val="none"/>
          <w:lang w:val="en-US"/>
        </w:rPr>
      </w:pPr>
      <w:r>
        <w:rPr>
          <w:rFonts w:hint="eastAsia" w:ascii="宋体" w:hAnsi="宋体" w:eastAsia="宋体" w:cs="宋体"/>
          <w:color w:val="auto"/>
          <w:sz w:val="24"/>
          <w:szCs w:val="24"/>
          <w:highlight w:val="none"/>
          <w:lang w:val="en-US" w:eastAsia="zh-CN"/>
        </w:rPr>
        <w:t xml:space="preserve">  5.3驾驶室应配有空调，配有前后行驶记录仪、倒车影像及倒车报警器。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5.4底盘悬挂系统应装有稳定装置，增加高空作业的安全性。</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要求</w:t>
      </w:r>
    </w:p>
    <w:p>
      <w:pPr>
        <w:keepNext w:val="0"/>
        <w:keepLines w:val="0"/>
        <w:pageBreakBefore w:val="0"/>
        <w:widowControl w:val="0"/>
        <w:tabs>
          <w:tab w:val="left" w:pos="2610"/>
        </w:tabs>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6.</w:t>
      </w:r>
      <w:r>
        <w:rPr>
          <w:rFonts w:hint="eastAsia" w:ascii="宋体" w:hAnsi="宋体" w:cs="宋体"/>
          <w:b w:val="0"/>
          <w:color w:val="auto"/>
          <w:sz w:val="24"/>
          <w:szCs w:val="24"/>
          <w:highlight w:val="none"/>
          <w:lang w:val="en-US" w:eastAsia="zh-CN"/>
        </w:rPr>
        <w:t>1</w:t>
      </w:r>
      <w:r>
        <w:rPr>
          <w:rFonts w:hint="eastAsia" w:ascii="宋体" w:hAnsi="宋体" w:eastAsia="宋体" w:cs="宋体"/>
          <w:color w:val="auto"/>
          <w:sz w:val="24"/>
          <w:szCs w:val="24"/>
          <w:highlight w:val="none"/>
        </w:rPr>
        <w:t>通讯设备可在恶劣天气中使用，在高噪音和有风情况下可实现工作员、驾驶员双方人员相互通话，设有独立的音量控制，能够提供连续、双向不用手持的通信设备。</w:t>
      </w:r>
    </w:p>
    <w:p>
      <w:pPr>
        <w:pStyle w:val="617"/>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★6.</w:t>
      </w:r>
      <w:r>
        <w:rPr>
          <w:rFonts w:hint="eastAsia" w:ascii="宋体" w:hAnsi="宋体" w:cs="宋体"/>
          <w:b w:val="0"/>
          <w:color w:val="auto"/>
          <w:sz w:val="24"/>
          <w:szCs w:val="24"/>
          <w:highlight w:val="none"/>
          <w:lang w:val="en-US" w:eastAsia="zh-CN"/>
        </w:rPr>
        <w:t>2</w:t>
      </w:r>
      <w:r>
        <w:rPr>
          <w:rFonts w:hint="eastAsia" w:ascii="宋体" w:hAnsi="宋体" w:eastAsia="宋体" w:cs="宋体"/>
          <w:color w:val="auto"/>
          <w:sz w:val="24"/>
          <w:szCs w:val="24"/>
          <w:highlight w:val="none"/>
        </w:rPr>
        <w:t>应配备必要的照明及黄色工作警告灯，不低于8KG的灭火瓶，外置灭火器安放支架，一对汽车轮挡及两个备胎（含轮毂）。</w:t>
      </w:r>
    </w:p>
    <w:p>
      <w:pPr>
        <w:pStyle w:val="617"/>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6.3厂家培训</w:t>
      </w: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中标人应对招标人的技术人员进行现场技术培训。投标书中必须列出</w:t>
      </w:r>
      <w:r>
        <w:rPr>
          <w:rFonts w:hint="eastAsia" w:ascii="宋体" w:hAnsi="宋体" w:cs="宋体"/>
          <w:color w:val="auto"/>
          <w:kern w:val="2"/>
          <w:sz w:val="24"/>
          <w:szCs w:val="24"/>
          <w:highlight w:val="none"/>
          <w:lang w:val="en-US" w:eastAsia="zh-CN" w:bidi="ar-SA"/>
        </w:rPr>
        <w:t>到现场</w:t>
      </w:r>
      <w:r>
        <w:rPr>
          <w:rFonts w:hint="eastAsia" w:ascii="宋体" w:hAnsi="宋体" w:eastAsia="宋体" w:cs="宋体"/>
          <w:color w:val="auto"/>
          <w:kern w:val="2"/>
          <w:sz w:val="24"/>
          <w:szCs w:val="24"/>
          <w:highlight w:val="none"/>
          <w:lang w:val="en-US" w:eastAsia="zh-CN" w:bidi="ar-SA"/>
        </w:rPr>
        <w:t>培训</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计划，包括</w:t>
      </w:r>
      <w:r>
        <w:rPr>
          <w:rFonts w:hint="eastAsia" w:ascii="宋体" w:hAnsi="宋体" w:cs="宋体"/>
          <w:color w:val="auto"/>
          <w:kern w:val="2"/>
          <w:sz w:val="24"/>
          <w:szCs w:val="24"/>
          <w:highlight w:val="none"/>
          <w:lang w:val="en-US" w:eastAsia="zh-CN" w:bidi="ar-SA"/>
        </w:rPr>
        <w:t>但不限于</w:t>
      </w:r>
      <w:r>
        <w:rPr>
          <w:rFonts w:hint="eastAsia" w:ascii="宋体" w:hAnsi="宋体" w:eastAsia="宋体" w:cs="宋体"/>
          <w:color w:val="auto"/>
          <w:kern w:val="2"/>
          <w:sz w:val="24"/>
          <w:szCs w:val="24"/>
          <w:highlight w:val="none"/>
          <w:lang w:val="en-US" w:eastAsia="zh-CN" w:bidi="ar-SA"/>
        </w:rPr>
        <w:t>培训内容、时间等。所有培训</w:t>
      </w:r>
      <w:r>
        <w:rPr>
          <w:rFonts w:hint="eastAsia" w:ascii="宋体" w:hAnsi="宋体" w:cs="宋体"/>
          <w:color w:val="auto"/>
          <w:kern w:val="2"/>
          <w:sz w:val="24"/>
          <w:szCs w:val="24"/>
          <w:highlight w:val="none"/>
          <w:lang w:val="en-US" w:eastAsia="zh-CN" w:bidi="ar-SA"/>
        </w:rPr>
        <w:t>文字及内容以</w:t>
      </w:r>
      <w:r>
        <w:rPr>
          <w:rFonts w:hint="eastAsia" w:ascii="宋体" w:hAnsi="宋体" w:eastAsia="宋体" w:cs="宋体"/>
          <w:color w:val="auto"/>
          <w:kern w:val="2"/>
          <w:sz w:val="24"/>
          <w:szCs w:val="24"/>
          <w:highlight w:val="none"/>
          <w:lang w:val="en-US" w:eastAsia="zh-CN" w:bidi="ar-SA"/>
        </w:rPr>
        <w:t>中文</w:t>
      </w:r>
      <w:r>
        <w:rPr>
          <w:rFonts w:hint="eastAsia" w:ascii="宋体" w:hAnsi="宋体" w:cs="宋体"/>
          <w:color w:val="auto"/>
          <w:kern w:val="2"/>
          <w:sz w:val="24"/>
          <w:szCs w:val="24"/>
          <w:highlight w:val="none"/>
          <w:lang w:val="en-US" w:eastAsia="zh-CN" w:bidi="ar-SA"/>
        </w:rPr>
        <w:t>为主</w:t>
      </w:r>
      <w:r>
        <w:rPr>
          <w:rFonts w:hint="eastAsia" w:ascii="宋体" w:hAnsi="宋体" w:eastAsia="宋体" w:cs="宋体"/>
          <w:color w:val="auto"/>
          <w:kern w:val="2"/>
          <w:sz w:val="24"/>
          <w:szCs w:val="24"/>
          <w:highlight w:val="none"/>
          <w:lang w:val="en-US" w:eastAsia="zh-CN" w:bidi="ar-SA"/>
        </w:rPr>
        <w:t>。车辆使用前，中标人应为招标人培训技术人员</w:t>
      </w:r>
      <w:r>
        <w:rPr>
          <w:rFonts w:hint="eastAsia" w:ascii="宋体" w:hAnsi="宋体" w:cs="宋体"/>
          <w:color w:val="auto"/>
          <w:kern w:val="2"/>
          <w:sz w:val="24"/>
          <w:szCs w:val="24"/>
          <w:highlight w:val="none"/>
          <w:lang w:val="en-US" w:eastAsia="zh-CN" w:bidi="ar-SA"/>
        </w:rPr>
        <w:t>不少于</w:t>
      </w:r>
      <w:r>
        <w:rPr>
          <w:rFonts w:hint="eastAsia" w:ascii="宋体" w:hAnsi="宋体" w:eastAsia="宋体" w:cs="宋体"/>
          <w:color w:val="auto"/>
          <w:kern w:val="2"/>
          <w:sz w:val="24"/>
          <w:szCs w:val="24"/>
          <w:highlight w:val="none"/>
          <w:lang w:val="en-US" w:eastAsia="zh-CN" w:bidi="ar-SA"/>
        </w:rPr>
        <w:t>4人，</w:t>
      </w:r>
      <w:r>
        <w:rPr>
          <w:rFonts w:hint="eastAsia" w:ascii="宋体" w:hAnsi="宋体" w:cs="宋体"/>
          <w:color w:val="auto"/>
          <w:kern w:val="2"/>
          <w:sz w:val="24"/>
          <w:szCs w:val="24"/>
          <w:highlight w:val="none"/>
          <w:lang w:val="en-US" w:eastAsia="zh-CN" w:bidi="ar-SA"/>
        </w:rPr>
        <w:t>可</w:t>
      </w:r>
      <w:r>
        <w:rPr>
          <w:rFonts w:hint="eastAsia" w:ascii="宋体" w:hAnsi="宋体" w:eastAsia="宋体" w:cs="宋体"/>
          <w:color w:val="auto"/>
          <w:kern w:val="2"/>
          <w:sz w:val="24"/>
          <w:szCs w:val="24"/>
          <w:highlight w:val="none"/>
          <w:lang w:val="en-US" w:eastAsia="zh-CN" w:bidi="ar-SA"/>
        </w:rPr>
        <w:t>分两批</w:t>
      </w:r>
      <w:r>
        <w:rPr>
          <w:rFonts w:hint="eastAsia" w:ascii="宋体" w:hAnsi="宋体" w:cs="宋体"/>
          <w:color w:val="auto"/>
          <w:kern w:val="2"/>
          <w:sz w:val="24"/>
          <w:szCs w:val="24"/>
          <w:highlight w:val="none"/>
          <w:lang w:val="en-US" w:eastAsia="zh-CN" w:bidi="ar-SA"/>
        </w:rPr>
        <w:t>（具体以招标人要求为主）</w:t>
      </w:r>
      <w:r>
        <w:rPr>
          <w:rFonts w:hint="eastAsia" w:ascii="宋体" w:hAnsi="宋体" w:eastAsia="宋体" w:cs="宋体"/>
          <w:color w:val="auto"/>
          <w:kern w:val="2"/>
          <w:sz w:val="24"/>
          <w:szCs w:val="24"/>
          <w:highlight w:val="none"/>
          <w:lang w:val="en-US" w:eastAsia="zh-CN" w:bidi="ar-SA"/>
        </w:rPr>
        <w:t>，每批</w:t>
      </w:r>
      <w:r>
        <w:rPr>
          <w:rFonts w:hint="eastAsia" w:ascii="宋体" w:hAnsi="宋体" w:cs="宋体"/>
          <w:color w:val="auto"/>
          <w:kern w:val="2"/>
          <w:sz w:val="24"/>
          <w:szCs w:val="24"/>
          <w:highlight w:val="none"/>
          <w:lang w:val="en-US" w:eastAsia="zh-CN" w:bidi="ar-SA"/>
        </w:rPr>
        <w:t>到现场培训时间不少于</w:t>
      </w:r>
      <w:r>
        <w:rPr>
          <w:rFonts w:hint="eastAsia" w:ascii="宋体" w:hAnsi="宋体" w:eastAsia="宋体" w:cs="宋体"/>
          <w:color w:val="auto"/>
          <w:kern w:val="2"/>
          <w:sz w:val="24"/>
          <w:szCs w:val="24"/>
          <w:highlight w:val="none"/>
          <w:lang w:val="en-US" w:eastAsia="zh-CN" w:bidi="ar-SA"/>
        </w:rPr>
        <w:t>5天。通过培训使招标人的技术人员达到熟练操作并了解车辆的结构、原理、功能和操作方法、驾驶安全、事故防范和自救互救、车辆故障检修和、保养和维护等知识。</w:t>
      </w: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p>
    <w:p>
      <w:pPr>
        <w:pStyle w:val="617"/>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p>
    <w:p>
      <w:pPr>
        <w:pStyle w:val="48"/>
        <w:kinsoku/>
        <w:overflowPunct/>
        <w:bidi w:val="0"/>
        <w:snapToGrid w:val="0"/>
        <w:spacing w:line="400" w:lineRule="exact"/>
        <w:jc w:val="center"/>
        <w:rPr>
          <w:rFonts w:hint="eastAsia" w:ascii="宋体" w:hAnsi="宋体" w:eastAsia="宋体" w:cs="宋体"/>
          <w:b/>
          <w:color w:val="auto"/>
          <w:sz w:val="36"/>
          <w:highlight w:val="none"/>
        </w:rPr>
      </w:pPr>
    </w:p>
    <w:p>
      <w:pPr>
        <w:pStyle w:val="48"/>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75"/>
      <w:bookmarkEnd w:id="76"/>
    </w:p>
    <w:p>
      <w:pPr>
        <w:pStyle w:val="48"/>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7"/>
    <w:bookmarkEnd w:id="78"/>
    <w:p>
      <w:pPr>
        <w:autoSpaceDE w:val="0"/>
        <w:autoSpaceDN w:val="0"/>
        <w:adjustRightInd w:val="0"/>
        <w:snapToGrid w:val="0"/>
        <w:spacing w:line="500" w:lineRule="exact"/>
        <w:jc w:val="center"/>
        <w:outlineLvl w:val="1"/>
        <w:rPr>
          <w:rFonts w:hint="eastAsia" w:ascii="宋体" w:hAnsi="宋体" w:eastAsia="宋体" w:cs="宋体"/>
          <w:b/>
          <w:bCs/>
          <w:color w:val="auto"/>
          <w:sz w:val="28"/>
          <w:szCs w:val="28"/>
          <w:highlight w:val="none"/>
          <w:lang w:val="zh-CN"/>
        </w:rPr>
      </w:pPr>
      <w:bookmarkStart w:id="79" w:name="_Toc15630516"/>
      <w:bookmarkStart w:id="80" w:name="_Toc2553"/>
      <w:bookmarkStart w:id="81" w:name="_Toc519670202"/>
      <w:bookmarkStart w:id="82" w:name="_Toc522530052"/>
      <w:bookmarkStart w:id="83" w:name="_Toc233618990"/>
      <w:bookmarkStart w:id="84" w:name="_Toc233618989"/>
      <w:r>
        <w:rPr>
          <w:rFonts w:hint="eastAsia" w:ascii="宋体" w:hAnsi="宋体" w:eastAsia="宋体" w:cs="宋体"/>
          <w:b/>
          <w:bCs/>
          <w:color w:val="auto"/>
          <w:sz w:val="28"/>
          <w:szCs w:val="28"/>
          <w:highlight w:val="none"/>
          <w:lang w:val="zh-CN"/>
        </w:rPr>
        <w:t>一、通用条款</w:t>
      </w:r>
      <w:bookmarkEnd w:id="79"/>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甲方（货物及服务购买方）：</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乙方（货物及服务提供或出让方）：</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5" w:name="_Toc56917319"/>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货物和服务的名称、技术规范和数量</w:t>
      </w:r>
      <w:bookmarkEnd w:id="85"/>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应与招标文件及投标人提供的技术偏离表相一致。</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6" w:name="_Toc56917320"/>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货物和服务的质量、技术标准</w:t>
      </w:r>
      <w:bookmarkEnd w:id="86"/>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7" w:name="_Toc56917321"/>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专利权</w:t>
      </w:r>
      <w:bookmarkEnd w:id="87"/>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乙方对—切可能的侵权指控负责。</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8" w:name="_Toc56917322"/>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风险责任</w:t>
      </w:r>
      <w:bookmarkEnd w:id="88"/>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执行本合同的过程中，确因在现有水平和条件下难以克服的技术困难，导致部分或全部失败所造成的损失，风险责任由乙方全部承担。</w:t>
      </w:r>
    </w:p>
    <w:p>
      <w:pPr>
        <w:keepNext w:val="0"/>
        <w:keepLines w:val="0"/>
        <w:pageBreakBefore w:val="0"/>
        <w:widowControl w:val="0"/>
        <w:numPr>
          <w:ilvl w:val="0"/>
          <w:numId w:val="6"/>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9" w:name="_Toc56917323"/>
      <w:r>
        <w:rPr>
          <w:rFonts w:hint="eastAsia" w:ascii="宋体" w:hAnsi="宋体" w:eastAsia="宋体" w:cs="宋体"/>
          <w:color w:val="auto"/>
          <w:sz w:val="24"/>
          <w:szCs w:val="24"/>
          <w:highlight w:val="none"/>
        </w:rPr>
        <w:t>无瑕疵条款</w:t>
      </w:r>
      <w:bookmarkEnd w:id="89"/>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乙方在交付货物和服务后发现有瑕疵或漏项的，乙方应负担由此而产生的一切损失。</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0" w:name="_Toc56917326"/>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合同转让和分包</w:t>
      </w:r>
      <w:bookmarkEnd w:id="90"/>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本合同不得转让。未经甲方书面同意，乙方不得将合同内容分包给第三方。</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1" w:name="_Toc56917327"/>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合同修改</w:t>
      </w:r>
      <w:bookmarkEnd w:id="91"/>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甲方与乙方双方的任何一方对合同内容提出修改，均应以书面形式通知对方，并达成由双方签署的合同修改书。原则性条款不允许修改。</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不可抗力事件处理</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r>
        <w:rPr>
          <w:rFonts w:hint="eastAsia" w:ascii="宋体" w:hAnsi="宋体" w:eastAsia="宋体" w:cs="宋体"/>
          <w:color w:val="auto"/>
          <w:sz w:val="24"/>
          <w:szCs w:val="24"/>
          <w:highlight w:val="none"/>
        </w:rPr>
        <w:t>在执行合同期限内，任何一方因不可抗力事件所致不能履行合同，则合同履行期可延长，延长期与不可抗力影响期相同。</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eastAsia="宋体" w:cs="宋体"/>
          <w:color w:val="auto"/>
          <w:sz w:val="24"/>
          <w:szCs w:val="24"/>
          <w:highlight w:val="none"/>
        </w:rPr>
        <w:t xml:space="preserve">不可抗力事件发生后，应立即通知对方，并寄送有关权威机构出具的证明。 </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8.3</w:t>
      </w:r>
      <w:r>
        <w:rPr>
          <w:rFonts w:hint="eastAsia" w:ascii="宋体" w:hAnsi="宋体" w:eastAsia="宋体" w:cs="宋体"/>
          <w:color w:val="auto"/>
          <w:sz w:val="24"/>
          <w:szCs w:val="24"/>
          <w:highlight w:val="none"/>
        </w:rPr>
        <w:t>不可抗力事件延续</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天以上，双方应通过友好协商，确定是否继续履行合同。</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延期责任</w:t>
      </w:r>
    </w:p>
    <w:p>
      <w:pPr>
        <w:keepNext w:val="0"/>
        <w:keepLines w:val="0"/>
        <w:pageBreakBefore w:val="0"/>
        <w:widowControl w:val="0"/>
        <w:kinsoku/>
        <w:overflowPunct/>
        <w:topLinePunct w:val="0"/>
        <w:autoSpaceDE w:val="0"/>
        <w:autoSpaceDN w:val="0"/>
        <w:bidi w:val="0"/>
        <w:adjustRightInd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甲乙双方因各自原因造成项目延期的，应分别承担相应责任。</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9.1</w:t>
      </w:r>
      <w:r>
        <w:rPr>
          <w:rFonts w:hint="eastAsia" w:ascii="宋体" w:hAnsi="宋体" w:eastAsia="宋体" w:cs="宋体"/>
          <w:color w:val="auto"/>
          <w:kern w:val="0"/>
          <w:sz w:val="24"/>
          <w:szCs w:val="24"/>
          <w:highlight w:val="none"/>
        </w:rPr>
        <w:t>乙方如遇不能按时交付或不能及时提供服务的情况，应及时以书面形式通知甲方，并说明理由。</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9.2</w:t>
      </w:r>
      <w:r>
        <w:rPr>
          <w:rFonts w:hint="eastAsia" w:ascii="宋体" w:hAnsi="宋体" w:eastAsia="宋体" w:cs="宋体"/>
          <w:color w:val="auto"/>
          <w:sz w:val="24"/>
          <w:szCs w:val="24"/>
          <w:highlight w:val="none"/>
        </w:rPr>
        <w:t>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罚款累计额度，以未交付相应合同总价价款为限。如供货逾期或安装逾期超出10天，除罚款外将扣除全部履约保证金，且甲方有权终止合同（如因甲方原因造成的工期延误除外）。</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因甲方原因造成工期延误，总工期相应顺延。由甲方造成的经济损失，甲方应承担相应责任。</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9.4</w:t>
      </w:r>
      <w:r>
        <w:rPr>
          <w:rFonts w:hint="eastAsia" w:ascii="宋体" w:hAnsi="宋体" w:eastAsia="宋体" w:cs="宋体"/>
          <w:color w:val="auto"/>
          <w:sz w:val="24"/>
          <w:szCs w:val="24"/>
          <w:highlight w:val="none"/>
        </w:rPr>
        <w:t>甲方应按合同约定时间支付相应货款，如有延误应按银行同期贷款利率支付延误时间的利息（由乙方原因造成的延误除外）。</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2" w:name="_Toc56917328"/>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违约责任</w:t>
      </w:r>
      <w:bookmarkEnd w:id="92"/>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3" w:name="_Toc56917329"/>
      <w:r>
        <w:rPr>
          <w:rFonts w:hint="eastAsia" w:ascii="宋体" w:hAnsi="宋体" w:cs="宋体"/>
          <w:color w:val="auto"/>
          <w:sz w:val="24"/>
          <w:szCs w:val="24"/>
          <w:highlight w:val="none"/>
          <w:lang w:val="en-US" w:eastAsia="zh-CN"/>
        </w:rPr>
        <w:t>10.1</w:t>
      </w:r>
      <w:r>
        <w:rPr>
          <w:rFonts w:hint="eastAsia" w:ascii="宋体" w:hAnsi="宋体" w:eastAsia="宋体" w:cs="宋体"/>
          <w:color w:val="auto"/>
          <w:sz w:val="24"/>
          <w:szCs w:val="24"/>
          <w:highlight w:val="none"/>
        </w:rPr>
        <w:t>除此合同另有约定外，乙方没有按本合同履行合同约定的义务的，视为违约，应承担由此给甲方造成的全部损失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并向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赔偿</w:t>
      </w:r>
      <w:r>
        <w:rPr>
          <w:rFonts w:hint="eastAsia" w:ascii="宋体" w:hAnsi="宋体" w:eastAsia="宋体" w:cs="宋体"/>
          <w:color w:val="auto"/>
          <w:sz w:val="24"/>
          <w:szCs w:val="24"/>
          <w:highlight w:val="none"/>
        </w:rPr>
        <w:t>合同款项百分之五</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违约金。</w:t>
      </w:r>
    </w:p>
    <w:bookmarkEnd w:id="93"/>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违约终止合同</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甲方在乙方存在如下违约情况时，有权考虑并提出终止全部或部分合同。</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11.1</w:t>
      </w:r>
      <w:r>
        <w:rPr>
          <w:rFonts w:hint="eastAsia" w:ascii="宋体" w:hAnsi="宋体" w:eastAsia="宋体" w:cs="宋体"/>
          <w:color w:val="auto"/>
          <w:sz w:val="24"/>
          <w:szCs w:val="24"/>
          <w:highlight w:val="none"/>
        </w:rPr>
        <w:t>乙方未能在合同规定期限或甲方同意延长的期限内交付全部或部分货物。</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11.2</w:t>
      </w:r>
      <w:r>
        <w:rPr>
          <w:rFonts w:hint="eastAsia" w:ascii="宋体" w:hAnsi="宋体" w:eastAsia="宋体" w:cs="宋体"/>
          <w:color w:val="auto"/>
          <w:sz w:val="24"/>
          <w:szCs w:val="24"/>
          <w:highlight w:val="none"/>
        </w:rPr>
        <w:t>乙方未能履行合同规定的其他义务。</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11.3</w:t>
      </w:r>
      <w:r>
        <w:rPr>
          <w:rFonts w:hint="eastAsia" w:ascii="宋体" w:hAnsi="宋体" w:eastAsia="宋体" w:cs="宋体"/>
          <w:color w:val="auto"/>
          <w:sz w:val="24"/>
          <w:szCs w:val="24"/>
          <w:highlight w:val="none"/>
        </w:rPr>
        <w:t>在发生上述情况后，乙方收到甲方的违约通知后10天内未能纠正其过失。</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争议的解决</w:t>
      </w:r>
    </w:p>
    <w:p>
      <w:pPr>
        <w:keepNext w:val="0"/>
        <w:keepLines w:val="0"/>
        <w:pageBreakBefore w:val="0"/>
        <w:widowControl w:val="0"/>
        <w:tabs>
          <w:tab w:val="left" w:pos="540"/>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rPr>
      </w:pPr>
      <w:bookmarkStart w:id="94" w:name="_Toc15630517"/>
      <w:bookmarkStart w:id="95" w:name="_Toc359922941"/>
      <w:r>
        <w:rPr>
          <w:rFonts w:hint="eastAsia" w:ascii="宋体" w:hAnsi="宋体" w:cs="宋体"/>
          <w:bCs/>
          <w:color w:val="auto"/>
          <w:sz w:val="24"/>
          <w:szCs w:val="24"/>
          <w:highlight w:val="none"/>
          <w:lang w:val="en-US" w:eastAsia="zh-CN"/>
        </w:rPr>
        <w:t>12.1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合同在履行过程中发生争议时，甲方与乙方及时协商解决。协商不成时，</w:t>
      </w:r>
      <w:r>
        <w:rPr>
          <w:rFonts w:hint="eastAsia" w:ascii="宋体" w:hAnsi="宋体" w:eastAsia="宋体" w:cs="宋体"/>
          <w:color w:val="auto"/>
          <w:sz w:val="24"/>
          <w:szCs w:val="24"/>
          <w:highlight w:val="none"/>
        </w:rPr>
        <w:t>约定向衢州仲裁委员会提请仲裁</w:t>
      </w:r>
      <w:r>
        <w:rPr>
          <w:rFonts w:hint="eastAsia" w:ascii="宋体" w:hAnsi="宋体" w:eastAsia="宋体" w:cs="宋体"/>
          <w:bCs/>
          <w:color w:val="auto"/>
          <w:sz w:val="24"/>
          <w:szCs w:val="24"/>
          <w:highlight w:val="none"/>
        </w:rPr>
        <w:t>。</w:t>
      </w:r>
    </w:p>
    <w:p>
      <w:pPr>
        <w:keepNext w:val="0"/>
        <w:keepLines w:val="0"/>
        <w:pageBreakBefore w:val="0"/>
        <w:widowControl w:val="0"/>
        <w:tabs>
          <w:tab w:val="left" w:pos="54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12.2</w:t>
      </w:r>
      <w:r>
        <w:rPr>
          <w:rFonts w:hint="eastAsia" w:ascii="宋体" w:hAnsi="宋体" w:eastAsia="宋体" w:cs="宋体"/>
          <w:bCs/>
          <w:color w:val="auto"/>
          <w:sz w:val="24"/>
          <w:szCs w:val="24"/>
          <w:highlight w:val="none"/>
        </w:rPr>
        <w:t>对于因违反或终止合同而引起的损失、损害的赔偿，由甲方与乙方友好协商解决，经协商仍未能达成一致的，</w:t>
      </w:r>
      <w:r>
        <w:rPr>
          <w:rFonts w:hint="eastAsia" w:ascii="宋体" w:hAnsi="宋体" w:eastAsia="宋体" w:cs="宋体"/>
          <w:color w:val="auto"/>
          <w:sz w:val="24"/>
          <w:szCs w:val="24"/>
          <w:highlight w:val="none"/>
        </w:rPr>
        <w:t>约定向衢州仲裁委员会提请仲裁</w:t>
      </w:r>
      <w:r>
        <w:rPr>
          <w:rFonts w:hint="eastAsia" w:ascii="宋体" w:hAnsi="宋体" w:eastAsia="宋体" w:cs="宋体"/>
          <w:bCs/>
          <w:color w:val="auto"/>
          <w:sz w:val="24"/>
          <w:szCs w:val="24"/>
          <w:highlight w:val="none"/>
        </w:rPr>
        <w:t>。</w:t>
      </w:r>
      <w:bookmarkEnd w:id="94"/>
      <w:bookmarkEnd w:id="95"/>
    </w:p>
    <w:p>
      <w:pPr>
        <w:keepNext w:val="0"/>
        <w:keepLines w:val="0"/>
        <w:pageBreakBefore w:val="0"/>
        <w:widowControl w:val="0"/>
        <w:kinsoku/>
        <w:overflowPunct/>
        <w:topLinePunct w:val="0"/>
        <w:autoSpaceDE w:val="0"/>
        <w:autoSpaceDN w:val="0"/>
        <w:bidi w:val="0"/>
        <w:adjustRightInd w:val="0"/>
        <w:snapToGrid w:val="0"/>
        <w:spacing w:line="360" w:lineRule="auto"/>
        <w:ind w:left="425" w:right="0" w:rightChars="0" w:firstLine="482" w:firstLineChars="200"/>
        <w:jc w:val="center"/>
        <w:textAlignment w:val="auto"/>
        <w:outlineLvl w:val="1"/>
        <w:rPr>
          <w:rFonts w:hint="eastAsia" w:ascii="宋体" w:hAnsi="宋体" w:eastAsia="宋体" w:cs="宋体"/>
          <w:b/>
          <w:bCs/>
          <w:color w:val="auto"/>
          <w:sz w:val="24"/>
          <w:szCs w:val="24"/>
          <w:highlight w:val="none"/>
          <w:lang w:val="zh-CN"/>
        </w:rPr>
      </w:pPr>
      <w:bookmarkStart w:id="96" w:name="_Toc15630518"/>
      <w:r>
        <w:rPr>
          <w:rFonts w:hint="eastAsia" w:ascii="宋体" w:hAnsi="宋体" w:eastAsia="宋体" w:cs="宋体"/>
          <w:b/>
          <w:bCs/>
          <w:color w:val="auto"/>
          <w:sz w:val="24"/>
          <w:szCs w:val="24"/>
          <w:highlight w:val="none"/>
          <w:lang w:val="zh-CN"/>
        </w:rPr>
        <w:t>二、专用条款</w:t>
      </w:r>
      <w:bookmarkEnd w:id="96"/>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甲、乙双方根据（项目编号：__________）项目招标结果和招标文件的要求，并经双方协调一致，订立本采购合同。</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合同文件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eastAsia="宋体" w:cs="宋体"/>
          <w:color w:val="auto"/>
          <w:sz w:val="24"/>
          <w:szCs w:val="24"/>
          <w:highlight w:val="none"/>
        </w:rPr>
        <w:t>本合同书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中标/成交通知书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eastAsia="宋体" w:cs="宋体"/>
          <w:color w:val="auto"/>
          <w:sz w:val="24"/>
          <w:szCs w:val="24"/>
          <w:highlight w:val="none"/>
        </w:rPr>
        <w:t>中标单位投标文件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13.4</w:t>
      </w:r>
      <w:r>
        <w:rPr>
          <w:rFonts w:hint="eastAsia" w:ascii="宋体" w:hAnsi="宋体" w:eastAsia="宋体" w:cs="宋体"/>
          <w:color w:val="auto"/>
          <w:sz w:val="24"/>
          <w:szCs w:val="24"/>
          <w:highlight w:val="none"/>
        </w:rPr>
        <w:t>变更补充文件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13.5</w:t>
      </w:r>
      <w:r>
        <w:rPr>
          <w:rFonts w:hint="eastAsia" w:ascii="宋体" w:hAnsi="宋体" w:eastAsia="宋体" w:cs="宋体"/>
          <w:color w:val="auto"/>
          <w:sz w:val="24"/>
          <w:szCs w:val="24"/>
          <w:highlight w:val="none"/>
        </w:rPr>
        <w:t>招标文件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13.6</w:t>
      </w:r>
      <w:r>
        <w:rPr>
          <w:rFonts w:hint="eastAsia" w:ascii="宋体" w:hAnsi="宋体" w:eastAsia="宋体" w:cs="宋体"/>
          <w:color w:val="auto"/>
          <w:sz w:val="24"/>
          <w:szCs w:val="24"/>
          <w:highlight w:val="none"/>
        </w:rPr>
        <w:t>本合同专用条款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13.7</w:t>
      </w:r>
      <w:r>
        <w:rPr>
          <w:rFonts w:hint="eastAsia" w:ascii="宋体" w:hAnsi="宋体" w:eastAsia="宋体" w:cs="宋体"/>
          <w:color w:val="auto"/>
          <w:sz w:val="24"/>
          <w:szCs w:val="24"/>
          <w:highlight w:val="none"/>
        </w:rPr>
        <w:t>本合同通用条款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13.8</w:t>
      </w:r>
      <w:r>
        <w:rPr>
          <w:rFonts w:hint="eastAsia" w:ascii="宋体" w:hAnsi="宋体" w:eastAsia="宋体" w:cs="宋体"/>
          <w:color w:val="auto"/>
          <w:sz w:val="24"/>
          <w:szCs w:val="24"/>
          <w:highlight w:val="none"/>
        </w:rPr>
        <w:t>标准、规范、图纸及有关技术文件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13.9</w:t>
      </w:r>
      <w:r>
        <w:rPr>
          <w:rFonts w:hint="eastAsia" w:ascii="宋体" w:hAnsi="宋体" w:eastAsia="宋体" w:cs="宋体"/>
          <w:color w:val="auto"/>
          <w:sz w:val="24"/>
          <w:szCs w:val="24"/>
          <w:highlight w:val="none"/>
        </w:rPr>
        <w:t>其他</w:t>
      </w:r>
    </w:p>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上述所指合同文件应认为是互相补充和解释的，但是有模棱两可或互相矛盾之处，以其所列内容顺序为准。</w:t>
      </w:r>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 xml:space="preserve"> 单位：元</w:t>
      </w:r>
    </w:p>
    <w:tbl>
      <w:tblPr>
        <w:tblStyle w:val="97"/>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80" w:type="dxa"/>
            <w:gridSpan w:val="6"/>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本次的</w:t>
      </w:r>
      <w:r>
        <w:rPr>
          <w:rFonts w:hint="eastAsia" w:ascii="宋体" w:hAnsi="宋体" w:cs="宋体"/>
          <w:color w:val="auto"/>
          <w:sz w:val="24"/>
          <w:szCs w:val="24"/>
          <w:highlight w:val="none"/>
          <w:lang w:eastAsia="zh-CN"/>
        </w:rPr>
        <w:t>报价</w:t>
      </w:r>
      <w:r>
        <w:rPr>
          <w:rFonts w:hint="eastAsia" w:ascii="宋体" w:hAnsi="宋体" w:cs="宋体"/>
          <w:bCs/>
          <w:color w:val="auto"/>
          <w:sz w:val="24"/>
          <w:szCs w:val="24"/>
          <w:highlight w:val="none"/>
          <w:lang w:val="zh-CN"/>
        </w:rPr>
        <w:t>包括整车、车辆购置税、运输费、附件费、车辆调试费、辅料费（如有）、设备维护费、培训费、税金、完成本项目的其它费用和政策性文件规定及合同包含的所有风险、责任等各项应有费用等所有费用。</w:t>
      </w:r>
      <w:r>
        <w:rPr>
          <w:rFonts w:hint="eastAsia" w:ascii="宋体" w:hAnsi="宋体" w:eastAsia="宋体" w:cs="宋体"/>
          <w:b/>
          <w:color w:val="auto"/>
          <w:kern w:val="0"/>
          <w:sz w:val="24"/>
          <w:szCs w:val="24"/>
          <w:highlight w:val="none"/>
        </w:rPr>
        <w:t xml:space="preserve">  </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质量保证</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14.1</w:t>
      </w:r>
      <w:r>
        <w:rPr>
          <w:rFonts w:hint="eastAsia" w:ascii="宋体" w:hAnsi="宋体" w:eastAsia="宋体" w:cs="宋体"/>
          <w:color w:val="auto"/>
          <w:kern w:val="0"/>
          <w:sz w:val="24"/>
          <w:szCs w:val="24"/>
          <w:highlight w:val="none"/>
        </w:rPr>
        <w:t>乙方应保证货物是全新、未使用过的原装合格正品，并完全符合招标文件及本合同规定的质量、规格和性能的要求。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14.2</w:t>
      </w:r>
      <w:r>
        <w:rPr>
          <w:rFonts w:hint="eastAsia" w:ascii="宋体" w:hAnsi="宋体" w:eastAsia="宋体" w:cs="宋体"/>
          <w:color w:val="auto"/>
          <w:kern w:val="0"/>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14.3</w:t>
      </w:r>
      <w:r>
        <w:rPr>
          <w:rFonts w:hint="eastAsia" w:ascii="宋体" w:hAnsi="宋体" w:eastAsia="宋体" w:cs="宋体"/>
          <w:color w:val="auto"/>
          <w:kern w:val="0"/>
          <w:sz w:val="24"/>
          <w:szCs w:val="24"/>
          <w:highlight w:val="none"/>
        </w:rPr>
        <w:t xml:space="preserve">产品的包装，国家或行业主管部门有规定的，按规定执行。 </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14.4乙方提供主要设备的质量保证期为验收合格并正式移交甲方之日开始计算，整车质保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年，动力电池质保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年，驱动电机及控制器质保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。如甲方原因导致不能及时安装的，产品的质保期自到货之日起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个月后开始计算。在质保期内因产品本身的质量问题发生故障，乙方应负责免费修理</w:t>
      </w:r>
      <w:r>
        <w:rPr>
          <w:rFonts w:hint="eastAsia" w:ascii="宋体" w:hAnsi="宋体" w:eastAsia="宋体" w:cs="宋体"/>
          <w:color w:val="auto"/>
          <w:kern w:val="0"/>
          <w:sz w:val="24"/>
          <w:szCs w:val="24"/>
          <w:highlight w:val="none"/>
          <w:lang w:eastAsia="zh-CN"/>
        </w:rPr>
        <w:t>，如故障通过修理不能达到正常使用标准或故障不能修理的，乙方应负责免费</w:t>
      </w:r>
      <w:r>
        <w:rPr>
          <w:rFonts w:hint="eastAsia" w:ascii="宋体" w:hAnsi="宋体" w:eastAsia="宋体" w:cs="宋体"/>
          <w:color w:val="auto"/>
          <w:kern w:val="0"/>
          <w:sz w:val="24"/>
          <w:szCs w:val="24"/>
          <w:highlight w:val="none"/>
        </w:rPr>
        <w:t>更换 。质保期后若出现问题需要更换零件，乙方需以最优惠成本价格提供给甲方，不得增加其他费用。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14.5</w:t>
      </w:r>
      <w:r>
        <w:rPr>
          <w:rFonts w:hint="eastAsia" w:ascii="宋体" w:hAnsi="宋体" w:eastAsia="宋体" w:cs="宋体"/>
          <w:color w:val="auto"/>
          <w:kern w:val="0"/>
          <w:sz w:val="24"/>
          <w:szCs w:val="24"/>
          <w:highlight w:val="none"/>
        </w:rPr>
        <w:t>所提供的货物及服务完全符合合同规定的运行性能和安全要求，乙方应保护甲方在使用该系统或其任何一</w:t>
      </w:r>
      <w:r>
        <w:rPr>
          <w:rFonts w:hint="eastAsia" w:ascii="宋体" w:hAnsi="宋体" w:eastAsia="宋体" w:cs="宋体"/>
          <w:color w:val="auto"/>
          <w:sz w:val="24"/>
          <w:szCs w:val="24"/>
          <w:highlight w:val="none"/>
        </w:rPr>
        <w:t>部分时不受第三方提出侵犯专利权、商标权或工业设备等知识产权的指控，如果第三方提出侵权指控，乙方须与第三方交涉并承担可能发生的一切法律责任和费用。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14.6</w:t>
      </w:r>
      <w:r>
        <w:rPr>
          <w:rFonts w:hint="eastAsia" w:ascii="宋体" w:hAnsi="宋体" w:eastAsia="宋体" w:cs="宋体"/>
          <w:color w:val="auto"/>
          <w:sz w:val="24"/>
          <w:szCs w:val="24"/>
          <w:highlight w:val="none"/>
        </w:rPr>
        <w:t>项目完成后，运行结果符合产品标准和本</w:t>
      </w:r>
      <w:r>
        <w:rPr>
          <w:rFonts w:hint="eastAsia" w:ascii="宋体" w:hAnsi="宋体" w:eastAsia="宋体" w:cs="宋体"/>
          <w:color w:val="auto"/>
          <w:kern w:val="0"/>
          <w:sz w:val="24"/>
          <w:szCs w:val="24"/>
          <w:highlight w:val="none"/>
        </w:rPr>
        <w:t>招标</w:t>
      </w:r>
      <w:r>
        <w:rPr>
          <w:rFonts w:hint="eastAsia" w:ascii="宋体" w:hAnsi="宋体" w:eastAsia="宋体" w:cs="宋体"/>
          <w:color w:val="auto"/>
          <w:sz w:val="24"/>
          <w:szCs w:val="24"/>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14.7</w:t>
      </w:r>
      <w:r>
        <w:rPr>
          <w:rFonts w:hint="eastAsia" w:ascii="宋体" w:hAnsi="宋体" w:eastAsia="宋体" w:cs="宋体"/>
          <w:color w:val="auto"/>
          <w:kern w:val="0"/>
          <w:sz w:val="24"/>
          <w:szCs w:val="24"/>
          <w:highlight w:val="none"/>
          <w:lang w:val="en-US" w:eastAsia="zh-CN"/>
        </w:rPr>
        <w:t>乙方保证设备</w:t>
      </w:r>
      <w:r>
        <w:rPr>
          <w:rFonts w:hint="eastAsia" w:ascii="宋体" w:hAnsi="宋体" w:eastAsia="宋体" w:cs="宋体"/>
          <w:color w:val="auto"/>
          <w:kern w:val="0"/>
          <w:sz w:val="24"/>
          <w:szCs w:val="24"/>
          <w:highlight w:val="none"/>
        </w:rPr>
        <w:t>验收通过</w:t>
      </w:r>
      <w:r>
        <w:rPr>
          <w:rFonts w:hint="eastAsia" w:ascii="宋体" w:hAnsi="宋体" w:eastAsia="宋体" w:cs="宋体"/>
          <w:color w:val="auto"/>
          <w:kern w:val="0"/>
          <w:sz w:val="24"/>
          <w:szCs w:val="24"/>
          <w:highlight w:val="none"/>
          <w:lang w:eastAsia="zh-CN"/>
        </w:rPr>
        <w:t>，由此发生的费用均由乙方承担。</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rPr>
        <w:t>设备从初验合格次日起7天内，出现非甲方人为因素造成的无法排除的故障，由乙方予以整机调换。</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14.9</w:t>
      </w:r>
      <w:r>
        <w:rPr>
          <w:rFonts w:hint="eastAsia" w:ascii="宋体" w:hAnsi="宋体" w:eastAsia="宋体" w:cs="宋体"/>
          <w:color w:val="auto"/>
          <w:sz w:val="24"/>
          <w:szCs w:val="24"/>
          <w:highlight w:val="none"/>
        </w:rPr>
        <w:t>工程终验时，乙方须提供已办妥的相应质保及售后服务手续，同时，协助甲方通过电话查询售后服务手续办理情况予以验证。</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u w:val="single"/>
          <w:lang w:val="en-US" w:eastAsia="zh-CN"/>
        </w:rPr>
        <w:t>14.10</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到货验收及调试</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15.1</w:t>
      </w:r>
      <w:r>
        <w:rPr>
          <w:rFonts w:hint="eastAsia" w:ascii="宋体" w:hAnsi="宋体" w:eastAsia="宋体" w:cs="宋体"/>
          <w:color w:val="auto"/>
          <w:sz w:val="24"/>
          <w:szCs w:val="24"/>
          <w:highlight w:val="none"/>
        </w:rPr>
        <w:t>乙方将所供设备运至</w:t>
      </w:r>
      <w:r>
        <w:rPr>
          <w:rFonts w:hint="eastAsia" w:ascii="宋体" w:hAnsi="宋体" w:eastAsia="宋体" w:cs="宋体"/>
          <w:color w:val="auto"/>
          <w:sz w:val="24"/>
          <w:szCs w:val="24"/>
          <w:highlight w:val="none"/>
          <w:lang w:eastAsia="zh-CN"/>
        </w:rPr>
        <w:t>甲方指定地点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向甲方提供到货证明</w:t>
      </w:r>
      <w:r>
        <w:rPr>
          <w:rFonts w:hint="eastAsia" w:ascii="宋体" w:hAnsi="宋体" w:eastAsia="宋体" w:cs="宋体"/>
          <w:color w:val="auto"/>
          <w:sz w:val="24"/>
          <w:szCs w:val="24"/>
          <w:highlight w:val="none"/>
          <w:lang w:eastAsia="zh-CN"/>
        </w:rPr>
        <w:t>，设备的运费及运输途中风险均由乙方承担</w:t>
      </w:r>
      <w:r>
        <w:rPr>
          <w:rFonts w:hint="eastAsia" w:ascii="宋体" w:hAnsi="宋体" w:eastAsia="宋体" w:cs="宋体"/>
          <w:color w:val="auto"/>
          <w:sz w:val="24"/>
          <w:szCs w:val="24"/>
          <w:highlight w:val="none"/>
        </w:rPr>
        <w:t>。采购人在收到到货证明5天内，对货物的外观、规格、数量、进行检验。如发现货物的外观、规格、数量与合同规定不符，甲方有权拒绝接受。设备到货时，须提供设备正常途径的供货证明。</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15.2</w:t>
      </w:r>
      <w:r>
        <w:rPr>
          <w:rFonts w:hint="eastAsia" w:ascii="宋体" w:hAnsi="宋体" w:eastAsia="宋体" w:cs="宋体"/>
          <w:color w:val="auto"/>
          <w:sz w:val="24"/>
          <w:szCs w:val="24"/>
          <w:highlight w:val="none"/>
        </w:rPr>
        <w:t>所供设备现场设备安装时，根据要求决定是否由(原厂/乙方)工程师负责实施。主要内容如下：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15.2.1</w:t>
      </w:r>
      <w:r>
        <w:rPr>
          <w:rFonts w:hint="eastAsia" w:ascii="宋体" w:hAnsi="宋体" w:eastAsia="宋体" w:cs="宋体"/>
          <w:color w:val="auto"/>
          <w:sz w:val="24"/>
          <w:szCs w:val="24"/>
          <w:highlight w:val="none"/>
        </w:rPr>
        <w:t>乙方应完成供货、安装，并协助用户完成整套设备系统的正常、稳定运行。包括：协助用户完成设备安装环境准备并验收</w:t>
      </w:r>
      <w:r>
        <w:rPr>
          <w:rFonts w:hint="eastAsia" w:ascii="宋体" w:hAnsi="宋体" w:eastAsia="宋体" w:cs="宋体"/>
          <w:color w:val="auto"/>
          <w:sz w:val="24"/>
          <w:szCs w:val="24"/>
          <w:highlight w:val="none"/>
          <w:lang w:val="zh-CN"/>
        </w:rPr>
        <w:t>，负责设备系统的初期维护等，并完成验收前期的各项准备工作等。</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15.2.2</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15.2.3</w:t>
      </w:r>
      <w:r>
        <w:rPr>
          <w:rFonts w:hint="eastAsia" w:ascii="宋体" w:hAnsi="宋体" w:eastAsia="宋体" w:cs="宋体"/>
          <w:color w:val="auto"/>
          <w:sz w:val="24"/>
          <w:szCs w:val="24"/>
          <w:highlight w:val="none"/>
          <w:lang w:val="zh-CN"/>
        </w:rPr>
        <w:t>验收分到货清点验收、系统集成初验、项目终验三阶段。乙方将所供设备运至交货地点，在甲方人员在场时拆箱，由甲方当场清点验收。安装调试完毕后，协助甲方完成系统集成初验。</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15.2.4</w:t>
      </w:r>
      <w:r>
        <w:rPr>
          <w:rFonts w:hint="eastAsia" w:ascii="宋体" w:hAnsi="宋体" w:eastAsia="宋体" w:cs="宋体"/>
          <w:color w:val="auto"/>
          <w:sz w:val="24"/>
          <w:szCs w:val="24"/>
          <w:highlight w:val="none"/>
          <w:lang w:val="zh-CN"/>
        </w:rPr>
        <w:t>设备从初验合格次日起7天内，出现非甲方人为因素造成的无法排除的故障，由乙方予以整机调换。</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15.2.5</w:t>
      </w:r>
      <w:r>
        <w:rPr>
          <w:rFonts w:hint="eastAsia" w:ascii="宋体" w:hAnsi="宋体" w:eastAsia="宋体" w:cs="宋体"/>
          <w:color w:val="auto"/>
          <w:sz w:val="24"/>
          <w:szCs w:val="24"/>
          <w:highlight w:val="none"/>
          <w:lang w:val="zh-CN"/>
        </w:rPr>
        <w:t>项目终验在设备安装调试完毕，乙方为甲方临床应用培训结束且各类商检、计量等检测完成合格后组织实施。项目终验时，乙方须提供已办妥相应质保及售后服务手续，同时，协助甲方通过电话查询售后服务手续办理情况予以验证。</w:t>
      </w:r>
    </w:p>
    <w:p>
      <w:pPr>
        <w:keepNext w:val="0"/>
        <w:keepLines w:val="0"/>
        <w:pageBreakBefore w:val="0"/>
        <w:widowControl w:val="0"/>
        <w:numPr>
          <w:ilvl w:val="0"/>
          <w:numId w:val="0"/>
        </w:numPr>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u w:val="single"/>
          <w:lang w:val="en-US" w:eastAsia="zh-CN"/>
        </w:rPr>
        <w:t>15.2.6</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安装试运行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lang w:val="zh-CN"/>
        </w:rPr>
        <w:t>乙方负责设备购置、安装、调试、试运行等全过程的工作。</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lang w:val="zh-CN"/>
        </w:rPr>
        <w:t>设备试运行应在甲方的监督下进行，此类监督不免除乙方应承担的相关责任。</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u w:val="single"/>
          <w:lang w:val="en-US" w:eastAsia="zh-CN"/>
        </w:rPr>
        <w:t>16.4</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需提供的资料</w:t>
      </w:r>
      <w:bookmarkStart w:id="97" w:name="OLE_LINK46"/>
    </w:p>
    <w:bookmarkEnd w:id="97"/>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lang w:val="zh-CN"/>
        </w:rPr>
        <w:t>乙方应对合同中提供的设备主要部件建立质量保证计划。</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lang w:val="zh-CN"/>
        </w:rPr>
        <w:t>提供所有技术说明文档和设备安装、维护使用说明书。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lang w:val="zh-CN"/>
        </w:rPr>
        <w:t>设备及其和安装有关的技术原理图、接线图。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lang w:val="zh-CN"/>
        </w:rPr>
        <w:t>随机的辅助设备、专用电线电缆、随机软件、维修密钥、技术资料（包括操作手册、使用指南、维修指南和含维修网点在内的服务手册等）。</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17.6</w:t>
      </w:r>
      <w:r>
        <w:rPr>
          <w:rFonts w:hint="eastAsia" w:ascii="宋体" w:hAnsi="宋体" w:eastAsia="宋体" w:cs="宋体"/>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17.7</w:t>
      </w:r>
      <w:r>
        <w:rPr>
          <w:rFonts w:hint="eastAsia" w:ascii="宋体" w:hAnsi="宋体" w:eastAsia="宋体" w:cs="宋体"/>
          <w:color w:val="auto"/>
          <w:sz w:val="24"/>
          <w:szCs w:val="24"/>
          <w:highlight w:val="none"/>
          <w:lang w:val="zh-CN"/>
        </w:rPr>
        <w:t>在所供设备交付使用时，乙方必须向甲方提供产品说明书、质量保证书、保修卡、配置文档、使用手册、测试文档等必须具备的相关资料和必备的附件。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17.8</w:t>
      </w:r>
      <w:r>
        <w:rPr>
          <w:rFonts w:hint="eastAsia" w:ascii="宋体" w:hAnsi="宋体" w:eastAsia="宋体" w:cs="宋体"/>
          <w:color w:val="auto"/>
          <w:sz w:val="24"/>
          <w:szCs w:val="24"/>
          <w:highlight w:val="none"/>
          <w:lang w:val="zh-CN"/>
        </w:rPr>
        <w:t>乙方认为可能需要的其它文件。</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zh-CN"/>
        </w:rPr>
        <w:t>付款方式</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甲方在合同生效以及具备实施条件后7 个工作日内支付合同价款的40%，设备供货调试完成后，并经采购人验收合格后向中标人支付合同价款的60%。</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注：甲方凭乙方提供的正式税务发票付款，本合同执行中相关的一切税费均由乙方承担。</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zh-CN"/>
        </w:rPr>
        <w:t>培训</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19.1</w:t>
      </w:r>
      <w:bookmarkStart w:id="98" w:name="OLE_LINK1"/>
      <w:r>
        <w:rPr>
          <w:rFonts w:hint="eastAsia" w:ascii="宋体" w:hAnsi="宋体" w:cs="宋体"/>
          <w:color w:val="auto"/>
          <w:sz w:val="24"/>
          <w:szCs w:val="24"/>
          <w:highlight w:val="none"/>
          <w:lang w:val="en-US" w:eastAsia="zh-CN"/>
        </w:rPr>
        <w:t>培训在项目实施过程中按采购人确定的时间进行，乙方提供</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名厂方免费培训名额，甲方培训人员的交通费、住宿费由甲方自行承担</w:t>
      </w:r>
      <w:r>
        <w:rPr>
          <w:rFonts w:hint="eastAsia" w:ascii="宋体" w:hAnsi="宋体" w:eastAsia="宋体" w:cs="宋体"/>
          <w:color w:val="auto"/>
          <w:sz w:val="24"/>
          <w:szCs w:val="24"/>
          <w:highlight w:val="none"/>
          <w:lang w:val="zh-CN"/>
        </w:rPr>
        <w:t>。</w:t>
      </w:r>
      <w:bookmarkEnd w:id="98"/>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val="zh-CN"/>
        </w:rPr>
        <w:t>本项目培训要求（</w:t>
      </w:r>
      <w:r>
        <w:rPr>
          <w:rFonts w:hint="eastAsia" w:ascii="宋体" w:hAnsi="宋体" w:eastAsia="宋体" w:cs="宋体"/>
          <w:color w:val="auto"/>
          <w:sz w:val="24"/>
          <w:szCs w:val="24"/>
          <w:highlight w:val="none"/>
          <w:u w:val="single"/>
        </w:rPr>
        <w:t>视项目需要可具体细化</w:t>
      </w:r>
      <w:r>
        <w:rPr>
          <w:rFonts w:hint="eastAsia" w:ascii="宋体" w:hAnsi="宋体" w:eastAsia="宋体" w:cs="宋体"/>
          <w:color w:val="auto"/>
          <w:sz w:val="24"/>
          <w:szCs w:val="24"/>
          <w:highlight w:val="none"/>
          <w:lang w:val="zh-CN"/>
        </w:rPr>
        <w:t>）：</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售后服务</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20.1</w:t>
      </w:r>
      <w:r>
        <w:rPr>
          <w:rFonts w:hint="eastAsia" w:ascii="宋体" w:hAnsi="宋体" w:eastAsia="宋体" w:cs="宋体"/>
          <w:color w:val="auto"/>
          <w:sz w:val="24"/>
          <w:szCs w:val="24"/>
          <w:highlight w:val="none"/>
        </w:rPr>
        <w:t>售后服务内容以乙方承诺及相关要求等为准。备品备件的替换应按同等性能、同等配置要求进行。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20.2</w:t>
      </w:r>
      <w:r>
        <w:rPr>
          <w:rFonts w:hint="eastAsia" w:ascii="宋体" w:hAnsi="宋体" w:eastAsia="宋体" w:cs="宋体"/>
          <w:color w:val="auto"/>
          <w:sz w:val="24"/>
          <w:szCs w:val="24"/>
          <w:highlight w:val="none"/>
          <w:lang w:val="zh-CN"/>
        </w:rPr>
        <w:t>乙方应明确承诺售后服务保证，提供详细的服务地点、联系人、电话等有关资料；</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20.3</w:t>
      </w:r>
      <w:r>
        <w:rPr>
          <w:rFonts w:hint="eastAsia" w:ascii="宋体" w:hAnsi="宋体" w:eastAsia="宋体" w:cs="宋体"/>
          <w:color w:val="auto"/>
          <w:sz w:val="24"/>
          <w:szCs w:val="24"/>
          <w:highlight w:val="none"/>
          <w:lang w:val="zh-CN"/>
        </w:rPr>
        <w:t xml:space="preserve">质保期符合或优于国家标准（采购需求表中另有约定的例外）。在质保期内，设备的维修和保养所发生的一切费用均由乙方承担； </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20.4</w:t>
      </w:r>
      <w:r>
        <w:rPr>
          <w:rFonts w:hint="eastAsia" w:ascii="宋体" w:hAnsi="宋体" w:eastAsia="宋体" w:cs="宋体"/>
          <w:color w:val="auto"/>
          <w:sz w:val="24"/>
          <w:szCs w:val="24"/>
          <w:highlight w:val="none"/>
          <w:lang w:val="zh-CN"/>
        </w:rPr>
        <w:t>设备签约的同时，双方可签订质保期满后的维修保养协议或合同。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u w:val="none"/>
          <w:lang w:val="en-US" w:eastAsia="zh-CN"/>
        </w:rPr>
        <w:t>20.5</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工期要求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21.1</w:t>
      </w:r>
      <w:r>
        <w:rPr>
          <w:rFonts w:hint="eastAsia" w:ascii="宋体" w:hAnsi="宋体" w:eastAsia="宋体" w:cs="宋体"/>
          <w:color w:val="auto"/>
          <w:sz w:val="24"/>
          <w:szCs w:val="24"/>
          <w:highlight w:val="none"/>
        </w:rPr>
        <w:t>合同签定后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内完成安装调试成功并交付使用。</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rPr>
        <w:t>单位变动情况处理</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rPr>
        <w:t>乙方发生收购、兼并、重组等单位变动情况，责任顺延至收购方、兼并方、重组方等新主体。</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合同的生效</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23.1</w:t>
      </w:r>
      <w:r>
        <w:rPr>
          <w:rFonts w:hint="eastAsia" w:ascii="宋体" w:hAnsi="宋体" w:eastAsia="宋体" w:cs="宋体"/>
          <w:color w:val="auto"/>
          <w:sz w:val="24"/>
          <w:szCs w:val="24"/>
          <w:highlight w:val="none"/>
        </w:rPr>
        <w:t>本合同经甲方、乙方法定代表人或其委托人签字并加盖双方公章后生效。</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23.2</w:t>
      </w:r>
      <w:r>
        <w:rPr>
          <w:rFonts w:hint="eastAsia" w:ascii="宋体" w:hAnsi="宋体" w:eastAsia="宋体" w:cs="宋体"/>
          <w:color w:val="auto"/>
          <w:sz w:val="24"/>
          <w:szCs w:val="24"/>
          <w:highlight w:val="none"/>
        </w:rPr>
        <w:t>本合同一式肆份，甲、乙双方各执</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授权代表：</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pStyle w:val="48"/>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8"/>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8"/>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0"/>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8"/>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1"/>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 xml:space="preserve"> 强制性资格条件 </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2"/>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8"/>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2"/>
        <w:rPr>
          <w:rFonts w:hint="eastAsia"/>
          <w:color w:val="auto"/>
          <w:highlight w:val="none"/>
        </w:rPr>
      </w:pPr>
    </w:p>
    <w:p>
      <w:pPr>
        <w:pStyle w:val="48"/>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color w:val="auto"/>
          <w:highlight w:val="none"/>
        </w:rPr>
      </w:pPr>
    </w:p>
    <w:p>
      <w:pPr>
        <w:pStyle w:val="2"/>
        <w:rPr>
          <w:rFonts w:hint="eastAsia"/>
          <w:color w:val="auto"/>
          <w:highlight w:val="none"/>
        </w:rPr>
      </w:pPr>
    </w:p>
    <w:p>
      <w:pPr>
        <w:pStyle w:val="6"/>
        <w:ind w:left="0" w:leftChars="0" w:firstLine="0" w:firstLineChars="0"/>
        <w:rPr>
          <w:rFonts w:hint="eastAsia"/>
          <w:color w:val="auto"/>
          <w:highlight w:val="none"/>
        </w:rPr>
      </w:pPr>
    </w:p>
    <w:p>
      <w:pPr>
        <w:pStyle w:val="2"/>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7"/>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具有独立承担民事责任的能力</w:t>
            </w:r>
          </w:p>
        </w:tc>
        <w:tc>
          <w:tcPr>
            <w:tcW w:w="6675" w:type="dxa"/>
            <w:gridSpan w:val="2"/>
            <w:vAlign w:val="center"/>
          </w:tcPr>
          <w:p>
            <w:pPr>
              <w:kinsoku/>
              <w:overflowPunct/>
              <w:bidi w:val="0"/>
              <w:spacing w:line="400" w:lineRule="exact"/>
              <w:rPr>
                <w:rFonts w:hint="eastAsia" w:ascii="宋体" w:hAnsi="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 xml:space="preserve">注：具体资格要求详见“第一部分 </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具有良好的商业信誉和健全的财务会计制度</w:t>
            </w:r>
          </w:p>
        </w:tc>
        <w:tc>
          <w:tcPr>
            <w:tcW w:w="6675" w:type="dxa"/>
            <w:gridSpan w:val="2"/>
            <w:vAlign w:val="center"/>
          </w:tcPr>
          <w:p>
            <w:pPr>
              <w:rPr>
                <w:rFonts w:hint="eastAsia" w:ascii="宋体" w:hAnsi="宋体" w:eastAsia="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zh-CN"/>
              </w:rPr>
              <w:t>具有良好的商业信誉和健全的财务会计制度声明函，</w:t>
            </w:r>
            <w:r>
              <w:rPr>
                <w:rFonts w:hint="eastAsia" w:ascii="宋体" w:hAnsi="宋体"/>
                <w:color w:val="auto"/>
                <w:sz w:val="21"/>
                <w:szCs w:val="21"/>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具有履行合同所必需的设备和专业技术能力</w:t>
            </w:r>
          </w:p>
        </w:tc>
        <w:tc>
          <w:tcPr>
            <w:tcW w:w="6675" w:type="dxa"/>
            <w:gridSpan w:val="2"/>
            <w:vAlign w:val="center"/>
          </w:tcPr>
          <w:p>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具有履行合同所必需的设备和专业技术能力的声明函，</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3</w:t>
            </w:r>
            <w:r>
              <w:rPr>
                <w:rFonts w:hint="eastAsia" w:ascii="宋体" w:hAnsi="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有依法缴纳税收和社会保障资金的良好记录</w:t>
            </w:r>
          </w:p>
        </w:tc>
        <w:tc>
          <w:tcPr>
            <w:tcW w:w="6675" w:type="dxa"/>
            <w:gridSpan w:val="2"/>
            <w:vAlign w:val="center"/>
          </w:tcPr>
          <w:p>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依法缴纳税收和社会保障资金的声明</w:t>
            </w:r>
            <w:r>
              <w:rPr>
                <w:rFonts w:hint="eastAsia" w:ascii="宋体" w:hAnsi="宋体"/>
                <w:color w:val="auto"/>
                <w:sz w:val="21"/>
                <w:szCs w:val="21"/>
                <w:highlight w:val="none"/>
                <w:shd w:val="clear" w:color="auto" w:fill="auto"/>
                <w:lang w:val="en-US" w:eastAsia="zh-CN"/>
              </w:rPr>
              <w:t>函</w:t>
            </w:r>
            <w:r>
              <w:rPr>
                <w:rFonts w:hint="eastAsia" w:ascii="宋体" w:hAnsi="宋体"/>
                <w:color w:val="auto"/>
                <w:sz w:val="21"/>
                <w:szCs w:val="21"/>
                <w:highlight w:val="none"/>
                <w:shd w:val="clear" w:color="auto" w:fill="auto"/>
                <w:lang w:val="zh-CN"/>
              </w:rPr>
              <w:t>，</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4</w:t>
            </w:r>
            <w:r>
              <w:rPr>
                <w:rFonts w:hint="eastAsia" w:ascii="宋体" w:hAnsi="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没有重大违法记录承诺函，详见表</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bidi="ar"/>
              </w:rPr>
              <w:t>无违法失信的声明函，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特定资格要求：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4"/>
                <w:highlight w:val="none"/>
                <w:lang w:val="zh-CN"/>
              </w:rPr>
              <w:t>本项目属于专门面向中小微企业采购的项目,供应商应为中小微企业或监狱企业或残疾人福利性单位</w:t>
            </w:r>
          </w:p>
        </w:tc>
        <w:tc>
          <w:tcPr>
            <w:tcW w:w="4500" w:type="dxa"/>
            <w:vAlign w:val="center"/>
          </w:tcPr>
          <w:p>
            <w:pPr>
              <w:kinsoku/>
              <w:overflowPunct/>
              <w:bidi w:val="0"/>
              <w:spacing w:line="40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《监狱企业声明函》</w:t>
            </w:r>
            <w:r>
              <w:rPr>
                <w:rFonts w:hint="eastAsia" w:ascii="宋体" w:hAnsi="宋体" w:eastAsia="宋体" w:cs="宋体"/>
                <w:color w:val="auto"/>
                <w:sz w:val="21"/>
                <w:szCs w:val="21"/>
                <w:highlight w:val="none"/>
                <w:lang w:eastAsia="zh-CN"/>
              </w:rPr>
              <w:t>。详见表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与其他供应商无利害关系的声明函，详见表</w:t>
            </w:r>
            <w:r>
              <w:rPr>
                <w:rFonts w:hint="eastAsia" w:ascii="宋体" w:hAnsi="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9</w:t>
            </w:r>
            <w:r>
              <w:rPr>
                <w:rFonts w:hint="eastAsia" w:ascii="宋体" w:hAnsi="宋体" w:eastAsia="宋体" w:cs="宋体"/>
                <w:color w:val="auto"/>
                <w:kern w:val="0"/>
                <w:sz w:val="21"/>
                <w:szCs w:val="21"/>
                <w:highlight w:val="none"/>
                <w:shd w:val="clear" w:color="auto" w:fill="auto"/>
              </w:rPr>
              <w:t>。</w:t>
            </w:r>
          </w:p>
        </w:tc>
      </w:tr>
    </w:tbl>
    <w:p>
      <w:pPr>
        <w:pStyle w:val="2"/>
        <w:spacing w:before="66"/>
        <w:rPr>
          <w:rFonts w:hint="eastAsia" w:ascii="宋体" w:hAnsi="宋体" w:eastAsia="宋体" w:cs="宋体"/>
          <w:color w:val="auto"/>
          <w:sz w:val="24"/>
          <w:highlight w:val="none"/>
          <w:shd w:val="clear" w:color="auto" w:fill="auto"/>
        </w:rPr>
      </w:pPr>
    </w:p>
    <w:p>
      <w:pPr>
        <w:pStyle w:val="2"/>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
        <w:rPr>
          <w:rFonts w:hint="eastAsia"/>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60"/>
        <w:rPr>
          <w:rFonts w:hint="eastAsia" w:ascii="宋体" w:hAnsi="宋体" w:cs="宋体"/>
          <w:color w:val="auto"/>
          <w:kern w:val="0"/>
          <w:sz w:val="24"/>
          <w:highlight w:val="none"/>
          <w:shd w:val="clear" w:color="auto" w:fill="auto"/>
        </w:rPr>
      </w:pP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insoku/>
        <w:overflowPunct/>
        <w:bidi w:val="0"/>
        <w:spacing w:line="400" w:lineRule="exact"/>
        <w:rPr>
          <w:rFonts w:hint="eastAsia" w:ascii="宋体" w:hAnsi="宋体" w:cs="宋体"/>
          <w:color w:val="auto"/>
          <w:sz w:val="24"/>
          <w:highlight w:val="none"/>
          <w:shd w:val="clear" w:color="auto" w:fill="auto"/>
          <w:lang w:eastAsia="zh-CN"/>
        </w:rPr>
      </w:pPr>
    </w:p>
    <w:p>
      <w:pPr>
        <w:pStyle w:val="60"/>
        <w:ind w:left="0" w:leftChars="0" w:firstLine="0" w:firstLineChars="0"/>
        <w:jc w:val="left"/>
        <w:rPr>
          <w:rFonts w:hint="eastAsia" w:ascii="宋体" w:hAnsi="宋体" w:cs="宋体"/>
          <w:color w:val="auto"/>
          <w:sz w:val="24"/>
          <w:highlight w:val="none"/>
          <w:shd w:val="clear" w:color="auto" w:fill="auto"/>
          <w:lang w:eastAsia="zh-CN"/>
        </w:rPr>
      </w:pPr>
    </w:p>
    <w:p>
      <w:pPr>
        <w:pStyle w:val="60"/>
        <w:ind w:left="0" w:leftChars="0" w:firstLine="0" w:firstLineChars="0"/>
        <w:rPr>
          <w:rFonts w:hint="eastAsia"/>
          <w:color w:val="auto"/>
          <w:highlight w:val="none"/>
          <w:shd w:val="clear" w:color="auto" w:fill="auto"/>
          <w:lang w:eastAsia="zh-CN"/>
        </w:rPr>
      </w:pPr>
    </w:p>
    <w:p>
      <w:pPr>
        <w:kinsoku/>
        <w:overflowPunct/>
        <w:bidi w:val="0"/>
        <w:spacing w:line="400" w:lineRule="exact"/>
        <w:rPr>
          <w:rFonts w:hint="eastAsia" w:ascii="宋体" w:hAnsi="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3"/>
        <w:rPr>
          <w:rFonts w:hint="eastAsia"/>
          <w:color w:val="auto"/>
          <w:highlight w:val="none"/>
        </w:rPr>
      </w:pPr>
    </w:p>
    <w:p>
      <w:pPr>
        <w:pStyle w:val="4"/>
        <w:rPr>
          <w:rFonts w:hint="eastAsia"/>
          <w:color w:val="auto"/>
          <w:highlight w:val="none"/>
        </w:rPr>
      </w:pPr>
    </w:p>
    <w:p>
      <w:pPr>
        <w:rPr>
          <w:rFonts w:hint="eastAsia"/>
          <w:color w:val="auto"/>
          <w:highlight w:val="none"/>
        </w:rPr>
      </w:pPr>
    </w:p>
    <w:p>
      <w:pPr>
        <w:pStyle w:val="2"/>
        <w:spacing w:before="66"/>
        <w:rPr>
          <w:rFonts w:hint="eastAsia" w:ascii="宋体" w:hAnsi="宋体" w:eastAsia="宋体" w:cs="宋体"/>
          <w:color w:val="auto"/>
          <w:sz w:val="24"/>
          <w:highlight w:val="none"/>
          <w:shd w:val="clear" w:color="auto" w:fill="auto"/>
        </w:rPr>
      </w:pPr>
    </w:p>
    <w:p>
      <w:pPr>
        <w:pStyle w:val="2"/>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6"/>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color w:val="auto"/>
          <w:sz w:val="24"/>
          <w:highlight w:val="none"/>
          <w:shd w:val="clear" w:color="auto" w:fill="auto"/>
        </w:rPr>
      </w:pPr>
    </w:p>
    <w:p>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2"/>
        <w:rPr>
          <w:color w:val="auto"/>
          <w:highlight w:val="none"/>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60"/>
        <w:ind w:left="0" w:leftChars="0" w:firstLine="0" w:firstLineChars="0"/>
        <w:rPr>
          <w:rFonts w:hint="eastAsia"/>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left"/>
        <w:rPr>
          <w:rFonts w:hint="eastAsia" w:ascii="宋体" w:hAnsi="宋体" w:eastAsia="宋体" w:cs="宋体"/>
          <w:b/>
          <w:color w:val="auto"/>
          <w:sz w:val="32"/>
          <w:highlight w:val="none"/>
          <w:shd w:val="clear" w:color="auto" w:fill="auto"/>
        </w:rPr>
      </w:pPr>
    </w:p>
    <w:p>
      <w:pPr>
        <w:jc w:val="left"/>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12" w:lineRule="auto"/>
        <w:jc w:val="left"/>
        <w:rPr>
          <w:rFonts w:hint="eastAsia" w:ascii="宋体" w:hAnsi="宋体" w:eastAsia="宋体" w:cs="宋体"/>
          <w:color w:val="auto"/>
          <w:sz w:val="24"/>
          <w:highlight w:val="none"/>
          <w:shd w:val="clear" w:color="auto" w:fill="auto"/>
        </w:rPr>
      </w:pPr>
    </w:p>
    <w:p>
      <w:pPr>
        <w:pStyle w:val="2"/>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2"/>
        <w:rPr>
          <w:rFonts w:hint="eastAsia"/>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特此声明！</w:t>
      </w:r>
    </w:p>
    <w:p>
      <w:pPr>
        <w:spacing w:line="312" w:lineRule="auto"/>
        <w:ind w:firstLine="480" w:firstLineChars="200"/>
        <w:rPr>
          <w:rFonts w:hint="eastAsia" w:ascii="宋体" w:hAnsi="宋体" w:eastAsia="宋体" w:cs="宋体"/>
          <w:color w:val="auto"/>
          <w:sz w:val="24"/>
          <w:szCs w:val="24"/>
          <w:highlight w:val="none"/>
          <w:shd w:val="clear" w:color="auto" w:fill="auto"/>
        </w:rPr>
      </w:pP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99"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100"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100"/>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bookmarkStart w:id="101" w:name="bookmark30"/>
      <w:bookmarkEnd w:id="101"/>
      <w:r>
        <w:rPr>
          <w:rFonts w:hint="eastAsia" w:cs="宋体"/>
          <w:b/>
          <w:bCs/>
          <w:i w:val="0"/>
          <w:iCs w:val="0"/>
          <w:color w:val="auto"/>
          <w:spacing w:val="0"/>
          <w:w w:val="100"/>
          <w:position w:val="0"/>
          <w:sz w:val="24"/>
          <w:szCs w:val="24"/>
          <w:highlight w:val="none"/>
          <w:u w:val="none"/>
          <w:lang w:val="en-US" w:eastAsia="zh-CN"/>
        </w:rPr>
        <w:t>1.</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bookmarkStart w:id="102" w:name="bookmark31"/>
      <w:bookmarkEnd w:id="102"/>
    </w:p>
    <w:p>
      <w:pPr>
        <w:pStyle w:val="612"/>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r>
        <w:rPr>
          <w:rFonts w:hint="eastAsia" w:cs="宋体"/>
          <w:b/>
          <w:bCs/>
          <w:i w:val="0"/>
          <w:iCs w:val="0"/>
          <w:color w:val="auto"/>
          <w:spacing w:val="0"/>
          <w:w w:val="100"/>
          <w:position w:val="0"/>
          <w:sz w:val="24"/>
          <w:szCs w:val="24"/>
          <w:highlight w:val="none"/>
          <w:u w:val="none"/>
          <w:lang w:val="en-US" w:eastAsia="zh-CN"/>
        </w:rPr>
        <w:t>2.</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2"/>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2"/>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2"/>
        <w:rPr>
          <w:rFonts w:hint="eastAsia"/>
          <w:color w:val="auto"/>
          <w:highlight w:val="none"/>
        </w:rPr>
      </w:pPr>
    </w:p>
    <w:p>
      <w:pPr>
        <w:pStyle w:val="2"/>
        <w:numPr>
          <w:ilvl w:val="0"/>
          <w:numId w:val="0"/>
        </w:numPr>
        <w:rPr>
          <w:rFonts w:hint="eastAsia"/>
          <w:color w:val="auto"/>
          <w:highlight w:val="none"/>
        </w:rPr>
      </w:pPr>
    </w:p>
    <w:p>
      <w:pPr>
        <w:kinsoku/>
        <w:overflowPunct/>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360" w:lineRule="auto"/>
        <w:jc w:val="lef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2"/>
        <w:rPr>
          <w:rFonts w:hint="eastAsia"/>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2"/>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2"/>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u w:val="single"/>
          <w:shd w:val="clear" w:color="auto" w:fill="auto"/>
        </w:rPr>
        <w:t>（项目编号</w:t>
      </w:r>
      <w:r>
        <w:rPr>
          <w:rFonts w:hint="eastAsia" w:ascii="宋体" w:hAnsi="宋体" w:eastAsia="宋体" w:cs="宋体"/>
          <w:color w:val="auto"/>
          <w:spacing w:val="-3"/>
          <w:sz w:val="24"/>
          <w:szCs w:val="24"/>
          <w:highlight w:val="none"/>
          <w:u w:val="singl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2"/>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pStyle w:val="3"/>
        <w:rPr>
          <w:rFonts w:hint="eastAsia" w:ascii="宋体" w:hAnsi="宋体" w:eastAsia="宋体" w:cs="宋体"/>
          <w:color w:val="auto"/>
          <w:sz w:val="24"/>
          <w:szCs w:val="24"/>
          <w:highlight w:val="none"/>
          <w:shd w:val="clear" w:color="auto" w:fill="auto"/>
        </w:rPr>
      </w:pPr>
    </w:p>
    <w:p>
      <w:pPr>
        <w:pStyle w:val="4"/>
        <w:rPr>
          <w:rFonts w:hint="eastAsia"/>
          <w:color w:val="auto"/>
          <w:highlight w:val="none"/>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60"/>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pStyle w:val="2"/>
        <w:rPr>
          <w:rFonts w:hint="eastAsia" w:ascii="宋体" w:hAnsi="宋体" w:eastAsia="宋体" w:cs="宋体"/>
          <w:color w:val="auto"/>
          <w:sz w:val="24"/>
          <w:szCs w:val="24"/>
          <w:highlight w:val="none"/>
          <w:shd w:val="clear" w:color="auto" w:fill="auto"/>
        </w:rPr>
      </w:pPr>
    </w:p>
    <w:p>
      <w:pPr>
        <w:pStyle w:val="3"/>
        <w:rPr>
          <w:rFonts w:hint="eastAsia"/>
          <w:color w:val="auto"/>
          <w:highlight w:val="none"/>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pStyle w:val="3"/>
        <w:rPr>
          <w:rFonts w:hint="eastAsia" w:ascii="宋体" w:hAnsi="宋体" w:eastAsia="宋体" w:cs="宋体"/>
          <w:color w:val="auto"/>
          <w:sz w:val="24"/>
          <w:highlight w:val="none"/>
        </w:rPr>
      </w:pPr>
    </w:p>
    <w:p>
      <w:pPr>
        <w:pStyle w:val="4"/>
        <w:rPr>
          <w:rFonts w:hint="eastAsia"/>
          <w:color w:val="auto"/>
          <w:highlight w:val="none"/>
        </w:rPr>
      </w:pPr>
    </w:p>
    <w:p>
      <w:pPr>
        <w:rPr>
          <w:rFonts w:hint="eastAsia"/>
          <w:color w:val="auto"/>
          <w:highlight w:val="none"/>
        </w:rPr>
      </w:pPr>
    </w:p>
    <w:p>
      <w:pPr>
        <w:pStyle w:val="48"/>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2"/>
      <w:bookmarkEnd w:id="99"/>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衢州市民用航空管理局（衢州民航站）、</w:t>
      </w: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48"/>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103" w:name="_Toc522530053"/>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8" w:type="default"/>
          <w:footerReference r:id="rId9" w:type="default"/>
          <w:pgSz w:w="11906" w:h="16838"/>
          <w:pgMar w:top="1134" w:right="1417" w:bottom="1134" w:left="1417"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pPr>
        <w:pStyle w:val="48"/>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104"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103"/>
      <w:bookmarkEnd w:id="104"/>
    </w:p>
    <w:p>
      <w:pPr>
        <w:pStyle w:val="48"/>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8"/>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8"/>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8"/>
        <w:kinsoku/>
        <w:overflowPunct/>
        <w:bidi w:val="0"/>
        <w:spacing w:line="400" w:lineRule="exact"/>
        <w:rPr>
          <w:rFonts w:hint="eastAsia"/>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衢州市民用航空管理局（衢州民航站）、</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7"/>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3"/>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5" w:name="_Toc522530054"/>
      <w:bookmarkStart w:id="106" w:name="_Toc354859551"/>
      <w:bookmarkStart w:id="107" w:name="_Toc391277571"/>
      <w:bookmarkStart w:id="108" w:name="_Toc354859475"/>
      <w:bookmarkStart w:id="109" w:name="_Toc233618991"/>
      <w:bookmarkStart w:id="110" w:name="_Toc354859632"/>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8"/>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
        <w:rPr>
          <w:rFonts w:hint="eastAsia"/>
          <w:color w:val="auto"/>
          <w:highlight w:val="none"/>
          <w:lang w:val="zh-CN"/>
        </w:rPr>
      </w:pPr>
    </w:p>
    <w:p>
      <w:pPr>
        <w:pStyle w:val="4"/>
        <w:rPr>
          <w:rFonts w:hint="eastAsia"/>
          <w:color w:val="auto"/>
          <w:highlight w:val="none"/>
          <w:lang w:val="zh-CN"/>
        </w:rPr>
      </w:pPr>
    </w:p>
    <w:p>
      <w:pPr>
        <w:pStyle w:val="48"/>
        <w:kinsoku/>
        <w:overflowPunct/>
        <w:bidi w:val="0"/>
        <w:spacing w:line="400" w:lineRule="exact"/>
        <w:rPr>
          <w:rFonts w:hint="eastAsia" w:ascii="宋体" w:hAnsi="宋体" w:eastAsia="宋体" w:cs="宋体"/>
          <w:color w:val="auto"/>
          <w:highlight w:val="none"/>
          <w:lang w:val="zh-CN"/>
        </w:rPr>
      </w:pPr>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11" w:name="_Toc10253"/>
      <w:r>
        <w:rPr>
          <w:rFonts w:hint="eastAsia" w:ascii="宋体" w:hAnsi="宋体" w:eastAsia="宋体" w:cs="宋体"/>
          <w:b/>
          <w:color w:val="auto"/>
          <w:kern w:val="0"/>
          <w:sz w:val="30"/>
          <w:highlight w:val="none"/>
          <w:lang w:val="zh-CN"/>
        </w:rPr>
        <w:t>格式四：以往业绩情况表</w:t>
      </w:r>
      <w:bookmarkEnd w:id="105"/>
      <w:bookmarkEnd w:id="111"/>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12" w:name="_Toc25910"/>
      <w:bookmarkStart w:id="113" w:name="_Toc522530055"/>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7"/>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12"/>
      <w:bookmarkEnd w:id="113"/>
      <w:bookmarkStart w:id="114"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color w:val="auto"/>
          <w:highlight w:val="none"/>
          <w:lang w:val="zh-CN"/>
        </w:rPr>
      </w:pPr>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pPr>
        <w:kinsoku/>
        <w:wordWrap/>
        <w:overflowPunct/>
        <w:topLinePunct w:val="0"/>
        <w:bidi w:val="0"/>
        <w:adjustRightInd w:val="0"/>
        <w:snapToGrid w:val="0"/>
        <w:spacing w:line="400" w:lineRule="exact"/>
        <w:ind w:firstLine="482" w:firstLineChars="200"/>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采购需求”中条款的偏离。本表仅在有偏离时填写，注明是正/负偏离，并说明理由。“投标文件响应”复制“招标文件要求”内容，不填写或未提供偏离表均视为无偏离，具体要求以评标办法为准。</w:t>
      </w: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pPr>
        <w:pStyle w:val="27"/>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pStyle w:val="60"/>
        <w:kinsoku/>
        <w:overflowPunct/>
        <w:bidi w:val="0"/>
        <w:spacing w:after="0" w:line="400" w:lineRule="exact"/>
        <w:rPr>
          <w:rFonts w:hint="eastAsia" w:ascii="宋体" w:hAnsi="宋体"/>
          <w:color w:val="auto"/>
          <w:kern w:val="0"/>
          <w:sz w:val="24"/>
          <w:highlight w:val="none"/>
          <w:lang w:val="zh-CN"/>
        </w:rPr>
      </w:pPr>
    </w:p>
    <w:p>
      <w:pPr>
        <w:pStyle w:val="3"/>
        <w:kinsoku/>
        <w:overflowPunct/>
        <w:bidi w:val="0"/>
        <w:spacing w:after="0" w:line="400" w:lineRule="exact"/>
        <w:rPr>
          <w:rFonts w:hint="eastAsia" w:ascii="宋体" w:hAnsi="宋体"/>
          <w:color w:val="auto"/>
          <w:kern w:val="0"/>
          <w:sz w:val="24"/>
          <w:highlight w:val="none"/>
          <w:lang w:val="zh-CN"/>
        </w:rPr>
      </w:pPr>
    </w:p>
    <w:p>
      <w:pPr>
        <w:pStyle w:val="4"/>
        <w:rPr>
          <w:rFonts w:hint="eastAsia"/>
          <w:color w:val="auto"/>
          <w:highlight w:val="none"/>
          <w:lang w:val="zh-CN"/>
        </w:rPr>
      </w:pPr>
    </w:p>
    <w:p>
      <w:pPr>
        <w:kinsoku/>
        <w:overflowPunct/>
        <w:bidi w:val="0"/>
        <w:spacing w:line="400" w:lineRule="exact"/>
        <w:rPr>
          <w:rFonts w:hint="eastAsia" w:ascii="宋体" w:hAnsi="宋体"/>
          <w:color w:val="auto"/>
          <w:kern w:val="0"/>
          <w:sz w:val="24"/>
          <w:highlight w:val="none"/>
          <w:lang w:val="zh-CN"/>
        </w:rPr>
      </w:pPr>
    </w:p>
    <w:p>
      <w:pPr>
        <w:pStyle w:val="27"/>
        <w:kinsoku/>
        <w:overflowPunct/>
        <w:bidi w:val="0"/>
        <w:spacing w:after="0" w:line="400" w:lineRule="exact"/>
        <w:rPr>
          <w:rFonts w:hint="eastAsia" w:ascii="宋体" w:hAnsi="宋体"/>
          <w:color w:val="auto"/>
          <w:kern w:val="0"/>
          <w:sz w:val="24"/>
          <w:highlight w:val="none"/>
          <w:lang w:val="zh-CN"/>
        </w:rPr>
      </w:pPr>
    </w:p>
    <w:p>
      <w:pPr>
        <w:pStyle w:val="60"/>
        <w:kinsoku/>
        <w:overflowPunct/>
        <w:bidi w:val="0"/>
        <w:spacing w:after="0" w:line="400" w:lineRule="exact"/>
        <w:rPr>
          <w:rFonts w:hint="eastAsia" w:ascii="宋体" w:hAnsi="宋体"/>
          <w:color w:val="auto"/>
          <w:kern w:val="0"/>
          <w:sz w:val="24"/>
          <w:highlight w:val="none"/>
          <w:lang w:val="zh-CN"/>
        </w:rPr>
      </w:pPr>
    </w:p>
    <w:p>
      <w:pPr>
        <w:pStyle w:val="3"/>
        <w:kinsoku/>
        <w:overflowPunct/>
        <w:bidi w:val="0"/>
        <w:spacing w:after="0" w:line="400" w:lineRule="exact"/>
        <w:rPr>
          <w:rFonts w:hint="eastAsia"/>
          <w:color w:val="auto"/>
          <w:highlight w:val="none"/>
          <w:lang w:val="zh-CN"/>
        </w:rPr>
      </w:pPr>
    </w:p>
    <w:p>
      <w:pPr>
        <w:pStyle w:val="3"/>
        <w:kinsoku/>
        <w:overflowPunct/>
        <w:bidi w:val="0"/>
        <w:spacing w:after="0" w:line="400" w:lineRule="exact"/>
        <w:rPr>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14"/>
    </w:p>
    <w:p>
      <w:pPr>
        <w:pStyle w:val="27"/>
        <w:kinsoku/>
        <w:overflowPunct/>
        <w:bidi w:val="0"/>
        <w:spacing w:after="0" w:line="400" w:lineRule="exact"/>
        <w:rPr>
          <w:rFonts w:hint="eastAsia"/>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7"/>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8"/>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8"/>
        <w:kinsoku/>
        <w:overflowPunct/>
        <w:bidi w:val="0"/>
        <w:spacing w:line="400" w:lineRule="exact"/>
        <w:rPr>
          <w:rFonts w:hint="eastAsia" w:ascii="宋体" w:hAnsi="宋体" w:eastAsia="宋体" w:cs="宋体"/>
          <w:b/>
          <w:color w:val="auto"/>
          <w:kern w:val="0"/>
          <w:sz w:val="30"/>
          <w:highlight w:val="none"/>
          <w:lang w:val="zh-CN"/>
        </w:rPr>
      </w:pPr>
    </w:p>
    <w:p>
      <w:pPr>
        <w:pStyle w:val="6"/>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15" w:name="_Toc522530058"/>
      <w:bookmarkStart w:id="116" w:name="_Toc8841"/>
      <w:r>
        <w:rPr>
          <w:rFonts w:hint="eastAsia" w:ascii="宋体" w:hAnsi="宋体" w:eastAsia="宋体" w:cs="宋体"/>
          <w:color w:val="auto"/>
          <w:sz w:val="28"/>
          <w:szCs w:val="22"/>
          <w:highlight w:val="none"/>
        </w:rPr>
        <w:t>开标一览表</w:t>
      </w:r>
      <w:bookmarkEnd w:id="106"/>
      <w:bookmarkEnd w:id="107"/>
      <w:bookmarkEnd w:id="108"/>
      <w:bookmarkEnd w:id="109"/>
      <w:bookmarkEnd w:id="110"/>
      <w:bookmarkEnd w:id="115"/>
      <w:bookmarkEnd w:id="116"/>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衢州市民用航空管理局（衢州民航站）</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衢州机场设备更新改造提升项目除冰车采购</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cs="宋体"/>
          <w:bCs/>
          <w:color w:val="auto"/>
          <w:sz w:val="24"/>
          <w:szCs w:val="24"/>
          <w:highlight w:val="none"/>
          <w:lang w:val="zh-CN" w:eastAsia="zh-CN"/>
        </w:rPr>
        <w:t>整车、车辆购置税、</w:t>
      </w:r>
      <w:r>
        <w:rPr>
          <w:rFonts w:hint="eastAsia" w:ascii="宋体" w:hAnsi="宋体" w:eastAsia="宋体" w:cs="宋体"/>
          <w:bCs/>
          <w:color w:val="auto"/>
          <w:sz w:val="24"/>
          <w:szCs w:val="24"/>
          <w:highlight w:val="none"/>
          <w:lang w:val="zh-CN" w:eastAsia="zh-CN"/>
        </w:rPr>
        <w:t>运输费、附件费、车辆调试费、辅料费（如有）、设备维护费、培训费、税金、完成本项目的其它费用和政策性文件规定及合同包含的所有风险、责任等各项应有费用等所有费用</w:t>
      </w:r>
      <w:r>
        <w:rPr>
          <w:rFonts w:hint="eastAsia" w:ascii="宋体" w:hAnsi="宋体" w:eastAsia="宋体" w:cs="宋体"/>
          <w:bCs/>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6"/>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17" w:name="_Toc16646"/>
      <w:bookmarkStart w:id="118" w:name="_Toc522530061"/>
    </w:p>
    <w:p>
      <w:pPr>
        <w:pStyle w:val="6"/>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color w:val="auto"/>
          <w:highlight w:val="none"/>
          <w:lang w:eastAsia="zh-CN"/>
        </w:rPr>
      </w:pPr>
    </w:p>
    <w:tbl>
      <w:tblPr>
        <w:tblStyle w:val="98"/>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color w:val="auto"/>
          <w:kern w:val="0"/>
          <w:sz w:val="24"/>
          <w:szCs w:val="20"/>
          <w:highlight w:val="none"/>
          <w:lang w:val="en-US" w:eastAsia="zh-CN" w:bidi="ar-SA"/>
        </w:rPr>
        <w:t>： 1.</w:t>
      </w:r>
      <w:r>
        <w:rPr>
          <w:rFonts w:hint="eastAsia" w:ascii="宋体" w:hAnsi="宋体" w:eastAsia="宋体" w:cs="宋体"/>
          <w:color w:val="auto"/>
          <w:kern w:val="0"/>
          <w:sz w:val="24"/>
          <w:szCs w:val="20"/>
          <w:highlight w:val="none"/>
          <w:lang w:val="zh-CN" w:eastAsia="zh-CN" w:bidi="ar-SA"/>
        </w:rPr>
        <w:t>请按规定要求填报。</w:t>
      </w:r>
    </w:p>
    <w:p>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w:t>
      </w:r>
      <w:r>
        <w:rPr>
          <w:rFonts w:hint="eastAsia" w:ascii="宋体" w:hAnsi="宋体" w:cs="宋体"/>
          <w:color w:val="auto"/>
          <w:kern w:val="0"/>
          <w:sz w:val="24"/>
          <w:szCs w:val="20"/>
          <w:highlight w:val="none"/>
          <w:lang w:val="en-US" w:eastAsia="zh-CN" w:bidi="ar-SA"/>
        </w:rPr>
        <w:t>.</w:t>
      </w:r>
      <w:r>
        <w:rPr>
          <w:rFonts w:hint="eastAsia" w:ascii="宋体" w:hAnsi="宋体" w:eastAsia="宋体" w:cs="宋体"/>
          <w:color w:val="auto"/>
          <w:kern w:val="0"/>
          <w:sz w:val="24"/>
          <w:szCs w:val="20"/>
          <w:highlight w:val="none"/>
          <w:lang w:val="en-US" w:eastAsia="zh-CN" w:bidi="ar-SA"/>
        </w:rPr>
        <w:t>本项目的投标报价包括</w:t>
      </w:r>
      <w:r>
        <w:rPr>
          <w:rFonts w:hint="eastAsia" w:ascii="宋体" w:hAnsi="宋体" w:cs="宋体"/>
          <w:color w:val="auto"/>
          <w:kern w:val="0"/>
          <w:sz w:val="24"/>
          <w:szCs w:val="20"/>
          <w:highlight w:val="none"/>
          <w:lang w:val="en-US" w:eastAsia="zh-CN" w:bidi="ar-SA"/>
        </w:rPr>
        <w:t>整车、车辆购置税、</w:t>
      </w:r>
      <w:r>
        <w:rPr>
          <w:rFonts w:hint="eastAsia" w:ascii="宋体" w:hAnsi="宋体" w:eastAsia="宋体" w:cs="宋体"/>
          <w:color w:val="auto"/>
          <w:kern w:val="0"/>
          <w:sz w:val="24"/>
          <w:szCs w:val="20"/>
          <w:highlight w:val="none"/>
          <w:lang w:val="en-US" w:eastAsia="zh-CN" w:bidi="ar-SA"/>
        </w:rPr>
        <w:t>运输费、附件费、车辆调试费、辅料费（如有）、设备维护费、培训费、税金、完成本项目的其它费用和政策性文件规定及合同包含的所有风险、责任等各项应有费用等所有费用。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6"/>
        <w:kinsoku/>
        <w:overflowPunct/>
        <w:bidi w:val="0"/>
        <w:spacing w:line="400" w:lineRule="exact"/>
        <w:ind w:left="0" w:firstLine="0"/>
        <w:rPr>
          <w:rFonts w:hint="eastAsia" w:ascii="宋体" w:hAnsi="宋体" w:eastAsia="宋体" w:cs="宋体"/>
          <w:color w:val="auto"/>
          <w:sz w:val="28"/>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6"/>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7"/>
      <w:bookmarkEnd w:id="118"/>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衢州机场设备更新改造提升项目除冰车采购</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ZZCG2024107</w:t>
      </w:r>
    </w:p>
    <w:p>
      <w:pPr>
        <w:pStyle w:val="60"/>
        <w:kinsoku/>
        <w:overflowPunct/>
        <w:bidi w:val="0"/>
        <w:spacing w:after="0" w:line="360" w:lineRule="auto"/>
        <w:ind w:left="560"/>
        <w:rPr>
          <w:rFonts w:hint="eastAsia" w:ascii="宋体" w:hAnsi="宋体" w:eastAsia="宋体" w:cs="宋体"/>
          <w:color w:val="auto"/>
          <w:highlight w:val="none"/>
        </w:rPr>
      </w:pPr>
    </w:p>
    <w:bookmarkEnd w:id="14"/>
    <w:bookmarkEnd w:id="15"/>
    <w:bookmarkEnd w:id="16"/>
    <w:bookmarkEnd w:id="17"/>
    <w:bookmarkEnd w:id="84"/>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8"/>
        <w:kinsoku/>
        <w:overflowPunct/>
        <w:bidi w:val="0"/>
        <w:spacing w:line="360" w:lineRule="auto"/>
        <w:rPr>
          <w:rFonts w:hint="eastAsia"/>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9" w:name="_Toc15453"/>
      <w:r>
        <w:rPr>
          <w:rFonts w:hint="eastAsia" w:ascii="宋体" w:hAnsi="宋体" w:eastAsia="宋体" w:cs="宋体"/>
          <w:b/>
          <w:color w:val="auto"/>
          <w:sz w:val="36"/>
          <w:highlight w:val="none"/>
        </w:rPr>
        <w:t>第六部分  评分办法</w:t>
      </w:r>
      <w:bookmarkEnd w:id="119"/>
    </w:p>
    <w:p>
      <w:pPr>
        <w:pStyle w:val="5"/>
        <w:keepLines w:val="0"/>
        <w:pageBreakBefore w:val="0"/>
        <w:kinsoku/>
        <w:wordWrap/>
        <w:overflowPunct/>
        <w:topLinePunct/>
        <w:autoSpaceDE/>
        <w:autoSpaceDN/>
        <w:bidi w:val="0"/>
        <w:adjustRightInd w:val="0"/>
        <w:snapToGrid w:val="0"/>
        <w:spacing w:line="400" w:lineRule="exact"/>
        <w:ind w:right="0" w:rightChars="0" w:firstLine="482" w:firstLineChars="200"/>
        <w:jc w:val="left"/>
        <w:textAlignment w:val="auto"/>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5"/>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lang w:val="zh-TW"/>
        </w:rPr>
        <w:t>投标文件商务技术部分评审；</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lang w:val="zh-TW"/>
        </w:rPr>
        <w:t>投标文件报价部分审查；</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lang w:val="zh-TW"/>
        </w:rPr>
        <w:t>推荐中标候选人名单，编写评标报告。</w:t>
      </w:r>
    </w:p>
    <w:p>
      <w:pPr>
        <w:pStyle w:val="5"/>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cs="宋体"/>
          <w:b w:val="0"/>
          <w:color w:val="auto"/>
          <w:sz w:val="24"/>
          <w:szCs w:val="24"/>
          <w:highlight w:val="none"/>
          <w:lang w:val="en-US" w:eastAsia="zh-CN"/>
        </w:rPr>
        <w:t>.</w:t>
      </w:r>
      <w:r>
        <w:rPr>
          <w:rStyle w:val="607"/>
          <w:rFonts w:hint="eastAsia" w:ascii="宋体" w:hAnsi="宋体" w:eastAsia="宋体" w:cs="宋体"/>
          <w:b w:val="0"/>
          <w:color w:val="auto"/>
          <w:sz w:val="24"/>
          <w:szCs w:val="24"/>
          <w:highlight w:val="none"/>
          <w:lang w:val="zh-TW"/>
        </w:rPr>
        <w:t>定标原则</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5"/>
        <w:keepLines w:val="0"/>
        <w:pageBreakBefore w:val="0"/>
        <w:numPr>
          <w:ilvl w:val="0"/>
          <w:numId w:val="0"/>
        </w:numPr>
        <w:kinsoku/>
        <w:wordWrap/>
        <w:overflowPunct/>
        <w:topLinePunct/>
        <w:autoSpaceDE/>
        <w:autoSpaceDN/>
        <w:bidi w:val="0"/>
        <w:adjustRightInd w:val="0"/>
        <w:snapToGrid w:val="0"/>
        <w:spacing w:line="400" w:lineRule="exact"/>
        <w:ind w:leftChars="200" w:right="0" w:rightChars="0"/>
        <w:jc w:val="left"/>
        <w:textAlignment w:val="auto"/>
        <w:rPr>
          <w:rStyle w:val="607"/>
          <w:rFonts w:hint="eastAsia" w:ascii="宋体" w:hAnsi="宋体" w:eastAsia="宋体" w:cs="宋体"/>
          <w:b w:val="0"/>
          <w:color w:val="auto"/>
          <w:sz w:val="24"/>
          <w:szCs w:val="24"/>
          <w:highlight w:val="none"/>
          <w:lang w:val="zh-TW"/>
        </w:rPr>
      </w:pPr>
      <w:r>
        <w:rPr>
          <w:rStyle w:val="607"/>
          <w:rFonts w:hint="eastAsia" w:ascii="宋体" w:hAnsi="宋体" w:cs="宋体"/>
          <w:b w:val="0"/>
          <w:color w:val="auto"/>
          <w:sz w:val="24"/>
          <w:szCs w:val="24"/>
          <w:highlight w:val="none"/>
          <w:lang w:val="en-US" w:eastAsia="zh-CN"/>
        </w:rPr>
        <w:t>2.</w:t>
      </w:r>
      <w:r>
        <w:rPr>
          <w:rStyle w:val="607"/>
          <w:rFonts w:hint="eastAsia" w:ascii="宋体" w:hAnsi="宋体" w:eastAsia="宋体" w:cs="宋体"/>
          <w:b w:val="0"/>
          <w:color w:val="auto"/>
          <w:sz w:val="24"/>
          <w:szCs w:val="24"/>
          <w:highlight w:val="none"/>
          <w:lang w:val="zh-TW"/>
        </w:rPr>
        <w:t>定标程序</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7"/>
          <w:rFonts w:hint="eastAsia" w:ascii="宋体" w:hAnsi="宋体" w:eastAsia="宋体" w:cs="宋体"/>
          <w:color w:val="auto"/>
          <w:sz w:val="24"/>
          <w:szCs w:val="24"/>
          <w:highlight w:val="none"/>
          <w:shd w:val="clear" w:color="auto" w:fill="auto"/>
          <w:lang w:eastAsia="zh-TW"/>
        </w:rPr>
      </w:pPr>
      <w:r>
        <w:rPr>
          <w:rStyle w:val="607"/>
          <w:rFonts w:hint="eastAsia" w:ascii="宋体" w:hAnsi="宋体" w:eastAsia="宋体" w:cs="宋体"/>
          <w:color w:val="auto"/>
          <w:sz w:val="24"/>
          <w:szCs w:val="24"/>
          <w:highlight w:val="none"/>
          <w:shd w:val="clear" w:color="auto" w:fill="auto"/>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7"/>
          <w:rFonts w:hint="eastAsia" w:ascii="宋体" w:hAnsi="宋体" w:eastAsia="宋体" w:cs="宋体"/>
          <w:color w:val="auto"/>
          <w:sz w:val="24"/>
          <w:szCs w:val="24"/>
          <w:highlight w:val="none"/>
          <w:shd w:val="clear" w:color="auto" w:fill="auto"/>
        </w:rPr>
      </w:pPr>
      <w:r>
        <w:rPr>
          <w:rStyle w:val="607"/>
          <w:rFonts w:hint="eastAsia" w:ascii="宋体" w:hAnsi="宋体" w:eastAsia="宋体" w:cs="宋体"/>
          <w:color w:val="auto"/>
          <w:sz w:val="24"/>
          <w:szCs w:val="24"/>
          <w:highlight w:val="none"/>
          <w:shd w:val="clear" w:color="auto" w:fill="auto"/>
          <w:lang w:eastAsia="zh-TW"/>
        </w:rPr>
        <w:t>（</w:t>
      </w:r>
      <w:r>
        <w:rPr>
          <w:rStyle w:val="607"/>
          <w:rFonts w:hint="eastAsia" w:ascii="宋体" w:hAnsi="宋体" w:eastAsia="宋体" w:cs="宋体"/>
          <w:color w:val="auto"/>
          <w:sz w:val="24"/>
          <w:szCs w:val="24"/>
          <w:highlight w:val="none"/>
          <w:shd w:val="clear" w:color="auto" w:fill="auto"/>
          <w:lang w:val="zh-TW" w:eastAsia="zh-TW"/>
        </w:rPr>
        <w:t>2</w:t>
      </w:r>
      <w:r>
        <w:rPr>
          <w:rStyle w:val="607"/>
          <w:rFonts w:hint="eastAsia" w:ascii="宋体" w:hAnsi="宋体" w:eastAsia="宋体" w:cs="宋体"/>
          <w:color w:val="auto"/>
          <w:sz w:val="24"/>
          <w:szCs w:val="24"/>
          <w:highlight w:val="none"/>
          <w:shd w:val="clear" w:color="auto" w:fill="auto"/>
          <w:lang w:eastAsia="zh-TW"/>
        </w:rPr>
        <w:t>）</w:t>
      </w:r>
      <w:r>
        <w:rPr>
          <w:rStyle w:val="607"/>
          <w:rFonts w:hint="eastAsia" w:ascii="宋体" w:hAnsi="宋体" w:eastAsia="宋体" w:cs="宋体"/>
          <w:color w:val="auto"/>
          <w:sz w:val="24"/>
          <w:szCs w:val="24"/>
          <w:highlight w:val="none"/>
          <w:shd w:val="clear" w:color="auto" w:fill="auto"/>
        </w:rPr>
        <w:t>评定结果经采购人确定后，采购人在中标人确定之日起2个工作日内将以书面形式发出《中标通知书》，并在浙江政府采购网公告中标结果。</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7"/>
          <w:rFonts w:hint="eastAsia" w:ascii="宋体" w:hAnsi="宋体" w:eastAsia="宋体" w:cs="宋体"/>
          <w:color w:val="auto"/>
          <w:sz w:val="24"/>
          <w:szCs w:val="24"/>
          <w:highlight w:val="none"/>
          <w:shd w:val="clear" w:color="auto" w:fill="auto"/>
        </w:rPr>
      </w:pPr>
      <w:r>
        <w:rPr>
          <w:rStyle w:val="607"/>
          <w:rFonts w:hint="eastAsia" w:ascii="宋体" w:hAnsi="宋体" w:eastAsia="宋体" w:cs="宋体"/>
          <w:color w:val="auto"/>
          <w:sz w:val="24"/>
          <w:szCs w:val="24"/>
          <w:highlight w:val="none"/>
          <w:shd w:val="clear" w:color="auto" w:fill="auto"/>
        </w:rPr>
        <w:t>（</w:t>
      </w:r>
      <w:r>
        <w:rPr>
          <w:rStyle w:val="607"/>
          <w:rFonts w:hint="eastAsia" w:ascii="宋体" w:hAnsi="宋体" w:eastAsia="宋体" w:cs="宋体"/>
          <w:color w:val="auto"/>
          <w:sz w:val="24"/>
          <w:szCs w:val="24"/>
          <w:highlight w:val="none"/>
          <w:shd w:val="clear" w:color="auto" w:fill="auto"/>
          <w:lang w:val="zh-TW"/>
        </w:rPr>
        <w:t>3</w:t>
      </w:r>
      <w:r>
        <w:rPr>
          <w:rStyle w:val="607"/>
          <w:rFonts w:hint="eastAsia" w:ascii="宋体" w:hAnsi="宋体" w:eastAsia="宋体" w:cs="宋体"/>
          <w:color w:val="auto"/>
          <w:sz w:val="24"/>
          <w:szCs w:val="24"/>
          <w:highlight w:val="none"/>
          <w:shd w:val="clear" w:color="auto" w:fill="auto"/>
        </w:rPr>
        <w:t>）采购代理机构不解释中标或落标原因，不退回投标文件和其他投标资料。</w:t>
      </w:r>
    </w:p>
    <w:p>
      <w:pPr>
        <w:numPr>
          <w:ilvl w:val="0"/>
          <w:numId w:val="0"/>
        </w:numPr>
        <w:rPr>
          <w:rFonts w:hint="eastAsia" w:eastAsia="宋体"/>
          <w:color w:val="auto"/>
          <w:highlight w:val="none"/>
          <w:lang w:val="en-US" w:eastAsia="zh-CN"/>
        </w:rPr>
      </w:pPr>
    </w:p>
    <w:p>
      <w:pPr>
        <w:pStyle w:val="55"/>
        <w:pageBreakBefore w:val="0"/>
        <w:kinsoku/>
        <w:wordWrap/>
        <w:overflowPunct/>
        <w:topLinePunct w:val="0"/>
        <w:bidi w:val="0"/>
        <w:spacing w:line="400" w:lineRule="exact"/>
        <w:ind w:left="0" w:leftChars="0" w:right="0" w:rightChars="0" w:firstLine="482" w:firstLineChars="200"/>
        <w:jc w:val="left"/>
        <w:textAlignment w:val="auto"/>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5"/>
        <w:pageBreakBefore w:val="0"/>
        <w:kinsoku/>
        <w:wordWrap/>
        <w:overflowPunct/>
        <w:topLinePunct w:val="0"/>
        <w:bidi w:val="0"/>
        <w:spacing w:line="400" w:lineRule="exact"/>
        <w:ind w:left="0" w:leftChars="0" w:right="0" w:rightChars="0" w:firstLine="480" w:firstLineChars="200"/>
        <w:jc w:val="left"/>
        <w:textAlignment w:val="auto"/>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en-US" w:eastAsia="zh-CN"/>
        </w:rPr>
        <w:t>.</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5"/>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en-US" w:eastAsia="zh-CN"/>
        </w:rPr>
        <w:t>.</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分合计评分，满分为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5"/>
        <w:keepNext/>
        <w:keepLines/>
        <w:pageBreakBefore w:val="0"/>
        <w:kinsoku/>
        <w:wordWrap/>
        <w:overflowPunct/>
        <w:topLinePunct w:val="0"/>
        <w:bidi w:val="0"/>
        <w:adjustRightInd w:val="0"/>
        <w:snapToGrid w:val="0"/>
        <w:spacing w:line="400" w:lineRule="exact"/>
        <w:ind w:left="0" w:leftChars="0" w:right="0" w:rightChars="0" w:firstLine="482" w:firstLineChars="200"/>
        <w:jc w:val="left"/>
        <w:textAlignment w:val="auto"/>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pageBreakBefore w:val="0"/>
        <w:kinsoku/>
        <w:wordWrap/>
        <w:overflowPunct/>
        <w:topLinePunct w:val="0"/>
        <w:bidi w:val="0"/>
        <w:snapToGrid w:val="0"/>
        <w:spacing w:line="400" w:lineRule="exact"/>
        <w:ind w:left="0" w:leftChars="0" w:right="0" w:rightChars="0" w:firstLine="482" w:firstLineChars="200"/>
        <w:textAlignment w:val="auto"/>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cs="宋体"/>
          <w:b/>
          <w:bCs/>
          <w:color w:val="auto"/>
          <w:sz w:val="24"/>
          <w:szCs w:val="24"/>
          <w:highlight w:val="none"/>
          <w:lang w:val="en-US" w:eastAsia="zh-CN"/>
        </w:rPr>
        <w:t>.</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60"/>
        <w:pageBreakBefore w:val="0"/>
        <w:kinsoku/>
        <w:wordWrap/>
        <w:overflowPunct/>
        <w:topLinePunct w:val="0"/>
        <w:bidi w:val="0"/>
        <w:spacing w:after="0" w:line="400" w:lineRule="exact"/>
        <w:ind w:left="0" w:leftChars="0" w:right="0" w:rightChars="0" w:firstLine="482" w:firstLineChars="200"/>
        <w:textAlignment w:val="auto"/>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97"/>
        <w:tblW w:w="10600" w:type="dxa"/>
        <w:jc w:val="center"/>
        <w:tblInd w:w="0" w:type="dxa"/>
        <w:tblLayout w:type="fixed"/>
        <w:tblCellMar>
          <w:top w:w="15" w:type="dxa"/>
          <w:left w:w="15" w:type="dxa"/>
          <w:bottom w:w="15" w:type="dxa"/>
          <w:right w:w="15" w:type="dxa"/>
        </w:tblCellMar>
      </w:tblPr>
      <w:tblGrid>
        <w:gridCol w:w="1349"/>
        <w:gridCol w:w="8351"/>
        <w:gridCol w:w="900"/>
      </w:tblGrid>
      <w:tr>
        <w:tblPrEx>
          <w:tblLayout w:type="fixed"/>
          <w:tblCellMar>
            <w:top w:w="15" w:type="dxa"/>
            <w:left w:w="15" w:type="dxa"/>
            <w:bottom w:w="15" w:type="dxa"/>
            <w:right w:w="15" w:type="dxa"/>
          </w:tblCellMar>
        </w:tblPrEx>
        <w:trPr>
          <w:trHeight w:val="90"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tblPrEx>
          <w:tblLayout w:type="fixed"/>
          <w:tblCellMar>
            <w:top w:w="15" w:type="dxa"/>
            <w:left w:w="15" w:type="dxa"/>
            <w:bottom w:w="15" w:type="dxa"/>
            <w:right w:w="15" w:type="dxa"/>
          </w:tblCellMar>
        </w:tblPrEx>
        <w:trPr>
          <w:trHeight w:val="800" w:hRule="atLeast"/>
          <w:jc w:val="center"/>
        </w:trPr>
        <w:tc>
          <w:tcPr>
            <w:tcW w:w="1349"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w:t>
            </w:r>
            <w:r>
              <w:rPr>
                <w:rFonts w:hint="eastAsia" w:ascii="宋体" w:hAnsi="宋体" w:eastAsia="宋体" w:cs="宋体"/>
                <w:color w:val="auto"/>
                <w:sz w:val="24"/>
                <w:szCs w:val="24"/>
                <w:highlight w:val="none"/>
                <w:lang w:eastAsia="zh-CN"/>
              </w:rPr>
              <w:t>业绩</w:t>
            </w:r>
          </w:p>
        </w:tc>
        <w:tc>
          <w:tcPr>
            <w:tcW w:w="835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投标人自202</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年1月1日以来（时间以合同签订日期为准）承担过机场</w:t>
            </w:r>
            <w:r>
              <w:rPr>
                <w:rFonts w:hint="eastAsia" w:ascii="宋体" w:hAnsi="宋体" w:cs="宋体"/>
                <w:color w:val="auto"/>
                <w:kern w:val="2"/>
                <w:sz w:val="24"/>
                <w:szCs w:val="24"/>
                <w:highlight w:val="none"/>
                <w:lang w:val="en-US" w:eastAsia="zh-CN" w:bidi="ar"/>
              </w:rPr>
              <w:t>除冰车</w:t>
            </w:r>
            <w:r>
              <w:rPr>
                <w:rFonts w:hint="eastAsia" w:ascii="宋体" w:hAnsi="宋体" w:eastAsia="宋体" w:cs="宋体"/>
                <w:color w:val="auto"/>
                <w:kern w:val="2"/>
                <w:sz w:val="24"/>
                <w:szCs w:val="24"/>
                <w:highlight w:val="none"/>
                <w:lang w:val="en-US" w:eastAsia="zh-CN" w:bidi="ar"/>
              </w:rPr>
              <w:t>类项目业绩的，每提供一个</w:t>
            </w:r>
            <w:r>
              <w:rPr>
                <w:rFonts w:hint="eastAsia" w:ascii="宋体" w:hAnsi="宋体" w:cs="宋体"/>
                <w:color w:val="auto"/>
                <w:kern w:val="2"/>
                <w:sz w:val="24"/>
                <w:szCs w:val="24"/>
                <w:highlight w:val="none"/>
                <w:lang w:val="en-US" w:eastAsia="zh-CN" w:bidi="ar"/>
              </w:rPr>
              <w:t>合同</w:t>
            </w:r>
            <w:r>
              <w:rPr>
                <w:rFonts w:hint="eastAsia" w:ascii="宋体" w:hAnsi="宋体" w:eastAsia="宋体" w:cs="宋体"/>
                <w:color w:val="auto"/>
                <w:kern w:val="2"/>
                <w:sz w:val="24"/>
                <w:szCs w:val="24"/>
                <w:highlight w:val="none"/>
                <w:lang w:val="en-US" w:eastAsia="zh-CN" w:bidi="ar"/>
              </w:rPr>
              <w:t>得0.5分，最高得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注：提供合同原件扫描件</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否则不得分。</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835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w:t>
            </w:r>
            <w:r>
              <w:rPr>
                <w:rFonts w:hint="eastAsia" w:ascii="宋体" w:hAnsi="宋体" w:cs="宋体"/>
                <w:color w:val="auto"/>
                <w:kern w:val="2"/>
                <w:sz w:val="24"/>
                <w:szCs w:val="24"/>
                <w:highlight w:val="none"/>
                <w:shd w:val="clear" w:color="auto" w:fill="auto"/>
                <w:lang w:val="en-US" w:eastAsia="zh-CN" w:bidi="ar-SA"/>
              </w:rPr>
              <w:t>（或制造商）</w:t>
            </w:r>
            <w:r>
              <w:rPr>
                <w:rFonts w:hint="eastAsia" w:ascii="宋体" w:hAnsi="宋体" w:eastAsia="宋体" w:cs="宋体"/>
                <w:color w:val="auto"/>
                <w:kern w:val="2"/>
                <w:sz w:val="24"/>
                <w:szCs w:val="24"/>
                <w:highlight w:val="none"/>
                <w:shd w:val="clear" w:color="auto" w:fill="auto"/>
                <w:lang w:val="en-US" w:eastAsia="zh-CN" w:bidi="ar-SA"/>
              </w:rPr>
              <w:t>具有有效的质量管理体系认证证书、环境管理体系认证证书、职业健康管理体系认证证书，每个得1分，最高得3分。</w:t>
            </w:r>
          </w:p>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注：提供证书扫描件及《全国认证认可信息公共服务平台》网站（http://cx.cnca.cn/CertECloud/index/index/page）查询截图并盖公章编入商务技术投标文件中，未提供不得分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0-3分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产品基本性能参数响应程度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根据投标产品基本性能参数配置及提供的证明材料，是否符合招标文件的要求及符合程度进行评价，基本性能满足或高于要求得满分。</w:t>
            </w:r>
            <w:r>
              <w:rPr>
                <w:rFonts w:hint="eastAsia" w:ascii="宋体" w:hAnsi="宋体" w:eastAsia="宋体" w:cs="宋体"/>
                <w:color w:val="auto"/>
                <w:kern w:val="2"/>
                <w:sz w:val="24"/>
                <w:szCs w:val="24"/>
                <w:highlight w:val="none"/>
                <w:shd w:val="clear" w:color="auto" w:fill="auto"/>
                <w:lang w:val="en-US" w:eastAsia="zh-CN" w:bidi="ar-SA"/>
              </w:rPr>
              <w:t>全部满足招标文件要求的得</w:t>
            </w:r>
            <w:r>
              <w:rPr>
                <w:rFonts w:hint="eastAsia" w:ascii="宋体" w:hAnsi="宋体" w:cs="宋体"/>
                <w:color w:val="auto"/>
                <w:kern w:val="2"/>
                <w:sz w:val="24"/>
                <w:szCs w:val="24"/>
                <w:highlight w:val="none"/>
                <w:shd w:val="clear" w:color="auto" w:fill="auto"/>
                <w:lang w:val="en-US" w:eastAsia="zh-CN" w:bidi="ar-SA"/>
              </w:rPr>
              <w:t>6</w:t>
            </w:r>
            <w:r>
              <w:rPr>
                <w:rFonts w:hint="eastAsia" w:ascii="宋体" w:hAnsi="宋体" w:eastAsia="宋体" w:cs="宋体"/>
                <w:color w:val="auto"/>
                <w:kern w:val="2"/>
                <w:sz w:val="24"/>
                <w:szCs w:val="24"/>
                <w:highlight w:val="none"/>
                <w:shd w:val="clear" w:color="auto" w:fill="auto"/>
                <w:lang w:val="en-US" w:eastAsia="zh-CN" w:bidi="ar-SA"/>
              </w:rPr>
              <w:t>分；打“★”参数为重要规格参数指标（含证明材料）,如有负偏离每项扣</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分；其它指标如有负偏离每项扣0</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en-US" w:eastAsia="zh-CN" w:bidi="ar-SA"/>
              </w:rPr>
              <w:t>分，扣完为止。</w:t>
            </w:r>
          </w:p>
          <w:p>
            <w:pPr>
              <w:pStyle w:val="2"/>
              <w:pageBreakBefore w:val="0"/>
              <w:kinsoku/>
              <w:wordWrap/>
              <w:overflowPunct/>
              <w:topLinePunct w:val="0"/>
              <w:bidi w:val="0"/>
              <w:spacing w:after="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w:t>
            </w:r>
            <w:r>
              <w:rPr>
                <w:rFonts w:hint="eastAsia" w:hAnsi="宋体" w:cs="宋体"/>
                <w:b/>
                <w:bCs/>
                <w:color w:val="auto"/>
                <w:kern w:val="2"/>
                <w:sz w:val="24"/>
                <w:szCs w:val="24"/>
                <w:highlight w:val="none"/>
              </w:rPr>
              <w:t>如有负偏离指标的在《技术偏离表》中逐条响应</w:t>
            </w:r>
            <w:r>
              <w:rPr>
                <w:rFonts w:hint="eastAsia" w:hAnsi="宋体" w:cs="宋体"/>
                <w:b/>
                <w:bCs/>
                <w:color w:val="auto"/>
                <w:kern w:val="2"/>
                <w:sz w:val="24"/>
                <w:szCs w:val="24"/>
                <w:highlight w:val="none"/>
                <w:lang w:val="en-US" w:eastAsia="zh-CN"/>
              </w:rPr>
              <w:t>；</w:t>
            </w:r>
            <w:r>
              <w:rPr>
                <w:rFonts w:hint="eastAsia" w:hAnsi="宋体" w:cs="宋体"/>
                <w:b/>
                <w:bCs/>
                <w:color w:val="auto"/>
                <w:kern w:val="2"/>
                <w:sz w:val="24"/>
                <w:szCs w:val="24"/>
                <w:highlight w:val="none"/>
              </w:rPr>
              <w:t>证明材料以“采购需求”清单要求中要求提供的相关证明材料为准，未提供的视为负偏离。</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90" w:hRule="atLeast"/>
          <w:jc w:val="center"/>
        </w:trPr>
        <w:tc>
          <w:tcPr>
            <w:tcW w:w="1349" w:type="dxa"/>
            <w:vMerge w:val="restart"/>
            <w:tcBorders>
              <w:top w:val="single" w:color="auto" w:sz="4" w:space="0"/>
              <w:left w:val="single" w:color="auto" w:sz="4" w:space="0"/>
              <w:right w:val="single" w:color="auto" w:sz="4" w:space="0"/>
            </w:tcBorders>
            <w:vAlign w:val="center"/>
          </w:tcPr>
          <w:p>
            <w:pPr>
              <w:pStyle w:val="33"/>
              <w:jc w:val="center"/>
              <w:rPr>
                <w:rFonts w:hint="eastAsia"/>
                <w:color w:val="auto"/>
                <w:sz w:val="24"/>
                <w:szCs w:val="24"/>
                <w:highlight w:val="none"/>
                <w:lang w:eastAsia="zh-CN"/>
              </w:rPr>
            </w:pPr>
            <w:r>
              <w:rPr>
                <w:rFonts w:hint="eastAsia"/>
                <w:color w:val="auto"/>
                <w:sz w:val="24"/>
                <w:szCs w:val="24"/>
                <w:highlight w:val="none"/>
                <w:lang w:eastAsia="zh-CN"/>
              </w:rPr>
              <w:t>技术参数指标</w:t>
            </w:r>
          </w:p>
        </w:tc>
        <w:tc>
          <w:tcPr>
            <w:tcW w:w="8351"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rPr>
              <w:t>根据投标人</w:t>
            </w:r>
            <w:r>
              <w:rPr>
                <w:rFonts w:hint="eastAsia" w:ascii="宋体" w:hAnsi="宋体" w:eastAsia="宋体" w:cs="宋体"/>
                <w:color w:val="auto"/>
                <w:kern w:val="2"/>
                <w:sz w:val="24"/>
                <w:szCs w:val="24"/>
                <w:highlight w:val="none"/>
                <w:shd w:val="clear" w:color="auto" w:fill="auto"/>
                <w:lang w:val="zh-CN" w:eastAsia="zh-CN" w:bidi="ar-SA"/>
              </w:rPr>
              <w:t>针对本项目提供的产品材料、配件的选用（产品选用的主要部件、材料如主体结构件、底盘、动力电池、驱动电机、电控、转向机构、液压部件、控制系统及电器元件、上装部分等）、产品的动力电池的技术性能、容量、防护等级、电芯、能量密度、投标产品的生产工艺、安全装置、防锈防腐措施、采用的先进技术</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6</w:t>
            </w:r>
            <w:r>
              <w:rPr>
                <w:rFonts w:hint="eastAsia" w:ascii="宋体" w:hAnsi="宋体" w:eastAsia="宋体" w:cs="宋体"/>
                <w:color w:val="auto"/>
                <w:kern w:val="2"/>
                <w:sz w:val="24"/>
                <w:szCs w:val="24"/>
                <w:highlight w:val="none"/>
                <w:shd w:val="clear" w:color="auto" w:fill="auto"/>
                <w:lang w:val="zh-CN" w:eastAsia="zh-CN" w:bidi="ar-SA"/>
              </w:rPr>
              <w:t>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jc w:val="center"/>
              <w:rPr>
                <w:rFonts w:hint="eastAsia"/>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top"/>
          </w:tcPr>
          <w:p>
            <w:pPr>
              <w:numPr>
                <w:ilvl w:val="0"/>
                <w:numId w:val="0"/>
              </w:numPr>
              <w:adjustRightInd w:val="0"/>
              <w:snapToGrid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highlight w:val="none"/>
                <w:lang w:val="zh-CN" w:eastAsia="zh-CN"/>
              </w:rPr>
              <w:t>针对本项目提供的</w:t>
            </w:r>
            <w:r>
              <w:rPr>
                <w:rFonts w:hint="eastAsia" w:ascii="宋体" w:hAnsi="宋体" w:eastAsia="宋体" w:cs="宋体"/>
                <w:color w:val="auto"/>
                <w:sz w:val="24"/>
                <w:szCs w:val="24"/>
                <w:highlight w:val="none"/>
                <w:lang w:val="en-US" w:eastAsia="zh-CN"/>
              </w:rPr>
              <w:t>产品控制系统、转化效率、制动系统、驱动性能的安全性、先进性、科学性、针对性等情况进行打分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,5,4.5,4，3.5,</w:t>
            </w:r>
            <w:r>
              <w:rPr>
                <w:rFonts w:hint="eastAsia" w:ascii="宋体" w:hAnsi="宋体" w:eastAsia="宋体" w:cs="宋体"/>
                <w:color w:val="auto"/>
                <w:kern w:val="2"/>
                <w:sz w:val="24"/>
                <w:szCs w:val="24"/>
                <w:highlight w:val="none"/>
                <w:lang w:val="zh-CN" w:eastAsia="zh-CN" w:bidi="ar-SA"/>
              </w:rPr>
              <w:t>3,2.5,2,1.5,1,0.5,0）。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jc w:val="center"/>
              <w:rPr>
                <w:rFonts w:hint="eastAsia"/>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center"/>
          </w:tcPr>
          <w:p>
            <w:pPr>
              <w:pStyle w:val="606"/>
              <w:spacing w:before="4" w:line="360" w:lineRule="auto"/>
              <w:ind w:left="108" w:leftChars="0" w:right="115"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kern w:val="2"/>
                <w:sz w:val="24"/>
                <w:szCs w:val="24"/>
                <w:highlight w:val="none"/>
                <w:lang w:val="zh-CN" w:eastAsia="zh-CN" w:bidi="ar-SA"/>
              </w:rPr>
              <w:t>针对本项目提供的车辆安全保护及应急操作的方便性、报警装置及稳定性能的优劣</w:t>
            </w:r>
            <w:r>
              <w:rPr>
                <w:rFonts w:hint="eastAsia" w:ascii="宋体" w:hAnsi="宋体" w:eastAsia="宋体" w:cs="宋体"/>
                <w:color w:val="auto"/>
                <w:kern w:val="2"/>
                <w:sz w:val="24"/>
                <w:szCs w:val="24"/>
                <w:highlight w:val="none"/>
                <w:lang w:val="en-US" w:eastAsia="zh-CN" w:bidi="ar-SA"/>
              </w:rPr>
              <w:t>等情况进行打分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62" w:lef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jc w:val="center"/>
              <w:rPr>
                <w:rFonts w:hint="eastAsia"/>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center"/>
          </w:tcPr>
          <w:p>
            <w:pPr>
              <w:pStyle w:val="606"/>
              <w:spacing w:before="4" w:line="360" w:lineRule="auto"/>
              <w:ind w:left="108" w:leftChars="0" w:right="115" w:rightChars="0"/>
              <w:jc w:val="left"/>
              <w:rPr>
                <w:rFonts w:hint="eastAsia" w:ascii="宋体" w:hAnsi="宋体" w:eastAsia="宋体" w:cs="宋体"/>
                <w:color w:val="auto"/>
                <w:kern w:val="2"/>
                <w:sz w:val="24"/>
                <w:szCs w:val="24"/>
                <w:highlight w:val="none"/>
                <w:lang w:val="en-US" w:eastAsia="zh-CN" w:bidi="ar-SA"/>
              </w:rPr>
            </w:pPr>
            <w:bookmarkStart w:id="120" w:name="OLE_LINK8"/>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kern w:val="2"/>
                <w:sz w:val="24"/>
                <w:szCs w:val="24"/>
                <w:highlight w:val="none"/>
                <w:lang w:val="zh-CN" w:eastAsia="zh-CN" w:bidi="ar-SA"/>
              </w:rPr>
              <w:t>针对本项目提供的</w:t>
            </w:r>
            <w:r>
              <w:rPr>
                <w:rFonts w:hint="eastAsia" w:ascii="宋体" w:hAnsi="宋体" w:eastAsia="宋体" w:cs="宋体"/>
                <w:color w:val="auto"/>
                <w:kern w:val="2"/>
                <w:sz w:val="24"/>
                <w:szCs w:val="24"/>
                <w:highlight w:val="none"/>
                <w:lang w:val="en-US" w:eastAsia="zh-CN" w:bidi="ar-SA"/>
              </w:rPr>
              <w:t>产品生产工艺、安全装置、防锈防腐措施所采用的先进技术等情况进行打分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bookmarkEnd w:id="120"/>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62" w:lef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center"/>
          </w:tcPr>
          <w:p>
            <w:pPr>
              <w:pStyle w:val="606"/>
              <w:spacing w:before="4" w:line="360" w:lineRule="auto"/>
              <w:ind w:left="108" w:leftChars="0" w:right="115" w:rightChars="0"/>
              <w:jc w:val="left"/>
              <w:rPr>
                <w:rFonts w:hint="eastAsia" w:ascii="宋体" w:hAnsi="宋体" w:eastAsia="宋体" w:cs="宋体"/>
                <w:color w:val="auto"/>
                <w:kern w:val="2"/>
                <w:sz w:val="24"/>
                <w:szCs w:val="24"/>
                <w:highlight w:val="none"/>
                <w:shd w:val="clear" w:color="auto" w:fill="auto"/>
                <w:lang w:val="en-US" w:eastAsia="zh-CN" w:bidi="ar-SA"/>
              </w:rPr>
            </w:pPr>
            <w:bookmarkStart w:id="121" w:name="OLE_LINK7"/>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kern w:val="2"/>
                <w:sz w:val="24"/>
                <w:szCs w:val="24"/>
                <w:highlight w:val="none"/>
                <w:lang w:val="zh-CN" w:eastAsia="zh-CN" w:bidi="ar-SA"/>
              </w:rPr>
              <w:t>针对本项目提供的</w:t>
            </w:r>
            <w:r>
              <w:rPr>
                <w:rFonts w:hint="eastAsia" w:ascii="宋体" w:hAnsi="宋体" w:eastAsia="宋体" w:cs="宋体"/>
                <w:b w:val="0"/>
                <w:bCs w:val="0"/>
                <w:color w:val="auto"/>
                <w:sz w:val="24"/>
                <w:szCs w:val="24"/>
                <w:highlight w:val="none"/>
              </w:rPr>
              <w:t>调试、交接方案</w:t>
            </w:r>
            <w:r>
              <w:rPr>
                <w:rFonts w:hint="eastAsia" w:ascii="宋体" w:hAnsi="宋体" w:eastAsia="宋体" w:cs="宋体"/>
                <w:b w:val="0"/>
                <w:bCs w:val="0"/>
                <w:color w:val="auto"/>
                <w:sz w:val="24"/>
                <w:szCs w:val="24"/>
                <w:highlight w:val="none"/>
                <w:lang w:val="en-US" w:eastAsia="zh-CN"/>
              </w:rPr>
              <w:t>,包括但不限于</w:t>
            </w:r>
            <w:r>
              <w:rPr>
                <w:rFonts w:hint="eastAsia" w:ascii="宋体" w:hAnsi="宋体" w:eastAsia="宋体" w:cs="宋体"/>
                <w:color w:val="auto"/>
                <w:sz w:val="24"/>
                <w:szCs w:val="24"/>
                <w:highlight w:val="none"/>
              </w:rPr>
              <w:t>产品到货、调试、验收方案及质量保证措施情况等情况进行打分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bookmarkEnd w:id="121"/>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sz w:val="24"/>
                <w:szCs w:val="24"/>
                <w:highlight w:val="none"/>
                <w:lang w:eastAsia="zh-CN"/>
              </w:rPr>
            </w:pPr>
          </w:p>
        </w:tc>
        <w:tc>
          <w:tcPr>
            <w:tcW w:w="8351" w:type="dxa"/>
            <w:tcBorders>
              <w:top w:val="single" w:color="000000" w:sz="4" w:space="0"/>
              <w:left w:val="single" w:color="auto" w:sz="4" w:space="0"/>
              <w:bottom w:val="single" w:color="000000" w:sz="4" w:space="0"/>
              <w:right w:val="single" w:color="000000" w:sz="4" w:space="0"/>
            </w:tcBorders>
            <w:vAlign w:val="center"/>
          </w:tcPr>
          <w:p>
            <w:pPr>
              <w:pStyle w:val="606"/>
              <w:spacing w:before="4" w:line="360" w:lineRule="auto"/>
              <w:ind w:left="108" w:leftChars="0" w:right="115" w:rightChars="0"/>
              <w:jc w:val="left"/>
              <w:rPr>
                <w:rFonts w:hint="eastAsia" w:ascii="宋体" w:hAnsi="宋体" w:eastAsia="宋体" w:cs="宋体"/>
                <w:color w:val="auto"/>
                <w:kern w:val="2"/>
                <w:sz w:val="24"/>
                <w:szCs w:val="24"/>
                <w:highlight w:val="none"/>
                <w:shd w:val="clear" w:color="auto" w:fill="auto"/>
                <w:lang w:val="en-US" w:eastAsia="zh-CN" w:bidi="ar-SA"/>
              </w:rPr>
            </w:pPr>
            <w:bookmarkStart w:id="122" w:name="OLE_LINK9"/>
            <w:r>
              <w:rPr>
                <w:rFonts w:hint="eastAsia" w:ascii="宋体" w:hAnsi="宋体" w:eastAsia="宋体" w:cs="宋体"/>
                <w:color w:val="auto"/>
                <w:kern w:val="2"/>
                <w:sz w:val="24"/>
                <w:szCs w:val="24"/>
                <w:highlight w:val="none"/>
                <w:shd w:val="clear" w:color="auto" w:fill="auto"/>
                <w:lang w:val="en-US" w:eastAsia="zh-CN" w:bidi="ar-SA"/>
              </w:rPr>
              <w:t>根据投标人针对本项目产品的安全系统、应急系统等进行方案论述，评委根据方案论述的合理性、及时性、针对性等情况进行打分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bookmarkEnd w:id="122"/>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4" w:line="360" w:lineRule="auto"/>
              <w:ind w:left="0" w:leftChars="0" w:right="115"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售后服务</w:t>
            </w:r>
          </w:p>
        </w:tc>
        <w:tc>
          <w:tcPr>
            <w:tcW w:w="8351"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提供的售后服务方案</w:t>
            </w:r>
            <w:r>
              <w:rPr>
                <w:rFonts w:hint="eastAsia" w:ascii="宋体" w:hAnsi="宋体" w:eastAsia="宋体" w:cs="宋体"/>
                <w:color w:val="auto"/>
                <w:sz w:val="24"/>
                <w:szCs w:val="24"/>
                <w:highlight w:val="none"/>
              </w:rPr>
              <w:t>和售后维护服务机构</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包括但不限于：</w:t>
            </w:r>
          </w:p>
          <w:p>
            <w:pPr>
              <w:numPr>
                <w:ilvl w:val="0"/>
                <w:numId w:val="0"/>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：接故障报修后响应时间、接故障报修后</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lang w:eastAsia="zh-CN"/>
              </w:rPr>
              <w:t>到达抢修地点的时间、恢复车辆故障时间等情况进行打分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shd w:val="clear" w:color="auto" w:fill="FFFFFF"/>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服务内容</w:t>
            </w:r>
            <w:r>
              <w:rPr>
                <w:rFonts w:hint="eastAsia" w:ascii="宋体" w:hAnsi="宋体" w:cs="宋体"/>
                <w:color w:val="auto"/>
                <w:sz w:val="24"/>
                <w:szCs w:val="24"/>
                <w:highlight w:val="none"/>
                <w:lang w:eastAsia="zh-CN"/>
              </w:rPr>
              <w:t>：</w:t>
            </w:r>
            <w:r>
              <w:rPr>
                <w:rFonts w:hint="eastAsia" w:ascii="宋体" w:hAnsi="宋体" w:eastAsia="宋体" w:cs="宋体"/>
                <w:color w:val="auto"/>
                <w:sz w:val="22"/>
                <w:szCs w:val="22"/>
                <w:highlight w:val="none"/>
                <w:lang w:val="zh-CN" w:eastAsia="zh-CN"/>
              </w:rPr>
              <w:t>零配件库储</w:t>
            </w:r>
            <w:r>
              <w:rPr>
                <w:rFonts w:hint="eastAsia" w:ascii="宋体" w:hAnsi="宋体" w:eastAsia="宋体" w:cs="宋体"/>
                <w:color w:val="auto"/>
                <w:sz w:val="22"/>
                <w:szCs w:val="22"/>
                <w:highlight w:val="none"/>
                <w:lang w:eastAsia="zh-CN"/>
              </w:rPr>
              <w:t>备能力、零配件调拨能力</w:t>
            </w:r>
            <w:r>
              <w:rPr>
                <w:rFonts w:hint="eastAsia" w:ascii="宋体" w:hAnsi="宋体" w:cs="宋体"/>
                <w:color w:val="auto"/>
                <w:sz w:val="24"/>
                <w:szCs w:val="24"/>
                <w:highlight w:val="none"/>
                <w:lang w:eastAsia="zh-CN"/>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故障处理办法</w:t>
            </w:r>
            <w:r>
              <w:rPr>
                <w:rFonts w:hint="eastAsia" w:ascii="宋体" w:hAnsi="宋体" w:cs="宋体"/>
                <w:color w:val="auto"/>
                <w:sz w:val="24"/>
                <w:szCs w:val="24"/>
                <w:highlight w:val="none"/>
                <w:lang w:eastAsia="zh-CN"/>
              </w:rPr>
              <w:t>：主要从应急应对措施、内容科学合理、后续处理方法等情况进行打分；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服务承诺</w:t>
            </w:r>
            <w:r>
              <w:rPr>
                <w:rFonts w:hint="eastAsia" w:ascii="宋体" w:hAnsi="宋体" w:cs="宋体"/>
                <w:color w:val="auto"/>
                <w:sz w:val="24"/>
                <w:szCs w:val="24"/>
                <w:highlight w:val="none"/>
                <w:lang w:eastAsia="zh-CN"/>
              </w:rPr>
              <w:t>：主要从项目完成质量、后续服务保障体系等情况进行打分；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0-8分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质保期</w:t>
            </w:r>
          </w:p>
        </w:tc>
        <w:tc>
          <w:tcPr>
            <w:tcW w:w="8351" w:type="dxa"/>
            <w:tcBorders>
              <w:top w:val="single" w:color="000000" w:sz="4" w:space="0"/>
              <w:left w:val="single" w:color="000000" w:sz="4" w:space="0"/>
              <w:bottom w:val="single" w:color="auto" w:sz="4" w:space="0"/>
              <w:right w:val="single" w:color="000000" w:sz="4" w:space="0"/>
            </w:tcBorders>
            <w:vAlign w:val="center"/>
          </w:tcPr>
          <w:p>
            <w:pPr>
              <w:spacing w:before="4" w:line="276" w:lineRule="auto"/>
              <w:rPr>
                <w:rStyle w:val="621"/>
                <w:rFonts w:hint="eastAsia" w:ascii="宋体" w:hAnsi="宋体" w:eastAsia="宋体" w:cs="宋体"/>
                <w:b w:val="0"/>
                <w:bCs w:val="0"/>
                <w:color w:val="auto"/>
                <w:sz w:val="24"/>
                <w:szCs w:val="24"/>
                <w:highlight w:val="none"/>
                <w:lang w:val="zh-CN" w:bidi="zh-CN"/>
              </w:rPr>
            </w:pPr>
            <w:r>
              <w:rPr>
                <w:rFonts w:hint="eastAsia" w:ascii="宋体" w:hAnsi="宋体" w:eastAsia="宋体" w:cs="宋体"/>
                <w:b w:val="0"/>
                <w:bCs w:val="0"/>
                <w:i w:val="0"/>
                <w:iCs w:val="0"/>
                <w:color w:val="auto"/>
                <w:sz w:val="24"/>
                <w:szCs w:val="24"/>
                <w:highlight w:val="none"/>
                <w:lang w:val="zh-CN" w:eastAsia="zh-CN" w:bidi="zh-CN"/>
              </w:rPr>
              <w:t>本项目要求提供</w:t>
            </w:r>
            <w:r>
              <w:rPr>
                <w:rStyle w:val="621"/>
                <w:rFonts w:hint="eastAsia" w:ascii="宋体" w:hAnsi="宋体" w:eastAsia="宋体" w:cs="宋体"/>
                <w:b w:val="0"/>
                <w:bCs w:val="0"/>
                <w:color w:val="auto"/>
                <w:sz w:val="24"/>
                <w:szCs w:val="24"/>
                <w:highlight w:val="none"/>
                <w:lang w:val="zh-CN" w:bidi="zh-CN"/>
              </w:rPr>
              <w:t>整车质保期质保2年，动力电池5年质保，驱动电机及控制器5年质保。</w:t>
            </w:r>
          </w:p>
          <w:p>
            <w:pPr>
              <w:spacing w:before="4" w:line="276" w:lineRule="auto"/>
              <w:rPr>
                <w:rFonts w:hint="eastAsia" w:ascii="宋体" w:hAnsi="宋体" w:eastAsia="宋体" w:cs="宋体"/>
                <w:i w:val="0"/>
                <w:iCs w:val="0"/>
                <w:strike w:val="0"/>
                <w:color w:val="auto"/>
                <w:sz w:val="24"/>
                <w:szCs w:val="24"/>
                <w:highlight w:val="none"/>
                <w:lang w:val="zh-CN" w:bidi="zh-CN"/>
              </w:rPr>
            </w:pPr>
            <w:r>
              <w:rPr>
                <w:rFonts w:hint="eastAsia" w:ascii="宋体" w:hAnsi="宋体" w:cs="宋体"/>
                <w:i w:val="0"/>
                <w:iCs w:val="0"/>
                <w:strike w:val="0"/>
                <w:color w:val="auto"/>
                <w:sz w:val="24"/>
                <w:szCs w:val="24"/>
                <w:highlight w:val="none"/>
                <w:lang w:val="en-US" w:bidi="zh-CN"/>
              </w:rPr>
              <w:t>1.</w:t>
            </w:r>
            <w:r>
              <w:rPr>
                <w:rFonts w:hint="eastAsia" w:ascii="宋体" w:hAnsi="宋体" w:eastAsia="宋体" w:cs="宋体"/>
                <w:i w:val="0"/>
                <w:iCs w:val="0"/>
                <w:strike w:val="0"/>
                <w:color w:val="auto"/>
                <w:sz w:val="24"/>
                <w:szCs w:val="24"/>
                <w:highlight w:val="none"/>
                <w:lang w:val="zh-CN" w:bidi="zh-CN"/>
              </w:rPr>
              <w:t>投标人响应的</w:t>
            </w:r>
            <w:r>
              <w:rPr>
                <w:rStyle w:val="621"/>
                <w:rFonts w:hint="eastAsia" w:ascii="宋体" w:hAnsi="宋体" w:eastAsia="宋体" w:cs="宋体"/>
                <w:b w:val="0"/>
                <w:bCs w:val="0"/>
                <w:color w:val="auto"/>
                <w:sz w:val="24"/>
                <w:szCs w:val="24"/>
                <w:highlight w:val="none"/>
                <w:lang w:val="zh-CN" w:bidi="zh-CN"/>
              </w:rPr>
              <w:t>整车质保期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p>
            <w:pPr>
              <w:spacing w:before="4" w:line="276" w:lineRule="auto"/>
              <w:rPr>
                <w:rFonts w:hint="eastAsia" w:ascii="宋体" w:hAnsi="宋体" w:eastAsia="宋体" w:cs="宋体"/>
                <w:i w:val="0"/>
                <w:iCs w:val="0"/>
                <w:strike w:val="0"/>
                <w:color w:val="auto"/>
                <w:sz w:val="24"/>
                <w:szCs w:val="24"/>
                <w:highlight w:val="none"/>
                <w:lang w:val="zh-CN" w:bidi="zh-CN"/>
              </w:rPr>
            </w:pPr>
            <w:r>
              <w:rPr>
                <w:rFonts w:hint="eastAsia" w:ascii="宋体" w:hAnsi="宋体" w:cs="宋体"/>
                <w:i w:val="0"/>
                <w:iCs w:val="0"/>
                <w:strike w:val="0"/>
                <w:color w:val="auto"/>
                <w:sz w:val="24"/>
                <w:szCs w:val="24"/>
                <w:highlight w:val="none"/>
                <w:lang w:val="en-US" w:bidi="zh-CN"/>
              </w:rPr>
              <w:t>2.</w:t>
            </w:r>
            <w:r>
              <w:rPr>
                <w:rFonts w:hint="eastAsia" w:ascii="宋体" w:hAnsi="宋体" w:eastAsia="宋体" w:cs="宋体"/>
                <w:i w:val="0"/>
                <w:iCs w:val="0"/>
                <w:strike w:val="0"/>
                <w:color w:val="auto"/>
                <w:sz w:val="24"/>
                <w:szCs w:val="24"/>
                <w:highlight w:val="none"/>
                <w:lang w:val="zh-CN" w:bidi="zh-CN"/>
              </w:rPr>
              <w:t>投标人响应的</w:t>
            </w:r>
            <w:r>
              <w:rPr>
                <w:rStyle w:val="621"/>
                <w:rFonts w:hint="eastAsia" w:ascii="宋体" w:hAnsi="宋体" w:eastAsia="宋体" w:cs="宋体"/>
                <w:b w:val="0"/>
                <w:bCs w:val="0"/>
                <w:color w:val="auto"/>
                <w:sz w:val="24"/>
                <w:szCs w:val="24"/>
                <w:highlight w:val="none"/>
                <w:lang w:val="zh-CN" w:bidi="zh-CN"/>
              </w:rPr>
              <w:t>动力电池</w:t>
            </w:r>
            <w:r>
              <w:rPr>
                <w:rStyle w:val="621"/>
                <w:rFonts w:hint="eastAsia" w:ascii="宋体" w:hAnsi="宋体" w:eastAsia="宋体" w:cs="宋体"/>
                <w:b w:val="0"/>
                <w:bCs w:val="0"/>
                <w:color w:val="auto"/>
                <w:sz w:val="24"/>
                <w:szCs w:val="24"/>
                <w:highlight w:val="none"/>
                <w:lang w:val="zh-CN" w:eastAsia="zh-CN" w:bidi="zh-CN"/>
              </w:rPr>
              <w:t>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lang w:val="en-US" w:eastAsia="zh-CN"/>
              </w:rPr>
            </w:pPr>
            <w:r>
              <w:rPr>
                <w:rFonts w:hint="eastAsia" w:ascii="宋体" w:hAnsi="宋体" w:cs="宋体"/>
                <w:i w:val="0"/>
                <w:iCs w:val="0"/>
                <w:strike w:val="0"/>
                <w:color w:val="auto"/>
                <w:sz w:val="24"/>
                <w:szCs w:val="24"/>
                <w:highlight w:val="none"/>
                <w:lang w:val="en-US" w:bidi="zh-CN"/>
              </w:rPr>
              <w:t>3.</w:t>
            </w:r>
            <w:r>
              <w:rPr>
                <w:rFonts w:hint="eastAsia" w:ascii="宋体" w:hAnsi="宋体" w:eastAsia="宋体" w:cs="宋体"/>
                <w:i w:val="0"/>
                <w:iCs w:val="0"/>
                <w:strike w:val="0"/>
                <w:color w:val="auto"/>
                <w:sz w:val="24"/>
                <w:szCs w:val="24"/>
                <w:highlight w:val="none"/>
                <w:lang w:val="zh-CN" w:bidi="zh-CN"/>
              </w:rPr>
              <w:t>投标人响应的</w:t>
            </w:r>
            <w:r>
              <w:rPr>
                <w:rStyle w:val="621"/>
                <w:rFonts w:hint="eastAsia" w:ascii="宋体" w:hAnsi="宋体" w:eastAsia="宋体" w:cs="宋体"/>
                <w:b w:val="0"/>
                <w:bCs w:val="0"/>
                <w:color w:val="auto"/>
                <w:sz w:val="24"/>
                <w:szCs w:val="24"/>
                <w:highlight w:val="none"/>
                <w:lang w:val="zh-CN" w:bidi="zh-CN"/>
              </w:rPr>
              <w:t>驱动电机及控制器</w:t>
            </w:r>
            <w:r>
              <w:rPr>
                <w:rStyle w:val="621"/>
                <w:rFonts w:hint="eastAsia" w:ascii="宋体" w:hAnsi="宋体" w:eastAsia="宋体" w:cs="宋体"/>
                <w:b w:val="0"/>
                <w:bCs w:val="0"/>
                <w:color w:val="auto"/>
                <w:sz w:val="24"/>
                <w:szCs w:val="24"/>
                <w:highlight w:val="none"/>
                <w:lang w:val="zh-CN" w:eastAsia="zh-CN" w:bidi="zh-CN"/>
              </w:rPr>
              <w:t>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spacing w:line="36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退换货方案</w:t>
            </w:r>
          </w:p>
        </w:tc>
        <w:tc>
          <w:tcPr>
            <w:tcW w:w="83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根据投标人对货物质量</w:t>
            </w:r>
            <w:r>
              <w:rPr>
                <w:rFonts w:hint="eastAsia" w:ascii="宋体" w:hAnsi="宋体" w:cs="宋体"/>
                <w:color w:val="auto"/>
                <w:kern w:val="2"/>
                <w:sz w:val="24"/>
                <w:szCs w:val="24"/>
                <w:highlight w:val="none"/>
                <w:lang w:val="en-US" w:eastAsia="zh-CN"/>
              </w:rPr>
              <w:t>与</w:t>
            </w:r>
            <w:r>
              <w:rPr>
                <w:rFonts w:hint="eastAsia" w:ascii="宋体" w:hAnsi="宋体" w:eastAsia="宋体" w:cs="宋体"/>
                <w:color w:val="auto"/>
                <w:kern w:val="2"/>
                <w:sz w:val="24"/>
                <w:szCs w:val="24"/>
                <w:highlight w:val="none"/>
                <w:lang w:val="en-US" w:eastAsia="zh-CN"/>
              </w:rPr>
              <w:t>采购要求不符等原因</w:t>
            </w:r>
            <w:r>
              <w:rPr>
                <w:rFonts w:hint="eastAsia" w:ascii="宋体" w:hAnsi="宋体" w:cs="宋体"/>
                <w:color w:val="auto"/>
                <w:kern w:val="2"/>
                <w:sz w:val="24"/>
                <w:szCs w:val="24"/>
                <w:highlight w:val="none"/>
                <w:lang w:val="en-US" w:eastAsia="zh-CN"/>
              </w:rPr>
              <w:t>造成的</w:t>
            </w:r>
            <w:r>
              <w:rPr>
                <w:rFonts w:hint="eastAsia" w:ascii="宋体" w:hAnsi="宋体" w:eastAsia="宋体" w:cs="宋体"/>
                <w:color w:val="auto"/>
                <w:kern w:val="2"/>
                <w:sz w:val="24"/>
                <w:szCs w:val="24"/>
                <w:highlight w:val="none"/>
                <w:lang w:val="en-US" w:eastAsia="zh-CN"/>
              </w:rPr>
              <w:t>退货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换货处理方案的合理性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Style w:val="19"/>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培训服务方案</w:t>
            </w:r>
          </w:p>
        </w:tc>
        <w:tc>
          <w:tcPr>
            <w:tcW w:w="8351" w:type="dxa"/>
            <w:tcBorders>
              <w:top w:val="single" w:color="000000"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shd w:val="clear" w:color="auto" w:fill="FFFFFF"/>
                <w:lang w:val="zh-CN"/>
              </w:rPr>
              <w:t>。</w:t>
            </w:r>
          </w:p>
          <w:p>
            <w:pPr>
              <w:pageBreakBefore w:val="0"/>
              <w:kinsoku/>
              <w:wordWrap/>
              <w:overflowPunct/>
              <w:topLinePunct w:val="0"/>
              <w:bidi w:val="0"/>
              <w:spacing w:line="360" w:lineRule="auto"/>
              <w:ind w:right="0" w:right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5,4.5,4,3.5,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358" w:hRule="atLeast"/>
          <w:jc w:val="center"/>
        </w:trPr>
        <w:tc>
          <w:tcPr>
            <w:tcW w:w="134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0-30分</w:t>
            </w:r>
          </w:p>
        </w:tc>
      </w:tr>
    </w:tbl>
    <w:p>
      <w:pPr>
        <w:pStyle w:val="55"/>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5"/>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5"/>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5"/>
        <w:pageBreakBefore w:val="0"/>
        <w:kinsoku/>
        <w:wordWrap/>
        <w:overflowPunct/>
        <w:topLinePunct w:val="0"/>
        <w:bidi w:val="0"/>
        <w:spacing w:line="400" w:lineRule="exact"/>
        <w:ind w:left="0" w:leftChars="0" w:right="0" w:rightChars="0" w:firstLine="482" w:firstLineChars="200"/>
        <w:jc w:val="left"/>
        <w:textAlignment w:val="auto"/>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en-US" w:eastAsia="zh-CN"/>
        </w:rPr>
        <w:t>.</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en-US" w:eastAsia="zh-CN"/>
        </w:rPr>
        <w:t>.</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en-US" w:eastAsia="zh-CN"/>
        </w:rPr>
        <w:t>.</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en-US" w:eastAsia="zh-CN"/>
        </w:rPr>
        <w:t>.</w:t>
      </w:r>
      <w:r>
        <w:rPr>
          <w:rStyle w:val="607"/>
          <w:rFonts w:hint="eastAsia" w:ascii="宋体" w:hAnsi="宋体" w:eastAsia="宋体" w:cs="宋体"/>
          <w:color w:val="auto"/>
          <w:szCs w:val="24"/>
          <w:highlight w:val="none"/>
          <w:lang w:val="zh-TW"/>
        </w:rPr>
        <w:t>电子投标开标及评审程序</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pageBreakBefore w:val="0"/>
        <w:kinsoku/>
        <w:wordWrap/>
        <w:overflowPunct/>
        <w:topLinePunct w:val="0"/>
        <w:bidi w:val="0"/>
        <w:spacing w:line="400" w:lineRule="exact"/>
        <w:ind w:left="0" w:leftChars="0" w:right="0" w:rightChars="0" w:firstLine="480" w:firstLineChars="200"/>
        <w:textAlignment w:val="auto"/>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pageBreakBefore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20B0604020202020204"/>
    <w:charset w:val="00"/>
    <w:family w:val="swiss"/>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ヒラギノ角ゴ Pro W3">
    <w:altName w:val="MS Gothic"/>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Lucida Sans Unicode">
    <w:panose1 w:val="020B0602030504020204"/>
    <w:charset w:val="00"/>
    <w:family w:val="auto"/>
    <w:pitch w:val="default"/>
    <w:sig w:usb0="80001AFF" w:usb1="0000396B" w:usb2="00000000" w:usb3="00000000" w:csb0="200000BF" w:csb1="D7F7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 w:name=".PingFang SC">
    <w:altName w:val="Segoe Print"/>
    <w:panose1 w:val="00000000000000000000"/>
    <w:charset w:val="00"/>
    <w:family w:val="modern"/>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CG Times">
    <w:altName w:val="微软雅黑"/>
    <w:panose1 w:val="02020603050405020304"/>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方正黑体简体">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文泉驿微米黑">
    <w:altName w:val="黑体"/>
    <w:panose1 w:val="020B0606030804020204"/>
    <w:charset w:val="86"/>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1"/>
      </w:rPr>
    </w:pPr>
    <w:r>
      <w:fldChar w:fldCharType="begin"/>
    </w:r>
    <w:r>
      <w:rPr>
        <w:rStyle w:val="91"/>
      </w:rPr>
      <w:instrText xml:space="preserve">PAGE  </w:instrText>
    </w:r>
    <w:r>
      <w:fldChar w:fldCharType="separate"/>
    </w:r>
    <w:r>
      <w:rPr>
        <w:rStyle w:val="91"/>
      </w:rPr>
      <w:t>1</w:t>
    </w:r>
    <w:r>
      <w:fldChar w:fldCharType="end"/>
    </w:r>
  </w:p>
  <w:p>
    <w:pPr>
      <w:pStyle w:val="58"/>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0156EC6"/>
    <w:multiLevelType w:val="singleLevel"/>
    <w:tmpl w:val="20156EC6"/>
    <w:lvl w:ilvl="0" w:tentative="0">
      <w:start w:val="1"/>
      <w:numFmt w:val="chineseCounting"/>
      <w:suff w:val="nothing"/>
      <w:lvlText w:val="%1、"/>
      <w:lvlJc w:val="left"/>
      <w:rPr>
        <w:rFonts w:hint="eastAsia"/>
      </w:rPr>
    </w:lvl>
  </w:abstractNum>
  <w:abstractNum w:abstractNumId="3">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3E21619A"/>
    <w:multiLevelType w:val="singleLevel"/>
    <w:tmpl w:val="3E21619A"/>
    <w:lvl w:ilvl="0" w:tentative="0">
      <w:start w:val="1"/>
      <w:numFmt w:val="chineseCounting"/>
      <w:suff w:val="nothing"/>
      <w:lvlText w:val="%1、"/>
      <w:lvlJc w:val="left"/>
      <w:rPr>
        <w:rFonts w:hint="eastAsia"/>
      </w:rPr>
    </w:lvl>
  </w:abstractNum>
  <w:abstractNum w:abstractNumId="5">
    <w:nsid w:val="6645F7C5"/>
    <w:multiLevelType w:val="singleLevel"/>
    <w:tmpl w:val="6645F7C5"/>
    <w:lvl w:ilvl="0" w:tentative="0">
      <w:start w:val="5"/>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Dk0NWFiZmRmYTdhMWNkODA3ZTYyMjg1MWY2MW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BC7179"/>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5F54"/>
    <w:rsid w:val="00EC7558"/>
    <w:rsid w:val="00F02364"/>
    <w:rsid w:val="00F41063"/>
    <w:rsid w:val="00FC5D2D"/>
    <w:rsid w:val="011D1ADA"/>
    <w:rsid w:val="01343CDE"/>
    <w:rsid w:val="01411F7E"/>
    <w:rsid w:val="014E520E"/>
    <w:rsid w:val="019E6641"/>
    <w:rsid w:val="01A65DF4"/>
    <w:rsid w:val="01AA487D"/>
    <w:rsid w:val="01B26DEB"/>
    <w:rsid w:val="01F70F33"/>
    <w:rsid w:val="021777EF"/>
    <w:rsid w:val="02195631"/>
    <w:rsid w:val="02205F46"/>
    <w:rsid w:val="022E21C6"/>
    <w:rsid w:val="02372334"/>
    <w:rsid w:val="023B42B5"/>
    <w:rsid w:val="02422490"/>
    <w:rsid w:val="025564EB"/>
    <w:rsid w:val="028313BA"/>
    <w:rsid w:val="02857804"/>
    <w:rsid w:val="02C45A4B"/>
    <w:rsid w:val="02DE09FE"/>
    <w:rsid w:val="02DE46CD"/>
    <w:rsid w:val="0300101E"/>
    <w:rsid w:val="03031D77"/>
    <w:rsid w:val="03051C85"/>
    <w:rsid w:val="0319088C"/>
    <w:rsid w:val="03366254"/>
    <w:rsid w:val="039D113B"/>
    <w:rsid w:val="03A0685D"/>
    <w:rsid w:val="03A722EC"/>
    <w:rsid w:val="03D86C66"/>
    <w:rsid w:val="03DD1E88"/>
    <w:rsid w:val="03E13221"/>
    <w:rsid w:val="03E719A3"/>
    <w:rsid w:val="03EB570F"/>
    <w:rsid w:val="04073203"/>
    <w:rsid w:val="040A310F"/>
    <w:rsid w:val="041465B3"/>
    <w:rsid w:val="0427203C"/>
    <w:rsid w:val="042C60AB"/>
    <w:rsid w:val="04375C55"/>
    <w:rsid w:val="043B3259"/>
    <w:rsid w:val="045C3220"/>
    <w:rsid w:val="04671DFA"/>
    <w:rsid w:val="04836EB7"/>
    <w:rsid w:val="04901016"/>
    <w:rsid w:val="04913A57"/>
    <w:rsid w:val="049D5887"/>
    <w:rsid w:val="04A65518"/>
    <w:rsid w:val="04BD70CC"/>
    <w:rsid w:val="04BE22A0"/>
    <w:rsid w:val="04C30E9E"/>
    <w:rsid w:val="04CF49E8"/>
    <w:rsid w:val="04CF6494"/>
    <w:rsid w:val="05155495"/>
    <w:rsid w:val="05203D67"/>
    <w:rsid w:val="053509BB"/>
    <w:rsid w:val="05363B99"/>
    <w:rsid w:val="05463197"/>
    <w:rsid w:val="055A008C"/>
    <w:rsid w:val="05660C79"/>
    <w:rsid w:val="05A94E9B"/>
    <w:rsid w:val="05B5354F"/>
    <w:rsid w:val="05C77D31"/>
    <w:rsid w:val="05CF34BF"/>
    <w:rsid w:val="05D626FD"/>
    <w:rsid w:val="05F36976"/>
    <w:rsid w:val="05F80E9F"/>
    <w:rsid w:val="06671DFD"/>
    <w:rsid w:val="066C1FAC"/>
    <w:rsid w:val="06A244C2"/>
    <w:rsid w:val="06A85729"/>
    <w:rsid w:val="070B6B2B"/>
    <w:rsid w:val="07260087"/>
    <w:rsid w:val="072C55A5"/>
    <w:rsid w:val="072C7A50"/>
    <w:rsid w:val="07343300"/>
    <w:rsid w:val="073F5B5F"/>
    <w:rsid w:val="074A5FE6"/>
    <w:rsid w:val="07534A72"/>
    <w:rsid w:val="075524D7"/>
    <w:rsid w:val="07673B86"/>
    <w:rsid w:val="076E4329"/>
    <w:rsid w:val="077765EB"/>
    <w:rsid w:val="07D04F72"/>
    <w:rsid w:val="07E63C42"/>
    <w:rsid w:val="07E723AA"/>
    <w:rsid w:val="07F30816"/>
    <w:rsid w:val="084C20C2"/>
    <w:rsid w:val="085146E0"/>
    <w:rsid w:val="085B3EDF"/>
    <w:rsid w:val="086218C9"/>
    <w:rsid w:val="08715170"/>
    <w:rsid w:val="087D2589"/>
    <w:rsid w:val="08892FF8"/>
    <w:rsid w:val="08970A9A"/>
    <w:rsid w:val="089F124E"/>
    <w:rsid w:val="08AD60D8"/>
    <w:rsid w:val="08BA63EF"/>
    <w:rsid w:val="08D35662"/>
    <w:rsid w:val="08E763E3"/>
    <w:rsid w:val="08EF6EE4"/>
    <w:rsid w:val="09096B03"/>
    <w:rsid w:val="09190EEC"/>
    <w:rsid w:val="093D37A3"/>
    <w:rsid w:val="096D7C5A"/>
    <w:rsid w:val="09734935"/>
    <w:rsid w:val="09796F60"/>
    <w:rsid w:val="098C0F2C"/>
    <w:rsid w:val="099D5A30"/>
    <w:rsid w:val="09B878D0"/>
    <w:rsid w:val="09CA55FB"/>
    <w:rsid w:val="09E924D2"/>
    <w:rsid w:val="09EB2C7F"/>
    <w:rsid w:val="09EC0BAB"/>
    <w:rsid w:val="0A0C2E66"/>
    <w:rsid w:val="0A146479"/>
    <w:rsid w:val="0A1D3BE9"/>
    <w:rsid w:val="0A4C074B"/>
    <w:rsid w:val="0A6C3C00"/>
    <w:rsid w:val="0A705E7E"/>
    <w:rsid w:val="0A9B375F"/>
    <w:rsid w:val="0AAC6C0C"/>
    <w:rsid w:val="0AB255E0"/>
    <w:rsid w:val="0AC675CB"/>
    <w:rsid w:val="0AC95838"/>
    <w:rsid w:val="0AE6346D"/>
    <w:rsid w:val="0AE63B5D"/>
    <w:rsid w:val="0B085EBE"/>
    <w:rsid w:val="0B1262CC"/>
    <w:rsid w:val="0B1940D3"/>
    <w:rsid w:val="0B4E16E0"/>
    <w:rsid w:val="0B5B2301"/>
    <w:rsid w:val="0B5C2651"/>
    <w:rsid w:val="0B704EB8"/>
    <w:rsid w:val="0BA670FD"/>
    <w:rsid w:val="0BD206EB"/>
    <w:rsid w:val="0BE22D2E"/>
    <w:rsid w:val="0BE23A54"/>
    <w:rsid w:val="0BE76914"/>
    <w:rsid w:val="0C056249"/>
    <w:rsid w:val="0C274838"/>
    <w:rsid w:val="0C4563B9"/>
    <w:rsid w:val="0C5E0654"/>
    <w:rsid w:val="0C62612E"/>
    <w:rsid w:val="0C8072C3"/>
    <w:rsid w:val="0C92386B"/>
    <w:rsid w:val="0CA04CA2"/>
    <w:rsid w:val="0CA8433B"/>
    <w:rsid w:val="0CB85341"/>
    <w:rsid w:val="0CBD485A"/>
    <w:rsid w:val="0CD27274"/>
    <w:rsid w:val="0CE60C5B"/>
    <w:rsid w:val="0CF47832"/>
    <w:rsid w:val="0CFD24B4"/>
    <w:rsid w:val="0D0117B4"/>
    <w:rsid w:val="0D01619F"/>
    <w:rsid w:val="0D2E4F2F"/>
    <w:rsid w:val="0D4041EB"/>
    <w:rsid w:val="0D4C180E"/>
    <w:rsid w:val="0DA678BA"/>
    <w:rsid w:val="0DBB1D88"/>
    <w:rsid w:val="0DCE0F79"/>
    <w:rsid w:val="0DD37C00"/>
    <w:rsid w:val="0DDA199C"/>
    <w:rsid w:val="0DDA727B"/>
    <w:rsid w:val="0DDC0EB9"/>
    <w:rsid w:val="0DDC2799"/>
    <w:rsid w:val="0DDD00BB"/>
    <w:rsid w:val="0E125C73"/>
    <w:rsid w:val="0E173B47"/>
    <w:rsid w:val="0E2D6374"/>
    <w:rsid w:val="0E3501A1"/>
    <w:rsid w:val="0E445115"/>
    <w:rsid w:val="0E586E56"/>
    <w:rsid w:val="0E965313"/>
    <w:rsid w:val="0EA91E75"/>
    <w:rsid w:val="0EE344B5"/>
    <w:rsid w:val="0F0D107C"/>
    <w:rsid w:val="0F0E6720"/>
    <w:rsid w:val="0F4D3080"/>
    <w:rsid w:val="0F627DA2"/>
    <w:rsid w:val="0F8A67B5"/>
    <w:rsid w:val="0FA461AB"/>
    <w:rsid w:val="0FE22AB7"/>
    <w:rsid w:val="0FE718AE"/>
    <w:rsid w:val="0FE81A41"/>
    <w:rsid w:val="0FF504C5"/>
    <w:rsid w:val="10236D77"/>
    <w:rsid w:val="10384BA1"/>
    <w:rsid w:val="103F4D87"/>
    <w:rsid w:val="10523E08"/>
    <w:rsid w:val="105F2958"/>
    <w:rsid w:val="10631D68"/>
    <w:rsid w:val="1064669D"/>
    <w:rsid w:val="10716375"/>
    <w:rsid w:val="107E3BF9"/>
    <w:rsid w:val="10877F6D"/>
    <w:rsid w:val="10AD48ED"/>
    <w:rsid w:val="11061962"/>
    <w:rsid w:val="1115410E"/>
    <w:rsid w:val="112A1FBA"/>
    <w:rsid w:val="113A5E51"/>
    <w:rsid w:val="113D7F91"/>
    <w:rsid w:val="11512D64"/>
    <w:rsid w:val="11696F12"/>
    <w:rsid w:val="118F603A"/>
    <w:rsid w:val="119E4B3A"/>
    <w:rsid w:val="11BC311D"/>
    <w:rsid w:val="11F92636"/>
    <w:rsid w:val="12292A1E"/>
    <w:rsid w:val="122E5B1E"/>
    <w:rsid w:val="123F44A2"/>
    <w:rsid w:val="12666BCC"/>
    <w:rsid w:val="12816125"/>
    <w:rsid w:val="128220B6"/>
    <w:rsid w:val="128C7D48"/>
    <w:rsid w:val="12A36533"/>
    <w:rsid w:val="12AA3A07"/>
    <w:rsid w:val="12AC6E04"/>
    <w:rsid w:val="12D220C7"/>
    <w:rsid w:val="12E93547"/>
    <w:rsid w:val="12F3442E"/>
    <w:rsid w:val="12FC6791"/>
    <w:rsid w:val="133476EF"/>
    <w:rsid w:val="13445791"/>
    <w:rsid w:val="134635DB"/>
    <w:rsid w:val="13646D10"/>
    <w:rsid w:val="13655A9E"/>
    <w:rsid w:val="139628D8"/>
    <w:rsid w:val="13A36590"/>
    <w:rsid w:val="13CF51DD"/>
    <w:rsid w:val="13D226AF"/>
    <w:rsid w:val="13D34AF5"/>
    <w:rsid w:val="13DB4F92"/>
    <w:rsid w:val="1418000B"/>
    <w:rsid w:val="142172D0"/>
    <w:rsid w:val="1427438A"/>
    <w:rsid w:val="14565D1F"/>
    <w:rsid w:val="14787907"/>
    <w:rsid w:val="14806907"/>
    <w:rsid w:val="14806CD6"/>
    <w:rsid w:val="14A23E44"/>
    <w:rsid w:val="14A8396E"/>
    <w:rsid w:val="14B62C1A"/>
    <w:rsid w:val="14D44300"/>
    <w:rsid w:val="14D93CB1"/>
    <w:rsid w:val="14DA70D1"/>
    <w:rsid w:val="14EF7961"/>
    <w:rsid w:val="14F069EA"/>
    <w:rsid w:val="14F56D5A"/>
    <w:rsid w:val="14FB28FE"/>
    <w:rsid w:val="150429F6"/>
    <w:rsid w:val="150D2A54"/>
    <w:rsid w:val="15156A19"/>
    <w:rsid w:val="155623E0"/>
    <w:rsid w:val="1572095A"/>
    <w:rsid w:val="15C95B09"/>
    <w:rsid w:val="15EA26A5"/>
    <w:rsid w:val="15EA5CAE"/>
    <w:rsid w:val="15FA19FE"/>
    <w:rsid w:val="160217CC"/>
    <w:rsid w:val="16027579"/>
    <w:rsid w:val="16171CB4"/>
    <w:rsid w:val="161F16D9"/>
    <w:rsid w:val="16260333"/>
    <w:rsid w:val="1643527D"/>
    <w:rsid w:val="16440E89"/>
    <w:rsid w:val="164A6903"/>
    <w:rsid w:val="164C095D"/>
    <w:rsid w:val="16547CCA"/>
    <w:rsid w:val="16632339"/>
    <w:rsid w:val="167A25D1"/>
    <w:rsid w:val="16AF74C1"/>
    <w:rsid w:val="16B451A1"/>
    <w:rsid w:val="16DC353E"/>
    <w:rsid w:val="170A73BD"/>
    <w:rsid w:val="17160A43"/>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364E77"/>
    <w:rsid w:val="183D4FEE"/>
    <w:rsid w:val="18400A5E"/>
    <w:rsid w:val="18407A15"/>
    <w:rsid w:val="187C456B"/>
    <w:rsid w:val="187E6CAF"/>
    <w:rsid w:val="188633DB"/>
    <w:rsid w:val="188D05C7"/>
    <w:rsid w:val="18C73D32"/>
    <w:rsid w:val="18CB2B75"/>
    <w:rsid w:val="18EA4156"/>
    <w:rsid w:val="19024F6A"/>
    <w:rsid w:val="19167623"/>
    <w:rsid w:val="192B4317"/>
    <w:rsid w:val="19433FC8"/>
    <w:rsid w:val="196561E2"/>
    <w:rsid w:val="19675A6E"/>
    <w:rsid w:val="19775513"/>
    <w:rsid w:val="198F4E4D"/>
    <w:rsid w:val="199B28A1"/>
    <w:rsid w:val="19AD5C55"/>
    <w:rsid w:val="19AE250E"/>
    <w:rsid w:val="19B10BC9"/>
    <w:rsid w:val="19BD1FF4"/>
    <w:rsid w:val="19C55B70"/>
    <w:rsid w:val="19D71810"/>
    <w:rsid w:val="19F23284"/>
    <w:rsid w:val="1A034B64"/>
    <w:rsid w:val="1A110FAB"/>
    <w:rsid w:val="1A224AA1"/>
    <w:rsid w:val="1A2528D9"/>
    <w:rsid w:val="1A272330"/>
    <w:rsid w:val="1A3076E5"/>
    <w:rsid w:val="1A39737E"/>
    <w:rsid w:val="1A3B132B"/>
    <w:rsid w:val="1A791292"/>
    <w:rsid w:val="1A7F27BC"/>
    <w:rsid w:val="1AA56983"/>
    <w:rsid w:val="1AAF0325"/>
    <w:rsid w:val="1AD75490"/>
    <w:rsid w:val="1AE338C3"/>
    <w:rsid w:val="1AF632E9"/>
    <w:rsid w:val="1AF75459"/>
    <w:rsid w:val="1B1B2C06"/>
    <w:rsid w:val="1B23102F"/>
    <w:rsid w:val="1B943714"/>
    <w:rsid w:val="1B9951F6"/>
    <w:rsid w:val="1B9B1D0C"/>
    <w:rsid w:val="1BB13BF3"/>
    <w:rsid w:val="1BB74F63"/>
    <w:rsid w:val="1BCB12F4"/>
    <w:rsid w:val="1BCC09C5"/>
    <w:rsid w:val="1BDE3E04"/>
    <w:rsid w:val="1BE80AAD"/>
    <w:rsid w:val="1BED13FF"/>
    <w:rsid w:val="1BF70361"/>
    <w:rsid w:val="1C024CC8"/>
    <w:rsid w:val="1C037EB6"/>
    <w:rsid w:val="1C1532CA"/>
    <w:rsid w:val="1C177518"/>
    <w:rsid w:val="1C2F63A6"/>
    <w:rsid w:val="1C3F2750"/>
    <w:rsid w:val="1C411AC8"/>
    <w:rsid w:val="1C4B0137"/>
    <w:rsid w:val="1C4B41AF"/>
    <w:rsid w:val="1C6177B4"/>
    <w:rsid w:val="1C767F81"/>
    <w:rsid w:val="1C99460C"/>
    <w:rsid w:val="1CA650F5"/>
    <w:rsid w:val="1CBB49C8"/>
    <w:rsid w:val="1CEB159C"/>
    <w:rsid w:val="1CFD2715"/>
    <w:rsid w:val="1D047F18"/>
    <w:rsid w:val="1D0B6CAD"/>
    <w:rsid w:val="1D1D5D25"/>
    <w:rsid w:val="1D376E52"/>
    <w:rsid w:val="1D3B1492"/>
    <w:rsid w:val="1D3F5CDF"/>
    <w:rsid w:val="1D520FE4"/>
    <w:rsid w:val="1D54199D"/>
    <w:rsid w:val="1D5F7718"/>
    <w:rsid w:val="1D647783"/>
    <w:rsid w:val="1D8525E2"/>
    <w:rsid w:val="1D9407DB"/>
    <w:rsid w:val="1D9B7143"/>
    <w:rsid w:val="1D9F01C2"/>
    <w:rsid w:val="1DA67B23"/>
    <w:rsid w:val="1DA7646F"/>
    <w:rsid w:val="1DC558A4"/>
    <w:rsid w:val="1DD4732B"/>
    <w:rsid w:val="1DE63612"/>
    <w:rsid w:val="1DE85F2E"/>
    <w:rsid w:val="1DEF0FBF"/>
    <w:rsid w:val="1E19374A"/>
    <w:rsid w:val="1E29538D"/>
    <w:rsid w:val="1E497EFC"/>
    <w:rsid w:val="1E6D4EB4"/>
    <w:rsid w:val="1E7F7B76"/>
    <w:rsid w:val="1E9A38F0"/>
    <w:rsid w:val="1EA7571C"/>
    <w:rsid w:val="1EB9164B"/>
    <w:rsid w:val="1EBA0BB2"/>
    <w:rsid w:val="1EBF0860"/>
    <w:rsid w:val="1EDF0E06"/>
    <w:rsid w:val="1EE05F44"/>
    <w:rsid w:val="1EE447BD"/>
    <w:rsid w:val="1EF2097C"/>
    <w:rsid w:val="1EFE4210"/>
    <w:rsid w:val="1F0075A3"/>
    <w:rsid w:val="1F1B2A3F"/>
    <w:rsid w:val="1F2C0899"/>
    <w:rsid w:val="1F415C80"/>
    <w:rsid w:val="1F7223F2"/>
    <w:rsid w:val="1F9A2B40"/>
    <w:rsid w:val="1FA936A0"/>
    <w:rsid w:val="1FC27659"/>
    <w:rsid w:val="1FF668C6"/>
    <w:rsid w:val="2002708F"/>
    <w:rsid w:val="201C3760"/>
    <w:rsid w:val="201F3F2C"/>
    <w:rsid w:val="203A52F3"/>
    <w:rsid w:val="20446D01"/>
    <w:rsid w:val="20632CC8"/>
    <w:rsid w:val="207768C4"/>
    <w:rsid w:val="208908C0"/>
    <w:rsid w:val="2093656D"/>
    <w:rsid w:val="20A66858"/>
    <w:rsid w:val="20FB015C"/>
    <w:rsid w:val="20FF4B26"/>
    <w:rsid w:val="212649FA"/>
    <w:rsid w:val="212A476B"/>
    <w:rsid w:val="213C6A2D"/>
    <w:rsid w:val="214F713D"/>
    <w:rsid w:val="216E0CF5"/>
    <w:rsid w:val="219D065F"/>
    <w:rsid w:val="219E6B34"/>
    <w:rsid w:val="21BA0F46"/>
    <w:rsid w:val="21CB5590"/>
    <w:rsid w:val="21E830FD"/>
    <w:rsid w:val="221C5BAB"/>
    <w:rsid w:val="223A7C20"/>
    <w:rsid w:val="224A67E6"/>
    <w:rsid w:val="225E5065"/>
    <w:rsid w:val="228418C8"/>
    <w:rsid w:val="229354C1"/>
    <w:rsid w:val="229D030B"/>
    <w:rsid w:val="22D0275F"/>
    <w:rsid w:val="22EB55BE"/>
    <w:rsid w:val="22F05634"/>
    <w:rsid w:val="22F55525"/>
    <w:rsid w:val="232A05DD"/>
    <w:rsid w:val="2331761B"/>
    <w:rsid w:val="23514754"/>
    <w:rsid w:val="23597941"/>
    <w:rsid w:val="235C6A64"/>
    <w:rsid w:val="236465ED"/>
    <w:rsid w:val="237301B7"/>
    <w:rsid w:val="2379206F"/>
    <w:rsid w:val="237F652B"/>
    <w:rsid w:val="23845305"/>
    <w:rsid w:val="239F233B"/>
    <w:rsid w:val="23AB13B0"/>
    <w:rsid w:val="23DF2177"/>
    <w:rsid w:val="23FC6428"/>
    <w:rsid w:val="240E27B8"/>
    <w:rsid w:val="241E3953"/>
    <w:rsid w:val="243C32E8"/>
    <w:rsid w:val="243F212F"/>
    <w:rsid w:val="244E059E"/>
    <w:rsid w:val="24572DE2"/>
    <w:rsid w:val="24624EEE"/>
    <w:rsid w:val="24912A34"/>
    <w:rsid w:val="2491647C"/>
    <w:rsid w:val="24A64F12"/>
    <w:rsid w:val="24E83286"/>
    <w:rsid w:val="24F82D4B"/>
    <w:rsid w:val="2510223E"/>
    <w:rsid w:val="253749C3"/>
    <w:rsid w:val="25757BBB"/>
    <w:rsid w:val="2585514B"/>
    <w:rsid w:val="258D50FE"/>
    <w:rsid w:val="259C237B"/>
    <w:rsid w:val="259F0959"/>
    <w:rsid w:val="25A42B2E"/>
    <w:rsid w:val="25AB2640"/>
    <w:rsid w:val="25AB5457"/>
    <w:rsid w:val="25FF35A5"/>
    <w:rsid w:val="260A34EE"/>
    <w:rsid w:val="262313E5"/>
    <w:rsid w:val="262B36B8"/>
    <w:rsid w:val="26514040"/>
    <w:rsid w:val="265F6A8C"/>
    <w:rsid w:val="26757865"/>
    <w:rsid w:val="26AE111A"/>
    <w:rsid w:val="26EF78E2"/>
    <w:rsid w:val="270840EE"/>
    <w:rsid w:val="27100B77"/>
    <w:rsid w:val="27126367"/>
    <w:rsid w:val="274F643E"/>
    <w:rsid w:val="275B048C"/>
    <w:rsid w:val="2760534C"/>
    <w:rsid w:val="278A3C65"/>
    <w:rsid w:val="279B2617"/>
    <w:rsid w:val="27D319B2"/>
    <w:rsid w:val="27DF3186"/>
    <w:rsid w:val="27E005DD"/>
    <w:rsid w:val="27E03436"/>
    <w:rsid w:val="27EA7948"/>
    <w:rsid w:val="28044DC0"/>
    <w:rsid w:val="280865AB"/>
    <w:rsid w:val="280C0791"/>
    <w:rsid w:val="280C5231"/>
    <w:rsid w:val="281F49DA"/>
    <w:rsid w:val="28460EEF"/>
    <w:rsid w:val="28806389"/>
    <w:rsid w:val="28836521"/>
    <w:rsid w:val="28883B56"/>
    <w:rsid w:val="28A145D8"/>
    <w:rsid w:val="28A649CC"/>
    <w:rsid w:val="28C33A61"/>
    <w:rsid w:val="28D92D69"/>
    <w:rsid w:val="28E2443B"/>
    <w:rsid w:val="28EC1DEA"/>
    <w:rsid w:val="28F03C43"/>
    <w:rsid w:val="28F82D21"/>
    <w:rsid w:val="29164A71"/>
    <w:rsid w:val="29482868"/>
    <w:rsid w:val="294B6114"/>
    <w:rsid w:val="29736E05"/>
    <w:rsid w:val="29AF12B9"/>
    <w:rsid w:val="29B91615"/>
    <w:rsid w:val="29C6331B"/>
    <w:rsid w:val="29D00C2D"/>
    <w:rsid w:val="29E46F79"/>
    <w:rsid w:val="29E626CA"/>
    <w:rsid w:val="29E9063C"/>
    <w:rsid w:val="29FD7131"/>
    <w:rsid w:val="2A0B74FD"/>
    <w:rsid w:val="2A2C7628"/>
    <w:rsid w:val="2A3740FB"/>
    <w:rsid w:val="2A4E1F8A"/>
    <w:rsid w:val="2A5F1BC5"/>
    <w:rsid w:val="2A633BFF"/>
    <w:rsid w:val="2A732A80"/>
    <w:rsid w:val="2AB15EF0"/>
    <w:rsid w:val="2AB8760C"/>
    <w:rsid w:val="2B016278"/>
    <w:rsid w:val="2B101B22"/>
    <w:rsid w:val="2B1B054C"/>
    <w:rsid w:val="2B2D2AC4"/>
    <w:rsid w:val="2B325ED0"/>
    <w:rsid w:val="2B396AE6"/>
    <w:rsid w:val="2B404763"/>
    <w:rsid w:val="2B486B34"/>
    <w:rsid w:val="2B565C2C"/>
    <w:rsid w:val="2B6D2755"/>
    <w:rsid w:val="2B81017E"/>
    <w:rsid w:val="2B892E82"/>
    <w:rsid w:val="2B917947"/>
    <w:rsid w:val="2B94181A"/>
    <w:rsid w:val="2B9E3498"/>
    <w:rsid w:val="2BB175F0"/>
    <w:rsid w:val="2BBC431E"/>
    <w:rsid w:val="2BC26AAD"/>
    <w:rsid w:val="2BD456EC"/>
    <w:rsid w:val="2C195B97"/>
    <w:rsid w:val="2C2858E8"/>
    <w:rsid w:val="2C2F2FEF"/>
    <w:rsid w:val="2C2F42A7"/>
    <w:rsid w:val="2C3E7B0C"/>
    <w:rsid w:val="2C4549EB"/>
    <w:rsid w:val="2C577E1C"/>
    <w:rsid w:val="2C605D23"/>
    <w:rsid w:val="2C657396"/>
    <w:rsid w:val="2C814143"/>
    <w:rsid w:val="2C8A0B90"/>
    <w:rsid w:val="2C9343C0"/>
    <w:rsid w:val="2C9F626A"/>
    <w:rsid w:val="2CA77679"/>
    <w:rsid w:val="2CB649F5"/>
    <w:rsid w:val="2CC80477"/>
    <w:rsid w:val="2CDA6E40"/>
    <w:rsid w:val="2CDA7100"/>
    <w:rsid w:val="2D273E42"/>
    <w:rsid w:val="2D2A7DF6"/>
    <w:rsid w:val="2D4D757F"/>
    <w:rsid w:val="2D50232D"/>
    <w:rsid w:val="2D602BCE"/>
    <w:rsid w:val="2D6C0E74"/>
    <w:rsid w:val="2D811361"/>
    <w:rsid w:val="2D861736"/>
    <w:rsid w:val="2DAB4BA4"/>
    <w:rsid w:val="2DAF56A3"/>
    <w:rsid w:val="2DB25E25"/>
    <w:rsid w:val="2DB7373B"/>
    <w:rsid w:val="2DD22450"/>
    <w:rsid w:val="2E1C77EC"/>
    <w:rsid w:val="2E2D23E8"/>
    <w:rsid w:val="2E3B046E"/>
    <w:rsid w:val="2E520C9F"/>
    <w:rsid w:val="2E550B10"/>
    <w:rsid w:val="2E823C93"/>
    <w:rsid w:val="2EB432C2"/>
    <w:rsid w:val="2EC75D1E"/>
    <w:rsid w:val="2EDE680E"/>
    <w:rsid w:val="2F096EF5"/>
    <w:rsid w:val="2F1C0F54"/>
    <w:rsid w:val="2F53589E"/>
    <w:rsid w:val="2F5C6AD1"/>
    <w:rsid w:val="2F8A1E88"/>
    <w:rsid w:val="2F8B3B64"/>
    <w:rsid w:val="2F962509"/>
    <w:rsid w:val="2FAC5150"/>
    <w:rsid w:val="2FC83110"/>
    <w:rsid w:val="302C4798"/>
    <w:rsid w:val="30335CA7"/>
    <w:rsid w:val="305C25BA"/>
    <w:rsid w:val="307652E0"/>
    <w:rsid w:val="30BE30B2"/>
    <w:rsid w:val="30C1578B"/>
    <w:rsid w:val="30DD760C"/>
    <w:rsid w:val="30F037B7"/>
    <w:rsid w:val="30F901FF"/>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D71259"/>
    <w:rsid w:val="31E157EA"/>
    <w:rsid w:val="322C2610"/>
    <w:rsid w:val="3241526D"/>
    <w:rsid w:val="325E574A"/>
    <w:rsid w:val="32623B7E"/>
    <w:rsid w:val="326669AD"/>
    <w:rsid w:val="32802FE1"/>
    <w:rsid w:val="32A45429"/>
    <w:rsid w:val="32AD1FBF"/>
    <w:rsid w:val="32C257D5"/>
    <w:rsid w:val="32D86D2B"/>
    <w:rsid w:val="32E20AF0"/>
    <w:rsid w:val="33076C49"/>
    <w:rsid w:val="334B2E19"/>
    <w:rsid w:val="33547BBB"/>
    <w:rsid w:val="335C64D7"/>
    <w:rsid w:val="3365285E"/>
    <w:rsid w:val="33775F59"/>
    <w:rsid w:val="33824DCA"/>
    <w:rsid w:val="3388544D"/>
    <w:rsid w:val="338A0A3C"/>
    <w:rsid w:val="33930D63"/>
    <w:rsid w:val="339E1AB7"/>
    <w:rsid w:val="33A07A69"/>
    <w:rsid w:val="33E70D41"/>
    <w:rsid w:val="340347FD"/>
    <w:rsid w:val="34130690"/>
    <w:rsid w:val="34240224"/>
    <w:rsid w:val="34260863"/>
    <w:rsid w:val="34402037"/>
    <w:rsid w:val="34542266"/>
    <w:rsid w:val="345F21EA"/>
    <w:rsid w:val="347E62A7"/>
    <w:rsid w:val="348A2042"/>
    <w:rsid w:val="34992D08"/>
    <w:rsid w:val="34AE728B"/>
    <w:rsid w:val="34CD4FBC"/>
    <w:rsid w:val="34FD2414"/>
    <w:rsid w:val="35223B41"/>
    <w:rsid w:val="354B5F5A"/>
    <w:rsid w:val="354F0A7E"/>
    <w:rsid w:val="35845149"/>
    <w:rsid w:val="35901358"/>
    <w:rsid w:val="35AC118A"/>
    <w:rsid w:val="35FD2BCE"/>
    <w:rsid w:val="36021F40"/>
    <w:rsid w:val="36193CC3"/>
    <w:rsid w:val="36360E94"/>
    <w:rsid w:val="36412735"/>
    <w:rsid w:val="364A2F7B"/>
    <w:rsid w:val="36855DEE"/>
    <w:rsid w:val="368B1519"/>
    <w:rsid w:val="369E781D"/>
    <w:rsid w:val="36CE1B81"/>
    <w:rsid w:val="36ED31CC"/>
    <w:rsid w:val="36FB6483"/>
    <w:rsid w:val="370839DD"/>
    <w:rsid w:val="373D2BC0"/>
    <w:rsid w:val="37402414"/>
    <w:rsid w:val="374A56DF"/>
    <w:rsid w:val="374A6487"/>
    <w:rsid w:val="375740B2"/>
    <w:rsid w:val="37713B66"/>
    <w:rsid w:val="37752930"/>
    <w:rsid w:val="37841FFA"/>
    <w:rsid w:val="3791457C"/>
    <w:rsid w:val="37B976AA"/>
    <w:rsid w:val="37F009A0"/>
    <w:rsid w:val="3809170D"/>
    <w:rsid w:val="380D4601"/>
    <w:rsid w:val="3812716A"/>
    <w:rsid w:val="384B38CB"/>
    <w:rsid w:val="385C2DCA"/>
    <w:rsid w:val="385C79B7"/>
    <w:rsid w:val="38613D37"/>
    <w:rsid w:val="386D4A46"/>
    <w:rsid w:val="387E7FB6"/>
    <w:rsid w:val="38A23D04"/>
    <w:rsid w:val="38AD7DDF"/>
    <w:rsid w:val="38B14C2C"/>
    <w:rsid w:val="38B25D8F"/>
    <w:rsid w:val="38BB1BF5"/>
    <w:rsid w:val="38FA3C19"/>
    <w:rsid w:val="390C3521"/>
    <w:rsid w:val="39562557"/>
    <w:rsid w:val="39586D27"/>
    <w:rsid w:val="395C7EA8"/>
    <w:rsid w:val="3971606B"/>
    <w:rsid w:val="398902C8"/>
    <w:rsid w:val="39A477F1"/>
    <w:rsid w:val="39C14F14"/>
    <w:rsid w:val="39CB65CF"/>
    <w:rsid w:val="3A04428C"/>
    <w:rsid w:val="3A103610"/>
    <w:rsid w:val="3A181A65"/>
    <w:rsid w:val="3A246F8E"/>
    <w:rsid w:val="3A354145"/>
    <w:rsid w:val="3A417075"/>
    <w:rsid w:val="3A424688"/>
    <w:rsid w:val="3A752464"/>
    <w:rsid w:val="3A850084"/>
    <w:rsid w:val="3AA63641"/>
    <w:rsid w:val="3AAB2767"/>
    <w:rsid w:val="3ADE36D2"/>
    <w:rsid w:val="3AE51AD8"/>
    <w:rsid w:val="3AF575F3"/>
    <w:rsid w:val="3B052DAD"/>
    <w:rsid w:val="3B0D13A3"/>
    <w:rsid w:val="3B1C4644"/>
    <w:rsid w:val="3B200A99"/>
    <w:rsid w:val="3B487D3B"/>
    <w:rsid w:val="3B4A3C82"/>
    <w:rsid w:val="3B556612"/>
    <w:rsid w:val="3B5600FB"/>
    <w:rsid w:val="3B61265B"/>
    <w:rsid w:val="3BA00C79"/>
    <w:rsid w:val="3BA745F4"/>
    <w:rsid w:val="3BC545A0"/>
    <w:rsid w:val="3BC865EA"/>
    <w:rsid w:val="3BD7675C"/>
    <w:rsid w:val="3BEA2540"/>
    <w:rsid w:val="3C610815"/>
    <w:rsid w:val="3C9A5864"/>
    <w:rsid w:val="3D075FB0"/>
    <w:rsid w:val="3D305709"/>
    <w:rsid w:val="3D49638D"/>
    <w:rsid w:val="3D68066C"/>
    <w:rsid w:val="3DBE43A6"/>
    <w:rsid w:val="3DE27A0D"/>
    <w:rsid w:val="3DFB1CCB"/>
    <w:rsid w:val="3E0620BF"/>
    <w:rsid w:val="3E236A22"/>
    <w:rsid w:val="3E251D20"/>
    <w:rsid w:val="3E4B5A15"/>
    <w:rsid w:val="3E554C90"/>
    <w:rsid w:val="3E570E68"/>
    <w:rsid w:val="3E7744D0"/>
    <w:rsid w:val="3E7D7A5C"/>
    <w:rsid w:val="3E99230E"/>
    <w:rsid w:val="3EB30D2E"/>
    <w:rsid w:val="3EB3129C"/>
    <w:rsid w:val="3EB47DCC"/>
    <w:rsid w:val="3EE24830"/>
    <w:rsid w:val="3EE905BF"/>
    <w:rsid w:val="3F165706"/>
    <w:rsid w:val="3F68201C"/>
    <w:rsid w:val="3F7074B3"/>
    <w:rsid w:val="3F742073"/>
    <w:rsid w:val="3FB81167"/>
    <w:rsid w:val="3FDA4591"/>
    <w:rsid w:val="3FF47336"/>
    <w:rsid w:val="3FF930D3"/>
    <w:rsid w:val="3FFB7900"/>
    <w:rsid w:val="3FFF7CB6"/>
    <w:rsid w:val="402152B6"/>
    <w:rsid w:val="4022067D"/>
    <w:rsid w:val="40245265"/>
    <w:rsid w:val="402A6BA5"/>
    <w:rsid w:val="40476EDE"/>
    <w:rsid w:val="404D43F0"/>
    <w:rsid w:val="40650FA5"/>
    <w:rsid w:val="40671860"/>
    <w:rsid w:val="40855658"/>
    <w:rsid w:val="408E49B1"/>
    <w:rsid w:val="4097520C"/>
    <w:rsid w:val="40AA41B6"/>
    <w:rsid w:val="40B5573C"/>
    <w:rsid w:val="40B85BD6"/>
    <w:rsid w:val="40C34962"/>
    <w:rsid w:val="40CC5A04"/>
    <w:rsid w:val="40D92673"/>
    <w:rsid w:val="40DE568A"/>
    <w:rsid w:val="41053DD8"/>
    <w:rsid w:val="410B401A"/>
    <w:rsid w:val="411C7E79"/>
    <w:rsid w:val="41254815"/>
    <w:rsid w:val="41367526"/>
    <w:rsid w:val="413B3A1F"/>
    <w:rsid w:val="413B3AFD"/>
    <w:rsid w:val="413C0389"/>
    <w:rsid w:val="414B26B4"/>
    <w:rsid w:val="414D2BD4"/>
    <w:rsid w:val="417C2072"/>
    <w:rsid w:val="418732DB"/>
    <w:rsid w:val="41943147"/>
    <w:rsid w:val="419C331C"/>
    <w:rsid w:val="41C024C4"/>
    <w:rsid w:val="41C7062A"/>
    <w:rsid w:val="41D05685"/>
    <w:rsid w:val="41E23311"/>
    <w:rsid w:val="41FB080C"/>
    <w:rsid w:val="41FF4189"/>
    <w:rsid w:val="42122CA8"/>
    <w:rsid w:val="421A7063"/>
    <w:rsid w:val="4234125C"/>
    <w:rsid w:val="425E3582"/>
    <w:rsid w:val="4266334F"/>
    <w:rsid w:val="427C635A"/>
    <w:rsid w:val="42A90F16"/>
    <w:rsid w:val="42AC0E5B"/>
    <w:rsid w:val="42D12FBF"/>
    <w:rsid w:val="42F8343A"/>
    <w:rsid w:val="43024664"/>
    <w:rsid w:val="43083F52"/>
    <w:rsid w:val="435E45D2"/>
    <w:rsid w:val="4362689F"/>
    <w:rsid w:val="43A510A4"/>
    <w:rsid w:val="43C721FD"/>
    <w:rsid w:val="43F501B0"/>
    <w:rsid w:val="4402095F"/>
    <w:rsid w:val="44170D25"/>
    <w:rsid w:val="44527CF9"/>
    <w:rsid w:val="4458374E"/>
    <w:rsid w:val="445A24BD"/>
    <w:rsid w:val="44664390"/>
    <w:rsid w:val="446802BA"/>
    <w:rsid w:val="447F2497"/>
    <w:rsid w:val="44B474C7"/>
    <w:rsid w:val="44E72B1D"/>
    <w:rsid w:val="450179BC"/>
    <w:rsid w:val="45071CEB"/>
    <w:rsid w:val="450C1F47"/>
    <w:rsid w:val="451D594D"/>
    <w:rsid w:val="451F622E"/>
    <w:rsid w:val="452610B1"/>
    <w:rsid w:val="45265639"/>
    <w:rsid w:val="452F5E5E"/>
    <w:rsid w:val="45383B45"/>
    <w:rsid w:val="456D703A"/>
    <w:rsid w:val="45732F05"/>
    <w:rsid w:val="4583117D"/>
    <w:rsid w:val="45900458"/>
    <w:rsid w:val="45937A62"/>
    <w:rsid w:val="45BF054E"/>
    <w:rsid w:val="45C66EB9"/>
    <w:rsid w:val="45D45AA8"/>
    <w:rsid w:val="45E325BE"/>
    <w:rsid w:val="45E9322E"/>
    <w:rsid w:val="45F63DA0"/>
    <w:rsid w:val="45FA50A9"/>
    <w:rsid w:val="460458BC"/>
    <w:rsid w:val="461E6462"/>
    <w:rsid w:val="462061AB"/>
    <w:rsid w:val="462D1E0F"/>
    <w:rsid w:val="46450F0B"/>
    <w:rsid w:val="46617AA3"/>
    <w:rsid w:val="467B4FE3"/>
    <w:rsid w:val="4683165C"/>
    <w:rsid w:val="46984426"/>
    <w:rsid w:val="46A40226"/>
    <w:rsid w:val="46A4073F"/>
    <w:rsid w:val="46A8780D"/>
    <w:rsid w:val="46AD014C"/>
    <w:rsid w:val="46B7407C"/>
    <w:rsid w:val="46B90E05"/>
    <w:rsid w:val="46CD6008"/>
    <w:rsid w:val="46D2570C"/>
    <w:rsid w:val="46EE14D2"/>
    <w:rsid w:val="46FC4043"/>
    <w:rsid w:val="47040115"/>
    <w:rsid w:val="471B0744"/>
    <w:rsid w:val="47235A28"/>
    <w:rsid w:val="47326C56"/>
    <w:rsid w:val="473379F7"/>
    <w:rsid w:val="474273A5"/>
    <w:rsid w:val="475E0F47"/>
    <w:rsid w:val="47620221"/>
    <w:rsid w:val="47673289"/>
    <w:rsid w:val="47707058"/>
    <w:rsid w:val="478A49F3"/>
    <w:rsid w:val="47AC01DC"/>
    <w:rsid w:val="47CA0E20"/>
    <w:rsid w:val="47CF2CAA"/>
    <w:rsid w:val="47E37A43"/>
    <w:rsid w:val="481141F7"/>
    <w:rsid w:val="482652C6"/>
    <w:rsid w:val="48364572"/>
    <w:rsid w:val="484D59E2"/>
    <w:rsid w:val="485E33F9"/>
    <w:rsid w:val="48611E7A"/>
    <w:rsid w:val="48642157"/>
    <w:rsid w:val="486F0102"/>
    <w:rsid w:val="487638D1"/>
    <w:rsid w:val="48963CBC"/>
    <w:rsid w:val="48980810"/>
    <w:rsid w:val="48A07DF6"/>
    <w:rsid w:val="48A165FE"/>
    <w:rsid w:val="48B35A17"/>
    <w:rsid w:val="48C5270A"/>
    <w:rsid w:val="48C82689"/>
    <w:rsid w:val="48CB1A2F"/>
    <w:rsid w:val="48D33E74"/>
    <w:rsid w:val="48E420A8"/>
    <w:rsid w:val="48ED2EAD"/>
    <w:rsid w:val="48F3457D"/>
    <w:rsid w:val="48F74FE7"/>
    <w:rsid w:val="49174972"/>
    <w:rsid w:val="491B29C2"/>
    <w:rsid w:val="4937195F"/>
    <w:rsid w:val="493D183B"/>
    <w:rsid w:val="494663F0"/>
    <w:rsid w:val="495121C7"/>
    <w:rsid w:val="496117B7"/>
    <w:rsid w:val="497E61D1"/>
    <w:rsid w:val="49852803"/>
    <w:rsid w:val="4989364F"/>
    <w:rsid w:val="49917631"/>
    <w:rsid w:val="499C71A3"/>
    <w:rsid w:val="49A23E49"/>
    <w:rsid w:val="49A37CB3"/>
    <w:rsid w:val="49AE34E3"/>
    <w:rsid w:val="49BD5341"/>
    <w:rsid w:val="49BE31C7"/>
    <w:rsid w:val="49D24610"/>
    <w:rsid w:val="49E86A80"/>
    <w:rsid w:val="4A001AB6"/>
    <w:rsid w:val="4A07545F"/>
    <w:rsid w:val="4A121ACE"/>
    <w:rsid w:val="4A260643"/>
    <w:rsid w:val="4A354DC8"/>
    <w:rsid w:val="4A667978"/>
    <w:rsid w:val="4A7B11CA"/>
    <w:rsid w:val="4A9E376C"/>
    <w:rsid w:val="4AB52EC7"/>
    <w:rsid w:val="4ABC3B25"/>
    <w:rsid w:val="4ABD2B10"/>
    <w:rsid w:val="4AC03833"/>
    <w:rsid w:val="4AD1289D"/>
    <w:rsid w:val="4AED73D2"/>
    <w:rsid w:val="4AF660AB"/>
    <w:rsid w:val="4B270FB0"/>
    <w:rsid w:val="4B2B24FF"/>
    <w:rsid w:val="4B2E7A87"/>
    <w:rsid w:val="4B33301D"/>
    <w:rsid w:val="4B56096D"/>
    <w:rsid w:val="4B706F71"/>
    <w:rsid w:val="4B710BFF"/>
    <w:rsid w:val="4B771A77"/>
    <w:rsid w:val="4B786751"/>
    <w:rsid w:val="4B796D0A"/>
    <w:rsid w:val="4B8C04A0"/>
    <w:rsid w:val="4B8E3B2C"/>
    <w:rsid w:val="4B94409A"/>
    <w:rsid w:val="4BB425C4"/>
    <w:rsid w:val="4BC06C5F"/>
    <w:rsid w:val="4BFD0084"/>
    <w:rsid w:val="4C0C7A0A"/>
    <w:rsid w:val="4C2942E6"/>
    <w:rsid w:val="4C600D95"/>
    <w:rsid w:val="4C6C1695"/>
    <w:rsid w:val="4C79323F"/>
    <w:rsid w:val="4C8461EF"/>
    <w:rsid w:val="4C8D6888"/>
    <w:rsid w:val="4C983E5B"/>
    <w:rsid w:val="4CB008AD"/>
    <w:rsid w:val="4CB518A1"/>
    <w:rsid w:val="4CB6421D"/>
    <w:rsid w:val="4CE47047"/>
    <w:rsid w:val="4CEA2732"/>
    <w:rsid w:val="4CFB33DC"/>
    <w:rsid w:val="4D244D2A"/>
    <w:rsid w:val="4D353949"/>
    <w:rsid w:val="4D3A46AD"/>
    <w:rsid w:val="4D3F7B32"/>
    <w:rsid w:val="4D40643B"/>
    <w:rsid w:val="4D4871DD"/>
    <w:rsid w:val="4D573EF8"/>
    <w:rsid w:val="4D5E01A0"/>
    <w:rsid w:val="4D6C226A"/>
    <w:rsid w:val="4D8E6102"/>
    <w:rsid w:val="4D9E0DEE"/>
    <w:rsid w:val="4DC4631F"/>
    <w:rsid w:val="4DCE091F"/>
    <w:rsid w:val="4DDB343F"/>
    <w:rsid w:val="4DFB70DA"/>
    <w:rsid w:val="4DFF05A3"/>
    <w:rsid w:val="4E3779FB"/>
    <w:rsid w:val="4E411AC2"/>
    <w:rsid w:val="4E456658"/>
    <w:rsid w:val="4E4F4DDD"/>
    <w:rsid w:val="4E4F59A0"/>
    <w:rsid w:val="4E594DDC"/>
    <w:rsid w:val="4E5A2CAE"/>
    <w:rsid w:val="4E662E38"/>
    <w:rsid w:val="4E6A26E4"/>
    <w:rsid w:val="4E6C0458"/>
    <w:rsid w:val="4E6E4801"/>
    <w:rsid w:val="4E8250D8"/>
    <w:rsid w:val="4E897726"/>
    <w:rsid w:val="4E9F25D3"/>
    <w:rsid w:val="4EA96D01"/>
    <w:rsid w:val="4EBF6B80"/>
    <w:rsid w:val="4EC54F0F"/>
    <w:rsid w:val="4ECC2EB6"/>
    <w:rsid w:val="4ED80CDA"/>
    <w:rsid w:val="4EE7172D"/>
    <w:rsid w:val="4F012482"/>
    <w:rsid w:val="4F076469"/>
    <w:rsid w:val="4F4B4AED"/>
    <w:rsid w:val="4F510271"/>
    <w:rsid w:val="4F5B730E"/>
    <w:rsid w:val="4F6D2041"/>
    <w:rsid w:val="4F6F73DD"/>
    <w:rsid w:val="4F793C80"/>
    <w:rsid w:val="4F7D256A"/>
    <w:rsid w:val="4F916869"/>
    <w:rsid w:val="4F98721B"/>
    <w:rsid w:val="4F9F30CF"/>
    <w:rsid w:val="4FC6669D"/>
    <w:rsid w:val="4FE01DD4"/>
    <w:rsid w:val="4FE106C7"/>
    <w:rsid w:val="4FE405D0"/>
    <w:rsid w:val="500D6C73"/>
    <w:rsid w:val="5016708B"/>
    <w:rsid w:val="50252756"/>
    <w:rsid w:val="502B5A5E"/>
    <w:rsid w:val="502D6515"/>
    <w:rsid w:val="503C4B5D"/>
    <w:rsid w:val="503D1053"/>
    <w:rsid w:val="503E7050"/>
    <w:rsid w:val="504615CE"/>
    <w:rsid w:val="505D5C1B"/>
    <w:rsid w:val="50641853"/>
    <w:rsid w:val="509D0395"/>
    <w:rsid w:val="509F4AA8"/>
    <w:rsid w:val="50A64417"/>
    <w:rsid w:val="50C91743"/>
    <w:rsid w:val="50D259E6"/>
    <w:rsid w:val="50DA5799"/>
    <w:rsid w:val="50ED0543"/>
    <w:rsid w:val="51067C16"/>
    <w:rsid w:val="51094E52"/>
    <w:rsid w:val="510B58A3"/>
    <w:rsid w:val="51181152"/>
    <w:rsid w:val="51274525"/>
    <w:rsid w:val="51380850"/>
    <w:rsid w:val="51392201"/>
    <w:rsid w:val="513F7BDE"/>
    <w:rsid w:val="514A6211"/>
    <w:rsid w:val="516952AE"/>
    <w:rsid w:val="51893587"/>
    <w:rsid w:val="51A44805"/>
    <w:rsid w:val="51AB7DB1"/>
    <w:rsid w:val="51B159B8"/>
    <w:rsid w:val="51CC2CB9"/>
    <w:rsid w:val="51D7370F"/>
    <w:rsid w:val="51D92902"/>
    <w:rsid w:val="51FA3520"/>
    <w:rsid w:val="52072061"/>
    <w:rsid w:val="52183F03"/>
    <w:rsid w:val="52211ACC"/>
    <w:rsid w:val="523C1EA9"/>
    <w:rsid w:val="527643B4"/>
    <w:rsid w:val="527A5ABC"/>
    <w:rsid w:val="528513A7"/>
    <w:rsid w:val="52860AFE"/>
    <w:rsid w:val="52970987"/>
    <w:rsid w:val="529C3702"/>
    <w:rsid w:val="52A13E50"/>
    <w:rsid w:val="52BD6BA5"/>
    <w:rsid w:val="52CB7796"/>
    <w:rsid w:val="52CE4979"/>
    <w:rsid w:val="52E851D2"/>
    <w:rsid w:val="53045BD3"/>
    <w:rsid w:val="530B4D46"/>
    <w:rsid w:val="53400351"/>
    <w:rsid w:val="53563C85"/>
    <w:rsid w:val="536757A3"/>
    <w:rsid w:val="537E241C"/>
    <w:rsid w:val="53B33212"/>
    <w:rsid w:val="53D632E4"/>
    <w:rsid w:val="54282718"/>
    <w:rsid w:val="54330E98"/>
    <w:rsid w:val="5439017D"/>
    <w:rsid w:val="54483FF6"/>
    <w:rsid w:val="545A05A8"/>
    <w:rsid w:val="545B188F"/>
    <w:rsid w:val="5460241F"/>
    <w:rsid w:val="5460332D"/>
    <w:rsid w:val="547D21C7"/>
    <w:rsid w:val="549764E9"/>
    <w:rsid w:val="54F17C19"/>
    <w:rsid w:val="54F4083D"/>
    <w:rsid w:val="552F7EE9"/>
    <w:rsid w:val="55464338"/>
    <w:rsid w:val="555F7CF5"/>
    <w:rsid w:val="557275F1"/>
    <w:rsid w:val="558C5CEF"/>
    <w:rsid w:val="558C6D44"/>
    <w:rsid w:val="558D7767"/>
    <w:rsid w:val="55930E6F"/>
    <w:rsid w:val="55A311EB"/>
    <w:rsid w:val="55AA00F9"/>
    <w:rsid w:val="55B00C41"/>
    <w:rsid w:val="55B25162"/>
    <w:rsid w:val="55DB3131"/>
    <w:rsid w:val="56081F25"/>
    <w:rsid w:val="560B0BE1"/>
    <w:rsid w:val="561B10BC"/>
    <w:rsid w:val="561C57DE"/>
    <w:rsid w:val="56321AAC"/>
    <w:rsid w:val="56426A33"/>
    <w:rsid w:val="56467876"/>
    <w:rsid w:val="564F52B5"/>
    <w:rsid w:val="5670722A"/>
    <w:rsid w:val="567B064F"/>
    <w:rsid w:val="568911A3"/>
    <w:rsid w:val="56A6458A"/>
    <w:rsid w:val="56A675BE"/>
    <w:rsid w:val="56AF34CC"/>
    <w:rsid w:val="56C744F7"/>
    <w:rsid w:val="56D05DB9"/>
    <w:rsid w:val="56FE6B97"/>
    <w:rsid w:val="57024F39"/>
    <w:rsid w:val="57157D19"/>
    <w:rsid w:val="572214C9"/>
    <w:rsid w:val="57313DCE"/>
    <w:rsid w:val="574E0484"/>
    <w:rsid w:val="575701A2"/>
    <w:rsid w:val="577547D5"/>
    <w:rsid w:val="57B06A23"/>
    <w:rsid w:val="57CC2153"/>
    <w:rsid w:val="57CC6D86"/>
    <w:rsid w:val="57D90AFD"/>
    <w:rsid w:val="57EB5E17"/>
    <w:rsid w:val="57F31256"/>
    <w:rsid w:val="57FF4827"/>
    <w:rsid w:val="580A3E45"/>
    <w:rsid w:val="580F3506"/>
    <w:rsid w:val="581207C5"/>
    <w:rsid w:val="584741FA"/>
    <w:rsid w:val="584B02D1"/>
    <w:rsid w:val="584E7A49"/>
    <w:rsid w:val="58553E74"/>
    <w:rsid w:val="58953AD8"/>
    <w:rsid w:val="58AB2D49"/>
    <w:rsid w:val="58BB137F"/>
    <w:rsid w:val="58BF226A"/>
    <w:rsid w:val="58BF6E3E"/>
    <w:rsid w:val="58C56C3D"/>
    <w:rsid w:val="58C974A2"/>
    <w:rsid w:val="58F57697"/>
    <w:rsid w:val="590B0514"/>
    <w:rsid w:val="59273E84"/>
    <w:rsid w:val="592F012D"/>
    <w:rsid w:val="59432300"/>
    <w:rsid w:val="594450A9"/>
    <w:rsid w:val="59502101"/>
    <w:rsid w:val="5966741B"/>
    <w:rsid w:val="596B5919"/>
    <w:rsid w:val="597520FE"/>
    <w:rsid w:val="59B67607"/>
    <w:rsid w:val="59D1733B"/>
    <w:rsid w:val="59DF1474"/>
    <w:rsid w:val="59E73D8B"/>
    <w:rsid w:val="59E80876"/>
    <w:rsid w:val="5A005FE1"/>
    <w:rsid w:val="5A1676BE"/>
    <w:rsid w:val="5A2F1632"/>
    <w:rsid w:val="5A4D7B45"/>
    <w:rsid w:val="5A4F7429"/>
    <w:rsid w:val="5A7B6EB1"/>
    <w:rsid w:val="5A876E27"/>
    <w:rsid w:val="5A940B09"/>
    <w:rsid w:val="5A965AAA"/>
    <w:rsid w:val="5A9F20E1"/>
    <w:rsid w:val="5AA6530C"/>
    <w:rsid w:val="5AA828B1"/>
    <w:rsid w:val="5AAE1FA0"/>
    <w:rsid w:val="5AEE1A9A"/>
    <w:rsid w:val="5AFC24F2"/>
    <w:rsid w:val="5B126C7E"/>
    <w:rsid w:val="5B137595"/>
    <w:rsid w:val="5B642BCB"/>
    <w:rsid w:val="5B8B23A0"/>
    <w:rsid w:val="5B8D5B73"/>
    <w:rsid w:val="5B981F6B"/>
    <w:rsid w:val="5BA02A3D"/>
    <w:rsid w:val="5BAA6BC3"/>
    <w:rsid w:val="5BBD27BC"/>
    <w:rsid w:val="5BC46D00"/>
    <w:rsid w:val="5BCF1533"/>
    <w:rsid w:val="5BE54CAB"/>
    <w:rsid w:val="5BEB433C"/>
    <w:rsid w:val="5C0A21A7"/>
    <w:rsid w:val="5C201622"/>
    <w:rsid w:val="5C3679C0"/>
    <w:rsid w:val="5C3E210A"/>
    <w:rsid w:val="5C4252F4"/>
    <w:rsid w:val="5C5D5AB7"/>
    <w:rsid w:val="5C636E7B"/>
    <w:rsid w:val="5C7B6323"/>
    <w:rsid w:val="5C84302A"/>
    <w:rsid w:val="5C8F2F02"/>
    <w:rsid w:val="5CA4234F"/>
    <w:rsid w:val="5CA5626B"/>
    <w:rsid w:val="5CBF5EBC"/>
    <w:rsid w:val="5CC72378"/>
    <w:rsid w:val="5CCF3818"/>
    <w:rsid w:val="5D16746F"/>
    <w:rsid w:val="5D2607D7"/>
    <w:rsid w:val="5D29334A"/>
    <w:rsid w:val="5D297DC8"/>
    <w:rsid w:val="5D2E7B7A"/>
    <w:rsid w:val="5D304D2C"/>
    <w:rsid w:val="5D456B0D"/>
    <w:rsid w:val="5D770A98"/>
    <w:rsid w:val="5D881A7F"/>
    <w:rsid w:val="5D911830"/>
    <w:rsid w:val="5D9A73ED"/>
    <w:rsid w:val="5DB8095B"/>
    <w:rsid w:val="5DC832EF"/>
    <w:rsid w:val="5DEC1281"/>
    <w:rsid w:val="5DF70310"/>
    <w:rsid w:val="5E030521"/>
    <w:rsid w:val="5E162914"/>
    <w:rsid w:val="5E4D0684"/>
    <w:rsid w:val="5E551F5B"/>
    <w:rsid w:val="5E667147"/>
    <w:rsid w:val="5E6946A1"/>
    <w:rsid w:val="5E753627"/>
    <w:rsid w:val="5EE60DAF"/>
    <w:rsid w:val="5F294984"/>
    <w:rsid w:val="5F32376B"/>
    <w:rsid w:val="5F356D87"/>
    <w:rsid w:val="5F385700"/>
    <w:rsid w:val="5F525D06"/>
    <w:rsid w:val="5F755536"/>
    <w:rsid w:val="5F7C22CD"/>
    <w:rsid w:val="5FA14575"/>
    <w:rsid w:val="5FB61AED"/>
    <w:rsid w:val="5FCA1C81"/>
    <w:rsid w:val="5FE16BDB"/>
    <w:rsid w:val="5FF56D40"/>
    <w:rsid w:val="60025593"/>
    <w:rsid w:val="600D6C18"/>
    <w:rsid w:val="60432AC8"/>
    <w:rsid w:val="604B3BBD"/>
    <w:rsid w:val="60620C4F"/>
    <w:rsid w:val="6086434B"/>
    <w:rsid w:val="60B6165D"/>
    <w:rsid w:val="60CF3E67"/>
    <w:rsid w:val="60F819E2"/>
    <w:rsid w:val="61057182"/>
    <w:rsid w:val="61552FDB"/>
    <w:rsid w:val="61801FBC"/>
    <w:rsid w:val="618C797C"/>
    <w:rsid w:val="6193127D"/>
    <w:rsid w:val="61AB7A39"/>
    <w:rsid w:val="61BF3F5A"/>
    <w:rsid w:val="61C02766"/>
    <w:rsid w:val="61E61E1C"/>
    <w:rsid w:val="61E7154B"/>
    <w:rsid w:val="61F97357"/>
    <w:rsid w:val="62273AA7"/>
    <w:rsid w:val="623F1D75"/>
    <w:rsid w:val="62481198"/>
    <w:rsid w:val="624C7713"/>
    <w:rsid w:val="62573C4A"/>
    <w:rsid w:val="626A2DA2"/>
    <w:rsid w:val="62710FF3"/>
    <w:rsid w:val="628B3790"/>
    <w:rsid w:val="6299493E"/>
    <w:rsid w:val="629B401A"/>
    <w:rsid w:val="62A860FF"/>
    <w:rsid w:val="62AF5B1B"/>
    <w:rsid w:val="62B357A2"/>
    <w:rsid w:val="62BA31BE"/>
    <w:rsid w:val="62D40F97"/>
    <w:rsid w:val="631651C6"/>
    <w:rsid w:val="63195F09"/>
    <w:rsid w:val="631F28F3"/>
    <w:rsid w:val="63222429"/>
    <w:rsid w:val="63597FCD"/>
    <w:rsid w:val="636001CA"/>
    <w:rsid w:val="63637018"/>
    <w:rsid w:val="6369228E"/>
    <w:rsid w:val="636E4DB0"/>
    <w:rsid w:val="637C55C1"/>
    <w:rsid w:val="63B46442"/>
    <w:rsid w:val="63B858D2"/>
    <w:rsid w:val="63BC10F2"/>
    <w:rsid w:val="63CD680C"/>
    <w:rsid w:val="63D01980"/>
    <w:rsid w:val="63D01C09"/>
    <w:rsid w:val="63FB31A4"/>
    <w:rsid w:val="64006189"/>
    <w:rsid w:val="64445A06"/>
    <w:rsid w:val="647E095B"/>
    <w:rsid w:val="648B07DB"/>
    <w:rsid w:val="64A81F49"/>
    <w:rsid w:val="64D442D4"/>
    <w:rsid w:val="64EB2CED"/>
    <w:rsid w:val="64F0256E"/>
    <w:rsid w:val="64F94851"/>
    <w:rsid w:val="65300EC5"/>
    <w:rsid w:val="65676612"/>
    <w:rsid w:val="65B15EDA"/>
    <w:rsid w:val="65BE0513"/>
    <w:rsid w:val="65F5183A"/>
    <w:rsid w:val="66094390"/>
    <w:rsid w:val="66277D80"/>
    <w:rsid w:val="66373EED"/>
    <w:rsid w:val="664A20FA"/>
    <w:rsid w:val="66700AF6"/>
    <w:rsid w:val="669C5639"/>
    <w:rsid w:val="66AB52AA"/>
    <w:rsid w:val="66DE6FE0"/>
    <w:rsid w:val="66FF4B72"/>
    <w:rsid w:val="67067EF1"/>
    <w:rsid w:val="672F6B54"/>
    <w:rsid w:val="673C7338"/>
    <w:rsid w:val="67441893"/>
    <w:rsid w:val="6751313B"/>
    <w:rsid w:val="676352DD"/>
    <w:rsid w:val="67637F1F"/>
    <w:rsid w:val="67655AF9"/>
    <w:rsid w:val="67834946"/>
    <w:rsid w:val="67916963"/>
    <w:rsid w:val="67A54EDB"/>
    <w:rsid w:val="67E308B5"/>
    <w:rsid w:val="67E4180D"/>
    <w:rsid w:val="67F47EA3"/>
    <w:rsid w:val="680C6096"/>
    <w:rsid w:val="68212DD9"/>
    <w:rsid w:val="682866AF"/>
    <w:rsid w:val="682B22EE"/>
    <w:rsid w:val="683A6524"/>
    <w:rsid w:val="686076D6"/>
    <w:rsid w:val="68624305"/>
    <w:rsid w:val="688374A8"/>
    <w:rsid w:val="68BF62C3"/>
    <w:rsid w:val="68C03953"/>
    <w:rsid w:val="68C41247"/>
    <w:rsid w:val="68C74638"/>
    <w:rsid w:val="68E66CA0"/>
    <w:rsid w:val="69205D36"/>
    <w:rsid w:val="692F349B"/>
    <w:rsid w:val="69370C72"/>
    <w:rsid w:val="69525280"/>
    <w:rsid w:val="69C3368B"/>
    <w:rsid w:val="69C37DEF"/>
    <w:rsid w:val="69D62B98"/>
    <w:rsid w:val="69DB042B"/>
    <w:rsid w:val="69E150CB"/>
    <w:rsid w:val="6A077BEE"/>
    <w:rsid w:val="6A375C7A"/>
    <w:rsid w:val="6A4677DE"/>
    <w:rsid w:val="6A4E00C3"/>
    <w:rsid w:val="6A69264A"/>
    <w:rsid w:val="6A6F73F0"/>
    <w:rsid w:val="6A8C721D"/>
    <w:rsid w:val="6A9728DD"/>
    <w:rsid w:val="6AA70ADD"/>
    <w:rsid w:val="6AA7438C"/>
    <w:rsid w:val="6ACA6E2D"/>
    <w:rsid w:val="6AD4703F"/>
    <w:rsid w:val="6ADB5EA5"/>
    <w:rsid w:val="6AE55C4D"/>
    <w:rsid w:val="6AEA006D"/>
    <w:rsid w:val="6AED37AD"/>
    <w:rsid w:val="6AFC3C20"/>
    <w:rsid w:val="6B036BC6"/>
    <w:rsid w:val="6B166A2F"/>
    <w:rsid w:val="6B4B3B82"/>
    <w:rsid w:val="6B4C171B"/>
    <w:rsid w:val="6B7F197D"/>
    <w:rsid w:val="6B82583D"/>
    <w:rsid w:val="6B85617D"/>
    <w:rsid w:val="6B9950CC"/>
    <w:rsid w:val="6BB86036"/>
    <w:rsid w:val="6BD10196"/>
    <w:rsid w:val="6BEE1CD1"/>
    <w:rsid w:val="6BF74566"/>
    <w:rsid w:val="6C1747D2"/>
    <w:rsid w:val="6C230986"/>
    <w:rsid w:val="6C427C1A"/>
    <w:rsid w:val="6C461A87"/>
    <w:rsid w:val="6C800716"/>
    <w:rsid w:val="6CC53527"/>
    <w:rsid w:val="6CCD13E5"/>
    <w:rsid w:val="6CF23782"/>
    <w:rsid w:val="6D024FFB"/>
    <w:rsid w:val="6D0424D2"/>
    <w:rsid w:val="6D067C9B"/>
    <w:rsid w:val="6D0D4301"/>
    <w:rsid w:val="6D293F19"/>
    <w:rsid w:val="6D514BC8"/>
    <w:rsid w:val="6D671E98"/>
    <w:rsid w:val="6D715DCB"/>
    <w:rsid w:val="6D922790"/>
    <w:rsid w:val="6D923B5C"/>
    <w:rsid w:val="6D957BAF"/>
    <w:rsid w:val="6DA07839"/>
    <w:rsid w:val="6DC20C5A"/>
    <w:rsid w:val="6DCE6F9E"/>
    <w:rsid w:val="6DEF5C4F"/>
    <w:rsid w:val="6DF03867"/>
    <w:rsid w:val="6E056799"/>
    <w:rsid w:val="6E3549E7"/>
    <w:rsid w:val="6E491F3E"/>
    <w:rsid w:val="6E643ED2"/>
    <w:rsid w:val="6E903041"/>
    <w:rsid w:val="6EA068A8"/>
    <w:rsid w:val="6ED65122"/>
    <w:rsid w:val="6ED66053"/>
    <w:rsid w:val="6F267698"/>
    <w:rsid w:val="6F38008C"/>
    <w:rsid w:val="6F707D01"/>
    <w:rsid w:val="6F712C4D"/>
    <w:rsid w:val="6F960763"/>
    <w:rsid w:val="6F9C0AB7"/>
    <w:rsid w:val="6FA619ED"/>
    <w:rsid w:val="6FD84B68"/>
    <w:rsid w:val="6FD9616A"/>
    <w:rsid w:val="6FE37C6B"/>
    <w:rsid w:val="6FEA5FD6"/>
    <w:rsid w:val="6FED1756"/>
    <w:rsid w:val="6FFC7800"/>
    <w:rsid w:val="700117AB"/>
    <w:rsid w:val="70161433"/>
    <w:rsid w:val="70315496"/>
    <w:rsid w:val="705769CA"/>
    <w:rsid w:val="705A7508"/>
    <w:rsid w:val="70613884"/>
    <w:rsid w:val="706E71BD"/>
    <w:rsid w:val="70701C4B"/>
    <w:rsid w:val="708E2982"/>
    <w:rsid w:val="70AE2678"/>
    <w:rsid w:val="70DB3D14"/>
    <w:rsid w:val="70E27F93"/>
    <w:rsid w:val="70E86135"/>
    <w:rsid w:val="71242F3A"/>
    <w:rsid w:val="713A32E9"/>
    <w:rsid w:val="71840BA1"/>
    <w:rsid w:val="718606CD"/>
    <w:rsid w:val="71950047"/>
    <w:rsid w:val="719E7039"/>
    <w:rsid w:val="71AD725D"/>
    <w:rsid w:val="71B749D5"/>
    <w:rsid w:val="71E25F25"/>
    <w:rsid w:val="71FA2C98"/>
    <w:rsid w:val="72427059"/>
    <w:rsid w:val="72555CDD"/>
    <w:rsid w:val="72641B0D"/>
    <w:rsid w:val="72676F72"/>
    <w:rsid w:val="726D7A40"/>
    <w:rsid w:val="726F7C81"/>
    <w:rsid w:val="72764ECB"/>
    <w:rsid w:val="728C3623"/>
    <w:rsid w:val="72A024FF"/>
    <w:rsid w:val="72A722C8"/>
    <w:rsid w:val="72AD39B6"/>
    <w:rsid w:val="72D16B6E"/>
    <w:rsid w:val="72FF2E55"/>
    <w:rsid w:val="730B1548"/>
    <w:rsid w:val="735E2EF6"/>
    <w:rsid w:val="736675E5"/>
    <w:rsid w:val="73831138"/>
    <w:rsid w:val="73976045"/>
    <w:rsid w:val="73A43391"/>
    <w:rsid w:val="73BE0238"/>
    <w:rsid w:val="73C46707"/>
    <w:rsid w:val="73D61DBE"/>
    <w:rsid w:val="73DD5DBE"/>
    <w:rsid w:val="73F3727F"/>
    <w:rsid w:val="74053D0B"/>
    <w:rsid w:val="74135CDD"/>
    <w:rsid w:val="742B1243"/>
    <w:rsid w:val="744F37AA"/>
    <w:rsid w:val="746C62BC"/>
    <w:rsid w:val="7475796A"/>
    <w:rsid w:val="748C15BC"/>
    <w:rsid w:val="74CC67F4"/>
    <w:rsid w:val="74F310F6"/>
    <w:rsid w:val="74FD204F"/>
    <w:rsid w:val="74FF0626"/>
    <w:rsid w:val="750751FF"/>
    <w:rsid w:val="751E0C7A"/>
    <w:rsid w:val="751F371C"/>
    <w:rsid w:val="752A6F6F"/>
    <w:rsid w:val="755F0E4A"/>
    <w:rsid w:val="759069F7"/>
    <w:rsid w:val="75941DF3"/>
    <w:rsid w:val="75954DD4"/>
    <w:rsid w:val="759C6DC0"/>
    <w:rsid w:val="75B65B36"/>
    <w:rsid w:val="75B66081"/>
    <w:rsid w:val="75E766FA"/>
    <w:rsid w:val="75F04356"/>
    <w:rsid w:val="75F94C86"/>
    <w:rsid w:val="7624278E"/>
    <w:rsid w:val="76387C51"/>
    <w:rsid w:val="76480B20"/>
    <w:rsid w:val="76966590"/>
    <w:rsid w:val="76A51677"/>
    <w:rsid w:val="76A74B48"/>
    <w:rsid w:val="76A828E8"/>
    <w:rsid w:val="76B6788D"/>
    <w:rsid w:val="77020631"/>
    <w:rsid w:val="770479A8"/>
    <w:rsid w:val="7723459B"/>
    <w:rsid w:val="773B7DC9"/>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B6342"/>
    <w:rsid w:val="78536C2C"/>
    <w:rsid w:val="78543841"/>
    <w:rsid w:val="787903B0"/>
    <w:rsid w:val="787A3EB4"/>
    <w:rsid w:val="789C3D38"/>
    <w:rsid w:val="78A113F8"/>
    <w:rsid w:val="78DA389E"/>
    <w:rsid w:val="78FD0660"/>
    <w:rsid w:val="79003002"/>
    <w:rsid w:val="79195500"/>
    <w:rsid w:val="79331C0A"/>
    <w:rsid w:val="7955157C"/>
    <w:rsid w:val="79820021"/>
    <w:rsid w:val="79844DCF"/>
    <w:rsid w:val="79866B7F"/>
    <w:rsid w:val="798745EF"/>
    <w:rsid w:val="79AB48FE"/>
    <w:rsid w:val="79AD36FA"/>
    <w:rsid w:val="79B1652A"/>
    <w:rsid w:val="79CC1038"/>
    <w:rsid w:val="79E378B7"/>
    <w:rsid w:val="79F67E12"/>
    <w:rsid w:val="79FF6CB0"/>
    <w:rsid w:val="7A054169"/>
    <w:rsid w:val="7A5B6F19"/>
    <w:rsid w:val="7A6C6A2B"/>
    <w:rsid w:val="7A6D2FDF"/>
    <w:rsid w:val="7A700FB1"/>
    <w:rsid w:val="7A9B413D"/>
    <w:rsid w:val="7AAC7B7E"/>
    <w:rsid w:val="7AB90E57"/>
    <w:rsid w:val="7ADF4527"/>
    <w:rsid w:val="7AE37846"/>
    <w:rsid w:val="7AE47E86"/>
    <w:rsid w:val="7AF2720D"/>
    <w:rsid w:val="7B073E40"/>
    <w:rsid w:val="7B0C3F15"/>
    <w:rsid w:val="7B114715"/>
    <w:rsid w:val="7B291028"/>
    <w:rsid w:val="7B4D629C"/>
    <w:rsid w:val="7B5074FF"/>
    <w:rsid w:val="7B684DCA"/>
    <w:rsid w:val="7B7A2C8B"/>
    <w:rsid w:val="7B7F2637"/>
    <w:rsid w:val="7B852BC5"/>
    <w:rsid w:val="7B8A228A"/>
    <w:rsid w:val="7B9C23BE"/>
    <w:rsid w:val="7BA90981"/>
    <w:rsid w:val="7BC4600E"/>
    <w:rsid w:val="7BE43371"/>
    <w:rsid w:val="7BFB3926"/>
    <w:rsid w:val="7C0F7337"/>
    <w:rsid w:val="7C274CBE"/>
    <w:rsid w:val="7C392F77"/>
    <w:rsid w:val="7C4A629F"/>
    <w:rsid w:val="7C4C6362"/>
    <w:rsid w:val="7C5E1C65"/>
    <w:rsid w:val="7C6876C8"/>
    <w:rsid w:val="7C6B7DF6"/>
    <w:rsid w:val="7C727507"/>
    <w:rsid w:val="7C931FE1"/>
    <w:rsid w:val="7CA420AB"/>
    <w:rsid w:val="7CAB28AE"/>
    <w:rsid w:val="7CD35696"/>
    <w:rsid w:val="7CDD1473"/>
    <w:rsid w:val="7CF52769"/>
    <w:rsid w:val="7CFD4495"/>
    <w:rsid w:val="7D5702BA"/>
    <w:rsid w:val="7D787D90"/>
    <w:rsid w:val="7D8969B7"/>
    <w:rsid w:val="7DC45CC2"/>
    <w:rsid w:val="7DE17BBA"/>
    <w:rsid w:val="7DE215DB"/>
    <w:rsid w:val="7E144E8F"/>
    <w:rsid w:val="7E182D16"/>
    <w:rsid w:val="7E30094B"/>
    <w:rsid w:val="7E414509"/>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913C7"/>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09"/>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0"/>
    <w:qFormat/>
    <w:uiPriority w:val="0"/>
    <w:pPr>
      <w:keepNext/>
      <w:keepLines/>
      <w:spacing w:before="280" w:after="290" w:line="372" w:lineRule="auto"/>
      <w:outlineLvl w:val="4"/>
    </w:pPr>
    <w:rPr>
      <w:b/>
    </w:rPr>
  </w:style>
  <w:style w:type="paragraph" w:styleId="10">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17"/>
    <w:unhideWhenUsed/>
    <w:qFormat/>
    <w:uiPriority w:val="0"/>
    <w:pPr>
      <w:spacing w:after="120"/>
    </w:pPr>
  </w:style>
  <w:style w:type="paragraph" w:styleId="3">
    <w:name w:val="Body Text First Indent"/>
    <w:basedOn w:val="2"/>
    <w:next w:val="4"/>
    <w:link w:val="340"/>
    <w:qFormat/>
    <w:uiPriority w:val="0"/>
    <w:pPr>
      <w:ind w:firstLine="420" w:firstLineChars="100"/>
    </w:pPr>
    <w:rPr>
      <w:rFonts w:ascii="等线" w:hAnsi="等线" w:eastAsia="等线" w:cstheme="minorBidi"/>
      <w:sz w:val="21"/>
      <w:szCs w:val="22"/>
    </w:rPr>
  </w:style>
  <w:style w:type="paragraph" w:styleId="4">
    <w:name w:val="toc 6"/>
    <w:basedOn w:val="1"/>
    <w:next w:val="1"/>
    <w:qFormat/>
    <w:uiPriority w:val="0"/>
    <w:pPr>
      <w:ind w:left="1400"/>
      <w:jc w:val="left"/>
    </w:pPr>
    <w:rPr>
      <w:sz w:val="18"/>
    </w:rPr>
  </w:style>
  <w:style w:type="paragraph" w:styleId="14">
    <w:name w:val="List 3"/>
    <w:basedOn w:val="1"/>
    <w:qFormat/>
    <w:uiPriority w:val="0"/>
    <w:pPr>
      <w:ind w:left="100" w:leftChars="400" w:hanging="200" w:hangingChars="200"/>
    </w:pPr>
    <w:rPr>
      <w:sz w:val="21"/>
    </w:rPr>
  </w:style>
  <w:style w:type="paragraph" w:styleId="15">
    <w:name w:val="annotation subject"/>
    <w:basedOn w:val="16"/>
    <w:next w:val="16"/>
    <w:link w:val="353"/>
    <w:qFormat/>
    <w:uiPriority w:val="0"/>
    <w:rPr>
      <w:rFonts w:asciiTheme="minorHAnsi" w:hAnsiTheme="minorHAnsi" w:eastAsiaTheme="minorEastAsia" w:cstheme="minorBidi"/>
      <w:b/>
      <w:sz w:val="21"/>
      <w:szCs w:val="22"/>
    </w:rPr>
  </w:style>
  <w:style w:type="paragraph" w:styleId="16">
    <w:name w:val="annotation text"/>
    <w:basedOn w:val="1"/>
    <w:link w:val="121"/>
    <w:unhideWhenUsed/>
    <w:qFormat/>
    <w:uiPriority w:val="0"/>
    <w:pPr>
      <w:jc w:val="left"/>
    </w:pPr>
  </w:style>
  <w:style w:type="paragraph" w:styleId="17">
    <w:name w:val="toc 7"/>
    <w:basedOn w:val="1"/>
    <w:next w:val="1"/>
    <w:qFormat/>
    <w:uiPriority w:val="0"/>
    <w:pPr>
      <w:ind w:left="1680"/>
      <w:jc w:val="left"/>
    </w:pPr>
    <w:rPr>
      <w:sz w:val="18"/>
    </w:rPr>
  </w:style>
  <w:style w:type="paragraph" w:styleId="18">
    <w:name w:val="List Number 2"/>
    <w:basedOn w:val="1"/>
    <w:qFormat/>
    <w:uiPriority w:val="0"/>
    <w:pPr>
      <w:tabs>
        <w:tab w:val="left" w:pos="0"/>
      </w:tabs>
      <w:ind w:left="1146" w:hanging="720"/>
    </w:pPr>
    <w:rPr>
      <w:sz w:val="21"/>
    </w:rPr>
  </w:style>
  <w:style w:type="paragraph" w:styleId="19">
    <w:name w:val="table of authorities"/>
    <w:basedOn w:val="1"/>
    <w:next w:val="1"/>
    <w:qFormat/>
    <w:uiPriority w:val="0"/>
    <w:pPr>
      <w:ind w:left="420" w:leftChars="200"/>
    </w:pPr>
    <w:rPr>
      <w:sz w:val="21"/>
    </w:rPr>
  </w:style>
  <w:style w:type="paragraph" w:styleId="20">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1">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2">
    <w:name w:val="List Bullet 4"/>
    <w:basedOn w:val="1"/>
    <w:qFormat/>
    <w:uiPriority w:val="0"/>
    <w:pPr>
      <w:tabs>
        <w:tab w:val="left" w:pos="1620"/>
      </w:tabs>
      <w:ind w:left="1620" w:hanging="360"/>
    </w:pPr>
    <w:rPr>
      <w:sz w:val="21"/>
    </w:rPr>
  </w:style>
  <w:style w:type="paragraph" w:styleId="23">
    <w:name w:val="index 8"/>
    <w:basedOn w:val="1"/>
    <w:next w:val="1"/>
    <w:qFormat/>
    <w:uiPriority w:val="0"/>
    <w:pPr>
      <w:ind w:left="1400" w:leftChars="1400"/>
    </w:pPr>
    <w:rPr>
      <w:sz w:val="21"/>
    </w:rPr>
  </w:style>
  <w:style w:type="paragraph" w:styleId="24">
    <w:name w:val="E-mail Signature"/>
    <w:basedOn w:val="1"/>
    <w:link w:val="328"/>
    <w:qFormat/>
    <w:uiPriority w:val="0"/>
    <w:rPr>
      <w:rFonts w:asciiTheme="minorHAnsi" w:hAnsiTheme="minorHAnsi" w:eastAsiaTheme="minorEastAsia" w:cstheme="minorBidi"/>
      <w:sz w:val="21"/>
      <w:szCs w:val="22"/>
    </w:rPr>
  </w:style>
  <w:style w:type="paragraph" w:styleId="25">
    <w:name w:val="List Number"/>
    <w:basedOn w:val="1"/>
    <w:qFormat/>
    <w:uiPriority w:val="0"/>
    <w:pPr>
      <w:tabs>
        <w:tab w:val="left" w:pos="360"/>
      </w:tabs>
      <w:ind w:left="360" w:hanging="360"/>
    </w:pPr>
    <w:rPr>
      <w:sz w:val="21"/>
    </w:rPr>
  </w:style>
  <w:style w:type="paragraph" w:styleId="26">
    <w:name w:val="Normal Indent"/>
    <w:basedOn w:val="1"/>
    <w:next w:val="27"/>
    <w:link w:val="305"/>
    <w:qFormat/>
    <w:uiPriority w:val="0"/>
    <w:pPr>
      <w:widowControl/>
      <w:ind w:firstLine="420"/>
      <w:jc w:val="left"/>
    </w:pPr>
    <w:rPr>
      <w:rFonts w:asciiTheme="minorHAnsi" w:hAnsiTheme="minorHAnsi" w:cstheme="minorBidi"/>
      <w:sz w:val="24"/>
      <w:szCs w:val="22"/>
    </w:rPr>
  </w:style>
  <w:style w:type="paragraph" w:styleId="27">
    <w:name w:val="Body Text Indent"/>
    <w:basedOn w:val="1"/>
    <w:next w:val="26"/>
    <w:link w:val="115"/>
    <w:unhideWhenUsed/>
    <w:qFormat/>
    <w:uiPriority w:val="0"/>
    <w:pPr>
      <w:spacing w:after="120"/>
      <w:ind w:left="420" w:leftChars="200"/>
    </w:p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index 6"/>
    <w:basedOn w:val="1"/>
    <w:next w:val="1"/>
    <w:qFormat/>
    <w:uiPriority w:val="0"/>
    <w:pPr>
      <w:ind w:left="1000" w:leftChars="1000"/>
    </w:pPr>
    <w:rPr>
      <w:sz w:val="21"/>
    </w:rPr>
  </w:style>
  <w:style w:type="paragraph" w:styleId="35">
    <w:name w:val="Salutation"/>
    <w:basedOn w:val="1"/>
    <w:next w:val="1"/>
    <w:link w:val="344"/>
    <w:qFormat/>
    <w:uiPriority w:val="0"/>
    <w:rPr>
      <w:rFonts w:ascii="宋体" w:hAnsiTheme="minorHAnsi" w:eastAsiaTheme="minorEastAsia" w:cstheme="minorBidi"/>
      <w:szCs w:val="22"/>
    </w:rPr>
  </w:style>
  <w:style w:type="paragraph" w:styleId="36">
    <w:name w:val="Body Text 3"/>
    <w:basedOn w:val="1"/>
    <w:link w:val="348"/>
    <w:qFormat/>
    <w:uiPriority w:val="0"/>
    <w:pPr>
      <w:spacing w:after="120"/>
    </w:pPr>
    <w:rPr>
      <w:rFonts w:asciiTheme="minorHAnsi" w:hAnsiTheme="minorHAnsi" w:eastAsiaTheme="minorEastAsia" w:cstheme="minorBidi"/>
      <w:sz w:val="16"/>
      <w:szCs w:val="22"/>
    </w:rPr>
  </w:style>
  <w:style w:type="paragraph" w:styleId="37">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39"/>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Plain Text"/>
    <w:basedOn w:val="1"/>
    <w:next w:val="49"/>
    <w:link w:val="332"/>
    <w:qFormat/>
    <w:uiPriority w:val="0"/>
    <w:rPr>
      <w:rFonts w:ascii="宋体" w:hAnsi="Courier New" w:cstheme="minorBidi"/>
      <w:sz w:val="21"/>
      <w:szCs w:val="22"/>
    </w:rPr>
  </w:style>
  <w:style w:type="paragraph" w:styleId="49">
    <w:name w:val="Balloon Text"/>
    <w:basedOn w:val="1"/>
    <w:next w:val="1"/>
    <w:link w:val="343"/>
    <w:qFormat/>
    <w:uiPriority w:val="99"/>
    <w:rPr>
      <w:rFonts w:asciiTheme="minorHAnsi" w:hAnsiTheme="minorHAnsi" w:eastAsiaTheme="minorEastAsia" w:cstheme="minorBidi"/>
      <w:sz w:val="18"/>
      <w:szCs w:val="22"/>
    </w:rPr>
  </w:style>
  <w:style w:type="paragraph" w:styleId="50">
    <w:name w:val="List Bullet 5"/>
    <w:basedOn w:val="1"/>
    <w:qFormat/>
    <w:uiPriority w:val="0"/>
    <w:pPr>
      <w:tabs>
        <w:tab w:val="left" w:pos="2040"/>
      </w:tabs>
      <w:ind w:left="2040" w:hanging="360"/>
    </w:pPr>
    <w:rPr>
      <w:sz w:val="21"/>
    </w:rPr>
  </w:style>
  <w:style w:type="paragraph" w:styleId="51">
    <w:name w:val="List Number 4"/>
    <w:basedOn w:val="1"/>
    <w:qFormat/>
    <w:uiPriority w:val="0"/>
    <w:pPr>
      <w:tabs>
        <w:tab w:val="left" w:pos="1620"/>
      </w:tabs>
      <w:ind w:left="1620" w:hanging="360"/>
    </w:pPr>
    <w:rPr>
      <w:sz w:val="21"/>
    </w:rPr>
  </w:style>
  <w:style w:type="paragraph" w:styleId="52">
    <w:name w:val="toc 8"/>
    <w:basedOn w:val="1"/>
    <w:next w:val="1"/>
    <w:qFormat/>
    <w:uiPriority w:val="0"/>
    <w:pPr>
      <w:ind w:left="1960"/>
      <w:jc w:val="left"/>
    </w:pPr>
    <w:rPr>
      <w:sz w:val="18"/>
    </w:rPr>
  </w:style>
  <w:style w:type="paragraph" w:styleId="53">
    <w:name w:val="index 3"/>
    <w:basedOn w:val="1"/>
    <w:next w:val="1"/>
    <w:qFormat/>
    <w:uiPriority w:val="0"/>
    <w:pPr>
      <w:ind w:left="400" w:leftChars="400"/>
    </w:pPr>
    <w:rPr>
      <w:sz w:val="21"/>
    </w:rPr>
  </w:style>
  <w:style w:type="paragraph" w:styleId="54">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5">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6">
    <w:name w:val="endnote text"/>
    <w:basedOn w:val="1"/>
    <w:link w:val="327"/>
    <w:qFormat/>
    <w:uiPriority w:val="0"/>
    <w:pPr>
      <w:snapToGrid w:val="0"/>
    </w:pPr>
    <w:rPr>
      <w:rFonts w:asciiTheme="minorHAnsi" w:hAnsiTheme="minorHAnsi" w:eastAsiaTheme="minorEastAsia" w:cstheme="minorBidi"/>
      <w:sz w:val="21"/>
      <w:szCs w:val="22"/>
    </w:rPr>
  </w:style>
  <w:style w:type="paragraph" w:styleId="57">
    <w:name w:val="List Continue 5"/>
    <w:basedOn w:val="1"/>
    <w:qFormat/>
    <w:uiPriority w:val="0"/>
    <w:pPr>
      <w:spacing w:after="120"/>
      <w:ind w:left="2100" w:leftChars="1000"/>
    </w:pPr>
    <w:rPr>
      <w:sz w:val="21"/>
    </w:rPr>
  </w:style>
  <w:style w:type="paragraph" w:styleId="58">
    <w:name w:val="footer"/>
    <w:basedOn w:val="1"/>
    <w:link w:val="105"/>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Body Text First Indent 2"/>
    <w:basedOn w:val="27"/>
    <w:next w:val="2"/>
    <w:link w:val="341"/>
    <w:qFormat/>
    <w:uiPriority w:val="0"/>
    <w:pPr>
      <w:ind w:firstLine="420" w:firstLineChars="200"/>
    </w:pPr>
    <w:rPr>
      <w:rFonts w:ascii="等线" w:hAnsi="等线" w:eastAsia="等线" w:cstheme="minorBidi"/>
      <w:sz w:val="21"/>
      <w:szCs w:val="22"/>
    </w:rPr>
  </w:style>
  <w:style w:type="paragraph" w:styleId="61">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3">
    <w:name w:val="toc 1"/>
    <w:basedOn w:val="1"/>
    <w:next w:val="1"/>
    <w:qFormat/>
    <w:uiPriority w:val="39"/>
    <w:pPr>
      <w:tabs>
        <w:tab w:val="right" w:leader="dot" w:pos="8364"/>
      </w:tabs>
      <w:spacing w:before="120" w:after="120" w:line="360" w:lineRule="auto"/>
      <w:jc w:val="left"/>
    </w:pPr>
    <w:rPr>
      <w:b/>
      <w:caps/>
      <w:sz w:val="20"/>
    </w:rPr>
  </w:style>
  <w:style w:type="paragraph" w:styleId="64">
    <w:name w:val="List Continue 4"/>
    <w:basedOn w:val="1"/>
    <w:qFormat/>
    <w:uiPriority w:val="0"/>
    <w:pPr>
      <w:spacing w:after="120"/>
      <w:ind w:left="1680" w:leftChars="800"/>
    </w:pPr>
    <w:rPr>
      <w:sz w:val="21"/>
    </w:rPr>
  </w:style>
  <w:style w:type="paragraph" w:styleId="65">
    <w:name w:val="toc 4"/>
    <w:basedOn w:val="1"/>
    <w:next w:val="1"/>
    <w:qFormat/>
    <w:uiPriority w:val="0"/>
    <w:pPr>
      <w:ind w:left="840"/>
      <w:jc w:val="left"/>
    </w:pPr>
    <w:rPr>
      <w:sz w:val="18"/>
    </w:rPr>
  </w:style>
  <w:style w:type="paragraph" w:styleId="66">
    <w:name w:val="index heading"/>
    <w:basedOn w:val="1"/>
    <w:next w:val="67"/>
    <w:qFormat/>
    <w:uiPriority w:val="0"/>
    <w:rPr>
      <w:rFonts w:ascii="Arial" w:hAnsi="Arial"/>
      <w:b/>
      <w:sz w:val="21"/>
    </w:rPr>
  </w:style>
  <w:style w:type="paragraph" w:styleId="67">
    <w:name w:val="index 1"/>
    <w:basedOn w:val="1"/>
    <w:next w:val="1"/>
    <w:unhideWhenUsed/>
    <w:qFormat/>
    <w:uiPriority w:val="0"/>
  </w:style>
  <w:style w:type="paragraph" w:styleId="68">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9">
    <w:name w:val="List Number 5"/>
    <w:basedOn w:val="1"/>
    <w:qFormat/>
    <w:uiPriority w:val="0"/>
    <w:pPr>
      <w:tabs>
        <w:tab w:val="left" w:pos="2040"/>
      </w:tabs>
      <w:ind w:left="2040" w:hanging="360"/>
    </w:pPr>
    <w:rPr>
      <w:sz w:val="21"/>
    </w:rPr>
  </w:style>
  <w:style w:type="paragraph" w:styleId="70">
    <w:name w:val="List"/>
    <w:basedOn w:val="1"/>
    <w:qFormat/>
    <w:uiPriority w:val="0"/>
    <w:pPr>
      <w:ind w:left="200" w:hanging="200" w:hangingChars="200"/>
    </w:pPr>
    <w:rPr>
      <w:sz w:val="21"/>
    </w:rPr>
  </w:style>
  <w:style w:type="paragraph" w:styleId="71">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89">
    <w:name w:val="Strong"/>
    <w:basedOn w:val="88"/>
    <w:qFormat/>
    <w:uiPriority w:val="22"/>
    <w:rPr>
      <w:b/>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color w:val="CC0000"/>
    </w:rPr>
  </w:style>
  <w:style w:type="character" w:styleId="94">
    <w:name w:val="Hyperlink"/>
    <w:qFormat/>
    <w:uiPriority w:val="99"/>
    <w:rPr>
      <w:color w:val="0000FF"/>
      <w:u w:val="single"/>
    </w:rPr>
  </w:style>
  <w:style w:type="character" w:styleId="95">
    <w:name w:val="annotation reference"/>
    <w:qFormat/>
    <w:uiPriority w:val="0"/>
    <w:rPr>
      <w:sz w:val="21"/>
    </w:rPr>
  </w:style>
  <w:style w:type="character" w:styleId="96">
    <w:name w:val="footnote reference"/>
    <w:qFormat/>
    <w:uiPriority w:val="0"/>
    <w:rPr>
      <w:vertAlign w:val="superscript"/>
    </w:rPr>
  </w:style>
  <w:style w:type="table" w:styleId="98">
    <w:name w:val="Table Grid"/>
    <w:basedOn w:val="9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9">
    <w:name w:val="表格文字"/>
    <w:basedOn w:val="48"/>
    <w:next w:val="2"/>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70"/>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88"/>
    <w:link w:val="61"/>
    <w:qFormat/>
    <w:uiPriority w:val="99"/>
    <w:rPr>
      <w:sz w:val="18"/>
      <w:szCs w:val="18"/>
    </w:rPr>
  </w:style>
  <w:style w:type="character" w:customStyle="1" w:styleId="105">
    <w:name w:val="页脚 Char"/>
    <w:basedOn w:val="88"/>
    <w:link w:val="58"/>
    <w:qFormat/>
    <w:uiPriority w:val="99"/>
    <w:rPr>
      <w:sz w:val="18"/>
      <w:szCs w:val="18"/>
    </w:rPr>
  </w:style>
  <w:style w:type="character" w:customStyle="1" w:styleId="106">
    <w:name w:val="标题 1 Char"/>
    <w:basedOn w:val="88"/>
    <w:link w:val="5"/>
    <w:qFormat/>
    <w:uiPriority w:val="9"/>
    <w:rPr>
      <w:rFonts w:ascii="黑体" w:hAnsi="Calibri" w:eastAsia="宋体" w:cs="Times New Roman"/>
      <w:b/>
      <w:kern w:val="0"/>
      <w:sz w:val="32"/>
      <w:szCs w:val="20"/>
    </w:rPr>
  </w:style>
  <w:style w:type="character" w:customStyle="1" w:styleId="107">
    <w:name w:val="标题 2 Char"/>
    <w:basedOn w:val="88"/>
    <w:qFormat/>
    <w:uiPriority w:val="0"/>
    <w:rPr>
      <w:rFonts w:asciiTheme="majorHAnsi" w:hAnsiTheme="majorHAnsi" w:eastAsiaTheme="majorEastAsia" w:cstheme="majorBidi"/>
      <w:b/>
      <w:bCs/>
      <w:sz w:val="32"/>
      <w:szCs w:val="32"/>
    </w:rPr>
  </w:style>
  <w:style w:type="character" w:customStyle="1" w:styleId="108">
    <w:name w:val="标题 3 Char"/>
    <w:basedOn w:val="88"/>
    <w:link w:val="7"/>
    <w:qFormat/>
    <w:uiPriority w:val="0"/>
    <w:rPr>
      <w:rFonts w:ascii="Calibri" w:hAnsi="Calibri" w:eastAsia="宋体" w:cs="Times New Roman"/>
      <w:b/>
      <w:kern w:val="0"/>
      <w:sz w:val="32"/>
      <w:szCs w:val="20"/>
    </w:rPr>
  </w:style>
  <w:style w:type="character" w:customStyle="1" w:styleId="109">
    <w:name w:val="标题 4 Char"/>
    <w:basedOn w:val="88"/>
    <w:link w:val="8"/>
    <w:qFormat/>
    <w:uiPriority w:val="0"/>
    <w:rPr>
      <w:rFonts w:ascii="Arial" w:hAnsi="Arial" w:eastAsia="黑体" w:cs="Times New Roman"/>
      <w:b/>
      <w:sz w:val="28"/>
      <w:szCs w:val="20"/>
    </w:rPr>
  </w:style>
  <w:style w:type="character" w:customStyle="1" w:styleId="110">
    <w:name w:val="标题 5 Char"/>
    <w:basedOn w:val="88"/>
    <w:link w:val="9"/>
    <w:qFormat/>
    <w:uiPriority w:val="0"/>
    <w:rPr>
      <w:rFonts w:ascii="Calibri" w:hAnsi="Calibri" w:eastAsia="宋体" w:cs="Times New Roman"/>
      <w:b/>
      <w:sz w:val="28"/>
      <w:szCs w:val="20"/>
    </w:rPr>
  </w:style>
  <w:style w:type="character" w:customStyle="1" w:styleId="111">
    <w:name w:val="标题 6 Char"/>
    <w:basedOn w:val="88"/>
    <w:link w:val="10"/>
    <w:qFormat/>
    <w:uiPriority w:val="0"/>
    <w:rPr>
      <w:rFonts w:ascii="Arial" w:hAnsi="Arial" w:eastAsia="黑体" w:cs="Times New Roman"/>
      <w:b/>
      <w:kern w:val="0"/>
      <w:sz w:val="24"/>
      <w:szCs w:val="20"/>
    </w:rPr>
  </w:style>
  <w:style w:type="character" w:customStyle="1" w:styleId="112">
    <w:name w:val="标题 7 Char"/>
    <w:basedOn w:val="88"/>
    <w:link w:val="11"/>
    <w:qFormat/>
    <w:uiPriority w:val="0"/>
    <w:rPr>
      <w:rFonts w:ascii="Calibri" w:hAnsi="Calibri" w:eastAsia="宋体" w:cs="Times New Roman"/>
      <w:b/>
      <w:kern w:val="0"/>
      <w:sz w:val="24"/>
      <w:szCs w:val="20"/>
    </w:rPr>
  </w:style>
  <w:style w:type="character" w:customStyle="1" w:styleId="113">
    <w:name w:val="标题 8 Char"/>
    <w:basedOn w:val="88"/>
    <w:link w:val="12"/>
    <w:qFormat/>
    <w:uiPriority w:val="0"/>
    <w:rPr>
      <w:rFonts w:ascii="Arial" w:hAnsi="Arial" w:eastAsia="黑体" w:cs="Times New Roman"/>
      <w:kern w:val="0"/>
      <w:sz w:val="24"/>
      <w:szCs w:val="20"/>
    </w:rPr>
  </w:style>
  <w:style w:type="character" w:customStyle="1" w:styleId="114">
    <w:name w:val="标题 9 Char"/>
    <w:basedOn w:val="88"/>
    <w:link w:val="13"/>
    <w:qFormat/>
    <w:uiPriority w:val="0"/>
    <w:rPr>
      <w:rFonts w:ascii="Arial" w:hAnsi="Arial" w:eastAsia="黑体" w:cs="Times New Roman"/>
      <w:kern w:val="0"/>
      <w:szCs w:val="20"/>
    </w:rPr>
  </w:style>
  <w:style w:type="character" w:customStyle="1" w:styleId="115">
    <w:name w:val="正文文本缩进 Char"/>
    <w:basedOn w:val="88"/>
    <w:link w:val="27"/>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88"/>
    <w:link w:val="2"/>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2"/>
    <w:link w:val="118"/>
    <w:qFormat/>
    <w:uiPriority w:val="0"/>
    <w:pPr>
      <w:spacing w:after="0"/>
      <w:ind w:firstLine="420" w:firstLineChars="100"/>
    </w:pPr>
  </w:style>
  <w:style w:type="character" w:customStyle="1" w:styleId="120">
    <w:name w:val="标题 Char"/>
    <w:basedOn w:val="88"/>
    <w:qFormat/>
    <w:uiPriority w:val="0"/>
    <w:rPr>
      <w:rFonts w:eastAsia="宋体" w:asciiTheme="majorHAnsi" w:hAnsiTheme="majorHAnsi" w:cstheme="majorBidi"/>
      <w:b/>
      <w:bCs/>
      <w:sz w:val="32"/>
      <w:szCs w:val="32"/>
    </w:rPr>
  </w:style>
  <w:style w:type="character" w:customStyle="1" w:styleId="121">
    <w:name w:val="批注文字 Char"/>
    <w:basedOn w:val="88"/>
    <w:link w:val="16"/>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16"/>
    <w:next w:val="16"/>
    <w:link w:val="122"/>
    <w:qFormat/>
    <w:uiPriority w:val="0"/>
    <w:rPr>
      <w:b/>
      <w:bCs/>
    </w:rPr>
  </w:style>
  <w:style w:type="character" w:customStyle="1" w:styleId="124">
    <w:name w:val="宏文本 Char"/>
    <w:basedOn w:val="88"/>
    <w:qFormat/>
    <w:uiPriority w:val="0"/>
    <w:rPr>
      <w:rFonts w:ascii="Courier New" w:hAnsi="Courier New" w:eastAsia="宋体" w:cs="Courier New"/>
      <w:sz w:val="24"/>
      <w:szCs w:val="24"/>
    </w:rPr>
  </w:style>
  <w:style w:type="character" w:customStyle="1" w:styleId="125">
    <w:name w:val="注释标题 Char"/>
    <w:basedOn w:val="88"/>
    <w:qFormat/>
    <w:uiPriority w:val="0"/>
    <w:rPr>
      <w:rFonts w:ascii="Calibri" w:hAnsi="Calibri" w:eastAsia="宋体" w:cs="Times New Roman"/>
      <w:sz w:val="28"/>
      <w:szCs w:val="20"/>
    </w:rPr>
  </w:style>
  <w:style w:type="character" w:customStyle="1" w:styleId="126">
    <w:name w:val="电子邮件签名 Char"/>
    <w:basedOn w:val="88"/>
    <w:qFormat/>
    <w:uiPriority w:val="0"/>
    <w:rPr>
      <w:rFonts w:ascii="Calibri" w:hAnsi="Calibri" w:eastAsia="宋体" w:cs="Times New Roman"/>
      <w:sz w:val="28"/>
      <w:szCs w:val="20"/>
    </w:rPr>
  </w:style>
  <w:style w:type="character" w:customStyle="1" w:styleId="127">
    <w:name w:val="文档结构图 Char"/>
    <w:basedOn w:val="88"/>
    <w:qFormat/>
    <w:uiPriority w:val="0"/>
    <w:rPr>
      <w:rFonts w:ascii="宋体" w:hAnsi="Calibri" w:eastAsia="宋体" w:cs="Times New Roman"/>
      <w:sz w:val="18"/>
      <w:szCs w:val="18"/>
    </w:rPr>
  </w:style>
  <w:style w:type="character" w:customStyle="1" w:styleId="128">
    <w:name w:val="称呼 Char"/>
    <w:basedOn w:val="88"/>
    <w:qFormat/>
    <w:uiPriority w:val="0"/>
    <w:rPr>
      <w:rFonts w:ascii="Calibri" w:hAnsi="Calibri" w:eastAsia="宋体" w:cs="Times New Roman"/>
      <w:sz w:val="28"/>
      <w:szCs w:val="20"/>
    </w:rPr>
  </w:style>
  <w:style w:type="character" w:customStyle="1" w:styleId="129">
    <w:name w:val="正文文本 3 Char"/>
    <w:basedOn w:val="88"/>
    <w:qFormat/>
    <w:uiPriority w:val="0"/>
    <w:rPr>
      <w:rFonts w:ascii="Calibri" w:hAnsi="Calibri" w:eastAsia="宋体" w:cs="Times New Roman"/>
      <w:sz w:val="16"/>
      <w:szCs w:val="16"/>
    </w:rPr>
  </w:style>
  <w:style w:type="character" w:customStyle="1" w:styleId="130">
    <w:name w:val="结束语 Char"/>
    <w:basedOn w:val="88"/>
    <w:qFormat/>
    <w:uiPriority w:val="0"/>
    <w:rPr>
      <w:rFonts w:ascii="Calibri" w:hAnsi="Calibri" w:eastAsia="宋体" w:cs="Times New Roman"/>
      <w:sz w:val="28"/>
      <w:szCs w:val="20"/>
    </w:rPr>
  </w:style>
  <w:style w:type="character" w:customStyle="1" w:styleId="131">
    <w:name w:val="HTML 地址 Char"/>
    <w:basedOn w:val="88"/>
    <w:qFormat/>
    <w:uiPriority w:val="0"/>
    <w:rPr>
      <w:rFonts w:ascii="Calibri" w:hAnsi="Calibri" w:eastAsia="宋体" w:cs="Times New Roman"/>
      <w:i/>
      <w:iCs/>
      <w:sz w:val="28"/>
      <w:szCs w:val="20"/>
    </w:rPr>
  </w:style>
  <w:style w:type="character" w:customStyle="1" w:styleId="132">
    <w:name w:val="纯文本 Char"/>
    <w:basedOn w:val="88"/>
    <w:qFormat/>
    <w:uiPriority w:val="0"/>
    <w:rPr>
      <w:rFonts w:ascii="宋体" w:hAnsi="Courier New" w:eastAsia="宋体" w:cs="Courier New"/>
      <w:szCs w:val="21"/>
    </w:rPr>
  </w:style>
  <w:style w:type="character" w:customStyle="1" w:styleId="133">
    <w:name w:val="日期 Char"/>
    <w:basedOn w:val="88"/>
    <w:qFormat/>
    <w:uiPriority w:val="0"/>
    <w:rPr>
      <w:rFonts w:ascii="Calibri" w:hAnsi="Calibri" w:eastAsia="宋体" w:cs="Times New Roman"/>
      <w:sz w:val="28"/>
      <w:szCs w:val="20"/>
    </w:rPr>
  </w:style>
  <w:style w:type="character" w:customStyle="1" w:styleId="134">
    <w:name w:val="正文文本缩进 2 Char"/>
    <w:basedOn w:val="88"/>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88"/>
    <w:qFormat/>
    <w:uiPriority w:val="0"/>
    <w:rPr>
      <w:rFonts w:ascii="Calibri" w:hAnsi="Calibri" w:eastAsia="宋体" w:cs="Times New Roman"/>
      <w:sz w:val="28"/>
      <w:szCs w:val="20"/>
    </w:rPr>
  </w:style>
  <w:style w:type="character" w:customStyle="1" w:styleId="137">
    <w:name w:val="批注框文本 Char"/>
    <w:basedOn w:val="88"/>
    <w:qFormat/>
    <w:uiPriority w:val="99"/>
    <w:rPr>
      <w:rFonts w:ascii="Calibri" w:hAnsi="Calibri" w:eastAsia="宋体" w:cs="Times New Roman"/>
      <w:sz w:val="18"/>
      <w:szCs w:val="18"/>
    </w:rPr>
  </w:style>
  <w:style w:type="character" w:customStyle="1" w:styleId="138">
    <w:name w:val="签名 Char"/>
    <w:basedOn w:val="88"/>
    <w:qFormat/>
    <w:uiPriority w:val="0"/>
    <w:rPr>
      <w:rFonts w:ascii="Calibri" w:hAnsi="Calibri" w:eastAsia="宋体" w:cs="Times New Roman"/>
      <w:sz w:val="28"/>
      <w:szCs w:val="20"/>
    </w:rPr>
  </w:style>
  <w:style w:type="character" w:customStyle="1" w:styleId="139">
    <w:name w:val="副标题 Char"/>
    <w:basedOn w:val="88"/>
    <w:qFormat/>
    <w:uiPriority w:val="0"/>
    <w:rPr>
      <w:rFonts w:eastAsia="宋体" w:asciiTheme="majorHAnsi" w:hAnsiTheme="majorHAnsi" w:cstheme="majorBidi"/>
      <w:b/>
      <w:bCs/>
      <w:kern w:val="28"/>
      <w:sz w:val="32"/>
      <w:szCs w:val="32"/>
    </w:rPr>
  </w:style>
  <w:style w:type="character" w:customStyle="1" w:styleId="140">
    <w:name w:val="脚注文本 Char"/>
    <w:basedOn w:val="88"/>
    <w:qFormat/>
    <w:uiPriority w:val="0"/>
    <w:rPr>
      <w:rFonts w:ascii="Calibri" w:hAnsi="Calibri" w:eastAsia="宋体" w:cs="Times New Roman"/>
      <w:sz w:val="18"/>
      <w:szCs w:val="18"/>
    </w:rPr>
  </w:style>
  <w:style w:type="character" w:customStyle="1" w:styleId="141">
    <w:name w:val="正文文本缩进 3 Char"/>
    <w:basedOn w:val="88"/>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88"/>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88"/>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88"/>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5"/>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6"/>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7"/>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88"/>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88"/>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88"/>
    <w:qFormat/>
    <w:uiPriority w:val="0"/>
    <w:rPr>
      <w:rFonts w:hint="eastAsia" w:ascii="宋体" w:hAnsi="宋体" w:eastAsia="宋体"/>
      <w:color w:val="FF0000"/>
      <w:sz w:val="21"/>
      <w:u w:val="none"/>
      <w:vertAlign w:val="superscript"/>
    </w:rPr>
  </w:style>
  <w:style w:type="character" w:customStyle="1" w:styleId="273">
    <w:name w:val="font41"/>
    <w:basedOn w:val="88"/>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88"/>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26"/>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88"/>
    <w:link w:val="56"/>
    <w:qFormat/>
    <w:uiPriority w:val="0"/>
  </w:style>
  <w:style w:type="character" w:customStyle="1" w:styleId="328">
    <w:name w:val="电子邮件签名 Char1"/>
    <w:basedOn w:val="88"/>
    <w:link w:val="24"/>
    <w:qFormat/>
    <w:uiPriority w:val="0"/>
  </w:style>
  <w:style w:type="character" w:customStyle="1" w:styleId="329">
    <w:name w:val="正文文本 2 Char2"/>
    <w:basedOn w:val="88"/>
    <w:link w:val="79"/>
    <w:qFormat/>
    <w:uiPriority w:val="0"/>
  </w:style>
  <w:style w:type="character" w:customStyle="1" w:styleId="330">
    <w:name w:val="正文文本 Char3"/>
    <w:basedOn w:val="88"/>
    <w:semiHidden/>
    <w:qFormat/>
    <w:uiPriority w:val="99"/>
    <w:rPr>
      <w:rFonts w:ascii="Calibri" w:hAnsi="Calibri" w:eastAsia="宋体" w:cs="Times New Roman"/>
      <w:sz w:val="28"/>
      <w:szCs w:val="20"/>
    </w:rPr>
  </w:style>
  <w:style w:type="character" w:customStyle="1" w:styleId="331">
    <w:name w:val="日期 Char3"/>
    <w:basedOn w:val="88"/>
    <w:link w:val="54"/>
    <w:qFormat/>
    <w:uiPriority w:val="0"/>
    <w:rPr>
      <w:rFonts w:eastAsia="仿宋_GB2312"/>
      <w:b/>
      <w:sz w:val="28"/>
    </w:rPr>
  </w:style>
  <w:style w:type="character" w:customStyle="1" w:styleId="332">
    <w:name w:val="纯文本 Char4"/>
    <w:basedOn w:val="88"/>
    <w:link w:val="48"/>
    <w:qFormat/>
    <w:uiPriority w:val="0"/>
    <w:rPr>
      <w:rFonts w:ascii="宋体" w:hAnsi="Courier New" w:eastAsia="宋体"/>
    </w:rPr>
  </w:style>
  <w:style w:type="character" w:customStyle="1" w:styleId="333">
    <w:name w:val="结束语 Char1"/>
    <w:basedOn w:val="88"/>
    <w:link w:val="37"/>
    <w:qFormat/>
    <w:uiPriority w:val="0"/>
  </w:style>
  <w:style w:type="character" w:customStyle="1" w:styleId="334">
    <w:name w:val="注释标题 Char1"/>
    <w:basedOn w:val="88"/>
    <w:link w:val="21"/>
    <w:qFormat/>
    <w:uiPriority w:val="0"/>
  </w:style>
  <w:style w:type="character" w:customStyle="1" w:styleId="335">
    <w:name w:val="正文文本缩进 2 Char2"/>
    <w:basedOn w:val="88"/>
    <w:link w:val="55"/>
    <w:qFormat/>
    <w:uiPriority w:val="0"/>
    <w:rPr>
      <w:rFonts w:ascii="黑体" w:eastAsia="黑体"/>
      <w:sz w:val="28"/>
    </w:rPr>
  </w:style>
  <w:style w:type="character" w:customStyle="1" w:styleId="336">
    <w:name w:val="文档结构图 Char2"/>
    <w:basedOn w:val="88"/>
    <w:link w:val="32"/>
    <w:qFormat/>
    <w:uiPriority w:val="0"/>
    <w:rPr>
      <w:sz w:val="28"/>
      <w:shd w:val="clear" w:color="auto" w:fill="000080"/>
    </w:rPr>
  </w:style>
  <w:style w:type="character" w:customStyle="1" w:styleId="337">
    <w:name w:val="正文文本缩进 Char3"/>
    <w:basedOn w:val="88"/>
    <w:semiHidden/>
    <w:qFormat/>
    <w:uiPriority w:val="99"/>
    <w:rPr>
      <w:rFonts w:ascii="Calibri" w:hAnsi="Calibri" w:eastAsia="宋体" w:cs="Times New Roman"/>
      <w:sz w:val="28"/>
      <w:szCs w:val="20"/>
    </w:rPr>
  </w:style>
  <w:style w:type="character" w:customStyle="1" w:styleId="338">
    <w:name w:val="宏文本 Char1"/>
    <w:basedOn w:val="88"/>
    <w:link w:val="20"/>
    <w:qFormat/>
    <w:uiPriority w:val="0"/>
    <w:rPr>
      <w:rFonts w:ascii="Courier New" w:hAnsi="Courier New"/>
      <w:sz w:val="24"/>
    </w:rPr>
  </w:style>
  <w:style w:type="character" w:customStyle="1" w:styleId="339">
    <w:name w:val="HTML 地址 Char1"/>
    <w:basedOn w:val="88"/>
    <w:link w:val="44"/>
    <w:qFormat/>
    <w:uiPriority w:val="0"/>
    <w:rPr>
      <w:i/>
    </w:rPr>
  </w:style>
  <w:style w:type="character" w:customStyle="1" w:styleId="340">
    <w:name w:val="正文首行缩进 Char2"/>
    <w:basedOn w:val="330"/>
    <w:link w:val="3"/>
    <w:qFormat/>
    <w:uiPriority w:val="0"/>
    <w:rPr>
      <w:rFonts w:ascii="等线" w:hAnsi="等线" w:eastAsia="等线" w:cs="Times New Roman"/>
      <w:sz w:val="28"/>
      <w:szCs w:val="20"/>
    </w:rPr>
  </w:style>
  <w:style w:type="character" w:customStyle="1" w:styleId="341">
    <w:name w:val="正文首行缩进 2 Char1"/>
    <w:basedOn w:val="337"/>
    <w:link w:val="60"/>
    <w:qFormat/>
    <w:uiPriority w:val="0"/>
    <w:rPr>
      <w:rFonts w:ascii="等线" w:hAnsi="等线" w:eastAsia="等线" w:cs="Times New Roman"/>
      <w:sz w:val="28"/>
      <w:szCs w:val="20"/>
    </w:rPr>
  </w:style>
  <w:style w:type="character" w:customStyle="1" w:styleId="342">
    <w:name w:val="标题 Char4"/>
    <w:basedOn w:val="88"/>
    <w:link w:val="87"/>
    <w:qFormat/>
    <w:uiPriority w:val="0"/>
    <w:rPr>
      <w:b/>
      <w:sz w:val="24"/>
      <w:lang w:val="en-GB"/>
    </w:rPr>
  </w:style>
  <w:style w:type="character" w:customStyle="1" w:styleId="343">
    <w:name w:val="批注框文本 Char2"/>
    <w:basedOn w:val="88"/>
    <w:link w:val="49"/>
    <w:qFormat/>
    <w:uiPriority w:val="99"/>
    <w:rPr>
      <w:sz w:val="18"/>
    </w:rPr>
  </w:style>
  <w:style w:type="character" w:customStyle="1" w:styleId="344">
    <w:name w:val="称呼 Char1"/>
    <w:basedOn w:val="88"/>
    <w:link w:val="35"/>
    <w:qFormat/>
    <w:uiPriority w:val="0"/>
    <w:rPr>
      <w:rFonts w:ascii="宋体"/>
      <w:sz w:val="28"/>
    </w:rPr>
  </w:style>
  <w:style w:type="character" w:customStyle="1" w:styleId="345">
    <w:name w:val="批注文字 Char2"/>
    <w:basedOn w:val="88"/>
    <w:semiHidden/>
    <w:qFormat/>
    <w:uiPriority w:val="99"/>
    <w:rPr>
      <w:rFonts w:ascii="Calibri" w:hAnsi="Calibri" w:eastAsia="宋体" w:cs="Times New Roman"/>
      <w:sz w:val="28"/>
      <w:szCs w:val="20"/>
    </w:rPr>
  </w:style>
  <w:style w:type="character" w:customStyle="1" w:styleId="346">
    <w:name w:val="正文文本缩进 3 Char2"/>
    <w:basedOn w:val="88"/>
    <w:link w:val="73"/>
    <w:qFormat/>
    <w:uiPriority w:val="0"/>
    <w:rPr>
      <w:sz w:val="28"/>
    </w:rPr>
  </w:style>
  <w:style w:type="character" w:customStyle="1" w:styleId="347">
    <w:name w:val="签名 Char1"/>
    <w:basedOn w:val="88"/>
    <w:link w:val="62"/>
    <w:qFormat/>
    <w:uiPriority w:val="0"/>
  </w:style>
  <w:style w:type="character" w:customStyle="1" w:styleId="348">
    <w:name w:val="正文文本 3 Char2"/>
    <w:basedOn w:val="88"/>
    <w:link w:val="36"/>
    <w:qFormat/>
    <w:uiPriority w:val="0"/>
    <w:rPr>
      <w:sz w:val="16"/>
    </w:rPr>
  </w:style>
  <w:style w:type="character" w:customStyle="1" w:styleId="349">
    <w:name w:val="副标题 Char2"/>
    <w:basedOn w:val="88"/>
    <w:link w:val="68"/>
    <w:qFormat/>
    <w:uiPriority w:val="0"/>
    <w:rPr>
      <w:rFonts w:ascii="Cambria" w:hAnsi="Cambria"/>
      <w:b/>
      <w:kern w:val="28"/>
      <w:sz w:val="32"/>
    </w:rPr>
  </w:style>
  <w:style w:type="character" w:customStyle="1" w:styleId="350">
    <w:name w:val="脚注文本 Char2"/>
    <w:basedOn w:val="88"/>
    <w:link w:val="71"/>
    <w:qFormat/>
    <w:uiPriority w:val="0"/>
    <w:rPr>
      <w:sz w:val="18"/>
    </w:rPr>
  </w:style>
  <w:style w:type="character" w:customStyle="1" w:styleId="351">
    <w:name w:val="信息标题 Char1"/>
    <w:basedOn w:val="88"/>
    <w:link w:val="82"/>
    <w:qFormat/>
    <w:uiPriority w:val="0"/>
    <w:rPr>
      <w:rFonts w:ascii="Arial" w:hAnsi="Arial"/>
      <w:sz w:val="24"/>
      <w:shd w:val="pct20" w:color="auto" w:fill="auto"/>
    </w:rPr>
  </w:style>
  <w:style w:type="character" w:customStyle="1" w:styleId="352">
    <w:name w:val="HTML 预设格式 Char3"/>
    <w:basedOn w:val="88"/>
    <w:link w:val="83"/>
    <w:qFormat/>
    <w:uiPriority w:val="0"/>
    <w:rPr>
      <w:rFonts w:ascii="黑体" w:hAnsi="Courier New" w:eastAsia="黑体"/>
    </w:rPr>
  </w:style>
  <w:style w:type="character" w:customStyle="1" w:styleId="353">
    <w:name w:val="批注主题 Char2"/>
    <w:basedOn w:val="345"/>
    <w:link w:val="15"/>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26"/>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88"/>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88"/>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7"/>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32"/>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12">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8"/>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71"/>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32"/>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34"/>
    <w:pPr>
      <w:ind w:firstLine="420"/>
    </w:pPr>
    <w:rPr>
      <w:rFonts w:ascii="Times New Roman" w:hAnsi="Times New Roman" w:cs="Times New Roman"/>
    </w:rPr>
  </w:style>
  <w:style w:type="paragraph" w:customStyle="1" w:styleId="618">
    <w:name w:val="列表段落1"/>
    <w:basedOn w:val="1"/>
    <w:qFormat/>
    <w:uiPriority w:val="34"/>
    <w:pPr>
      <w:ind w:firstLine="420"/>
    </w:pPr>
    <w:rPr>
      <w:rFonts w:ascii="Times New Roman" w:hAnsi="Times New Roman"/>
    </w:rPr>
  </w:style>
  <w:style w:type="paragraph" w:customStyle="1" w:styleId="619">
    <w:name w:val="正文_9"/>
    <w:next w:val="62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0">
    <w:name w:val="文本块_3"/>
    <w:basedOn w:val="619"/>
    <w:qFormat/>
    <w:uiPriority w:val="0"/>
    <w:pPr>
      <w:adjustRightInd w:val="0"/>
      <w:snapToGrid w:val="0"/>
      <w:spacing w:line="300" w:lineRule="auto"/>
      <w:ind w:left="958" w:right="-120" w:rightChars="-120"/>
      <w:jc w:val="left"/>
    </w:pPr>
    <w:rPr>
      <w:rFonts w:hint="eastAsia" w:ascii="宋体" w:hAnsi="宋体"/>
      <w:sz w:val="28"/>
      <w:szCs w:val="20"/>
    </w:rPr>
  </w:style>
  <w:style w:type="character" w:customStyle="1" w:styleId="621">
    <w:name w:val="fontstyle01"/>
    <w:basedOn w:val="88"/>
    <w:qFormat/>
    <w:uiPriority w:val="0"/>
    <w:rPr>
      <w:rFonts w:hint="eastAsia" w:ascii="宋体" w:hAnsi="宋体" w:eastAsia="宋体"/>
      <w:color w:val="000000"/>
      <w:sz w:val="22"/>
      <w:szCs w:val="22"/>
    </w:rPr>
  </w:style>
  <w:style w:type="paragraph" w:customStyle="1" w:styleId="622">
    <w:name w:val="toc 11"/>
    <w:next w:val="1"/>
    <w:qFormat/>
    <w:uiPriority w:val="0"/>
    <w:pPr>
      <w:wordWrap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38155</Words>
  <Characters>39919</Characters>
  <Lines>299</Lines>
  <Paragraphs>84</Paragraphs>
  <ScaleCrop>false</ScaleCrop>
  <LinksUpToDate>false</LinksUpToDate>
  <CharactersWithSpaces>41525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2024-11-21T06:29:00Z</cp:lastPrinted>
  <dcterms:modified xsi:type="dcterms:W3CDTF">2025-03-03T07:37:06Z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y fmtid="{D5CDD505-2E9C-101B-9397-08002B2CF9AE}" pid="5" name="KSOTemplateDocerSaveRecord">
    <vt:lpwstr>eyJoZGlkIjoiMjFiY2U5MmFkMzQxYzE1ZWUwNjFiMDFjOWFjOTZkYzEiLCJ1c2VySWQiOiIzOTY3OTQ2OTcifQ==</vt:lpwstr>
  </property>
</Properties>
</file>