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r>
        <w:rPr>
          <w:rFonts w:hint="eastAsia" w:ascii="仿宋" w:hAnsi="仿宋" w:eastAsia="仿宋" w:cs="仿宋_GB2312"/>
          <w:b/>
          <w:sz w:val="24"/>
        </w:rPr>
        <w:t xml:space="preserve"> </w:t>
      </w: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2025年江山市公共绿地养护采购项目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ascii="仿宋" w:hAnsi="仿宋" w:eastAsia="仿宋"/>
        </w:rPr>
        <w:t xml:space="preserve"> </w:t>
      </w:r>
      <w:r>
        <w:rPr>
          <w:rFonts w:ascii="仿宋" w:hAnsi="仿宋" w:eastAsia="仿宋" w:cs="仿宋_GB2312"/>
          <w:sz w:val="30"/>
          <w:szCs w:val="30"/>
        </w:rPr>
        <w:t>ZJZZ-ZFCG-202</w:t>
      </w:r>
      <w:r>
        <w:rPr>
          <w:rFonts w:hint="eastAsia" w:ascii="仿宋" w:hAnsi="仿宋" w:eastAsia="仿宋" w:cs="仿宋_GB2312"/>
          <w:sz w:val="30"/>
          <w:szCs w:val="30"/>
        </w:rPr>
        <w:t>4</w:t>
      </w:r>
      <w:r>
        <w:rPr>
          <w:rFonts w:ascii="仿宋" w:hAnsi="仿宋" w:eastAsia="仿宋" w:cs="仿宋_GB2312"/>
          <w:sz w:val="30"/>
          <w:szCs w:val="30"/>
        </w:rPr>
        <w:t>-</w:t>
      </w:r>
      <w:r>
        <w:rPr>
          <w:rFonts w:hint="eastAsia" w:ascii="仿宋" w:hAnsi="仿宋" w:eastAsia="仿宋" w:cs="仿宋_GB2312"/>
          <w:sz w:val="30"/>
          <w:szCs w:val="30"/>
        </w:rPr>
        <w:t>0427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江山市园林管理处</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浙江中正工程项目管理有限公司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宋体"/>
          <w:bCs/>
          <w:sz w:val="32"/>
          <w:szCs w:val="32"/>
        </w:rPr>
        <w:t>四</w:t>
      </w:r>
      <w:r>
        <w:rPr>
          <w:rFonts w:hint="eastAsia" w:ascii="仿宋" w:hAnsi="仿宋" w:eastAsia="仿宋" w:cs="仿宋_GB2312"/>
          <w:bCs/>
          <w:sz w:val="32"/>
          <w:szCs w:val="32"/>
        </w:rPr>
        <w:t>年十一月</w:t>
      </w:r>
      <w:r>
        <w:rPr>
          <w:rFonts w:hint="eastAsia" w:ascii="仿宋" w:hAnsi="仿宋" w:eastAsia="仿宋" w:cs="仿宋_GB2312"/>
          <w:bCs/>
          <w:sz w:val="32"/>
          <w:szCs w:val="32"/>
          <w:lang w:eastAsia="zh-CN"/>
        </w:rPr>
        <w:t>二十九</w:t>
      </w:r>
      <w:r>
        <w:rPr>
          <w:rFonts w:hint="eastAsia" w:ascii="仿宋" w:hAnsi="仿宋" w:eastAsia="仿宋"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rPr>
      </w:pPr>
      <w:r>
        <w:rPr>
          <w:rFonts w:ascii="仿宋" w:hAnsi="仿宋" w:eastAsia="仿宋" w:cs="仿宋_GB2312"/>
          <w:sz w:val="48"/>
          <w:szCs w:val="48"/>
        </w:rPr>
        <w:t>目</w:t>
      </w:r>
      <w:r>
        <w:rPr>
          <w:rFonts w:hint="eastAsia" w:ascii="仿宋" w:hAnsi="仿宋" w:eastAsia="仿宋" w:cs="仿宋_GB2312"/>
          <w:sz w:val="48"/>
          <w:szCs w:val="48"/>
        </w:rPr>
        <w:t xml:space="preserve"> </w:t>
      </w:r>
      <w:r>
        <w:rPr>
          <w:rFonts w:ascii="仿宋" w:hAnsi="仿宋" w:eastAsia="仿宋" w:cs="仿宋_GB2312"/>
          <w:sz w:val="48"/>
          <w:szCs w:val="48"/>
        </w:rPr>
        <w:t>录</w:t>
      </w:r>
      <w:r>
        <w:rPr>
          <w:rFonts w:ascii="仿宋" w:hAnsi="仿宋" w:eastAsia="仿宋" w:cs="仿宋_GB2312"/>
          <w:sz w:val="48"/>
          <w:szCs w:val="48"/>
        </w:rPr>
        <w:fldChar w:fldCharType="begin"/>
      </w:r>
      <w:r>
        <w:rPr>
          <w:rFonts w:ascii="仿宋" w:hAnsi="仿宋" w:eastAsia="仿宋" w:cs="仿宋_GB2312"/>
          <w:sz w:val="48"/>
          <w:szCs w:val="48"/>
        </w:rPr>
        <w:instrText xml:space="preserve"> TOC \o "1-3" \h \z \u </w:instrText>
      </w:r>
      <w:r>
        <w:rPr>
          <w:rFonts w:ascii="仿宋" w:hAnsi="仿宋" w:eastAsia="仿宋" w:cs="仿宋_GB2312"/>
          <w:sz w:val="48"/>
          <w:szCs w:val="48"/>
        </w:rPr>
        <w:fldChar w:fldCharType="separate"/>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"_Toc102563652" </w:instrText>
      </w:r>
      <w:r>
        <w:fldChar w:fldCharType="separate"/>
      </w:r>
      <w:r>
        <w:rPr>
          <w:rStyle w:val="76"/>
          <w:rFonts w:hint="eastAsia" w:ascii="仿宋" w:hAnsi="仿宋" w:eastAsia="仿宋" w:cs="仿宋_GB2312"/>
          <w:b/>
          <w:sz w:val="28"/>
          <w:szCs w:val="28"/>
        </w:rPr>
        <w:t>第一部分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招标公告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_Toc102563652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"_Toc102563653" </w:instrText>
      </w:r>
      <w:r>
        <w:fldChar w:fldCharType="separate"/>
      </w:r>
      <w:r>
        <w:rPr>
          <w:rStyle w:val="76"/>
          <w:rFonts w:hint="eastAsia" w:ascii="仿宋" w:hAnsi="仿宋" w:eastAsia="仿宋" w:cs="仿宋_GB2312"/>
          <w:b/>
          <w:sz w:val="28"/>
          <w:szCs w:val="28"/>
        </w:rPr>
        <w:t>第二部分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投标人须知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_Toc102563653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"_Toc102563662" </w:instrText>
      </w:r>
      <w:r>
        <w:fldChar w:fldCharType="separate"/>
      </w:r>
      <w:r>
        <w:rPr>
          <w:rStyle w:val="76"/>
          <w:rFonts w:hint="eastAsia" w:ascii="仿宋" w:hAnsi="仿宋" w:eastAsia="仿宋" w:cs="仿宋_GB2312"/>
          <w:b/>
          <w:sz w:val="28"/>
          <w:szCs w:val="28"/>
        </w:rPr>
        <w:t>第三部分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采购需求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_Toc102563662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"_Toc102563663" </w:instrText>
      </w:r>
      <w:r>
        <w:fldChar w:fldCharType="separate"/>
      </w:r>
      <w:r>
        <w:rPr>
          <w:rStyle w:val="76"/>
          <w:rFonts w:hint="eastAsia" w:ascii="仿宋" w:hAnsi="仿宋" w:eastAsia="仿宋" w:cs="仿宋_GB2312"/>
          <w:b/>
          <w:sz w:val="28"/>
          <w:szCs w:val="28"/>
        </w:rPr>
        <w:t>第四部分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评标办法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_Toc102563663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"_Toc102563665" </w:instrText>
      </w:r>
      <w:r>
        <w:fldChar w:fldCharType="separate"/>
      </w:r>
      <w:r>
        <w:rPr>
          <w:rStyle w:val="76"/>
          <w:rFonts w:hint="eastAsia" w:ascii="仿宋" w:hAnsi="仿宋" w:eastAsia="仿宋" w:cs="仿宋_GB2312"/>
          <w:b/>
          <w:sz w:val="28"/>
          <w:szCs w:val="28"/>
        </w:rPr>
        <w:t>第五部分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拟签订的合同文本</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_Toc102563665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8269"/>
        </w:tabs>
        <w:spacing w:line="360" w:lineRule="auto"/>
        <w:rPr>
          <w:rFonts w:ascii="仿宋" w:hAnsi="仿宋" w:eastAsia="仿宋" w:cstheme="minorBidi"/>
          <w:sz w:val="28"/>
          <w:szCs w:val="28"/>
        </w:rPr>
      </w:pPr>
      <w:r>
        <w:fldChar w:fldCharType="begin"/>
      </w:r>
      <w:r>
        <w:instrText xml:space="preserve"> HYPERLINK \l "_Toc102563696" </w:instrText>
      </w:r>
      <w:r>
        <w:fldChar w:fldCharType="separate"/>
      </w:r>
      <w:r>
        <w:rPr>
          <w:rStyle w:val="76"/>
          <w:rFonts w:hint="eastAsia" w:ascii="仿宋" w:hAnsi="仿宋" w:eastAsia="仿宋" w:cs="仿宋_GB2312"/>
          <w:b/>
          <w:sz w:val="28"/>
          <w:szCs w:val="28"/>
        </w:rPr>
        <w:t>第六部分</w:t>
      </w:r>
      <w:r>
        <w:rPr>
          <w:rStyle w:val="76"/>
          <w:rFonts w:ascii="仿宋" w:hAnsi="仿宋" w:eastAsia="仿宋" w:cs="仿宋_GB2312"/>
          <w:b/>
          <w:sz w:val="28"/>
          <w:szCs w:val="28"/>
        </w:rPr>
        <w:t xml:space="preserve"> </w:t>
      </w:r>
      <w:r>
        <w:rPr>
          <w:rStyle w:val="76"/>
          <w:rFonts w:hint="eastAsia" w:ascii="仿宋" w:hAnsi="仿宋" w:eastAsia="仿宋" w:cs="仿宋_GB2312"/>
          <w:b/>
          <w:sz w:val="28"/>
          <w:szCs w:val="28"/>
        </w:rPr>
        <w:t>应提交的有关格式范例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_Toc102563696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spacing w:line="360" w:lineRule="auto"/>
        <w:ind w:firstLine="1920" w:firstLineChars="400"/>
        <w:rPr>
          <w:rFonts w:ascii="仿宋" w:hAnsi="仿宋" w:eastAsia="仿宋" w:cs="仿宋_GB2312"/>
          <w:sz w:val="32"/>
          <w:szCs w:val="32"/>
        </w:rPr>
      </w:pPr>
      <w:r>
        <w:rPr>
          <w:rFonts w:ascii="仿宋" w:hAnsi="仿宋" w:eastAsia="仿宋" w:cs="仿宋_GB2312"/>
          <w:sz w:val="48"/>
          <w:szCs w:val="48"/>
        </w:rPr>
        <w:fldChar w:fldCharType="end"/>
      </w:r>
    </w:p>
    <w:p>
      <w:pPr>
        <w:spacing w:line="360" w:lineRule="auto"/>
        <w:ind w:firstLine="1280" w:firstLineChars="400"/>
        <w:rPr>
          <w:rFonts w:ascii="仿宋" w:hAnsi="仿宋" w:eastAsia="仿宋" w:cs="仿宋_GB2312"/>
          <w:sz w:val="32"/>
          <w:szCs w:val="32"/>
        </w:rPr>
      </w:pPr>
    </w:p>
    <w:p>
      <w:pPr>
        <w:spacing w:line="360" w:lineRule="auto"/>
        <w:ind w:firstLine="549" w:firstLineChars="229"/>
        <w:rPr>
          <w:rFonts w:ascii="仿宋" w:hAnsi="仿宋" w:eastAsia="仿宋" w:cs="仿宋_GB2312"/>
          <w:sz w:val="24"/>
        </w:rPr>
      </w:pPr>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_Toc95232830"/>
      <w:bookmarkStart w:id="8" w:name="_Toc95295188"/>
      <w:bookmarkStart w:id="9" w:name="_Toc95295942"/>
      <w:bookmarkStart w:id="10" w:name="_Toc95296618"/>
      <w:bookmarkStart w:id="11" w:name="_Toc95296747"/>
      <w:bookmarkStart w:id="12" w:name="_Toc102563652"/>
      <w:bookmarkStart w:id="13" w:name="_Toc102563859"/>
      <w:bookmarkStart w:id="14" w:name="_Toc102563929"/>
      <w:bookmarkStart w:id="15" w:name="_Toc102563997"/>
      <w:bookmarkStart w:id="16" w:name="_Toc102565145"/>
      <w:bookmarkStart w:id="17" w:name="第二部分"/>
      <w:bookmarkStart w:id="18" w:name="_Toc91899870"/>
      <w:bookmarkStart w:id="1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bookmarkEnd w:id="7"/>
      <w:bookmarkEnd w:id="8"/>
      <w:bookmarkEnd w:id="9"/>
      <w:bookmarkEnd w:id="10"/>
      <w:bookmarkEnd w:id="11"/>
      <w:bookmarkEnd w:id="12"/>
      <w:bookmarkEnd w:id="13"/>
      <w:bookmarkEnd w:id="14"/>
      <w:bookmarkEnd w:id="15"/>
      <w:bookmarkEnd w:id="1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rPr>
        <w:t>2025年江山市公共绿地养护采购项目</w:t>
      </w:r>
      <w:r>
        <w:rPr>
          <w:rFonts w:hint="eastAsia" w:ascii="仿宋" w:hAnsi="仿宋" w:eastAsia="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 w:hAnsi="仿宋" w:eastAsia="仿宋" w:cs="Times New Roman"/>
          <w:snapToGrid/>
          <w:color w:val="auto"/>
          <w:kern w:val="2"/>
          <w:sz w:val="24"/>
          <w:szCs w:val="24"/>
        </w:rPr>
        <w:t>https://www.zcygov.cn/）获取（下载）招标文件，并于</w:t>
      </w:r>
      <w:r>
        <w:rPr>
          <w:rFonts w:hint="eastAsia" w:ascii="仿宋" w:hAnsi="仿宋" w:eastAsia="仿宋"/>
          <w:sz w:val="24"/>
          <w:u w:val="single"/>
        </w:rPr>
        <w:t>202</w:t>
      </w:r>
      <w:r>
        <w:rPr>
          <w:rFonts w:hint="eastAsia" w:ascii="仿宋" w:hAnsi="仿宋" w:eastAsia="仿宋"/>
          <w:sz w:val="24"/>
          <w:u w:val="single"/>
          <w:lang w:val="en-US" w:eastAsia="zh-CN"/>
        </w:rPr>
        <w:t>4</w:t>
      </w:r>
      <w:r>
        <w:rPr>
          <w:rFonts w:ascii="仿宋" w:hAnsi="仿宋" w:eastAsia="仿宋"/>
          <w:sz w:val="24"/>
          <w:u w:val="single"/>
        </w:rPr>
        <w:t>年</w:t>
      </w:r>
      <w:r>
        <w:rPr>
          <w:rFonts w:hint="eastAsia" w:ascii="仿宋" w:hAnsi="仿宋" w:eastAsia="仿宋"/>
          <w:sz w:val="24"/>
          <w:u w:val="single"/>
          <w:lang w:val="en-US" w:eastAsia="zh-CN"/>
        </w:rPr>
        <w:t>12</w:t>
      </w:r>
      <w:r>
        <w:rPr>
          <w:rFonts w:hint="eastAsia" w:ascii="仿宋" w:hAnsi="仿宋" w:eastAsia="仿宋"/>
          <w:sz w:val="24"/>
          <w:u w:val="single"/>
        </w:rPr>
        <w:t xml:space="preserve"> 月 </w:t>
      </w:r>
      <w:r>
        <w:rPr>
          <w:rFonts w:hint="eastAsia" w:ascii="仿宋" w:hAnsi="仿宋" w:eastAsia="仿宋"/>
          <w:sz w:val="24"/>
          <w:u w:val="single"/>
          <w:lang w:val="en-US" w:eastAsia="zh-CN"/>
        </w:rPr>
        <w:t>20</w:t>
      </w:r>
      <w:r>
        <w:rPr>
          <w:rFonts w:hint="eastAsia" w:ascii="仿宋" w:hAnsi="仿宋" w:eastAsia="仿宋"/>
          <w:sz w:val="24"/>
          <w:u w:val="single"/>
        </w:rPr>
        <w:t>日</w:t>
      </w:r>
      <w:r>
        <w:rPr>
          <w:rFonts w:hint="eastAsia" w:ascii="仿宋" w:hAnsi="仿宋" w:eastAsia="仿宋"/>
          <w:sz w:val="24"/>
          <w:u w:val="single"/>
          <w:lang w:val="en-US" w:eastAsia="zh-CN"/>
        </w:rPr>
        <w:t>9</w:t>
      </w:r>
      <w:r>
        <w:rPr>
          <w:rFonts w:hint="eastAsia" w:ascii="仿宋" w:hAnsi="仿宋" w:eastAsia="仿宋"/>
          <w:sz w:val="24"/>
          <w:u w:val="single"/>
        </w:rPr>
        <w:t>点</w:t>
      </w:r>
      <w:r>
        <w:rPr>
          <w:rFonts w:hint="eastAsia" w:ascii="仿宋" w:hAnsi="仿宋" w:eastAsia="仿宋"/>
          <w:sz w:val="24"/>
          <w:u w:val="single"/>
          <w:lang w:val="en-US" w:eastAsia="zh-CN"/>
        </w:rPr>
        <w:t>00</w:t>
      </w:r>
      <w:r>
        <w:rPr>
          <w:rFonts w:hint="eastAsia" w:ascii="仿宋" w:hAnsi="仿宋" w:eastAsia="仿宋"/>
          <w:sz w:val="24"/>
          <w:u w:val="single"/>
        </w:rPr>
        <w:t xml:space="preserve"> 分</w:t>
      </w:r>
      <w:r>
        <w:rPr>
          <w:rFonts w:hint="eastAsia" w:ascii="仿宋" w:hAnsi="仿宋" w:eastAsia="仿宋"/>
          <w:bCs/>
          <w:sz w:val="24"/>
          <w:u w:val="single"/>
        </w:rPr>
        <w:t>00秒</w:t>
      </w:r>
      <w:r>
        <w:rPr>
          <w:rFonts w:hint="eastAsia" w:ascii="仿宋" w:hAnsi="仿宋" w:eastAsia="仿宋"/>
          <w:bCs/>
          <w:sz w:val="24"/>
          <w:u w:val="single"/>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pStyle w:val="255"/>
        <w:numPr>
          <w:ilvl w:val="0"/>
          <w:numId w:val="1"/>
        </w:numPr>
        <w:ind w:firstLineChars="0"/>
        <w:rPr>
          <w:rFonts w:ascii="仿宋" w:hAnsi="仿宋" w:eastAsia="仿宋"/>
          <w:b/>
        </w:rPr>
      </w:pPr>
      <w:r>
        <w:rPr>
          <w:rFonts w:hint="eastAsia" w:ascii="仿宋" w:hAnsi="仿宋" w:eastAsia="仿宋"/>
          <w:b/>
        </w:rPr>
        <w:t>招标公告发布前事项：</w:t>
      </w:r>
    </w:p>
    <w:p>
      <w:pPr>
        <w:pStyle w:val="255"/>
        <w:ind w:left="720" w:firstLine="0" w:firstLineChars="0"/>
        <w:rPr>
          <w:rFonts w:ascii="仿宋" w:hAnsi="仿宋" w:eastAsia="仿宋"/>
        </w:rPr>
      </w:pPr>
      <w:r>
        <w:rPr>
          <w:rFonts w:hint="eastAsia" w:ascii="仿宋" w:hAnsi="仿宋" w:eastAsia="仿宋"/>
        </w:rPr>
        <w:t>1、意向公开的发布链接:</w:t>
      </w:r>
      <w:r>
        <w:t xml:space="preserve"> </w:t>
      </w:r>
      <w:r>
        <w:rPr>
          <w:rFonts w:ascii="仿宋" w:hAnsi="仿宋" w:eastAsia="仿宋"/>
          <w:u w:val="single"/>
        </w:rPr>
        <w:t>https://zfcg.czt.zj.gov.cn/site/detail?categoryCode=ZcyAnnouncement&amp;parentId=600007&amp;articleId=DsHwfmg7eKingUXvvIBGzw==</w:t>
      </w:r>
      <w:r>
        <w:rPr>
          <w:rFonts w:hint="eastAsia" w:ascii="仿宋" w:hAnsi="仿宋" w:eastAsia="仿宋"/>
        </w:rPr>
        <w:t>。</w:t>
      </w:r>
    </w:p>
    <w:p>
      <w:pPr>
        <w:pStyle w:val="255"/>
        <w:numPr>
          <w:ilvl w:val="0"/>
          <w:numId w:val="1"/>
        </w:numPr>
        <w:ind w:firstLineChars="0"/>
        <w:rPr>
          <w:rFonts w:ascii="仿宋" w:hAnsi="仿宋" w:eastAsia="仿宋"/>
          <w:b/>
        </w:rPr>
      </w:pPr>
      <w:r>
        <w:rPr>
          <w:rFonts w:hint="eastAsia" w:ascii="仿宋" w:hAnsi="仿宋" w:eastAsia="仿宋"/>
          <w:b/>
        </w:rPr>
        <w:t>项目基本情况</w:t>
      </w:r>
      <w:r>
        <w:rPr>
          <w:rFonts w:ascii="仿宋" w:hAnsi="仿宋" w:eastAsia="仿宋"/>
          <w:b/>
        </w:rPr>
        <w:t xml:space="preserve">                                            </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b/>
          <w:sz w:val="24"/>
        </w:rPr>
        <w:t>项目编号：</w:t>
      </w:r>
      <w:r>
        <w:rPr>
          <w:rFonts w:ascii="仿宋" w:hAnsi="仿宋" w:eastAsia="仿宋" w:cs="仿宋_GB2312"/>
          <w:sz w:val="24"/>
        </w:rPr>
        <w:t>ZJZZ-ZFCG-202</w:t>
      </w:r>
      <w:r>
        <w:rPr>
          <w:rFonts w:hint="eastAsia" w:ascii="仿宋" w:hAnsi="仿宋" w:eastAsia="仿宋" w:cs="仿宋_GB2312"/>
          <w:sz w:val="24"/>
        </w:rPr>
        <w:t>4</w:t>
      </w:r>
      <w:r>
        <w:rPr>
          <w:rFonts w:ascii="仿宋" w:hAnsi="仿宋" w:eastAsia="仿宋" w:cs="仿宋_GB2312"/>
          <w:sz w:val="24"/>
        </w:rPr>
        <w:t>-</w:t>
      </w:r>
      <w:r>
        <w:rPr>
          <w:rFonts w:hint="eastAsia" w:ascii="仿宋" w:hAnsi="仿宋" w:eastAsia="仿宋" w:cs="仿宋_GB2312"/>
          <w:sz w:val="24"/>
        </w:rPr>
        <w:t>0427</w:t>
      </w:r>
    </w:p>
    <w:p>
      <w:pPr>
        <w:spacing w:line="360" w:lineRule="auto"/>
        <w:rPr>
          <w:rFonts w:ascii="仿宋" w:hAnsi="仿宋" w:eastAsia="仿宋"/>
          <w:sz w:val="24"/>
        </w:rPr>
      </w:pPr>
      <w:r>
        <w:rPr>
          <w:rFonts w:ascii="仿宋" w:hAnsi="仿宋" w:eastAsia="仿宋"/>
          <w:sz w:val="24"/>
        </w:rPr>
        <w:t xml:space="preserve">   </w:t>
      </w:r>
      <w:r>
        <w:rPr>
          <w:rFonts w:ascii="仿宋" w:hAnsi="仿宋" w:eastAsia="仿宋"/>
          <w:b/>
          <w:sz w:val="24"/>
        </w:rPr>
        <w:t xml:space="preserve"> 项目名称：</w:t>
      </w:r>
      <w:r>
        <w:rPr>
          <w:rFonts w:hint="eastAsia" w:ascii="仿宋" w:hAnsi="仿宋" w:eastAsia="仿宋" w:cs="仿宋_GB2312"/>
          <w:sz w:val="24"/>
        </w:rPr>
        <w:t>2025年江山市公共绿地养护采购项目</w:t>
      </w:r>
    </w:p>
    <w:p>
      <w:pPr>
        <w:spacing w:line="360" w:lineRule="auto"/>
        <w:rPr>
          <w:rFonts w:ascii="仿宋" w:hAnsi="仿宋" w:eastAsia="仿宋"/>
          <w:sz w:val="24"/>
        </w:rPr>
      </w:pPr>
      <w:r>
        <w:rPr>
          <w:rFonts w:ascii="仿宋" w:hAnsi="仿宋" w:eastAsia="仿宋"/>
          <w:sz w:val="24"/>
        </w:rPr>
        <w:t xml:space="preserve">   </w:t>
      </w:r>
      <w:r>
        <w:rPr>
          <w:rFonts w:ascii="仿宋" w:hAnsi="仿宋" w:eastAsia="仿宋"/>
          <w:b/>
          <w:sz w:val="24"/>
        </w:rPr>
        <w:t xml:space="preserve"> 预算金额（元）：17999875.25</w:t>
      </w:r>
      <w:r>
        <w:rPr>
          <w:rFonts w:hint="eastAsia" w:ascii="仿宋" w:hAnsi="仿宋" w:eastAsia="仿宋"/>
          <w:sz w:val="24"/>
        </w:rPr>
        <w:t xml:space="preserve"> </w:t>
      </w:r>
    </w:p>
    <w:p>
      <w:pPr>
        <w:spacing w:line="360" w:lineRule="auto"/>
        <w:ind w:firstLine="480"/>
        <w:rPr>
          <w:rFonts w:ascii="仿宋" w:hAnsi="仿宋" w:eastAsia="仿宋"/>
          <w:sz w:val="24"/>
        </w:rPr>
      </w:pPr>
      <w:r>
        <w:rPr>
          <w:rFonts w:hint="eastAsia" w:ascii="仿宋" w:hAnsi="仿宋" w:eastAsia="仿宋"/>
          <w:b/>
          <w:sz w:val="24"/>
        </w:rPr>
        <w:t>最高限价（元）：</w:t>
      </w:r>
      <w:r>
        <w:rPr>
          <w:rFonts w:ascii="仿宋" w:hAnsi="仿宋" w:eastAsia="仿宋"/>
          <w:sz w:val="24"/>
        </w:rPr>
        <w:t xml:space="preserve"> </w:t>
      </w:r>
      <w:r>
        <w:rPr>
          <w:rFonts w:hint="eastAsia" w:ascii="仿宋" w:hAnsi="仿宋" w:eastAsia="仿宋"/>
          <w:sz w:val="24"/>
        </w:rPr>
        <w:t xml:space="preserve"> /</w:t>
      </w:r>
    </w:p>
    <w:p>
      <w:pPr>
        <w:pStyle w:val="5"/>
        <w:spacing w:line="360" w:lineRule="auto"/>
        <w:ind w:firstLine="480"/>
        <w:rPr>
          <w:rFonts w:ascii="仿宋" w:hAnsi="仿宋" w:eastAsia="仿宋"/>
          <w:bCs/>
          <w:snapToGrid/>
          <w:color w:val="auto"/>
          <w:kern w:val="2"/>
          <w:sz w:val="24"/>
          <w:szCs w:val="24"/>
        </w:rPr>
      </w:pPr>
      <w:bookmarkStart w:id="20" w:name="_Toc98078972"/>
      <w:r>
        <w:rPr>
          <w:rFonts w:hint="eastAsia" w:ascii="仿宋" w:hAnsi="仿宋" w:eastAsia="仿宋"/>
          <w:b/>
          <w:color w:val="auto"/>
          <w:sz w:val="24"/>
        </w:rPr>
        <w:t>采购需求：</w:t>
      </w:r>
      <w:r>
        <w:rPr>
          <w:rFonts w:hint="eastAsia" w:ascii="仿宋" w:hAnsi="仿宋" w:eastAsia="仿宋"/>
          <w:bCs/>
          <w:snapToGrid/>
          <w:color w:val="auto"/>
          <w:kern w:val="2"/>
          <w:sz w:val="24"/>
          <w:szCs w:val="24"/>
        </w:rPr>
        <w:t>2025年江山市公共绿地养护采购项目，主要内容：2025年江山市公共绿地养护采购项目</w:t>
      </w:r>
      <w:r>
        <w:rPr>
          <w:rFonts w:ascii="仿宋" w:hAnsi="仿宋" w:eastAsia="仿宋"/>
          <w:bCs/>
          <w:snapToGrid/>
          <w:color w:val="auto"/>
          <w:kern w:val="2"/>
          <w:sz w:val="24"/>
          <w:szCs w:val="24"/>
        </w:rPr>
        <w:t>。</w:t>
      </w:r>
      <w:r>
        <w:rPr>
          <w:rFonts w:hint="eastAsia" w:ascii="仿宋" w:hAnsi="仿宋" w:eastAsia="仿宋"/>
          <w:bCs/>
          <w:snapToGrid/>
          <w:color w:val="auto"/>
          <w:kern w:val="2"/>
          <w:sz w:val="24"/>
          <w:szCs w:val="24"/>
        </w:rPr>
        <w:t>详见招标文件第三部分采购需求。</w:t>
      </w:r>
    </w:p>
    <w:p>
      <w:pPr>
        <w:pStyle w:val="5"/>
        <w:spacing w:line="360" w:lineRule="auto"/>
        <w:ind w:firstLine="480"/>
        <w:rPr>
          <w:rFonts w:ascii="仿宋" w:hAnsi="仿宋" w:eastAsiaTheme="minorEastAsia"/>
          <w:sz w:val="27"/>
          <w:szCs w:val="27"/>
        </w:rPr>
      </w:pPr>
      <w:r>
        <w:rPr>
          <w:rFonts w:ascii="仿宋_GB2312" w:hAnsi="仿宋" w:eastAsia="仿宋_GB2312"/>
          <w:b/>
          <w:color w:val="auto"/>
          <w:sz w:val="24"/>
        </w:rPr>
        <w:t>标项名称：</w:t>
      </w:r>
      <w:r>
        <w:rPr>
          <w:rFonts w:hint="eastAsia" w:ascii="仿宋_GB2312" w:hAnsi="仿宋" w:eastAsia="仿宋_GB2312"/>
          <w:bCs/>
          <w:snapToGrid/>
          <w:color w:val="auto"/>
          <w:kern w:val="2"/>
          <w:sz w:val="24"/>
          <w:szCs w:val="24"/>
        </w:rPr>
        <w:t>标项一</w:t>
      </w:r>
    </w:p>
    <w:p>
      <w:pPr>
        <w:pStyle w:val="5"/>
        <w:spacing w:line="360" w:lineRule="auto"/>
        <w:ind w:firstLine="480"/>
        <w:rPr>
          <w:rFonts w:ascii="仿宋" w:hAnsi="仿宋"/>
          <w:sz w:val="27"/>
          <w:szCs w:val="27"/>
        </w:rPr>
      </w:pPr>
      <w:r>
        <w:rPr>
          <w:rFonts w:ascii="仿宋_GB2312" w:hAnsi="仿宋" w:eastAsia="仿宋_GB2312"/>
          <w:b/>
          <w:color w:val="auto"/>
          <w:sz w:val="24"/>
        </w:rPr>
        <w:t>数量：</w:t>
      </w:r>
      <w:r>
        <w:rPr>
          <w:rFonts w:hint="eastAsia" w:ascii="仿宋_GB2312" w:eastAsia="仿宋_GB2312"/>
          <w:bCs/>
          <w:snapToGrid/>
          <w:color w:val="auto"/>
          <w:kern w:val="2"/>
          <w:sz w:val="24"/>
          <w:szCs w:val="24"/>
        </w:rPr>
        <w:t>不限</w:t>
      </w:r>
      <w:r>
        <w:rPr>
          <w:rFonts w:hint="eastAsia" w:hAnsi="宋体" w:cs="宋体"/>
          <w:bCs/>
          <w:snapToGrid/>
          <w:color w:val="auto"/>
          <w:kern w:val="2"/>
          <w:sz w:val="24"/>
          <w:szCs w:val="24"/>
        </w:rPr>
        <w:t> </w:t>
      </w:r>
      <w:bookmarkStart w:id="21" w:name="OLE_LINK227"/>
      <w:bookmarkStart w:id="22" w:name="OLE_LINK226"/>
    </w:p>
    <w:p>
      <w:pPr>
        <w:pStyle w:val="5"/>
        <w:spacing w:line="360" w:lineRule="auto"/>
        <w:ind w:firstLine="480"/>
        <w:rPr>
          <w:rStyle w:val="993"/>
          <w:rFonts w:hAnsi="宋体" w:cs="宋体"/>
          <w:kern w:val="0"/>
          <w:sz w:val="24"/>
          <w:szCs w:val="24"/>
        </w:rPr>
      </w:pPr>
      <w:r>
        <w:rPr>
          <w:rFonts w:ascii="仿宋_GB2312" w:hAnsi="仿宋" w:eastAsia="仿宋_GB2312"/>
          <w:b/>
          <w:color w:val="auto"/>
          <w:sz w:val="24"/>
        </w:rPr>
        <w:t>预算金额（元）：</w:t>
      </w:r>
      <w:r>
        <w:rPr>
          <w:rFonts w:ascii="仿宋_GB2312" w:hAnsi="仿宋" w:eastAsiaTheme="minorEastAsia"/>
          <w:bCs/>
          <w:snapToGrid/>
          <w:color w:val="auto"/>
          <w:kern w:val="2"/>
          <w:sz w:val="24"/>
          <w:szCs w:val="24"/>
        </w:rPr>
        <w:t>3478188.74</w:t>
      </w:r>
    </w:p>
    <w:p>
      <w:pPr>
        <w:pStyle w:val="5"/>
        <w:spacing w:line="360" w:lineRule="auto"/>
        <w:ind w:firstLine="480"/>
        <w:rPr>
          <w:rFonts w:ascii="仿宋" w:hAnsi="仿宋"/>
          <w:sz w:val="27"/>
          <w:szCs w:val="27"/>
        </w:rPr>
      </w:pPr>
      <w:r>
        <w:rPr>
          <w:rFonts w:ascii="仿宋_GB2312" w:hAnsi="仿宋" w:eastAsia="仿宋_GB2312"/>
          <w:b/>
          <w:color w:val="auto"/>
          <w:sz w:val="24"/>
        </w:rPr>
        <w:t>单位：</w:t>
      </w:r>
      <w:r>
        <w:rPr>
          <w:rFonts w:hint="eastAsia" w:hAnsi="宋体" w:cs="宋体"/>
          <w:b/>
          <w:color w:val="auto"/>
          <w:sz w:val="24"/>
        </w:rPr>
        <w:t> </w:t>
      </w:r>
      <w:r>
        <w:rPr>
          <w:rFonts w:ascii="仿宋_GB2312" w:eastAsia="仿宋_GB2312"/>
          <w:b/>
          <w:color w:val="auto"/>
          <w:sz w:val="24"/>
        </w:rPr>
        <w:t>项</w:t>
      </w:r>
      <w:r>
        <w:rPr>
          <w:rFonts w:hint="eastAsia" w:ascii="仿宋_GB2312" w:hAnsi="仿宋" w:eastAsia="仿宋_GB2312"/>
          <w:b/>
          <w:color w:val="auto"/>
          <w:sz w:val="24"/>
        </w:rPr>
        <w:t> </w:t>
      </w:r>
    </w:p>
    <w:p>
      <w:pPr>
        <w:pStyle w:val="5"/>
        <w:spacing w:line="360" w:lineRule="auto"/>
        <w:ind w:firstLine="480"/>
        <w:rPr>
          <w:rFonts w:ascii="仿宋_GB2312" w:hAnsi="仿宋" w:eastAsia="仿宋_GB2312"/>
          <w:b/>
          <w:color w:val="auto"/>
          <w:sz w:val="24"/>
        </w:rPr>
      </w:pPr>
      <w:r>
        <w:rPr>
          <w:rFonts w:ascii="仿宋_GB2312" w:hAnsi="仿宋" w:eastAsia="仿宋_GB2312"/>
          <w:b/>
          <w:color w:val="auto"/>
          <w:sz w:val="24"/>
        </w:rPr>
        <w:t>简要规格描述：</w:t>
      </w:r>
      <w:r>
        <w:rPr>
          <w:rFonts w:hint="eastAsia" w:ascii="仿宋_GB2312" w:hAnsi="仿宋" w:eastAsia="仿宋_GB2312"/>
          <w:b/>
          <w:color w:val="auto"/>
          <w:sz w:val="24"/>
        </w:rPr>
        <w:t>清湖大道以北，西山以东，衢江公路以西，景星东路、南门路、南二街以南</w:t>
      </w:r>
    </w:p>
    <w:p>
      <w:pPr>
        <w:pStyle w:val="5"/>
        <w:spacing w:line="360" w:lineRule="auto"/>
        <w:ind w:firstLine="480"/>
        <w:rPr>
          <w:rFonts w:ascii="仿宋" w:hAnsi="仿宋"/>
          <w:b/>
          <w:sz w:val="27"/>
          <w:szCs w:val="27"/>
        </w:rPr>
      </w:pPr>
      <w:r>
        <w:rPr>
          <w:rFonts w:ascii="仿宋_GB2312" w:hAnsi="仿宋" w:eastAsia="仿宋_GB2312"/>
          <w:b/>
          <w:color w:val="auto"/>
          <w:sz w:val="24"/>
        </w:rPr>
        <w:t>备注：</w:t>
      </w:r>
      <w:r>
        <w:rPr>
          <w:rFonts w:hint="eastAsia" w:hAnsi="宋体" w:cs="宋体"/>
          <w:b/>
          <w:color w:val="auto"/>
          <w:sz w:val="24"/>
        </w:rPr>
        <w:t> </w:t>
      </w:r>
      <w:r>
        <w:rPr>
          <w:rFonts w:hint="eastAsia" w:hAnsi="宋体" w:cs="宋体"/>
          <w:b/>
          <w:sz w:val="27"/>
          <w:szCs w:val="27"/>
        </w:rPr>
        <w:t>   </w:t>
      </w:r>
      <w:r>
        <w:rPr>
          <w:rFonts w:hint="eastAsia" w:ascii="仿宋" w:hAnsi="仿宋" w:eastAsia="仿宋" w:cs="仿宋"/>
          <w:b/>
          <w:sz w:val="27"/>
          <w:szCs w:val="27"/>
        </w:rPr>
        <w:t xml:space="preserve"> </w:t>
      </w:r>
      <w:r>
        <w:rPr>
          <w:rFonts w:hint="eastAsia" w:hAnsi="宋体" w:cs="宋体"/>
          <w:b/>
          <w:sz w:val="27"/>
          <w:szCs w:val="27"/>
        </w:rPr>
        <w:t> </w:t>
      </w:r>
    </w:p>
    <w:p>
      <w:pPr>
        <w:pStyle w:val="5"/>
        <w:spacing w:line="360" w:lineRule="auto"/>
        <w:ind w:firstLine="480"/>
        <w:rPr>
          <w:rFonts w:ascii="仿宋_GB2312" w:hAnsi="仿宋" w:eastAsiaTheme="minorEastAsia"/>
          <w:b/>
          <w:color w:val="auto"/>
          <w:sz w:val="24"/>
        </w:rPr>
      </w:pPr>
    </w:p>
    <w:p>
      <w:pPr>
        <w:pStyle w:val="5"/>
        <w:spacing w:line="360" w:lineRule="auto"/>
        <w:ind w:firstLine="480"/>
        <w:rPr>
          <w:rFonts w:ascii="仿宋" w:hAnsi="仿宋" w:eastAsiaTheme="minorEastAsia"/>
          <w:sz w:val="27"/>
          <w:szCs w:val="27"/>
        </w:rPr>
      </w:pPr>
      <w:r>
        <w:rPr>
          <w:rFonts w:ascii="仿宋_GB2312" w:hAnsi="仿宋" w:eastAsia="仿宋_GB2312"/>
          <w:b/>
          <w:color w:val="auto"/>
          <w:sz w:val="24"/>
        </w:rPr>
        <w:t>标项名称：</w:t>
      </w:r>
      <w:r>
        <w:rPr>
          <w:rFonts w:hint="eastAsia" w:ascii="仿宋_GB2312" w:hAnsi="仿宋" w:eastAsia="仿宋_GB2312"/>
          <w:bCs/>
          <w:snapToGrid/>
          <w:color w:val="auto"/>
          <w:kern w:val="2"/>
          <w:sz w:val="24"/>
          <w:szCs w:val="24"/>
        </w:rPr>
        <w:t>标项二</w:t>
      </w:r>
    </w:p>
    <w:p>
      <w:pPr>
        <w:pStyle w:val="5"/>
        <w:spacing w:line="360" w:lineRule="auto"/>
        <w:ind w:firstLine="480"/>
        <w:rPr>
          <w:rFonts w:ascii="仿宋" w:hAnsi="仿宋"/>
          <w:sz w:val="27"/>
          <w:szCs w:val="27"/>
        </w:rPr>
      </w:pPr>
      <w:r>
        <w:rPr>
          <w:rFonts w:ascii="仿宋_GB2312" w:hAnsi="仿宋" w:eastAsia="仿宋_GB2312"/>
          <w:b/>
          <w:color w:val="auto"/>
          <w:sz w:val="24"/>
        </w:rPr>
        <w:t>数量：</w:t>
      </w:r>
      <w:r>
        <w:rPr>
          <w:rFonts w:hint="eastAsia" w:ascii="仿宋_GB2312" w:eastAsia="仿宋_GB2312"/>
          <w:bCs/>
          <w:snapToGrid/>
          <w:color w:val="auto"/>
          <w:kern w:val="2"/>
          <w:sz w:val="24"/>
          <w:szCs w:val="24"/>
        </w:rPr>
        <w:t> 不限 </w:t>
      </w:r>
    </w:p>
    <w:p>
      <w:pPr>
        <w:pStyle w:val="5"/>
        <w:spacing w:line="360" w:lineRule="auto"/>
        <w:ind w:firstLine="480"/>
        <w:rPr>
          <w:rStyle w:val="993"/>
          <w:rFonts w:ascii="仿宋" w:hAnsi="仿宋"/>
          <w:sz w:val="27"/>
          <w:szCs w:val="27"/>
        </w:rPr>
      </w:pPr>
      <w:r>
        <w:rPr>
          <w:rFonts w:ascii="仿宋_GB2312" w:hAnsi="仿宋" w:eastAsia="仿宋_GB2312"/>
          <w:b/>
          <w:color w:val="auto"/>
          <w:sz w:val="24"/>
        </w:rPr>
        <w:t>预算金额（元）：</w:t>
      </w:r>
      <w:r>
        <w:rPr>
          <w:rFonts w:ascii="仿宋_GB2312" w:hAnsi="仿宋" w:eastAsiaTheme="minorEastAsia"/>
          <w:bCs/>
          <w:snapToGrid/>
          <w:color w:val="auto"/>
          <w:kern w:val="2"/>
          <w:sz w:val="24"/>
          <w:szCs w:val="24"/>
        </w:rPr>
        <w:t>3116577.75</w:t>
      </w:r>
    </w:p>
    <w:bookmarkEnd w:id="21"/>
    <w:bookmarkEnd w:id="22"/>
    <w:p>
      <w:pPr>
        <w:pStyle w:val="5"/>
        <w:spacing w:line="360" w:lineRule="auto"/>
        <w:ind w:firstLine="480"/>
        <w:rPr>
          <w:rFonts w:ascii="仿宋" w:hAnsi="仿宋"/>
          <w:sz w:val="27"/>
          <w:szCs w:val="27"/>
        </w:rPr>
      </w:pPr>
      <w:r>
        <w:rPr>
          <w:rFonts w:ascii="仿宋_GB2312" w:hAnsi="仿宋" w:eastAsia="仿宋_GB2312"/>
          <w:b/>
          <w:color w:val="auto"/>
          <w:sz w:val="24"/>
        </w:rPr>
        <w:t>单位：</w:t>
      </w:r>
      <w:r>
        <w:rPr>
          <w:rFonts w:ascii="仿宋_GB2312" w:hAnsi="仿宋" w:eastAsia="仿宋_GB2312"/>
          <w:bCs/>
          <w:snapToGrid/>
          <w:color w:val="auto"/>
          <w:kern w:val="2"/>
          <w:sz w:val="24"/>
          <w:szCs w:val="24"/>
        </w:rPr>
        <w:t>项</w:t>
      </w:r>
      <w:r>
        <w:rPr>
          <w:rFonts w:hint="eastAsia" w:hAnsi="宋体" w:cs="宋体"/>
          <w:bCs/>
          <w:snapToGrid/>
          <w:color w:val="auto"/>
          <w:kern w:val="2"/>
          <w:sz w:val="24"/>
          <w:szCs w:val="24"/>
        </w:rPr>
        <w:t> </w:t>
      </w:r>
    </w:p>
    <w:p>
      <w:pPr>
        <w:pStyle w:val="5"/>
        <w:spacing w:line="360" w:lineRule="auto"/>
        <w:ind w:firstLine="480"/>
        <w:rPr>
          <w:rFonts w:hAnsi="宋体"/>
          <w:sz w:val="22"/>
        </w:rPr>
      </w:pPr>
      <w:r>
        <w:rPr>
          <w:rFonts w:ascii="仿宋_GB2312" w:hAnsi="仿宋" w:eastAsia="仿宋_GB2312"/>
          <w:b/>
          <w:color w:val="auto"/>
          <w:sz w:val="24"/>
        </w:rPr>
        <w:t>简要规格描述：</w:t>
      </w:r>
      <w:r>
        <w:rPr>
          <w:rFonts w:hint="eastAsia" w:ascii="仿宋_GB2312" w:hAnsi="仿宋" w:eastAsia="仿宋_GB2312"/>
          <w:b/>
          <w:color w:val="auto"/>
          <w:sz w:val="24"/>
        </w:rPr>
        <w:t>景星东路、南门路、南二街以北，西山以东，衢江公路以西，城中路以南（含西山公园、西入城口）</w:t>
      </w:r>
    </w:p>
    <w:p>
      <w:pPr>
        <w:pStyle w:val="5"/>
        <w:spacing w:line="360" w:lineRule="auto"/>
        <w:ind w:firstLine="480"/>
        <w:rPr>
          <w:rFonts w:hAnsi="宋体" w:cs="宋体"/>
          <w:b/>
          <w:sz w:val="27"/>
          <w:szCs w:val="27"/>
        </w:rPr>
      </w:pPr>
      <w:r>
        <w:rPr>
          <w:rFonts w:ascii="仿宋_GB2312" w:hAnsi="仿宋" w:eastAsia="仿宋_GB2312"/>
          <w:b/>
          <w:color w:val="auto"/>
          <w:sz w:val="24"/>
        </w:rPr>
        <w:t>备注：</w:t>
      </w:r>
      <w:r>
        <w:rPr>
          <w:rFonts w:hint="eastAsia" w:hAnsi="宋体" w:cs="宋体"/>
          <w:b/>
          <w:color w:val="auto"/>
          <w:sz w:val="24"/>
        </w:rPr>
        <w:t>   </w:t>
      </w:r>
      <w:r>
        <w:rPr>
          <w:rFonts w:hint="eastAsia" w:hAnsi="宋体" w:cs="宋体"/>
          <w:b/>
          <w:sz w:val="27"/>
          <w:szCs w:val="27"/>
        </w:rPr>
        <w:t> </w:t>
      </w:r>
      <w:r>
        <w:rPr>
          <w:rFonts w:hint="eastAsia" w:ascii="仿宋" w:hAnsi="仿宋" w:eastAsia="仿宋" w:cs="仿宋"/>
          <w:b/>
          <w:sz w:val="27"/>
          <w:szCs w:val="27"/>
        </w:rPr>
        <w:t xml:space="preserve"> </w:t>
      </w:r>
      <w:r>
        <w:rPr>
          <w:rFonts w:hint="eastAsia" w:hAnsi="宋体" w:cs="宋体"/>
          <w:b/>
          <w:sz w:val="27"/>
          <w:szCs w:val="27"/>
        </w:rPr>
        <w:t> </w:t>
      </w:r>
    </w:p>
    <w:p>
      <w:pPr>
        <w:pStyle w:val="5"/>
        <w:spacing w:line="360" w:lineRule="auto"/>
        <w:ind w:firstLine="480"/>
        <w:rPr>
          <w:rFonts w:hAnsi="宋体" w:cs="宋体"/>
          <w:b/>
          <w:sz w:val="27"/>
          <w:szCs w:val="27"/>
        </w:rPr>
      </w:pPr>
    </w:p>
    <w:p>
      <w:pPr>
        <w:pStyle w:val="5"/>
        <w:spacing w:line="360" w:lineRule="auto"/>
        <w:ind w:firstLine="480"/>
        <w:rPr>
          <w:rFonts w:ascii="仿宋_GB2312" w:hAnsi="仿宋" w:eastAsia="仿宋_GB2312"/>
          <w:bCs/>
          <w:snapToGrid/>
          <w:color w:val="auto"/>
          <w:kern w:val="2"/>
          <w:sz w:val="24"/>
          <w:szCs w:val="24"/>
        </w:rPr>
      </w:pPr>
      <w:r>
        <w:rPr>
          <w:rFonts w:ascii="仿宋_GB2312" w:hAnsi="仿宋" w:eastAsia="仿宋_GB2312"/>
          <w:b/>
          <w:color w:val="auto"/>
          <w:sz w:val="24"/>
        </w:rPr>
        <w:t>标项名称：</w:t>
      </w:r>
      <w:r>
        <w:rPr>
          <w:rFonts w:hint="eastAsia" w:ascii="仿宋_GB2312" w:hAnsi="仿宋" w:eastAsia="仿宋_GB2312"/>
          <w:bCs/>
          <w:snapToGrid/>
          <w:color w:val="auto"/>
          <w:kern w:val="2"/>
          <w:sz w:val="24"/>
          <w:szCs w:val="24"/>
        </w:rPr>
        <w:t>标项三</w:t>
      </w:r>
    </w:p>
    <w:p>
      <w:pPr>
        <w:pStyle w:val="5"/>
        <w:spacing w:line="360" w:lineRule="auto"/>
        <w:ind w:firstLine="480"/>
        <w:rPr>
          <w:rFonts w:ascii="仿宋" w:hAnsi="仿宋"/>
          <w:sz w:val="27"/>
          <w:szCs w:val="27"/>
        </w:rPr>
      </w:pPr>
      <w:r>
        <w:rPr>
          <w:rFonts w:ascii="仿宋_GB2312" w:hAnsi="仿宋" w:eastAsia="仿宋_GB2312"/>
          <w:b/>
          <w:color w:val="auto"/>
          <w:sz w:val="24"/>
        </w:rPr>
        <w:t>数量：</w:t>
      </w:r>
      <w:r>
        <w:rPr>
          <w:rFonts w:hint="eastAsia" w:ascii="仿宋_GB2312" w:eastAsia="仿宋_GB2312"/>
          <w:bCs/>
          <w:snapToGrid/>
          <w:color w:val="auto"/>
          <w:kern w:val="2"/>
          <w:sz w:val="24"/>
          <w:szCs w:val="24"/>
        </w:rPr>
        <w:t>不限 </w:t>
      </w:r>
    </w:p>
    <w:p>
      <w:pPr>
        <w:pStyle w:val="5"/>
        <w:spacing w:line="360" w:lineRule="auto"/>
        <w:ind w:firstLine="480"/>
        <w:rPr>
          <w:rStyle w:val="993"/>
          <w:rFonts w:ascii="仿宋" w:hAnsi="仿宋"/>
          <w:sz w:val="27"/>
          <w:szCs w:val="27"/>
        </w:rPr>
      </w:pPr>
      <w:r>
        <w:rPr>
          <w:rFonts w:ascii="仿宋_GB2312" w:hAnsi="仿宋" w:eastAsia="仿宋_GB2312"/>
          <w:b/>
          <w:color w:val="auto"/>
          <w:sz w:val="24"/>
        </w:rPr>
        <w:t>预算金额（元）：</w:t>
      </w:r>
      <w:r>
        <w:rPr>
          <w:rFonts w:ascii="仿宋_GB2312" w:hAnsi="仿宋" w:eastAsiaTheme="minorEastAsia"/>
          <w:bCs/>
          <w:snapToGrid/>
          <w:color w:val="auto"/>
          <w:kern w:val="2"/>
          <w:sz w:val="24"/>
          <w:szCs w:val="24"/>
        </w:rPr>
        <w:t>4317937.09</w:t>
      </w:r>
    </w:p>
    <w:p>
      <w:pPr>
        <w:pStyle w:val="5"/>
        <w:spacing w:line="360" w:lineRule="auto"/>
        <w:ind w:firstLine="480"/>
        <w:rPr>
          <w:rFonts w:ascii="仿宋" w:hAnsi="仿宋"/>
          <w:sz w:val="27"/>
          <w:szCs w:val="27"/>
        </w:rPr>
      </w:pPr>
      <w:r>
        <w:rPr>
          <w:rFonts w:ascii="仿宋_GB2312" w:hAnsi="仿宋" w:eastAsia="仿宋_GB2312"/>
          <w:b/>
          <w:color w:val="auto"/>
          <w:sz w:val="24"/>
        </w:rPr>
        <w:t>单位：</w:t>
      </w:r>
      <w:r>
        <w:rPr>
          <w:rFonts w:ascii="仿宋_GB2312" w:hAnsi="仿宋" w:eastAsia="仿宋_GB2312"/>
          <w:bCs/>
          <w:snapToGrid/>
          <w:color w:val="auto"/>
          <w:kern w:val="2"/>
          <w:sz w:val="24"/>
          <w:szCs w:val="24"/>
        </w:rPr>
        <w:t>项</w:t>
      </w:r>
      <w:r>
        <w:rPr>
          <w:rFonts w:hint="eastAsia" w:hAnsi="宋体" w:cs="宋体"/>
          <w:bCs/>
          <w:snapToGrid/>
          <w:color w:val="auto"/>
          <w:kern w:val="2"/>
          <w:sz w:val="24"/>
          <w:szCs w:val="24"/>
        </w:rPr>
        <w:t> </w:t>
      </w:r>
    </w:p>
    <w:p>
      <w:pPr>
        <w:pStyle w:val="5"/>
        <w:spacing w:line="360" w:lineRule="auto"/>
        <w:ind w:firstLine="480"/>
        <w:rPr>
          <w:rFonts w:ascii="仿宋_GB2312" w:hAnsi="仿宋" w:eastAsia="仿宋_GB2312"/>
          <w:b/>
          <w:color w:val="auto"/>
          <w:sz w:val="24"/>
        </w:rPr>
      </w:pPr>
      <w:r>
        <w:rPr>
          <w:rFonts w:ascii="仿宋_GB2312" w:hAnsi="仿宋" w:eastAsia="仿宋_GB2312"/>
          <w:b/>
          <w:color w:val="auto"/>
          <w:sz w:val="24"/>
        </w:rPr>
        <w:t>简要规格描述：</w:t>
      </w:r>
      <w:r>
        <w:rPr>
          <w:rFonts w:hint="eastAsia" w:ascii="仿宋_GB2312" w:hAnsi="仿宋" w:eastAsia="仿宋_GB2312"/>
          <w:b/>
          <w:color w:val="auto"/>
          <w:sz w:val="24"/>
        </w:rPr>
        <w:t>城中路以北，西山以东，衢江公路以西，北环路以南</w:t>
      </w:r>
    </w:p>
    <w:p>
      <w:pPr>
        <w:pStyle w:val="5"/>
        <w:spacing w:line="360" w:lineRule="auto"/>
        <w:ind w:firstLine="480"/>
        <w:rPr>
          <w:rFonts w:ascii="仿宋_GB2312" w:hAnsi="仿宋" w:eastAsia="仿宋_GB2312"/>
          <w:b/>
          <w:color w:val="auto"/>
          <w:sz w:val="24"/>
        </w:rPr>
      </w:pPr>
      <w:r>
        <w:rPr>
          <w:rFonts w:ascii="仿宋_GB2312" w:hAnsi="仿宋" w:eastAsia="仿宋_GB2312"/>
          <w:b/>
          <w:color w:val="auto"/>
          <w:sz w:val="24"/>
        </w:rPr>
        <w:t>备注：</w:t>
      </w:r>
    </w:p>
    <w:p>
      <w:pPr>
        <w:pStyle w:val="5"/>
        <w:spacing w:line="360" w:lineRule="auto"/>
        <w:ind w:firstLine="480"/>
        <w:rPr>
          <w:rFonts w:ascii="仿宋_GB2312" w:hAnsi="仿宋" w:eastAsia="仿宋_GB2312"/>
          <w:b/>
          <w:color w:val="auto"/>
          <w:sz w:val="24"/>
        </w:rPr>
      </w:pPr>
    </w:p>
    <w:p>
      <w:pPr>
        <w:pStyle w:val="5"/>
        <w:spacing w:line="360" w:lineRule="auto"/>
        <w:ind w:firstLine="480"/>
        <w:rPr>
          <w:rFonts w:ascii="仿宋_GB2312" w:hAnsi="仿宋" w:eastAsia="仿宋_GB2312"/>
          <w:bCs/>
          <w:snapToGrid/>
          <w:color w:val="auto"/>
          <w:kern w:val="2"/>
          <w:sz w:val="24"/>
          <w:szCs w:val="24"/>
        </w:rPr>
      </w:pPr>
      <w:r>
        <w:rPr>
          <w:rFonts w:ascii="仿宋_GB2312" w:hAnsi="仿宋" w:eastAsia="仿宋_GB2312"/>
          <w:b/>
          <w:color w:val="auto"/>
          <w:sz w:val="24"/>
        </w:rPr>
        <w:t>标项名称：</w:t>
      </w:r>
      <w:r>
        <w:rPr>
          <w:rFonts w:hint="eastAsia" w:ascii="仿宋_GB2312" w:hAnsi="仿宋" w:eastAsia="仿宋_GB2312"/>
          <w:bCs/>
          <w:snapToGrid/>
          <w:color w:val="auto"/>
          <w:kern w:val="2"/>
          <w:sz w:val="24"/>
          <w:szCs w:val="24"/>
        </w:rPr>
        <w:t>标项四</w:t>
      </w:r>
    </w:p>
    <w:p>
      <w:pPr>
        <w:pStyle w:val="5"/>
        <w:spacing w:line="360" w:lineRule="auto"/>
        <w:ind w:firstLine="480"/>
        <w:rPr>
          <w:rFonts w:ascii="仿宋" w:hAnsi="仿宋"/>
          <w:sz w:val="27"/>
          <w:szCs w:val="27"/>
        </w:rPr>
      </w:pPr>
      <w:r>
        <w:rPr>
          <w:rFonts w:ascii="仿宋_GB2312" w:hAnsi="仿宋" w:eastAsia="仿宋_GB2312"/>
          <w:b/>
          <w:color w:val="auto"/>
          <w:sz w:val="24"/>
        </w:rPr>
        <w:t>数量：</w:t>
      </w:r>
      <w:r>
        <w:rPr>
          <w:rFonts w:hint="eastAsia" w:ascii="仿宋_GB2312" w:eastAsia="仿宋_GB2312"/>
          <w:bCs/>
          <w:snapToGrid/>
          <w:color w:val="auto"/>
          <w:kern w:val="2"/>
          <w:sz w:val="24"/>
          <w:szCs w:val="24"/>
        </w:rPr>
        <w:t>不限 </w:t>
      </w:r>
    </w:p>
    <w:p>
      <w:pPr>
        <w:pStyle w:val="5"/>
        <w:spacing w:line="360" w:lineRule="auto"/>
        <w:ind w:firstLine="480"/>
        <w:rPr>
          <w:rStyle w:val="993"/>
          <w:rFonts w:ascii="仿宋" w:hAnsi="仿宋"/>
          <w:sz w:val="27"/>
          <w:szCs w:val="27"/>
        </w:rPr>
      </w:pPr>
      <w:r>
        <w:rPr>
          <w:rFonts w:ascii="仿宋_GB2312" w:hAnsi="仿宋" w:eastAsia="仿宋_GB2312"/>
          <w:b/>
          <w:color w:val="auto"/>
          <w:sz w:val="24"/>
        </w:rPr>
        <w:t>预算金额（元）：</w:t>
      </w:r>
      <w:r>
        <w:rPr>
          <w:rFonts w:ascii="仿宋_GB2312" w:hAnsi="仿宋" w:eastAsiaTheme="minorEastAsia"/>
          <w:bCs/>
          <w:snapToGrid/>
          <w:color w:val="auto"/>
          <w:kern w:val="2"/>
          <w:sz w:val="24"/>
          <w:szCs w:val="24"/>
        </w:rPr>
        <w:t>3860588.43</w:t>
      </w:r>
    </w:p>
    <w:p>
      <w:pPr>
        <w:pStyle w:val="5"/>
        <w:spacing w:line="360" w:lineRule="auto"/>
        <w:ind w:firstLine="480"/>
        <w:rPr>
          <w:rFonts w:ascii="仿宋" w:hAnsi="仿宋"/>
          <w:sz w:val="27"/>
          <w:szCs w:val="27"/>
        </w:rPr>
      </w:pPr>
      <w:r>
        <w:rPr>
          <w:rFonts w:ascii="仿宋_GB2312" w:hAnsi="仿宋" w:eastAsia="仿宋_GB2312"/>
          <w:b/>
          <w:color w:val="auto"/>
          <w:sz w:val="24"/>
        </w:rPr>
        <w:t>单位：</w:t>
      </w:r>
      <w:r>
        <w:rPr>
          <w:rFonts w:ascii="仿宋_GB2312" w:hAnsi="仿宋" w:eastAsia="仿宋_GB2312"/>
          <w:bCs/>
          <w:snapToGrid/>
          <w:color w:val="auto"/>
          <w:kern w:val="2"/>
          <w:sz w:val="24"/>
          <w:szCs w:val="24"/>
        </w:rPr>
        <w:t>项</w:t>
      </w:r>
      <w:r>
        <w:rPr>
          <w:rFonts w:hint="eastAsia" w:hAnsi="宋体" w:cs="宋体"/>
          <w:bCs/>
          <w:snapToGrid/>
          <w:color w:val="auto"/>
          <w:kern w:val="2"/>
          <w:sz w:val="24"/>
          <w:szCs w:val="24"/>
        </w:rPr>
        <w:t> </w:t>
      </w:r>
    </w:p>
    <w:p>
      <w:pPr>
        <w:pStyle w:val="5"/>
        <w:spacing w:line="360" w:lineRule="auto"/>
        <w:ind w:firstLine="480"/>
        <w:rPr>
          <w:rFonts w:hAnsi="宋体"/>
          <w:sz w:val="22"/>
        </w:rPr>
      </w:pPr>
      <w:r>
        <w:rPr>
          <w:rFonts w:ascii="仿宋_GB2312" w:hAnsi="仿宋" w:eastAsia="仿宋_GB2312"/>
          <w:b/>
          <w:color w:val="auto"/>
          <w:sz w:val="24"/>
        </w:rPr>
        <w:t>简要规格描述：</w:t>
      </w:r>
      <w:r>
        <w:rPr>
          <w:rFonts w:hint="eastAsia" w:ascii="仿宋_GB2312" w:hAnsi="仿宋" w:eastAsia="仿宋_GB2312"/>
          <w:b/>
          <w:color w:val="auto"/>
          <w:sz w:val="24"/>
        </w:rPr>
        <w:t>北环路以北，西山以东，衢江公路以西，站前大道以南</w:t>
      </w:r>
    </w:p>
    <w:p>
      <w:pPr>
        <w:pStyle w:val="5"/>
        <w:spacing w:line="360" w:lineRule="auto"/>
        <w:ind w:firstLine="480"/>
        <w:rPr>
          <w:rFonts w:ascii="仿宋_GB2312" w:hAnsi="仿宋" w:eastAsia="仿宋_GB2312"/>
          <w:b/>
          <w:color w:val="auto"/>
          <w:sz w:val="24"/>
        </w:rPr>
      </w:pPr>
      <w:r>
        <w:rPr>
          <w:rFonts w:ascii="仿宋_GB2312" w:hAnsi="仿宋" w:eastAsia="仿宋_GB2312"/>
          <w:b/>
          <w:color w:val="auto"/>
          <w:sz w:val="24"/>
        </w:rPr>
        <w:t>备注：</w:t>
      </w:r>
    </w:p>
    <w:p>
      <w:pPr>
        <w:pStyle w:val="5"/>
        <w:spacing w:line="360" w:lineRule="auto"/>
        <w:ind w:firstLine="480"/>
        <w:rPr>
          <w:rFonts w:ascii="仿宋_GB2312" w:hAnsi="仿宋" w:eastAsia="仿宋_GB2312"/>
          <w:b/>
        </w:rPr>
      </w:pPr>
      <w:r>
        <w:rPr>
          <w:rFonts w:hint="eastAsia" w:hAnsi="宋体" w:cs="宋体"/>
          <w:b/>
          <w:color w:val="auto"/>
          <w:sz w:val="24"/>
        </w:rPr>
        <w:t>     </w:t>
      </w:r>
      <w:r>
        <w:rPr>
          <w:rFonts w:hint="eastAsia" w:hAnsi="宋体" w:cs="宋体"/>
          <w:b/>
          <w:sz w:val="27"/>
          <w:szCs w:val="27"/>
        </w:rPr>
        <w:t> </w:t>
      </w:r>
      <w:r>
        <w:rPr>
          <w:rFonts w:hint="eastAsia" w:ascii="仿宋" w:hAnsi="仿宋" w:eastAsia="仿宋" w:cs="仿宋"/>
          <w:b/>
          <w:sz w:val="27"/>
          <w:szCs w:val="27"/>
        </w:rPr>
        <w:t xml:space="preserve"> </w:t>
      </w:r>
      <w:r>
        <w:rPr>
          <w:rFonts w:hint="eastAsia" w:hAnsi="宋体" w:cs="宋体"/>
          <w:b/>
          <w:sz w:val="27"/>
          <w:szCs w:val="27"/>
        </w:rPr>
        <w:t> </w:t>
      </w:r>
    </w:p>
    <w:bookmarkEnd w:id="20"/>
    <w:p>
      <w:pPr>
        <w:pStyle w:val="5"/>
        <w:spacing w:line="360" w:lineRule="auto"/>
        <w:ind w:firstLine="480"/>
        <w:rPr>
          <w:rFonts w:ascii="仿宋_GB2312" w:hAnsi="仿宋" w:eastAsia="仿宋_GB2312"/>
          <w:bCs/>
          <w:snapToGrid/>
          <w:color w:val="auto"/>
          <w:kern w:val="2"/>
          <w:sz w:val="24"/>
          <w:szCs w:val="24"/>
        </w:rPr>
      </w:pPr>
      <w:r>
        <w:rPr>
          <w:rFonts w:ascii="仿宋_GB2312" w:hAnsi="仿宋" w:eastAsia="仿宋_GB2312"/>
          <w:b/>
          <w:color w:val="auto"/>
          <w:sz w:val="24"/>
        </w:rPr>
        <w:t>标项名称：</w:t>
      </w:r>
      <w:r>
        <w:rPr>
          <w:rFonts w:hint="eastAsia" w:ascii="仿宋_GB2312" w:hAnsi="仿宋" w:eastAsia="仿宋_GB2312"/>
          <w:bCs/>
          <w:snapToGrid/>
          <w:color w:val="auto"/>
          <w:kern w:val="2"/>
          <w:sz w:val="24"/>
          <w:szCs w:val="24"/>
        </w:rPr>
        <w:t>标项五</w:t>
      </w:r>
    </w:p>
    <w:p>
      <w:pPr>
        <w:pStyle w:val="5"/>
        <w:spacing w:line="360" w:lineRule="auto"/>
        <w:ind w:firstLine="480"/>
        <w:rPr>
          <w:rFonts w:ascii="仿宋" w:hAnsi="仿宋"/>
          <w:sz w:val="27"/>
          <w:szCs w:val="27"/>
        </w:rPr>
      </w:pPr>
      <w:r>
        <w:rPr>
          <w:rFonts w:ascii="仿宋_GB2312" w:hAnsi="仿宋" w:eastAsia="仿宋_GB2312"/>
          <w:b/>
          <w:color w:val="auto"/>
          <w:sz w:val="24"/>
        </w:rPr>
        <w:t>数量：</w:t>
      </w:r>
      <w:r>
        <w:rPr>
          <w:rFonts w:hint="eastAsia" w:ascii="仿宋_GB2312" w:eastAsia="仿宋_GB2312"/>
          <w:bCs/>
          <w:snapToGrid/>
          <w:color w:val="auto"/>
          <w:kern w:val="2"/>
          <w:sz w:val="24"/>
          <w:szCs w:val="24"/>
        </w:rPr>
        <w:t>不限 </w:t>
      </w:r>
    </w:p>
    <w:p>
      <w:pPr>
        <w:pStyle w:val="5"/>
        <w:spacing w:line="360" w:lineRule="auto"/>
        <w:ind w:firstLine="480"/>
        <w:rPr>
          <w:rStyle w:val="993"/>
          <w:rFonts w:ascii="仿宋" w:hAnsi="仿宋"/>
          <w:sz w:val="27"/>
          <w:szCs w:val="27"/>
        </w:rPr>
      </w:pPr>
      <w:r>
        <w:rPr>
          <w:rFonts w:ascii="仿宋_GB2312" w:hAnsi="仿宋" w:eastAsia="仿宋_GB2312"/>
          <w:b/>
          <w:color w:val="auto"/>
          <w:sz w:val="24"/>
        </w:rPr>
        <w:t>预算金额（元）：</w:t>
      </w:r>
      <w:r>
        <w:rPr>
          <w:rFonts w:ascii="仿宋_GB2312" w:hAnsi="仿宋" w:eastAsiaTheme="minorEastAsia"/>
          <w:bCs/>
          <w:snapToGrid/>
          <w:color w:val="auto"/>
          <w:kern w:val="2"/>
          <w:sz w:val="24"/>
          <w:szCs w:val="24"/>
        </w:rPr>
        <w:t>3226583.24</w:t>
      </w:r>
    </w:p>
    <w:p>
      <w:pPr>
        <w:pStyle w:val="5"/>
        <w:spacing w:line="360" w:lineRule="auto"/>
        <w:ind w:firstLine="480"/>
        <w:rPr>
          <w:rFonts w:ascii="仿宋" w:hAnsi="仿宋"/>
          <w:sz w:val="27"/>
          <w:szCs w:val="27"/>
        </w:rPr>
      </w:pPr>
      <w:r>
        <w:rPr>
          <w:rFonts w:ascii="仿宋_GB2312" w:hAnsi="仿宋" w:eastAsia="仿宋_GB2312"/>
          <w:b/>
          <w:color w:val="auto"/>
          <w:sz w:val="24"/>
        </w:rPr>
        <w:t>单位：</w:t>
      </w:r>
      <w:r>
        <w:rPr>
          <w:rFonts w:ascii="仿宋_GB2312" w:hAnsi="仿宋" w:eastAsia="仿宋_GB2312"/>
          <w:bCs/>
          <w:snapToGrid/>
          <w:color w:val="auto"/>
          <w:kern w:val="2"/>
          <w:sz w:val="24"/>
          <w:szCs w:val="24"/>
        </w:rPr>
        <w:t>项</w:t>
      </w:r>
      <w:r>
        <w:rPr>
          <w:rFonts w:hint="eastAsia" w:hAnsi="宋体" w:cs="宋体"/>
          <w:bCs/>
          <w:snapToGrid/>
          <w:color w:val="auto"/>
          <w:kern w:val="2"/>
          <w:sz w:val="24"/>
          <w:szCs w:val="24"/>
        </w:rPr>
        <w:t> </w:t>
      </w:r>
    </w:p>
    <w:p>
      <w:pPr>
        <w:pStyle w:val="5"/>
        <w:spacing w:line="360" w:lineRule="auto"/>
        <w:ind w:firstLine="480"/>
        <w:rPr>
          <w:rFonts w:hAnsi="宋体"/>
          <w:sz w:val="22"/>
        </w:rPr>
      </w:pPr>
      <w:r>
        <w:rPr>
          <w:rFonts w:ascii="仿宋_GB2312" w:hAnsi="仿宋" w:eastAsia="仿宋_GB2312"/>
          <w:b/>
          <w:color w:val="auto"/>
          <w:sz w:val="24"/>
        </w:rPr>
        <w:t>简要规格描述：</w:t>
      </w:r>
      <w:r>
        <w:rPr>
          <w:rFonts w:hint="eastAsia" w:ascii="仿宋_GB2312" w:hAnsi="仿宋" w:eastAsia="仿宋_GB2312"/>
          <w:b/>
          <w:color w:val="auto"/>
          <w:sz w:val="24"/>
        </w:rPr>
        <w:t>站前大道以北，礼贤路以东，衢江公路以西，双塔底以南（含迎宾广场、站前广场）</w:t>
      </w:r>
    </w:p>
    <w:p>
      <w:pPr>
        <w:pStyle w:val="128"/>
        <w:ind w:firstLine="482"/>
        <w:rPr>
          <w:rFonts w:ascii="仿宋_GB2312" w:hAnsi="仿宋" w:eastAsia="仿宋_GB2312"/>
          <w:b/>
        </w:rPr>
      </w:pPr>
      <w:r>
        <w:rPr>
          <w:rFonts w:ascii="仿宋_GB2312" w:hAnsi="仿宋" w:eastAsia="仿宋_GB2312"/>
          <w:b/>
        </w:rPr>
        <w:t>备注：</w:t>
      </w:r>
      <w:r>
        <w:rPr>
          <w:rFonts w:hint="eastAsia" w:hAnsi="宋体" w:cs="宋体"/>
          <w:b/>
        </w:rPr>
        <w:t>  </w:t>
      </w:r>
    </w:p>
    <w:p>
      <w:pPr>
        <w:pStyle w:val="128"/>
        <w:ind w:firstLine="482"/>
        <w:rPr>
          <w:rFonts w:ascii="仿宋_GB2312" w:hAnsi="仿宋" w:eastAsia="仿宋_GB2312"/>
        </w:rPr>
      </w:pPr>
      <w:r>
        <w:rPr>
          <w:rFonts w:hint="eastAsia" w:ascii="仿宋_GB2312" w:hAnsi="仿宋" w:eastAsia="仿宋_GB2312"/>
          <w:b/>
        </w:rPr>
        <w:t>合同履约期限：标项一、二、三、四、五，采购期限为一年。</w:t>
      </w:r>
    </w:p>
    <w:p>
      <w:pPr>
        <w:pStyle w:val="5"/>
        <w:spacing w:line="360" w:lineRule="auto"/>
        <w:ind w:firstLine="480"/>
        <w:rPr>
          <w:rFonts w:ascii="仿宋" w:hAnsi="仿宋" w:eastAsia="仿宋"/>
          <w:b/>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2035453831"/>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16717005"/>
            </w:sdtPr>
            <w:sdtEndPr>
              <w:rPr>
                <w:rFonts w:hint="eastAsia" w:ascii="仿宋" w:hAnsi="仿宋" w:eastAsia="仿宋" w:cs="Arial"/>
                <w:color w:val="auto"/>
                <w:kern w:val="0"/>
                <w:sz w:val="24"/>
              </w:rPr>
            </w:sdtEndPr>
            <w:sdtContent>
              <w:r>
                <w:rPr>
                  <w:rFonts w:ascii="仿宋" w:hAnsi="MS Gothic" w:eastAsia="仿宋" w:cs="Arial"/>
                  <w:color w:val="auto"/>
                  <w:kern w:val="0"/>
                  <w:sz w:val="24"/>
                </w:rPr>
                <w:t>☐</w:t>
              </w:r>
            </w:sdtContent>
          </w:sdt>
        </w:sdtContent>
      </w:sdt>
      <w:r>
        <w:rPr>
          <w:rFonts w:hint="eastAsia" w:ascii="仿宋" w:hAnsi="仿宋" w:eastAsia="仿宋"/>
          <w:b/>
          <w:color w:val="auto"/>
          <w:sz w:val="24"/>
        </w:rPr>
        <w:t>是，</w:t>
      </w:r>
      <w:sdt>
        <w:sdtPr>
          <w:rPr>
            <w:rFonts w:hint="eastAsia" w:ascii="仿宋" w:hAnsi="仿宋" w:eastAsia="仿宋" w:cs="Arial"/>
            <w:color w:val="auto"/>
            <w:kern w:val="0"/>
            <w:sz w:val="24"/>
          </w:rPr>
          <w:id w:val="7237932"/>
        </w:sdtPr>
        <w:sdtEndPr>
          <w:rPr>
            <w:rFonts w:hint="eastAsia" w:ascii="仿宋" w:hAnsi="仿宋" w:eastAsia="仿宋" w:cs="Arial"/>
            <w:color w:val="auto"/>
            <w:kern w:val="0"/>
            <w:sz w:val="24"/>
          </w:rPr>
        </w:sdtEndPr>
        <w:sdtContent>
          <w:r>
            <w:rPr>
              <w:rFonts w:ascii="仿宋" w:hAnsi="仿宋" w:eastAsia="仿宋" w:cs="Arial"/>
              <w:color w:val="auto"/>
              <w:kern w:val="0"/>
              <w:sz w:val="24"/>
            </w:rPr>
            <w:sym w:font="Wingdings" w:char="F0FE"/>
          </w:r>
        </w:sdtContent>
      </w:sdt>
      <w:r>
        <w:rPr>
          <w:rFonts w:hint="eastAsia" w:ascii="仿宋" w:hAnsi="仿宋" w:eastAsia="仿宋"/>
          <w:b/>
          <w:color w:val="auto"/>
          <w:sz w:val="24"/>
        </w:rPr>
        <w:t>否</w:t>
      </w:r>
      <w:r>
        <w:rPr>
          <w:rFonts w:hint="eastAsia" w:ascii="仿宋" w:hAnsi="仿宋" w:eastAsia="仿宋" w:cs="Arial"/>
          <w:color w:val="auto"/>
          <w:kern w:val="0"/>
          <w:sz w:val="24"/>
        </w:rPr>
        <w:t>。</w:t>
      </w:r>
    </w:p>
    <w:p>
      <w:pPr>
        <w:spacing w:line="360" w:lineRule="auto"/>
        <w:rPr>
          <w:rFonts w:ascii="仿宋" w:hAnsi="仿宋" w:eastAsia="仿宋"/>
          <w:b/>
          <w:sz w:val="24"/>
        </w:rPr>
      </w:pPr>
      <w:r>
        <w:rPr>
          <w:rFonts w:hint="eastAsia" w:ascii="仿宋" w:hAnsi="仿宋" w:eastAsia="仿宋"/>
          <w:b/>
          <w:sz w:val="24"/>
        </w:rPr>
        <w:t>三、申请人的资格要求：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满足《中华人民共和国政府采购法》第二十二条规定；未被“信用中国”（www.creditchina.gov.cn)、中国政府采购网（www.ccgp.gov.cn）列入严重失信主体名单、政府采购严重违法失信行为记录名单；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1928616923"/>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无；</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7237933"/>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7" w:firstLineChars="374"/>
        <w:rPr>
          <w:rFonts w:ascii="仿宋" w:hAnsi="仿宋" w:eastAsia="仿宋"/>
          <w:sz w:val="24"/>
          <w:u w:val="single"/>
        </w:rPr>
      </w:pPr>
      <w:sdt>
        <w:sdtPr>
          <w:rPr>
            <w:rFonts w:hint="eastAsia" w:ascii="仿宋" w:hAnsi="仿宋" w:eastAsia="仿宋" w:cs="Arial"/>
            <w:kern w:val="0"/>
            <w:sz w:val="24"/>
          </w:rPr>
          <w:id w:val="15480841"/>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货物全部由符合政策要求的中小企业制造，提供中小企业声明函；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723793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货物全部由符合政策要求的小微企业制造，提供中小企业声明函；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15480839"/>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sz w:val="24"/>
        </w:rPr>
        <w:t>服务全部由符合政策要求的中小企业承接，提供中小企业声明函；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7237937"/>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服务全部由符合政策要求的小微企业承接，提供中小企业声明函；</w:t>
      </w:r>
    </w:p>
    <w:p>
      <w:pPr>
        <w:rPr>
          <w:rFonts w:ascii="仿宋" w:hAnsi="仿宋" w:eastAsia="仿宋"/>
        </w:rPr>
      </w:pP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7237938"/>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要求合同分包，提供分包意向协议和中小企业声明函，分包意向协议中中小企业合同金额应当达到达到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u w:val="single"/>
        </w:rPr>
        <w:t xml:space="preserve"> </w:t>
      </w:r>
      <w:r>
        <w:rPr>
          <w:rFonts w:ascii="仿宋" w:hAnsi="仿宋" w:eastAsia="仿宋"/>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3.本项目的特定资格要求：无</w:t>
      </w:r>
      <w:r>
        <w:rPr>
          <w:rFonts w:hint="eastAsia" w:ascii="仿宋" w:hAnsi="仿宋" w:eastAsia="仿宋"/>
          <w:sz w:val="24"/>
        </w:rPr>
        <w:t>；</w:t>
      </w:r>
    </w:p>
    <w:p>
      <w:pPr>
        <w:snapToGrid w:val="0"/>
        <w:spacing w:line="360"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pacing w:line="360" w:lineRule="auto"/>
        <w:rPr>
          <w:rFonts w:ascii="仿宋" w:hAnsi="仿宋" w:eastAsia="仿宋"/>
          <w:b/>
          <w:sz w:val="24"/>
        </w:rPr>
      </w:pPr>
      <w:r>
        <w:rPr>
          <w:rFonts w:hint="eastAsia" w:ascii="仿宋" w:hAnsi="仿宋" w:eastAsia="仿宋"/>
          <w:b/>
          <w:sz w:val="24"/>
        </w:rPr>
        <w:t>四、获取招标文件</w:t>
      </w:r>
      <w:r>
        <w:rPr>
          <w:rFonts w:ascii="仿宋" w:hAnsi="仿宋" w:eastAsia="仿宋"/>
          <w:b/>
          <w:sz w:val="24"/>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rPr>
        <w:t xml:space="preserve">2024 </w:t>
      </w:r>
      <w:r>
        <w:rPr>
          <w:rFonts w:ascii="仿宋" w:hAnsi="仿宋" w:eastAsia="仿宋"/>
          <w:sz w:val="24"/>
          <w:u w:val="single"/>
        </w:rPr>
        <w:t>年</w:t>
      </w:r>
      <w:r>
        <w:rPr>
          <w:rFonts w:hint="eastAsia" w:ascii="仿宋" w:hAnsi="仿宋" w:eastAsia="仿宋"/>
          <w:sz w:val="24"/>
          <w:u w:val="single"/>
          <w:lang w:val="en-US" w:eastAsia="zh-CN"/>
        </w:rPr>
        <w:t>12</w:t>
      </w:r>
      <w:r>
        <w:rPr>
          <w:rFonts w:ascii="仿宋" w:hAnsi="仿宋" w:eastAsia="仿宋"/>
          <w:sz w:val="24"/>
          <w:u w:val="single"/>
        </w:rPr>
        <w:t>月</w:t>
      </w:r>
      <w:r>
        <w:rPr>
          <w:rFonts w:hint="eastAsia" w:ascii="仿宋" w:hAnsi="仿宋" w:eastAsia="仿宋"/>
          <w:sz w:val="24"/>
          <w:u w:val="single"/>
          <w:lang w:val="en-US" w:eastAsia="zh-CN"/>
        </w:rPr>
        <w:t>20</w:t>
      </w:r>
      <w:r>
        <w:rPr>
          <w:rFonts w:hint="eastAsia" w:ascii="仿宋" w:hAnsi="仿宋" w:eastAsia="仿宋"/>
          <w:sz w:val="24"/>
          <w:u w:val="single"/>
        </w:rPr>
        <w:t xml:space="preserve"> </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360" w:lineRule="auto"/>
        <w:rPr>
          <w:rFonts w:ascii="仿宋" w:hAnsi="仿宋" w:eastAsia="仿宋"/>
          <w:b/>
          <w:sz w:val="24"/>
        </w:rPr>
      </w:pPr>
      <w:r>
        <w:rPr>
          <w:rFonts w:hint="eastAsia" w:ascii="仿宋" w:hAnsi="仿宋" w:eastAsia="仿宋"/>
          <w:b/>
          <w:sz w:val="24"/>
        </w:rPr>
        <w:t>五、提交投标文件截止时间、开标时间和地点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ascii="仿宋" w:hAnsi="仿宋" w:eastAsia="仿宋"/>
          <w:sz w:val="24"/>
          <w:u w:val="single"/>
        </w:rPr>
        <w:t xml:space="preserve"> </w:t>
      </w:r>
      <w:r>
        <w:rPr>
          <w:rFonts w:hint="eastAsia" w:ascii="仿宋" w:hAnsi="仿宋" w:eastAsia="仿宋"/>
          <w:sz w:val="24"/>
          <w:u w:val="single"/>
        </w:rPr>
        <w:t xml:space="preserve">2024 </w:t>
      </w:r>
      <w:r>
        <w:rPr>
          <w:rFonts w:ascii="仿宋" w:hAnsi="仿宋" w:eastAsia="仿宋"/>
          <w:sz w:val="24"/>
          <w:u w:val="single"/>
        </w:rPr>
        <w:t>年</w:t>
      </w:r>
      <w:r>
        <w:rPr>
          <w:rFonts w:hint="eastAsia" w:ascii="仿宋" w:hAnsi="仿宋" w:eastAsia="仿宋"/>
          <w:sz w:val="24"/>
          <w:u w:val="single"/>
        </w:rPr>
        <w:t xml:space="preserve"> 12月</w:t>
      </w:r>
      <w:r>
        <w:rPr>
          <w:rFonts w:hint="eastAsia" w:ascii="仿宋" w:hAnsi="仿宋" w:eastAsia="仿宋"/>
          <w:sz w:val="24"/>
          <w:u w:val="single"/>
          <w:lang w:val="en-US" w:eastAsia="zh-CN"/>
        </w:rPr>
        <w:t>20</w:t>
      </w:r>
      <w:r>
        <w:rPr>
          <w:rFonts w:hint="eastAsia" w:ascii="仿宋" w:hAnsi="仿宋" w:eastAsia="仿宋"/>
          <w:sz w:val="24"/>
          <w:u w:val="single"/>
        </w:rPr>
        <w:t>日</w:t>
      </w:r>
      <w:r>
        <w:rPr>
          <w:rFonts w:hint="eastAsia" w:ascii="仿宋" w:hAnsi="仿宋" w:eastAsia="仿宋"/>
          <w:sz w:val="24"/>
          <w:u w:val="single"/>
          <w:lang w:val="en-US" w:eastAsia="zh-CN"/>
        </w:rPr>
        <w:t>9</w:t>
      </w:r>
      <w:r>
        <w:rPr>
          <w:rFonts w:hint="eastAsia" w:ascii="仿宋" w:hAnsi="仿宋" w:eastAsia="仿宋"/>
          <w:sz w:val="24"/>
          <w:u w:val="single"/>
        </w:rPr>
        <w:t>点</w:t>
      </w:r>
      <w:r>
        <w:rPr>
          <w:rFonts w:hint="eastAsia" w:ascii="仿宋" w:hAnsi="仿宋" w:eastAsia="仿宋"/>
          <w:sz w:val="24"/>
          <w:u w:val="single"/>
          <w:lang w:val="en-US" w:eastAsia="zh-CN"/>
        </w:rPr>
        <w:t>00</w:t>
      </w:r>
      <w:r>
        <w:rPr>
          <w:rFonts w:hint="eastAsia" w:ascii="仿宋" w:hAnsi="仿宋" w:eastAsia="仿宋"/>
          <w:sz w:val="24"/>
          <w:u w:val="single"/>
        </w:rPr>
        <w:t xml:space="preserve"> 分</w:t>
      </w:r>
      <w:r>
        <w:rPr>
          <w:rFonts w:hint="eastAsia" w:ascii="仿宋" w:hAnsi="仿宋" w:eastAsia="仿宋"/>
          <w:bCs/>
          <w:sz w:val="24"/>
          <w:u w:val="single"/>
        </w:rPr>
        <w:t xml:space="preserve"> </w:t>
      </w:r>
      <w:r>
        <w:rPr>
          <w:rFonts w:hint="eastAsia" w:ascii="仿宋" w:hAnsi="仿宋" w:eastAsia="仿宋"/>
          <w:sz w:val="24"/>
        </w:rPr>
        <w:t>（北京时间）</w:t>
      </w:r>
    </w:p>
    <w:p>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sz w:val="24"/>
          <w:u w:val="single"/>
        </w:rPr>
        <w:t>2024</w:t>
      </w:r>
      <w:r>
        <w:rPr>
          <w:rFonts w:ascii="仿宋" w:hAnsi="仿宋" w:eastAsia="仿宋"/>
          <w:sz w:val="24"/>
          <w:u w:val="single"/>
        </w:rPr>
        <w:t>年</w:t>
      </w:r>
      <w:r>
        <w:rPr>
          <w:rFonts w:hint="eastAsia" w:ascii="仿宋" w:hAnsi="仿宋" w:eastAsia="仿宋"/>
          <w:sz w:val="24"/>
          <w:u w:val="single"/>
        </w:rPr>
        <w:t>12月</w:t>
      </w:r>
      <w:r>
        <w:rPr>
          <w:rFonts w:hint="eastAsia" w:ascii="仿宋" w:hAnsi="仿宋" w:eastAsia="仿宋"/>
          <w:sz w:val="24"/>
          <w:u w:val="single"/>
          <w:lang w:val="en-US" w:eastAsia="zh-CN"/>
        </w:rPr>
        <w:t>20</w:t>
      </w:r>
      <w:r>
        <w:rPr>
          <w:rFonts w:hint="eastAsia" w:ascii="仿宋" w:hAnsi="仿宋" w:eastAsia="仿宋"/>
          <w:sz w:val="24"/>
          <w:u w:val="single"/>
        </w:rPr>
        <w:t xml:space="preserve">日 </w:t>
      </w:r>
      <w:r>
        <w:rPr>
          <w:rFonts w:hint="eastAsia" w:ascii="仿宋" w:hAnsi="仿宋" w:eastAsia="仿宋"/>
          <w:sz w:val="24"/>
          <w:u w:val="single"/>
          <w:lang w:val="en-US" w:eastAsia="zh-CN"/>
        </w:rPr>
        <w:t>9</w:t>
      </w:r>
      <w:r>
        <w:rPr>
          <w:rFonts w:hint="eastAsia" w:ascii="仿宋" w:hAnsi="仿宋" w:eastAsia="仿宋"/>
          <w:sz w:val="24"/>
          <w:u w:val="single"/>
        </w:rPr>
        <w:t>点</w:t>
      </w:r>
      <w:r>
        <w:rPr>
          <w:rFonts w:hint="eastAsia" w:ascii="仿宋" w:hAnsi="仿宋" w:eastAsia="仿宋"/>
          <w:sz w:val="24"/>
          <w:u w:val="single"/>
          <w:lang w:val="en-US" w:eastAsia="zh-CN"/>
        </w:rPr>
        <w:t>00</w:t>
      </w:r>
      <w:r>
        <w:rPr>
          <w:rFonts w:hint="eastAsia" w:ascii="仿宋" w:hAnsi="仿宋" w:eastAsia="仿宋"/>
          <w:sz w:val="24"/>
          <w:u w:val="single"/>
        </w:rPr>
        <w:t xml:space="preserve"> 分</w:t>
      </w:r>
      <w:r>
        <w:rPr>
          <w:rFonts w:hint="eastAsia" w:ascii="仿宋" w:hAnsi="仿宋" w:eastAsia="仿宋"/>
          <w:bCs/>
          <w:sz w:val="24"/>
          <w:u w:val="single"/>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江山市公共资源交易中心7号评标室（江山市虎山街道景星西路万商城12号楼4楼） （“</w:t>
      </w:r>
      <w:bookmarkStart w:id="1004" w:name="_GoBack"/>
      <w:bookmarkEnd w:id="1004"/>
      <w:r>
        <w:rPr>
          <w:rFonts w:ascii="仿宋" w:hAnsi="仿宋" w:eastAsia="仿宋"/>
          <w:sz w:val="24"/>
        </w:rPr>
        <w:t>在江山市公共资源交易中心开标”）</w:t>
      </w:r>
      <w:r>
        <w:rPr>
          <w:rFonts w:hint="eastAsia" w:ascii="仿宋" w:hAnsi="仿宋" w:eastAsia="仿宋"/>
          <w:sz w:val="24"/>
        </w:rPr>
        <w:t>    </w:t>
      </w:r>
    </w:p>
    <w:p>
      <w:pPr>
        <w:spacing w:line="360" w:lineRule="auto"/>
        <w:rPr>
          <w:rFonts w:ascii="仿宋" w:hAnsi="仿宋" w:eastAsia="仿宋"/>
          <w:sz w:val="24"/>
        </w:rPr>
      </w:pPr>
      <w:r>
        <w:rPr>
          <w:rFonts w:hint="eastAsia" w:ascii="仿宋" w:hAnsi="仿宋" w:eastAsia="仿宋"/>
          <w:b/>
          <w:sz w:val="24"/>
        </w:rPr>
        <w:t>六、公告期限</w:t>
      </w:r>
      <w:r>
        <w:rPr>
          <w:rFonts w:ascii="仿宋" w:hAnsi="仿宋" w:eastAsia="仿宋"/>
          <w:b/>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360" w:lineRule="auto"/>
        <w:rPr>
          <w:rFonts w:ascii="仿宋" w:hAnsi="仿宋" w:eastAsia="仿宋"/>
          <w:b/>
          <w:sz w:val="24"/>
        </w:rPr>
      </w:pPr>
      <w:r>
        <w:rPr>
          <w:rFonts w:hint="eastAsia" w:ascii="仿宋" w:hAnsi="仿宋" w:eastAsia="仿宋"/>
          <w:b/>
          <w:sz w:val="24"/>
        </w:rPr>
        <w:t>七、其他补充事宜</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w:t>
      </w:r>
      <w:r>
        <w:rPr>
          <w:rFonts w:ascii="仿宋" w:hAnsi="仿宋" w:eastAsia="仿宋"/>
          <w:sz w:val="24"/>
        </w:rPr>
        <w:t xml:space="preserve"> </w:t>
      </w:r>
      <w:r>
        <w:rPr>
          <w:rFonts w:hint="eastAsia" w:ascii="仿宋" w:hAnsi="仿宋" w:eastAsia="仿宋"/>
          <w:sz w:val="24"/>
        </w:rPr>
        <w:t>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w:t>
      </w:r>
      <w:r>
        <w:rPr>
          <w:rFonts w:hint="eastAsia" w:ascii="仿宋" w:hAnsi="仿宋" w:eastAsia="仿宋" w:cs="仿宋_GB2312"/>
          <w:sz w:val="24"/>
        </w:rPr>
        <w:t>将在政采云平台上最后生成的具备电子签章的备份加密投标文件(文件名后缀为备份文件四字的首字母）以电子邮件方式传送至邮箱（313441833@qq.com)</w:t>
      </w:r>
      <w:r>
        <w:rPr>
          <w:rFonts w:ascii="仿宋" w:hAnsi="仿宋" w:eastAsia="仿宋" w:cs="仿宋_GB2312"/>
          <w:sz w:val="24"/>
        </w:rPr>
        <w:t>。备份投标文件的制作、存储、密封详见招标文件第二部分第</w:t>
      </w:r>
      <w:r>
        <w:rPr>
          <w:rFonts w:ascii="仿宋" w:hAnsi="仿宋" w:eastAsia="仿宋" w:cs="仿宋_GB2312"/>
          <w:color w:val="000000" w:themeColor="text1"/>
          <w:sz w:val="24"/>
        </w:rPr>
        <w:t>15点—“备份投标文件”</w:t>
      </w:r>
      <w:r>
        <w:rPr>
          <w:rFonts w:hint="eastAsia" w:ascii="仿宋" w:hAnsi="仿宋" w:eastAsia="仿宋" w:cs="仿宋_GB2312"/>
          <w:color w:val="000000" w:themeColor="text1"/>
          <w:sz w:val="24"/>
        </w:rPr>
        <w:t>；</w:t>
      </w:r>
      <w:r>
        <w:rPr>
          <w:rFonts w:hint="eastAsia" w:ascii="仿宋" w:hAnsi="仿宋" w:eastAsia="仿宋"/>
          <w:color w:val="000000" w:themeColor="text1"/>
          <w:sz w:val="24"/>
        </w:rPr>
        <w:t>⑨</w:t>
      </w:r>
      <w:r>
        <w:rPr>
          <w:rFonts w:hint="eastAsia" w:ascii="仿宋" w:hAnsi="仿宋" w:eastAsia="仿宋" w:cs="仿宋_GB2312"/>
          <w:color w:val="000000" w:themeColor="text1"/>
          <w:sz w:val="24"/>
        </w:rPr>
        <w:t>投标文件</w:t>
      </w:r>
      <w:r>
        <w:rPr>
          <w:rFonts w:hint="eastAsia" w:ascii="仿宋" w:hAnsi="仿宋" w:eastAsia="仿宋" w:cs="仿宋_GB2312"/>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360" w:lineRule="auto"/>
        <w:ind w:firstLine="480" w:firstLineChars="200"/>
        <w:rPr>
          <w:rFonts w:ascii="仿宋" w:hAnsi="仿宋" w:eastAsia="仿宋"/>
          <w:sz w:val="24"/>
        </w:rPr>
      </w:pPr>
      <w:r>
        <w:rPr>
          <w:rFonts w:hint="eastAsia" w:ascii="仿宋" w:hAnsi="仿宋" w:eastAsia="仿宋"/>
          <w:sz w:val="24"/>
        </w:rPr>
        <w:t>5、本项目按标项一、标项二、标项三、标项四、标项五顺序进行，按照一家供应商只能被推荐为一个标项的第一中标候选人的规则。如供应商被推荐为标项一的中标候选人，就</w:t>
      </w:r>
      <w:r>
        <w:rPr>
          <w:rFonts w:hint="eastAsia" w:ascii="仿宋_GB2312" w:hAnsi="仿宋" w:eastAsia="仿宋_GB2312" w:cs="仿宋_GB2312"/>
          <w:sz w:val="24"/>
        </w:rPr>
        <w:t>不参与标项二、三、四、五的评标</w:t>
      </w:r>
      <w:r>
        <w:rPr>
          <w:rFonts w:hint="eastAsia" w:ascii="仿宋" w:hAnsi="仿宋" w:eastAsia="仿宋"/>
          <w:sz w:val="24"/>
        </w:rPr>
        <w:t>；供应商被推荐为标项二的第一中标候选人，</w:t>
      </w:r>
      <w:r>
        <w:rPr>
          <w:rFonts w:hint="eastAsia" w:ascii="仿宋_GB2312" w:hAnsi="仿宋" w:eastAsia="仿宋_GB2312" w:cs="仿宋_GB2312"/>
          <w:sz w:val="24"/>
        </w:rPr>
        <w:t>就不参与标项三、四、五的评标</w:t>
      </w:r>
      <w:r>
        <w:rPr>
          <w:rFonts w:hint="eastAsia" w:ascii="仿宋" w:hAnsi="仿宋" w:eastAsia="仿宋"/>
          <w:sz w:val="24"/>
        </w:rPr>
        <w:t>；供应商被推荐为标项三的第一中标候选人，</w:t>
      </w:r>
      <w:r>
        <w:rPr>
          <w:rFonts w:hint="eastAsia" w:ascii="仿宋_GB2312" w:hAnsi="仿宋" w:eastAsia="仿宋_GB2312" w:cs="仿宋_GB2312"/>
          <w:sz w:val="24"/>
        </w:rPr>
        <w:t>就不参与标项四、五的评标；</w:t>
      </w:r>
      <w:r>
        <w:rPr>
          <w:rFonts w:hint="eastAsia" w:ascii="仿宋" w:hAnsi="仿宋" w:eastAsia="仿宋"/>
          <w:sz w:val="24"/>
        </w:rPr>
        <w:t>供应商被推荐为标项四的第一中标候选人，</w:t>
      </w:r>
      <w:r>
        <w:rPr>
          <w:rFonts w:hint="eastAsia" w:ascii="仿宋_GB2312" w:hAnsi="仿宋" w:eastAsia="仿宋_GB2312" w:cs="仿宋_GB2312"/>
          <w:sz w:val="24"/>
        </w:rPr>
        <w:t>就不参与标项五的评标</w:t>
      </w:r>
      <w:r>
        <w:rPr>
          <w:rFonts w:hint="eastAsia" w:ascii="仿宋" w:hAnsi="仿宋" w:eastAsia="仿宋"/>
          <w:sz w:val="24"/>
        </w:rPr>
        <w:t xml:space="preserve">。 </w:t>
      </w:r>
    </w:p>
    <w:p>
      <w:pPr>
        <w:spacing w:line="360" w:lineRule="auto"/>
        <w:rPr>
          <w:rFonts w:ascii="仿宋" w:hAnsi="仿宋" w:eastAsia="仿宋"/>
          <w:b/>
          <w:sz w:val="24"/>
        </w:rPr>
      </w:pPr>
      <w:r>
        <w:rPr>
          <w:rFonts w:hint="eastAsia" w:ascii="仿宋" w:hAnsi="仿宋" w:eastAsia="仿宋"/>
          <w:b/>
          <w:sz w:val="24"/>
        </w:rPr>
        <w:t>八、对本次采购提出询问、质疑、投诉，请按以下方式联系</w:t>
      </w:r>
    </w:p>
    <w:p>
      <w:pPr>
        <w:spacing w:line="360" w:lineRule="auto"/>
        <w:rPr>
          <w:rFonts w:ascii="仿宋" w:hAnsi="仿宋" w:eastAsia="仿宋"/>
          <w:sz w:val="24"/>
        </w:rPr>
      </w:pPr>
      <w:r>
        <w:rPr>
          <w:rFonts w:ascii="仿宋" w:hAnsi="仿宋" w:eastAsia="仿宋"/>
          <w:sz w:val="24"/>
        </w:rPr>
        <w:t xml:space="preserve">    1.采购人信息</w:t>
      </w:r>
    </w:p>
    <w:p>
      <w:pPr>
        <w:spacing w:line="360" w:lineRule="auto"/>
        <w:rPr>
          <w:rFonts w:ascii="仿宋" w:hAnsi="仿宋" w:eastAsia="仿宋"/>
          <w:sz w:val="24"/>
        </w:rPr>
      </w:pPr>
      <w:r>
        <w:rPr>
          <w:rFonts w:ascii="仿宋" w:hAnsi="仿宋" w:eastAsia="仿宋"/>
          <w:sz w:val="24"/>
        </w:rPr>
        <w:t xml:space="preserve">    名    称：</w:t>
      </w:r>
      <w:r>
        <w:rPr>
          <w:rFonts w:hint="eastAsia" w:ascii="仿宋" w:hAnsi="仿宋" w:eastAsia="仿宋"/>
          <w:sz w:val="24"/>
        </w:rPr>
        <w:t>江山市园林管理处</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sz w:val="24"/>
        </w:rPr>
        <w:t>江山市江东大道29号</w:t>
      </w:r>
      <w:r>
        <w:rPr>
          <w:rFonts w:hint="eastAsia" w:ascii="仿宋" w:hAnsi="仿宋" w:eastAsia="仿宋" w:cs="仿宋_GB2312"/>
          <w:sz w:val="24"/>
        </w:rPr>
        <w:t xml:space="preserve"> </w:t>
      </w:r>
      <w:r>
        <w:rPr>
          <w:rFonts w:ascii="仿宋" w:hAnsi="仿宋" w:eastAsia="仿宋"/>
          <w:sz w:val="24"/>
        </w:rPr>
        <w:t xml:space="preserve">      </w:t>
      </w:r>
    </w:p>
    <w:p>
      <w:pPr>
        <w:spacing w:line="360" w:lineRule="auto"/>
        <w:ind w:firstLine="480"/>
        <w:rPr>
          <w:rFonts w:ascii="仿宋" w:hAnsi="仿宋" w:eastAsia="仿宋"/>
          <w:sz w:val="24"/>
        </w:rPr>
      </w:pPr>
      <w:r>
        <w:rPr>
          <w:rFonts w:hint="eastAsia" w:ascii="仿宋" w:hAnsi="仿宋" w:eastAsia="仿宋"/>
          <w:sz w:val="24"/>
        </w:rPr>
        <w:t>传</w:t>
      </w:r>
      <w:r>
        <w:rPr>
          <w:rFonts w:ascii="仿宋" w:hAnsi="仿宋" w:eastAsia="仿宋"/>
          <w:sz w:val="24"/>
        </w:rPr>
        <w:t xml:space="preserve">    真： /</w:t>
      </w:r>
    </w:p>
    <w:p>
      <w:pPr>
        <w:spacing w:line="360" w:lineRule="auto"/>
        <w:ind w:firstLine="480"/>
        <w:rPr>
          <w:rFonts w:ascii="仿宋" w:hAnsi="仿宋" w:eastAsia="仿宋"/>
          <w:sz w:val="24"/>
        </w:rPr>
      </w:pPr>
      <w:r>
        <w:rPr>
          <w:rFonts w:hint="eastAsia" w:ascii="仿宋" w:hAnsi="仿宋" w:eastAsia="仿宋"/>
          <w:sz w:val="24"/>
        </w:rPr>
        <w:t>项目联系人（询问）：严女士</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sz w:val="24"/>
        </w:rPr>
        <w:t xml:space="preserve">  0570-4578213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rPr>
        <w:t xml:space="preserve"> 夏女士</w:t>
      </w:r>
    </w:p>
    <w:p>
      <w:pPr>
        <w:spacing w:line="360" w:lineRule="auto"/>
        <w:rPr>
          <w:rFonts w:ascii="仿宋" w:hAnsi="仿宋" w:eastAsia="仿宋"/>
          <w:sz w:val="24"/>
        </w:rPr>
      </w:pPr>
      <w:r>
        <w:rPr>
          <w:rFonts w:ascii="仿宋" w:hAnsi="仿宋" w:eastAsia="仿宋"/>
          <w:sz w:val="24"/>
        </w:rPr>
        <w:t xml:space="preserve">    质疑联系方式：</w:t>
      </w:r>
      <w:r>
        <w:rPr>
          <w:rFonts w:hint="eastAsia" w:ascii="仿宋" w:hAnsi="仿宋" w:eastAsia="仿宋"/>
          <w:sz w:val="24"/>
        </w:rPr>
        <w:t xml:space="preserve"> 0570-4578213</w:t>
      </w:r>
    </w:p>
    <w:p>
      <w:pPr>
        <w:spacing w:line="360" w:lineRule="auto"/>
        <w:rPr>
          <w:rFonts w:ascii="仿宋" w:hAnsi="仿宋" w:eastAsia="仿宋"/>
          <w:sz w:val="24"/>
        </w:rPr>
      </w:pPr>
      <w:r>
        <w:rPr>
          <w:rFonts w:ascii="仿宋" w:hAnsi="仿宋" w:eastAsia="仿宋"/>
          <w:sz w:val="24"/>
        </w:rPr>
        <w:t xml:space="preserve">    2.采购代理机构信息            </w:t>
      </w:r>
    </w:p>
    <w:p>
      <w:pPr>
        <w:spacing w:line="360" w:lineRule="auto"/>
        <w:ind w:firstLine="480"/>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称：浙江中正工程项目管理有限公司</w:t>
      </w:r>
    </w:p>
    <w:p>
      <w:pPr>
        <w:spacing w:line="360" w:lineRule="auto"/>
        <w:ind w:firstLine="480"/>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址：江山市文苑路89-3号二楼，七星亚龙湾售楼部隔壁</w:t>
      </w:r>
    </w:p>
    <w:p>
      <w:pPr>
        <w:spacing w:line="360" w:lineRule="auto"/>
        <w:rPr>
          <w:rFonts w:ascii="仿宋" w:hAnsi="仿宋" w:eastAsia="仿宋"/>
          <w:sz w:val="24"/>
        </w:rPr>
      </w:pPr>
      <w:r>
        <w:rPr>
          <w:rFonts w:ascii="仿宋" w:hAnsi="仿宋" w:eastAsia="仿宋"/>
          <w:sz w:val="24"/>
        </w:rPr>
        <w:t xml:space="preserve">    传    真：/             </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sz w:val="24"/>
        </w:rPr>
        <w:t xml:space="preserve">姜先生 </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项目联系方式（询问）：0570-4057007</w:t>
      </w:r>
      <w:r>
        <w:rPr>
          <w:rFonts w:hint="eastAsia"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rPr>
        <w:t xml:space="preserve">戴勤登 </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质疑联系方式：</w:t>
      </w:r>
      <w:r>
        <w:rPr>
          <w:rFonts w:hint="eastAsia" w:ascii="仿宋" w:hAnsi="仿宋" w:eastAsia="仿宋"/>
          <w:sz w:val="24"/>
        </w:rPr>
        <w:t xml:space="preserve">0570-4028624 </w:t>
      </w:r>
    </w:p>
    <w:p>
      <w:pPr>
        <w:spacing w:line="360" w:lineRule="auto"/>
        <w:rPr>
          <w:rFonts w:ascii="仿宋" w:hAnsi="仿宋" w:eastAsia="仿宋"/>
          <w:sz w:val="24"/>
        </w:rPr>
      </w:pPr>
      <w:r>
        <w:rPr>
          <w:rFonts w:ascii="仿宋" w:hAnsi="仿宋" w:eastAsia="仿宋"/>
          <w:sz w:val="24"/>
        </w:rPr>
        <w:t xml:space="preserve">    3.同级政府采购监督管理部门            </w:t>
      </w:r>
    </w:p>
    <w:p>
      <w:pPr>
        <w:spacing w:line="360" w:lineRule="auto"/>
        <w:rPr>
          <w:rFonts w:ascii="仿宋" w:hAnsi="仿宋" w:eastAsia="仿宋"/>
          <w:sz w:val="24"/>
        </w:rPr>
      </w:pPr>
      <w:r>
        <w:rPr>
          <w:rFonts w:ascii="仿宋" w:hAnsi="仿宋" w:eastAsia="仿宋"/>
          <w:sz w:val="24"/>
        </w:rPr>
        <w:t xml:space="preserve">    名    称：</w:t>
      </w:r>
      <w:r>
        <w:rPr>
          <w:rFonts w:hint="eastAsia" w:ascii="仿宋" w:hAnsi="仿宋" w:eastAsia="仿宋"/>
          <w:sz w:val="24"/>
        </w:rPr>
        <w:t>江山市财政局采监科</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sz w:val="24"/>
        </w:rPr>
        <w:t>江山市鹿溪中路240号</w:t>
      </w:r>
    </w:p>
    <w:p>
      <w:pPr>
        <w:spacing w:line="360" w:lineRule="auto"/>
        <w:ind w:firstLine="240" w:firstLineChars="100"/>
        <w:rPr>
          <w:rFonts w:ascii="仿宋" w:hAnsi="仿宋" w:eastAsia="仿宋"/>
          <w:sz w:val="24"/>
        </w:rPr>
      </w:pPr>
      <w:r>
        <w:rPr>
          <w:rFonts w:ascii="仿宋" w:hAnsi="仿宋" w:eastAsia="仿宋"/>
          <w:sz w:val="24"/>
        </w:rPr>
        <w:t xml:space="preserve">  传    真：</w:t>
      </w:r>
      <w:r>
        <w:rPr>
          <w:rFonts w:hint="eastAsia"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联系人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王科长</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监督投诉电话：0570-4033811</w:t>
      </w:r>
      <w:r>
        <w:rPr>
          <w:rFonts w:hint="eastAsia" w:ascii="仿宋" w:hAnsi="仿宋" w:eastAsia="仿宋"/>
          <w:sz w:val="24"/>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w:t>
      </w:r>
      <w:r>
        <w:rPr>
          <w:rFonts w:ascii="仿宋" w:hAnsi="仿宋" w:eastAsia="仿宋"/>
          <w:sz w:val="24"/>
        </w:rPr>
        <w:t>95763获取热线服务帮助。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23" w:name="_Toc95232832"/>
      <w:bookmarkStart w:id="24" w:name="_Toc95295190"/>
      <w:bookmarkStart w:id="25" w:name="_Toc95295944"/>
      <w:bookmarkStart w:id="26" w:name="_Toc95296620"/>
      <w:bookmarkStart w:id="27" w:name="_Toc95296749"/>
      <w:bookmarkStart w:id="28" w:name="_Toc102563653"/>
      <w:bookmarkStart w:id="29" w:name="_Toc102563860"/>
      <w:bookmarkStart w:id="30" w:name="_Toc102563930"/>
      <w:bookmarkStart w:id="31" w:name="_Toc102563998"/>
      <w:bookmarkStart w:id="32" w:name="_Toc102565146"/>
      <w:r>
        <w:rPr>
          <w:rFonts w:hint="eastAsia" w:ascii="仿宋" w:hAnsi="仿宋" w:eastAsia="仿宋" w:cs="仿宋_GB2312"/>
          <w:b/>
          <w:sz w:val="36"/>
          <w:szCs w:val="20"/>
        </w:rPr>
        <w:t>第二部分</w:t>
      </w:r>
      <w:bookmarkEnd w:id="17"/>
      <w:r>
        <w:rPr>
          <w:rFonts w:ascii="仿宋" w:hAnsi="仿宋" w:eastAsia="仿宋" w:cs="仿宋_GB2312"/>
          <w:b/>
          <w:sz w:val="36"/>
          <w:szCs w:val="20"/>
        </w:rPr>
        <w:t xml:space="preserve"> 投标人须知</w:t>
      </w:r>
      <w:bookmarkEnd w:id="18"/>
      <w:bookmarkEnd w:id="23"/>
      <w:bookmarkEnd w:id="24"/>
      <w:bookmarkEnd w:id="25"/>
      <w:bookmarkEnd w:id="26"/>
      <w:bookmarkEnd w:id="27"/>
      <w:bookmarkEnd w:id="28"/>
      <w:bookmarkEnd w:id="29"/>
      <w:bookmarkEnd w:id="30"/>
      <w:bookmarkEnd w:id="31"/>
      <w:bookmarkEnd w:id="32"/>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kern w:val="0"/>
                <w:sz w:val="24"/>
                <w:lang w:val="zh-CN"/>
              </w:rPr>
            </w:pPr>
            <w:r>
              <w:rPr>
                <w:rFonts w:hint="eastAsia" w:ascii="仿宋" w:hAnsi="仿宋" w:eastAsia="仿宋"/>
                <w:kern w:val="0"/>
                <w:lang w:val="zh-CN"/>
              </w:rPr>
              <w:t>有关本项目实施所需的所有费用（含税费）均计入报价。</w:t>
            </w:r>
            <w:r>
              <w:rPr>
                <w:rFonts w:hint="eastAsia" w:ascii="仿宋" w:hAnsi="仿宋" w:eastAsia="仿宋" w:cs="仿宋_GB2312"/>
              </w:rPr>
              <w:t>开标一览表（报价表）</w:t>
            </w:r>
            <w:r>
              <w:rPr>
                <w:rFonts w:hint="eastAsia" w:ascii="仿宋" w:hAnsi="仿宋" w:eastAsia="仿宋"/>
              </w:rPr>
              <w:t>是报价的唯一载体</w:t>
            </w:r>
            <w:r>
              <w:rPr>
                <w:rFonts w:hint="eastAsia" w:ascii="仿宋" w:hAnsi="仿宋" w:eastAsia="仿宋" w:cs="仿宋_GB2312"/>
                <w:kern w:val="0"/>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spacing w:line="360" w:lineRule="auto"/>
              <w:ind w:firstLine="241" w:firstLineChars="100"/>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spacing w:line="360" w:lineRule="auto"/>
              <w:ind w:firstLine="241" w:firstLineChars="100"/>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sz w:val="24"/>
              </w:rPr>
            </w:pPr>
            <w:sdt>
              <w:sdtPr>
                <w:rPr>
                  <w:rFonts w:hint="eastAsia" w:ascii="仿宋" w:hAnsi="仿宋" w:eastAsia="仿宋" w:cs="Arial"/>
                  <w:kern w:val="0"/>
                  <w:sz w:val="24"/>
                </w:rPr>
                <w:id w:val="7237940"/>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投标人应当提供的资格文件、</w:t>
            </w:r>
            <w:r>
              <w:rPr>
                <w:rFonts w:hint="eastAsia" w:ascii="仿宋" w:hAnsi="仿宋" w:eastAsia="仿宋"/>
                <w:sz w:val="24"/>
              </w:rPr>
              <w:t>商务技术</w:t>
            </w:r>
            <w:r>
              <w:rPr>
                <w:rFonts w:hint="eastAsia" w:ascii="仿宋" w:hAnsi="仿宋" w:eastAsia="仿宋" w:cs="仿宋_GB2312"/>
                <w:b/>
                <w:sz w:val="24"/>
              </w:rPr>
              <w:t>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1）资格文件：见招标文件第二部分11.1。</w:t>
            </w:r>
          </w:p>
          <w:p>
            <w:pPr>
              <w:spacing w:line="360" w:lineRule="auto"/>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商务技术</w:t>
            </w:r>
            <w:r>
              <w:rPr>
                <w:rFonts w:ascii="仿宋" w:hAnsi="仿宋" w:eastAsia="仿宋"/>
                <w:sz w:val="24"/>
              </w:rPr>
              <w:t>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0"/>
              </w:rPr>
            </w:pPr>
            <w:sdt>
              <w:sdtPr>
                <w:rPr>
                  <w:rFonts w:hint="eastAsia" w:ascii="仿宋" w:hAnsi="仿宋" w:eastAsia="仿宋" w:cs="Arial"/>
                  <w:kern w:val="0"/>
                  <w:sz w:val="24"/>
                </w:rPr>
                <w:id w:val="7237941"/>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kern w:val="0"/>
                <w:sz w:val="24"/>
              </w:rPr>
              <w:t>B组织，</w:t>
            </w:r>
            <w:r>
              <w:rPr>
                <w:rFonts w:hint="eastAsia" w:ascii="仿宋" w:hAnsi="仿宋" w:eastAsia="仿宋"/>
                <w:sz w:val="24"/>
              </w:rPr>
              <w:t>时间：</w:t>
            </w:r>
            <w:r>
              <w:rPr>
                <w:rFonts w:ascii="仿宋" w:hAnsi="仿宋" w:eastAsia="仿宋"/>
                <w:sz w:val="24"/>
                <w:u w:val="single"/>
              </w:rPr>
              <w:t xml:space="preserve"> </w:t>
            </w:r>
            <w:r>
              <w:rPr>
                <w:rFonts w:hint="eastAsia" w:ascii="仿宋" w:hAnsi="仿宋" w:eastAsia="仿宋"/>
                <w:sz w:val="24"/>
                <w:u w:val="single"/>
                <w:lang w:val="en-US" w:eastAsia="zh-CN"/>
              </w:rPr>
              <w:t>2024年11月13日9时00分00秒</w:t>
            </w:r>
            <w:r>
              <w:rPr>
                <w:rFonts w:ascii="仿宋" w:hAnsi="仿宋" w:eastAsia="仿宋"/>
                <w:sz w:val="24"/>
                <w:u w:val="single"/>
              </w:rPr>
              <w:t xml:space="preserve"> </w:t>
            </w:r>
            <w:r>
              <w:rPr>
                <w:rFonts w:ascii="仿宋" w:hAnsi="仿宋" w:eastAsia="仿宋"/>
                <w:sz w:val="24"/>
              </w:rPr>
              <w:t>,地点：</w:t>
            </w:r>
            <w:r>
              <w:rPr>
                <w:rFonts w:hint="eastAsia" w:ascii="仿宋" w:hAnsi="仿宋" w:eastAsia="仿宋"/>
                <w:sz w:val="24"/>
                <w:u w:val="single"/>
              </w:rPr>
              <w:t>江山市江东大道29号</w:t>
            </w:r>
            <w:r>
              <w:rPr>
                <w:rFonts w:hint="eastAsia" w:ascii="仿宋" w:hAnsi="仿宋" w:eastAsia="仿宋"/>
                <w:sz w:val="24"/>
              </w:rPr>
              <w:t>，联系人：</w:t>
            </w:r>
            <w:r>
              <w:rPr>
                <w:rFonts w:ascii="仿宋" w:hAnsi="仿宋" w:eastAsia="仿宋"/>
                <w:sz w:val="24"/>
                <w:u w:val="single"/>
              </w:rPr>
              <w:t xml:space="preserve">  </w:t>
            </w:r>
            <w:r>
              <w:rPr>
                <w:rFonts w:hint="eastAsia" w:ascii="仿宋" w:hAnsi="仿宋" w:eastAsia="仿宋"/>
                <w:sz w:val="24"/>
                <w:u w:val="single"/>
              </w:rPr>
              <w:t>严女士</w:t>
            </w:r>
            <w:r>
              <w:rPr>
                <w:rFonts w:ascii="仿宋" w:hAnsi="仿宋" w:eastAsia="仿宋"/>
                <w:sz w:val="24"/>
                <w:u w:val="single"/>
              </w:rPr>
              <w:t xml:space="preserve">    </w:t>
            </w:r>
            <w:r>
              <w:rPr>
                <w:rFonts w:hint="eastAsia" w:ascii="仿宋" w:hAnsi="仿宋" w:eastAsia="仿宋"/>
                <w:sz w:val="24"/>
              </w:rPr>
              <w:t>，联系方式：</w:t>
            </w:r>
            <w:r>
              <w:rPr>
                <w:rFonts w:ascii="仿宋" w:hAnsi="仿宋" w:eastAsia="仿宋"/>
                <w:sz w:val="24"/>
                <w:u w:val="single"/>
              </w:rPr>
              <w:t xml:space="preserve"> </w:t>
            </w:r>
            <w:r>
              <w:rPr>
                <w:rFonts w:hint="eastAsia" w:ascii="仿宋" w:hAnsi="仿宋" w:eastAsia="仿宋"/>
                <w:sz w:val="24"/>
                <w:u w:val="single"/>
              </w:rPr>
              <w:t>0570-4578213</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026831988"/>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 xml:space="preserve"> A</w:t>
            </w:r>
            <w:r>
              <w:rPr>
                <w:rFonts w:hint="eastAsia" w:ascii="仿宋" w:hAnsi="仿宋" w:eastAsia="仿宋"/>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_GB2312"/>
                <w:sz w:val="24"/>
              </w:rPr>
            </w:pPr>
            <w:r>
              <w:rPr>
                <w:rFonts w:ascii="仿宋" w:hAnsi="仿宋" w:eastAsia="仿宋"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5480857"/>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 xml:space="preserve"> A</w:t>
            </w:r>
            <w:r>
              <w:rPr>
                <w:rFonts w:hint="eastAsia" w:ascii="仿宋" w:hAnsi="仿宋" w:eastAsia="仿宋"/>
                <w:sz w:val="24"/>
              </w:rPr>
              <w:t>不组织。</w:t>
            </w:r>
            <w:r>
              <w:rPr>
                <w:rFonts w:ascii="仿宋" w:hAnsi="仿宋" w:eastAsia="仿宋" w:cs="仿宋_GB2312"/>
                <w:b/>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kern w:val="0"/>
                <w:sz w:val="24"/>
              </w:rPr>
            </w:pPr>
            <w:sdt>
              <w:sdtPr>
                <w:rPr>
                  <w:rFonts w:hint="eastAsia" w:ascii="仿宋" w:hAnsi="仿宋" w:eastAsia="仿宋" w:cs="Arial"/>
                  <w:kern w:val="0"/>
                  <w:sz w:val="24"/>
                </w:rPr>
                <w:id w:val="7237945"/>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cs="Arial"/>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5480861"/>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 xml:space="preserve"> 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rPr>
                <w:rFonts w:ascii="仿宋" w:hAnsi="仿宋" w:eastAsia="仿宋" w:cs="仿宋_GB2312"/>
                <w:sz w:val="24"/>
              </w:rPr>
            </w:pPr>
            <w:r>
              <w:rPr>
                <w:rFonts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1</w:t>
            </w:r>
            <w:r>
              <w:rPr>
                <w:rFonts w:hint="eastAsia" w:ascii="仿宋" w:hAnsi="仿宋" w:eastAsia="仿宋" w:cs="Arial"/>
                <w:kern w:val="0"/>
                <w:sz w:val="24"/>
              </w:rPr>
              <w:t>）标的：</w:t>
            </w:r>
            <w:r>
              <w:rPr>
                <w:rFonts w:hint="eastAsia" w:ascii="仿宋" w:hAnsi="仿宋" w:eastAsia="仿宋" w:cs="仿宋_GB2312"/>
                <w:sz w:val="24"/>
                <w:u w:val="single"/>
              </w:rPr>
              <w:t>2025年江山市公共绿地养护采购项目</w:t>
            </w:r>
            <w:r>
              <w:rPr>
                <w:rFonts w:hint="eastAsia" w:ascii="仿宋" w:hAnsi="仿宋" w:eastAsia="仿宋" w:cs="Arial"/>
                <w:kern w:val="0"/>
                <w:sz w:val="24"/>
              </w:rPr>
              <w:t>，属于</w:t>
            </w:r>
            <w:r>
              <w:rPr>
                <w:rFonts w:hint="eastAsia" w:ascii="仿宋" w:hAnsi="仿宋" w:eastAsia="仿宋" w:cs="Arial"/>
                <w:kern w:val="0"/>
                <w:sz w:val="24"/>
                <w:u w:val="single"/>
              </w:rPr>
              <w:t xml:space="preserve">    租赁和商务服务</w:t>
            </w:r>
            <w:r>
              <w:rPr>
                <w:rFonts w:hint="eastAsia" w:ascii="仿宋" w:hAnsi="仿宋" w:eastAsia="仿宋" w:cs="Arial"/>
                <w:kern w:val="0"/>
                <w:sz w:val="24"/>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eastAsia="仿宋"/>
              </w:rPr>
            </w:pPr>
            <w:r>
              <w:rPr>
                <w:rFonts w:hint="eastAsia" w:ascii="仿宋" w:hAnsi="仿宋" w:eastAsia="仿宋"/>
                <w:snapToGrid w:val="0"/>
                <w:kern w:val="28"/>
                <w:sz w:val="24"/>
              </w:rPr>
              <w:t>21000元，标项一、二、四、五每个标项4000元，标项三5000元，由中标单位承担，在中标单位领取中标通知书时支付给采购代理机构。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中标单位纸质投标文件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b/>
                <w:color w:val="FF0000"/>
                <w:kern w:val="0"/>
                <w:sz w:val="24"/>
              </w:rPr>
            </w:pPr>
            <w:r>
              <w:rPr>
                <w:rFonts w:hint="eastAsia" w:ascii="仿宋" w:hAnsi="仿宋" w:eastAsia="仿宋"/>
                <w:snapToGrid w:val="0"/>
                <w:kern w:val="28"/>
                <w:sz w:val="24"/>
              </w:rPr>
              <w:t>中标供应商应在中标后提供三份纸质备份投标文件（电子投标文件纸质版）给采购代理机构。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color w:val="FF0000"/>
                <w:sz w:val="24"/>
              </w:rPr>
            </w:pPr>
            <w:sdt>
              <w:sdtPr>
                <w:rPr>
                  <w:rFonts w:hint="eastAsia" w:ascii="仿宋" w:hAnsi="仿宋" w:eastAsia="仿宋" w:cs="Arial"/>
                  <w:kern w:val="0"/>
                  <w:sz w:val="24"/>
                </w:rPr>
                <w:id w:val="15480866"/>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cs="Arial"/>
                <w:kern w:val="0"/>
                <w:sz w:val="24"/>
              </w:rPr>
              <w:t>无</w:t>
            </w:r>
            <w:r>
              <w:rPr>
                <w:rFonts w:hint="eastAsia" w:ascii="仿宋" w:hAnsi="仿宋" w:eastAsia="仿宋" w:cs="Arial"/>
                <w:color w:val="FF0000"/>
                <w:kern w:val="0"/>
                <w:sz w:val="24"/>
              </w:rPr>
              <w:t>。</w:t>
            </w:r>
          </w:p>
        </w:tc>
      </w:tr>
    </w:tbl>
    <w:p>
      <w:pPr>
        <w:snapToGrid w:val="0"/>
        <w:spacing w:line="360" w:lineRule="auto"/>
        <w:jc w:val="center"/>
        <w:rPr>
          <w:rFonts w:ascii="仿宋" w:hAnsi="仿宋" w:eastAsia="仿宋" w:cs="仿宋_GB2312"/>
          <w:b/>
          <w:sz w:val="32"/>
          <w:szCs w:val="20"/>
        </w:rPr>
      </w:pPr>
    </w:p>
    <w:bookmarkEnd w:id="19"/>
    <w:p>
      <w:pPr>
        <w:widowControl/>
        <w:adjustRightInd/>
        <w:jc w:val="left"/>
        <w:rPr>
          <w:rFonts w:ascii="仿宋" w:hAnsi="仿宋" w:eastAsia="仿宋" w:cs="仿宋_GB2312"/>
          <w:b/>
          <w:sz w:val="32"/>
          <w:szCs w:val="20"/>
        </w:rPr>
      </w:pPr>
      <w:bookmarkStart w:id="33" w:name="第三部分"/>
      <w:bookmarkStart w:id="34" w:name="_Toc164416483"/>
      <w:r>
        <w:rPr>
          <w:rFonts w:ascii="仿宋" w:hAnsi="仿宋" w:eastAsia="仿宋" w:cs="仿宋_GB2312"/>
          <w:b/>
          <w:sz w:val="32"/>
          <w:szCs w:val="20"/>
        </w:rPr>
        <w:br w:type="page"/>
      </w:r>
    </w:p>
    <w:p>
      <w:pPr>
        <w:adjustRightInd/>
        <w:spacing w:line="360" w:lineRule="auto"/>
        <w:ind w:firstLine="3845" w:firstLineChars="1197"/>
        <w:outlineLvl w:val="0"/>
        <w:rPr>
          <w:rFonts w:ascii="仿宋" w:hAnsi="仿宋" w:eastAsia="仿宋" w:cs="仿宋_GB2312"/>
          <w:b/>
          <w:sz w:val="32"/>
          <w:szCs w:val="20"/>
        </w:rPr>
      </w:pPr>
      <w:bookmarkStart w:id="35" w:name="_Toc102563654"/>
      <w:bookmarkStart w:id="36" w:name="_Toc95296750"/>
      <w:bookmarkStart w:id="37" w:name="_Toc95296621"/>
      <w:bookmarkStart w:id="38" w:name="_Toc95295945"/>
      <w:bookmarkStart w:id="39" w:name="_Toc95295191"/>
      <w:bookmarkStart w:id="40" w:name="_Toc95232833"/>
      <w:bookmarkStart w:id="41" w:name="_Toc95232580"/>
      <w:bookmarkStart w:id="42" w:name="_Toc102563861"/>
      <w:bookmarkStart w:id="43" w:name="_Toc102563931"/>
      <w:bookmarkStart w:id="44" w:name="_Toc102563999"/>
      <w:bookmarkStart w:id="45" w:name="_Toc102565147"/>
      <w:r>
        <w:rPr>
          <w:rFonts w:hint="eastAsia" w:ascii="仿宋" w:hAnsi="仿宋" w:eastAsia="仿宋" w:cs="仿宋_GB2312"/>
          <w:b/>
          <w:sz w:val="32"/>
          <w:szCs w:val="20"/>
        </w:rPr>
        <w:t>一、总则</w:t>
      </w:r>
      <w:bookmarkEnd w:id="35"/>
      <w:bookmarkEnd w:id="36"/>
      <w:bookmarkEnd w:id="37"/>
      <w:bookmarkEnd w:id="38"/>
      <w:bookmarkEnd w:id="39"/>
      <w:bookmarkEnd w:id="40"/>
      <w:bookmarkEnd w:id="41"/>
      <w:bookmarkEnd w:id="42"/>
      <w:bookmarkEnd w:id="43"/>
      <w:bookmarkEnd w:id="44"/>
      <w:bookmarkEnd w:id="45"/>
    </w:p>
    <w:p>
      <w:pPr>
        <w:snapToGrid w:val="0"/>
        <w:spacing w:line="360" w:lineRule="auto"/>
        <w:ind w:firstLine="361" w:firstLineChars="150"/>
        <w:jc w:val="left"/>
        <w:outlineLvl w:val="1"/>
        <w:rPr>
          <w:rFonts w:ascii="仿宋" w:hAnsi="仿宋" w:eastAsia="仿宋"/>
          <w:b/>
          <w:sz w:val="24"/>
        </w:rPr>
      </w:pPr>
      <w:bookmarkStart w:id="46" w:name="_Toc95232581"/>
      <w:bookmarkStart w:id="47" w:name="_Toc95232834"/>
      <w:bookmarkStart w:id="48" w:name="_Toc95295192"/>
      <w:bookmarkStart w:id="49" w:name="_Toc95295946"/>
      <w:bookmarkStart w:id="50" w:name="_Toc95296622"/>
      <w:bookmarkStart w:id="51" w:name="_Toc95296751"/>
      <w:bookmarkStart w:id="52" w:name="_Toc102563655"/>
      <w:bookmarkStart w:id="53" w:name="_Toc102563862"/>
      <w:bookmarkStart w:id="54" w:name="_Toc102563932"/>
      <w:bookmarkStart w:id="55" w:name="_Toc102564000"/>
      <w:bookmarkStart w:id="56" w:name="_Toc102565148"/>
      <w:r>
        <w:rPr>
          <w:rFonts w:ascii="仿宋" w:hAnsi="仿宋" w:eastAsia="仿宋"/>
          <w:b/>
          <w:sz w:val="24"/>
        </w:rPr>
        <w:t xml:space="preserve">1. </w:t>
      </w:r>
      <w:r>
        <w:rPr>
          <w:rFonts w:hint="eastAsia" w:ascii="仿宋" w:hAnsi="仿宋" w:eastAsia="仿宋"/>
          <w:b/>
          <w:sz w:val="24"/>
        </w:rPr>
        <w:t>适用范围</w:t>
      </w:r>
      <w:bookmarkEnd w:id="46"/>
      <w:bookmarkEnd w:id="47"/>
      <w:bookmarkEnd w:id="48"/>
      <w:bookmarkEnd w:id="49"/>
      <w:bookmarkEnd w:id="50"/>
      <w:bookmarkEnd w:id="51"/>
      <w:bookmarkEnd w:id="52"/>
      <w:bookmarkEnd w:id="53"/>
      <w:bookmarkEnd w:id="54"/>
      <w:bookmarkEnd w:id="55"/>
      <w:bookmarkEnd w:id="56"/>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 w:val="24"/>
        </w:rPr>
      </w:pPr>
      <w:r>
        <w:rPr>
          <w:rFonts w:ascii="仿宋" w:hAnsi="仿宋" w:eastAsia="仿宋" w:cs="仿宋_GB2312"/>
          <w:b/>
          <w:sz w:val="24"/>
        </w:rPr>
        <w:t xml:space="preserve">   </w:t>
      </w:r>
      <w:bookmarkStart w:id="57" w:name="_Toc95232582"/>
      <w:bookmarkStart w:id="58" w:name="_Toc95232835"/>
      <w:bookmarkStart w:id="59" w:name="_Toc95295193"/>
      <w:bookmarkStart w:id="60" w:name="_Toc95295947"/>
      <w:bookmarkStart w:id="61" w:name="_Toc95296623"/>
      <w:bookmarkStart w:id="62" w:name="_Toc95296752"/>
      <w:bookmarkStart w:id="63" w:name="_Toc102563656"/>
      <w:bookmarkStart w:id="64" w:name="_Toc102563863"/>
      <w:bookmarkStart w:id="65" w:name="_Toc102563933"/>
      <w:bookmarkStart w:id="66" w:name="_Toc102564001"/>
      <w:bookmarkStart w:id="67" w:name="_Toc102565149"/>
      <w:r>
        <w:rPr>
          <w:rFonts w:ascii="仿宋" w:hAnsi="仿宋" w:eastAsia="仿宋" w:cs="仿宋_GB2312"/>
          <w:b/>
          <w:sz w:val="24"/>
        </w:rPr>
        <w:t>2.定义</w:t>
      </w:r>
      <w:bookmarkEnd w:id="57"/>
      <w:bookmarkEnd w:id="58"/>
      <w:bookmarkEnd w:id="59"/>
      <w:bookmarkEnd w:id="60"/>
      <w:bookmarkEnd w:id="61"/>
      <w:bookmarkEnd w:id="62"/>
      <w:bookmarkEnd w:id="63"/>
      <w:bookmarkEnd w:id="64"/>
      <w:bookmarkEnd w:id="65"/>
      <w:bookmarkEnd w:id="66"/>
      <w:bookmarkEnd w:id="67"/>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w:t>
      </w:r>
      <w:r>
        <w:rPr>
          <w:rFonts w:hint="eastAsia" w:ascii="仿宋" w:hAnsi="仿宋" w:eastAsia="仿宋"/>
          <w:color w:val="FF0000"/>
          <w:sz w:val="24"/>
        </w:rPr>
        <w:t>因特殊原因需要使用冠以法定名称的业务专用章的，投标时须提供《业务专用章使用说明函》</w:t>
      </w:r>
      <w:r>
        <w:rPr>
          <w:rFonts w:hint="eastAsia" w:ascii="仿宋" w:hAnsi="仿宋" w:eastAsia="仿宋"/>
          <w:sz w:val="24"/>
        </w:rPr>
        <w:t>（附件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pacing w:line="360" w:lineRule="auto"/>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系指实质性要求条款，“★”系产品采购项目中单一产品或核心产品，“</w:t>
      </w:r>
      <w:sdt>
        <w:sdtPr>
          <w:rPr>
            <w:rFonts w:hint="eastAsia" w:ascii="仿宋" w:hAnsi="仿宋" w:eastAsia="仿宋" w:cs="Arial"/>
            <w:kern w:val="0"/>
            <w:sz w:val="24"/>
          </w:rPr>
          <w:id w:val="15480868"/>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系指适用本项目的要求，“</w:t>
      </w:r>
      <w:sdt>
        <w:sdtPr>
          <w:rPr>
            <w:rFonts w:hint="eastAsia" w:ascii="仿宋" w:hAnsi="仿宋" w:eastAsia="仿宋" w:cs="Arial"/>
            <w:kern w:val="0"/>
            <w:sz w:val="24"/>
          </w:rPr>
          <w:id w:val="40488885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系指不适用本项目的要求。</w:t>
      </w:r>
    </w:p>
    <w:p>
      <w:pPr>
        <w:spacing w:line="360" w:lineRule="auto"/>
        <w:ind w:firstLine="241" w:firstLineChars="100"/>
        <w:rPr>
          <w:rFonts w:ascii="仿宋" w:hAnsi="仿宋" w:eastAsia="仿宋"/>
          <w:b/>
          <w:color w:val="FF0000"/>
          <w:sz w:val="24"/>
        </w:rPr>
      </w:pPr>
      <w:r>
        <w:rPr>
          <w:rFonts w:ascii="仿宋" w:hAnsi="仿宋" w:eastAsia="仿宋"/>
          <w:b/>
          <w:color w:val="FF0000"/>
          <w:sz w:val="24"/>
        </w:rPr>
        <w:t>3.</w:t>
      </w:r>
      <w:r>
        <w:rPr>
          <w:rFonts w:ascii="仿宋" w:hAnsi="仿宋" w:eastAsia="仿宋"/>
          <w:b/>
          <w:color w:val="FF0000"/>
        </w:rPr>
        <w:t xml:space="preserve"> </w:t>
      </w:r>
      <w:r>
        <w:rPr>
          <w:rFonts w:hint="eastAsia" w:ascii="仿宋" w:hAnsi="仿宋" w:eastAsia="仿宋"/>
          <w:b/>
          <w:color w:val="FF0000"/>
          <w:sz w:val="24"/>
        </w:rPr>
        <w:t>采购项目需要落实的政府采购政策</w:t>
      </w:r>
    </w:p>
    <w:p>
      <w:pPr>
        <w:spacing w:line="360" w:lineRule="auto"/>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sz w:val="24"/>
        </w:rPr>
        <w:t>20%的扣除，用扣除后的价格参与评审。接受大中型企业与小微企业组成联合体或者允许大中型企业向一家或者多家小微企业分包的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 xml:space="preserve">3.4.1 </w:t>
      </w:r>
      <w:r>
        <w:rPr>
          <w:rFonts w:hint="eastAsia" w:ascii="仿宋" w:hAnsi="仿宋" w:eastAsia="仿宋"/>
          <w:sz w:val="24"/>
        </w:rPr>
        <w:t>本项目无创新产品。</w:t>
      </w:r>
    </w:p>
    <w:p>
      <w:pPr>
        <w:spacing w:line="360" w:lineRule="auto"/>
        <w:rPr>
          <w:rFonts w:ascii="仿宋" w:hAnsi="仿宋" w:eastAsia="仿宋"/>
          <w:b/>
          <w:sz w:val="24"/>
        </w:rPr>
      </w:pPr>
      <w:r>
        <w:rPr>
          <w:rFonts w:ascii="仿宋" w:hAnsi="仿宋" w:eastAsia="仿宋"/>
          <w:b/>
          <w:sz w:val="24"/>
        </w:rPr>
        <w:t xml:space="preserve">4. </w:t>
      </w:r>
      <w:r>
        <w:rPr>
          <w:rFonts w:hint="eastAsia" w:ascii="仿宋" w:hAnsi="仿宋" w:eastAsia="仿宋"/>
          <w:b/>
          <w:sz w:val="24"/>
        </w:rPr>
        <w:t>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2"/>
        <w:spacing w:line="360" w:lineRule="auto"/>
        <w:ind w:firstLine="482" w:firstLineChars="200"/>
        <w:rPr>
          <w:rFonts w:ascii="仿宋" w:hAnsi="仿宋" w:eastAsia="仿宋"/>
          <w:b/>
          <w:sz w:val="24"/>
        </w:rPr>
      </w:pPr>
      <w:r>
        <w:rPr>
          <w:rFonts w:ascii="仿宋" w:hAnsi="仿宋" w:eastAsia="仿宋" w:cs="微软雅黑"/>
          <w:b/>
          <w:kern w:val="0"/>
          <w:sz w:val="24"/>
          <w:lang w:val="zh-CN"/>
        </w:rPr>
        <w:t>4.2</w:t>
      </w:r>
      <w:r>
        <w:rPr>
          <w:rFonts w:ascii="仿宋" w:hAnsi="仿宋" w:eastAsia="仿宋"/>
          <w:b/>
          <w:sz w:val="24"/>
        </w:rPr>
        <w:t>.1</w:t>
      </w:r>
      <w:r>
        <w:rPr>
          <w:rFonts w:hint="eastAsia" w:ascii="仿宋" w:hAnsi="仿宋" w:eastAsia="仿宋" w:cs="仿宋_GB2312"/>
          <w:b/>
        </w:rPr>
        <w:t>质疑函送达方式为直接送达、快递送达、政采云平台送达。</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w:t>
      </w:r>
      <w:r>
        <w:rPr>
          <w:rFonts w:hint="eastAsia" w:ascii="仿宋" w:hAnsi="仿宋" w:eastAsia="仿宋"/>
          <w:sz w:val="24"/>
        </w:rPr>
        <w:t>3</w:t>
      </w:r>
      <w:r>
        <w:rPr>
          <w:rFonts w:ascii="仿宋" w:hAnsi="仿宋" w:eastAsia="仿宋"/>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snapToGrid/>
          <w:color w:val="auto"/>
          <w:kern w:val="2"/>
          <w:sz w:val="24"/>
        </w:rPr>
      </w:pPr>
      <w:r>
        <w:rPr>
          <w:rFonts w:ascii="仿宋" w:hAnsi="仿宋" w:eastAsia="仿宋"/>
          <w:snapToGrid/>
          <w:color w:val="auto"/>
          <w:kern w:val="2"/>
          <w:sz w:val="24"/>
        </w:rPr>
        <w:t>4.2.</w:t>
      </w:r>
      <w:r>
        <w:rPr>
          <w:rFonts w:hint="eastAsia" w:ascii="仿宋" w:hAnsi="仿宋" w:eastAsia="仿宋"/>
          <w:snapToGrid/>
          <w:color w:val="auto"/>
          <w:kern w:val="2"/>
          <w:sz w:val="24"/>
        </w:rPr>
        <w:t>3</w:t>
      </w:r>
      <w:r>
        <w:rPr>
          <w:rFonts w:ascii="仿宋" w:hAnsi="仿宋" w:eastAsia="仿宋"/>
          <w:snapToGrid/>
          <w:color w:val="auto"/>
          <w:kern w:val="2"/>
          <w:sz w:val="24"/>
        </w:rPr>
        <w:t>.1对招标文件提出质疑的，质疑期限为供应商获得招标文件之日或者招标文件公告期限届满之日起计算。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sz w:val="24"/>
        </w:rPr>
      </w:pPr>
      <w:r>
        <w:rPr>
          <w:rFonts w:ascii="仿宋" w:hAnsi="仿宋" w:eastAsia="仿宋"/>
          <w:sz w:val="24"/>
        </w:rPr>
        <w:t>4.2.</w:t>
      </w:r>
      <w:r>
        <w:rPr>
          <w:rFonts w:hint="eastAsia" w:ascii="仿宋" w:hAnsi="仿宋" w:eastAsia="仿宋"/>
          <w:sz w:val="24"/>
        </w:rPr>
        <w:t>3</w:t>
      </w:r>
      <w:r>
        <w:rPr>
          <w:rFonts w:ascii="仿宋" w:hAnsi="仿宋" w:eastAsia="仿宋"/>
          <w:sz w:val="24"/>
        </w:rPr>
        <w:t>.2对采购过程提出质疑的，质疑期限为各采购程序环节结束之日起计算。对同一采购程序环节的质疑，供应商须一次性提出。</w:t>
      </w:r>
    </w:p>
    <w:p>
      <w:pPr>
        <w:pStyle w:val="32"/>
        <w:spacing w:line="360" w:lineRule="auto"/>
        <w:ind w:firstLine="480" w:firstLineChars="200"/>
        <w:rPr>
          <w:rFonts w:ascii="仿宋" w:hAnsi="仿宋" w:eastAsia="仿宋"/>
          <w:sz w:val="24"/>
        </w:rPr>
      </w:pPr>
      <w:r>
        <w:rPr>
          <w:rFonts w:ascii="仿宋" w:hAnsi="仿宋" w:eastAsia="仿宋"/>
          <w:sz w:val="24"/>
        </w:rPr>
        <w:t>4.2.</w:t>
      </w:r>
      <w:r>
        <w:rPr>
          <w:rFonts w:hint="eastAsia" w:ascii="仿宋" w:hAnsi="仿宋" w:eastAsia="仿宋"/>
          <w:sz w:val="24"/>
        </w:rPr>
        <w:t>3</w:t>
      </w:r>
      <w:r>
        <w:rPr>
          <w:rFonts w:ascii="仿宋" w:hAnsi="仿宋" w:eastAsia="仿宋"/>
          <w:sz w:val="24"/>
        </w:rPr>
        <w:t>.3对采购结果提出质疑的，质疑期限自采购结果公告期限届满之日起计算。</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hint="eastAsia" w:ascii="仿宋" w:hAnsi="仿宋" w:eastAsia="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.1</w:t>
      </w:r>
      <w:r>
        <w:rPr>
          <w:rFonts w:hint="eastAsia" w:ascii="仿宋" w:hAnsi="仿宋" w:eastAsia="仿宋" w:cs="微软雅黑"/>
          <w:kern w:val="0"/>
          <w:sz w:val="24"/>
          <w:lang w:val="zh-CN"/>
        </w:rPr>
        <w:t>供应商的姓名或者名称、地址、邮编、联系人及联系电话；</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.2</w:t>
      </w:r>
      <w:r>
        <w:rPr>
          <w:rFonts w:hint="eastAsia" w:ascii="仿宋" w:hAnsi="仿宋" w:eastAsia="仿宋" w:cs="微软雅黑"/>
          <w:kern w:val="0"/>
          <w:sz w:val="24"/>
          <w:lang w:val="zh-CN"/>
        </w:rPr>
        <w:t>质疑项目的名称、编号；</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.3</w:t>
      </w:r>
      <w:r>
        <w:rPr>
          <w:rFonts w:hint="eastAsia" w:ascii="仿宋" w:hAnsi="仿宋" w:eastAsia="仿宋" w:cs="微软雅黑"/>
          <w:kern w:val="0"/>
          <w:sz w:val="24"/>
          <w:lang w:val="zh-CN"/>
        </w:rPr>
        <w:t>具体、明确的质疑事项和与质疑事项相关的请求；</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.4</w:t>
      </w:r>
      <w:r>
        <w:rPr>
          <w:rFonts w:hint="eastAsia" w:ascii="仿宋" w:hAnsi="仿宋" w:eastAsia="仿宋" w:cs="微软雅黑"/>
          <w:kern w:val="0"/>
          <w:sz w:val="24"/>
          <w:lang w:val="zh-CN"/>
        </w:rPr>
        <w:t>事实依据；</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.5</w:t>
      </w:r>
      <w:r>
        <w:rPr>
          <w:rFonts w:hint="eastAsia" w:ascii="仿宋" w:hAnsi="仿宋" w:eastAsia="仿宋" w:cs="微软雅黑"/>
          <w:kern w:val="0"/>
          <w:sz w:val="24"/>
          <w:lang w:val="zh-CN"/>
        </w:rPr>
        <w:t>必要的法律依据；</w:t>
      </w:r>
    </w:p>
    <w:p>
      <w:pPr>
        <w:pStyle w:val="32"/>
        <w:spacing w:line="360" w:lineRule="auto"/>
        <w:ind w:firstLine="960" w:firstLineChars="400"/>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4</w:t>
      </w:r>
      <w:r>
        <w:rPr>
          <w:rFonts w:ascii="仿宋" w:hAnsi="仿宋" w:eastAsia="仿宋" w:cs="微软雅黑"/>
          <w:kern w:val="0"/>
          <w:sz w:val="24"/>
          <w:lang w:val="zh-CN"/>
        </w:rPr>
        <w:t>.6</w:t>
      </w:r>
      <w:r>
        <w:rPr>
          <w:rFonts w:hint="eastAsia" w:ascii="仿宋" w:hAnsi="仿宋" w:eastAsia="仿宋"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w:t>
      </w:r>
      <w:r>
        <w:rPr>
          <w:rFonts w:hint="eastAsia" w:ascii="仿宋" w:hAnsi="仿宋" w:eastAsia="仿宋"/>
          <w:color w:val="FF0000"/>
        </w:rPr>
        <w:t>授权代表签字</w:t>
      </w:r>
      <w:r>
        <w:rPr>
          <w:rFonts w:hint="eastAsia" w:ascii="仿宋" w:hAnsi="仿宋" w:eastAsia="仿宋"/>
          <w:b/>
          <w:color w:val="1F497D" w:themeColor="text2"/>
        </w:rPr>
        <w:t>（授权代表提供投标前三个月的在本公司的社保证明）</w:t>
      </w:r>
      <w:r>
        <w:rPr>
          <w:rFonts w:hint="eastAsia" w:ascii="仿宋" w:hAnsi="仿宋" w:eastAsia="仿宋"/>
          <w:color w:val="FF0000"/>
        </w:rPr>
        <w:t>或者盖章，</w:t>
      </w:r>
      <w:r>
        <w:rPr>
          <w:rFonts w:hint="eastAsia" w:ascii="仿宋" w:hAnsi="仿宋" w:eastAsia="仿宋"/>
        </w:rPr>
        <w:t>并加盖公章。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w:t>
      </w:r>
      <w:r>
        <w:rPr>
          <w:rFonts w:hint="eastAsia" w:ascii="仿宋" w:hAnsi="仿宋" w:eastAsia="仿宋"/>
        </w:rPr>
        <w:t>代理</w:t>
      </w:r>
      <w:r>
        <w:rPr>
          <w:rFonts w:ascii="仿宋" w:hAnsi="仿宋" w:eastAsia="仿宋"/>
        </w:rPr>
        <w:t>机构的答复不满意或者采购人、采购</w:t>
      </w:r>
      <w:r>
        <w:rPr>
          <w:rFonts w:hint="eastAsia" w:ascii="仿宋" w:hAnsi="仿宋" w:eastAsia="仿宋"/>
        </w:rPr>
        <w:t>代理</w:t>
      </w:r>
      <w:r>
        <w:rPr>
          <w:rFonts w:ascii="仿宋" w:hAnsi="仿宋" w:eastAsia="仿宋"/>
        </w:rPr>
        <w:t>机构未在规定的时间内</w:t>
      </w:r>
      <w:r>
        <w:rPr>
          <w:rFonts w:hint="eastAsia" w:ascii="仿宋" w:hAnsi="仿宋" w:eastAsia="仿宋"/>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128"/>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 xml:space="preserve">      </w:t>
      </w:r>
      <w:bookmarkStart w:id="68" w:name="_Toc95232583"/>
      <w:bookmarkStart w:id="69" w:name="_Toc95232836"/>
      <w:bookmarkStart w:id="70" w:name="_Toc95295194"/>
      <w:bookmarkStart w:id="71" w:name="_Toc95295948"/>
      <w:bookmarkStart w:id="72" w:name="_Toc95296624"/>
      <w:bookmarkStart w:id="73" w:name="_Toc95296753"/>
      <w:bookmarkStart w:id="74" w:name="_Toc102563657"/>
      <w:bookmarkStart w:id="75" w:name="_Toc102563864"/>
      <w:bookmarkStart w:id="76" w:name="_Toc102563934"/>
      <w:bookmarkStart w:id="77" w:name="_Toc102564002"/>
      <w:bookmarkStart w:id="78" w:name="_Toc102565150"/>
      <w:r>
        <w:rPr>
          <w:rFonts w:ascii="仿宋" w:hAnsi="仿宋" w:eastAsia="仿宋" w:cs="仿宋_GB2312"/>
          <w:b/>
          <w:sz w:val="32"/>
          <w:szCs w:val="20"/>
        </w:rPr>
        <w:t>二、招标文件的构成、澄清、修改</w:t>
      </w:r>
      <w:bookmarkEnd w:id="68"/>
      <w:bookmarkEnd w:id="69"/>
      <w:bookmarkEnd w:id="70"/>
      <w:bookmarkEnd w:id="71"/>
      <w:bookmarkEnd w:id="72"/>
      <w:bookmarkEnd w:id="73"/>
      <w:bookmarkEnd w:id="74"/>
      <w:bookmarkEnd w:id="75"/>
      <w:bookmarkEnd w:id="76"/>
      <w:bookmarkEnd w:id="77"/>
      <w:bookmarkEnd w:id="78"/>
    </w:p>
    <w:p>
      <w:pPr>
        <w:pStyle w:val="32"/>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28"/>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_GB2312"/>
          <w:sz w:val="18"/>
          <w:szCs w:val="18"/>
          <w:lang w:val="en-US"/>
        </w:rPr>
      </w:pPr>
      <w:r>
        <w:rPr>
          <w:rFonts w:ascii="仿宋" w:hAnsi="仿宋" w:eastAsia="仿宋" w:cs="仿宋_GB2312"/>
          <w:szCs w:val="24"/>
          <w:lang w:val="en-US"/>
        </w:rPr>
        <w:t xml:space="preserve">    </w:t>
      </w:r>
    </w:p>
    <w:p>
      <w:pPr>
        <w:adjustRightInd/>
        <w:spacing w:line="360" w:lineRule="auto"/>
        <w:jc w:val="center"/>
        <w:outlineLvl w:val="0"/>
        <w:rPr>
          <w:rFonts w:ascii="仿宋" w:hAnsi="仿宋" w:eastAsia="仿宋" w:cs="仿宋_GB2312"/>
          <w:b/>
          <w:sz w:val="30"/>
          <w:szCs w:val="20"/>
        </w:rPr>
      </w:pPr>
      <w:bookmarkStart w:id="79" w:name="_Toc95232584"/>
      <w:bookmarkStart w:id="80" w:name="_Toc95232837"/>
      <w:bookmarkStart w:id="81" w:name="_Toc95295195"/>
      <w:bookmarkStart w:id="82" w:name="_Toc95295949"/>
      <w:bookmarkStart w:id="83" w:name="_Toc95296625"/>
      <w:bookmarkStart w:id="84" w:name="_Toc95296754"/>
      <w:bookmarkStart w:id="85" w:name="_Toc102563658"/>
      <w:bookmarkStart w:id="86" w:name="_Toc102563865"/>
      <w:bookmarkStart w:id="87" w:name="_Toc102563935"/>
      <w:bookmarkStart w:id="88" w:name="_Toc102564003"/>
      <w:bookmarkStart w:id="89" w:name="_Toc102565151"/>
      <w:r>
        <w:rPr>
          <w:rFonts w:hint="eastAsia" w:ascii="仿宋" w:hAnsi="仿宋" w:eastAsia="仿宋" w:cs="仿宋_GB2312"/>
          <w:b/>
          <w:sz w:val="30"/>
          <w:szCs w:val="20"/>
        </w:rPr>
        <w:t>三、投标</w:t>
      </w:r>
      <w:bookmarkEnd w:id="79"/>
      <w:bookmarkEnd w:id="80"/>
      <w:bookmarkEnd w:id="81"/>
      <w:bookmarkEnd w:id="82"/>
      <w:bookmarkEnd w:id="83"/>
      <w:bookmarkEnd w:id="84"/>
      <w:bookmarkEnd w:id="85"/>
      <w:bookmarkEnd w:id="86"/>
      <w:bookmarkEnd w:id="87"/>
      <w:bookmarkEnd w:id="88"/>
      <w:bookmarkEnd w:id="89"/>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_GB2312"/>
          <w:b/>
          <w:szCs w:val="24"/>
        </w:rPr>
      </w:pPr>
      <w:r>
        <w:rPr>
          <w:rFonts w:ascii="仿宋" w:hAnsi="仿宋" w:eastAsia="仿宋"/>
          <w:b/>
          <w:kern w:val="28"/>
          <w:sz w:val="24"/>
          <w:szCs w:val="24"/>
        </w:rPr>
        <w:t>9.投标保证金</w:t>
      </w:r>
    </w:p>
    <w:p>
      <w:pPr>
        <w:pStyle w:val="5"/>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b/>
        </w:rPr>
      </w:pPr>
      <w:r>
        <w:rPr>
          <w:rFonts w:ascii="仿宋" w:hAnsi="仿宋" w:eastAsia="仿宋" w:cs="仿宋_GB2312"/>
          <w:sz w:val="24"/>
        </w:rPr>
        <w:t>11.1.1</w:t>
      </w:r>
      <w:r>
        <w:rPr>
          <w:rFonts w:hint="eastAsia" w:ascii="仿宋" w:hAnsi="仿宋" w:eastAsia="仿宋" w:cs="仿宋_GB2312"/>
          <w:sz w:val="24"/>
        </w:rPr>
        <w:t>▲资格文件封面</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2</w:t>
      </w:r>
      <w:r>
        <w:rPr>
          <w:rFonts w:hint="eastAsia" w:ascii="仿宋" w:hAnsi="仿宋" w:eastAsia="仿宋"/>
          <w:b/>
        </w:rPr>
        <w:t>▲</w:t>
      </w:r>
      <w:r>
        <w:rPr>
          <w:rFonts w:ascii="仿宋" w:hAnsi="仿宋" w:eastAsia="仿宋" w:cs="仿宋_GB2312"/>
          <w:sz w:val="24"/>
        </w:rPr>
        <w:t>符合参加政府采购活动应当具备的一般条件的承诺函；</w:t>
      </w:r>
    </w:p>
    <w:p>
      <w:pPr>
        <w:snapToGrid w:val="0"/>
        <w:spacing w:line="360" w:lineRule="auto"/>
        <w:ind w:right="482" w:firstLine="960" w:firstLineChars="400"/>
        <w:jc w:val="left"/>
        <w:rPr>
          <w:rFonts w:ascii="仿宋" w:hAnsi="仿宋" w:eastAsia="仿宋" w:cs="仿宋_GB2312"/>
          <w:sz w:val="24"/>
        </w:rPr>
      </w:pPr>
      <w:r>
        <w:rPr>
          <w:rFonts w:hint="eastAsia" w:ascii="仿宋" w:hAnsi="仿宋" w:eastAsia="仿宋" w:cs="仿宋_GB2312"/>
          <w:sz w:val="24"/>
        </w:rPr>
        <w:t>11.1.3</w:t>
      </w:r>
      <w:r>
        <w:rPr>
          <w:rFonts w:hint="eastAsia" w:ascii="仿宋" w:hAnsi="仿宋" w:eastAsia="仿宋"/>
          <w:b/>
        </w:rPr>
        <w:t>▲</w:t>
      </w:r>
      <w:r>
        <w:rPr>
          <w:rFonts w:hint="eastAsia" w:ascii="仿宋" w:hAnsi="仿宋" w:eastAsia="仿宋" w:cs="仿宋_GB2312"/>
          <w:sz w:val="24"/>
        </w:rPr>
        <w:t>营业执照(或事业法人登记证或其他工商等登记证明材料)彩色扫描件；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落实政府采购政策需满足的资格要求；</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5</w:t>
      </w:r>
      <w:r>
        <w:rPr>
          <w:rFonts w:ascii="仿宋" w:hAnsi="仿宋" w:eastAsia="仿宋" w:cs="仿宋_GB2312"/>
          <w:sz w:val="24"/>
        </w:rPr>
        <w:t>本项目的特定资格要求。</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r>
        <w:rPr>
          <w:rFonts w:hint="eastAsia" w:ascii="仿宋_GB2312" w:hAnsi="仿宋" w:eastAsia="仿宋_GB2312" w:cs="仿宋_GB2312"/>
          <w:sz w:val="24"/>
          <w:lang w:val="zh-CN"/>
        </w:rPr>
        <w:t>（按标项分别提供）</w:t>
      </w:r>
      <w:r>
        <w:rPr>
          <w:rFonts w:hint="eastAsia" w:ascii="仿宋" w:hAnsi="仿宋" w:eastAsia="仿宋" w:cs="仿宋_GB2312"/>
          <w:sz w:val="24"/>
          <w:lang w:val="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w:t>
      </w:r>
      <w:r>
        <w:rPr>
          <w:rFonts w:hint="eastAsia" w:ascii="仿宋" w:hAnsi="仿宋" w:eastAsia="仿宋" w:cs="仿宋_GB2312"/>
          <w:sz w:val="24"/>
        </w:rPr>
        <w:t>商务技术文件封面</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11.2.2▲投标</w:t>
      </w:r>
      <w:r>
        <w:rPr>
          <w:rFonts w:ascii="仿宋" w:hAnsi="仿宋" w:eastAsia="仿宋" w:cs="仿宋_GB2312"/>
          <w:sz w:val="24"/>
        </w:rPr>
        <w:t xml:space="preserve">函；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授权委托书或法定代表人（单位负责人、自然人本人）身份证明；</w:t>
      </w:r>
      <w:r>
        <w:rPr>
          <w:rFonts w:hint="eastAsia" w:ascii="仿宋" w:hAnsi="仿宋" w:eastAsia="仿宋" w:cs="仿宋_GB2312"/>
          <w:b/>
          <w:color w:val="1F497D" w:themeColor="text2"/>
          <w:sz w:val="24"/>
        </w:rPr>
        <w:t>被授权人身份证明、被授权人投标前3个月在本单位社保证明；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联合协议；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分包意向协议；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6</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评</w:t>
      </w:r>
      <w:r>
        <w:rPr>
          <w:rFonts w:hint="eastAsia" w:ascii="仿宋" w:hAnsi="仿宋" w:eastAsia="仿宋" w:cs="仿宋_GB2312"/>
          <w:sz w:val="24"/>
        </w:rPr>
        <w:t>分</w:t>
      </w:r>
      <w:r>
        <w:rPr>
          <w:rFonts w:ascii="仿宋" w:hAnsi="仿宋" w:eastAsia="仿宋" w:cs="仿宋_GB2312"/>
          <w:sz w:val="24"/>
        </w:rPr>
        <w:t>标准相应的商务技术资料；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8</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9</w:t>
      </w:r>
      <w:r>
        <w:rPr>
          <w:rFonts w:hint="eastAsia" w:ascii="仿宋" w:hAnsi="仿宋" w:eastAsia="仿宋" w:cs="仿宋_GB2312"/>
          <w:sz w:val="24"/>
          <w:lang w:val="zh-CN"/>
        </w:rPr>
        <w:t>政府采购供应商廉洁自律承诺书；</w:t>
      </w:r>
    </w:p>
    <w:p>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hint="eastAsia" w:ascii="仿宋_GB2312" w:hAnsi="仿宋" w:eastAsia="仿宋_GB2312" w:cs="仿宋_GB2312"/>
          <w:sz w:val="24"/>
          <w:lang w:val="zh-CN"/>
        </w:rPr>
        <w:t>（按标项分别提供）</w:t>
      </w:r>
      <w:r>
        <w:rPr>
          <w:rFonts w:hint="eastAsia" w:ascii="仿宋" w:hAnsi="仿宋" w:eastAsia="仿宋" w:cs="仿宋_GB2312"/>
          <w:b/>
          <w:sz w:val="24"/>
        </w:rPr>
        <w:t>：</w:t>
      </w:r>
      <w:r>
        <w:rPr>
          <w:rFonts w:ascii="仿宋" w:hAnsi="仿宋" w:eastAsia="仿宋" w:cs="仿宋_GB2312"/>
          <w:sz w:val="24"/>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rPr>
        <w:t>1报价文件封面</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rPr>
        <w:t>2▲</w:t>
      </w:r>
      <w:r>
        <w:rPr>
          <w:rFonts w:ascii="仿宋" w:hAnsi="仿宋" w:eastAsia="仿宋" w:cs="仿宋_GB2312"/>
          <w:sz w:val="24"/>
        </w:rPr>
        <w:t>开标一览表（报价表）；</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lang w:val="en-US" w:eastAsia="zh-CN"/>
        </w:rPr>
        <w:t>11.3.3</w:t>
      </w:r>
      <w:r>
        <w:rPr>
          <w:rFonts w:hint="eastAsia" w:ascii="仿宋" w:hAnsi="仿宋" w:eastAsia="仿宋" w:cs="仿宋_GB2312"/>
          <w:sz w:val="24"/>
        </w:rPr>
        <w:t>▲定点人员报价表</w:t>
      </w:r>
      <w:r>
        <w:rPr>
          <w:rFonts w:hint="eastAsia" w:ascii="仿宋" w:hAnsi="仿宋" w:eastAsia="仿宋" w:cs="仿宋_GB2312"/>
          <w:sz w:val="24"/>
          <w:lang w:val="en-US" w:eastAsia="zh-CN"/>
        </w:rPr>
        <w:t>(如</w:t>
      </w:r>
      <w:r>
        <w:rPr>
          <w:rFonts w:hint="eastAsia" w:ascii="仿宋" w:hAnsi="仿宋" w:eastAsia="仿宋" w:cs="仿宋_GB2312"/>
          <w:sz w:val="24"/>
        </w:rPr>
        <w:t>如标项无相关内容则无须提供</w:t>
      </w:r>
      <w:r>
        <w:rPr>
          <w:rFonts w:hint="eastAsia" w:ascii="仿宋" w:hAnsi="仿宋" w:eastAsia="仿宋" w:cs="仿宋_GB2312"/>
          <w:sz w:val="24"/>
          <w:lang w:val="en-US" w:eastAsia="zh-CN"/>
        </w:rPr>
        <w:t>)</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4</w:t>
      </w:r>
      <w:r>
        <w:rPr>
          <w:rFonts w:ascii="仿宋" w:hAnsi="仿宋" w:eastAsia="仿宋" w:cs="仿宋_GB2312"/>
          <w:sz w:val="24"/>
        </w:rPr>
        <w:t>中小企业声明函。</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128"/>
        <w:snapToGrid w:val="0"/>
        <w:spacing w:before="0"/>
        <w:ind w:firstLine="0" w:firstLineChars="0"/>
        <w:outlineLvl w:val="0"/>
        <w:rPr>
          <w:rFonts w:ascii="仿宋" w:hAnsi="仿宋" w:eastAsia="仿宋" w:cs="仿宋_GB2312"/>
          <w:b/>
          <w:szCs w:val="24"/>
        </w:rPr>
      </w:pPr>
      <w:bookmarkStart w:id="90" w:name="_Toc95232585"/>
      <w:bookmarkStart w:id="91" w:name="_Toc95232838"/>
      <w:bookmarkStart w:id="92" w:name="_Toc95295196"/>
      <w:bookmarkStart w:id="93" w:name="_Toc95295950"/>
      <w:bookmarkStart w:id="94" w:name="_Toc95296626"/>
      <w:bookmarkStart w:id="95" w:name="_Toc95296755"/>
      <w:bookmarkStart w:id="96" w:name="_Toc102563659"/>
      <w:bookmarkStart w:id="97" w:name="_Toc102563866"/>
      <w:bookmarkStart w:id="98" w:name="_Toc102563936"/>
      <w:bookmarkStart w:id="99" w:name="_Toc102564004"/>
      <w:bookmarkStart w:id="100" w:name="_Toc102565152"/>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bookmarkEnd w:id="90"/>
      <w:bookmarkEnd w:id="91"/>
      <w:bookmarkEnd w:id="92"/>
      <w:bookmarkEnd w:id="93"/>
      <w:bookmarkEnd w:id="94"/>
      <w:bookmarkEnd w:id="95"/>
      <w:bookmarkEnd w:id="96"/>
      <w:bookmarkEnd w:id="97"/>
      <w:bookmarkEnd w:id="98"/>
      <w:bookmarkEnd w:id="99"/>
      <w:bookmarkEnd w:id="100"/>
    </w:p>
    <w:p>
      <w:pPr>
        <w:spacing w:line="360" w:lineRule="auto"/>
        <w:ind w:firstLine="480" w:firstLineChars="200"/>
        <w:rPr>
          <w:rFonts w:ascii="仿宋" w:hAnsi="仿宋" w:eastAsia="仿宋" w:cs="仿宋_GB2312"/>
          <w:b/>
          <w:sz w:val="24"/>
        </w:rPr>
      </w:pPr>
      <w:r>
        <w:rPr>
          <w:rFonts w:ascii="仿宋" w:hAnsi="仿宋" w:eastAsia="仿宋" w:cs="仿宋_GB2312"/>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12.2投标人进行电子投标应安装客户端软件—“政</w:t>
      </w:r>
      <w:r>
        <w:rPr>
          <w:rFonts w:hint="eastAsia" w:ascii="仿宋" w:hAnsi="仿宋" w:eastAsia="仿宋"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ascii="仿宋" w:hAnsi="仿宋" w:eastAsia="仿宋"/>
          <w:b/>
          <w:sz w:val="24"/>
        </w:rPr>
        <w:t>13.投标文件的签署、盖章</w:t>
      </w:r>
    </w:p>
    <w:p>
      <w:pPr>
        <w:pStyle w:val="128"/>
        <w:snapToGrid w:val="0"/>
        <w:spacing w:before="0"/>
        <w:ind w:firstLine="480"/>
        <w:rPr>
          <w:rFonts w:ascii="仿宋" w:hAnsi="仿宋" w:eastAsia="仿宋" w:cs="仿宋_GB2312"/>
          <w:b/>
        </w:rPr>
      </w:pPr>
      <w:r>
        <w:rPr>
          <w:rFonts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28"/>
        <w:snapToGrid w:val="0"/>
        <w:spacing w:before="0"/>
        <w:ind w:firstLine="480"/>
        <w:rPr>
          <w:rFonts w:ascii="仿宋" w:hAnsi="仿宋" w:eastAsia="仿宋" w:cs="仿宋_GB2312"/>
        </w:rPr>
      </w:pPr>
      <w:r>
        <w:rPr>
          <w:rFonts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128"/>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_GB2312"/>
          <w:szCs w:val="24"/>
        </w:rPr>
      </w:pPr>
      <w:r>
        <w:rPr>
          <w:rFonts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_GB2312"/>
          <w:szCs w:val="24"/>
        </w:rPr>
      </w:pPr>
      <w:r>
        <w:rPr>
          <w:rFonts w:ascii="仿宋" w:hAnsi="仿宋" w:eastAsia="仿宋"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15.备份投标文件</w:t>
      </w:r>
    </w:p>
    <w:p>
      <w:pPr>
        <w:pStyle w:val="32"/>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 xml:space="preserve"> 15.1投标人在电子交易平台传输递交投标文件后，还可以在投标截止时间前</w:t>
      </w:r>
      <w:r>
        <w:rPr>
          <w:rFonts w:hint="eastAsia" w:ascii="仿宋" w:hAnsi="仿宋" w:eastAsia="仿宋" w:cs="仿宋_GB2312"/>
          <w:sz w:val="24"/>
          <w:szCs w:val="24"/>
        </w:rPr>
        <w:t>将在政采云平台上最后生成的具备电子签章的备份加密投标文件(文件名后缀为备份文件四字的首字母）以电子邮件方式传送至邮箱（313441833@qq.com),传送的备份电子投标文件,</w:t>
      </w:r>
      <w:r>
        <w:rPr>
          <w:rFonts w:hint="eastAsia" w:ascii="仿宋" w:hAnsi="仿宋" w:eastAsia="仿宋" w:cs="仿宋_GB2312"/>
          <w:b/>
          <w:sz w:val="24"/>
          <w:szCs w:val="24"/>
        </w:rPr>
        <w:t>但采购人、采购机构不强制或变相强制投标人提交备份投标文件。</w:t>
      </w:r>
    </w:p>
    <w:p>
      <w:pPr>
        <w:pStyle w:val="32"/>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采云投标客户端”制作生成，需打包压缩并加密,加密密码由投标方自行保管。</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15.3直接提交备份投标文件的，投标人应于投标截止时间前将备份投标文件提交给采购机构，采购机构将拒绝接受逾期送达的备份投标文件。</w:t>
      </w:r>
    </w:p>
    <w:p>
      <w:pPr>
        <w:pStyle w:val="32"/>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pPr>
        <w:pStyle w:val="32"/>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16.投标文件的无效处理</w:t>
      </w:r>
    </w:p>
    <w:p>
      <w:pPr>
        <w:pStyle w:val="24"/>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有招标文件第二部分</w:t>
      </w:r>
      <w:r>
        <w:rPr>
          <w:rFonts w:hint="eastAsia" w:ascii="仿宋" w:hAnsi="仿宋" w:eastAsia="仿宋"/>
        </w:rPr>
        <w:t>第</w:t>
      </w:r>
      <w:r>
        <w:rPr>
          <w:rFonts w:ascii="仿宋" w:hAnsi="仿宋" w:eastAsia="仿宋"/>
        </w:rPr>
        <w:t>13项规定</w:t>
      </w:r>
      <w:r>
        <w:rPr>
          <w:rFonts w:hint="eastAsia" w:ascii="仿宋" w:hAnsi="仿宋" w:eastAsia="仿宋" w:cs="仿宋_GB2312"/>
          <w:szCs w:val="21"/>
        </w:rPr>
        <w:t>的情形之一的，投标无效：</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28"/>
        <w:spacing w:before="0"/>
        <w:ind w:firstLine="480"/>
        <w:rPr>
          <w:rFonts w:ascii="仿宋" w:hAnsi="仿宋" w:eastAsia="仿宋" w:cs="仿宋_GB2312"/>
        </w:rPr>
      </w:pPr>
      <w:r>
        <w:rPr>
          <w:rFonts w:ascii="仿宋" w:hAnsi="仿宋" w:eastAsia="仿宋" w:cs="仿宋_GB2312"/>
        </w:rPr>
        <w:t>17.2投标文件合格投递后，自投标截止日期起，在投标有效期内有效。</w:t>
      </w:r>
    </w:p>
    <w:p>
      <w:pPr>
        <w:pStyle w:val="128"/>
        <w:spacing w:before="0"/>
        <w:ind w:firstLine="643"/>
        <w:rPr>
          <w:rFonts w:ascii="仿宋" w:hAnsi="仿宋" w:eastAsia="仿宋" w:cs="仿宋_GB2312"/>
          <w:b/>
          <w:sz w:val="32"/>
        </w:rPr>
      </w:pPr>
    </w:p>
    <w:p>
      <w:pPr>
        <w:pStyle w:val="128"/>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554"/>
        <w:spacing w:before="0" w:line="360" w:lineRule="auto"/>
        <w:ind w:left="0" w:firstLine="241" w:firstLineChars="100"/>
        <w:contextualSpacing/>
        <w:rPr>
          <w:rFonts w:ascii="仿宋" w:hAnsi="仿宋" w:eastAsia="仿宋"/>
          <w:sz w:val="24"/>
        </w:rPr>
      </w:pPr>
      <w:r>
        <w:rPr>
          <w:rFonts w:ascii="仿宋" w:hAnsi="仿宋" w:eastAsia="仿宋" w:cs="仿宋_GB2312"/>
          <w:b/>
          <w:sz w:val="24"/>
          <w:szCs w:val="24"/>
        </w:rPr>
        <w:t>18.开标</w:t>
      </w:r>
      <w:r>
        <w:rPr>
          <w:rFonts w:ascii="仿宋" w:hAnsi="仿宋" w:eastAsia="仿宋"/>
          <w:sz w:val="24"/>
        </w:rPr>
        <w:t xml:space="preserve"> </w:t>
      </w:r>
    </w:p>
    <w:p>
      <w:pPr>
        <w:pStyle w:val="55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18.2开标时，电子交易平台按开标时间自动提取所有投标文件。采购机构依托电子交易平台发起开始解密指令，投标人按照平台提示和招标文件的规定在</w:t>
      </w:r>
      <w:r>
        <w:rPr>
          <w:rFonts w:ascii="仿宋" w:hAnsi="仿宋" w:eastAsia="仿宋" w:cs="仿宋_GB2312"/>
          <w:b/>
          <w:sz w:val="24"/>
        </w:rPr>
        <w:t>半小时内</w:t>
      </w:r>
      <w:r>
        <w:rPr>
          <w:rFonts w:ascii="仿宋" w:hAnsi="仿宋" w:eastAsia="仿宋" w:cs="仿宋_GB2312"/>
          <w:sz w:val="24"/>
        </w:rPr>
        <w:t>完成在线解密。</w:t>
      </w:r>
    </w:p>
    <w:p>
      <w:pPr>
        <w:pStyle w:val="554"/>
        <w:spacing w:before="0" w:line="360" w:lineRule="auto"/>
        <w:ind w:left="0" w:firstLine="240" w:firstLineChars="100"/>
        <w:contextualSpacing/>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hint="eastAsia" w:ascii="仿宋" w:hAnsi="仿宋" w:eastAsia="仿宋" w:cs="仿宋_GB2312"/>
          <w:b/>
          <w:sz w:val="24"/>
          <w:szCs w:val="20"/>
        </w:rPr>
        <w:t>　</w:t>
      </w:r>
      <w:r>
        <w:rPr>
          <w:rFonts w:ascii="仿宋" w:hAnsi="仿宋" w:eastAsia="仿宋" w:cs="仿宋_GB2312"/>
          <w:b/>
          <w:sz w:val="24"/>
          <w:szCs w:val="20"/>
        </w:rPr>
        <w:t>19、资格审查</w:t>
      </w:r>
    </w:p>
    <w:p>
      <w:pPr>
        <w:pStyle w:val="128"/>
        <w:spacing w:before="0"/>
        <w:ind w:firstLine="480"/>
        <w:rPr>
          <w:rFonts w:ascii="仿宋" w:hAnsi="仿宋" w:eastAsia="仿宋" w:cs="Arial"/>
          <w:kern w:val="0"/>
          <w:szCs w:val="24"/>
        </w:rPr>
      </w:pPr>
      <w:r>
        <w:rPr>
          <w:rFonts w:ascii="仿宋" w:hAnsi="仿宋" w:eastAsia="仿宋" w:cs="Arial"/>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28"/>
        <w:spacing w:before="0"/>
        <w:ind w:firstLine="480"/>
        <w:rPr>
          <w:rFonts w:ascii="仿宋" w:hAnsi="仿宋" w:eastAsia="仿宋" w:cs="仿宋_GB2312"/>
        </w:rPr>
      </w:pPr>
      <w:r>
        <w:rPr>
          <w:rFonts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28"/>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4对未通过资格审查的投标人，采购人或采购机构告知其未通过的原因。</w:t>
      </w:r>
    </w:p>
    <w:p>
      <w:pPr>
        <w:pStyle w:val="128"/>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5合格投标人不足3家的，不再评标。</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20、信用信息查询</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_GB2312"/>
        </w:rPr>
      </w:pPr>
      <w:r>
        <w:rPr>
          <w:rFonts w:ascii="仿宋" w:hAnsi="仿宋" w:eastAsia="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28"/>
        <w:spacing w:before="0"/>
        <w:ind w:firstLine="0" w:firstLineChars="0"/>
        <w:rPr>
          <w:rFonts w:ascii="仿宋" w:hAnsi="仿宋" w:eastAsia="仿宋" w:cs="Arial"/>
          <w:kern w:val="0"/>
          <w:szCs w:val="24"/>
        </w:rPr>
      </w:pPr>
    </w:p>
    <w:p>
      <w:pPr>
        <w:snapToGrid w:val="0"/>
        <w:spacing w:line="360" w:lineRule="auto"/>
        <w:jc w:val="center"/>
        <w:outlineLvl w:val="0"/>
        <w:rPr>
          <w:rFonts w:ascii="仿宋" w:hAnsi="仿宋" w:eastAsia="仿宋" w:cs="仿宋_GB2312"/>
          <w:b/>
          <w:sz w:val="36"/>
          <w:szCs w:val="36"/>
        </w:rPr>
      </w:pPr>
      <w:bookmarkStart w:id="101" w:name="_Toc95232586"/>
      <w:bookmarkStart w:id="102" w:name="_Toc95232839"/>
      <w:bookmarkStart w:id="103" w:name="_Toc95295197"/>
      <w:bookmarkStart w:id="104" w:name="_Toc95295951"/>
      <w:bookmarkStart w:id="105" w:name="_Toc95296627"/>
      <w:bookmarkStart w:id="106" w:name="_Toc95296756"/>
      <w:bookmarkStart w:id="107" w:name="_Toc102563660"/>
      <w:bookmarkStart w:id="108" w:name="_Toc102563867"/>
      <w:bookmarkStart w:id="109" w:name="_Toc102563937"/>
      <w:bookmarkStart w:id="110" w:name="_Toc102564005"/>
      <w:bookmarkStart w:id="111" w:name="_Toc102565153"/>
      <w:r>
        <w:rPr>
          <w:rFonts w:hint="eastAsia" w:ascii="仿宋" w:hAnsi="仿宋" w:eastAsia="仿宋" w:cs="仿宋_GB2312"/>
          <w:b/>
          <w:sz w:val="36"/>
          <w:szCs w:val="36"/>
        </w:rPr>
        <w:t>五、评标</w:t>
      </w:r>
      <w:bookmarkEnd w:id="101"/>
      <w:bookmarkEnd w:id="102"/>
      <w:bookmarkEnd w:id="103"/>
      <w:bookmarkEnd w:id="104"/>
      <w:bookmarkEnd w:id="105"/>
      <w:bookmarkEnd w:id="106"/>
      <w:bookmarkEnd w:id="107"/>
      <w:bookmarkEnd w:id="108"/>
      <w:bookmarkEnd w:id="109"/>
      <w:bookmarkEnd w:id="110"/>
      <w:bookmarkEnd w:id="111"/>
    </w:p>
    <w:p>
      <w:pPr>
        <w:spacing w:line="360" w:lineRule="auto"/>
        <w:rPr>
          <w:rFonts w:ascii="仿宋" w:hAnsi="仿宋" w:eastAsia="仿宋" w:cs="仿宋_GB2312"/>
          <w:b/>
          <w:sz w:val="24"/>
        </w:rPr>
      </w:pPr>
      <w:bookmarkStart w:id="112" w:name="_Toc91899903"/>
      <w:r>
        <w:rPr>
          <w:rFonts w:ascii="仿宋" w:hAnsi="仿宋" w:eastAsia="仿宋" w:cs="仿宋_GB2312"/>
          <w:b/>
          <w:sz w:val="24"/>
        </w:rPr>
        <w:t>21.</w:t>
      </w:r>
      <w:r>
        <w:rPr>
          <w:rFonts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pacing w:line="360" w:lineRule="auto"/>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bookmarkStart w:id="113" w:name="_Toc95232587"/>
      <w:bookmarkStart w:id="114" w:name="_Toc95232840"/>
      <w:bookmarkStart w:id="115" w:name="_Toc95295198"/>
      <w:bookmarkStart w:id="116" w:name="_Toc95295952"/>
      <w:bookmarkStart w:id="117" w:name="_Toc95296628"/>
      <w:bookmarkStart w:id="118" w:name="_Toc95296757"/>
      <w:bookmarkStart w:id="119" w:name="_Toc102563661"/>
      <w:bookmarkStart w:id="120" w:name="_Toc102563868"/>
      <w:bookmarkStart w:id="121" w:name="_Toc102563938"/>
      <w:bookmarkStart w:id="122" w:name="_Toc102564006"/>
      <w:bookmarkStart w:id="123" w:name="_Toc102565154"/>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bookmarkEnd w:id="113"/>
      <w:bookmarkEnd w:id="114"/>
      <w:bookmarkEnd w:id="115"/>
      <w:bookmarkEnd w:id="116"/>
      <w:bookmarkEnd w:id="117"/>
      <w:bookmarkEnd w:id="118"/>
      <w:bookmarkEnd w:id="119"/>
      <w:bookmarkEnd w:id="120"/>
      <w:bookmarkEnd w:id="121"/>
      <w:bookmarkEnd w:id="122"/>
      <w:bookmarkEnd w:id="123"/>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128"/>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5个工作日内通过电子交易平台在评审报告推荐的中标候选人中按顺序确定中标供应商。</w:t>
      </w:r>
    </w:p>
    <w:p>
      <w:pPr>
        <w:pStyle w:val="128"/>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23.1自中标人确定之日起2个工作日内，采购机构通过电子交易平台向中标人发出中标通知书，</w:t>
      </w:r>
      <w:r>
        <w:rPr>
          <w:rFonts w:hint="eastAsia" w:ascii="仿宋" w:hAnsi="仿宋" w:eastAsia="仿宋"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的名称、规格型号、数量、单价、服务要求，开标记录、中标公告期限以及评审专家名单、评分汇总及明细。</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采购人与中标人应当通过电子交易平台在中标通知书发出之日起三十日内，按照招标文件确定的事项签订政府采购合同，并在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p>
    <w:p>
      <w:pPr>
        <w:pStyle w:val="128"/>
        <w:snapToGrid w:val="0"/>
        <w:spacing w:before="0"/>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_GB2312"/>
          <w:color w:val="FF0000"/>
        </w:rPr>
      </w:pPr>
      <w:r>
        <w:rPr>
          <w:rFonts w:ascii="仿宋" w:hAnsi="仿宋" w:eastAsia="仿宋" w:cs="仿宋_GB2312"/>
        </w:rPr>
        <w:t>25.3如签订合同并生效后，供应商</w:t>
      </w:r>
      <w:r>
        <w:rPr>
          <w:rFonts w:ascii="仿宋" w:hAnsi="仿宋" w:eastAsia="仿宋" w:cs="仿宋_GB2312"/>
          <w:color w:val="FF0000"/>
        </w:rPr>
        <w:t>无故</w:t>
      </w:r>
      <w:r>
        <w:rPr>
          <w:rFonts w:ascii="仿宋" w:hAnsi="仿宋" w:eastAsia="仿宋" w:cs="仿宋_GB2312"/>
        </w:rPr>
        <w:t>拒绝或延期，除按照合同条款处理外，</w:t>
      </w:r>
      <w:r>
        <w:rPr>
          <w:rFonts w:ascii="仿宋" w:hAnsi="仿宋" w:eastAsia="仿宋" w:cs="仿宋_GB2312"/>
          <w:color w:val="FF0000"/>
        </w:rPr>
        <w:t>列入不良行为记录一次，并给予通报。</w:t>
      </w:r>
    </w:p>
    <w:p>
      <w:pPr>
        <w:pStyle w:val="128"/>
        <w:snapToGrid w:val="0"/>
        <w:spacing w:before="0" w:after="120"/>
        <w:ind w:firstLine="480"/>
        <w:rPr>
          <w:rFonts w:ascii="仿宋" w:hAnsi="仿宋" w:eastAsia="仿宋" w:cs="仿宋_GB2312"/>
        </w:rPr>
      </w:pPr>
      <w:r>
        <w:rPr>
          <w:rFonts w:ascii="仿宋" w:hAnsi="仿宋" w:eastAsia="仿宋" w:cs="仿宋_GB2312"/>
        </w:rPr>
        <w:t>25.</w:t>
      </w:r>
      <w:r>
        <w:rPr>
          <w:rFonts w:hint="eastAsia" w:ascii="仿宋" w:hAnsi="仿宋" w:eastAsia="仿宋" w:cs="仿宋_GB2312"/>
        </w:rPr>
        <w:t>4</w:t>
      </w:r>
      <w:r>
        <w:rPr>
          <w:rFonts w:ascii="仿宋" w:hAnsi="仿宋" w:eastAsia="仿宋" w:cs="仿宋_GB2312"/>
        </w:rPr>
        <w:t>采购合同由采购人与中标供应商根据</w:t>
      </w:r>
      <w:r>
        <w:rPr>
          <w:rFonts w:hint="eastAsia" w:ascii="仿宋" w:hAnsi="仿宋" w:eastAsia="仿宋" w:cs="仿宋_GB2312"/>
        </w:rPr>
        <w:t>招标文件、投标文件等内容通过政府采购电子交易平台在线签订，并备案。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pacing w:line="360" w:lineRule="auto"/>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。履约保证金的数额不得超过政府采购合同金额的1%</w:t>
      </w:r>
      <w:r>
        <w:rPr>
          <w:rFonts w:ascii="仿宋" w:hAnsi="仿宋" w:eastAsia="仿宋"/>
          <w:sz w:val="24"/>
        </w:rPr>
        <w:t>。</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pacing w:line="360" w:lineRule="auto"/>
        <w:ind w:firstLine="482"/>
        <w:rPr>
          <w:rFonts w:ascii="仿宋" w:hAnsi="仿宋" w:eastAsia="仿宋" w:cs="Helvetica"/>
          <w:kern w:val="0"/>
          <w:sz w:val="24"/>
        </w:rPr>
      </w:pPr>
      <w:r>
        <w:rPr>
          <w:rFonts w:hint="eastAsia" w:ascii="仿宋" w:hAnsi="仿宋" w:eastAsia="仿宋"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sz w:val="32"/>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128"/>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pPr>
        <w:pStyle w:val="128"/>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pPr>
        <w:pStyle w:val="128"/>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pPr>
        <w:pStyle w:val="128"/>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pPr>
        <w:pStyle w:val="128"/>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pPr>
        <w:pStyle w:val="128"/>
        <w:snapToGrid w:val="0"/>
        <w:spacing w:before="0"/>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w:t>
      </w:r>
      <w:r>
        <w:rPr>
          <w:rFonts w:ascii="仿宋" w:hAnsi="仿宋" w:eastAsia="仿宋" w:cs="仿宋_GB2312"/>
          <w:color w:val="FF0000"/>
        </w:rPr>
        <w:t>；</w:t>
      </w:r>
      <w:r>
        <w:rPr>
          <w:rFonts w:ascii="仿宋" w:hAnsi="仿宋" w:eastAsia="仿宋" w:cs="仿宋_GB2312"/>
        </w:rPr>
        <w:t>影响或可能影响采购公平、公正性的，应当重新采购。</w:t>
      </w:r>
    </w:p>
    <w:p>
      <w:pPr>
        <w:tabs>
          <w:tab w:val="left" w:pos="0"/>
        </w:tabs>
        <w:spacing w:line="360" w:lineRule="auto"/>
        <w:ind w:firstLine="480"/>
        <w:rPr>
          <w:rFonts w:ascii="仿宋" w:hAnsi="仿宋" w:eastAsia="仿宋"/>
          <w:sz w:val="24"/>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pacing w:line="360" w:lineRule="auto"/>
        <w:ind w:firstLine="0" w:firstLineChars="0"/>
        <w:rPr>
          <w:rFonts w:ascii="仿宋" w:hAnsi="仿宋" w:eastAsia="仿宋" w:cs="仿宋_GB2312"/>
          <w:b/>
        </w:rPr>
      </w:pPr>
      <w:r>
        <w:rPr>
          <w:rFonts w:ascii="仿宋" w:hAnsi="仿宋" w:eastAsia="仿宋" w:cs="仿宋_GB2312"/>
          <w:b/>
        </w:rPr>
        <w:t>29.验收</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bookmarkEnd w:id="34"/>
    <w:bookmarkEnd w:id="112"/>
    <w:p>
      <w:pPr>
        <w:widowControl/>
        <w:adjustRightInd/>
        <w:jc w:val="left"/>
        <w:rPr>
          <w:rFonts w:ascii="仿宋" w:hAnsi="仿宋" w:eastAsia="仿宋"/>
          <w:b/>
          <w:bCs/>
          <w:sz w:val="32"/>
          <w:szCs w:val="32"/>
        </w:rPr>
      </w:pPr>
      <w:bookmarkStart w:id="124" w:name="_Hlt74729768"/>
      <w:bookmarkEnd w:id="124"/>
      <w:bookmarkStart w:id="125" w:name="_Hlt68403820"/>
      <w:bookmarkEnd w:id="125"/>
      <w:bookmarkStart w:id="126" w:name="_Hlt68073093"/>
      <w:bookmarkEnd w:id="126"/>
      <w:bookmarkStart w:id="127" w:name="_Hlt75236011"/>
      <w:bookmarkEnd w:id="127"/>
      <w:bookmarkStart w:id="128" w:name="_Hlt75236290"/>
      <w:bookmarkEnd w:id="128"/>
      <w:bookmarkStart w:id="129" w:name="_Hlt68072990"/>
      <w:bookmarkEnd w:id="129"/>
      <w:bookmarkStart w:id="130" w:name="_Hlt74730295"/>
      <w:bookmarkEnd w:id="130"/>
      <w:bookmarkStart w:id="131" w:name="_Hlt74707468"/>
      <w:bookmarkEnd w:id="131"/>
      <w:bookmarkStart w:id="132" w:name="_Hlt75236101"/>
      <w:bookmarkEnd w:id="132"/>
      <w:bookmarkStart w:id="133" w:name="_Hlt68057669"/>
      <w:bookmarkEnd w:id="133"/>
      <w:bookmarkStart w:id="134" w:name="_Hlt68072998"/>
      <w:bookmarkEnd w:id="134"/>
      <w:bookmarkStart w:id="135" w:name="_Hlt74714665"/>
      <w:bookmarkEnd w:id="135"/>
      <w:bookmarkStart w:id="136" w:name="第四部分"/>
      <w:r>
        <w:rPr>
          <w:rFonts w:ascii="仿宋" w:hAnsi="仿宋" w:eastAsia="仿宋"/>
          <w:b/>
          <w:bCs/>
          <w:sz w:val="32"/>
          <w:szCs w:val="32"/>
        </w:rPr>
        <w:br w:type="page"/>
      </w:r>
    </w:p>
    <w:p>
      <w:pPr>
        <w:spacing w:line="360" w:lineRule="auto"/>
        <w:jc w:val="center"/>
        <w:outlineLvl w:val="0"/>
        <w:rPr>
          <w:rFonts w:ascii="仿宋" w:hAnsi="仿宋" w:eastAsia="仿宋" w:cs="仿宋_GB2312"/>
          <w:b/>
          <w:sz w:val="36"/>
          <w:szCs w:val="36"/>
        </w:rPr>
      </w:pPr>
      <w:bookmarkStart w:id="137" w:name="_Toc95232841"/>
      <w:bookmarkStart w:id="138" w:name="_Toc95295199"/>
      <w:bookmarkStart w:id="139" w:name="_Toc95296629"/>
      <w:bookmarkStart w:id="140" w:name="_Toc102565155"/>
      <w:bookmarkStart w:id="141" w:name="_Toc102564007"/>
      <w:bookmarkStart w:id="142" w:name="_Toc95295953"/>
      <w:bookmarkStart w:id="143" w:name="_Toc102563939"/>
      <w:bookmarkStart w:id="144" w:name="_Toc102563869"/>
      <w:bookmarkStart w:id="145" w:name="_Toc102563662"/>
      <w:bookmarkStart w:id="146" w:name="_Toc95296758"/>
      <w:r>
        <w:rPr>
          <w:rFonts w:hint="eastAsia" w:ascii="仿宋" w:hAnsi="仿宋" w:eastAsia="仿宋" w:cs="仿宋_GB2312"/>
          <w:b/>
          <w:sz w:val="36"/>
          <w:szCs w:val="36"/>
        </w:rPr>
        <w:t>第三部分 采购需求</w:t>
      </w:r>
      <w:bookmarkEnd w:id="137"/>
      <w:bookmarkEnd w:id="138"/>
      <w:bookmarkEnd w:id="139"/>
      <w:bookmarkEnd w:id="140"/>
      <w:bookmarkEnd w:id="141"/>
      <w:bookmarkEnd w:id="142"/>
      <w:bookmarkEnd w:id="143"/>
      <w:bookmarkEnd w:id="144"/>
      <w:bookmarkEnd w:id="145"/>
      <w:bookmarkEnd w:id="146"/>
    </w:p>
    <w:p>
      <w:pPr>
        <w:widowControl/>
        <w:numPr>
          <w:ilvl w:val="0"/>
          <w:numId w:val="2"/>
        </w:numPr>
        <w:shd w:val="clear" w:color="auto" w:fill="FFFFFF"/>
        <w:adjustRightInd/>
        <w:spacing w:line="400" w:lineRule="exact"/>
        <w:ind w:firstLine="482" w:firstLineChars="200"/>
        <w:rPr>
          <w:rFonts w:ascii="宋体" w:hAnsi="宋体" w:cs="宋体"/>
          <w:b/>
          <w:bCs/>
          <w:kern w:val="0"/>
          <w:sz w:val="24"/>
        </w:rPr>
      </w:pPr>
      <w:r>
        <w:rPr>
          <w:rFonts w:hint="eastAsia" w:ascii="宋体" w:hAnsi="宋体" w:cs="宋体"/>
          <w:b/>
          <w:bCs/>
          <w:kern w:val="0"/>
          <w:sz w:val="24"/>
        </w:rPr>
        <w:t>项目概况及范围内容</w:t>
      </w:r>
    </w:p>
    <w:p>
      <w:pPr>
        <w:spacing w:line="380" w:lineRule="exact"/>
        <w:ind w:right="-229" w:rightChars="-109" w:firstLine="480" w:firstLineChars="200"/>
        <w:rPr>
          <w:rFonts w:ascii="宋体" w:hAnsi="宋体" w:cs="宋体"/>
          <w:sz w:val="24"/>
        </w:rPr>
      </w:pPr>
      <w:r>
        <w:rPr>
          <w:rFonts w:hint="eastAsia" w:ascii="宋体" w:hAnsi="宋体" w:cs="宋体"/>
          <w:sz w:val="24"/>
        </w:rPr>
        <w:t>本项目采购内容为江山市城区公园广场、道路绿化等各类绿地日常养护管理。项目内容为招标范围内的</w:t>
      </w:r>
      <w:r>
        <w:rPr>
          <w:rFonts w:ascii="宋体" w:hAnsi="宋体" w:cs="宋体"/>
          <w:sz w:val="24"/>
        </w:rPr>
        <w:t>绿地</w:t>
      </w:r>
      <w:r>
        <w:rPr>
          <w:rFonts w:hint="eastAsia" w:ascii="宋体" w:hAnsi="宋体" w:cs="宋体"/>
          <w:sz w:val="24"/>
        </w:rPr>
        <w:t>养护、常绿草坪秋季播种养护、雕塑、景观小品、城市家具、园林建筑（亭、廊等）、健身器材及宣传牌等设施维护保洁、公园广场内水体保洁、绿地内铺装和园路维修、及乔木、灌木、地被缺株断垄的绿化补植等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标项名称</w:t>
            </w:r>
          </w:p>
        </w:tc>
        <w:tc>
          <w:tcPr>
            <w:tcW w:w="7044"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承包范围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标项一</w:t>
            </w:r>
          </w:p>
        </w:tc>
        <w:tc>
          <w:tcPr>
            <w:tcW w:w="7044" w:type="dxa"/>
            <w:noWrap/>
            <w:vAlign w:val="center"/>
          </w:tcPr>
          <w:p>
            <w:pPr>
              <w:widowControl/>
              <w:spacing w:line="290" w:lineRule="exact"/>
              <w:ind w:right="-61" w:rightChars="-29"/>
              <w:rPr>
                <w:rFonts w:ascii="宋体" w:hAnsi="宋体" w:cs="宋体"/>
                <w:kern w:val="0"/>
                <w:sz w:val="24"/>
              </w:rPr>
            </w:pPr>
            <w:r>
              <w:rPr>
                <w:rFonts w:hint="eastAsia"/>
              </w:rPr>
              <w:t>清湖大道以北，西山以东，衢江公路以西，景星东路、南门路、南二街以南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标项二</w:t>
            </w:r>
          </w:p>
        </w:tc>
        <w:tc>
          <w:tcPr>
            <w:tcW w:w="7044" w:type="dxa"/>
            <w:noWrap/>
            <w:vAlign w:val="center"/>
          </w:tcPr>
          <w:p>
            <w:pPr>
              <w:widowControl/>
              <w:spacing w:line="290" w:lineRule="exact"/>
              <w:ind w:right="-61" w:rightChars="-29"/>
              <w:rPr>
                <w:rFonts w:ascii="宋体" w:hAnsi="宋体" w:cs="宋体"/>
                <w:kern w:val="0"/>
                <w:sz w:val="24"/>
              </w:rPr>
            </w:pPr>
            <w:r>
              <w:rPr>
                <w:rFonts w:hint="eastAsia"/>
              </w:rPr>
              <w:t>景星东路、南门路、南二街以北，西山以东，衢江公路以西，城中路以南（含西山公园、西入城口）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标项三</w:t>
            </w:r>
          </w:p>
        </w:tc>
        <w:tc>
          <w:tcPr>
            <w:tcW w:w="7044" w:type="dxa"/>
            <w:noWrap/>
            <w:vAlign w:val="center"/>
          </w:tcPr>
          <w:p>
            <w:pPr>
              <w:widowControl/>
              <w:spacing w:line="290" w:lineRule="exact"/>
              <w:ind w:right="-61" w:rightChars="-29"/>
              <w:rPr>
                <w:rFonts w:ascii="宋体" w:hAnsi="宋体" w:cs="宋体"/>
                <w:b/>
                <w:sz w:val="24"/>
              </w:rPr>
            </w:pPr>
            <w:r>
              <w:rPr>
                <w:rFonts w:hint="eastAsia"/>
              </w:rPr>
              <w:t>城中路以北，西山以东，衢江公路以西，北环路以南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标项四</w:t>
            </w:r>
          </w:p>
        </w:tc>
        <w:tc>
          <w:tcPr>
            <w:tcW w:w="7044" w:type="dxa"/>
            <w:noWrap/>
            <w:vAlign w:val="center"/>
          </w:tcPr>
          <w:p>
            <w:pPr>
              <w:widowControl/>
              <w:spacing w:line="290" w:lineRule="exact"/>
              <w:ind w:right="-61" w:rightChars="-29"/>
              <w:rPr>
                <w:rFonts w:ascii="宋体" w:hAnsi="宋体" w:cs="宋体"/>
                <w:b/>
                <w:sz w:val="24"/>
              </w:rPr>
            </w:pPr>
            <w:r>
              <w:rPr>
                <w:rFonts w:hint="eastAsia"/>
              </w:rPr>
              <w:t>北环路以北，西山以东，衢江公路以西，站前大道以南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12" w:type="dxa"/>
            <w:noWrap/>
            <w:vAlign w:val="center"/>
          </w:tcPr>
          <w:p>
            <w:pPr>
              <w:widowControl/>
              <w:spacing w:line="290" w:lineRule="exact"/>
              <w:ind w:right="-61" w:rightChars="-29"/>
              <w:jc w:val="center"/>
              <w:rPr>
                <w:rFonts w:ascii="宋体" w:hAnsi="宋体" w:cs="宋体"/>
                <w:kern w:val="0"/>
                <w:sz w:val="24"/>
              </w:rPr>
            </w:pPr>
            <w:r>
              <w:rPr>
                <w:rFonts w:hint="eastAsia" w:ascii="宋体" w:hAnsi="宋体" w:cs="宋体"/>
                <w:kern w:val="0"/>
                <w:sz w:val="24"/>
              </w:rPr>
              <w:t>标项五</w:t>
            </w:r>
          </w:p>
        </w:tc>
        <w:tc>
          <w:tcPr>
            <w:tcW w:w="7044" w:type="dxa"/>
            <w:noWrap/>
            <w:vAlign w:val="center"/>
          </w:tcPr>
          <w:p>
            <w:pPr>
              <w:widowControl/>
              <w:spacing w:line="290" w:lineRule="exact"/>
              <w:ind w:right="-61" w:rightChars="-29"/>
              <w:rPr>
                <w:rFonts w:ascii="宋体" w:hAnsi="宋体" w:cs="宋体"/>
                <w:b/>
                <w:sz w:val="24"/>
              </w:rPr>
            </w:pPr>
            <w:r>
              <w:rPr>
                <w:rFonts w:hint="eastAsia"/>
              </w:rPr>
              <w:t>站前大道以北，礼贤路以东，衢江公路以西，双塔底以南（含迎宾广场、站前广场）</w:t>
            </w:r>
          </w:p>
        </w:tc>
      </w:tr>
    </w:tbl>
    <w:p>
      <w:pPr>
        <w:widowControl/>
        <w:numPr>
          <w:ilvl w:val="0"/>
          <w:numId w:val="2"/>
        </w:numPr>
        <w:shd w:val="clear" w:color="auto" w:fill="FFFFFF"/>
        <w:adjustRightInd/>
        <w:spacing w:line="400" w:lineRule="exact"/>
        <w:ind w:firstLine="482" w:firstLineChars="200"/>
        <w:rPr>
          <w:rFonts w:ascii="宋体" w:hAnsi="宋体" w:cs="宋体"/>
          <w:b/>
          <w:bCs/>
          <w:kern w:val="0"/>
          <w:sz w:val="24"/>
        </w:rPr>
      </w:pPr>
      <w:r>
        <w:rPr>
          <w:rFonts w:hint="eastAsia" w:ascii="宋体" w:hAnsi="宋体" w:cs="宋体"/>
          <w:b/>
          <w:bCs/>
          <w:kern w:val="0"/>
          <w:sz w:val="24"/>
        </w:rPr>
        <w:t>养护管理作业内容</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1.乔木、灌木、花卉、球类、竹类、攀缘植物、草本花卉的修剪、养护和补植。</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.乔木、灌木、球类、竹类、攀缘植物、草本花卉的施肥、浇水及病虫害的防治</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草坪播种、修剪、养护、补植、病虫害防治</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.绿地内的杂草、石块以及修剪下的残枝、残草、死树要及时清理、清运。</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绿地内水体管理，包括</w:t>
      </w:r>
      <w:r>
        <w:rPr>
          <w:rFonts w:hint="eastAsia" w:ascii="宋体" w:hAnsi="宋体" w:cs="宋体"/>
          <w:kern w:val="0"/>
          <w:sz w:val="24"/>
        </w:rPr>
        <w:t>水生植物的管养、残败枝条清理，水体</w:t>
      </w:r>
      <w:r>
        <w:rPr>
          <w:rFonts w:ascii="宋体" w:hAnsi="宋体" w:cs="宋体"/>
          <w:kern w:val="0"/>
          <w:sz w:val="24"/>
        </w:rPr>
        <w:t>保洁、落叶清理、垂钓、浣洗等不文明行为的阻止等等。</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6</w:t>
      </w:r>
      <w:r>
        <w:rPr>
          <w:rFonts w:hint="eastAsia" w:ascii="宋体" w:hAnsi="宋体" w:cs="宋体"/>
          <w:kern w:val="0"/>
          <w:sz w:val="24"/>
        </w:rPr>
        <w:t>.</w:t>
      </w:r>
      <w:r>
        <w:rPr>
          <w:rFonts w:ascii="宋体" w:hAnsi="宋体" w:cs="宋体"/>
          <w:kern w:val="0"/>
          <w:sz w:val="24"/>
        </w:rPr>
        <w:t>绿地内</w:t>
      </w:r>
      <w:r>
        <w:rPr>
          <w:rFonts w:hint="eastAsia" w:ascii="宋体" w:hAnsi="宋体" w:cs="宋体"/>
          <w:kern w:val="0"/>
          <w:sz w:val="24"/>
        </w:rPr>
        <w:t>假山、雕塑、园林建筑（亭、廊等）、园路、健身器材、城市家具、警示牌等各类园林设施以及公园广场内水景及喷泉等</w:t>
      </w:r>
      <w:r>
        <w:rPr>
          <w:rFonts w:ascii="宋体" w:hAnsi="宋体" w:cs="宋体"/>
          <w:kern w:val="0"/>
          <w:sz w:val="24"/>
        </w:rPr>
        <w:t>的维护与维修。</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7</w:t>
      </w:r>
      <w:r>
        <w:rPr>
          <w:rFonts w:hint="eastAsia" w:ascii="宋体" w:hAnsi="宋体" w:cs="宋体"/>
          <w:kern w:val="0"/>
          <w:sz w:val="24"/>
        </w:rPr>
        <w:t>.时花的种植及养护。</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8</w:t>
      </w:r>
      <w:r>
        <w:rPr>
          <w:rFonts w:hint="eastAsia" w:ascii="宋体" w:hAnsi="宋体" w:cs="宋体"/>
          <w:kern w:val="0"/>
          <w:sz w:val="24"/>
        </w:rPr>
        <w:t>.</w:t>
      </w:r>
      <w:r>
        <w:rPr>
          <w:rFonts w:ascii="宋体" w:hAnsi="宋体" w:cs="宋体"/>
          <w:kern w:val="0"/>
          <w:sz w:val="24"/>
        </w:rPr>
        <w:t>绿地内裸露地块、</w:t>
      </w:r>
      <w:r>
        <w:rPr>
          <w:rFonts w:hint="eastAsia" w:ascii="宋体" w:hAnsi="宋体" w:cs="宋体"/>
          <w:kern w:val="0"/>
          <w:sz w:val="24"/>
        </w:rPr>
        <w:t>死亡苗木</w:t>
      </w:r>
      <w:r>
        <w:rPr>
          <w:rFonts w:ascii="宋体" w:hAnsi="宋体" w:cs="宋体"/>
          <w:kern w:val="0"/>
          <w:sz w:val="24"/>
        </w:rPr>
        <w:t>（含人为损坏）</w:t>
      </w:r>
      <w:r>
        <w:rPr>
          <w:rFonts w:hint="eastAsia" w:ascii="宋体" w:hAnsi="宋体" w:cs="宋体"/>
          <w:kern w:val="0"/>
          <w:sz w:val="24"/>
        </w:rPr>
        <w:t>按</w:t>
      </w:r>
      <w:r>
        <w:rPr>
          <w:rFonts w:ascii="宋体" w:hAnsi="宋体" w:cs="宋体"/>
          <w:kern w:val="0"/>
          <w:sz w:val="24"/>
        </w:rPr>
        <w:t>同</w:t>
      </w:r>
      <w:r>
        <w:rPr>
          <w:rFonts w:hint="eastAsia" w:ascii="宋体" w:hAnsi="宋体" w:cs="宋体"/>
          <w:kern w:val="0"/>
          <w:sz w:val="24"/>
        </w:rPr>
        <w:t>品种、</w:t>
      </w:r>
      <w:r>
        <w:rPr>
          <w:rFonts w:ascii="宋体" w:hAnsi="宋体" w:cs="宋体"/>
          <w:kern w:val="0"/>
          <w:sz w:val="24"/>
        </w:rPr>
        <w:t>同</w:t>
      </w:r>
      <w:r>
        <w:rPr>
          <w:rFonts w:hint="eastAsia" w:ascii="宋体" w:hAnsi="宋体" w:cs="宋体"/>
          <w:kern w:val="0"/>
          <w:sz w:val="24"/>
        </w:rPr>
        <w:t>规格进行补植。</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9</w:t>
      </w:r>
      <w:r>
        <w:rPr>
          <w:rFonts w:hint="eastAsia" w:ascii="宋体" w:hAnsi="宋体" w:cs="宋体"/>
          <w:kern w:val="0"/>
          <w:sz w:val="24"/>
        </w:rPr>
        <w:t>.</w:t>
      </w:r>
      <w:r>
        <w:rPr>
          <w:rFonts w:ascii="宋体" w:hAnsi="宋体" w:cs="宋体"/>
          <w:kern w:val="0"/>
          <w:sz w:val="24"/>
        </w:rPr>
        <w:t>绿地内</w:t>
      </w:r>
      <w:r>
        <w:rPr>
          <w:rFonts w:hint="eastAsia" w:ascii="宋体" w:hAnsi="宋体" w:cs="宋体"/>
          <w:kern w:val="0"/>
          <w:sz w:val="24"/>
        </w:rPr>
        <w:t>禁止外来垃圾倾倒，及时制止侵占、破坏绿地行为。</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10</w:t>
      </w:r>
      <w:r>
        <w:rPr>
          <w:rFonts w:hint="eastAsia" w:ascii="宋体" w:hAnsi="宋体" w:cs="宋体"/>
          <w:kern w:val="0"/>
          <w:sz w:val="24"/>
        </w:rPr>
        <w:t>.冬季乔木树干涂白。</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.设备用房、管理房的保洁</w:t>
      </w:r>
      <w:r>
        <w:rPr>
          <w:rFonts w:ascii="宋体" w:hAnsi="宋体" w:cs="宋体"/>
          <w:kern w:val="0"/>
          <w:sz w:val="24"/>
        </w:rPr>
        <w:t>、</w:t>
      </w:r>
      <w:r>
        <w:rPr>
          <w:rFonts w:hint="eastAsia" w:ascii="宋体" w:hAnsi="宋体" w:cs="宋体"/>
          <w:kern w:val="0"/>
          <w:sz w:val="24"/>
        </w:rPr>
        <w:t>维护</w:t>
      </w:r>
      <w:r>
        <w:rPr>
          <w:rFonts w:ascii="宋体" w:hAnsi="宋体" w:cs="宋体"/>
          <w:kern w:val="0"/>
          <w:sz w:val="24"/>
        </w:rPr>
        <w:t>以及安全管理等</w:t>
      </w:r>
      <w:r>
        <w:rPr>
          <w:rFonts w:hint="eastAsia" w:ascii="宋体" w:hAnsi="宋体" w:cs="宋体"/>
          <w:kern w:val="0"/>
          <w:sz w:val="24"/>
        </w:rPr>
        <w:t>。</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.极端气候条件（大雪、冰冻、台风、烈日、干旱等）下的特殊养护。</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3</w:t>
      </w:r>
      <w:r>
        <w:rPr>
          <w:rFonts w:hint="eastAsia" w:ascii="宋体" w:hAnsi="宋体" w:cs="宋体"/>
          <w:kern w:val="0"/>
          <w:sz w:val="24"/>
        </w:rPr>
        <w:t>.浇灌设施、隐蔽工程、水渠、管道维修及养护（含室外地上式消火栓、阀门井）。</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.树木、球类植物四周培土、除草、松土、保墒。</w:t>
      </w:r>
    </w:p>
    <w:p>
      <w:pPr>
        <w:ind w:firstLine="480" w:firstLineChars="200"/>
        <w:rPr>
          <w:rFonts w:ascii="宋体" w:hAnsi="宋体" w:cs="宋体"/>
          <w:kern w:val="0"/>
          <w:sz w:val="24"/>
        </w:rPr>
      </w:pPr>
      <w:r>
        <w:rPr>
          <w:rFonts w:ascii="宋体" w:hAnsi="宋体" w:cs="宋体"/>
          <w:kern w:val="0"/>
          <w:sz w:val="24"/>
        </w:rPr>
        <w:t>15</w:t>
      </w:r>
      <w:r>
        <w:rPr>
          <w:rFonts w:hint="eastAsia" w:ascii="宋体" w:hAnsi="宋体" w:cs="宋体"/>
          <w:kern w:val="0"/>
          <w:sz w:val="24"/>
        </w:rPr>
        <w:t>.须江公园内温室管理</w:t>
      </w:r>
      <w:r>
        <w:rPr>
          <w:rFonts w:ascii="宋体" w:hAnsi="宋体" w:cs="宋体"/>
          <w:kern w:val="0"/>
          <w:sz w:val="24"/>
        </w:rPr>
        <w:t>与保洁</w:t>
      </w:r>
      <w:r>
        <w:rPr>
          <w:rFonts w:hint="eastAsia" w:ascii="宋体" w:hAnsi="宋体" w:cs="宋体"/>
          <w:kern w:val="0"/>
          <w:sz w:val="24"/>
        </w:rPr>
        <w:t>、公园保卫、猴山管理</w:t>
      </w:r>
      <w:r>
        <w:rPr>
          <w:rFonts w:ascii="宋体" w:hAnsi="宋体" w:cs="宋体"/>
          <w:kern w:val="0"/>
          <w:sz w:val="24"/>
        </w:rPr>
        <w:t>与保洁</w:t>
      </w:r>
      <w:r>
        <w:rPr>
          <w:rFonts w:hint="eastAsia" w:ascii="宋体" w:hAnsi="宋体" w:cs="宋体"/>
          <w:kern w:val="0"/>
          <w:sz w:val="24"/>
        </w:rPr>
        <w:t>以及须江阁保洁、安全等。</w:t>
      </w:r>
    </w:p>
    <w:p>
      <w:pPr>
        <w:widowControl/>
        <w:shd w:val="clear" w:color="auto" w:fill="FFFFFF"/>
        <w:spacing w:line="400" w:lineRule="exact"/>
        <w:ind w:firstLine="480" w:firstLineChars="200"/>
        <w:rPr>
          <w:rFonts w:ascii="宋体" w:hAnsi="宋体" w:cs="宋体"/>
          <w:color w:val="FF0000"/>
          <w:kern w:val="0"/>
          <w:sz w:val="24"/>
        </w:rPr>
      </w:pP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w:t>
      </w:r>
      <w:r>
        <w:rPr>
          <w:rFonts w:hint="eastAsia" w:ascii="宋体" w:hAnsi="宋体" w:cs="宋体"/>
          <w:sz w:val="24"/>
        </w:rPr>
        <w:t>现场管理人员须在中标后开展安全巡查，极端天气下组织应急队伍做好安全工作。</w:t>
      </w:r>
    </w:p>
    <w:p>
      <w:pPr>
        <w:widowControl/>
        <w:numPr>
          <w:ilvl w:val="0"/>
          <w:numId w:val="2"/>
        </w:numPr>
        <w:shd w:val="clear" w:color="auto" w:fill="FFFFFF"/>
        <w:adjustRightInd/>
        <w:spacing w:line="400" w:lineRule="exact"/>
        <w:ind w:firstLine="482" w:firstLineChars="200"/>
        <w:rPr>
          <w:rFonts w:ascii="宋体" w:hAnsi="宋体" w:cs="宋体"/>
          <w:b/>
          <w:bCs/>
          <w:kern w:val="0"/>
          <w:sz w:val="24"/>
        </w:rPr>
      </w:pPr>
      <w:r>
        <w:rPr>
          <w:rFonts w:hint="eastAsia" w:ascii="宋体" w:hAnsi="宋体" w:cs="宋体"/>
          <w:b/>
          <w:bCs/>
          <w:kern w:val="0"/>
          <w:sz w:val="24"/>
        </w:rPr>
        <w:t>养护质量等要求</w:t>
      </w:r>
    </w:p>
    <w:p>
      <w:pPr>
        <w:spacing w:line="380" w:lineRule="exact"/>
        <w:ind w:right="-229" w:rightChars="-109" w:firstLine="480" w:firstLineChars="200"/>
        <w:rPr>
          <w:rFonts w:ascii="宋体" w:hAnsi="宋体" w:cs="宋体"/>
          <w:sz w:val="24"/>
        </w:rPr>
      </w:pPr>
      <w:r>
        <w:rPr>
          <w:rFonts w:hint="eastAsia" w:ascii="宋体" w:hAnsi="宋体" w:cs="宋体"/>
          <w:sz w:val="24"/>
        </w:rPr>
        <w:t>（一）质量要求：养护质量要求达到江山市公共绿地养护标准，考核办法及考核要求按江山市绿化养护考核评分标准（附件一）执行，符合本文附件的所有条款要求，如履行过程中有新的文件产生将按照新文件执行。</w:t>
      </w:r>
    </w:p>
    <w:p>
      <w:pPr>
        <w:spacing w:line="380" w:lineRule="exact"/>
        <w:ind w:right="-229" w:rightChars="-109" w:firstLine="480" w:firstLineChars="200"/>
        <w:rPr>
          <w:rFonts w:ascii="宋体" w:hAnsi="宋体" w:cs="宋体"/>
          <w:sz w:val="24"/>
        </w:rPr>
      </w:pPr>
      <w:r>
        <w:rPr>
          <w:rFonts w:hint="eastAsia" w:ascii="宋体" w:hAnsi="宋体" w:cs="宋体"/>
          <w:sz w:val="24"/>
        </w:rPr>
        <w:t>（二）时间要求：</w:t>
      </w:r>
    </w:p>
    <w:p>
      <w:pPr>
        <w:spacing w:line="380" w:lineRule="exact"/>
        <w:ind w:right="-229" w:rightChars="-109" w:firstLine="480" w:firstLineChars="200"/>
        <w:rPr>
          <w:rFonts w:ascii="宋体" w:hAnsi="宋体" w:cs="宋体"/>
          <w:sz w:val="24"/>
        </w:rPr>
      </w:pPr>
      <w:r>
        <w:rPr>
          <w:rFonts w:hint="eastAsia" w:ascii="宋体" w:hAnsi="宋体" w:cs="宋体"/>
          <w:sz w:val="24"/>
        </w:rPr>
        <w:t>1.中标单位对城市绿地、园路设施等日常养护，制订合理可行的实施方案（包含养护时间、养护人员分配），报采购人批准同意后实行。</w:t>
      </w:r>
    </w:p>
    <w:p>
      <w:pPr>
        <w:spacing w:line="380" w:lineRule="exact"/>
        <w:ind w:right="-229" w:rightChars="-109" w:firstLine="480" w:firstLineChars="200"/>
        <w:rPr>
          <w:rFonts w:ascii="宋体" w:hAnsi="宋体" w:cs="宋体"/>
          <w:sz w:val="24"/>
        </w:rPr>
      </w:pPr>
      <w:r>
        <w:rPr>
          <w:rFonts w:hint="eastAsia" w:ascii="宋体" w:hAnsi="宋体" w:cs="宋体"/>
          <w:sz w:val="24"/>
        </w:rPr>
        <w:t xml:space="preserve">2.凡涉及江山市园林管理处服务承诺内容的，必须按照承诺服务时限完成。  </w:t>
      </w:r>
    </w:p>
    <w:p>
      <w:pPr>
        <w:spacing w:line="380" w:lineRule="exact"/>
        <w:ind w:right="-229" w:rightChars="-109" w:firstLine="480" w:firstLineChars="200"/>
        <w:rPr>
          <w:rFonts w:ascii="宋体" w:hAnsi="宋体" w:cs="宋体"/>
          <w:sz w:val="24"/>
        </w:rPr>
      </w:pPr>
      <w:r>
        <w:rPr>
          <w:rFonts w:hint="eastAsia" w:ascii="宋体" w:hAnsi="宋体" w:cs="宋体"/>
          <w:sz w:val="24"/>
        </w:rPr>
        <w:t>3.服务期限</w:t>
      </w:r>
      <w:r>
        <w:rPr>
          <w:rFonts w:hint="eastAsia" w:ascii="宋体" w:hAnsi="宋体" w:cs="宋体"/>
          <w:color w:val="auto"/>
          <w:sz w:val="24"/>
        </w:rPr>
        <w:t>：一年。若中标单位在连续两个月考核中扣分大于120分，或在一年考核中有3个月月</w:t>
      </w:r>
      <w:r>
        <w:rPr>
          <w:rFonts w:hint="eastAsia" w:ascii="宋体" w:hAnsi="宋体" w:cs="宋体"/>
          <w:sz w:val="24"/>
        </w:rPr>
        <w:t>考核中扣分大于120分的，采购人有权中止或解除合同，履约保证金不予退还。合同期间如若出现绿地面积增加或减少，养护费用按照中标单价增加或减少。如绿地进行项目改造提升造成养护区域减少（此项不属于违约），采购人有权核减该部分养护费用，中标单位必须无条件接受。供应商在投标报价时应考虑该项风险。</w:t>
      </w:r>
    </w:p>
    <w:p>
      <w:pPr>
        <w:spacing w:line="380" w:lineRule="exact"/>
        <w:ind w:right="-229" w:rightChars="-109" w:firstLine="566" w:firstLineChars="236"/>
        <w:rPr>
          <w:rFonts w:ascii="宋体" w:hAnsi="宋体" w:cs="宋体"/>
          <w:sz w:val="24"/>
        </w:rPr>
      </w:pPr>
      <w:r>
        <w:rPr>
          <w:rFonts w:hint="eastAsia" w:ascii="宋体" w:hAnsi="宋体" w:cs="宋体"/>
          <w:sz w:val="24"/>
        </w:rPr>
        <w:t>（三）具体要求：</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 xml:space="preserve">1.补植要求 </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出现植株死亡的，则补植相同品种、相同规格的灌木、乔木、地被等。中标供应商补植死亡苗木等产生的所有费用由中标供应商自行承担。</w:t>
      </w:r>
    </w:p>
    <w:p>
      <w:pPr>
        <w:spacing w:line="380" w:lineRule="exact"/>
        <w:ind w:right="-229" w:rightChars="-109" w:firstLine="480" w:firstLineChars="200"/>
        <w:rPr>
          <w:rFonts w:ascii="宋体" w:hAnsi="宋体" w:cs="宋体"/>
          <w:sz w:val="24"/>
        </w:rPr>
      </w:pPr>
      <w:r>
        <w:rPr>
          <w:rFonts w:hint="eastAsia" w:ascii="宋体" w:hAnsi="宋体" w:cs="宋体"/>
          <w:sz w:val="24"/>
        </w:rPr>
        <w:t>常绿草坪秋季播种要求及时，出芽率达100%，不得出现秃斑，黄土裸露等。</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2.病虫害防治要求</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及时防治病虫害。</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2.1草坪：病害、虫害不明显,要求无病虫害率在98%以上。</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2.2球类、竹类、草本花卉、攀缘植物、灌木、乔木：要求无病虫害率在95%以上。</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3.设施维护要求</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中标单位加强日常巡查，主动发现问题及时解决。凡涉及安全的项目必须在24小时内修复完成，其他问题7天内修复。</w:t>
      </w:r>
      <w:r>
        <w:rPr>
          <w:rFonts w:hint="eastAsia" w:ascii="宋体" w:hAnsi="宋体"/>
          <w:sz w:val="24"/>
        </w:rPr>
        <w:t>维修完成后设施质量应达到一次性验收合格标准。</w:t>
      </w:r>
    </w:p>
    <w:p>
      <w:pPr>
        <w:spacing w:line="400" w:lineRule="exact"/>
        <w:ind w:firstLine="480" w:firstLineChars="200"/>
        <w:rPr>
          <w:rFonts w:ascii="宋体" w:hAnsi="宋体" w:cs="宋体"/>
          <w:sz w:val="24"/>
        </w:rPr>
      </w:pPr>
      <w:r>
        <w:rPr>
          <w:rFonts w:hint="eastAsia" w:ascii="宋体" w:hAnsi="宋体" w:cs="宋体"/>
          <w:sz w:val="24"/>
        </w:rPr>
        <w:t>4.整形修剪要求</w:t>
      </w:r>
    </w:p>
    <w:p>
      <w:pPr>
        <w:spacing w:line="400" w:lineRule="exact"/>
        <w:ind w:firstLine="480" w:firstLineChars="200"/>
        <w:rPr>
          <w:rFonts w:ascii="宋体" w:hAnsi="宋体" w:cs="宋体"/>
          <w:b/>
          <w:sz w:val="24"/>
        </w:rPr>
      </w:pPr>
      <w:r>
        <w:rPr>
          <w:rFonts w:hint="eastAsia" w:ascii="宋体" w:hAnsi="宋体" w:cs="宋体"/>
          <w:sz w:val="24"/>
        </w:rPr>
        <w:t>4.1草坪：草种基本纯正，生长茂盛，有一定厚度，草根不裸露；草坪无明显枯黄现象，草高不超过8cm；草坪边缘线清晰。</w:t>
      </w:r>
    </w:p>
    <w:p>
      <w:pPr>
        <w:spacing w:line="400" w:lineRule="exact"/>
        <w:ind w:firstLine="480" w:firstLineChars="200"/>
        <w:rPr>
          <w:rFonts w:ascii="宋体" w:hAnsi="宋体" w:cs="宋体"/>
          <w:sz w:val="24"/>
        </w:rPr>
      </w:pPr>
      <w:r>
        <w:rPr>
          <w:rFonts w:hint="eastAsia" w:ascii="宋体" w:hAnsi="宋体" w:cs="宋体"/>
          <w:sz w:val="24"/>
        </w:rPr>
        <w:t>4.2色块：模纹色块的上平面、内侧面、外侧面均平整，无凹凸起伏，修剪误差不得超过规定标准的±1cm，轮廓清楚，线条要圆滑流畅、美观，不同植物材料分界清晰，高差层次要分明，绿篱整齐。</w:t>
      </w:r>
    </w:p>
    <w:p>
      <w:pPr>
        <w:spacing w:line="400" w:lineRule="exact"/>
        <w:ind w:firstLine="480" w:firstLineChars="200"/>
        <w:rPr>
          <w:rFonts w:ascii="宋体" w:hAnsi="宋体" w:cs="宋体"/>
          <w:sz w:val="24"/>
        </w:rPr>
      </w:pPr>
      <w:r>
        <w:rPr>
          <w:rFonts w:hint="eastAsia" w:ascii="宋体" w:hAnsi="宋体" w:cs="宋体"/>
          <w:sz w:val="24"/>
        </w:rPr>
        <w:t>4.3球类球形必须及时修剪保持形态，丰满、完整、分布匀称，内高外低，形成自然丰满的圆头形、半圆头形或柱形树型；高度控制得当，不影响交通视线，无残缺、无死株。</w:t>
      </w:r>
    </w:p>
    <w:p>
      <w:pPr>
        <w:spacing w:line="400" w:lineRule="exact"/>
        <w:ind w:firstLine="480" w:firstLineChars="200"/>
        <w:rPr>
          <w:rFonts w:ascii="宋体" w:hAnsi="宋体" w:cs="宋体"/>
          <w:sz w:val="24"/>
        </w:rPr>
      </w:pPr>
      <w:r>
        <w:rPr>
          <w:rFonts w:hint="eastAsia" w:ascii="宋体" w:hAnsi="宋体" w:cs="宋体"/>
          <w:sz w:val="24"/>
        </w:rPr>
        <w:t>4.4乔木： 修剪下垂枝、内膛枝、病弱枝不少于2次/年。</w:t>
      </w:r>
    </w:p>
    <w:p>
      <w:pPr>
        <w:spacing w:line="400" w:lineRule="exact"/>
        <w:ind w:firstLine="480" w:firstLineChars="200"/>
        <w:rPr>
          <w:rFonts w:ascii="宋体" w:hAnsi="宋体" w:cs="宋体"/>
          <w:sz w:val="24"/>
        </w:rPr>
      </w:pPr>
      <w:r>
        <w:rPr>
          <w:rFonts w:hint="eastAsia" w:ascii="宋体" w:hAnsi="宋体" w:cs="宋体"/>
          <w:bCs/>
          <w:sz w:val="24"/>
        </w:rPr>
        <w:t>5</w:t>
      </w:r>
      <w:r>
        <w:rPr>
          <w:rFonts w:hint="eastAsia" w:ascii="宋体" w:hAnsi="宋体" w:cs="宋体"/>
          <w:sz w:val="24"/>
        </w:rPr>
        <w:t>.</w:t>
      </w:r>
      <w:r>
        <w:rPr>
          <w:rFonts w:hint="eastAsia" w:ascii="宋体" w:hAnsi="宋体" w:cs="宋体"/>
          <w:bCs/>
          <w:sz w:val="24"/>
        </w:rPr>
        <w:t>施肥要求</w:t>
      </w:r>
    </w:p>
    <w:p>
      <w:pPr>
        <w:spacing w:line="400" w:lineRule="exact"/>
        <w:ind w:firstLine="480" w:firstLineChars="200"/>
        <w:rPr>
          <w:rFonts w:ascii="宋体" w:hAnsi="宋体" w:cs="宋体"/>
          <w:sz w:val="24"/>
        </w:rPr>
      </w:pPr>
      <w:r>
        <w:rPr>
          <w:rFonts w:hint="eastAsia" w:ascii="宋体" w:hAnsi="宋体" w:cs="宋体"/>
          <w:sz w:val="24"/>
        </w:rPr>
        <w:t>所有植物一年不少于两次施肥，肥料为复合肥或饼肥，乔木应制作树穴，并打孔施肥，保证乔木生长旺盛。施肥时间应定于游人稀少的时间段，肥料由乙方自行组织，</w:t>
      </w:r>
      <w:r>
        <w:rPr>
          <w:rFonts w:hint="eastAsia" w:ascii="宋体" w:hAnsi="宋体" w:cs="宋体"/>
          <w:b/>
          <w:sz w:val="24"/>
        </w:rPr>
        <w:t>并在施肥前须提前将具体方案报采购人审核，如未报采购人审核的，不作施肥次数，</w:t>
      </w:r>
      <w:r>
        <w:rPr>
          <w:rFonts w:hint="eastAsia" w:ascii="宋体" w:hAnsi="宋体" w:cs="宋体"/>
          <w:sz w:val="24"/>
        </w:rPr>
        <w:t>采购人监督人员将全程进行监督管理。</w:t>
      </w:r>
    </w:p>
    <w:p>
      <w:pPr>
        <w:spacing w:line="400" w:lineRule="exact"/>
        <w:ind w:firstLine="480" w:firstLineChars="200"/>
        <w:rPr>
          <w:rFonts w:ascii="宋体" w:hAnsi="宋体" w:cs="宋体"/>
          <w:sz w:val="24"/>
        </w:rPr>
      </w:pPr>
      <w:r>
        <w:rPr>
          <w:rFonts w:hint="eastAsia" w:ascii="宋体" w:hAnsi="宋体" w:cs="宋体"/>
          <w:bCs/>
          <w:sz w:val="24"/>
        </w:rPr>
        <w:t>6.浇水要求</w:t>
      </w:r>
    </w:p>
    <w:p>
      <w:pPr>
        <w:spacing w:line="400" w:lineRule="exact"/>
        <w:ind w:firstLine="480" w:firstLineChars="200"/>
        <w:rPr>
          <w:rFonts w:ascii="宋体" w:hAnsi="宋体" w:cs="宋体"/>
          <w:sz w:val="24"/>
        </w:rPr>
      </w:pPr>
      <w:r>
        <w:rPr>
          <w:rFonts w:hint="eastAsia" w:ascii="宋体" w:hAnsi="宋体" w:cs="宋体"/>
          <w:sz w:val="24"/>
        </w:rPr>
        <w:t>要求叶片饱满不脱水，做到及时浇水，保证草坪、树木生长期对水分的需求及观叶苗木的景观效果。</w:t>
      </w:r>
    </w:p>
    <w:p>
      <w:pPr>
        <w:spacing w:line="400" w:lineRule="exact"/>
        <w:ind w:firstLine="480" w:firstLineChars="200"/>
        <w:rPr>
          <w:rFonts w:ascii="宋体" w:hAnsi="宋体" w:cs="宋体"/>
          <w:sz w:val="24"/>
        </w:rPr>
      </w:pPr>
      <w:r>
        <w:rPr>
          <w:rFonts w:hint="eastAsia" w:ascii="宋体" w:hAnsi="宋体" w:cs="宋体"/>
          <w:sz w:val="24"/>
        </w:rPr>
        <w:t>7.保洁要求：</w:t>
      </w:r>
    </w:p>
    <w:p>
      <w:pPr>
        <w:spacing w:line="400" w:lineRule="exact"/>
        <w:ind w:firstLine="480" w:firstLineChars="200"/>
        <w:rPr>
          <w:rFonts w:ascii="宋体" w:hAnsi="宋体" w:cs="宋体"/>
          <w:sz w:val="24"/>
        </w:rPr>
      </w:pPr>
      <w:r>
        <w:rPr>
          <w:rFonts w:hint="eastAsia" w:ascii="宋体" w:hAnsi="宋体" w:cs="宋体"/>
          <w:sz w:val="24"/>
        </w:rPr>
        <w:t>7.1管理房保洁要求：管理房需保持干净整洁，地面无垃圾、杂物等。</w:t>
      </w:r>
    </w:p>
    <w:p>
      <w:pPr>
        <w:spacing w:line="400" w:lineRule="exact"/>
        <w:ind w:firstLine="480" w:firstLineChars="200"/>
        <w:rPr>
          <w:rFonts w:ascii="宋体" w:hAnsi="宋体" w:cs="宋体"/>
          <w:sz w:val="24"/>
        </w:rPr>
      </w:pPr>
      <w:r>
        <w:rPr>
          <w:rFonts w:hint="eastAsia" w:ascii="宋体" w:hAnsi="宋体" w:cs="宋体"/>
          <w:sz w:val="24"/>
        </w:rPr>
        <w:t>7.2雕塑、景观小品、城市家具、园林建筑（亭、廊等）、健身器材及宣传牌保洁要求：需保持干净整洁，无蜘蛛网，无灰尘，无明显污迹、无牛皮藓，无垃圾、杂物、污渍等，园路要求及时清洗。</w:t>
      </w:r>
    </w:p>
    <w:p>
      <w:pPr>
        <w:spacing w:line="400" w:lineRule="exact"/>
        <w:ind w:firstLine="480" w:firstLineChars="200"/>
        <w:rPr>
          <w:rFonts w:ascii="宋体" w:hAnsi="宋体" w:cs="宋体"/>
          <w:sz w:val="24"/>
        </w:rPr>
      </w:pPr>
      <w:r>
        <w:rPr>
          <w:rFonts w:hint="eastAsia" w:ascii="宋体" w:hAnsi="宋体" w:cs="宋体"/>
          <w:sz w:val="24"/>
        </w:rPr>
        <w:t>7.3所有垃圾集中堆放至采购人指定地点。</w:t>
      </w:r>
    </w:p>
    <w:p>
      <w:pPr>
        <w:spacing w:line="400" w:lineRule="exact"/>
        <w:ind w:firstLine="480" w:firstLineChars="200"/>
        <w:rPr>
          <w:rFonts w:ascii="宋体" w:hAnsi="宋体" w:cs="宋体"/>
          <w:sz w:val="24"/>
        </w:rPr>
      </w:pPr>
      <w:r>
        <w:rPr>
          <w:rFonts w:hint="eastAsia" w:ascii="宋体" w:hAnsi="宋体" w:cs="宋体"/>
          <w:sz w:val="24"/>
        </w:rPr>
        <w:t>7.4绿地的枯枝落叶要求及时清理，尤其是秋季落叶季节要求加强清理力度</w:t>
      </w:r>
      <w:r>
        <w:rPr>
          <w:rFonts w:ascii="宋体" w:hAnsi="宋体" w:cs="宋体"/>
          <w:sz w:val="24"/>
        </w:rPr>
        <w:t>，确保清运有序，落叶无堆积</w:t>
      </w:r>
      <w:r>
        <w:rPr>
          <w:rFonts w:hint="eastAsia" w:ascii="宋体" w:hAnsi="宋体" w:cs="宋体"/>
          <w:sz w:val="24"/>
        </w:rPr>
        <w:t>，无腐蚀。</w:t>
      </w:r>
    </w:p>
    <w:p>
      <w:pPr>
        <w:spacing w:line="400" w:lineRule="exact"/>
        <w:ind w:firstLine="482" w:firstLineChars="200"/>
        <w:rPr>
          <w:rFonts w:ascii="宋体" w:hAnsi="宋体" w:cs="宋体"/>
          <w:b/>
          <w:bCs/>
          <w:sz w:val="24"/>
        </w:rPr>
      </w:pPr>
      <w:r>
        <w:rPr>
          <w:rFonts w:hint="eastAsia" w:ascii="宋体" w:hAnsi="宋体" w:cs="宋体"/>
          <w:b/>
          <w:bCs/>
          <w:sz w:val="24"/>
        </w:rPr>
        <w:t>8.机械设备要求：</w:t>
      </w:r>
    </w:p>
    <w:p>
      <w:pPr>
        <w:spacing w:line="400" w:lineRule="exact"/>
        <w:ind w:firstLine="480" w:firstLineChars="200"/>
        <w:rPr>
          <w:rFonts w:ascii="宋体" w:hAnsi="宋体" w:cs="宋体"/>
          <w:sz w:val="24"/>
          <w:highlight w:val="yellow"/>
        </w:rPr>
      </w:pPr>
      <w:r>
        <w:rPr>
          <w:rFonts w:hint="eastAsia" w:ascii="宋体" w:hAnsi="宋体" w:cs="宋体"/>
          <w:sz w:val="24"/>
        </w:rPr>
        <w:t xml:space="preserve">8.1机械化作业车辆及设备最低配置要求详见附件，中标单位需在中标公示结束之日起30日内按采购文件配置要求配齐设备。未在规定时间内按标文要求交齐设备的，采购人将不与其签订合同，中标单位视为自动退出承包，履约保证金不予退还。 </w:t>
      </w:r>
    </w:p>
    <w:p>
      <w:pPr>
        <w:spacing w:line="400" w:lineRule="exact"/>
        <w:ind w:firstLine="482" w:firstLineChars="200"/>
        <w:rPr>
          <w:rFonts w:ascii="宋体" w:hAnsi="宋体" w:cs="宋体"/>
          <w:b/>
          <w:bCs/>
          <w:sz w:val="24"/>
        </w:rPr>
      </w:pPr>
      <w:r>
        <w:rPr>
          <w:rFonts w:hint="eastAsia" w:ascii="宋体" w:hAnsi="宋体" w:cs="宋体"/>
          <w:b/>
          <w:bCs/>
          <w:sz w:val="24"/>
        </w:rPr>
        <w:t>9.人员配置及基本设备要求</w:t>
      </w:r>
    </w:p>
    <w:p>
      <w:pPr>
        <w:spacing w:line="400" w:lineRule="exact"/>
        <w:ind w:firstLine="480" w:firstLineChars="200"/>
        <w:rPr>
          <w:rFonts w:ascii="宋体" w:hAnsi="宋体" w:cs="宋体"/>
          <w:b/>
          <w:bCs/>
          <w:sz w:val="24"/>
        </w:rPr>
      </w:pPr>
      <w:r>
        <w:rPr>
          <w:rFonts w:hint="eastAsia" w:ascii="宋体" w:hAnsi="宋体" w:cs="宋体"/>
          <w:sz w:val="24"/>
        </w:rPr>
        <w:t>9</w:t>
      </w:r>
      <w:r>
        <w:rPr>
          <w:rFonts w:hint="eastAsia" w:ascii="宋体" w:hAnsi="宋体" w:cs="宋体"/>
          <w:b/>
          <w:bCs/>
          <w:sz w:val="24"/>
        </w:rPr>
        <w:t>.</w:t>
      </w:r>
      <w:r>
        <w:rPr>
          <w:rFonts w:hint="eastAsia" w:ascii="宋体" w:hAnsi="宋体" w:cs="宋体"/>
          <w:sz w:val="24"/>
        </w:rPr>
        <w:t>1每个标项必须具备项</w:t>
      </w:r>
      <w:r>
        <w:rPr>
          <w:rFonts w:hint="eastAsia" w:ascii="宋体" w:hAnsi="宋体" w:cs="宋体"/>
          <w:b/>
          <w:bCs/>
          <w:sz w:val="24"/>
        </w:rPr>
        <w:t>目组项目负责人1人，现场管理人员1人</w:t>
      </w:r>
      <w:r>
        <w:rPr>
          <w:rFonts w:hint="eastAsia" w:ascii="宋体" w:hAnsi="宋体" w:cs="宋体"/>
          <w:sz w:val="24"/>
        </w:rPr>
        <w:t>，年龄要求男性60周岁以下，女性50周岁以下；要求身体健康，无其他不适合养护工作的身体状况，基本掌握园林养护知识，会用智能手机和办公软件，会使用电动车。关于项目负责人每月在养护现场的时间要求：正常养护期间项目负责人月度驻守率在70%以上；关于现场管理人员每月在养护现场的时间要求：月到岗率达到27日及以上。中标单位对该项目配备的项目现场管理人员、项目负责人须与投标文件中上报的人员一致，不得与其他项目兼任，未经业主方书面许可，不得更换。</w:t>
      </w:r>
      <w:r>
        <w:rPr>
          <w:rFonts w:hint="eastAsia" w:ascii="宋体" w:hAnsi="宋体" w:cs="宋体"/>
          <w:b/>
          <w:bCs/>
          <w:sz w:val="24"/>
        </w:rPr>
        <w:t>人员符合年龄条件的必须缴纳三险及建筑施工意外伤害保险和雇主责任险。建筑施工意外伤害保险和雇主责任险合计保额最低标准：从业人员死亡、伤残100万元，医疗费用16万元。</w:t>
      </w:r>
    </w:p>
    <w:p>
      <w:pPr>
        <w:spacing w:line="400" w:lineRule="exact"/>
        <w:ind w:firstLine="480" w:firstLineChars="200"/>
        <w:rPr>
          <w:rFonts w:ascii="宋体" w:hAnsi="宋体" w:cs="宋体"/>
          <w:b/>
          <w:bCs/>
          <w:sz w:val="24"/>
        </w:rPr>
      </w:pPr>
      <w:r>
        <w:rPr>
          <w:rFonts w:hint="eastAsia" w:ascii="宋体" w:hAnsi="宋体" w:cs="宋体"/>
          <w:sz w:val="24"/>
        </w:rPr>
        <w:t>9.2</w:t>
      </w:r>
      <w:r>
        <w:rPr>
          <w:rFonts w:hint="eastAsia" w:ascii="宋体" w:hAnsi="宋体" w:cs="宋体"/>
          <w:b/>
          <w:bCs/>
          <w:sz w:val="24"/>
        </w:rPr>
        <w:t>标项一中标单位配备的养护人员不得少于30人、标项二中标单位配备的养护人员不得少于30人、标项三中标单位配备的养护人员不得少于30人、标项四中标单位配备的养护人员不得少于28人、标项五中标单位配备的养护人员不得少于31人。且</w:t>
      </w:r>
      <w:r>
        <w:rPr>
          <w:rFonts w:hint="eastAsia" w:ascii="宋体" w:hAnsi="宋体"/>
          <w:sz w:val="24"/>
        </w:rPr>
        <w:t>须符合国家有关法律规定，身体健康，年龄不得大于65周岁。全员签订劳动合同或劳务协议，符合条件的须参加基本社会保险，为其缴纳五险一金，按月按时发放养护人员工资、不发生拖欠，绿化养护人员工资最低不得低于江山市最低工资标准,并按规定发放加班工资和过节福利等各种补贴。</w:t>
      </w:r>
      <w:r>
        <w:rPr>
          <w:rFonts w:hint="eastAsia" w:ascii="宋体" w:hAnsi="宋体"/>
          <w:b/>
          <w:bCs/>
          <w:sz w:val="24"/>
        </w:rPr>
        <w:t>在中标后15个工作日内给养护人员办理好建筑</w:t>
      </w:r>
      <w:r>
        <w:rPr>
          <w:rFonts w:hint="eastAsia" w:ascii="宋体" w:hAnsi="宋体" w:cs="宋体"/>
          <w:b/>
          <w:bCs/>
          <w:sz w:val="24"/>
        </w:rPr>
        <w:t>建筑施工意外伤害保险和雇主责任险</w:t>
      </w:r>
      <w:r>
        <w:rPr>
          <w:rFonts w:hint="eastAsia" w:ascii="宋体" w:hAnsi="宋体"/>
          <w:b/>
          <w:bCs/>
          <w:sz w:val="24"/>
        </w:rPr>
        <w:t>，将保险人员名单复印存档，并将原件报江山市园林管理处备案。</w:t>
      </w:r>
    </w:p>
    <w:p>
      <w:pPr>
        <w:spacing w:line="400" w:lineRule="exact"/>
        <w:ind w:firstLine="480" w:firstLineChars="200"/>
        <w:rPr>
          <w:rFonts w:ascii="宋体" w:hAnsi="宋体" w:cs="宋体"/>
          <w:sz w:val="24"/>
        </w:rPr>
      </w:pPr>
      <w:r>
        <w:rPr>
          <w:rFonts w:hint="eastAsia" w:ascii="宋体" w:hAnsi="宋体" w:cs="宋体"/>
          <w:sz w:val="24"/>
        </w:rPr>
        <w:t>9.3中标单位未提交劳动合同，以及没有为项目现场管理人员缴纳社会保险证明的违约责任：采购人应要求限期改正，中标供应商逾期未改正的，经采购人核实，采购人有权要求更换同条件的项目负责人，由此增加的费用和（或）延误的工期由中标供应商承担，并在当期合同款中扣除5万元。</w:t>
      </w:r>
    </w:p>
    <w:p>
      <w:pPr>
        <w:spacing w:line="400" w:lineRule="exact"/>
        <w:ind w:firstLine="480" w:firstLineChars="200"/>
        <w:rPr>
          <w:rFonts w:ascii="宋体" w:hAnsi="宋体" w:cs="宋体"/>
          <w:sz w:val="24"/>
        </w:rPr>
      </w:pPr>
      <w:r>
        <w:rPr>
          <w:rFonts w:hint="eastAsia" w:ascii="宋体" w:hAnsi="宋体" w:cs="宋体"/>
          <w:sz w:val="24"/>
        </w:rPr>
        <w:t>9.4项目管理人员未经批准，擅自离开管理现场的违约责任：项目负责人管理期间离岗两天以上必须经采购人同意，如发现项目负责人不在现场组织管理，采购人有权按违约处理，并在当期合同款中按照离岗天数扣除1000元/天的违约金，后果由中标供应商负责。</w:t>
      </w:r>
    </w:p>
    <w:p>
      <w:pPr>
        <w:spacing w:line="400" w:lineRule="exact"/>
        <w:ind w:firstLine="480" w:firstLineChars="200"/>
        <w:rPr>
          <w:rFonts w:ascii="宋体" w:hAnsi="宋体" w:cs="宋体"/>
          <w:sz w:val="24"/>
        </w:rPr>
      </w:pPr>
      <w:r>
        <w:rPr>
          <w:rFonts w:hint="eastAsia" w:ascii="宋体" w:hAnsi="宋体" w:cs="宋体"/>
          <w:sz w:val="24"/>
        </w:rPr>
        <w:t>9.5中标单位擅自更换项目负责人的违约责任：</w:t>
      </w:r>
      <w:r>
        <w:rPr>
          <w:rFonts w:hint="eastAsia" w:ascii="宋体" w:hAnsi="宋体"/>
          <w:sz w:val="24"/>
        </w:rPr>
        <w:t>项目现场管理人员</w:t>
      </w:r>
      <w:r>
        <w:rPr>
          <w:rFonts w:hint="eastAsia" w:ascii="宋体" w:hAnsi="宋体" w:cs="宋体"/>
          <w:sz w:val="24"/>
        </w:rPr>
        <w:t>因发生重大安全事故不适合再任、生病住院、终止劳动合同关系（提供相关部门或单位证明材料）、被责令停止执业、羁押或判刑情形，无法继续担任项目负责人，中标供应商向采购人提出申请，采购人应同意更换，更换到位的项目负责人资格条件不低于原项目负责人；除上述情形外不允许更换，否则在当期合同款中扣除10万元。</w:t>
      </w:r>
    </w:p>
    <w:p>
      <w:pPr>
        <w:spacing w:line="400" w:lineRule="exact"/>
        <w:ind w:firstLine="482" w:firstLineChars="200"/>
        <w:rPr>
          <w:rFonts w:ascii="宋体" w:hAnsi="宋体" w:cs="宋体"/>
          <w:sz w:val="24"/>
        </w:rPr>
      </w:pPr>
      <w:r>
        <w:rPr>
          <w:rFonts w:hint="eastAsia" w:ascii="宋体" w:hAnsi="宋体" w:cs="宋体"/>
          <w:b/>
          <w:sz w:val="24"/>
        </w:rPr>
        <w:t>9.6</w:t>
      </w:r>
      <w:r>
        <w:rPr>
          <w:rFonts w:hint="eastAsia" w:ascii="宋体" w:hAnsi="宋体" w:cs="宋体"/>
          <w:sz w:val="24"/>
        </w:rPr>
        <w:t>中标单位</w:t>
      </w:r>
      <w:r>
        <w:rPr>
          <w:rFonts w:hint="eastAsia" w:ascii="宋体" w:hAnsi="宋体" w:cs="宋体"/>
          <w:sz w:val="24"/>
          <w:lang w:val="zh-CN"/>
        </w:rPr>
        <w:t>根据以上要求视自身及现场情况再确定人员</w:t>
      </w:r>
      <w:r>
        <w:rPr>
          <w:rFonts w:hint="eastAsia" w:ascii="宋体" w:hAnsi="宋体" w:cs="宋体"/>
          <w:sz w:val="24"/>
        </w:rPr>
        <w:t>与相应设备</w:t>
      </w:r>
      <w:r>
        <w:rPr>
          <w:rFonts w:hint="eastAsia" w:ascii="宋体" w:hAnsi="宋体" w:cs="宋体"/>
          <w:sz w:val="24"/>
          <w:lang w:val="zh-CN"/>
        </w:rPr>
        <w:t>数量，人员</w:t>
      </w:r>
      <w:r>
        <w:rPr>
          <w:rFonts w:hint="eastAsia" w:ascii="宋体" w:hAnsi="宋体" w:cs="宋体"/>
          <w:sz w:val="24"/>
        </w:rPr>
        <w:t>与相应设备</w:t>
      </w:r>
      <w:r>
        <w:rPr>
          <w:rFonts w:hint="eastAsia" w:ascii="宋体" w:hAnsi="宋体" w:cs="宋体"/>
          <w:sz w:val="24"/>
          <w:lang w:val="zh-CN"/>
        </w:rPr>
        <w:t>数量不得少于</w:t>
      </w:r>
      <w:r>
        <w:rPr>
          <w:rFonts w:hint="eastAsia" w:ascii="宋体" w:hAnsi="宋体" w:cs="宋体"/>
          <w:sz w:val="24"/>
        </w:rPr>
        <w:t>采购</w:t>
      </w:r>
      <w:r>
        <w:rPr>
          <w:rFonts w:hint="eastAsia" w:ascii="宋体" w:hAnsi="宋体" w:cs="宋体"/>
          <w:sz w:val="24"/>
          <w:lang w:val="zh-CN"/>
        </w:rPr>
        <w:t>文件的规定，中标后必须满足工作要求，尤其</w:t>
      </w:r>
      <w:r>
        <w:rPr>
          <w:rFonts w:hint="eastAsia" w:ascii="宋体" w:hAnsi="宋体" w:cs="宋体"/>
          <w:b/>
          <w:bCs/>
          <w:sz w:val="24"/>
        </w:rPr>
        <w:t>春季除草、干旱季节抗旱保绿、秋冬季修剪、卫生城市、文明城市等特殊情况</w:t>
      </w:r>
      <w:r>
        <w:rPr>
          <w:rFonts w:hint="eastAsia" w:ascii="宋体" w:hAnsi="宋体" w:cs="宋体"/>
          <w:sz w:val="24"/>
          <w:lang w:val="zh-CN"/>
        </w:rPr>
        <w:t>，业主有权视养护、保洁及保卫质量情况调整人员数量，中标</w:t>
      </w:r>
      <w:r>
        <w:rPr>
          <w:rFonts w:hint="eastAsia" w:ascii="宋体" w:hAnsi="宋体" w:cs="宋体"/>
          <w:sz w:val="24"/>
        </w:rPr>
        <w:t>供应商</w:t>
      </w:r>
      <w:r>
        <w:rPr>
          <w:rFonts w:hint="eastAsia" w:ascii="宋体" w:hAnsi="宋体" w:cs="宋体"/>
          <w:sz w:val="24"/>
          <w:lang w:val="zh-CN"/>
        </w:rPr>
        <w:t>必须无条件接受，否则业主有权单方取消中标</w:t>
      </w:r>
      <w:r>
        <w:rPr>
          <w:rFonts w:hint="eastAsia" w:ascii="宋体" w:hAnsi="宋体" w:cs="宋体"/>
          <w:sz w:val="24"/>
        </w:rPr>
        <w:t>供应商</w:t>
      </w:r>
      <w:r>
        <w:rPr>
          <w:rFonts w:hint="eastAsia" w:ascii="宋体" w:hAnsi="宋体" w:cs="宋体"/>
          <w:sz w:val="24"/>
          <w:lang w:val="zh-CN"/>
        </w:rPr>
        <w:t>的中标资格或解除合同。</w:t>
      </w:r>
    </w:p>
    <w:p>
      <w:pPr>
        <w:spacing w:line="400" w:lineRule="exact"/>
        <w:ind w:firstLine="480" w:firstLineChars="200"/>
        <w:rPr>
          <w:rFonts w:ascii="宋体" w:hAnsi="宋体" w:cs="宋体"/>
          <w:sz w:val="24"/>
        </w:rPr>
      </w:pPr>
      <w:r>
        <w:rPr>
          <w:rFonts w:hint="eastAsia" w:ascii="宋体" w:hAnsi="宋体" w:cs="宋体"/>
          <w:sz w:val="24"/>
        </w:rPr>
        <w:t>9.7乙方无条件配合甲方后期上的智慧巡管养体系的管理要求。</w:t>
      </w:r>
    </w:p>
    <w:p>
      <w:pPr>
        <w:spacing w:line="400" w:lineRule="exact"/>
        <w:ind w:firstLine="480" w:firstLineChars="200"/>
        <w:rPr>
          <w:rFonts w:ascii="宋体" w:hAnsi="宋体" w:cs="宋体"/>
          <w:sz w:val="24"/>
        </w:rPr>
      </w:pPr>
      <w:r>
        <w:rPr>
          <w:rFonts w:hint="eastAsia" w:ascii="宋体" w:hAnsi="宋体" w:cs="宋体"/>
          <w:sz w:val="24"/>
        </w:rPr>
        <w:t>9.8采购人将会同考核领导小组成员（江山市住建局、江山市财政局、江山市园林管理处等单位人员组成）对中标供应商自身承诺和招标的符合情况进行审查，若审查不合格，采购人有权单方面终止合同并不作赔偿，不予退还履约保证金。</w:t>
      </w:r>
    </w:p>
    <w:p>
      <w:pPr>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.须江阁管理要求</w:t>
      </w:r>
    </w:p>
    <w:p>
      <w:pPr>
        <w:ind w:firstLine="480" w:firstLineChars="200"/>
        <w:rPr>
          <w:rFonts w:ascii="宋体" w:hAnsi="宋体" w:cs="宋体"/>
          <w:sz w:val="24"/>
        </w:rPr>
      </w:pPr>
      <w:r>
        <w:rPr>
          <w:rFonts w:hint="eastAsia" w:ascii="宋体" w:hAnsi="宋体" w:cs="宋体"/>
          <w:sz w:val="24"/>
        </w:rPr>
        <w:t>10.1开放要求：按照规定时间开放，各类创建、检查迎检时随时做好开放工作。</w:t>
      </w:r>
    </w:p>
    <w:p>
      <w:pPr>
        <w:ind w:firstLine="480" w:firstLineChars="200"/>
        <w:rPr>
          <w:rFonts w:ascii="宋体" w:hAnsi="宋体" w:cs="宋体"/>
          <w:sz w:val="24"/>
        </w:rPr>
      </w:pPr>
      <w:r>
        <w:rPr>
          <w:rFonts w:hint="eastAsia" w:ascii="宋体" w:hAnsi="宋体" w:cs="宋体"/>
          <w:sz w:val="24"/>
        </w:rPr>
        <w:t>10.2管理人员要求男性，65周岁以下，身体健康。统一着装，到岗后及时巡逻须江阁内各类设施的完好情况，有破损、损坏及时维修并上报。</w:t>
      </w:r>
    </w:p>
    <w:p>
      <w:pPr>
        <w:ind w:firstLine="480" w:firstLineChars="200"/>
        <w:rPr>
          <w:rFonts w:ascii="宋体" w:hAnsi="宋体" w:cs="宋体"/>
          <w:sz w:val="24"/>
        </w:rPr>
      </w:pPr>
      <w:r>
        <w:rPr>
          <w:rFonts w:hint="eastAsia" w:ascii="宋体" w:hAnsi="宋体" w:cs="宋体"/>
          <w:sz w:val="24"/>
        </w:rPr>
        <w:t>10.3卫生保洁要求：做好日常保洁，保持阁内及周围卫生清洁，确保须江阁内无蜘蛛网、灰尘，地面无明显污迹；物品堆放整洁有序，垃圾日产日清，做到无恶臭、无蝇蛆。</w:t>
      </w:r>
    </w:p>
    <w:p>
      <w:pPr>
        <w:ind w:firstLine="480" w:firstLineChars="200"/>
        <w:rPr>
          <w:rFonts w:ascii="宋体" w:hAnsi="宋体" w:cs="宋体"/>
          <w:sz w:val="24"/>
        </w:rPr>
      </w:pPr>
      <w:r>
        <w:rPr>
          <w:rFonts w:hint="eastAsia" w:ascii="宋体" w:hAnsi="宋体" w:cs="宋体"/>
          <w:sz w:val="24"/>
        </w:rPr>
        <w:t>10.4巡逻保卫要求：开放期间不定时巡逻检查，并做好相关记录工作，上报科室。关门前全面检查门窗是否关闭，电源是否切断。</w:t>
      </w:r>
    </w:p>
    <w:p>
      <w:pPr>
        <w:ind w:firstLine="480" w:firstLineChars="200"/>
        <w:jc w:val="left"/>
        <w:rPr>
          <w:rFonts w:ascii="宋体" w:hAnsi="宋体" w:cs="宋体"/>
          <w:sz w:val="24"/>
        </w:rPr>
      </w:pPr>
      <w:r>
        <w:rPr>
          <w:rFonts w:hint="eastAsia" w:ascii="宋体" w:hAnsi="宋体" w:cs="宋体"/>
          <w:sz w:val="24"/>
        </w:rPr>
        <w:t>10.5安全要求：做好保护安全设施，凡属于安全防护设施设备，任何人不得擅自转移和拆除。确保照明、各项电器正常运行，发现异常及时维修并上报。</w:t>
      </w:r>
    </w:p>
    <w:p>
      <w:pPr>
        <w:ind w:firstLine="480" w:firstLineChars="200"/>
        <w:jc w:val="left"/>
        <w:rPr>
          <w:rFonts w:ascii="宋体" w:hAnsi="宋体" w:cs="宋体"/>
          <w:sz w:val="24"/>
        </w:rPr>
      </w:pPr>
      <w:r>
        <w:rPr>
          <w:rFonts w:hint="eastAsia" w:ascii="宋体" w:hAnsi="宋体" w:cs="宋体"/>
          <w:sz w:val="24"/>
        </w:rPr>
        <w:t>10.6正确引导和劝阻游客的不良游览行为，防止不安全行为：例如不顾各种安全警示，跨越安全栏、随意攀爬;在游览过程中，不遵守相关的安全规定，不按照规定的操作执行等.</w:t>
      </w:r>
    </w:p>
    <w:p>
      <w:pPr>
        <w:ind w:firstLine="424" w:firstLineChars="177"/>
        <w:jc w:val="left"/>
        <w:rPr>
          <w:rFonts w:ascii="宋体" w:hAnsi="宋体" w:cs="宋体"/>
          <w:sz w:val="24"/>
        </w:rPr>
      </w:pPr>
      <w:r>
        <w:rPr>
          <w:rFonts w:hint="eastAsia" w:ascii="宋体" w:hAnsi="宋体" w:cs="宋体"/>
          <w:sz w:val="24"/>
        </w:rPr>
        <w:t>10.7坚持公益性原则，配合相关部门开展的各类公益性展览等相关工作。</w:t>
      </w:r>
    </w:p>
    <w:p>
      <w:pPr>
        <w:ind w:firstLine="426" w:firstLineChars="177"/>
        <w:jc w:val="left"/>
        <w:rPr>
          <w:rFonts w:ascii="宋体" w:hAnsi="宋体" w:cs="宋体"/>
          <w:b/>
          <w:bCs/>
          <w:sz w:val="24"/>
        </w:rPr>
      </w:pPr>
      <w:r>
        <w:rPr>
          <w:rFonts w:hint="eastAsia" w:ascii="宋体" w:hAnsi="宋体" w:cs="宋体"/>
          <w:b/>
          <w:bCs/>
          <w:sz w:val="24"/>
        </w:rPr>
        <w:t>11.须江公园温室管理要求</w:t>
      </w:r>
    </w:p>
    <w:p>
      <w:pPr>
        <w:ind w:firstLine="424" w:firstLineChars="177"/>
        <w:jc w:val="left"/>
        <w:rPr>
          <w:rFonts w:ascii="宋体" w:hAnsi="宋体" w:cs="宋体"/>
          <w:sz w:val="24"/>
        </w:rPr>
      </w:pPr>
      <w:r>
        <w:rPr>
          <w:rFonts w:hint="eastAsia" w:ascii="宋体" w:hAnsi="宋体" w:cs="宋体"/>
          <w:sz w:val="24"/>
        </w:rPr>
        <w:t>11.1严格遵守作息时间，不早退，不迟到，按照规定时间开放，管理人员统一着装，不得乱丢烟头、随地吐痰、乱丢垃圾。</w:t>
      </w:r>
    </w:p>
    <w:p>
      <w:pPr>
        <w:ind w:firstLine="424" w:firstLineChars="177"/>
        <w:jc w:val="left"/>
        <w:rPr>
          <w:rFonts w:ascii="宋体" w:hAnsi="宋体" w:cs="宋体"/>
          <w:sz w:val="24"/>
        </w:rPr>
      </w:pPr>
      <w:r>
        <w:rPr>
          <w:rFonts w:hint="eastAsia" w:ascii="宋体" w:hAnsi="宋体" w:cs="宋体"/>
          <w:sz w:val="24"/>
        </w:rPr>
        <w:t>11.2管理人员工作时间，不得擅离工作岗位，不准抽烟、喝酒。</w:t>
      </w:r>
    </w:p>
    <w:p>
      <w:pPr>
        <w:ind w:firstLine="424" w:firstLineChars="177"/>
        <w:jc w:val="left"/>
        <w:rPr>
          <w:rFonts w:ascii="宋体" w:hAnsi="宋体" w:cs="宋体"/>
          <w:sz w:val="24"/>
        </w:rPr>
      </w:pPr>
      <w:r>
        <w:rPr>
          <w:rFonts w:hint="eastAsia" w:ascii="宋体" w:hAnsi="宋体" w:cs="宋体"/>
          <w:sz w:val="24"/>
        </w:rPr>
        <w:t>11.3工作时间禁止带小孩或者外部人员随意出入。</w:t>
      </w:r>
    </w:p>
    <w:p>
      <w:pPr>
        <w:ind w:firstLine="424" w:firstLineChars="177"/>
        <w:jc w:val="left"/>
        <w:rPr>
          <w:rFonts w:ascii="宋体" w:hAnsi="宋体" w:cs="宋体"/>
          <w:sz w:val="24"/>
        </w:rPr>
      </w:pPr>
      <w:r>
        <w:rPr>
          <w:rFonts w:hint="eastAsia" w:ascii="宋体" w:hAnsi="宋体" w:cs="宋体"/>
          <w:sz w:val="24"/>
        </w:rPr>
        <w:t>11.4要勤观察、勤动手，确保棚内温度适中，精心培植，认真搞好第一个种植环节并做好苗床苗木的日常养护管理工作，包括苗木的病虫害防治，修剪，苗床除杂工作。</w:t>
      </w:r>
    </w:p>
    <w:p>
      <w:pPr>
        <w:ind w:firstLine="424" w:firstLineChars="177"/>
        <w:jc w:val="left"/>
        <w:rPr>
          <w:rFonts w:ascii="宋体" w:hAnsi="宋体" w:cs="宋体"/>
          <w:sz w:val="24"/>
        </w:rPr>
      </w:pPr>
      <w:r>
        <w:rPr>
          <w:rFonts w:hint="eastAsia" w:ascii="宋体" w:hAnsi="宋体" w:cs="宋体"/>
          <w:sz w:val="24"/>
        </w:rPr>
        <w:t>11.5需配置三轮电动车以便做好绿植摆放工作。</w:t>
      </w:r>
    </w:p>
    <w:p>
      <w:pPr>
        <w:ind w:firstLine="424" w:firstLineChars="177"/>
        <w:jc w:val="left"/>
        <w:rPr>
          <w:rFonts w:ascii="宋体" w:hAnsi="宋体" w:cs="宋体"/>
          <w:sz w:val="24"/>
        </w:rPr>
      </w:pPr>
      <w:r>
        <w:rPr>
          <w:rFonts w:hint="eastAsia" w:ascii="宋体" w:hAnsi="宋体" w:cs="宋体"/>
          <w:sz w:val="24"/>
        </w:rPr>
        <w:t>11.6温室内环境卫生，每天定时清扫，保持环境整洁。</w:t>
      </w:r>
    </w:p>
    <w:p>
      <w:pPr>
        <w:ind w:firstLine="424" w:firstLineChars="177"/>
        <w:jc w:val="left"/>
        <w:rPr>
          <w:rFonts w:ascii="宋体" w:hAnsi="宋体" w:cs="宋体"/>
          <w:sz w:val="24"/>
        </w:rPr>
      </w:pPr>
      <w:r>
        <w:rPr>
          <w:rFonts w:hint="eastAsia" w:ascii="宋体" w:hAnsi="宋体" w:cs="宋体"/>
          <w:sz w:val="24"/>
        </w:rPr>
        <w:t>11.7注意生产安全，规范操作，保护设施及工具。</w:t>
      </w:r>
    </w:p>
    <w:p>
      <w:pPr>
        <w:ind w:firstLine="424" w:firstLineChars="177"/>
        <w:jc w:val="left"/>
        <w:rPr>
          <w:rFonts w:ascii="宋体" w:hAnsi="宋体" w:cs="宋体"/>
          <w:sz w:val="24"/>
        </w:rPr>
      </w:pPr>
      <w:r>
        <w:rPr>
          <w:rFonts w:hint="eastAsia" w:ascii="宋体" w:hAnsi="宋体" w:cs="宋体"/>
          <w:sz w:val="24"/>
        </w:rPr>
        <w:t>11.8温室内不得存放与生产无关的材料与工具，生产工具规范放置，不得随意堆放或对外借用。</w:t>
      </w:r>
    </w:p>
    <w:p>
      <w:pPr>
        <w:ind w:firstLine="424" w:firstLineChars="177"/>
        <w:jc w:val="left"/>
        <w:rPr>
          <w:rFonts w:ascii="宋体" w:hAnsi="宋体" w:cs="宋体"/>
          <w:sz w:val="24"/>
        </w:rPr>
      </w:pPr>
      <w:r>
        <w:rPr>
          <w:rFonts w:hint="eastAsia" w:ascii="宋体" w:hAnsi="宋体" w:cs="宋体"/>
          <w:sz w:val="24"/>
        </w:rPr>
        <w:t>11.9夏季铺设防晒网，冬季做好苗木保温过冬工作。</w:t>
      </w:r>
    </w:p>
    <w:p>
      <w:pPr>
        <w:ind w:firstLine="424" w:firstLineChars="177"/>
        <w:jc w:val="left"/>
        <w:rPr>
          <w:rFonts w:ascii="宋体" w:hAnsi="宋体" w:cs="宋体"/>
          <w:sz w:val="24"/>
        </w:rPr>
      </w:pPr>
      <w:r>
        <w:rPr>
          <w:rFonts w:hint="eastAsia" w:ascii="宋体" w:hAnsi="宋体" w:cs="宋体"/>
          <w:sz w:val="24"/>
        </w:rPr>
        <w:t>11.10每天下班前要关闭水电、锁好门，检查无误后才能离开。</w:t>
      </w:r>
    </w:p>
    <w:p>
      <w:pPr>
        <w:ind w:firstLine="424" w:firstLineChars="177"/>
        <w:jc w:val="left"/>
        <w:rPr>
          <w:rFonts w:ascii="宋体" w:hAnsi="宋体" w:cs="宋体"/>
          <w:sz w:val="24"/>
        </w:rPr>
      </w:pPr>
      <w:r>
        <w:rPr>
          <w:rFonts w:hint="eastAsia" w:ascii="宋体" w:hAnsi="宋体" w:cs="宋体"/>
          <w:sz w:val="24"/>
        </w:rPr>
        <w:t>11.11非温室管理人员，严禁进入种植区。</w:t>
      </w:r>
    </w:p>
    <w:p>
      <w:pPr>
        <w:ind w:firstLine="426" w:firstLineChars="177"/>
        <w:jc w:val="left"/>
        <w:rPr>
          <w:rFonts w:ascii="宋体" w:hAnsi="宋体" w:cs="宋体"/>
          <w:b/>
          <w:bCs/>
          <w:sz w:val="24"/>
        </w:rPr>
      </w:pPr>
      <w:r>
        <w:rPr>
          <w:rFonts w:hint="eastAsia" w:ascii="宋体" w:hAnsi="宋体" w:cs="宋体"/>
          <w:b/>
          <w:bCs/>
          <w:sz w:val="24"/>
        </w:rPr>
        <w:t>12、猴山、水体保洁管理要求</w:t>
      </w:r>
    </w:p>
    <w:p>
      <w:pPr>
        <w:ind w:firstLine="424" w:firstLineChars="177"/>
        <w:jc w:val="left"/>
        <w:rPr>
          <w:rFonts w:ascii="宋体" w:hAnsi="宋体" w:cs="宋体"/>
          <w:sz w:val="24"/>
        </w:rPr>
      </w:pPr>
      <w:r>
        <w:rPr>
          <w:rFonts w:hint="eastAsia" w:ascii="宋体" w:hAnsi="宋体" w:cs="宋体"/>
          <w:sz w:val="24"/>
        </w:rPr>
        <w:t>12.1管理人员要求65周岁以下，身体健康，统一着装，工作时间，不准抽烟、喝酒。</w:t>
      </w:r>
    </w:p>
    <w:p>
      <w:pPr>
        <w:ind w:firstLine="424" w:firstLineChars="177"/>
        <w:jc w:val="left"/>
        <w:rPr>
          <w:rFonts w:ascii="宋体" w:hAnsi="宋体" w:cs="宋体"/>
          <w:sz w:val="24"/>
        </w:rPr>
      </w:pPr>
      <w:r>
        <w:rPr>
          <w:rFonts w:hint="eastAsia" w:ascii="宋体" w:hAnsi="宋体" w:cs="宋体"/>
          <w:sz w:val="24"/>
        </w:rPr>
        <w:t>12.2每天认真打扫圈舍，保证水槽、食槽的清洁卫生，及周边卫生保洁工作，垃圾日产日清，做到无恶臭、无蝇蛆。</w:t>
      </w:r>
    </w:p>
    <w:p>
      <w:pPr>
        <w:ind w:firstLine="424" w:firstLineChars="177"/>
        <w:jc w:val="left"/>
        <w:rPr>
          <w:rFonts w:ascii="宋体" w:hAnsi="宋体" w:cs="宋体"/>
          <w:sz w:val="24"/>
        </w:rPr>
      </w:pPr>
      <w:r>
        <w:rPr>
          <w:rFonts w:hint="eastAsia" w:ascii="宋体" w:hAnsi="宋体" w:cs="宋体"/>
          <w:sz w:val="24"/>
        </w:rPr>
        <w:t>12.3饲养要备足饲料，不得造成饲料短缺，影响饲喂效果。</w:t>
      </w:r>
    </w:p>
    <w:p>
      <w:pPr>
        <w:ind w:firstLine="424" w:firstLineChars="177"/>
        <w:jc w:val="left"/>
        <w:rPr>
          <w:rFonts w:ascii="宋体" w:hAnsi="宋体" w:cs="宋体"/>
          <w:sz w:val="24"/>
        </w:rPr>
      </w:pPr>
      <w:r>
        <w:rPr>
          <w:rFonts w:hint="eastAsia" w:ascii="宋体" w:hAnsi="宋体" w:cs="宋体"/>
          <w:sz w:val="24"/>
        </w:rPr>
        <w:t>12.4发现生病及其他异常应及时处理并向科室汇报。</w:t>
      </w:r>
    </w:p>
    <w:p>
      <w:pPr>
        <w:ind w:firstLine="424" w:firstLineChars="177"/>
        <w:jc w:val="left"/>
        <w:rPr>
          <w:rFonts w:ascii="宋体" w:hAnsi="宋体" w:cs="宋体"/>
          <w:sz w:val="24"/>
        </w:rPr>
      </w:pPr>
      <w:r>
        <w:rPr>
          <w:rFonts w:hint="eastAsia" w:ascii="宋体" w:hAnsi="宋体" w:cs="宋体"/>
          <w:sz w:val="24"/>
        </w:rPr>
        <w:t>12.5要不定时做好驱虫、防疫、消毒等工作。</w:t>
      </w:r>
    </w:p>
    <w:p>
      <w:pPr>
        <w:ind w:firstLine="424" w:firstLineChars="177"/>
        <w:jc w:val="left"/>
        <w:rPr>
          <w:rFonts w:ascii="宋体" w:hAnsi="宋体" w:cs="宋体"/>
          <w:sz w:val="24"/>
        </w:rPr>
      </w:pPr>
      <w:r>
        <w:rPr>
          <w:rFonts w:hint="eastAsia" w:ascii="宋体" w:hAnsi="宋体" w:cs="宋体"/>
          <w:sz w:val="24"/>
        </w:rPr>
        <w:t>12.6如遇各类创建、迎检检查时要提前做好水体清洁工作。</w:t>
      </w:r>
    </w:p>
    <w:p>
      <w:pPr>
        <w:ind w:firstLine="424" w:firstLineChars="177"/>
        <w:jc w:val="left"/>
        <w:rPr>
          <w:rFonts w:ascii="宋体" w:hAnsi="宋体" w:cs="宋体"/>
          <w:sz w:val="24"/>
        </w:rPr>
      </w:pPr>
      <w:r>
        <w:rPr>
          <w:rFonts w:hint="eastAsia" w:ascii="宋体" w:hAnsi="宋体" w:cs="宋体"/>
          <w:sz w:val="24"/>
        </w:rPr>
        <w:t>12.7每天要全面清理须江公园内所有水系垃圾，确保水面整洁。</w:t>
      </w:r>
    </w:p>
    <w:p>
      <w:pPr>
        <w:ind w:firstLine="424" w:firstLineChars="177"/>
        <w:jc w:val="left"/>
        <w:rPr>
          <w:rFonts w:ascii="宋体" w:hAnsi="宋体" w:cs="宋体"/>
          <w:sz w:val="24"/>
        </w:rPr>
      </w:pPr>
      <w:r>
        <w:rPr>
          <w:rFonts w:hint="eastAsia" w:ascii="宋体" w:hAnsi="宋体" w:cs="宋体"/>
          <w:sz w:val="24"/>
        </w:rPr>
        <w:t>12.8每年要不定期对水体杀菌。</w:t>
      </w:r>
    </w:p>
    <w:p>
      <w:pPr>
        <w:ind w:firstLine="426" w:firstLineChars="177"/>
        <w:jc w:val="left"/>
        <w:rPr>
          <w:rFonts w:ascii="宋体" w:hAnsi="宋体" w:cs="宋体"/>
          <w:b/>
          <w:bCs/>
          <w:sz w:val="24"/>
        </w:rPr>
      </w:pPr>
      <w:r>
        <w:rPr>
          <w:rFonts w:hint="eastAsia" w:ascii="宋体" w:hAnsi="宋体" w:cs="宋体"/>
          <w:b/>
          <w:bCs/>
          <w:sz w:val="24"/>
        </w:rPr>
        <w:t>13.须江公园消防安全巡逻保卫要求</w:t>
      </w:r>
    </w:p>
    <w:p>
      <w:pPr>
        <w:ind w:firstLine="424" w:firstLineChars="177"/>
        <w:rPr>
          <w:rFonts w:ascii="宋体" w:hAnsi="宋体" w:cs="宋体"/>
          <w:sz w:val="24"/>
        </w:rPr>
      </w:pPr>
      <w:r>
        <w:rPr>
          <w:rFonts w:hint="eastAsia" w:ascii="宋体" w:hAnsi="宋体" w:cs="宋体"/>
          <w:sz w:val="24"/>
        </w:rPr>
        <w:t>13.1工作内容：要求24小时巡逻保卫，确保须江公园内森林消防安全巡逻、各类设施的安全巡查、停车场管理、水体安全巡逻、公园内不文明游玩行为劝导。</w:t>
      </w:r>
    </w:p>
    <w:p>
      <w:pPr>
        <w:ind w:firstLine="424" w:firstLineChars="177"/>
        <w:rPr>
          <w:rFonts w:ascii="宋体" w:hAnsi="宋体" w:cs="宋体"/>
          <w:sz w:val="24"/>
        </w:rPr>
      </w:pPr>
      <w:r>
        <w:rPr>
          <w:rFonts w:hint="eastAsia" w:ascii="宋体" w:hAnsi="宋体" w:cs="宋体"/>
          <w:sz w:val="24"/>
        </w:rPr>
        <w:t>13.2严格遵守工作制度，统一着装，每日防火巡查不少于2小时一次并认真填写</w:t>
      </w:r>
      <w:r>
        <w:rPr>
          <w:rFonts w:hint="eastAsia" w:ascii="宋体" w:hAnsi="宋体" w:cs="宋体"/>
          <w:b/>
          <w:sz w:val="24"/>
        </w:rPr>
        <w:t>《巡查记录》</w:t>
      </w:r>
      <w:r>
        <w:rPr>
          <w:rFonts w:hint="eastAsia" w:ascii="宋体" w:hAnsi="宋体" w:cs="宋体"/>
          <w:sz w:val="24"/>
        </w:rPr>
        <w:t>，确保须江公园内消防安全。</w:t>
      </w:r>
    </w:p>
    <w:p>
      <w:pPr>
        <w:ind w:firstLine="424" w:firstLineChars="177"/>
        <w:rPr>
          <w:rFonts w:ascii="宋体" w:hAnsi="宋体" w:cs="宋体"/>
          <w:sz w:val="24"/>
        </w:rPr>
      </w:pPr>
      <w:r>
        <w:rPr>
          <w:rFonts w:hint="eastAsia" w:ascii="宋体" w:hAnsi="宋体" w:cs="宋体"/>
          <w:sz w:val="24"/>
        </w:rPr>
        <w:t>13.3需对公园内违规用火、用电情况，消防设施、设备完好情况，消防通道是否畅通等进行巡查，及时报告安全隐患。</w:t>
      </w:r>
    </w:p>
    <w:p>
      <w:pPr>
        <w:ind w:firstLine="424" w:firstLineChars="177"/>
        <w:rPr>
          <w:rFonts w:ascii="宋体" w:hAnsi="宋体" w:cs="宋体"/>
          <w:sz w:val="24"/>
        </w:rPr>
      </w:pPr>
      <w:r>
        <w:rPr>
          <w:rFonts w:hint="eastAsia" w:ascii="宋体" w:hAnsi="宋体" w:cs="宋体"/>
          <w:sz w:val="24"/>
        </w:rPr>
        <w:t>13.4保证游客安全，做到礼貌纠违，文明执勤。</w:t>
      </w:r>
    </w:p>
    <w:p>
      <w:pPr>
        <w:ind w:firstLine="424" w:firstLineChars="177"/>
        <w:rPr>
          <w:rFonts w:ascii="宋体" w:hAnsi="宋体" w:cs="宋体"/>
          <w:sz w:val="24"/>
        </w:rPr>
      </w:pPr>
      <w:r>
        <w:rPr>
          <w:rFonts w:hint="eastAsia" w:ascii="宋体" w:hAnsi="宋体" w:cs="宋体"/>
          <w:sz w:val="24"/>
        </w:rPr>
        <w:t>13.5落实安全保卫工作，调解公园内发生的各种纠纷，并及时处置上报。</w:t>
      </w:r>
    </w:p>
    <w:p>
      <w:pPr>
        <w:ind w:firstLine="424" w:firstLineChars="177"/>
        <w:rPr>
          <w:rFonts w:ascii="宋体" w:hAnsi="宋体" w:cs="宋体"/>
          <w:sz w:val="24"/>
        </w:rPr>
      </w:pPr>
      <w:r>
        <w:rPr>
          <w:rFonts w:hint="eastAsia" w:ascii="宋体" w:hAnsi="宋体" w:cs="宋体"/>
          <w:sz w:val="24"/>
        </w:rPr>
        <w:t>13.6做好公园的各项安全防范工作，认真做好防火、防盗、防自然灾害事故，发现隐患及时报告科室并协助处理。</w:t>
      </w:r>
    </w:p>
    <w:p>
      <w:pPr>
        <w:ind w:firstLine="424" w:firstLineChars="177"/>
        <w:rPr>
          <w:rFonts w:ascii="宋体" w:hAnsi="宋体" w:cs="宋体"/>
          <w:sz w:val="24"/>
        </w:rPr>
      </w:pPr>
      <w:r>
        <w:rPr>
          <w:rFonts w:hint="eastAsia" w:ascii="宋体" w:hAnsi="宋体" w:cs="宋体"/>
          <w:sz w:val="24"/>
        </w:rPr>
        <w:t>13.7做好公园和水体巡逻工作，杜绝非法网鱼、电鱼和钓鱼行为。</w:t>
      </w:r>
    </w:p>
    <w:p>
      <w:pPr>
        <w:ind w:firstLine="424" w:firstLineChars="177"/>
        <w:rPr>
          <w:rFonts w:ascii="宋体" w:hAnsi="宋体" w:cs="宋体"/>
          <w:sz w:val="24"/>
        </w:rPr>
      </w:pPr>
      <w:r>
        <w:rPr>
          <w:rFonts w:hint="eastAsia" w:ascii="宋体" w:hAnsi="宋体" w:cs="宋体"/>
          <w:sz w:val="24"/>
        </w:rPr>
        <w:t>13.8定期对公园内的园路、山体及各种安全消防、警示标识、宣传栏、水电等巡查，发现问题及时向科室汇报并妥善处理解决。</w:t>
      </w:r>
    </w:p>
    <w:p>
      <w:pPr>
        <w:ind w:firstLine="424" w:firstLineChars="177"/>
        <w:rPr>
          <w:rFonts w:ascii="宋体" w:hAnsi="宋体" w:cs="宋体"/>
          <w:sz w:val="24"/>
        </w:rPr>
      </w:pPr>
      <w:r>
        <w:rPr>
          <w:rFonts w:hint="eastAsia" w:ascii="宋体" w:hAnsi="宋体" w:cs="宋体"/>
          <w:sz w:val="24"/>
        </w:rPr>
        <w:t>13.9值班时间不早退、不迟到，不准会客、喝酒、睡觉不得做与工作无关的事情，不擅离岗位，按时交接班。</w:t>
      </w:r>
    </w:p>
    <w:p>
      <w:pPr>
        <w:ind w:firstLine="424" w:firstLineChars="177"/>
        <w:rPr>
          <w:rFonts w:ascii="宋体" w:hAnsi="宋体" w:cs="宋体"/>
          <w:sz w:val="24"/>
        </w:rPr>
      </w:pPr>
      <w:r>
        <w:rPr>
          <w:rFonts w:hint="eastAsia" w:ascii="宋体" w:hAnsi="宋体" w:cs="宋体"/>
          <w:sz w:val="24"/>
        </w:rPr>
        <w:t>13.10禁止外来人员在园内摆摊设点。及时制止游客损坏花草、树木、公共设施行为。</w:t>
      </w:r>
    </w:p>
    <w:p>
      <w:pPr>
        <w:ind w:firstLine="424" w:firstLineChars="177"/>
        <w:rPr>
          <w:rFonts w:ascii="宋体" w:hAnsi="宋体" w:cs="宋体"/>
          <w:sz w:val="24"/>
        </w:rPr>
      </w:pPr>
      <w:r>
        <w:rPr>
          <w:rFonts w:hint="eastAsia" w:ascii="宋体" w:hAnsi="宋体" w:cs="宋体"/>
          <w:sz w:val="24"/>
        </w:rPr>
        <w:t>13.11保持公园整洁，及时制止、清理园区及公园周边乱设摊，随意停放车辆，张贴非法广告的行为。</w:t>
      </w:r>
    </w:p>
    <w:p>
      <w:pPr>
        <w:ind w:firstLine="424" w:firstLineChars="177"/>
        <w:rPr>
          <w:rFonts w:ascii="宋体" w:hAnsi="宋体" w:cs="宋体"/>
          <w:sz w:val="24"/>
        </w:rPr>
      </w:pPr>
      <w:r>
        <w:rPr>
          <w:rFonts w:hint="eastAsia" w:ascii="宋体" w:hAnsi="宋体" w:cs="宋体"/>
          <w:sz w:val="24"/>
        </w:rPr>
        <w:t>13.12应了解公园各景点基本情况，熟悉道路方向，为游客提供简单咨询和介绍。</w:t>
      </w:r>
    </w:p>
    <w:p>
      <w:pPr>
        <w:ind w:firstLine="424" w:firstLineChars="177"/>
        <w:rPr>
          <w:rFonts w:ascii="宋体" w:hAnsi="宋体" w:cs="宋体"/>
          <w:sz w:val="24"/>
        </w:rPr>
      </w:pPr>
      <w:r>
        <w:rPr>
          <w:rFonts w:hint="eastAsia" w:ascii="宋体" w:hAnsi="宋体" w:cs="宋体"/>
          <w:sz w:val="24"/>
        </w:rPr>
        <w:t>13.13协助有关部门在公园举办社会公益活动。</w:t>
      </w:r>
    </w:p>
    <w:p>
      <w:pPr>
        <w:ind w:firstLine="424" w:firstLineChars="177"/>
        <w:rPr>
          <w:rFonts w:ascii="宋体" w:hAnsi="宋体" w:cs="宋体"/>
          <w:sz w:val="24"/>
        </w:rPr>
      </w:pPr>
      <w:r>
        <w:rPr>
          <w:rFonts w:hint="eastAsia" w:ascii="宋体" w:hAnsi="宋体" w:cs="宋体"/>
          <w:sz w:val="24"/>
        </w:rPr>
        <w:t>13.14绿化带不得乱拉横幅、晾晒衣物，不得私接水、电。</w:t>
      </w:r>
    </w:p>
    <w:p>
      <w:pPr>
        <w:numPr>
          <w:ilvl w:val="0"/>
          <w:numId w:val="3"/>
        </w:numPr>
        <w:adjustRightInd/>
        <w:ind w:firstLine="426" w:firstLineChars="177"/>
        <w:rPr>
          <w:rFonts w:ascii="宋体" w:hAnsi="宋体" w:cs="宋体"/>
          <w:b/>
          <w:bCs/>
          <w:sz w:val="24"/>
        </w:rPr>
      </w:pPr>
      <w:r>
        <w:rPr>
          <w:rFonts w:hint="eastAsia" w:ascii="宋体" w:hAnsi="宋体" w:cs="宋体"/>
          <w:b/>
          <w:bCs/>
          <w:sz w:val="24"/>
        </w:rPr>
        <w:t>须江公园清扫保洁作业</w:t>
      </w:r>
    </w:p>
    <w:p>
      <w:pPr>
        <w:adjustRightInd/>
        <w:ind w:firstLine="480" w:firstLineChars="200"/>
        <w:rPr>
          <w:rFonts w:ascii="宋体" w:hAnsi="宋体" w:cs="宋体"/>
          <w:sz w:val="24"/>
        </w:rPr>
      </w:pPr>
      <w:r>
        <w:rPr>
          <w:rFonts w:hint="eastAsia" w:ascii="宋体" w:hAnsi="宋体" w:cs="宋体"/>
          <w:sz w:val="24"/>
        </w:rPr>
        <w:t>14.1要求年龄原则上不得大于65周岁，实行一班制保障9小时巡回保洁，（上午6：00-11：00，下午14：00-18：00）。工作时间可由江山市园林管理处根据时令或需求调整。</w:t>
      </w:r>
    </w:p>
    <w:p>
      <w:pPr>
        <w:adjustRightInd/>
        <w:ind w:firstLine="480" w:firstLineChars="200"/>
        <w:rPr>
          <w:rFonts w:ascii="宋体" w:hAnsi="宋体" w:cs="宋体"/>
          <w:sz w:val="24"/>
        </w:rPr>
      </w:pPr>
      <w:r>
        <w:rPr>
          <w:rFonts w:hint="eastAsia" w:ascii="宋体" w:hAnsi="宋体" w:cs="宋体"/>
          <w:sz w:val="24"/>
        </w:rPr>
        <w:t>14.2清扫到边到角，台阶、树池、绿化带等均须保洁到位。做到无果皮纸屑、无土石杂草、无痰迹烟蒂、无积泥积水、无堆积垃圾、无狗粪；道路绿地树圈干净、边角侧石干净、窨井沟眼畅通干净、果壳箱即脏即擦，整齐完好干净，垃圾满溢及时处理，烟头收集器清理整洁。</w:t>
      </w:r>
    </w:p>
    <w:p>
      <w:pPr>
        <w:adjustRightInd/>
        <w:ind w:firstLine="720" w:firstLineChars="300"/>
        <w:rPr>
          <w:rFonts w:ascii="宋体" w:hAnsi="宋体" w:cs="宋体"/>
          <w:sz w:val="24"/>
        </w:rPr>
      </w:pPr>
      <w:r>
        <w:rPr>
          <w:rFonts w:hint="eastAsia" w:ascii="宋体" w:hAnsi="宋体" w:cs="宋体"/>
          <w:sz w:val="24"/>
        </w:rPr>
        <w:t>14.3保洁作业人员不得迟到、早退，交接班要做到无缝衔接，不得断岗。</w:t>
      </w:r>
    </w:p>
    <w:p>
      <w:pPr>
        <w:numPr>
          <w:ilvl w:val="0"/>
          <w:numId w:val="3"/>
        </w:numPr>
        <w:adjustRightInd/>
        <w:ind w:firstLine="426" w:firstLineChars="177"/>
        <w:rPr>
          <w:rFonts w:ascii="宋体" w:hAnsi="宋体" w:cs="宋体"/>
          <w:b/>
          <w:bCs/>
          <w:sz w:val="24"/>
        </w:rPr>
      </w:pPr>
      <w:r>
        <w:rPr>
          <w:rFonts w:hint="eastAsia" w:ascii="宋体" w:hAnsi="宋体" w:cs="宋体"/>
          <w:b/>
          <w:bCs/>
          <w:sz w:val="24"/>
        </w:rPr>
        <w:t>西山球场卫生保洁</w:t>
      </w:r>
    </w:p>
    <w:p>
      <w:pPr>
        <w:ind w:firstLine="424" w:firstLineChars="177"/>
        <w:rPr>
          <w:rFonts w:ascii="宋体" w:hAnsi="宋体" w:cs="宋体"/>
          <w:sz w:val="24"/>
        </w:rPr>
      </w:pPr>
      <w:r>
        <w:rPr>
          <w:rFonts w:ascii="宋体" w:hAnsi="宋体" w:cs="宋体"/>
          <w:sz w:val="24"/>
        </w:rPr>
        <w:t>1</w:t>
      </w:r>
      <w:r>
        <w:rPr>
          <w:rFonts w:hint="eastAsia" w:ascii="宋体" w:hAnsi="宋体" w:cs="宋体"/>
          <w:sz w:val="24"/>
        </w:rPr>
        <w:t>5</w:t>
      </w:r>
      <w:r>
        <w:rPr>
          <w:rFonts w:ascii="宋体" w:hAnsi="宋体" w:cs="宋体"/>
          <w:sz w:val="24"/>
        </w:rPr>
        <w:t>.1专人负责，要求65周岁以下，身体健康，统一着装，到岗后及时巡逻并清洁球场内卫生。</w:t>
      </w:r>
    </w:p>
    <w:p>
      <w:pPr>
        <w:ind w:firstLine="424" w:firstLineChars="177"/>
        <w:rPr>
          <w:rFonts w:ascii="宋体" w:hAnsi="宋体" w:cs="宋体"/>
          <w:sz w:val="24"/>
        </w:rPr>
      </w:pPr>
      <w:r>
        <w:rPr>
          <w:rFonts w:ascii="宋体" w:hAnsi="宋体" w:cs="宋体"/>
          <w:sz w:val="24"/>
        </w:rPr>
        <w:t>1</w:t>
      </w:r>
      <w:r>
        <w:rPr>
          <w:rFonts w:hint="eastAsia" w:ascii="宋体" w:hAnsi="宋体" w:cs="宋体"/>
          <w:sz w:val="24"/>
        </w:rPr>
        <w:t>5</w:t>
      </w:r>
      <w:r>
        <w:rPr>
          <w:rFonts w:ascii="宋体" w:hAnsi="宋体" w:cs="宋体"/>
          <w:sz w:val="24"/>
        </w:rPr>
        <w:t>.2卫生保洁要求：做好日常保洁，保持球场内卫生清洁，确保球场内无垃圾，垃圾日产日清，做到无恶臭、无蝇蛆。</w:t>
      </w:r>
    </w:p>
    <w:p>
      <w:pPr>
        <w:ind w:firstLine="424" w:firstLineChars="177"/>
        <w:rPr>
          <w:rFonts w:ascii="宋体" w:hAnsi="宋体" w:cs="宋体"/>
          <w:sz w:val="24"/>
        </w:rPr>
      </w:pPr>
      <w:r>
        <w:rPr>
          <w:rFonts w:hint="eastAsia" w:ascii="宋体" w:hAnsi="宋体" w:cs="宋体"/>
          <w:sz w:val="24"/>
        </w:rPr>
        <w:t>15.3球场举办各类活动或赛事后要及时清理场内垃圾。</w:t>
      </w:r>
    </w:p>
    <w:p>
      <w:pPr>
        <w:ind w:firstLine="424" w:firstLineChars="177"/>
        <w:rPr>
          <w:rFonts w:ascii="宋体" w:hAnsi="宋体" w:cs="宋体"/>
          <w:sz w:val="24"/>
        </w:rPr>
      </w:pPr>
      <w:r>
        <w:rPr>
          <w:rFonts w:hint="eastAsia" w:ascii="宋体" w:hAnsi="宋体" w:cs="宋体"/>
          <w:sz w:val="24"/>
        </w:rPr>
        <w:t>15.4配合甲方做好各类公园广场创建工作。</w:t>
      </w:r>
    </w:p>
    <w:p>
      <w:pPr>
        <w:ind w:firstLine="426" w:firstLineChars="177"/>
        <w:rPr>
          <w:rFonts w:ascii="宋体" w:hAnsi="宋体" w:cs="宋体"/>
          <w:b/>
          <w:bCs/>
          <w:sz w:val="24"/>
        </w:rPr>
      </w:pPr>
      <w:r>
        <w:rPr>
          <w:rFonts w:hint="eastAsia" w:ascii="宋体" w:hAnsi="宋体" w:cs="宋体"/>
          <w:b/>
          <w:bCs/>
          <w:sz w:val="24"/>
        </w:rPr>
        <w:t>16.城区绿化公众责任险保险</w:t>
      </w:r>
    </w:p>
    <w:p>
      <w:pPr>
        <w:rPr>
          <w:rFonts w:ascii="宋体" w:hAnsi="宋体" w:cs="宋体"/>
          <w:sz w:val="24"/>
        </w:rPr>
      </w:pPr>
      <w:r>
        <w:rPr>
          <w:rFonts w:hint="eastAsia" w:ascii="宋体" w:hAnsi="宋体" w:cs="宋体"/>
          <w:sz w:val="24"/>
        </w:rPr>
        <w:t xml:space="preserve">    范围为各个片段整个区域范围内的公园广场、一江两带、道路绿化、行道树等绿地；假山、雕塑、园林建筑（亭、廊等）、园路、健身器材、城市家具、警示牌等各类园林设施以及公园广场内水景及喷泉等，要求每个片区每次事故每人医疗赔偿限额5万元，每次事故每人伤亡赔偿限额80万元，每次事故财产赔偿限额10万元，每次事故赔偿责任限额150万元；累计赔偿限额600万元。法律费用限额5万元。为方便工作开展，建议每个片区统一一个投保公司。</w:t>
      </w:r>
    </w:p>
    <w:p>
      <w:pPr>
        <w:ind w:firstLine="426" w:firstLineChars="177"/>
        <w:rPr>
          <w:rFonts w:ascii="宋体" w:hAnsi="宋体" w:cs="宋体"/>
          <w:b/>
          <w:bCs/>
          <w:sz w:val="24"/>
        </w:rPr>
      </w:pPr>
      <w:r>
        <w:rPr>
          <w:rFonts w:hint="eastAsia" w:ascii="宋体" w:hAnsi="宋体" w:cs="宋体"/>
          <w:b/>
          <w:bCs/>
          <w:sz w:val="24"/>
        </w:rPr>
        <w:t xml:space="preserve"> 17、城区公园广场巡逻检查</w:t>
      </w:r>
    </w:p>
    <w:p>
      <w:pPr>
        <w:pStyle w:val="962"/>
        <w:ind w:firstLine="480"/>
        <w:rPr>
          <w:rFonts w:ascii="宋体" w:hAnsi="宋体" w:cs="宋体"/>
          <w:b/>
          <w:bCs/>
          <w:sz w:val="24"/>
        </w:rPr>
      </w:pPr>
      <w:r>
        <w:rPr>
          <w:rFonts w:hint="eastAsia" w:ascii="宋体" w:hAnsi="宋体" w:cs="宋体"/>
          <w:sz w:val="24"/>
        </w:rPr>
        <w:t>标项一中包含城区所有公园广场的日常巡逻检查。包括城区公园广场、一江两带、道路绿化、行道树等绿地；假山、雕塑、园林建筑（亭、廊等）、园路、健身器材、城市家具、警示牌等各类园林设施以及公园广场内水景及喷泉等的日常巡查；边坡、虎山东矿、须江公园内自然山体森林消防巡逻，应急值班处置以及配合园林局等工作内容。要求工作人员年龄不得超过60周岁，工作责任心强、会用智能手机、掌握基本的电脑操作。</w:t>
      </w:r>
    </w:p>
    <w:p>
      <w:pPr>
        <w:pStyle w:val="962"/>
        <w:ind w:firstLine="482"/>
        <w:rPr>
          <w:rFonts w:ascii="宋体" w:hAnsi="宋体" w:cs="宋体"/>
          <w:b/>
          <w:bCs/>
          <w:sz w:val="24"/>
        </w:rPr>
      </w:pPr>
      <w:r>
        <w:rPr>
          <w:rFonts w:hint="eastAsia" w:ascii="宋体" w:hAnsi="宋体" w:cs="宋体"/>
          <w:b/>
          <w:bCs/>
          <w:sz w:val="24"/>
        </w:rPr>
        <w:t>18.公园广场内水景区水体保洁要求。</w:t>
      </w:r>
    </w:p>
    <w:p>
      <w:pPr>
        <w:ind w:firstLine="480" w:firstLineChars="200"/>
        <w:rPr>
          <w:rFonts w:ascii="宋体" w:hAnsi="宋体" w:cs="宋体"/>
          <w:sz w:val="24"/>
        </w:rPr>
      </w:pPr>
      <w:r>
        <w:rPr>
          <w:rFonts w:hint="eastAsia" w:ascii="宋体" w:hAnsi="宋体" w:cs="宋体"/>
          <w:sz w:val="24"/>
        </w:rPr>
        <w:t>18.1以突击打捞与日常保洁相结合的方式。国庆春节期间重点保障。</w:t>
      </w:r>
    </w:p>
    <w:p>
      <w:pPr>
        <w:ind w:firstLine="480" w:firstLineChars="200"/>
        <w:rPr>
          <w:rFonts w:ascii="宋体" w:hAnsi="宋体" w:cs="宋体"/>
          <w:sz w:val="24"/>
        </w:rPr>
      </w:pPr>
      <w:r>
        <w:rPr>
          <w:rFonts w:hint="eastAsia" w:ascii="宋体" w:hAnsi="宋体" w:cs="宋体"/>
          <w:sz w:val="24"/>
        </w:rPr>
        <w:t>18.2及时打捞水景区水面垃圾、树木枝杈、落叶、水生植物残败枝条等；冲洗埠头（台阶）的淤泥及滞留物。做到水面无可见漂浮物；重要节点无垃圾积聚。洗衣埠头、亲水平台无垃圾、淤泥。</w:t>
      </w:r>
    </w:p>
    <w:p>
      <w:pPr>
        <w:ind w:firstLine="480" w:firstLineChars="200"/>
        <w:rPr>
          <w:rFonts w:ascii="宋体" w:hAnsi="宋体" w:cs="宋体"/>
          <w:sz w:val="24"/>
        </w:rPr>
      </w:pPr>
      <w:r>
        <w:rPr>
          <w:rFonts w:hint="eastAsia" w:ascii="宋体" w:hAnsi="宋体" w:cs="宋体"/>
          <w:sz w:val="24"/>
        </w:rPr>
        <w:t>18.3及时制止并管理在保洁管理范围内倾倒垃圾、垂钓、浣洗等不文明行为。</w:t>
      </w:r>
    </w:p>
    <w:p>
      <w:pPr>
        <w:ind w:firstLine="480" w:firstLineChars="200"/>
        <w:rPr>
          <w:rFonts w:ascii="宋体" w:hAnsi="宋体" w:cs="宋体"/>
          <w:sz w:val="24"/>
        </w:rPr>
      </w:pPr>
      <w:r>
        <w:rPr>
          <w:rFonts w:hint="eastAsia" w:ascii="宋体" w:hAnsi="宋体" w:cs="宋体"/>
          <w:sz w:val="24"/>
        </w:rPr>
        <w:t>18.4按要求开放并关闭水体内的循环水泵，确保水系的循环和流通，及时检查水泵的工作状况，确保安全运行。</w:t>
      </w:r>
    </w:p>
    <w:p>
      <w:pPr>
        <w:ind w:firstLine="480" w:firstLineChars="200"/>
        <w:rPr>
          <w:rFonts w:ascii="宋体" w:hAnsi="宋体" w:cs="宋体"/>
          <w:sz w:val="24"/>
        </w:rPr>
      </w:pPr>
      <w:r>
        <w:rPr>
          <w:rFonts w:hint="eastAsia" w:ascii="宋体" w:hAnsi="宋体" w:cs="宋体"/>
          <w:sz w:val="24"/>
        </w:rPr>
        <w:t>18.5每年要不定期对水体进行杀菌。</w:t>
      </w:r>
    </w:p>
    <w:p>
      <w:pPr>
        <w:ind w:firstLine="480" w:firstLineChars="200"/>
        <w:rPr>
          <w:rFonts w:ascii="宋体" w:hAnsi="宋体" w:cs="宋体"/>
          <w:sz w:val="24"/>
        </w:rPr>
      </w:pPr>
      <w:r>
        <w:rPr>
          <w:rFonts w:hint="eastAsia" w:ascii="宋体" w:hAnsi="宋体" w:cs="宋体"/>
          <w:sz w:val="24"/>
        </w:rPr>
        <w:t>18.6根据上级督查、媒体曝光、群众投诉等临时要求突击处理的垃圾，到场且开始处置时间不超过2小时。</w:t>
      </w:r>
    </w:p>
    <w:p>
      <w:pPr>
        <w:ind w:firstLine="480" w:firstLineChars="200"/>
        <w:jc w:val="left"/>
        <w:rPr>
          <w:rFonts w:ascii="宋体" w:hAnsi="宋体" w:cs="宋体"/>
          <w:sz w:val="24"/>
        </w:rPr>
      </w:pPr>
      <w:r>
        <w:rPr>
          <w:rFonts w:hint="eastAsia" w:ascii="宋体" w:hAnsi="宋体" w:cs="宋体"/>
          <w:sz w:val="24"/>
        </w:rPr>
        <w:t>18.7遇到上级领导检查、市里举行重大活动，必须按照要求，做到全水域整洁，无可见漂浮物。不再另行增加临时派工等保洁费用。</w:t>
      </w:r>
    </w:p>
    <w:p>
      <w:pPr>
        <w:ind w:firstLine="480" w:firstLineChars="200"/>
        <w:jc w:val="left"/>
        <w:rPr>
          <w:rFonts w:ascii="宋体" w:hAnsi="宋体" w:cs="宋体"/>
          <w:sz w:val="24"/>
        </w:rPr>
      </w:pPr>
      <w:r>
        <w:rPr>
          <w:rFonts w:hint="eastAsia" w:ascii="宋体" w:hAnsi="宋体" w:cs="宋体"/>
          <w:sz w:val="24"/>
        </w:rPr>
        <w:t>18.8中标单位为保洁人员配备足够的冬夏装工作服、雨衣、雨鞋等工作服装和安全帽、救生衣等安全防护设施，工作服装及款式、安全防护设施应统一标准，其余作业设备及所需工具、救生设备须按保洁任务、技术标准要求配置。</w:t>
      </w:r>
    </w:p>
    <w:p>
      <w:pPr>
        <w:spacing w:line="400" w:lineRule="exact"/>
        <w:ind w:firstLine="482" w:firstLineChars="200"/>
        <w:rPr>
          <w:rFonts w:ascii="宋体" w:hAnsi="宋体"/>
          <w:b/>
          <w:sz w:val="24"/>
        </w:rPr>
      </w:pPr>
      <w:r>
        <w:rPr>
          <w:rFonts w:hint="eastAsia" w:ascii="宋体" w:hAnsi="宋体" w:cs="宋体"/>
          <w:b/>
          <w:bCs/>
          <w:sz w:val="24"/>
        </w:rPr>
        <w:t>19.</w:t>
      </w:r>
      <w:r>
        <w:rPr>
          <w:rFonts w:hint="eastAsia" w:ascii="宋体" w:hAnsi="宋体"/>
          <w:b/>
          <w:sz w:val="24"/>
        </w:rPr>
        <w:t>养护费用保证专款专用。</w:t>
      </w:r>
      <w:r>
        <w:rPr>
          <w:rFonts w:hint="eastAsia" w:ascii="宋体" w:hAnsi="宋体"/>
          <w:sz w:val="24"/>
        </w:rPr>
        <w:t>首先保证养护人员或管理人员工资，如出现拖欠养护人员或管理人员工资经甲方</w:t>
      </w:r>
      <w:r>
        <w:rPr>
          <w:rFonts w:hint="eastAsia" w:ascii="宋体" w:hAnsi="宋体" w:cs="宋体"/>
          <w:sz w:val="24"/>
        </w:rPr>
        <w:t>核实，每次扣10分；出现拖欠养护人员或管理人员工资经甲方核实属实，不及时整改，造成养护人员或管理人员闹事、上访，影响恶劣的，将全额扣除履约保证金并按有关文件进行处罚，同时由甲方代付养护人员</w:t>
      </w:r>
      <w:r>
        <w:rPr>
          <w:rFonts w:hint="eastAsia" w:ascii="宋体" w:hAnsi="宋体"/>
          <w:sz w:val="24"/>
        </w:rPr>
        <w:t>或管理人员工资</w:t>
      </w:r>
      <w:r>
        <w:rPr>
          <w:rFonts w:hint="eastAsia" w:ascii="宋体" w:hAnsi="宋体"/>
          <w:b/>
          <w:sz w:val="24"/>
        </w:rPr>
        <w:t>(从下期工程款中扣回)。</w:t>
      </w:r>
    </w:p>
    <w:p>
      <w:pPr>
        <w:snapToGrid w:val="0"/>
        <w:spacing w:line="360" w:lineRule="exact"/>
        <w:ind w:firstLine="542" w:firstLineChars="225"/>
        <w:rPr>
          <w:rFonts w:ascii="宋体" w:hAnsi="宋体"/>
          <w:b/>
          <w:sz w:val="24"/>
        </w:rPr>
        <w:sectPr>
          <w:headerReference r:id="rId4" w:type="first"/>
          <w:footerReference r:id="rId7" w:type="first"/>
          <w:headerReference r:id="rId3" w:type="default"/>
          <w:footerReference r:id="rId5" w:type="default"/>
          <w:footerReference r:id="rId6" w:type="even"/>
          <w:pgSz w:w="11907" w:h="16840"/>
          <w:pgMar w:top="1474" w:right="1814" w:bottom="1474" w:left="1814" w:header="851" w:footer="851" w:gutter="0"/>
          <w:cols w:space="720" w:num="1"/>
        </w:sectPr>
      </w:pPr>
    </w:p>
    <w:p>
      <w:pPr>
        <w:snapToGrid w:val="0"/>
        <w:spacing w:line="360" w:lineRule="exact"/>
        <w:ind w:firstLine="542" w:firstLineChars="225"/>
        <w:jc w:val="left"/>
        <w:rPr>
          <w:rFonts w:ascii="宋体" w:hAnsi="宋体"/>
          <w:b/>
          <w:sz w:val="24"/>
        </w:rPr>
      </w:pPr>
      <w:r>
        <w:rPr>
          <w:rFonts w:hint="eastAsia" w:ascii="宋体" w:hAnsi="宋体"/>
          <w:b/>
          <w:sz w:val="24"/>
        </w:rPr>
        <w:t>附件1：</w:t>
      </w:r>
    </w:p>
    <w:p>
      <w:pPr>
        <w:snapToGrid w:val="0"/>
        <w:spacing w:line="360" w:lineRule="exact"/>
        <w:ind w:firstLine="542" w:firstLineChars="225"/>
        <w:jc w:val="center"/>
        <w:rPr>
          <w:rFonts w:ascii="宋体" w:hAnsi="宋体"/>
          <w:b/>
          <w:sz w:val="24"/>
        </w:rPr>
      </w:pPr>
      <w:r>
        <w:rPr>
          <w:rFonts w:hint="eastAsia" w:ascii="宋体" w:hAnsi="宋体"/>
          <w:b/>
          <w:sz w:val="24"/>
        </w:rPr>
        <w:t>江山市区公共绿地养护最高限价表</w:t>
      </w:r>
    </w:p>
    <w:tbl>
      <w:tblPr>
        <w:tblStyle w:val="62"/>
        <w:tblW w:w="15800" w:type="dxa"/>
        <w:jc w:val="center"/>
        <w:tblLayout w:type="fixed"/>
        <w:tblCellMar>
          <w:top w:w="0" w:type="dxa"/>
          <w:left w:w="108" w:type="dxa"/>
          <w:bottom w:w="0" w:type="dxa"/>
          <w:right w:w="108" w:type="dxa"/>
        </w:tblCellMar>
      </w:tblPr>
      <w:tblGrid>
        <w:gridCol w:w="440"/>
        <w:gridCol w:w="425"/>
        <w:gridCol w:w="656"/>
        <w:gridCol w:w="993"/>
        <w:gridCol w:w="992"/>
        <w:gridCol w:w="992"/>
        <w:gridCol w:w="955"/>
        <w:gridCol w:w="850"/>
        <w:gridCol w:w="992"/>
        <w:gridCol w:w="993"/>
        <w:gridCol w:w="992"/>
        <w:gridCol w:w="992"/>
        <w:gridCol w:w="992"/>
        <w:gridCol w:w="851"/>
        <w:gridCol w:w="992"/>
        <w:gridCol w:w="851"/>
        <w:gridCol w:w="850"/>
        <w:gridCol w:w="992"/>
      </w:tblGrid>
      <w:tr>
        <w:tblPrEx>
          <w:tblCellMar>
            <w:top w:w="0" w:type="dxa"/>
            <w:left w:w="108" w:type="dxa"/>
            <w:bottom w:w="0" w:type="dxa"/>
            <w:right w:w="108" w:type="dxa"/>
          </w:tblCellMar>
        </w:tblPrEx>
        <w:trPr>
          <w:trHeight w:val="402" w:hRule="atLeast"/>
          <w:jc w:val="center"/>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序号</w:t>
            </w:r>
          </w:p>
        </w:tc>
        <w:tc>
          <w:tcPr>
            <w:tcW w:w="1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Cs w:val="21"/>
              </w:rPr>
            </w:pPr>
            <w:r>
              <w:rPr>
                <w:rFonts w:hint="eastAsia" w:ascii="宋体" w:hAnsi="宋体" w:cs="宋体"/>
                <w:b/>
                <w:bCs/>
                <w:kern w:val="0"/>
                <w:szCs w:val="21"/>
              </w:rPr>
              <w:t>类别</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标项一</w:t>
            </w:r>
          </w:p>
        </w:tc>
        <w:tc>
          <w:tcPr>
            <w:tcW w:w="2797"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标项二</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标项三</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标项四</w:t>
            </w:r>
          </w:p>
        </w:tc>
        <w:tc>
          <w:tcPr>
            <w:tcW w:w="269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标项五</w:t>
            </w:r>
          </w:p>
        </w:tc>
      </w:tr>
      <w:tr>
        <w:tblPrEx>
          <w:tblCellMar>
            <w:top w:w="0" w:type="dxa"/>
            <w:left w:w="108" w:type="dxa"/>
            <w:bottom w:w="0" w:type="dxa"/>
            <w:right w:w="108" w:type="dxa"/>
          </w:tblCellMar>
        </w:tblPrEx>
        <w:trPr>
          <w:trHeight w:val="402"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b/>
                <w:bCs/>
                <w:kern w:val="0"/>
                <w:sz w:val="22"/>
                <w:szCs w:val="22"/>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b/>
                <w:bCs/>
                <w:kern w:val="0"/>
                <w:szCs w:val="21"/>
              </w:rPr>
            </w:pPr>
          </w:p>
        </w:tc>
        <w:tc>
          <w:tcPr>
            <w:tcW w:w="99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单价（元）</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c>
          <w:tcPr>
            <w:tcW w:w="955"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85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c>
          <w:tcPr>
            <w:tcW w:w="99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851"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c>
          <w:tcPr>
            <w:tcW w:w="851"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85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一级公共绿地面积（m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21912.62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9.00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197213.58 </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48311.17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9.20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444462.76 </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63506.44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9.20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584259.25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39117.12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9.00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352054.08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91336.16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9.00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822025.44 </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2</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二级公共绿地面积（m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154969.02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7.20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1115776.94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85355.26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7.30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623093.40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166822.69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7.30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1217805.64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188136.32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7.10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1335767.87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114370.10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7.20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823464.72 </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3</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三级公共绿地面积（m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138669.69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665614.53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151381.65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726631.92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117940.37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566113.79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35137.64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168660.67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141567.13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679522.22 </w:t>
            </w:r>
          </w:p>
        </w:tc>
      </w:tr>
      <w:tr>
        <w:tblPrEx>
          <w:tblCellMar>
            <w:top w:w="0" w:type="dxa"/>
            <w:left w:w="108" w:type="dxa"/>
            <w:bottom w:w="0" w:type="dxa"/>
            <w:right w:w="108" w:type="dxa"/>
          </w:tblCellMar>
        </w:tblPrEx>
        <w:trPr>
          <w:trHeight w:val="402"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4</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草花（m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375.00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22500.00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165.78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375.00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62167.50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665.04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375.00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249390.00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400.91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375.00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150341.25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117.38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375.00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44017.50 </w:t>
            </w:r>
          </w:p>
        </w:tc>
      </w:tr>
      <w:tr>
        <w:tblPrEx>
          <w:tblCellMar>
            <w:top w:w="0" w:type="dxa"/>
            <w:left w:w="108" w:type="dxa"/>
            <w:bottom w:w="0" w:type="dxa"/>
            <w:right w:w="108" w:type="dxa"/>
          </w:tblCellMar>
        </w:tblPrEx>
        <w:trPr>
          <w:trHeight w:val="402"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5</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混播草坪（m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33218.47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664369.40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38796.18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775923.60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18992.48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379849.60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78601.95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1572039.00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31438.65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20.00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628773.00 </w:t>
            </w:r>
          </w:p>
        </w:tc>
      </w:tr>
      <w:tr>
        <w:tblPrEx>
          <w:tblCellMar>
            <w:top w:w="0" w:type="dxa"/>
            <w:left w:w="108" w:type="dxa"/>
            <w:bottom w:w="0" w:type="dxa"/>
            <w:right w:w="108" w:type="dxa"/>
          </w:tblCellMar>
        </w:tblPrEx>
        <w:trPr>
          <w:trHeight w:val="402"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6</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行道树一级（棵）</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1580.00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53720.00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1409.00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47906.00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4105.00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139570.00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2319.00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78846.00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881.00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34.00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29954.00 </w:t>
            </w:r>
          </w:p>
        </w:tc>
      </w:tr>
      <w:tr>
        <w:tblPrEx>
          <w:tblCellMar>
            <w:top w:w="0" w:type="dxa"/>
            <w:left w:w="108" w:type="dxa"/>
            <w:bottom w:w="0" w:type="dxa"/>
            <w:right w:w="108" w:type="dxa"/>
          </w:tblCellMar>
        </w:tblPrEx>
        <w:trPr>
          <w:trHeight w:val="402"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7</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行道树二级（棵）</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1051.00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31530.00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517.00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15510.00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594.00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17820.00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632.00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18960.00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322.00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30.00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9660.00 </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8</w:t>
            </w:r>
          </w:p>
        </w:tc>
        <w:tc>
          <w:tcPr>
            <w:tcW w:w="425" w:type="dxa"/>
            <w:vMerge w:val="restart"/>
            <w:tcBorders>
              <w:top w:val="nil"/>
              <w:left w:val="single" w:color="000000" w:sz="4" w:space="0"/>
              <w:bottom w:val="single" w:color="000000" w:sz="4" w:space="0"/>
              <w:right w:val="nil"/>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古树名木</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1.00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2500.00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2500.00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0</w:t>
            </w:r>
          </w:p>
        </w:tc>
      </w:tr>
      <w:tr>
        <w:tblPrEx>
          <w:tblCellMar>
            <w:top w:w="0" w:type="dxa"/>
            <w:left w:w="108" w:type="dxa"/>
            <w:bottom w:w="0" w:type="dxa"/>
            <w:right w:w="108" w:type="dxa"/>
          </w:tblCellMar>
        </w:tblPrEx>
        <w:trPr>
          <w:trHeight w:val="619"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9</w:t>
            </w:r>
          </w:p>
        </w:tc>
        <w:tc>
          <w:tcPr>
            <w:tcW w:w="425" w:type="dxa"/>
            <w:vMerge w:val="continue"/>
            <w:tcBorders>
              <w:top w:val="nil"/>
              <w:left w:val="single" w:color="000000" w:sz="4" w:space="0"/>
              <w:bottom w:val="single" w:color="000000" w:sz="4" w:space="0"/>
              <w:right w:val="nil"/>
            </w:tcBorders>
            <w:vAlign w:val="center"/>
          </w:tcPr>
          <w:p>
            <w:pPr>
              <w:widowControl/>
              <w:adjustRightInd/>
              <w:jc w:val="left"/>
              <w:rPr>
                <w:rFonts w:ascii="宋体" w:hAnsi="宋体" w:cs="宋体"/>
                <w:b/>
                <w:bCs/>
                <w:kern w:val="0"/>
                <w:sz w:val="15"/>
                <w:szCs w:val="15"/>
              </w:rPr>
            </w:pP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 xml:space="preserve">0.00 </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2900.00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2900.00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2900.00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12.00 </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2900.00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34800.00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2900.00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 xml:space="preserve">2900.00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0</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10</w:t>
            </w:r>
          </w:p>
        </w:tc>
        <w:tc>
          <w:tcPr>
            <w:tcW w:w="425" w:type="dxa"/>
            <w:vMerge w:val="continue"/>
            <w:tcBorders>
              <w:top w:val="nil"/>
              <w:left w:val="single" w:color="000000" w:sz="4" w:space="0"/>
              <w:bottom w:val="single" w:color="000000" w:sz="4" w:space="0"/>
              <w:right w:val="nil"/>
            </w:tcBorders>
            <w:vAlign w:val="center"/>
          </w:tcPr>
          <w:p>
            <w:pPr>
              <w:widowControl/>
              <w:adjustRightInd/>
              <w:jc w:val="left"/>
              <w:rPr>
                <w:rFonts w:ascii="宋体" w:hAnsi="宋体" w:cs="宋体"/>
                <w:b/>
                <w:bCs/>
                <w:kern w:val="0"/>
                <w:sz w:val="15"/>
                <w:szCs w:val="15"/>
              </w:rPr>
            </w:pPr>
          </w:p>
        </w:tc>
        <w:tc>
          <w:tcPr>
            <w:tcW w:w="656"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0</w:t>
            </w:r>
          </w:p>
        </w:tc>
        <w:tc>
          <w:tcPr>
            <w:tcW w:w="993"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3300</w:t>
            </w:r>
          </w:p>
        </w:tc>
        <w:tc>
          <w:tcPr>
            <w:tcW w:w="992"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955"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3300</w:t>
            </w:r>
          </w:p>
        </w:tc>
        <w:tc>
          <w:tcPr>
            <w:tcW w:w="850"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93"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3300.00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3300.00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3300.00 </w:t>
            </w:r>
          </w:p>
        </w:tc>
        <w:tc>
          <w:tcPr>
            <w:tcW w:w="851"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851"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 xml:space="preserve">3300.00 </w:t>
            </w:r>
          </w:p>
        </w:tc>
        <w:tc>
          <w:tcPr>
            <w:tcW w:w="850"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r>
              <w:rPr>
                <w:rFonts w:hint="eastAsia"/>
                <w:sz w:val="15"/>
                <w:szCs w:val="15"/>
              </w:rPr>
              <w:t>0</w:t>
            </w:r>
          </w:p>
        </w:tc>
        <w:tc>
          <w:tcPr>
            <w:tcW w:w="992"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r>
              <w:rPr>
                <w:rFonts w:hint="eastAsia"/>
                <w:sz w:val="15"/>
                <w:szCs w:val="15"/>
              </w:rPr>
              <w:t>0</w:t>
            </w:r>
          </w:p>
        </w:tc>
      </w:tr>
      <w:tr>
        <w:tblPrEx>
          <w:tblCellMar>
            <w:top w:w="0" w:type="dxa"/>
            <w:left w:w="108" w:type="dxa"/>
            <w:bottom w:w="0" w:type="dxa"/>
            <w:right w:w="108" w:type="dxa"/>
          </w:tblCellMar>
        </w:tblPrEx>
        <w:trPr>
          <w:trHeight w:val="36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11</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开放式小区（m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29454.49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141381.55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45423.34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218032.03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63631.37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305430.58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6017.36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28883.33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6359.82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4.80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30527.14 </w:t>
            </w:r>
          </w:p>
        </w:tc>
      </w:tr>
      <w:tr>
        <w:tblPrEx>
          <w:tblCellMar>
            <w:top w:w="0" w:type="dxa"/>
            <w:left w:w="108" w:type="dxa"/>
            <w:bottom w:w="0" w:type="dxa"/>
            <w:right w:w="108" w:type="dxa"/>
          </w:tblCellMar>
        </w:tblPrEx>
        <w:trPr>
          <w:trHeight w:val="499"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12</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绿化保险（年）</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38091.63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38091.63 </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37136.14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37136.14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43627.04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43627.04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35036.23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35036.23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1.00 </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38639.22 </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 xml:space="preserve">38639.22 </w:t>
            </w:r>
          </w:p>
        </w:tc>
      </w:tr>
      <w:tr>
        <w:tblPrEx>
          <w:tblCellMar>
            <w:top w:w="0" w:type="dxa"/>
            <w:left w:w="108" w:type="dxa"/>
            <w:bottom w:w="0" w:type="dxa"/>
            <w:right w:w="108" w:type="dxa"/>
          </w:tblCellMar>
        </w:tblPrEx>
        <w:trPr>
          <w:trHeight w:val="642"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13</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西山球场保洁（项）</w:t>
            </w:r>
          </w:p>
        </w:tc>
        <w:tc>
          <w:tcPr>
            <w:tcW w:w="9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5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85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40314.40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40314.40 </w:t>
            </w:r>
          </w:p>
        </w:tc>
        <w:tc>
          <w:tcPr>
            <w:tcW w:w="99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0.00 </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1"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r>
      <w:tr>
        <w:tblPrEx>
          <w:tblCellMar>
            <w:top w:w="0" w:type="dxa"/>
            <w:left w:w="108" w:type="dxa"/>
            <w:bottom w:w="0" w:type="dxa"/>
            <w:right w:w="108" w:type="dxa"/>
          </w:tblCellMar>
        </w:tblPrEx>
        <w:trPr>
          <w:trHeight w:val="48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14</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须江公园管理（含环卫保洁）（项）</w:t>
            </w:r>
          </w:p>
        </w:tc>
        <w:tc>
          <w:tcPr>
            <w:tcW w:w="993"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55" w:type="dxa"/>
            <w:tcBorders>
              <w:top w:val="nil"/>
              <w:left w:val="nil"/>
              <w:bottom w:val="single" w:color="auto" w:sz="4" w:space="0"/>
              <w:right w:val="nil"/>
            </w:tcBorders>
            <w:shd w:val="clear" w:color="auto" w:fill="auto"/>
            <w:noWrap/>
            <w:vAlign w:val="center"/>
          </w:tcPr>
          <w:p>
            <w:pPr>
              <w:jc w:val="center"/>
              <w:rPr>
                <w:rFonts w:ascii="宋体" w:hAnsi="宋体" w:cs="宋体"/>
                <w:sz w:val="15"/>
                <w:szCs w:val="15"/>
              </w:rPr>
            </w:pPr>
            <w:r>
              <w:rPr>
                <w:rFonts w:hint="eastAsia"/>
                <w:sz w:val="15"/>
                <w:szCs w:val="15"/>
              </w:rPr>
              <w:t>/</w:t>
            </w:r>
          </w:p>
        </w:tc>
        <w:tc>
          <w:tcPr>
            <w:tcW w:w="850" w:type="dxa"/>
            <w:tcBorders>
              <w:top w:val="nil"/>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auto" w:sz="4" w:space="0"/>
              <w:right w:val="nil"/>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3" w:type="dxa"/>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655971.20 </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655971.20 </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1"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r>
      <w:tr>
        <w:tblPrEx>
          <w:tblCellMar>
            <w:top w:w="0" w:type="dxa"/>
            <w:left w:w="108" w:type="dxa"/>
            <w:bottom w:w="0" w:type="dxa"/>
            <w:right w:w="108" w:type="dxa"/>
          </w:tblCellMar>
        </w:tblPrEx>
        <w:trPr>
          <w:trHeight w:val="42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15</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城区公园广场巡逻检查（项）</w:t>
            </w:r>
          </w:p>
        </w:tc>
        <w:tc>
          <w:tcPr>
            <w:tcW w:w="993"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1.00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425491.10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425491.10 </w:t>
            </w:r>
          </w:p>
        </w:tc>
        <w:tc>
          <w:tcPr>
            <w:tcW w:w="955"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0"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3"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851"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85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c>
          <w:tcPr>
            <w:tcW w:w="99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r>
              <w:rPr>
                <w:rFonts w:hint="eastAsia"/>
                <w:sz w:val="15"/>
                <w:szCs w:val="15"/>
              </w:rPr>
              <w:t>/</w:t>
            </w:r>
          </w:p>
        </w:tc>
      </w:tr>
      <w:tr>
        <w:tblPrEx>
          <w:tblCellMar>
            <w:top w:w="0" w:type="dxa"/>
            <w:left w:w="108" w:type="dxa"/>
            <w:bottom w:w="0" w:type="dxa"/>
            <w:right w:w="108" w:type="dxa"/>
          </w:tblCellMar>
        </w:tblPrEx>
        <w:trPr>
          <w:trHeight w:val="319"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16</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微提升改造（项）</w:t>
            </w:r>
          </w:p>
        </w:tc>
        <w:tc>
          <w:tcPr>
            <w:tcW w:w="99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55"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 </w:t>
            </w:r>
          </w:p>
        </w:tc>
        <w:tc>
          <w:tcPr>
            <w:tcW w:w="85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 </w:t>
            </w:r>
          </w:p>
        </w:tc>
        <w:tc>
          <w:tcPr>
            <w:tcW w:w="851"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851"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 </w:t>
            </w:r>
          </w:p>
        </w:tc>
        <w:tc>
          <w:tcPr>
            <w:tcW w:w="85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c>
          <w:tcPr>
            <w:tcW w:w="99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 xml:space="preserve">120000 </w:t>
            </w:r>
          </w:p>
        </w:tc>
      </w:tr>
      <w:tr>
        <w:tblPrEx>
          <w:tblCellMar>
            <w:top w:w="0" w:type="dxa"/>
            <w:left w:w="108" w:type="dxa"/>
            <w:bottom w:w="0" w:type="dxa"/>
            <w:right w:w="108" w:type="dxa"/>
          </w:tblCellMar>
        </w:tblPrEx>
        <w:trPr>
          <w:trHeight w:val="42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17</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养护费小计（元）</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3478188.74 </w:t>
            </w:r>
          </w:p>
        </w:tc>
        <w:tc>
          <w:tcPr>
            <w:tcW w:w="2797"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3116577.75 </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4317937.09 </w:t>
            </w:r>
          </w:p>
        </w:tc>
        <w:tc>
          <w:tcPr>
            <w:tcW w:w="2835"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3860588.43 </w:t>
            </w:r>
          </w:p>
        </w:tc>
        <w:tc>
          <w:tcPr>
            <w:tcW w:w="2693"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r>
              <w:rPr>
                <w:rFonts w:hint="eastAsia"/>
                <w:sz w:val="15"/>
                <w:szCs w:val="15"/>
              </w:rPr>
              <w:t xml:space="preserve">3226583.24 </w:t>
            </w:r>
          </w:p>
        </w:tc>
      </w:tr>
      <w:tr>
        <w:tblPrEx>
          <w:tblCellMar>
            <w:top w:w="0" w:type="dxa"/>
            <w:left w:w="108" w:type="dxa"/>
            <w:bottom w:w="0" w:type="dxa"/>
            <w:right w:w="108" w:type="dxa"/>
          </w:tblCellMar>
        </w:tblPrEx>
        <w:trPr>
          <w:trHeight w:val="420" w:hRule="atLeast"/>
          <w:jc w:val="center"/>
        </w:trPr>
        <w:tc>
          <w:tcPr>
            <w:tcW w:w="4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18</w:t>
            </w:r>
          </w:p>
        </w:tc>
        <w:tc>
          <w:tcPr>
            <w:tcW w:w="1081"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养护费合计（元）</w:t>
            </w:r>
          </w:p>
        </w:tc>
        <w:tc>
          <w:tcPr>
            <w:tcW w:w="14279" w:type="dxa"/>
            <w:gridSpan w:val="15"/>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5"/>
                <w:szCs w:val="15"/>
              </w:rPr>
              <w:t>17999875.25</w:t>
            </w:r>
          </w:p>
        </w:tc>
      </w:tr>
      <w:tr>
        <w:tblPrEx>
          <w:tblCellMar>
            <w:top w:w="0" w:type="dxa"/>
            <w:left w:w="108" w:type="dxa"/>
            <w:bottom w:w="0" w:type="dxa"/>
            <w:right w:w="108" w:type="dxa"/>
          </w:tblCellMar>
        </w:tblPrEx>
        <w:trPr>
          <w:trHeight w:val="420" w:hRule="atLeast"/>
          <w:jc w:val="center"/>
        </w:trPr>
        <w:tc>
          <w:tcPr>
            <w:tcW w:w="865" w:type="dxa"/>
            <w:gridSpan w:val="2"/>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Cs w:val="21"/>
              </w:rPr>
            </w:pPr>
            <w:r>
              <w:rPr>
                <w:rFonts w:hint="eastAsia" w:ascii="宋体" w:hAnsi="宋体" w:cs="宋体"/>
                <w:b/>
                <w:bCs/>
                <w:kern w:val="0"/>
                <w:szCs w:val="21"/>
              </w:rPr>
              <w:t>备注</w:t>
            </w:r>
          </w:p>
        </w:tc>
        <w:tc>
          <w:tcPr>
            <w:tcW w:w="14935" w:type="dxa"/>
            <w:gridSpan w:val="16"/>
            <w:tcBorders>
              <w:top w:val="single" w:color="000000"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1、单价包含日常养护需要的一切人工、机械、设备、材料、铺装维修、补植、水肥、税费等一切费用。时花要求一年5季，不得黄土裸露。混播草坪要求冬季播种，出芽率达100%。</w:t>
            </w:r>
          </w:p>
        </w:tc>
      </w:tr>
      <w:tr>
        <w:tblPrEx>
          <w:tblCellMar>
            <w:top w:w="0" w:type="dxa"/>
            <w:left w:w="108" w:type="dxa"/>
            <w:bottom w:w="0" w:type="dxa"/>
            <w:right w:w="108" w:type="dxa"/>
          </w:tblCellMar>
        </w:tblPrEx>
        <w:trPr>
          <w:trHeight w:val="420" w:hRule="atLeast"/>
          <w:jc w:val="center"/>
        </w:trPr>
        <w:tc>
          <w:tcPr>
            <w:tcW w:w="865"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Cs w:val="21"/>
              </w:rPr>
            </w:pPr>
          </w:p>
        </w:tc>
        <w:tc>
          <w:tcPr>
            <w:tcW w:w="14935" w:type="dxa"/>
            <w:gridSpan w:val="16"/>
            <w:tcBorders>
              <w:top w:val="single" w:color="000000"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2、类别13西山球场保洁该项具体详看附件二，其中▲不得下浮。</w:t>
            </w:r>
          </w:p>
        </w:tc>
      </w:tr>
      <w:tr>
        <w:tblPrEx>
          <w:tblCellMar>
            <w:top w:w="0" w:type="dxa"/>
            <w:left w:w="108" w:type="dxa"/>
            <w:bottom w:w="0" w:type="dxa"/>
            <w:right w:w="108" w:type="dxa"/>
          </w:tblCellMar>
        </w:tblPrEx>
        <w:trPr>
          <w:trHeight w:val="420" w:hRule="atLeast"/>
          <w:jc w:val="center"/>
        </w:trPr>
        <w:tc>
          <w:tcPr>
            <w:tcW w:w="865" w:type="dxa"/>
            <w:gridSpan w:val="2"/>
            <w:vMerge w:val="continue"/>
            <w:tcBorders>
              <w:top w:val="single" w:color="000000"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Cs w:val="21"/>
              </w:rPr>
            </w:pPr>
          </w:p>
        </w:tc>
        <w:tc>
          <w:tcPr>
            <w:tcW w:w="14935" w:type="dxa"/>
            <w:gridSpan w:val="16"/>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3、类别14须江公园管理包含温室、须江阁、公园停车场、公园森林消防、管理房、水体保洁、猴山管理以及公园环卫保洁等，每项管理需专人负责。该项具体详看附件二，其中▲不得下浮。</w:t>
            </w:r>
          </w:p>
        </w:tc>
      </w:tr>
      <w:tr>
        <w:tblPrEx>
          <w:tblCellMar>
            <w:top w:w="0" w:type="dxa"/>
            <w:left w:w="108" w:type="dxa"/>
            <w:bottom w:w="0" w:type="dxa"/>
            <w:right w:w="108" w:type="dxa"/>
          </w:tblCellMar>
        </w:tblPrEx>
        <w:trPr>
          <w:trHeight w:val="420" w:hRule="atLeast"/>
          <w:jc w:val="center"/>
        </w:trPr>
        <w:tc>
          <w:tcPr>
            <w:tcW w:w="865" w:type="dxa"/>
            <w:gridSpan w:val="2"/>
            <w:vMerge w:val="continue"/>
            <w:tcBorders>
              <w:top w:val="single" w:color="000000"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Cs w:val="21"/>
              </w:rPr>
            </w:pPr>
          </w:p>
        </w:tc>
        <w:tc>
          <w:tcPr>
            <w:tcW w:w="14935" w:type="dxa"/>
            <w:gridSpan w:val="16"/>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4、类别15城区公园广场巡逻检查：根据创文要求，我市必查公园广场如西山公园、迎宾广场、双塔公园、船帮文化公园、须江公园需专人负责巡逻检查。该项具体详看附件二，其中▲不得下浮。</w:t>
            </w:r>
          </w:p>
        </w:tc>
      </w:tr>
      <w:tr>
        <w:tblPrEx>
          <w:tblCellMar>
            <w:top w:w="0" w:type="dxa"/>
            <w:left w:w="108" w:type="dxa"/>
            <w:bottom w:w="0" w:type="dxa"/>
            <w:right w:w="108" w:type="dxa"/>
          </w:tblCellMar>
        </w:tblPrEx>
        <w:trPr>
          <w:trHeight w:val="762" w:hRule="atLeast"/>
          <w:jc w:val="center"/>
        </w:trPr>
        <w:tc>
          <w:tcPr>
            <w:tcW w:w="865" w:type="dxa"/>
            <w:gridSpan w:val="2"/>
            <w:vMerge w:val="continue"/>
            <w:tcBorders>
              <w:top w:val="single" w:color="000000"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Cs w:val="21"/>
              </w:rPr>
            </w:pPr>
          </w:p>
        </w:tc>
        <w:tc>
          <w:tcPr>
            <w:tcW w:w="14935" w:type="dxa"/>
            <w:gridSpan w:val="16"/>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5、类别16提升改造根据《浙江省政府集中采购目录及标准(2023年版)》（浙财采监〔2022〕13号）中“分散采购限额标准工程类项目：省级100万元，市级80万元，县级60万元”，每个标段暂定12万元/年，投标人总价报价时不得下浮。实际补植费用（包含设计费）按照现行定额及当期信息价组价后下浮8%进行结算。补植的地点范围由采购人指定，补植的设计方案由中标单位提供，经采购人审核同意后方可实施，否则不予认可。</w:t>
            </w:r>
          </w:p>
        </w:tc>
      </w:tr>
    </w:tbl>
    <w:p>
      <w:pPr>
        <w:adjustRightInd/>
        <w:spacing w:line="360" w:lineRule="auto"/>
        <w:jc w:val="center"/>
        <w:outlineLvl w:val="0"/>
        <w:rPr>
          <w:rFonts w:ascii="仿宋" w:hAnsi="仿宋" w:eastAsia="仿宋" w:cs="仿宋_GB2312"/>
          <w:b/>
          <w:sz w:val="24"/>
        </w:rPr>
      </w:pPr>
    </w:p>
    <w:p>
      <w:pPr>
        <w:widowControl/>
        <w:adjustRightInd/>
        <w:jc w:val="left"/>
        <w:rPr>
          <w:rFonts w:ascii="仿宋_GB2312" w:hAnsi="仿宋" w:eastAsia="仿宋_GB2312"/>
          <w:b/>
          <w:bCs/>
          <w:sz w:val="32"/>
          <w:szCs w:val="32"/>
        </w:rPr>
      </w:pPr>
      <w:r>
        <w:br w:type="page"/>
      </w:r>
    </w:p>
    <w:p>
      <w:pPr>
        <w:snapToGrid w:val="0"/>
        <w:spacing w:line="360" w:lineRule="exact"/>
        <w:ind w:firstLine="542" w:firstLineChars="225"/>
        <w:jc w:val="left"/>
        <w:rPr>
          <w:rFonts w:ascii="宋体" w:hAnsi="宋体"/>
          <w:b/>
          <w:sz w:val="24"/>
        </w:rPr>
      </w:pPr>
      <w:r>
        <w:rPr>
          <w:rFonts w:hint="eastAsia" w:ascii="宋体" w:hAnsi="宋体"/>
          <w:b/>
          <w:sz w:val="24"/>
        </w:rPr>
        <w:t>附件二：</w:t>
      </w:r>
    </w:p>
    <w:p>
      <w:pPr>
        <w:jc w:val="center"/>
      </w:pPr>
      <w:r>
        <w:rPr>
          <w:rFonts w:hint="eastAsia" w:ascii="宋体" w:hAnsi="宋体" w:cs="宋体"/>
          <w:b/>
          <w:bCs/>
          <w:kern w:val="0"/>
          <w:sz w:val="36"/>
          <w:szCs w:val="36"/>
        </w:rPr>
        <w:t>定点人员相关费用测算表</w:t>
      </w:r>
    </w:p>
    <w:tbl>
      <w:tblPr>
        <w:tblStyle w:val="62"/>
        <w:tblW w:w="15767" w:type="dxa"/>
        <w:jc w:val="center"/>
        <w:tblLayout w:type="autofit"/>
        <w:tblCellMar>
          <w:top w:w="0" w:type="dxa"/>
          <w:left w:w="108" w:type="dxa"/>
          <w:bottom w:w="0" w:type="dxa"/>
          <w:right w:w="108" w:type="dxa"/>
        </w:tblCellMar>
      </w:tblPr>
      <w:tblGrid>
        <w:gridCol w:w="1367"/>
        <w:gridCol w:w="660"/>
        <w:gridCol w:w="820"/>
        <w:gridCol w:w="1000"/>
        <w:gridCol w:w="940"/>
        <w:gridCol w:w="980"/>
        <w:gridCol w:w="800"/>
        <w:gridCol w:w="1060"/>
        <w:gridCol w:w="940"/>
        <w:gridCol w:w="980"/>
        <w:gridCol w:w="880"/>
        <w:gridCol w:w="1040"/>
        <w:gridCol w:w="1080"/>
        <w:gridCol w:w="1080"/>
        <w:gridCol w:w="1060"/>
        <w:gridCol w:w="1080"/>
      </w:tblGrid>
      <w:tr>
        <w:tblPrEx>
          <w:tblCellMar>
            <w:top w:w="0" w:type="dxa"/>
            <w:left w:w="108" w:type="dxa"/>
            <w:bottom w:w="0" w:type="dxa"/>
            <w:right w:w="108" w:type="dxa"/>
          </w:tblCellMar>
        </w:tblPrEx>
        <w:trPr>
          <w:trHeight w:val="480" w:hRule="atLeast"/>
          <w:jc w:val="center"/>
        </w:trPr>
        <w:tc>
          <w:tcPr>
            <w:tcW w:w="13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人员所在位置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人员</w:t>
            </w: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▲工具费</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▲年工资</w:t>
            </w:r>
          </w:p>
        </w:tc>
        <w:tc>
          <w:tcPr>
            <w:tcW w:w="18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▲福利</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▲高温补贴(4个月</w:t>
            </w: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▲防暑用品</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▲劳保费用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合计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管理费</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税金</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总计</w:t>
            </w:r>
          </w:p>
        </w:tc>
      </w:tr>
      <w:tr>
        <w:tblPrEx>
          <w:tblCellMar>
            <w:top w:w="0" w:type="dxa"/>
            <w:left w:w="108" w:type="dxa"/>
            <w:bottom w:w="0" w:type="dxa"/>
            <w:right w:w="108" w:type="dxa"/>
          </w:tblCellMar>
        </w:tblPrEx>
        <w:trPr>
          <w:trHeight w:val="439" w:hRule="atLeast"/>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b/>
                <w:bCs/>
                <w:kern w:val="0"/>
                <w:sz w:val="22"/>
                <w:szCs w:val="22"/>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b/>
                <w:bCs/>
                <w:kern w:val="0"/>
                <w:sz w:val="22"/>
                <w:szCs w:val="22"/>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（4%计算）</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（6%计算）</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r>
      <w:tr>
        <w:tblPrEx>
          <w:tblCellMar>
            <w:top w:w="0" w:type="dxa"/>
            <w:left w:w="108" w:type="dxa"/>
            <w:bottom w:w="0" w:type="dxa"/>
            <w:right w:w="108" w:type="dxa"/>
          </w:tblCellMar>
        </w:tblPrEx>
        <w:trPr>
          <w:trHeight w:val="439" w:hRule="atLeast"/>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r>
      <w:tr>
        <w:tblPrEx>
          <w:tblCellMar>
            <w:top w:w="0" w:type="dxa"/>
            <w:left w:w="108" w:type="dxa"/>
            <w:bottom w:w="0" w:type="dxa"/>
            <w:right w:w="108" w:type="dxa"/>
          </w:tblCellMar>
        </w:tblPrEx>
        <w:trPr>
          <w:trHeight w:val="439"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须江公园保卫</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37041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148166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1600.0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4800.0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240.0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850.5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3402.0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158207.7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6328.3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9872.2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174408.2 </w:t>
            </w:r>
          </w:p>
        </w:tc>
      </w:tr>
      <w:tr>
        <w:tblPrEx>
          <w:tblCellMar>
            <w:top w:w="0" w:type="dxa"/>
            <w:left w:w="108" w:type="dxa"/>
            <w:bottom w:w="0" w:type="dxa"/>
            <w:right w:w="108" w:type="dxa"/>
          </w:tblCellMar>
        </w:tblPrEx>
        <w:trPr>
          <w:trHeight w:val="522"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须江公园温室</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1.0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38937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38937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1200.0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60.0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850.5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850.5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41447.1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1657.9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2586.3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45691.3 </w:t>
            </w:r>
          </w:p>
        </w:tc>
      </w:tr>
      <w:tr>
        <w:tblPrEx>
          <w:tblCellMar>
            <w:top w:w="0" w:type="dxa"/>
            <w:left w:w="108" w:type="dxa"/>
            <w:bottom w:w="0" w:type="dxa"/>
            <w:right w:w="108" w:type="dxa"/>
          </w:tblCellMar>
        </w:tblPrEx>
        <w:trPr>
          <w:trHeight w:val="480"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须江阁</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1.0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37041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37041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1200.0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60.0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850.5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850.5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39551.9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1582.1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2468.0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43602.0 </w:t>
            </w:r>
          </w:p>
        </w:tc>
      </w:tr>
      <w:tr>
        <w:tblPrEx>
          <w:tblCellMar>
            <w:top w:w="0" w:type="dxa"/>
            <w:left w:w="108" w:type="dxa"/>
            <w:bottom w:w="0" w:type="dxa"/>
            <w:right w:w="108" w:type="dxa"/>
          </w:tblCellMar>
        </w:tblPrEx>
        <w:trPr>
          <w:trHeight w:val="1002"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须江公园保洁（含猴山保洁与饲养、须江阁卫生）</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9.0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1600.0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14400.0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32447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318730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3600.0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10800.0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540.0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862.5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7762.5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355832.5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14233.3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22203.9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392269.7 </w:t>
            </w:r>
          </w:p>
        </w:tc>
      </w:tr>
      <w:tr>
        <w:tblPrEx>
          <w:tblCellMar>
            <w:top w:w="0" w:type="dxa"/>
            <w:left w:w="108" w:type="dxa"/>
            <w:bottom w:w="0" w:type="dxa"/>
            <w:right w:w="108" w:type="dxa"/>
          </w:tblCellMar>
        </w:tblPrEx>
        <w:trPr>
          <w:trHeight w:val="522"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小  计</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23801.6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655971.2 </w:t>
            </w:r>
          </w:p>
        </w:tc>
      </w:tr>
      <w:tr>
        <w:tblPrEx>
          <w:tblCellMar>
            <w:top w:w="0" w:type="dxa"/>
            <w:left w:w="108" w:type="dxa"/>
            <w:bottom w:w="0" w:type="dxa"/>
            <w:right w:w="108" w:type="dxa"/>
          </w:tblCellMar>
        </w:tblPrEx>
        <w:trPr>
          <w:trHeight w:val="522"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城区公园广场巡逻检查现场管理人员</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8.0 </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45426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363408 </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3200.0 </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9600.0 </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480.0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1160.0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9280.0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385968.0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15438.7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24084.4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425491.1 </w:t>
            </w:r>
          </w:p>
        </w:tc>
      </w:tr>
      <w:tr>
        <w:tblPrEx>
          <w:tblCellMar>
            <w:top w:w="0" w:type="dxa"/>
            <w:left w:w="108" w:type="dxa"/>
            <w:bottom w:w="0" w:type="dxa"/>
            <w:right w:w="108" w:type="dxa"/>
          </w:tblCellMar>
        </w:tblPrEx>
        <w:trPr>
          <w:trHeight w:val="360" w:hRule="atLeast"/>
          <w:jc w:val="center"/>
        </w:trPr>
        <w:tc>
          <w:tcPr>
            <w:tcW w:w="1367" w:type="dxa"/>
            <w:tcBorders>
              <w:top w:val="nil"/>
              <w:left w:val="single" w:color="auto" w:sz="4" w:space="0"/>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小  计</w:t>
            </w:r>
          </w:p>
        </w:tc>
        <w:tc>
          <w:tcPr>
            <w:tcW w:w="66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4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8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80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106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4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0" w:hRule="atLeast"/>
          <w:jc w:val="center"/>
        </w:trPr>
        <w:tc>
          <w:tcPr>
            <w:tcW w:w="136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西山球场保洁</w:t>
            </w:r>
          </w:p>
        </w:tc>
        <w:tc>
          <w:tcPr>
            <w:tcW w:w="6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1.0 </w:t>
            </w:r>
          </w:p>
        </w:tc>
        <w:tc>
          <w:tcPr>
            <w:tcW w:w="82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1600.0 </w:t>
            </w:r>
          </w:p>
        </w:tc>
        <w:tc>
          <w:tcPr>
            <w:tcW w:w="100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1600.0 </w:t>
            </w:r>
          </w:p>
        </w:tc>
        <w:tc>
          <w:tcPr>
            <w:tcW w:w="94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32447 </w:t>
            </w:r>
          </w:p>
        </w:tc>
        <w:tc>
          <w:tcPr>
            <w:tcW w:w="9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32447 </w:t>
            </w:r>
          </w:p>
        </w:tc>
        <w:tc>
          <w:tcPr>
            <w:tcW w:w="80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10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400.0 </w:t>
            </w:r>
          </w:p>
        </w:tc>
        <w:tc>
          <w:tcPr>
            <w:tcW w:w="94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1200.0 </w:t>
            </w:r>
          </w:p>
        </w:tc>
        <w:tc>
          <w:tcPr>
            <w:tcW w:w="9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60.0 </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862.5 </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862.5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36569.6 </w:t>
            </w:r>
          </w:p>
        </w:tc>
        <w:tc>
          <w:tcPr>
            <w:tcW w:w="10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1462.8 </w:t>
            </w:r>
          </w:p>
        </w:tc>
        <w:tc>
          <w:tcPr>
            <w:tcW w:w="10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2281.9 </w:t>
            </w:r>
          </w:p>
        </w:tc>
        <w:tc>
          <w:tcPr>
            <w:tcW w:w="10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40314.4 </w:t>
            </w:r>
          </w:p>
        </w:tc>
      </w:tr>
      <w:tr>
        <w:tblPrEx>
          <w:tblCellMar>
            <w:top w:w="0" w:type="dxa"/>
            <w:left w:w="108" w:type="dxa"/>
            <w:bottom w:w="0" w:type="dxa"/>
            <w:right w:w="108" w:type="dxa"/>
          </w:tblCellMar>
        </w:tblPrEx>
        <w:trPr>
          <w:trHeight w:val="702" w:hRule="atLeast"/>
          <w:jc w:val="center"/>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备注：</w:t>
            </w: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1、所有员工工资均根据各自职责要求包含相应费用。</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2、中标人中标后，人员年工资、福利、工具费、劳保费、高温补贴、防暑用品发放不得低于上述测算标准。</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3、须江公园温室管理人员要求：男性，65周岁以下，身体健康，有电动三轮车相关证件。工作内容为温室日常管理、配合园林处进行单位摆花工作。</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4、须江公园保卫人员要求：其中1人为24小时值班制，3人为24小时轮班制。</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5、现场管理人员要求：年龄60周岁以下、责任心强、会用智能手机、基本掌握电脑操作。基本工作按江山市最低工资标准*1.4倍计算，其中考核奖500元/月年终发放。</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6、须江阁人员要求：工作内容为看守须江阁，巡逻须江阁内各类设施的安全，劝导入阁游玩人员文明游玩，同时做好日常卫生保洁。</w:t>
            </w:r>
          </w:p>
        </w:tc>
      </w:tr>
      <w:tr>
        <w:tblPrEx>
          <w:tblCellMar>
            <w:top w:w="0" w:type="dxa"/>
            <w:left w:w="108" w:type="dxa"/>
            <w:bottom w:w="0" w:type="dxa"/>
            <w:right w:w="108" w:type="dxa"/>
          </w:tblCellMar>
        </w:tblPrEx>
        <w:trPr>
          <w:trHeight w:val="42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7、须江公园内保洁包括整个公园绿地、园路、构筑物、须江阁、猴山等的卫生保洁工作。</w:t>
            </w:r>
          </w:p>
        </w:tc>
      </w:tr>
    </w:tbl>
    <w:p>
      <w:pPr>
        <w:snapToGrid w:val="0"/>
        <w:spacing w:line="360" w:lineRule="exact"/>
        <w:ind w:firstLine="542" w:firstLineChars="225"/>
        <w:jc w:val="center"/>
        <w:rPr>
          <w:rFonts w:ascii="宋体" w:hAnsi="宋体"/>
          <w:b/>
          <w:sz w:val="24"/>
        </w:rPr>
      </w:pPr>
      <w:r>
        <w:rPr>
          <w:rFonts w:hint="eastAsia" w:ascii="宋体" w:hAnsi="宋体"/>
          <w:b/>
          <w:sz w:val="24"/>
        </w:rPr>
        <w:t>劳保费测算</w:t>
      </w:r>
    </w:p>
    <w:tbl>
      <w:tblPr>
        <w:tblStyle w:val="62"/>
        <w:tblW w:w="1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080"/>
        <w:gridCol w:w="1080"/>
        <w:gridCol w:w="1720"/>
        <w:gridCol w:w="1520"/>
        <w:gridCol w:w="1740"/>
        <w:gridCol w:w="1080"/>
        <w:gridCol w:w="16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90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工种</w:t>
            </w:r>
          </w:p>
        </w:tc>
        <w:tc>
          <w:tcPr>
            <w:tcW w:w="108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手套</w:t>
            </w:r>
          </w:p>
        </w:tc>
        <w:tc>
          <w:tcPr>
            <w:tcW w:w="108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草帽*2</w:t>
            </w:r>
          </w:p>
        </w:tc>
        <w:tc>
          <w:tcPr>
            <w:tcW w:w="172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口罩</w:t>
            </w:r>
          </w:p>
        </w:tc>
        <w:tc>
          <w:tcPr>
            <w:tcW w:w="152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雨鞋*2</w:t>
            </w:r>
          </w:p>
        </w:tc>
        <w:tc>
          <w:tcPr>
            <w:tcW w:w="174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服装夏2、冬2</w:t>
            </w:r>
          </w:p>
        </w:tc>
        <w:tc>
          <w:tcPr>
            <w:tcW w:w="108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雨衣1</w:t>
            </w:r>
          </w:p>
        </w:tc>
        <w:tc>
          <w:tcPr>
            <w:tcW w:w="1660"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电瓶车折旧</w:t>
            </w:r>
          </w:p>
        </w:tc>
        <w:tc>
          <w:tcPr>
            <w:tcW w:w="1080" w:type="dxa"/>
            <w:tcBorders>
              <w:right w:val="single" w:color="auto" w:sz="4" w:space="0"/>
            </w:tcBorders>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0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现场管理人员</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24</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20</w:t>
            </w:r>
          </w:p>
        </w:tc>
        <w:tc>
          <w:tcPr>
            <w:tcW w:w="172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182.5</w:t>
            </w:r>
          </w:p>
        </w:tc>
        <w:tc>
          <w:tcPr>
            <w:tcW w:w="152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74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400</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66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333</w:t>
            </w:r>
          </w:p>
        </w:tc>
        <w:tc>
          <w:tcPr>
            <w:tcW w:w="1080" w:type="dxa"/>
            <w:tcBorders>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90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普通员工</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48</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20</w:t>
            </w:r>
          </w:p>
        </w:tc>
        <w:tc>
          <w:tcPr>
            <w:tcW w:w="172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182.5</w:t>
            </w:r>
          </w:p>
        </w:tc>
        <w:tc>
          <w:tcPr>
            <w:tcW w:w="152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74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400</w:t>
            </w:r>
          </w:p>
        </w:tc>
        <w:tc>
          <w:tcPr>
            <w:tcW w:w="108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660" w:type="dxa"/>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0</w:t>
            </w:r>
          </w:p>
        </w:tc>
        <w:tc>
          <w:tcPr>
            <w:tcW w:w="1080" w:type="dxa"/>
            <w:tcBorders>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90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保洁</w:t>
            </w:r>
          </w:p>
        </w:tc>
        <w:tc>
          <w:tcPr>
            <w:tcW w:w="108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60</w:t>
            </w:r>
          </w:p>
        </w:tc>
        <w:tc>
          <w:tcPr>
            <w:tcW w:w="108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w:t>
            </w:r>
          </w:p>
        </w:tc>
        <w:tc>
          <w:tcPr>
            <w:tcW w:w="17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182.5</w:t>
            </w:r>
          </w:p>
        </w:tc>
        <w:tc>
          <w:tcPr>
            <w:tcW w:w="15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100</w:t>
            </w:r>
          </w:p>
        </w:tc>
        <w:tc>
          <w:tcPr>
            <w:tcW w:w="174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400</w:t>
            </w:r>
          </w:p>
        </w:tc>
        <w:tc>
          <w:tcPr>
            <w:tcW w:w="108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100</w:t>
            </w:r>
          </w:p>
        </w:tc>
        <w:tc>
          <w:tcPr>
            <w:tcW w:w="166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0</w:t>
            </w:r>
          </w:p>
        </w:tc>
        <w:tc>
          <w:tcPr>
            <w:tcW w:w="1080" w:type="dxa"/>
            <w:tcBorders>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862.5</w:t>
            </w:r>
          </w:p>
        </w:tc>
      </w:tr>
    </w:tbl>
    <w:p>
      <w:pPr>
        <w:rPr>
          <w:rFonts w:ascii="宋体" w:hAnsi="宋体" w:cs="宋体"/>
          <w:b/>
          <w:bCs/>
          <w:kern w:val="0"/>
          <w:sz w:val="24"/>
        </w:rPr>
      </w:pPr>
    </w:p>
    <w:p>
      <w:r>
        <w:rPr>
          <w:rFonts w:hint="eastAsia" w:ascii="宋体" w:hAnsi="宋体"/>
          <w:b/>
          <w:sz w:val="24"/>
        </w:rPr>
        <w:t xml:space="preserve">      福利                                                                         </w:t>
      </w:r>
      <w:r>
        <w:rPr>
          <w:rFonts w:hint="eastAsia" w:ascii="宋体" w:hAnsi="宋体" w:cs="宋体"/>
          <w:b/>
          <w:bCs/>
          <w:kern w:val="0"/>
          <w:sz w:val="22"/>
          <w:szCs w:val="22"/>
        </w:rPr>
        <w:t>保洁工具费测算</w:t>
      </w:r>
    </w:p>
    <w:tbl>
      <w:tblPr>
        <w:tblStyle w:val="62"/>
        <w:tblW w:w="15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080"/>
        <w:gridCol w:w="1080"/>
        <w:gridCol w:w="1720"/>
        <w:gridCol w:w="1520"/>
        <w:gridCol w:w="1740"/>
        <w:gridCol w:w="1080"/>
        <w:gridCol w:w="1660"/>
        <w:gridCol w:w="1080"/>
        <w:gridCol w:w="124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900" w:type="dxa"/>
            <w:tcBorders>
              <w:bottom w:val="single" w:color="auto" w:sz="4" w:space="0"/>
            </w:tcBorders>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春节</w:t>
            </w:r>
          </w:p>
        </w:tc>
        <w:tc>
          <w:tcPr>
            <w:tcW w:w="1080" w:type="dxa"/>
            <w:tcBorders>
              <w:bottom w:val="single" w:color="auto" w:sz="4" w:space="0"/>
            </w:tcBorders>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中秋</w:t>
            </w:r>
          </w:p>
        </w:tc>
        <w:tc>
          <w:tcPr>
            <w:tcW w:w="1080" w:type="dxa"/>
            <w:tcBorders>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其它</w:t>
            </w:r>
          </w:p>
        </w:tc>
        <w:tc>
          <w:tcPr>
            <w:tcW w:w="1720" w:type="dxa"/>
            <w:tcBorders>
              <w:top w:val="nil"/>
              <w:left w:val="single" w:color="auto" w:sz="4" w:space="0"/>
              <w:bottom w:val="nil"/>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520" w:type="dxa"/>
            <w:tcBorders>
              <w:left w:val="single" w:color="auto" w:sz="4" w:space="0"/>
              <w:bottom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扫帚</w:t>
            </w:r>
          </w:p>
        </w:tc>
        <w:tc>
          <w:tcPr>
            <w:tcW w:w="1740" w:type="dxa"/>
            <w:tcBorders>
              <w:bottom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扫帚柄</w:t>
            </w:r>
          </w:p>
        </w:tc>
        <w:tc>
          <w:tcPr>
            <w:tcW w:w="1080" w:type="dxa"/>
            <w:tcBorders>
              <w:bottom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畚斗连柄</w:t>
            </w:r>
          </w:p>
        </w:tc>
        <w:tc>
          <w:tcPr>
            <w:tcW w:w="166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抹布</w:t>
            </w:r>
          </w:p>
        </w:tc>
        <w:tc>
          <w:tcPr>
            <w:tcW w:w="108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洗衣粉</w:t>
            </w:r>
          </w:p>
        </w:tc>
        <w:tc>
          <w:tcPr>
            <w:tcW w:w="124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清洁工具</w:t>
            </w:r>
          </w:p>
        </w:tc>
        <w:tc>
          <w:tcPr>
            <w:tcW w:w="1100" w:type="dxa"/>
            <w:vMerge w:val="restart"/>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合  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00" w:type="dxa"/>
            <w:tcBorders>
              <w:bottom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200</w:t>
            </w:r>
          </w:p>
        </w:tc>
        <w:tc>
          <w:tcPr>
            <w:tcW w:w="1080" w:type="dxa"/>
            <w:tcBorders>
              <w:bottom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080" w:type="dxa"/>
            <w:tcBorders>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100</w:t>
            </w:r>
          </w:p>
        </w:tc>
        <w:tc>
          <w:tcPr>
            <w:tcW w:w="1720" w:type="dxa"/>
            <w:tcBorders>
              <w:top w:val="nil"/>
              <w:left w:val="single" w:color="auto" w:sz="4" w:space="0"/>
              <w:bottom w:val="nil"/>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520" w:type="dxa"/>
            <w:tcBorders>
              <w:lef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120把/年</w:t>
            </w:r>
          </w:p>
        </w:tc>
        <w:tc>
          <w:tcPr>
            <w:tcW w:w="174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2根/年</w:t>
            </w:r>
          </w:p>
        </w:tc>
        <w:tc>
          <w:tcPr>
            <w:tcW w:w="108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1个/年</w:t>
            </w:r>
          </w:p>
        </w:tc>
        <w:tc>
          <w:tcPr>
            <w:tcW w:w="166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4条/年</w:t>
            </w:r>
          </w:p>
        </w:tc>
        <w:tc>
          <w:tcPr>
            <w:tcW w:w="108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4包/年</w:t>
            </w:r>
          </w:p>
        </w:tc>
        <w:tc>
          <w:tcPr>
            <w:tcW w:w="1240" w:type="dxa"/>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5个/年</w:t>
            </w:r>
          </w:p>
        </w:tc>
        <w:tc>
          <w:tcPr>
            <w:tcW w:w="1100" w:type="dxa"/>
            <w:vMerge w:val="continue"/>
            <w:vAlign w:val="center"/>
          </w:tcPr>
          <w:p>
            <w:pPr>
              <w:widowControl/>
              <w:adjustRightInd/>
              <w:jc w:val="left"/>
              <w:rPr>
                <w:rFonts w:ascii="宋体" w:hAnsi="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00" w:type="dxa"/>
            <w:tcBorders>
              <w:top w:val="single" w:color="auto" w:sz="4" w:space="0"/>
              <w:left w:val="nil"/>
              <w:bottom w:val="nil"/>
              <w:right w:val="nil"/>
            </w:tcBorders>
            <w:shd w:val="clear" w:color="auto" w:fill="auto"/>
            <w:noWrap/>
            <w:vAlign w:val="center"/>
          </w:tcPr>
          <w:p>
            <w:pPr>
              <w:widowControl/>
              <w:adjustRightInd/>
              <w:jc w:val="left"/>
              <w:rPr>
                <w:rFonts w:ascii="宋体" w:hAnsi="宋体" w:cs="宋体"/>
                <w:kern w:val="0"/>
                <w:sz w:val="22"/>
                <w:szCs w:val="22"/>
              </w:rPr>
            </w:pPr>
          </w:p>
        </w:tc>
        <w:tc>
          <w:tcPr>
            <w:tcW w:w="1080" w:type="dxa"/>
            <w:tcBorders>
              <w:top w:val="single" w:color="auto" w:sz="4" w:space="0"/>
              <w:left w:val="nil"/>
              <w:bottom w:val="nil"/>
              <w:right w:val="nil"/>
            </w:tcBorders>
            <w:shd w:val="clear" w:color="auto" w:fill="auto"/>
            <w:noWrap/>
            <w:vAlign w:val="center"/>
          </w:tcPr>
          <w:p>
            <w:pPr>
              <w:widowControl/>
              <w:adjustRightInd/>
              <w:jc w:val="left"/>
              <w:rPr>
                <w:rFonts w:ascii="宋体" w:hAnsi="宋体" w:cs="宋体"/>
                <w:kern w:val="0"/>
                <w:sz w:val="22"/>
                <w:szCs w:val="22"/>
              </w:rPr>
            </w:pPr>
          </w:p>
        </w:tc>
        <w:tc>
          <w:tcPr>
            <w:tcW w:w="1080" w:type="dxa"/>
            <w:tcBorders>
              <w:top w:val="single" w:color="auto" w:sz="4" w:space="0"/>
              <w:left w:val="nil"/>
              <w:bottom w:val="nil"/>
              <w:right w:val="nil"/>
            </w:tcBorders>
            <w:shd w:val="clear" w:color="auto" w:fill="auto"/>
            <w:noWrap/>
            <w:vAlign w:val="center"/>
          </w:tcPr>
          <w:p>
            <w:pPr>
              <w:widowControl/>
              <w:adjustRightInd/>
              <w:jc w:val="left"/>
              <w:rPr>
                <w:rFonts w:ascii="宋体" w:hAnsi="宋体" w:cs="宋体"/>
                <w:kern w:val="0"/>
                <w:sz w:val="22"/>
                <w:szCs w:val="22"/>
              </w:rPr>
            </w:pPr>
          </w:p>
        </w:tc>
        <w:tc>
          <w:tcPr>
            <w:tcW w:w="1720" w:type="dxa"/>
            <w:tcBorders>
              <w:top w:val="nil"/>
              <w:left w:val="nil"/>
              <w:bottom w:val="nil"/>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520" w:type="dxa"/>
            <w:tcBorders>
              <w:lef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1440</w:t>
            </w:r>
          </w:p>
        </w:tc>
        <w:tc>
          <w:tcPr>
            <w:tcW w:w="174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w:t>
            </w:r>
          </w:p>
        </w:tc>
        <w:tc>
          <w:tcPr>
            <w:tcW w:w="108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60</w:t>
            </w:r>
          </w:p>
        </w:tc>
        <w:tc>
          <w:tcPr>
            <w:tcW w:w="166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w:t>
            </w:r>
          </w:p>
        </w:tc>
        <w:tc>
          <w:tcPr>
            <w:tcW w:w="108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40</w:t>
            </w:r>
          </w:p>
        </w:tc>
        <w:tc>
          <w:tcPr>
            <w:tcW w:w="124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w:t>
            </w:r>
          </w:p>
        </w:tc>
        <w:tc>
          <w:tcPr>
            <w:tcW w:w="110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1600</w:t>
            </w:r>
          </w:p>
        </w:tc>
      </w:tr>
    </w:tbl>
    <w:p>
      <w:pPr>
        <w:pStyle w:val="2"/>
      </w:pPr>
    </w:p>
    <w:p>
      <w:pPr>
        <w:pStyle w:val="2"/>
      </w:pPr>
      <w:r>
        <w:br w:type="page"/>
      </w:r>
    </w:p>
    <w:p>
      <w:pPr>
        <w:snapToGrid w:val="0"/>
        <w:spacing w:line="360" w:lineRule="exact"/>
        <w:ind w:firstLine="542" w:firstLineChars="225"/>
        <w:jc w:val="left"/>
        <w:rPr>
          <w:rFonts w:ascii="宋体" w:hAnsi="宋体"/>
          <w:b/>
          <w:sz w:val="24"/>
        </w:rPr>
      </w:pPr>
      <w:r>
        <w:rPr>
          <w:rFonts w:hint="eastAsia" w:ascii="宋体" w:hAnsi="宋体"/>
          <w:b/>
          <w:sz w:val="24"/>
        </w:rPr>
        <w:t>附件三：</w:t>
      </w:r>
    </w:p>
    <w:p>
      <w:pPr>
        <w:pStyle w:val="2"/>
        <w:jc w:val="center"/>
        <w:rPr>
          <w:rFonts w:ascii="宋体" w:hAnsi="宋体" w:cs="宋体"/>
          <w:color w:val="000000"/>
          <w:kern w:val="0"/>
        </w:rPr>
      </w:pPr>
      <w:r>
        <w:rPr>
          <w:rFonts w:hint="eastAsia" w:ascii="宋体" w:hAnsi="宋体" w:cs="宋体"/>
          <w:color w:val="000000"/>
          <w:kern w:val="0"/>
        </w:rPr>
        <w:t>各标项主要作业车辆最低配置要求</w:t>
      </w:r>
    </w:p>
    <w:tbl>
      <w:tblPr>
        <w:tblStyle w:val="62"/>
        <w:tblW w:w="14819" w:type="dxa"/>
        <w:jc w:val="center"/>
        <w:tblLayout w:type="autofit"/>
        <w:tblCellMar>
          <w:top w:w="0" w:type="dxa"/>
          <w:left w:w="108" w:type="dxa"/>
          <w:bottom w:w="0" w:type="dxa"/>
          <w:right w:w="108" w:type="dxa"/>
        </w:tblCellMar>
      </w:tblPr>
      <w:tblGrid>
        <w:gridCol w:w="744"/>
        <w:gridCol w:w="1480"/>
        <w:gridCol w:w="1580"/>
        <w:gridCol w:w="1580"/>
        <w:gridCol w:w="1580"/>
        <w:gridCol w:w="7855"/>
      </w:tblGrid>
      <w:tr>
        <w:tblPrEx>
          <w:tblCellMar>
            <w:top w:w="0" w:type="dxa"/>
            <w:left w:w="108" w:type="dxa"/>
            <w:bottom w:w="0" w:type="dxa"/>
            <w:right w:w="108" w:type="dxa"/>
          </w:tblCellMar>
        </w:tblPrEx>
        <w:trPr>
          <w:trHeight w:val="541" w:hRule="atLeast"/>
          <w:jc w:val="center"/>
        </w:trPr>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序号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类别</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▲洒水车</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▲登高车</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▲运输车载货（数量）</w:t>
            </w:r>
          </w:p>
        </w:tc>
        <w:tc>
          <w:tcPr>
            <w:tcW w:w="7855"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正三轮载货摩托车</w:t>
            </w:r>
          </w:p>
        </w:tc>
      </w:tr>
      <w:tr>
        <w:tblPrEx>
          <w:tblCellMar>
            <w:top w:w="0" w:type="dxa"/>
            <w:left w:w="108" w:type="dxa"/>
            <w:bottom w:w="0" w:type="dxa"/>
            <w:right w:w="108" w:type="dxa"/>
          </w:tblCellMar>
        </w:tblPrEx>
        <w:trPr>
          <w:trHeight w:val="1352" w:hRule="atLeast"/>
          <w:jc w:val="center"/>
        </w:trPr>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配置要求</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总质量15吨以上</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作业高度14米及以上</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核载量0.6吨及以上。车辆出厂日期要求5年内</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要求购买日期为2024.1.1之后</w:t>
            </w:r>
          </w:p>
        </w:tc>
      </w:tr>
      <w:tr>
        <w:tblPrEx>
          <w:tblCellMar>
            <w:top w:w="0" w:type="dxa"/>
            <w:left w:w="108" w:type="dxa"/>
            <w:bottom w:w="0" w:type="dxa"/>
            <w:right w:w="108" w:type="dxa"/>
          </w:tblCellMar>
        </w:tblPrEx>
        <w:trPr>
          <w:trHeight w:val="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标项一</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标项二</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标项三</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标项四</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4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标项五</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7855"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661" w:hRule="atLeast"/>
          <w:jc w:val="center"/>
        </w:trPr>
        <w:tc>
          <w:tcPr>
            <w:tcW w:w="74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备注：</w:t>
            </w:r>
          </w:p>
        </w:tc>
        <w:tc>
          <w:tcPr>
            <w:tcW w:w="14075"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1.各投标公司在投标方案中涉及到的车辆配置及数量不得低于本表格要求。其中登高车需明确材料证明其作业高度。</w:t>
            </w:r>
          </w:p>
        </w:tc>
      </w:tr>
      <w:tr>
        <w:tblPrEx>
          <w:tblCellMar>
            <w:top w:w="0" w:type="dxa"/>
            <w:left w:w="108" w:type="dxa"/>
            <w:bottom w:w="0" w:type="dxa"/>
            <w:right w:w="108" w:type="dxa"/>
          </w:tblCellMar>
        </w:tblPrEx>
        <w:trPr>
          <w:trHeight w:val="661" w:hRule="atLeast"/>
          <w:jc w:val="center"/>
        </w:trPr>
        <w:tc>
          <w:tcPr>
            <w:tcW w:w="74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p>
        </w:tc>
        <w:tc>
          <w:tcPr>
            <w:tcW w:w="14075"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2.车辆设备使用人员和车辆费用需乙方自行配备，相关费用已包含在江山市公共绿地养护管理数据表的单价中，不在另行考虑。</w:t>
            </w:r>
          </w:p>
        </w:tc>
      </w:tr>
      <w:tr>
        <w:tblPrEx>
          <w:tblCellMar>
            <w:top w:w="0" w:type="dxa"/>
            <w:left w:w="108" w:type="dxa"/>
            <w:bottom w:w="0" w:type="dxa"/>
            <w:right w:w="108" w:type="dxa"/>
          </w:tblCellMar>
        </w:tblPrEx>
        <w:trPr>
          <w:trHeight w:val="1581" w:hRule="atLeast"/>
          <w:jc w:val="center"/>
        </w:trPr>
        <w:tc>
          <w:tcPr>
            <w:tcW w:w="74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p>
        </w:tc>
        <w:tc>
          <w:tcPr>
            <w:tcW w:w="14075"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3.机械化作业车辆需满足作业要求，且以经过采购人组织验收过的机械设备清单为后期管理考核依据，如采购人经研判认为车辆不能满足使用要求的，暂停使用，要求中标人更换车辆。后期管理中发现中标供应商随意更换车辆设备或减少机械设备，每发现一次更换车辆或车辆不足的扣2万元/辆。</w:t>
            </w:r>
          </w:p>
        </w:tc>
      </w:tr>
    </w:tbl>
    <w:p/>
    <w:p>
      <w:pPr>
        <w:snapToGrid w:val="0"/>
        <w:spacing w:line="360" w:lineRule="exact"/>
        <w:ind w:firstLine="542" w:firstLineChars="225"/>
        <w:jc w:val="left"/>
        <w:rPr>
          <w:rFonts w:ascii="宋体" w:hAnsi="宋体"/>
          <w:b/>
          <w:sz w:val="24"/>
        </w:rPr>
      </w:pPr>
      <w:r>
        <w:rPr>
          <w:rFonts w:hint="eastAsia" w:ascii="宋体" w:hAnsi="宋体"/>
          <w:b/>
          <w:sz w:val="24"/>
        </w:rPr>
        <w:t>附件四：</w:t>
      </w:r>
    </w:p>
    <w:p>
      <w:pPr>
        <w:pStyle w:val="2"/>
        <w:jc w:val="center"/>
        <w:rPr>
          <w:lang w:val="en-US"/>
        </w:rPr>
      </w:pPr>
      <w:r>
        <w:rPr>
          <w:rFonts w:hint="eastAsia" w:ascii="宋体" w:hAnsi="宋体" w:cs="宋体"/>
          <w:color w:val="000000"/>
          <w:kern w:val="0"/>
        </w:rPr>
        <w:t>各标项主要工具最低配置要求</w:t>
      </w:r>
    </w:p>
    <w:tbl>
      <w:tblPr>
        <w:tblStyle w:val="62"/>
        <w:tblW w:w="14904" w:type="dxa"/>
        <w:jc w:val="center"/>
        <w:tblLayout w:type="autofit"/>
        <w:tblCellMar>
          <w:top w:w="0" w:type="dxa"/>
          <w:left w:w="108" w:type="dxa"/>
          <w:bottom w:w="0" w:type="dxa"/>
          <w:right w:w="108" w:type="dxa"/>
        </w:tblCellMar>
      </w:tblPr>
      <w:tblGrid>
        <w:gridCol w:w="760"/>
        <w:gridCol w:w="1093"/>
        <w:gridCol w:w="842"/>
        <w:gridCol w:w="1242"/>
        <w:gridCol w:w="1293"/>
        <w:gridCol w:w="2240"/>
        <w:gridCol w:w="977"/>
        <w:gridCol w:w="1198"/>
        <w:gridCol w:w="1351"/>
        <w:gridCol w:w="1160"/>
        <w:gridCol w:w="1047"/>
        <w:gridCol w:w="869"/>
        <w:gridCol w:w="832"/>
      </w:tblGrid>
      <w:tr>
        <w:tblPrEx>
          <w:tblCellMar>
            <w:top w:w="0" w:type="dxa"/>
            <w:left w:w="108" w:type="dxa"/>
            <w:bottom w:w="0" w:type="dxa"/>
            <w:right w:w="108" w:type="dxa"/>
          </w:tblCellMar>
        </w:tblPrEx>
        <w:trPr>
          <w:trHeight w:val="781"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序号</w:t>
            </w:r>
          </w:p>
        </w:tc>
        <w:tc>
          <w:tcPr>
            <w:tcW w:w="1093"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类别</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高压喷药机（数量）</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绿篱机（数量）</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油锯（数量）</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割草机（数量）</w:t>
            </w:r>
          </w:p>
          <w:p>
            <w:pPr>
              <w:widowControl/>
              <w:adjustRightInd/>
              <w:jc w:val="center"/>
              <w:rPr>
                <w:rFonts w:ascii="宋体" w:hAnsi="宋体" w:cs="宋体"/>
                <w:b/>
                <w:bCs/>
                <w:kern w:val="0"/>
                <w:sz w:val="22"/>
                <w:szCs w:val="22"/>
              </w:rPr>
            </w:pPr>
            <w:r>
              <w:rPr>
                <w:rFonts w:hint="eastAsia" w:ascii="宋体" w:hAnsi="宋体" w:cs="宋体"/>
                <w:b/>
                <w:bCs/>
                <w:kern w:val="0"/>
                <w:sz w:val="22"/>
                <w:szCs w:val="22"/>
              </w:rPr>
              <w:t>　</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高压清洗机（数量）</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吹风机（数量）</w:t>
            </w:r>
          </w:p>
        </w:tc>
        <w:tc>
          <w:tcPr>
            <w:tcW w:w="1351"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草坪打孔机</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水泵</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高枝修枝剪(锯）</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微耕机</w:t>
            </w:r>
          </w:p>
        </w:tc>
        <w:tc>
          <w:tcPr>
            <w:tcW w:w="83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粉碎机</w:t>
            </w:r>
          </w:p>
        </w:tc>
      </w:tr>
      <w:tr>
        <w:tblPrEx>
          <w:tblCellMar>
            <w:top w:w="0" w:type="dxa"/>
            <w:left w:w="108" w:type="dxa"/>
            <w:bottom w:w="0" w:type="dxa"/>
            <w:right w:w="108" w:type="dxa"/>
          </w:tblCellMar>
        </w:tblPrEx>
        <w:trPr>
          <w:trHeight w:val="680" w:hRule="atLeast"/>
          <w:jc w:val="center"/>
        </w:trPr>
        <w:tc>
          <w:tcPr>
            <w:tcW w:w="76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22"/>
                <w:szCs w:val="22"/>
              </w:rPr>
            </w:pP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配置要求</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功率3KW以上（含3KW）</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0.7KW以上（含0.7KW）</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　</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1.3KW以上（含1.3KW）</w:t>
            </w:r>
          </w:p>
          <w:p>
            <w:pPr>
              <w:widowControl/>
              <w:adjustRightInd/>
              <w:jc w:val="center"/>
              <w:rPr>
                <w:rFonts w:ascii="宋体" w:hAnsi="宋体" w:cs="宋体"/>
                <w:b/>
                <w:bCs/>
                <w:kern w:val="0"/>
                <w:sz w:val="18"/>
                <w:szCs w:val="18"/>
              </w:rPr>
            </w:pPr>
            <w:r>
              <w:rPr>
                <w:rFonts w:hint="eastAsia" w:ascii="宋体" w:hAnsi="宋体" w:cs="宋体"/>
                <w:b/>
                <w:bCs/>
                <w:kern w:val="0"/>
                <w:sz w:val="18"/>
                <w:szCs w:val="18"/>
              </w:rPr>
              <w:t>　</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　</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吹风量730m³/小时以上（含吹风量730m³/小时）</w:t>
            </w:r>
          </w:p>
        </w:tc>
        <w:tc>
          <w:tcPr>
            <w:tcW w:w="1351"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047"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83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粉碎树木直径10cm以上，粉碎颗粒</w:t>
            </w:r>
          </w:p>
        </w:tc>
      </w:tr>
      <w:tr>
        <w:tblPrEx>
          <w:tblCellMar>
            <w:top w:w="0" w:type="dxa"/>
            <w:left w:w="108" w:type="dxa"/>
            <w:bottom w:w="0" w:type="dxa"/>
            <w:right w:w="108" w:type="dxa"/>
          </w:tblCellMar>
        </w:tblPrEx>
        <w:trPr>
          <w:trHeight w:val="463"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标项一</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351"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　</w:t>
            </w:r>
          </w:p>
        </w:tc>
        <w:tc>
          <w:tcPr>
            <w:tcW w:w="1047"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83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463"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标项二</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　</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351"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　</w:t>
            </w:r>
          </w:p>
        </w:tc>
        <w:tc>
          <w:tcPr>
            <w:tcW w:w="1047"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83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463"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标项三</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　</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351"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　</w:t>
            </w:r>
          </w:p>
        </w:tc>
        <w:tc>
          <w:tcPr>
            <w:tcW w:w="1047"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83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463"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标项四</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　</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351"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　</w:t>
            </w:r>
          </w:p>
        </w:tc>
        <w:tc>
          <w:tcPr>
            <w:tcW w:w="1047"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83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463"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0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标项五</w:t>
            </w:r>
          </w:p>
        </w:tc>
        <w:tc>
          <w:tcPr>
            <w:tcW w:w="8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29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2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97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98"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351"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160"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047"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869"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83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trHeight w:val="463" w:hRule="atLeast"/>
          <w:jc w:val="center"/>
        </w:trPr>
        <w:tc>
          <w:tcPr>
            <w:tcW w:w="1490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备注：1.各投标公司在投标方案中涉及到的机械设备不得低于本表格要求。</w:t>
            </w:r>
          </w:p>
        </w:tc>
      </w:tr>
      <w:tr>
        <w:tblPrEx>
          <w:tblCellMar>
            <w:top w:w="0" w:type="dxa"/>
            <w:left w:w="108" w:type="dxa"/>
            <w:bottom w:w="0" w:type="dxa"/>
            <w:right w:w="108" w:type="dxa"/>
          </w:tblCellMar>
        </w:tblPrEx>
        <w:trPr>
          <w:trHeight w:val="463" w:hRule="atLeast"/>
          <w:jc w:val="center"/>
        </w:trPr>
        <w:tc>
          <w:tcPr>
            <w:tcW w:w="1490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2.车辆设备使用人员和车辆费用需乙方自行配备，相关费用已包含在江山市公共绿地养护管理数据表的单价中，不在另行考虑。</w:t>
            </w:r>
          </w:p>
        </w:tc>
      </w:tr>
      <w:tr>
        <w:tblPrEx>
          <w:tblCellMar>
            <w:top w:w="0" w:type="dxa"/>
            <w:left w:w="108" w:type="dxa"/>
            <w:bottom w:w="0" w:type="dxa"/>
            <w:right w:w="108" w:type="dxa"/>
          </w:tblCellMar>
        </w:tblPrEx>
        <w:trPr>
          <w:trHeight w:val="463" w:hRule="atLeast"/>
          <w:jc w:val="center"/>
        </w:trPr>
        <w:tc>
          <w:tcPr>
            <w:tcW w:w="1490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3、绿篱机、割草机、油锯、高枝修枝剪需在2024年1月之后采购。</w:t>
            </w:r>
          </w:p>
        </w:tc>
      </w:tr>
      <w:tr>
        <w:tblPrEx>
          <w:tblCellMar>
            <w:top w:w="0" w:type="dxa"/>
            <w:left w:w="108" w:type="dxa"/>
            <w:bottom w:w="0" w:type="dxa"/>
            <w:right w:w="108" w:type="dxa"/>
          </w:tblCellMar>
        </w:tblPrEx>
        <w:trPr>
          <w:trHeight w:val="842" w:hRule="atLeast"/>
          <w:jc w:val="center"/>
        </w:trPr>
        <w:tc>
          <w:tcPr>
            <w:tcW w:w="1490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▲4.机械化作业车辆需满足作业要求，且以经过采购人组织验收过的机械设备清单为后期管理考核依据，后期管理中发现中标供应商减少工具配置数量，每发现一次园林作业设备减少的每台（件）扣2000元。</w:t>
            </w:r>
          </w:p>
        </w:tc>
      </w:tr>
    </w:tbl>
    <w:p>
      <w:pPr>
        <w:sectPr>
          <w:pgSz w:w="16840" w:h="11907" w:orient="landscape"/>
          <w:pgMar w:top="1814" w:right="1474" w:bottom="1814" w:left="1474" w:header="851" w:footer="851" w:gutter="0"/>
          <w:cols w:space="720" w:num="1"/>
          <w:docGrid w:linePitch="286" w:charSpace="0"/>
        </w:sectPr>
      </w:pPr>
    </w:p>
    <w:p>
      <w:pPr>
        <w:snapToGrid w:val="0"/>
        <w:spacing w:line="360" w:lineRule="exact"/>
        <w:ind w:firstLine="542" w:firstLineChars="225"/>
        <w:jc w:val="left"/>
        <w:rPr>
          <w:rFonts w:ascii="宋体" w:hAnsi="宋体"/>
          <w:b/>
          <w:sz w:val="24"/>
        </w:rPr>
      </w:pPr>
      <w:r>
        <w:rPr>
          <w:rFonts w:hint="eastAsia" w:ascii="宋体" w:hAnsi="宋体"/>
          <w:b/>
          <w:sz w:val="24"/>
        </w:rPr>
        <w:t>附件五：</w:t>
      </w:r>
    </w:p>
    <w:p>
      <w:pPr>
        <w:adjustRightInd/>
        <w:spacing w:line="360" w:lineRule="auto"/>
        <w:jc w:val="center"/>
        <w:outlineLvl w:val="0"/>
        <w:rPr>
          <w:rFonts w:ascii="仿宋" w:hAnsi="仿宋" w:eastAsia="仿宋" w:cs="仿宋_GB2312"/>
          <w:b/>
          <w:sz w:val="32"/>
          <w:szCs w:val="32"/>
        </w:rPr>
      </w:pPr>
      <w:r>
        <w:rPr>
          <w:rFonts w:hint="eastAsia" w:ascii="仿宋" w:hAnsi="仿宋" w:eastAsia="仿宋" w:cs="仿宋_GB2312"/>
          <w:b/>
          <w:sz w:val="32"/>
          <w:szCs w:val="32"/>
        </w:rPr>
        <w:t>公共绿地</w:t>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标项一</w:t>
      </w:r>
    </w:p>
    <w:tbl>
      <w:tblPr>
        <w:tblStyle w:val="62"/>
        <w:tblW w:w="8399" w:type="dxa"/>
        <w:tblInd w:w="96" w:type="dxa"/>
        <w:tblLayout w:type="autofit"/>
        <w:tblCellMar>
          <w:top w:w="0" w:type="dxa"/>
          <w:left w:w="108" w:type="dxa"/>
          <w:bottom w:w="0" w:type="dxa"/>
          <w:right w:w="108" w:type="dxa"/>
        </w:tblCellMar>
      </w:tblPr>
      <w:tblGrid>
        <w:gridCol w:w="1117"/>
        <w:gridCol w:w="4707"/>
        <w:gridCol w:w="1553"/>
        <w:gridCol w:w="1022"/>
      </w:tblGrid>
      <w:tr>
        <w:tblPrEx>
          <w:tblCellMar>
            <w:top w:w="0" w:type="dxa"/>
            <w:left w:w="108" w:type="dxa"/>
            <w:bottom w:w="0" w:type="dxa"/>
            <w:right w:w="108" w:type="dxa"/>
          </w:tblCellMar>
        </w:tblPrEx>
        <w:trPr>
          <w:trHeight w:val="2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范围</w:t>
            </w:r>
          </w:p>
        </w:tc>
        <w:tc>
          <w:tcPr>
            <w:tcW w:w="4707"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景星东路，南门路，南二街以南</w:t>
            </w:r>
          </w:p>
        </w:tc>
        <w:tc>
          <w:tcPr>
            <w:tcW w:w="1553"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022" w:type="dxa"/>
            <w:tcBorders>
              <w:top w:val="single" w:color="000000" w:sz="4" w:space="0"/>
              <w:left w:val="nil"/>
              <w:bottom w:val="single" w:color="000000" w:sz="4" w:space="0"/>
              <w:right w:val="single" w:color="000000" w:sz="4" w:space="0"/>
            </w:tcBorders>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nil"/>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级别</w:t>
            </w:r>
          </w:p>
        </w:tc>
        <w:tc>
          <w:tcPr>
            <w:tcW w:w="4707" w:type="dxa"/>
            <w:tcBorders>
              <w:top w:val="nil"/>
              <w:left w:val="nil"/>
              <w:bottom w:val="nil"/>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地点</w:t>
            </w:r>
          </w:p>
        </w:tc>
        <w:tc>
          <w:tcPr>
            <w:tcW w:w="1553" w:type="dxa"/>
            <w:tcBorders>
              <w:top w:val="nil"/>
              <w:left w:val="nil"/>
              <w:bottom w:val="nil"/>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面积</w:t>
            </w:r>
          </w:p>
        </w:tc>
        <w:tc>
          <w:tcPr>
            <w:tcW w:w="1022" w:type="dxa"/>
            <w:tcBorders>
              <w:top w:val="nil"/>
              <w:left w:val="nil"/>
              <w:bottom w:val="nil"/>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一级绿地</w:t>
            </w:r>
          </w:p>
        </w:tc>
        <w:tc>
          <w:tcPr>
            <w:tcW w:w="4707"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解放南路小游园</w:t>
            </w:r>
          </w:p>
        </w:tc>
        <w:tc>
          <w:tcPr>
            <w:tcW w:w="155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649.5</w:t>
            </w:r>
          </w:p>
        </w:tc>
        <w:tc>
          <w:tcPr>
            <w:tcW w:w="1022" w:type="dxa"/>
            <w:tcBorders>
              <w:top w:val="single" w:color="auto" w:sz="4" w:space="0"/>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景星东路</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670.68</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月季节点（东岳广场）</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113.96</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景星西路花坛</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3103.25</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江滨南路道路绿化（景星东路以南）（7100）</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17375.23</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小计</w:t>
            </w: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21912.62</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二级绿地</w:t>
            </w: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七里桥路南侧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738.98</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东岳广场（6674.43）</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21190.6</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虎山公园</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11895</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虎山广场</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14497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虎山四街花坛</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xml:space="preserve">38.77 </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4"/>
              </w:rPr>
            </w:pPr>
            <w:r>
              <w:rPr>
                <w:rFonts w:hint="eastAsia" w:ascii="宋体" w:hAnsi="宋体" w:cs="宋体"/>
                <w:kern w:val="0"/>
                <w:sz w:val="24"/>
              </w:rPr>
              <w:t>莲华山大道</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5165.87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4"/>
              </w:rPr>
            </w:pPr>
            <w:r>
              <w:rPr>
                <w:rFonts w:hint="eastAsia" w:ascii="宋体" w:hAnsi="宋体" w:cs="宋体"/>
                <w:kern w:val="0"/>
                <w:sz w:val="24"/>
              </w:rPr>
              <w:t>景星西路（西山西路以西）</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2734.07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4"/>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景星西路（加油站至西山西路）</w:t>
            </w:r>
          </w:p>
        </w:tc>
        <w:tc>
          <w:tcPr>
            <w:tcW w:w="1553"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6144.55</w:t>
            </w:r>
          </w:p>
        </w:tc>
        <w:tc>
          <w:tcPr>
            <w:tcW w:w="1022" w:type="dxa"/>
            <w:tcBorders>
              <w:top w:val="nil"/>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东岳路(景星路-山海路）</w:t>
            </w:r>
          </w:p>
        </w:tc>
        <w:tc>
          <w:tcPr>
            <w:tcW w:w="155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9654.97</w:t>
            </w:r>
          </w:p>
        </w:tc>
        <w:tc>
          <w:tcPr>
            <w:tcW w:w="1022"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山海路东岳路路口北侧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1393.4</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山海路（东岳路至清湖大道）中分带绿化</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6601.9</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开发区小学（南侧、东侧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1506</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城南碧桂园（南、北、西侧）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4369.92</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23156.95</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江山赋一期外围（东侧、南侧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641.96</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车管所南、西、北侧外围</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2375</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江山郡外围（南、东侧）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625.77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南入城口</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20129.37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红岗山路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8923.01</w:t>
            </w:r>
          </w:p>
        </w:tc>
        <w:tc>
          <w:tcPr>
            <w:tcW w:w="1022" w:type="dxa"/>
            <w:tcBorders>
              <w:top w:val="nil"/>
              <w:left w:val="nil"/>
              <w:bottom w:val="single" w:color="000000" w:sz="4" w:space="0"/>
              <w:right w:val="single" w:color="000000" w:sz="4" w:space="0"/>
            </w:tcBorders>
          </w:tcPr>
          <w:p>
            <w:pPr>
              <w:jc w:val="center"/>
              <w:rPr>
                <w:rFonts w:ascii="宋体" w:hAnsi="宋体" w:cs="宋体"/>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东岳路部队前</w:t>
            </w:r>
          </w:p>
        </w:tc>
        <w:tc>
          <w:tcPr>
            <w:tcW w:w="155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2226.13</w:t>
            </w:r>
          </w:p>
        </w:tc>
        <w:tc>
          <w:tcPr>
            <w:tcW w:w="1022"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nil"/>
              <w:right w:val="nil"/>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西山路</w:t>
            </w:r>
          </w:p>
        </w:tc>
        <w:tc>
          <w:tcPr>
            <w:tcW w:w="1553"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9150.1</w:t>
            </w:r>
          </w:p>
        </w:tc>
        <w:tc>
          <w:tcPr>
            <w:tcW w:w="1022" w:type="dxa"/>
            <w:tcBorders>
              <w:top w:val="nil"/>
              <w:left w:val="single" w:color="auto" w:sz="4" w:space="0"/>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南门路中分带（南二街—南三街）</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140</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1669.7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 xml:space="preserve">154969.02 </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三级绿地</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江滨南路须江沿线绿地</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93503</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贝林清溪港湾西侧围墙底</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1568.72</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贝林景星湾围墙外（南、北和西侧）</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1836.98</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交通实业南面草坪</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300</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景星西路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6010.2</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通达路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1920.85</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江电路（含浙麻路、振德路）</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5874.78</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振武路（三角花坛及社区边斜坡）</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8237.14</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虎山四街</w:t>
            </w:r>
          </w:p>
        </w:tc>
        <w:tc>
          <w:tcPr>
            <w:tcW w:w="155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1710.98 </w:t>
            </w:r>
          </w:p>
        </w:tc>
        <w:tc>
          <w:tcPr>
            <w:tcW w:w="1022"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红岗山路</w:t>
            </w:r>
          </w:p>
        </w:tc>
        <w:tc>
          <w:tcPr>
            <w:tcW w:w="155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487.94</w:t>
            </w:r>
          </w:p>
        </w:tc>
        <w:tc>
          <w:tcPr>
            <w:tcW w:w="1022"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西山南入口</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17219.1</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138669.694</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时花</w:t>
            </w: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虎山广场</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60</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60</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混播草坪</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东岳广场混播草坪</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6674</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南入城口混播草坪</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9762.91</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江滨南路（景星东路以南）混播草坪</w:t>
            </w:r>
          </w:p>
        </w:tc>
        <w:tc>
          <w:tcPr>
            <w:tcW w:w="155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12515.33</w:t>
            </w:r>
          </w:p>
        </w:tc>
        <w:tc>
          <w:tcPr>
            <w:tcW w:w="1022"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西山路混播草坪</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2308.8</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17"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4707" w:type="dxa"/>
            <w:tcBorders>
              <w:top w:val="nil"/>
              <w:left w:val="nil"/>
              <w:bottom w:val="single" w:color="auto"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南门路混播草坪</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1957.43</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4707"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33218.47</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合计</w:t>
            </w:r>
          </w:p>
        </w:tc>
        <w:tc>
          <w:tcPr>
            <w:tcW w:w="4707"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348829.804</w:t>
            </w:r>
          </w:p>
        </w:tc>
        <w:tc>
          <w:tcPr>
            <w:tcW w:w="1022"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bl>
    <w:p>
      <w:pPr>
        <w:adjustRightInd/>
        <w:spacing w:line="360" w:lineRule="auto"/>
        <w:jc w:val="center"/>
        <w:outlineLvl w:val="0"/>
        <w:rPr>
          <w:rFonts w:ascii="仿宋" w:hAnsi="仿宋" w:eastAsia="仿宋" w:cs="仿宋_GB2312"/>
          <w:b/>
          <w:sz w:val="24"/>
        </w:rPr>
      </w:pPr>
    </w:p>
    <w:p>
      <w:pPr>
        <w:adjustRightInd/>
        <w:spacing w:line="360" w:lineRule="auto"/>
        <w:jc w:val="center"/>
        <w:outlineLvl w:val="0"/>
      </w:pPr>
      <w:r>
        <w:br w:type="page"/>
      </w:r>
      <w:r>
        <w:rPr>
          <w:rFonts w:hint="eastAsia" w:ascii="仿宋" w:hAnsi="仿宋" w:eastAsia="仿宋" w:cs="仿宋_GB2312"/>
          <w:b/>
          <w:sz w:val="24"/>
        </w:rPr>
        <w:t>标项二</w:t>
      </w:r>
    </w:p>
    <w:tbl>
      <w:tblPr>
        <w:tblStyle w:val="62"/>
        <w:tblW w:w="8399" w:type="dxa"/>
        <w:tblInd w:w="96" w:type="dxa"/>
        <w:tblLayout w:type="autofit"/>
        <w:tblCellMar>
          <w:top w:w="0" w:type="dxa"/>
          <w:left w:w="108" w:type="dxa"/>
          <w:bottom w:w="0" w:type="dxa"/>
          <w:right w:w="108" w:type="dxa"/>
        </w:tblCellMar>
      </w:tblPr>
      <w:tblGrid>
        <w:gridCol w:w="1172"/>
        <w:gridCol w:w="5224"/>
        <w:gridCol w:w="1325"/>
        <w:gridCol w:w="678"/>
      </w:tblGrid>
      <w:tr>
        <w:tblPrEx>
          <w:tblCellMar>
            <w:top w:w="0" w:type="dxa"/>
            <w:left w:w="108" w:type="dxa"/>
            <w:bottom w:w="0" w:type="dxa"/>
            <w:right w:w="108" w:type="dxa"/>
          </w:tblCellMar>
        </w:tblPrEx>
        <w:trPr>
          <w:trHeight w:val="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范围</w:t>
            </w:r>
          </w:p>
        </w:tc>
        <w:tc>
          <w:tcPr>
            <w:tcW w:w="5224"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景星东路，南门路，南二街——城中路</w:t>
            </w:r>
          </w:p>
        </w:tc>
        <w:tc>
          <w:tcPr>
            <w:tcW w:w="1325"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　</w:t>
            </w:r>
          </w:p>
        </w:tc>
        <w:tc>
          <w:tcPr>
            <w:tcW w:w="678" w:type="dxa"/>
            <w:tcBorders>
              <w:top w:val="single" w:color="000000" w:sz="4" w:space="0"/>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级别</w:t>
            </w: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地点</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面积</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20" w:hRule="atLeast"/>
        </w:trPr>
        <w:tc>
          <w:tcPr>
            <w:tcW w:w="117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一级绿地</w:t>
            </w:r>
          </w:p>
        </w:tc>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江滨路绿带（江津路-景星东路）</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1761.41</w:t>
            </w:r>
          </w:p>
        </w:tc>
        <w:tc>
          <w:tcPr>
            <w:tcW w:w="678" w:type="dxa"/>
            <w:tcBorders>
              <w:top w:val="single" w:color="auto" w:sz="4" w:space="0"/>
              <w:left w:val="nil"/>
              <w:bottom w:val="single" w:color="auto" w:sz="4" w:space="0"/>
              <w:right w:val="single" w:color="auto"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雪泉</w:t>
            </w:r>
          </w:p>
        </w:tc>
        <w:tc>
          <w:tcPr>
            <w:tcW w:w="1325"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2670</w:t>
            </w:r>
          </w:p>
        </w:tc>
        <w:tc>
          <w:tcPr>
            <w:tcW w:w="678" w:type="dxa"/>
            <w:tcBorders>
              <w:top w:val="single" w:color="000000" w:sz="4" w:space="0"/>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梅泉书院(书院区）</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1844</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西山公园</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36143.55</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南门广场</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1654.08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鹿溪广场</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1480.3</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西山粮仓</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1193.77</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须女泉</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695</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月季节点（西山路）</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590.22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西入城口（月季组团节点）</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278.84</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tcBorders>
              <w:top w:val="nil"/>
              <w:left w:val="single" w:color="000000" w:sz="4" w:space="0"/>
              <w:bottom w:val="nil"/>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 xml:space="preserve">48311.17 </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二级绿地</w:t>
            </w: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梅泉书院（其它）</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23544.2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原西山花海</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42792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文化广场</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9772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西山路</w:t>
            </w:r>
          </w:p>
        </w:tc>
        <w:tc>
          <w:tcPr>
            <w:tcW w:w="1325"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1975.1</w:t>
            </w:r>
          </w:p>
        </w:tc>
        <w:tc>
          <w:tcPr>
            <w:tcW w:w="678" w:type="dxa"/>
            <w:tcBorders>
              <w:top w:val="nil"/>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鹿溪南路</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543.15</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single" w:color="auto" w:sz="4" w:space="0"/>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w:t>
            </w:r>
          </w:p>
        </w:tc>
        <w:tc>
          <w:tcPr>
            <w:tcW w:w="1325" w:type="dxa"/>
            <w:tcBorders>
              <w:top w:val="single" w:color="auto" w:sz="4" w:space="0"/>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98.26</w:t>
            </w:r>
          </w:p>
        </w:tc>
        <w:tc>
          <w:tcPr>
            <w:tcW w:w="678" w:type="dxa"/>
            <w:tcBorders>
              <w:top w:val="single" w:color="auto" w:sz="4" w:space="0"/>
              <w:left w:val="nil"/>
              <w:bottom w:val="single" w:color="000000"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环城西路（城中路以南，西山路入口+老土特产前）</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583.7</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美食城电影城景观配套</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1278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江山市西山景观草坪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3700.79</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nil"/>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航埠山路</w:t>
            </w:r>
          </w:p>
        </w:tc>
        <w:tc>
          <w:tcPr>
            <w:tcW w:w="1325" w:type="dxa"/>
            <w:tcBorders>
              <w:top w:val="nil"/>
              <w:left w:val="nil"/>
              <w:bottom w:val="nil"/>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657.69</w:t>
            </w:r>
          </w:p>
        </w:tc>
        <w:tc>
          <w:tcPr>
            <w:tcW w:w="678" w:type="dxa"/>
            <w:tcBorders>
              <w:top w:val="nil"/>
              <w:left w:val="nil"/>
              <w:bottom w:val="nil"/>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南市街</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179.05</w:t>
            </w:r>
          </w:p>
        </w:tc>
        <w:tc>
          <w:tcPr>
            <w:tcW w:w="678" w:type="dxa"/>
            <w:tcBorders>
              <w:top w:val="single" w:color="auto" w:sz="4" w:space="0"/>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南门路环城西路交通岛</w:t>
            </w:r>
          </w:p>
        </w:tc>
        <w:tc>
          <w:tcPr>
            <w:tcW w:w="1325"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231.32</w:t>
            </w:r>
          </w:p>
        </w:tc>
        <w:tc>
          <w:tcPr>
            <w:tcW w:w="678" w:type="dxa"/>
            <w:tcBorders>
              <w:top w:val="nil"/>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85355.26</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三级绿地</w:t>
            </w: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协里溪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4090</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江滨路防洪堤（城中路至景星东路）</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2614</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江滨东路（景星东路-城中路）</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6490.8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鹿溪渠绿地（城中路-环城南路）城中路口</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568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协里溪南侧</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1448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西山路边坡</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9790.9</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西入城口</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101993.36</w:t>
            </w:r>
          </w:p>
        </w:tc>
        <w:tc>
          <w:tcPr>
            <w:tcW w:w="678" w:type="dxa"/>
            <w:tcBorders>
              <w:top w:val="nil"/>
              <w:left w:val="nil"/>
              <w:bottom w:val="single" w:color="000000" w:sz="4" w:space="0"/>
              <w:right w:val="single" w:color="000000" w:sz="4" w:space="0"/>
            </w:tcBorders>
            <w:shd w:val="clear" w:color="auto" w:fill="auto"/>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天主教堂</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430</w:t>
            </w:r>
          </w:p>
        </w:tc>
        <w:tc>
          <w:tcPr>
            <w:tcW w:w="678" w:type="dxa"/>
            <w:tcBorders>
              <w:top w:val="nil"/>
              <w:left w:val="nil"/>
              <w:bottom w:val="single" w:color="000000" w:sz="4" w:space="0"/>
              <w:right w:val="single" w:color="000000" w:sz="4" w:space="0"/>
            </w:tcBorders>
            <w:shd w:val="clear" w:color="auto" w:fill="auto"/>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西入城口草坪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23956.59</w:t>
            </w:r>
          </w:p>
        </w:tc>
        <w:tc>
          <w:tcPr>
            <w:tcW w:w="678" w:type="dxa"/>
            <w:tcBorders>
              <w:top w:val="nil"/>
              <w:left w:val="nil"/>
              <w:bottom w:val="single" w:color="000000" w:sz="4" w:space="0"/>
              <w:right w:val="single" w:color="000000" w:sz="4" w:space="0"/>
            </w:tcBorders>
            <w:shd w:val="clear" w:color="auto" w:fill="auto"/>
          </w:tcPr>
          <w:p>
            <w:pPr>
              <w:jc w:val="center"/>
              <w:rPr>
                <w:rFonts w:ascii="宋体" w:hAnsi="宋体" w:cs="宋体"/>
                <w:sz w:val="18"/>
                <w:szCs w:val="18"/>
              </w:rPr>
            </w:pPr>
            <w:r>
              <w:rPr>
                <w:rFonts w:hint="eastAsia"/>
                <w:sz w:val="18"/>
                <w:szCs w:val="18"/>
              </w:rPr>
              <w:t>不播草籽</w:t>
            </w:r>
          </w:p>
        </w:tc>
      </w:tr>
      <w:tr>
        <w:tblPrEx>
          <w:tblCellMar>
            <w:top w:w="0" w:type="dxa"/>
            <w:left w:w="108" w:type="dxa"/>
            <w:bottom w:w="0" w:type="dxa"/>
            <w:right w:w="108" w:type="dxa"/>
          </w:tblCellMar>
        </w:tblPrEx>
        <w:trPr>
          <w:trHeight w:val="20" w:hRule="atLeast"/>
        </w:trPr>
        <w:tc>
          <w:tcPr>
            <w:tcW w:w="1172" w:type="dxa"/>
            <w:tcBorders>
              <w:top w:val="nil"/>
              <w:left w:val="single" w:color="000000" w:sz="4" w:space="0"/>
              <w:bottom w:val="nil"/>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5224"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 xml:space="preserve">151381.65 </w:t>
            </w:r>
          </w:p>
        </w:tc>
        <w:tc>
          <w:tcPr>
            <w:tcW w:w="678" w:type="dxa"/>
            <w:tcBorders>
              <w:top w:val="nil"/>
              <w:left w:val="nil"/>
              <w:bottom w:val="single" w:color="000000" w:sz="4" w:space="0"/>
              <w:right w:val="single" w:color="000000" w:sz="4" w:space="0"/>
            </w:tcBorders>
            <w:shd w:val="clear" w:color="auto" w:fill="auto"/>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时花</w:t>
            </w: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鹿溪南路草花（城中路——环城南路)</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33.25</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文化广场</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85.97</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文化广场鹿溪路对面花箱</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3.52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鹿溪南路花箱</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10.08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南门路草花</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32.96</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tcBorders>
              <w:top w:val="nil"/>
              <w:left w:val="single" w:color="auto" w:sz="4" w:space="0"/>
              <w:bottom w:val="nil"/>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5224" w:type="dxa"/>
            <w:tcBorders>
              <w:top w:val="nil"/>
              <w:left w:val="nil"/>
              <w:bottom w:val="nil"/>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165.78</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adjustRightInd/>
              <w:jc w:val="center"/>
              <w:rPr>
                <w:rFonts w:ascii="宋体" w:hAnsi="宋体" w:cs="宋体"/>
                <w:kern w:val="0"/>
                <w:sz w:val="22"/>
                <w:szCs w:val="22"/>
              </w:rPr>
            </w:pPr>
          </w:p>
          <w:p>
            <w:pPr>
              <w:widowControl/>
              <w:adjustRightInd/>
              <w:jc w:val="center"/>
              <w:rPr>
                <w:rFonts w:ascii="宋体" w:hAnsi="宋体" w:cs="宋体"/>
                <w:kern w:val="0"/>
                <w:sz w:val="22"/>
                <w:szCs w:val="22"/>
              </w:rPr>
            </w:pPr>
          </w:p>
          <w:p>
            <w:pPr>
              <w:widowControl/>
              <w:adjustRightInd/>
              <w:jc w:val="center"/>
              <w:rPr>
                <w:rFonts w:ascii="宋体" w:hAnsi="宋体" w:cs="宋体"/>
                <w:kern w:val="0"/>
                <w:sz w:val="22"/>
                <w:szCs w:val="22"/>
              </w:rPr>
            </w:pPr>
          </w:p>
          <w:p>
            <w:pPr>
              <w:widowControl/>
              <w:adjustRightInd/>
              <w:jc w:val="center"/>
              <w:rPr>
                <w:rFonts w:ascii="宋体" w:hAnsi="宋体" w:cs="宋体"/>
                <w:kern w:val="0"/>
                <w:sz w:val="22"/>
                <w:szCs w:val="22"/>
              </w:rPr>
            </w:pPr>
            <w:r>
              <w:rPr>
                <w:rFonts w:hint="eastAsia" w:ascii="宋体" w:hAnsi="宋体" w:cs="宋体"/>
                <w:kern w:val="0"/>
                <w:sz w:val="22"/>
                <w:szCs w:val="22"/>
              </w:rPr>
              <w:t>混播草坪</w:t>
            </w:r>
          </w:p>
        </w:tc>
        <w:tc>
          <w:tcPr>
            <w:tcW w:w="5224"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梅泉混播草坪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1000</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西山粮仓草坪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2010.12</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西山路混播草坪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500</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原西山花海草坪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31341</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南门广场混播草坪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1035.7</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须女泉混播草坪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1392.66</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江滨南路（江津路-景星东路）混播草坪</w:t>
            </w:r>
          </w:p>
        </w:tc>
        <w:tc>
          <w:tcPr>
            <w:tcW w:w="132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955.46</w:t>
            </w:r>
          </w:p>
        </w:tc>
        <w:tc>
          <w:tcPr>
            <w:tcW w:w="678" w:type="dxa"/>
            <w:tcBorders>
              <w:top w:val="nil"/>
              <w:left w:val="nil"/>
              <w:bottom w:val="single" w:color="000000" w:sz="4" w:space="0"/>
              <w:right w:val="single" w:color="000000" w:sz="4" w:space="0"/>
            </w:tcBorders>
          </w:tcPr>
          <w:p>
            <w:pPr>
              <w:widowControl/>
              <w:adjustRightInd/>
              <w:jc w:val="center"/>
              <w:rPr>
                <w:rFonts w:ascii="宋体" w:hAnsi="宋体" w:cs="宋体"/>
                <w:kern w:val="0"/>
                <w:sz w:val="20"/>
                <w:szCs w:val="20"/>
              </w:rPr>
            </w:pPr>
          </w:p>
        </w:tc>
      </w:tr>
      <w:tr>
        <w:tblPrEx>
          <w:tblCellMar>
            <w:top w:w="0" w:type="dxa"/>
            <w:left w:w="108" w:type="dxa"/>
            <w:bottom w:w="0" w:type="dxa"/>
            <w:right w:w="108" w:type="dxa"/>
          </w:tblCellMar>
        </w:tblPrEx>
        <w:trPr>
          <w:trHeight w:val="20"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224"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南门路环城西路交通岛混播草坪</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561.24</w:t>
            </w:r>
          </w:p>
        </w:tc>
        <w:tc>
          <w:tcPr>
            <w:tcW w:w="678" w:type="dxa"/>
            <w:tcBorders>
              <w:top w:val="single" w:color="auto" w:sz="4" w:space="0"/>
              <w:left w:val="nil"/>
              <w:bottom w:val="single" w:color="auto" w:sz="4" w:space="0"/>
              <w:right w:val="single" w:color="auto" w:sz="4" w:space="0"/>
            </w:tcBorders>
          </w:tcPr>
          <w:p>
            <w:pPr>
              <w:widowControl/>
              <w:adjustRightInd/>
              <w:jc w:val="center"/>
              <w:rPr>
                <w:rFonts w:ascii="宋体" w:hAnsi="宋体" w:cs="宋体"/>
                <w:kern w:val="0"/>
                <w:sz w:val="22"/>
                <w:szCs w:val="22"/>
              </w:rPr>
            </w:pPr>
          </w:p>
        </w:tc>
      </w:tr>
      <w:tr>
        <w:tblPrEx>
          <w:tblCellMar>
            <w:top w:w="0" w:type="dxa"/>
            <w:left w:w="108" w:type="dxa"/>
            <w:bottom w:w="0" w:type="dxa"/>
            <w:right w:w="108" w:type="dxa"/>
          </w:tblCellMar>
        </w:tblPrEx>
        <w:trPr>
          <w:trHeight w:val="20"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小计</w:t>
            </w:r>
          </w:p>
        </w:tc>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38796.18</w:t>
            </w:r>
          </w:p>
        </w:tc>
        <w:tc>
          <w:tcPr>
            <w:tcW w:w="678" w:type="dxa"/>
            <w:tcBorders>
              <w:top w:val="single" w:color="000000" w:sz="4" w:space="0"/>
              <w:left w:val="single" w:color="auto" w:sz="4" w:space="0"/>
              <w:bottom w:val="single" w:color="000000" w:sz="4" w:space="0"/>
              <w:right w:val="single" w:color="000000" w:sz="4" w:space="0"/>
            </w:tcBorders>
          </w:tcPr>
          <w:p>
            <w:pPr>
              <w:widowControl/>
              <w:adjustRightInd/>
              <w:jc w:val="center"/>
              <w:rPr>
                <w:rFonts w:ascii="宋体" w:hAnsi="宋体" w:cs="宋体"/>
                <w:b/>
                <w:bCs/>
                <w:kern w:val="0"/>
                <w:sz w:val="22"/>
                <w:szCs w:val="22"/>
              </w:rPr>
            </w:pPr>
          </w:p>
        </w:tc>
      </w:tr>
      <w:tr>
        <w:tblPrEx>
          <w:tblCellMar>
            <w:top w:w="0" w:type="dxa"/>
            <w:left w:w="108" w:type="dxa"/>
            <w:bottom w:w="0" w:type="dxa"/>
            <w:right w:w="108" w:type="dxa"/>
          </w:tblCellMar>
        </w:tblPrEx>
        <w:trPr>
          <w:trHeight w:val="20"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合计</w:t>
            </w:r>
          </w:p>
        </w:tc>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sz w:val="22"/>
                <w:szCs w:val="22"/>
              </w:rPr>
            </w:pPr>
            <w:r>
              <w:rPr>
                <w:rFonts w:hint="eastAsia"/>
                <w:b/>
                <w:bCs/>
                <w:sz w:val="22"/>
                <w:szCs w:val="22"/>
              </w:rPr>
              <w:t>324010.04</w:t>
            </w:r>
          </w:p>
        </w:tc>
        <w:tc>
          <w:tcPr>
            <w:tcW w:w="678" w:type="dxa"/>
            <w:tcBorders>
              <w:top w:val="single" w:color="000000" w:sz="4" w:space="0"/>
              <w:left w:val="single" w:color="auto" w:sz="4" w:space="0"/>
              <w:bottom w:val="single" w:color="000000" w:sz="4" w:space="0"/>
              <w:right w:val="single" w:color="000000" w:sz="4" w:space="0"/>
            </w:tcBorders>
          </w:tcPr>
          <w:p>
            <w:pPr>
              <w:widowControl/>
              <w:adjustRightInd/>
              <w:jc w:val="center"/>
              <w:rPr>
                <w:rFonts w:ascii="宋体" w:hAnsi="宋体" w:cs="宋体"/>
                <w:b/>
                <w:bCs/>
                <w:kern w:val="0"/>
                <w:sz w:val="22"/>
                <w:szCs w:val="22"/>
              </w:rPr>
            </w:pP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标项三</w:t>
      </w:r>
    </w:p>
    <w:tbl>
      <w:tblPr>
        <w:tblStyle w:val="62"/>
        <w:tblW w:w="7989" w:type="dxa"/>
        <w:tblInd w:w="96" w:type="dxa"/>
        <w:tblLayout w:type="autofit"/>
        <w:tblCellMar>
          <w:top w:w="0" w:type="dxa"/>
          <w:left w:w="108" w:type="dxa"/>
          <w:bottom w:w="0" w:type="dxa"/>
          <w:right w:w="108" w:type="dxa"/>
        </w:tblCellMar>
      </w:tblPr>
      <w:tblGrid>
        <w:gridCol w:w="1140"/>
        <w:gridCol w:w="5196"/>
        <w:gridCol w:w="1653"/>
      </w:tblGrid>
      <w:tr>
        <w:tblPrEx>
          <w:tblCellMar>
            <w:top w:w="0" w:type="dxa"/>
            <w:left w:w="108" w:type="dxa"/>
            <w:bottom w:w="0" w:type="dxa"/>
            <w:right w:w="108" w:type="dxa"/>
          </w:tblCellMar>
        </w:tblPrEx>
        <w:trPr>
          <w:trHeight w:val="20"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范围</w:t>
            </w:r>
          </w:p>
        </w:tc>
        <w:tc>
          <w:tcPr>
            <w:tcW w:w="68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城中路——北环路</w:t>
            </w:r>
          </w:p>
        </w:tc>
      </w:tr>
      <w:tr>
        <w:tblPrEx>
          <w:tblCellMar>
            <w:top w:w="0" w:type="dxa"/>
            <w:left w:w="108" w:type="dxa"/>
            <w:bottom w:w="0" w:type="dxa"/>
            <w:right w:w="108" w:type="dxa"/>
          </w:tblCellMar>
        </w:tblPrEx>
        <w:trPr>
          <w:trHeight w:val="20" w:hRule="atLeast"/>
        </w:trPr>
        <w:tc>
          <w:tcPr>
            <w:tcW w:w="1140" w:type="dxa"/>
            <w:tcBorders>
              <w:top w:val="single" w:color="auto" w:sz="4" w:space="0"/>
              <w:left w:val="single" w:color="000000" w:sz="4" w:space="0"/>
              <w:bottom w:val="nil"/>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级别</w:t>
            </w:r>
          </w:p>
        </w:tc>
        <w:tc>
          <w:tcPr>
            <w:tcW w:w="5196" w:type="dxa"/>
            <w:tcBorders>
              <w:top w:val="single" w:color="auto"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地点</w:t>
            </w: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面积</w:t>
            </w:r>
          </w:p>
        </w:tc>
      </w:tr>
      <w:tr>
        <w:tblPrEx>
          <w:tblCellMar>
            <w:top w:w="0" w:type="dxa"/>
            <w:left w:w="108" w:type="dxa"/>
            <w:bottom w:w="0" w:type="dxa"/>
            <w:right w:w="108" w:type="dxa"/>
          </w:tblCellMar>
        </w:tblPrEx>
        <w:trPr>
          <w:trHeight w:val="20"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一级绿地</w:t>
            </w: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市政府</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3225.78</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须江公园</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20887.71</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须江公园扩建区</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5782.75</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矛调中心花箱无数据</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7.92</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东入城口（南）</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2536.75</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东入城口（北）</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1197.9</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东接线</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4833.3</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凝秀南路（北泉街——北环路）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6663</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住建局</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571.67</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蜜蜂广场（不含停车场）</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12937.8</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须江东侧防洪堤（北关路-北环路）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2449.2</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须江西侧防洪堤（北关路——北环路）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2018.77</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nil"/>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月季节点（江东大道北环路三角花坛）</w:t>
            </w:r>
          </w:p>
        </w:tc>
        <w:tc>
          <w:tcPr>
            <w:tcW w:w="1653" w:type="dxa"/>
            <w:tcBorders>
              <w:top w:val="nil"/>
              <w:left w:val="nil"/>
              <w:bottom w:val="nil"/>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393.89</w:t>
            </w:r>
          </w:p>
        </w:tc>
      </w:tr>
      <w:tr>
        <w:tblPrEx>
          <w:tblCellMar>
            <w:top w:w="0" w:type="dxa"/>
            <w:left w:w="108" w:type="dxa"/>
            <w:bottom w:w="0" w:type="dxa"/>
            <w:right w:w="108" w:type="dxa"/>
          </w:tblCellMar>
        </w:tblPrEx>
        <w:trPr>
          <w:trHeight w:val="20"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小计</w:t>
            </w:r>
          </w:p>
        </w:tc>
        <w:tc>
          <w:tcPr>
            <w:tcW w:w="51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63506.44</w:t>
            </w:r>
          </w:p>
        </w:tc>
      </w:tr>
      <w:tr>
        <w:tblPrEx>
          <w:tblCellMar>
            <w:top w:w="0" w:type="dxa"/>
            <w:left w:w="108" w:type="dxa"/>
            <w:bottom w:w="0" w:type="dxa"/>
            <w:right w:w="108" w:type="dxa"/>
          </w:tblCellMar>
        </w:tblPrEx>
        <w:trPr>
          <w:trHeight w:val="20" w:hRule="atLeast"/>
        </w:trPr>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二级绿地</w:t>
            </w: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县前社区前三角花坛无数据</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389.93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体育馆</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293.88</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游览桥</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149.7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北关路江东大道小游园</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1441.41</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北关大桥小游园</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5732.79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江东大道北关路以南侧分带</w:t>
            </w:r>
          </w:p>
        </w:tc>
        <w:tc>
          <w:tcPr>
            <w:tcW w:w="165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294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西塘</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345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蜜蜂广场（停车场）</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876.51</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乌木山公园</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16096.3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北环路（江滨北-鹿溪北）</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781.58</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乌木山庄墙围底（东、南)</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911.77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鹿来山庄围墙底（西侧、东侧、南侧）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1417.83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湖畔山庄西侧围墙底</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543.4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达岭溪（礼贤路——北环路）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14138.07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须江公园二级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43102.55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凤栖苑游园（燃气公司东侧）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4401.62</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江滨路（城中路至中山路）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6957.6</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江滨路（中山路至北关路）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12446.13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江滨路（北关路——北环路）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25297.65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江滨路（北关路-北环路）合行，门口侧分带</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163.9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江滨路防洪堤（城中路至中山路）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1322.14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江滨路防洪堤（中山路至北关路）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1491.64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江滨东路防洪堤（城中路-北关路）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619.89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江滨东路（城中路-北关路）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5935.51</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江滨东路西侧绿地（北关路-北环路）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14478.56</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鹿溪南路（城中路——中山路）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668.92</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鹿溪北路道路中分带（北泉街-书院路）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178.67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鹿溪北路道路中分带（书院路-北环路）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748.46</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鹿溪北路道路花箱（北泉街-书院路）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32.3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鹿溪北路鹿溪渠东侧（北泉街-书院路）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576.07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鹿溪北路鹿溪渠东侧（书院路-北环路）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1070.25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北关路（大润发——鹿溪北路）含交通岛</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891.06</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江东大道北关路口（以北段）</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399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凝秀南路环城西路北侧原有绿化</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1294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凝秀南路（环城西路——北泉街)</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667.09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江城北路（江城菜场北侧）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667.51</w:t>
            </w:r>
          </w:p>
        </w:tc>
      </w:tr>
      <w:tr>
        <w:tblPrEx>
          <w:tblCellMar>
            <w:top w:w="0" w:type="dxa"/>
            <w:left w:w="108" w:type="dxa"/>
            <w:bottom w:w="0" w:type="dxa"/>
            <w:right w:w="108" w:type="dxa"/>
          </w:tblCellMar>
        </w:tblPrEx>
        <w:trPr>
          <w:trHeight w:val="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小计</w:t>
            </w: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166822.69</w:t>
            </w:r>
          </w:p>
        </w:tc>
      </w:tr>
      <w:tr>
        <w:tblPrEx>
          <w:tblCellMar>
            <w:top w:w="0" w:type="dxa"/>
            <w:left w:w="108" w:type="dxa"/>
            <w:bottom w:w="0" w:type="dxa"/>
            <w:right w:w="108" w:type="dxa"/>
          </w:tblCellMar>
        </w:tblPrEx>
        <w:trPr>
          <w:trHeight w:val="20" w:hRule="atLeast"/>
        </w:trPr>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三级绿地</w:t>
            </w: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矛调中心对面三角花坛无数据</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64.59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北关桥东浮雕上方绿化</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682.62</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原城北广场南侧管理用房绿化</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261.19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鹿溪渠绿地（城中路-北关路）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1376</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鹿溪渠绿地（北泉街-北环路）</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1077.093</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文景苑花坛（含草坪）</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429</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须江公园山体</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94247.67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安居路（阳光新城东侧围墙底）</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962.5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安居路东侧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1830.4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涌金山庄（南侧绿地+西侧围墙底）</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1676.25</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北环路实验中学北侧</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288</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鹿鸣山庄围墙底（南、西）</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495.2</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牛头岭柏悦酒店旁</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630.27</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牛头岭小区东、南侧围墙外绿化</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648.41</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牛头岭S315</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9522.04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书院里大香樟花坛</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1190</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紫荆园外围</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2490.54</w:t>
            </w:r>
          </w:p>
        </w:tc>
      </w:tr>
      <w:tr>
        <w:tblPrEx>
          <w:tblCellMar>
            <w:top w:w="0" w:type="dxa"/>
            <w:left w:w="108" w:type="dxa"/>
            <w:bottom w:w="0" w:type="dxa"/>
            <w:right w:w="108" w:type="dxa"/>
          </w:tblCellMar>
        </w:tblPrEx>
        <w:trPr>
          <w:trHeight w:val="20" w:hRule="atLeast"/>
        </w:trPr>
        <w:tc>
          <w:tcPr>
            <w:tcW w:w="114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江城北路（供电局围墙底）</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68.6</w:t>
            </w:r>
          </w:p>
        </w:tc>
      </w:tr>
      <w:tr>
        <w:tblPrEx>
          <w:tblCellMar>
            <w:top w:w="0" w:type="dxa"/>
            <w:left w:w="108" w:type="dxa"/>
            <w:bottom w:w="0" w:type="dxa"/>
            <w:right w:w="108" w:type="dxa"/>
          </w:tblCellMar>
        </w:tblPrEx>
        <w:trPr>
          <w:trHeight w:val="20" w:hRule="atLeast"/>
        </w:trPr>
        <w:tc>
          <w:tcPr>
            <w:tcW w:w="1140" w:type="dxa"/>
            <w:tcBorders>
              <w:top w:val="nil"/>
              <w:left w:val="single" w:color="000000" w:sz="4" w:space="0"/>
              <w:bottom w:val="nil"/>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小计</w:t>
            </w: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 xml:space="preserve">117940.37 </w:t>
            </w:r>
          </w:p>
        </w:tc>
      </w:tr>
      <w:tr>
        <w:tblPrEx>
          <w:tblCellMar>
            <w:top w:w="0" w:type="dxa"/>
            <w:left w:w="108" w:type="dxa"/>
            <w:bottom w:w="0" w:type="dxa"/>
            <w:right w:w="108" w:type="dxa"/>
          </w:tblCellMar>
        </w:tblPrEx>
        <w:trPr>
          <w:trHeight w:val="20" w:hRule="atLeast"/>
        </w:trPr>
        <w:tc>
          <w:tcPr>
            <w:tcW w:w="114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时花</w:t>
            </w: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市政府内</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164.26</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江城北路与江滨路口</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36.28</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游览桥头</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23.2</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4"/>
              </w:rPr>
            </w:pPr>
            <w:r>
              <w:rPr>
                <w:rFonts w:hint="eastAsia" w:ascii="宋体" w:hAnsi="宋体" w:cs="宋体"/>
                <w:kern w:val="0"/>
                <w:sz w:val="24"/>
              </w:rPr>
              <w:t>须江公园西门</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66.7</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凝秀南路（北泉街——北环路）时花</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275.49</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住建局时花</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11.14</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nil"/>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城北桥头（西）</w:t>
            </w:r>
          </w:p>
        </w:tc>
        <w:tc>
          <w:tcPr>
            <w:tcW w:w="165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87.97 </w:t>
            </w:r>
          </w:p>
        </w:tc>
      </w:tr>
      <w:tr>
        <w:tblPrEx>
          <w:tblCellMar>
            <w:top w:w="0" w:type="dxa"/>
            <w:left w:w="108" w:type="dxa"/>
            <w:bottom w:w="0" w:type="dxa"/>
            <w:right w:w="108" w:type="dxa"/>
          </w:tblCellMar>
        </w:tblPrEx>
        <w:trPr>
          <w:trHeight w:val="20" w:hRule="atLeast"/>
        </w:trPr>
        <w:tc>
          <w:tcPr>
            <w:tcW w:w="11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小计</w:t>
            </w:r>
          </w:p>
        </w:tc>
        <w:tc>
          <w:tcPr>
            <w:tcW w:w="5196" w:type="dxa"/>
            <w:tcBorders>
              <w:top w:val="nil"/>
              <w:left w:val="nil"/>
              <w:bottom w:val="single" w:color="auto" w:sz="4" w:space="0"/>
              <w:right w:val="single" w:color="000000"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665.04</w:t>
            </w:r>
          </w:p>
        </w:tc>
      </w:tr>
      <w:tr>
        <w:tblPrEx>
          <w:tblCellMar>
            <w:top w:w="0" w:type="dxa"/>
            <w:left w:w="108" w:type="dxa"/>
            <w:bottom w:w="0" w:type="dxa"/>
            <w:right w:w="108" w:type="dxa"/>
          </w:tblCellMar>
        </w:tblPrEx>
        <w:trPr>
          <w:trHeight w:val="20"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混播草坪</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凝秀南路(环城西路——北泉街）混播草坪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5692.77</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凝秀南路（北泉街——北环路）混播草坪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819</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东入城口混播草坪（南）</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2222.37</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东入城口混播草坪（北）</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1613.69</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须江公园混播草坪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3677.41</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市政府混播草坪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3410.65</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625.05</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鹿溪北路（北泉街-书院路）混播草坪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245.95</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鹿溪北路（书院路-北环路）混播草坪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412.69</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北环路（江滨路-鹿溪北路）混播草坪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239.6</w:t>
            </w:r>
          </w:p>
        </w:tc>
      </w:tr>
      <w:tr>
        <w:tblPrEx>
          <w:tblCellMar>
            <w:top w:w="0" w:type="dxa"/>
            <w:left w:w="108" w:type="dxa"/>
            <w:bottom w:w="0" w:type="dxa"/>
            <w:right w:w="108" w:type="dxa"/>
          </w:tblCellMar>
        </w:tblPrEx>
        <w:trPr>
          <w:trHeight w:val="2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kern w:val="0"/>
                <w:sz w:val="22"/>
                <w:szCs w:val="22"/>
              </w:rPr>
            </w:pPr>
          </w:p>
        </w:tc>
        <w:tc>
          <w:tcPr>
            <w:tcW w:w="5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江滨路（北关路-北环路）混播草坪</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33.3</w:t>
            </w:r>
          </w:p>
        </w:tc>
      </w:tr>
      <w:tr>
        <w:tblPrEx>
          <w:tblCellMar>
            <w:top w:w="0" w:type="dxa"/>
            <w:left w:w="108" w:type="dxa"/>
            <w:bottom w:w="0" w:type="dxa"/>
            <w:right w:w="108" w:type="dxa"/>
          </w:tblCellMar>
        </w:tblPrEx>
        <w:trPr>
          <w:trHeight w:val="20"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小计</w:t>
            </w:r>
          </w:p>
        </w:tc>
        <w:tc>
          <w:tcPr>
            <w:tcW w:w="51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18992.48</w:t>
            </w:r>
          </w:p>
        </w:tc>
      </w:tr>
      <w:tr>
        <w:tblPrEx>
          <w:tblCellMar>
            <w:top w:w="0" w:type="dxa"/>
            <w:left w:w="108" w:type="dxa"/>
            <w:bottom w:w="0" w:type="dxa"/>
            <w:right w:w="108" w:type="dxa"/>
          </w:tblCellMar>
        </w:tblPrEx>
        <w:trPr>
          <w:trHeight w:val="20"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51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65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2"/>
                <w:szCs w:val="22"/>
              </w:rPr>
            </w:pPr>
            <w:r>
              <w:rPr>
                <w:rFonts w:hint="eastAsia"/>
                <w:b/>
                <w:bCs/>
                <w:sz w:val="22"/>
                <w:szCs w:val="22"/>
              </w:rPr>
              <w:t>367927.023</w:t>
            </w: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标项四</w:t>
      </w:r>
    </w:p>
    <w:tbl>
      <w:tblPr>
        <w:tblStyle w:val="62"/>
        <w:tblW w:w="8798" w:type="dxa"/>
        <w:tblInd w:w="0" w:type="dxa"/>
        <w:tblLayout w:type="autofit"/>
        <w:tblCellMar>
          <w:top w:w="0" w:type="dxa"/>
          <w:left w:w="0" w:type="dxa"/>
          <w:bottom w:w="0" w:type="dxa"/>
          <w:right w:w="0" w:type="dxa"/>
        </w:tblCellMar>
      </w:tblPr>
      <w:tblGrid>
        <w:gridCol w:w="1080"/>
        <w:gridCol w:w="4940"/>
        <w:gridCol w:w="1648"/>
        <w:gridCol w:w="1130"/>
      </w:tblGrid>
      <w:tr>
        <w:tblPrEx>
          <w:tblCellMar>
            <w:top w:w="0" w:type="dxa"/>
            <w:left w:w="0" w:type="dxa"/>
            <w:bottom w:w="0" w:type="dxa"/>
            <w:right w:w="0"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范围</w:t>
            </w:r>
          </w:p>
        </w:tc>
        <w:tc>
          <w:tcPr>
            <w:tcW w:w="6588" w:type="dxa"/>
            <w:gridSpan w:val="2"/>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北环路——站前大道</w:t>
            </w:r>
          </w:p>
        </w:tc>
        <w:tc>
          <w:tcPr>
            <w:tcW w:w="1130" w:type="dxa"/>
            <w:tcBorders>
              <w:top w:val="single" w:color="auto" w:sz="4" w:space="0"/>
              <w:left w:val="single" w:color="auto" w:sz="4" w:space="0"/>
              <w:bottom w:val="single" w:color="auto" w:sz="4" w:space="0"/>
              <w:right w:val="single" w:color="auto"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级别</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地点</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面积</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r>
              <w:rPr>
                <w:rFonts w:hint="eastAsia"/>
                <w:b/>
                <w:bCs/>
                <w:sz w:val="22"/>
                <w:szCs w:val="22"/>
              </w:rPr>
              <w:t>备注</w:t>
            </w: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一级绿地</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湿地公园</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21624.2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须江西侧防洪堤（北环路——电站）</w:t>
            </w:r>
          </w:p>
        </w:tc>
        <w:tc>
          <w:tcPr>
            <w:tcW w:w="1648" w:type="dxa"/>
            <w:tcBorders>
              <w:top w:val="nil"/>
              <w:left w:val="single" w:color="auto" w:sz="4" w:space="0"/>
              <w:bottom w:val="nil"/>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1207.15</w:t>
            </w:r>
          </w:p>
        </w:tc>
        <w:tc>
          <w:tcPr>
            <w:tcW w:w="1130" w:type="dxa"/>
            <w:tcBorders>
              <w:top w:val="nil"/>
              <w:left w:val="single" w:color="auto" w:sz="4" w:space="0"/>
              <w:bottom w:val="nil"/>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nil"/>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须江东侧防洪堤（城北大桥——杨梅溪）</w:t>
            </w:r>
          </w:p>
        </w:tc>
        <w:tc>
          <w:tcPr>
            <w:tcW w:w="1648"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837.2</w:t>
            </w:r>
          </w:p>
        </w:tc>
        <w:tc>
          <w:tcPr>
            <w:tcW w:w="1130" w:type="dxa"/>
            <w:tcBorders>
              <w:top w:val="single" w:color="auto" w:sz="4" w:space="0"/>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江滨北路交通局围墙外（茶梅）</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166.78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Cs w:val="21"/>
              </w:rPr>
            </w:pPr>
            <w:r>
              <w:rPr>
                <w:rFonts w:hint="eastAsia"/>
                <w:szCs w:val="21"/>
              </w:rPr>
              <w:t>鹿溪北路道路中分带（北环路-书院路）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748.46</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达岭溪（文苑路——丰足溪）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6178</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社保局外围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1375.05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振辉广场外围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586.83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检察院外围配套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775.01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凝秀南路（北环路——文苑路）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1865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望江广场绣球</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3753.44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39117.12</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二级绿地</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天余菜场周边</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193.58</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江滨路东侧绿地（北环路——文教路）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16476.42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江滨路东侧绿地（文教路以北）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4709.52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须江西侧防洪堤（电站——文教路）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766.82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须江西侧防洪堤（文教路以北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484.92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须江东侧防洪堤（杨梅溪-文教路对面小空地台阶）</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1308.7</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须江东侧防洪堤（文教路对面小空地台阶-中宏御园对面靠安瑞北公厕台阶）</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407.5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江滨北路绿道西侧绿地（北环路——电站）</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405.73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江滨北路绿道西侧绿地（电站——文教路）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896.08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江滨北路绿道西侧绿地（文教路以北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480.08</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江滨北路道路侧分带（交通局段）</w:t>
            </w:r>
          </w:p>
        </w:tc>
        <w:tc>
          <w:tcPr>
            <w:tcW w:w="1648" w:type="dxa"/>
            <w:tcBorders>
              <w:top w:val="nil"/>
              <w:left w:val="single" w:color="auto" w:sz="4" w:space="0"/>
              <w:bottom w:val="nil"/>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191.5</w:t>
            </w:r>
          </w:p>
        </w:tc>
        <w:tc>
          <w:tcPr>
            <w:tcW w:w="1130" w:type="dxa"/>
            <w:tcBorders>
              <w:top w:val="nil"/>
              <w:left w:val="single" w:color="auto" w:sz="4" w:space="0"/>
              <w:bottom w:val="nil"/>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鹿溪渠西（北环路-文苑路）</w:t>
            </w:r>
          </w:p>
        </w:tc>
        <w:tc>
          <w:tcPr>
            <w:tcW w:w="1648"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5096.77</w:t>
            </w:r>
          </w:p>
        </w:tc>
        <w:tc>
          <w:tcPr>
            <w:tcW w:w="1130" w:type="dxa"/>
            <w:tcBorders>
              <w:top w:val="single" w:color="auto" w:sz="4" w:space="0"/>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鹿溪渠东侧绿地（北环路-文苑路）</w:t>
            </w:r>
          </w:p>
        </w:tc>
        <w:tc>
          <w:tcPr>
            <w:tcW w:w="164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2176.6</w:t>
            </w:r>
          </w:p>
        </w:tc>
        <w:tc>
          <w:tcPr>
            <w:tcW w:w="1130" w:type="dxa"/>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鹿溪渠西侧（文苑路——文教路）</w:t>
            </w:r>
          </w:p>
        </w:tc>
        <w:tc>
          <w:tcPr>
            <w:tcW w:w="164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814.81</w:t>
            </w:r>
          </w:p>
        </w:tc>
        <w:tc>
          <w:tcPr>
            <w:tcW w:w="1130" w:type="dxa"/>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鹿溪渠东侧（文苑路——文教路）</w:t>
            </w:r>
          </w:p>
        </w:tc>
        <w:tc>
          <w:tcPr>
            <w:tcW w:w="164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1188</w:t>
            </w:r>
          </w:p>
        </w:tc>
        <w:tc>
          <w:tcPr>
            <w:tcW w:w="1130" w:type="dxa"/>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鹿溪渠西（文教路-站前大道）</w:t>
            </w:r>
          </w:p>
        </w:tc>
        <w:tc>
          <w:tcPr>
            <w:tcW w:w="164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4120.87</w:t>
            </w:r>
          </w:p>
        </w:tc>
        <w:tc>
          <w:tcPr>
            <w:tcW w:w="1130" w:type="dxa"/>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鹿溪渠东（文教路-站前大道）</w:t>
            </w:r>
          </w:p>
        </w:tc>
        <w:tc>
          <w:tcPr>
            <w:tcW w:w="164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1483.88</w:t>
            </w:r>
          </w:p>
        </w:tc>
        <w:tc>
          <w:tcPr>
            <w:tcW w:w="1130" w:type="dxa"/>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鹿溪北路道路绿带（北环路-文苑路）</w:t>
            </w:r>
          </w:p>
        </w:tc>
        <w:tc>
          <w:tcPr>
            <w:tcW w:w="1648" w:type="dxa"/>
            <w:tcBorders>
              <w:top w:val="single" w:color="000000" w:sz="4" w:space="0"/>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1166.27</w:t>
            </w:r>
          </w:p>
        </w:tc>
        <w:tc>
          <w:tcPr>
            <w:tcW w:w="1130" w:type="dxa"/>
            <w:tcBorders>
              <w:top w:val="single" w:color="000000" w:sz="4" w:space="0"/>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鹿溪北路道路绿带（文苑路-文教路）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1167.38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鹿溪北路（文教路-站前大道）</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1930.12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凝秀北路（文苑路-文教路）</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3306.98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凝秀北路（文教路-站前大道）</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3144.21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文教路（鹿溪北中心花坛）</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856.18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站前大道（礼贤路口花坛）</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7476.13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望江广场（测绘图）杨梅溪以南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42782.5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望江广场（测绘图）杨梅溪-文教路对面小空地</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30940.5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望江广场（测绘图）文教路对面小空地-安瑞北公厕</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4765.44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传媒东边围墙底</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525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中宏御园围墙东侧绿地</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240.14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逸西里门口绿地</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238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幼儿成长中心外围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693.02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艺术中心外围绿化</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7914.49</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欧派组团绿化</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1037.68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江中围墙南侧</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926.66</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城北小学围墙外（南、东）</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1692.61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亚龙湾围墙底（西侧、北侧）</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4037</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首府外围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822.48</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冠成学校门口</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316</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悦府、碧桂园四周</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1668.15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星月湾外围（东、南）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422.63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揽月湾外围（南侧）</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325.2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丰足溪幼儿成长中心西侧（丰足溪东岸）</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5412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丰足溪首府西、南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20157</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望府四周</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1465.91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江滨北路（迎宾广场-中宏御园）混播草坪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1417.03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江滨北路道路侧分带（交通局段）混播草坪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29</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鹿溪北路（北环路以北）混播草坪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41.25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鹿溪北路（传媒门口）人行道绿化混播草坪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17.58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188136.32</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三级绿地</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江东大道东侧绿地（城北大桥-安瑞北公厕）</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6766.4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传媒西侧围墙外围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112.22</w:t>
            </w:r>
          </w:p>
        </w:tc>
        <w:tc>
          <w:tcPr>
            <w:tcW w:w="1130" w:type="dxa"/>
            <w:tcBorders>
              <w:top w:val="nil"/>
              <w:left w:val="single" w:color="auto" w:sz="4" w:space="0"/>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国鑫滨江花苑</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466.6</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丰足溪城投段最西侧</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5454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丰足溪揽月湾周边（靠揽月湾侧）</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7445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丰足溪揽月湾北侧对岸</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7838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江中北侧围墙底</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383.11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博瑞明珠城外围配套（东西南北）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3821.5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卫生局外围</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1912.71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城北幼儿园外围配套</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938.1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35137.64</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时花</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文教路花坛</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277.91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凝秀南路（北环路——文苑路）时花</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400.91</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混播草坪</w:t>
            </w: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欧派混播草坪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29492.25</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艺术中心混播草坪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28207.09</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检察院门口混播草坪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1773.39</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悦府、碧桂园四周混播草坪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957.2</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望府周边混播草坪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584.11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星月湾周边混播草坪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234.4</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揽月湾周边混播草坪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505.3</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凝秀南路（北环路——文苑路）混播草坪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761</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13586</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社保局外围混播草坪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640.37</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振辉广场外围混播草坪</w:t>
            </w:r>
          </w:p>
        </w:tc>
        <w:tc>
          <w:tcPr>
            <w:tcW w:w="1648" w:type="dxa"/>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253.28</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940"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鹿溪渠（文苑路-文教路）混播草坪</w:t>
            </w:r>
          </w:p>
        </w:tc>
        <w:tc>
          <w:tcPr>
            <w:tcW w:w="1648" w:type="dxa"/>
            <w:tcBorders>
              <w:top w:val="nil"/>
              <w:left w:val="single" w:color="auto" w:sz="4" w:space="0"/>
              <w:bottom w:val="single" w:color="auto"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1607.56</w:t>
            </w:r>
          </w:p>
        </w:tc>
        <w:tc>
          <w:tcPr>
            <w:tcW w:w="1130" w:type="dxa"/>
            <w:tcBorders>
              <w:top w:val="nil"/>
              <w:left w:val="single" w:color="auto"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648"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78601.95</w:t>
            </w:r>
          </w:p>
        </w:tc>
        <w:tc>
          <w:tcPr>
            <w:tcW w:w="1130" w:type="dxa"/>
            <w:tcBorders>
              <w:top w:val="nil"/>
              <w:left w:val="single" w:color="auto" w:sz="4" w:space="0"/>
              <w:bottom w:val="nil"/>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sz w:val="22"/>
                <w:szCs w:val="22"/>
              </w:rPr>
            </w:pPr>
            <w:r>
              <w:rPr>
                <w:rFonts w:hint="eastAsia"/>
                <w:sz w:val="22"/>
                <w:szCs w:val="22"/>
              </w:rPr>
              <w:t>合计</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sz w:val="22"/>
                <w:szCs w:val="22"/>
              </w:rPr>
            </w:pPr>
          </w:p>
        </w:tc>
        <w:tc>
          <w:tcPr>
            <w:tcW w:w="1648"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341393.94</w:t>
            </w:r>
          </w:p>
        </w:tc>
        <w:tc>
          <w:tcPr>
            <w:tcW w:w="1130" w:type="dxa"/>
            <w:tcBorders>
              <w:top w:val="nil"/>
              <w:left w:val="single" w:color="auto" w:sz="4" w:space="0"/>
              <w:bottom w:val="single" w:color="000000" w:sz="4" w:space="0"/>
              <w:right w:val="single" w:color="000000" w:sz="4" w:space="0"/>
            </w:tcBorders>
          </w:tcPr>
          <w:p>
            <w:pPr>
              <w:jc w:val="center"/>
              <w:rPr>
                <w:b/>
                <w:bCs/>
                <w:sz w:val="22"/>
                <w:szCs w:val="22"/>
              </w:rPr>
            </w:pP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标项五</w:t>
      </w:r>
    </w:p>
    <w:tbl>
      <w:tblPr>
        <w:tblStyle w:val="62"/>
        <w:tblW w:w="8305" w:type="dxa"/>
        <w:tblInd w:w="0" w:type="dxa"/>
        <w:tblLayout w:type="autofit"/>
        <w:tblCellMar>
          <w:top w:w="0" w:type="dxa"/>
          <w:left w:w="0" w:type="dxa"/>
          <w:bottom w:w="0" w:type="dxa"/>
          <w:right w:w="0" w:type="dxa"/>
        </w:tblCellMar>
      </w:tblPr>
      <w:tblGrid>
        <w:gridCol w:w="1080"/>
        <w:gridCol w:w="4120"/>
        <w:gridCol w:w="1760"/>
        <w:gridCol w:w="1345"/>
      </w:tblGrid>
      <w:tr>
        <w:tblPrEx>
          <w:tblCellMar>
            <w:top w:w="0" w:type="dxa"/>
            <w:left w:w="0" w:type="dxa"/>
            <w:bottom w:w="0" w:type="dxa"/>
            <w:right w:w="0" w:type="dxa"/>
          </w:tblCellMar>
        </w:tblPrEx>
        <w:trPr>
          <w:trHeight w:val="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范围</w:t>
            </w:r>
          </w:p>
        </w:tc>
        <w:tc>
          <w:tcPr>
            <w:tcW w:w="5880" w:type="dxa"/>
            <w:gridSpan w:val="2"/>
            <w:tcBorders>
              <w:top w:val="single" w:color="000000" w:sz="4" w:space="0"/>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站前大道以北</w:t>
            </w:r>
          </w:p>
        </w:tc>
        <w:tc>
          <w:tcPr>
            <w:tcW w:w="1345" w:type="dxa"/>
            <w:tcBorders>
              <w:top w:val="single" w:color="000000" w:sz="4" w:space="0"/>
              <w:left w:val="nil"/>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000000" w:sz="4" w:space="0"/>
              <w:bottom w:val="single" w:color="auto"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级别</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地点</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面积</w:t>
            </w:r>
          </w:p>
        </w:tc>
        <w:tc>
          <w:tcPr>
            <w:tcW w:w="0" w:type="auto"/>
            <w:tcBorders>
              <w:top w:val="nil"/>
              <w:left w:val="nil"/>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一级绿地</w:t>
            </w: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船邦文化</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33971.95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亲子公园</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24504</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供电局西侧围墙外（正门以北段）</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500.75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丰足溪站前大道-迎宾大道东侧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10240.82</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nil"/>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迎宾广场（1394.84）</w:t>
            </w:r>
          </w:p>
        </w:tc>
        <w:tc>
          <w:tcPr>
            <w:tcW w:w="0" w:type="auto"/>
            <w:tcBorders>
              <w:top w:val="nil"/>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21415.76</w:t>
            </w:r>
          </w:p>
        </w:tc>
        <w:tc>
          <w:tcPr>
            <w:tcW w:w="0" w:type="auto"/>
            <w:tcBorders>
              <w:top w:val="nil"/>
              <w:left w:val="single" w:color="000000"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迎宾大道西段（客运中心北）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702.88</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小计</w:t>
            </w:r>
          </w:p>
        </w:tc>
        <w:tc>
          <w:tcPr>
            <w:tcW w:w="0" w:type="auto"/>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0" w:type="auto"/>
            <w:tcBorders>
              <w:top w:val="nil"/>
              <w:left w:val="nil"/>
              <w:bottom w:val="single" w:color="000000"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91336.16</w:t>
            </w:r>
          </w:p>
        </w:tc>
        <w:tc>
          <w:tcPr>
            <w:tcW w:w="0" w:type="auto"/>
            <w:tcBorders>
              <w:top w:val="nil"/>
              <w:left w:val="nil"/>
              <w:bottom w:val="single" w:color="000000" w:sz="4" w:space="0"/>
              <w:right w:val="single" w:color="auto"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二级绿地</w:t>
            </w: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站前广场</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26082.56</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交通枢纽周边绿地（东南北）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5495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nil"/>
              <w:right w:val="nil"/>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须江东侧防洪堤（中宏御园对面靠安瑞北公厕台阶-迎宾大道）</w:t>
            </w:r>
          </w:p>
        </w:tc>
        <w:tc>
          <w:tcPr>
            <w:tcW w:w="0" w:type="auto"/>
            <w:tcBorders>
              <w:top w:val="nil"/>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1562.8</w:t>
            </w:r>
          </w:p>
        </w:tc>
        <w:tc>
          <w:tcPr>
            <w:tcW w:w="0" w:type="auto"/>
            <w:tcBorders>
              <w:top w:val="nil"/>
              <w:left w:val="single" w:color="000000"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single" w:color="000000" w:sz="4" w:space="0"/>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须江东侧防洪堤（迎宾大道以北）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1374.84</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望江广场（测绘图）安瑞北公厕以北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3074.6</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大都会东侧、北侧、西侧围墙底</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1218.99</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东方文华酒店南、东、北绿地）</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1007.91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鹿溪渠西（站前大道-迎宾大道）</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1928.81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鹿溪渠东（站前大道-迎宾大道）</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953.35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鹿溪北路（站前大道-迎宾大道）</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2287.31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鹿溪北路（迎宾大道以北）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7954.83</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凝秀北路（站前大道-迎宾大道）</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2703.04</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锦绣外国语学校南、西、北侧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1373.88</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迎宾大桥桥面绿地（统计到鹿溪北路）</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3139.28</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迎宾大道（鹿溪北路-凝秀路）东侧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3879.07</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迎宾大道（鹿溪北路-凝秀路）西侧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2755.38</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丰足溪站前大道-迎宾大道西侧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9784.46</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双塔小学东侧斜坡</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4780</w:t>
            </w:r>
          </w:p>
        </w:tc>
        <w:tc>
          <w:tcPr>
            <w:tcW w:w="0" w:type="auto"/>
            <w:tcBorders>
              <w:top w:val="nil"/>
              <w:left w:val="nil"/>
              <w:bottom w:val="single" w:color="000000" w:sz="4" w:space="0"/>
              <w:right w:val="single" w:color="000000" w:sz="4" w:space="0"/>
            </w:tcBorders>
          </w:tcPr>
          <w:p>
            <w:pPr>
              <w:jc w:val="center"/>
              <w:rPr>
                <w:sz w:val="20"/>
                <w:szCs w:val="20"/>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迎宾入城口（迎宾大桥以东绿化）</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30924.15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迎宾广场混播草坪</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1394.84</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single" w:color="auto" w:sz="4" w:space="0"/>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东方文华酒店（停车场东侧绿地）混播草坪</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695</w:t>
            </w:r>
          </w:p>
        </w:tc>
        <w:tc>
          <w:tcPr>
            <w:tcW w:w="0" w:type="auto"/>
            <w:tcBorders>
              <w:top w:val="nil"/>
              <w:left w:val="nil"/>
              <w:bottom w:val="single" w:color="000000" w:sz="4" w:space="0"/>
              <w:right w:val="single" w:color="000000" w:sz="4" w:space="0"/>
            </w:tcBorders>
          </w:tcPr>
          <w:p>
            <w:pPr>
              <w:jc w:val="center"/>
              <w:rPr>
                <w:sz w:val="22"/>
                <w:szCs w:val="22"/>
              </w:rPr>
            </w:pPr>
            <w:r>
              <w:rPr>
                <w:rFonts w:hint="eastAsia"/>
                <w:sz w:val="22"/>
                <w:szCs w:val="22"/>
              </w:rPr>
              <w:t>不混播草籽</w:t>
            </w: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　</w:t>
            </w:r>
          </w:p>
        </w:tc>
        <w:tc>
          <w:tcPr>
            <w:tcW w:w="0" w:type="auto"/>
            <w:tcBorders>
              <w:top w:val="nil"/>
              <w:left w:val="single" w:color="auto"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　</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114370.1</w:t>
            </w:r>
          </w:p>
        </w:tc>
        <w:tc>
          <w:tcPr>
            <w:tcW w:w="0" w:type="auto"/>
            <w:tcBorders>
              <w:top w:val="nil"/>
              <w:left w:val="nil"/>
              <w:bottom w:val="single" w:color="000000" w:sz="4" w:space="0"/>
              <w:right w:val="single" w:color="000000"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三级绿地</w:t>
            </w: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鹿溪渠西（迎宾大道以北）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2724.11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鹿溪渠东（迎宾大道以北）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910.92</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植物园</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3381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迎宾大道（凝秀路-礼贤路）北侧斜坡</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6789.84</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丰足溪迎宾大道以北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19853</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江东大道人行道以东绿地（安瑞北公厕以北）</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4515</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李子山</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4072.21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双江线（礼贤路延伸段）</w:t>
            </w:r>
          </w:p>
        </w:tc>
        <w:tc>
          <w:tcPr>
            <w:tcW w:w="176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5921.29</w:t>
            </w:r>
          </w:p>
        </w:tc>
        <w:tc>
          <w:tcPr>
            <w:tcW w:w="1345" w:type="dxa"/>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高速互通口（315-迎宾大道西北侧）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10038.53</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高速互通口（315-迎宾大道西南侧）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16465.56</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高速互通口（315-迎宾大道东北侧）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19842.67</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高速互通口（315-迎宾大道东南侧）</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7057.91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高速互通口（四标段）</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7984.09</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nil"/>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高速互通口（五标段）</w:t>
            </w:r>
          </w:p>
        </w:tc>
        <w:tc>
          <w:tcPr>
            <w:tcW w:w="0" w:type="auto"/>
            <w:tcBorders>
              <w:top w:val="nil"/>
              <w:left w:val="nil"/>
              <w:bottom w:val="nil"/>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12584.28</w:t>
            </w:r>
          </w:p>
        </w:tc>
        <w:tc>
          <w:tcPr>
            <w:tcW w:w="0" w:type="auto"/>
            <w:tcBorders>
              <w:top w:val="nil"/>
              <w:left w:val="nil"/>
              <w:bottom w:val="nil"/>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single" w:color="000000" w:sz="4" w:space="0"/>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荣记餐厅南侧绿地</w:t>
            </w:r>
          </w:p>
        </w:tc>
        <w:tc>
          <w:tcPr>
            <w:tcW w:w="0" w:type="auto"/>
            <w:tcBorders>
              <w:top w:val="single" w:color="000000" w:sz="4" w:space="0"/>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1811</w:t>
            </w:r>
          </w:p>
        </w:tc>
        <w:tc>
          <w:tcPr>
            <w:tcW w:w="0" w:type="auto"/>
            <w:tcBorders>
              <w:top w:val="single" w:color="000000" w:sz="4" w:space="0"/>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nil"/>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鸿玉酒家南侧绿地</w:t>
            </w:r>
          </w:p>
        </w:tc>
        <w:tc>
          <w:tcPr>
            <w:tcW w:w="0" w:type="auto"/>
            <w:tcBorders>
              <w:top w:val="nil"/>
              <w:left w:val="nil"/>
              <w:bottom w:val="nil"/>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838</w:t>
            </w:r>
          </w:p>
        </w:tc>
        <w:tc>
          <w:tcPr>
            <w:tcW w:w="0" w:type="auto"/>
            <w:tcBorders>
              <w:top w:val="nil"/>
              <w:left w:val="nil"/>
              <w:bottom w:val="nil"/>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single" w:color="000000" w:sz="4" w:space="0"/>
              <w:left w:val="nil"/>
              <w:bottom w:val="single" w:color="000000" w:sz="4" w:space="0"/>
              <w:right w:val="nil"/>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迎宾广场台阶边绿化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12150.22</w:t>
            </w:r>
          </w:p>
        </w:tc>
        <w:tc>
          <w:tcPr>
            <w:tcW w:w="0" w:type="auto"/>
            <w:tcBorders>
              <w:top w:val="single" w:color="000000" w:sz="4" w:space="0"/>
              <w:left w:val="single" w:color="000000"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nil"/>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迎宾广场水体绿化</w:t>
            </w:r>
          </w:p>
        </w:tc>
        <w:tc>
          <w:tcPr>
            <w:tcW w:w="0" w:type="auto"/>
            <w:tcBorders>
              <w:top w:val="nil"/>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917.78</w:t>
            </w:r>
          </w:p>
        </w:tc>
        <w:tc>
          <w:tcPr>
            <w:tcW w:w="0" w:type="auto"/>
            <w:tcBorders>
              <w:top w:val="nil"/>
              <w:left w:val="single" w:color="000000" w:sz="4" w:space="0"/>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4120" w:type="dxa"/>
            <w:tcBorders>
              <w:top w:val="nil"/>
              <w:left w:val="nil"/>
              <w:bottom w:val="single" w:color="000000" w:sz="4" w:space="0"/>
              <w:right w:val="nil"/>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大都荟周边混播草坪</w:t>
            </w:r>
          </w:p>
        </w:tc>
        <w:tc>
          <w:tcPr>
            <w:tcW w:w="0" w:type="auto"/>
            <w:tcBorders>
              <w:top w:val="nil"/>
              <w:left w:val="single" w:color="000000" w:sz="4" w:space="0"/>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3709.72</w:t>
            </w:r>
          </w:p>
        </w:tc>
        <w:tc>
          <w:tcPr>
            <w:tcW w:w="0" w:type="auto"/>
            <w:tcBorders>
              <w:top w:val="nil"/>
              <w:left w:val="single" w:color="000000" w:sz="4" w:space="0"/>
              <w:bottom w:val="single" w:color="000000" w:sz="4" w:space="0"/>
              <w:right w:val="single" w:color="000000" w:sz="4" w:space="0"/>
            </w:tcBorders>
          </w:tcPr>
          <w:p>
            <w:pPr>
              <w:jc w:val="center"/>
              <w:rPr>
                <w:sz w:val="22"/>
                <w:szCs w:val="22"/>
              </w:rPr>
            </w:pPr>
            <w:r>
              <w:rPr>
                <w:rFonts w:hint="eastAsia"/>
                <w:sz w:val="22"/>
                <w:szCs w:val="22"/>
              </w:rPr>
              <w:t>不混播草籽</w:t>
            </w: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小计</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141567.13</w:t>
            </w:r>
          </w:p>
        </w:tc>
        <w:tc>
          <w:tcPr>
            <w:tcW w:w="0" w:type="auto"/>
            <w:tcBorders>
              <w:top w:val="single" w:color="auto" w:sz="4" w:space="0"/>
              <w:left w:val="nil"/>
              <w:bottom w:val="single" w:color="auto" w:sz="4" w:space="0"/>
              <w:right w:val="single" w:color="auto"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时花</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迎宾入城口时花</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117.38</w:t>
            </w:r>
          </w:p>
        </w:tc>
        <w:tc>
          <w:tcPr>
            <w:tcW w:w="0" w:type="auto"/>
            <w:tcBorders>
              <w:top w:val="nil"/>
              <w:left w:val="nil"/>
              <w:bottom w:val="single" w:color="auto" w:sz="4" w:space="0"/>
              <w:right w:val="single" w:color="auto"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小计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117.38</w:t>
            </w:r>
          </w:p>
        </w:tc>
        <w:tc>
          <w:tcPr>
            <w:tcW w:w="0" w:type="auto"/>
            <w:tcBorders>
              <w:top w:val="nil"/>
              <w:left w:val="nil"/>
              <w:bottom w:val="single" w:color="auto" w:sz="4" w:space="0"/>
              <w:right w:val="single" w:color="auto"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000000" w:sz="4" w:space="0"/>
              <w:bottom w:val="nil"/>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混播草坪</w:t>
            </w: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迎宾大道西段（客运中心北）混播草坪</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1107.61</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000000" w:sz="4" w:space="0"/>
              <w:bottom w:val="nil"/>
              <w:right w:val="single" w:color="000000"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丰足溪（站前大道-迎宾大道）混播草坪</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5573.72</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000000" w:sz="4" w:space="0"/>
              <w:bottom w:val="nil"/>
              <w:right w:val="single" w:color="000000"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4120" w:type="dxa"/>
            <w:tcBorders>
              <w:top w:val="nil"/>
              <w:left w:val="nil"/>
              <w:bottom w:val="single" w:color="000000"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迎宾入城口混播草坪</w:t>
            </w:r>
          </w:p>
        </w:tc>
        <w:tc>
          <w:tcPr>
            <w:tcW w:w="0" w:type="auto"/>
            <w:tcBorders>
              <w:top w:val="nil"/>
              <w:left w:val="nil"/>
              <w:bottom w:val="single" w:color="000000"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24000.52</w:t>
            </w:r>
          </w:p>
        </w:tc>
        <w:tc>
          <w:tcPr>
            <w:tcW w:w="0" w:type="auto"/>
            <w:tcBorders>
              <w:top w:val="nil"/>
              <w:left w:val="nil"/>
              <w:bottom w:val="single" w:color="000000"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nil"/>
              <w:left w:val="single" w:color="000000" w:sz="4" w:space="0"/>
              <w:bottom w:val="single" w:color="auto" w:sz="4" w:space="0"/>
              <w:right w:val="single" w:color="000000" w:sz="4" w:space="0"/>
            </w:tcBorders>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4120" w:type="dxa"/>
            <w:tcBorders>
              <w:top w:val="nil"/>
              <w:left w:val="nil"/>
              <w:bottom w:val="single" w:color="auto" w:sz="4" w:space="0"/>
              <w:right w:val="single" w:color="000000" w:sz="4" w:space="0"/>
            </w:tcBorders>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船帮文化混播草坪</w:t>
            </w:r>
          </w:p>
        </w:tc>
        <w:tc>
          <w:tcPr>
            <w:tcW w:w="0" w:type="auto"/>
            <w:tcBorders>
              <w:top w:val="nil"/>
              <w:left w:val="nil"/>
              <w:bottom w:val="single" w:color="auto" w:sz="4" w:space="0"/>
              <w:right w:val="single" w:color="000000"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756.8</w:t>
            </w:r>
          </w:p>
        </w:tc>
        <w:tc>
          <w:tcPr>
            <w:tcW w:w="0" w:type="auto"/>
            <w:tcBorders>
              <w:top w:val="nil"/>
              <w:left w:val="nil"/>
              <w:bottom w:val="single" w:color="auto" w:sz="4" w:space="0"/>
              <w:right w:val="single" w:color="000000" w:sz="4" w:space="0"/>
            </w:tcBorders>
          </w:tcPr>
          <w:p>
            <w:pPr>
              <w:jc w:val="center"/>
              <w:rPr>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小计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31438.65</w:t>
            </w:r>
          </w:p>
        </w:tc>
        <w:tc>
          <w:tcPr>
            <w:tcW w:w="0" w:type="auto"/>
            <w:tcBorders>
              <w:top w:val="single" w:color="auto" w:sz="4" w:space="0"/>
              <w:left w:val="single" w:color="auto" w:sz="4" w:space="0"/>
              <w:bottom w:val="single" w:color="auto" w:sz="4" w:space="0"/>
              <w:right w:val="single" w:color="auto" w:sz="4" w:space="0"/>
            </w:tcBorders>
          </w:tcPr>
          <w:p>
            <w:pPr>
              <w:jc w:val="center"/>
              <w:rPr>
                <w:b/>
                <w:bCs/>
                <w:sz w:val="22"/>
                <w:szCs w:val="22"/>
              </w:rPr>
            </w:pPr>
          </w:p>
        </w:tc>
      </w:tr>
      <w:tr>
        <w:tblPrEx>
          <w:tblCellMar>
            <w:top w:w="0" w:type="dxa"/>
            <w:left w:w="0" w:type="dxa"/>
            <w:bottom w:w="0" w:type="dxa"/>
            <w:right w:w="0"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sz w:val="22"/>
                <w:szCs w:val="22"/>
              </w:rPr>
            </w:pPr>
            <w:r>
              <w:rPr>
                <w:rFonts w:hint="eastAsia"/>
                <w:sz w:val="22"/>
                <w:szCs w:val="22"/>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341393.94</w:t>
            </w:r>
          </w:p>
        </w:tc>
        <w:tc>
          <w:tcPr>
            <w:tcW w:w="0" w:type="auto"/>
            <w:tcBorders>
              <w:top w:val="single" w:color="auto" w:sz="4" w:space="0"/>
              <w:left w:val="single" w:color="auto" w:sz="4" w:space="0"/>
              <w:bottom w:val="single" w:color="auto" w:sz="4" w:space="0"/>
              <w:right w:val="single" w:color="auto" w:sz="4" w:space="0"/>
            </w:tcBorders>
          </w:tcPr>
          <w:p>
            <w:pPr>
              <w:jc w:val="center"/>
              <w:rPr>
                <w:b/>
                <w:bCs/>
                <w:sz w:val="22"/>
                <w:szCs w:val="22"/>
              </w:rPr>
            </w:pPr>
          </w:p>
        </w:tc>
      </w:tr>
    </w:tbl>
    <w:p>
      <w:pPr>
        <w:adjustRightInd/>
        <w:spacing w:line="360" w:lineRule="auto"/>
        <w:jc w:val="center"/>
        <w:outlineLvl w:val="0"/>
        <w:rPr>
          <w:rFonts w:ascii="仿宋" w:hAnsi="仿宋" w:eastAsia="仿宋" w:cs="仿宋_GB2312"/>
          <w:b/>
          <w:sz w:val="24"/>
        </w:rPr>
      </w:pPr>
    </w:p>
    <w:p>
      <w:pPr>
        <w:pStyle w:val="2"/>
        <w:rPr>
          <w:rFonts w:ascii="仿宋" w:eastAsia="仿宋" w:cs="仿宋_GB2312"/>
          <w:b w:val="0"/>
          <w:sz w:val="24"/>
        </w:rPr>
      </w:pPr>
      <w:r>
        <w:br w:type="page"/>
      </w:r>
      <w:r>
        <w:rPr>
          <w:rFonts w:hint="eastAsia"/>
        </w:rPr>
        <w:t xml:space="preserve">  </w:t>
      </w:r>
      <w:r>
        <w:rPr>
          <w:rFonts w:hint="eastAsia" w:ascii="仿宋" w:eastAsia="仿宋" w:cs="仿宋_GB2312"/>
          <w:sz w:val="24"/>
        </w:rPr>
        <w:t>附件六：</w:t>
      </w:r>
    </w:p>
    <w:p>
      <w:pPr>
        <w:adjustRightInd/>
        <w:spacing w:line="360" w:lineRule="auto"/>
        <w:jc w:val="center"/>
        <w:outlineLvl w:val="0"/>
        <w:rPr>
          <w:rFonts w:ascii="仿宋" w:hAnsi="仿宋" w:eastAsia="仿宋" w:cs="仿宋_GB2312"/>
          <w:b/>
          <w:sz w:val="32"/>
          <w:szCs w:val="32"/>
        </w:rPr>
      </w:pPr>
      <w:r>
        <w:rPr>
          <w:rFonts w:hint="eastAsia" w:ascii="仿宋" w:hAnsi="仿宋" w:eastAsia="仿宋" w:cs="仿宋_GB2312"/>
          <w:b/>
          <w:sz w:val="32"/>
          <w:szCs w:val="32"/>
        </w:rPr>
        <w:t>行道树</w:t>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标项一</w:t>
      </w:r>
    </w:p>
    <w:p>
      <w:pPr>
        <w:pStyle w:val="2"/>
        <w:jc w:val="center"/>
        <w:rPr>
          <w:lang w:val="en-US"/>
        </w:rPr>
      </w:pPr>
      <w:r>
        <w:rPr>
          <w:rFonts w:hint="eastAsia" w:ascii="宋体" w:hAnsi="宋体" w:cs="宋体"/>
          <w:kern w:val="0"/>
          <w:sz w:val="24"/>
        </w:rPr>
        <w:t>景星东路、南门路、南二街以南</w:t>
      </w:r>
    </w:p>
    <w:tbl>
      <w:tblPr>
        <w:tblStyle w:val="62"/>
        <w:tblW w:w="9880" w:type="dxa"/>
        <w:jc w:val="center"/>
        <w:tblLayout w:type="autofit"/>
        <w:tblCellMar>
          <w:top w:w="0" w:type="dxa"/>
          <w:left w:w="108" w:type="dxa"/>
          <w:bottom w:w="0" w:type="dxa"/>
          <w:right w:w="108" w:type="dxa"/>
        </w:tblCellMar>
      </w:tblPr>
      <w:tblGrid>
        <w:gridCol w:w="1080"/>
        <w:gridCol w:w="1580"/>
        <w:gridCol w:w="1080"/>
        <w:gridCol w:w="6140"/>
      </w:tblGrid>
      <w:tr>
        <w:tblPrEx>
          <w:tblCellMar>
            <w:top w:w="0" w:type="dxa"/>
            <w:left w:w="108" w:type="dxa"/>
            <w:bottom w:w="0" w:type="dxa"/>
            <w:right w:w="108" w:type="dxa"/>
          </w:tblCellMar>
        </w:tblPrEx>
        <w:trPr>
          <w:trHeight w:val="20" w:hRule="atLeast"/>
          <w:jc w:val="center"/>
        </w:trPr>
        <w:tc>
          <w:tcPr>
            <w:tcW w:w="9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一级</w:t>
            </w:r>
          </w:p>
        </w:tc>
      </w:tr>
      <w:tr>
        <w:tblPrEx>
          <w:tblCellMar>
            <w:top w:w="0" w:type="dxa"/>
            <w:left w:w="108" w:type="dxa"/>
            <w:bottom w:w="0" w:type="dxa"/>
            <w:right w:w="108" w:type="dxa"/>
          </w:tblCellMar>
        </w:tblPrEx>
        <w:trPr>
          <w:trHeight w:val="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158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江滨南路</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358</w:t>
            </w:r>
          </w:p>
        </w:tc>
        <w:tc>
          <w:tcPr>
            <w:tcW w:w="614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景星西路-江电路西255</w:t>
            </w:r>
            <w:r>
              <w:rPr>
                <w:rFonts w:hint="eastAsia" w:ascii="宋体" w:hAnsi="宋体" w:cs="宋体"/>
                <w:kern w:val="0"/>
                <w:sz w:val="24"/>
              </w:rPr>
              <w:t>江电路-莲华山大道 西90法桐</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景星西路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131</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江贺公路-西山路南34香樟北36香樟，西山路以西南30香樟北31香樟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虎山一街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28</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w:t>
            </w:r>
            <w:r>
              <w:rPr>
                <w:rFonts w:hint="eastAsia" w:ascii="宋体" w:hAnsi="宋体" w:cs="宋体"/>
                <w:kern w:val="0"/>
                <w:sz w:val="24"/>
              </w:rPr>
              <w:t>9香樟北18香樟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虎山二街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39</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南19香樟北20香樟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虎山三街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35</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南22香樟北</w:t>
            </w:r>
            <w:r>
              <w:rPr>
                <w:rFonts w:hint="eastAsia" w:ascii="宋体" w:hAnsi="宋体" w:cs="宋体"/>
                <w:kern w:val="0"/>
                <w:sz w:val="24"/>
              </w:rPr>
              <w:t>9香樟2广玉兰2桂花</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虎山四街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51</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东岳路以东:北15香樟南15香樟，东岳路以西:北11香樟南</w:t>
            </w:r>
            <w:r>
              <w:rPr>
                <w:rFonts w:hint="eastAsia" w:ascii="宋体" w:hAnsi="宋体" w:cs="宋体"/>
                <w:kern w:val="0"/>
                <w:sz w:val="24"/>
              </w:rPr>
              <w:t>11香樟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东岳路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519</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江电路-虎山四街西10香樟东</w:t>
            </w:r>
            <w:r>
              <w:rPr>
                <w:rFonts w:hint="eastAsia" w:ascii="宋体" w:hAnsi="宋体" w:cs="宋体"/>
                <w:kern w:val="0"/>
                <w:sz w:val="24"/>
              </w:rPr>
              <w:t>40香樟（含绿化带内香樟），</w:t>
            </w:r>
            <w:r>
              <w:rPr>
                <w:rFonts w:hint="eastAsia" w:ascii="宋体" w:hAnsi="宋体" w:cs="宋体"/>
                <w:kern w:val="0"/>
                <w:sz w:val="24"/>
              </w:rPr>
              <w:br w:type="textWrapping"/>
            </w:r>
            <w:r>
              <w:rPr>
                <w:rFonts w:hint="eastAsia" w:ascii="宋体" w:hAnsi="宋体" w:cs="宋体"/>
                <w:kern w:val="0"/>
                <w:sz w:val="24"/>
              </w:rPr>
              <w:t>虎山四街-虎山三街西39香樟，东29香樟，</w:t>
            </w:r>
            <w:r>
              <w:rPr>
                <w:rFonts w:hint="eastAsia" w:ascii="宋体" w:hAnsi="宋体" w:cs="宋体"/>
                <w:kern w:val="0"/>
                <w:sz w:val="24"/>
              </w:rPr>
              <w:br w:type="textWrapping"/>
            </w:r>
            <w:r>
              <w:rPr>
                <w:rFonts w:hint="eastAsia" w:ascii="宋体" w:hAnsi="宋体" w:cs="宋体"/>
                <w:kern w:val="0"/>
                <w:sz w:val="24"/>
              </w:rPr>
              <w:t>虎山三街-虎山二街西22香樟，东16香樟，</w:t>
            </w:r>
            <w:r>
              <w:rPr>
                <w:rFonts w:hint="eastAsia" w:ascii="宋体" w:hAnsi="宋体" w:cs="宋体"/>
                <w:kern w:val="0"/>
                <w:sz w:val="24"/>
              </w:rPr>
              <w:br w:type="textWrapping"/>
            </w:r>
            <w:r>
              <w:rPr>
                <w:rFonts w:hint="eastAsia" w:ascii="宋体" w:hAnsi="宋体" w:cs="宋体"/>
                <w:kern w:val="0"/>
                <w:sz w:val="24"/>
              </w:rPr>
              <w:t>虎山二街-虎山一街西49香樟，东40香樟，</w:t>
            </w:r>
            <w:r>
              <w:rPr>
                <w:rFonts w:hint="eastAsia" w:ascii="宋体" w:hAnsi="宋体" w:cs="宋体"/>
                <w:kern w:val="0"/>
                <w:sz w:val="24"/>
              </w:rPr>
              <w:br w:type="textWrapping"/>
            </w:r>
            <w:r>
              <w:rPr>
                <w:rFonts w:hint="eastAsia" w:ascii="宋体" w:hAnsi="宋体" w:cs="宋体"/>
                <w:kern w:val="0"/>
                <w:sz w:val="24"/>
              </w:rPr>
              <w:t>虎山一街-景星西路西25（11香樟14桂花）东31（14香樟16桂花）</w:t>
            </w:r>
            <w:r>
              <w:rPr>
                <w:rFonts w:hint="eastAsia" w:ascii="宋体" w:hAnsi="宋体" w:cs="宋体"/>
                <w:kern w:val="0"/>
                <w:sz w:val="24"/>
              </w:rPr>
              <w:br w:type="textWrapping"/>
            </w:r>
            <w:r>
              <w:rPr>
                <w:rFonts w:hint="eastAsia" w:ascii="宋体" w:hAnsi="宋体" w:cs="宋体"/>
                <w:kern w:val="0"/>
                <w:sz w:val="24"/>
              </w:rPr>
              <w:t>江电路-山海路 西107香樟，东91香樟）</w:t>
            </w:r>
            <w:r>
              <w:rPr>
                <w:rFonts w:hint="eastAsia" w:ascii="宋体" w:hAnsi="宋体" w:cs="宋体"/>
                <w:kern w:val="0"/>
                <w:sz w:val="24"/>
              </w:rPr>
              <w:br w:type="textWrapping"/>
            </w:r>
            <w:r>
              <w:rPr>
                <w:rFonts w:hint="eastAsia" w:ascii="宋体" w:hAnsi="宋体" w:cs="宋体"/>
                <w:kern w:val="0"/>
                <w:sz w:val="24"/>
              </w:rPr>
              <w:t>（含2021.2.2接管东岳广场工程的行道树西32东36）</w:t>
            </w:r>
            <w:r>
              <w:rPr>
                <w:rFonts w:hint="eastAsia" w:ascii="宋体" w:hAnsi="宋体" w:cs="宋体"/>
                <w:kern w:val="0"/>
                <w:sz w:val="24"/>
              </w:rPr>
              <w:br w:type="textWrapping"/>
            </w:r>
            <w:r>
              <w:rPr>
                <w:rFonts w:hint="eastAsia" w:ascii="宋体" w:hAnsi="宋体" w:cs="宋体"/>
                <w:kern w:val="0"/>
                <w:sz w:val="24"/>
              </w:rPr>
              <w:t>山海路以南28香樟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nil"/>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1580" w:type="dxa"/>
            <w:tcBorders>
              <w:top w:val="nil"/>
              <w:left w:val="nil"/>
              <w:bottom w:val="nil"/>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江贺公路</w:t>
            </w:r>
          </w:p>
        </w:tc>
        <w:tc>
          <w:tcPr>
            <w:tcW w:w="1080" w:type="dxa"/>
            <w:tcBorders>
              <w:top w:val="nil"/>
              <w:left w:val="nil"/>
              <w:bottom w:val="nil"/>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125</w:t>
            </w:r>
          </w:p>
        </w:tc>
        <w:tc>
          <w:tcPr>
            <w:tcW w:w="6140" w:type="dxa"/>
            <w:tcBorders>
              <w:top w:val="nil"/>
              <w:left w:val="nil"/>
              <w:bottom w:val="nil"/>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虎山三街以南西34重阳木东33重阳木，虎山三街以北西</w:t>
            </w:r>
            <w:r>
              <w:rPr>
                <w:rFonts w:hint="eastAsia" w:ascii="宋体" w:hAnsi="宋体" w:cs="宋体"/>
                <w:kern w:val="0"/>
                <w:sz w:val="24"/>
              </w:rPr>
              <w:t>56重阳木东3（2法桐1水杉）</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南门路</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58</w:t>
            </w:r>
          </w:p>
        </w:tc>
        <w:tc>
          <w:tcPr>
            <w:tcW w:w="6140" w:type="dxa"/>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南二街—南三街（西）法桐12棵，香樟1棵（东）法桐3棵</w:t>
            </w:r>
            <w:r>
              <w:rPr>
                <w:rFonts w:hint="eastAsia" w:ascii="宋体" w:hAnsi="宋体" w:cs="宋体"/>
                <w:kern w:val="0"/>
                <w:sz w:val="22"/>
                <w:szCs w:val="22"/>
              </w:rPr>
              <w:br w:type="textWrapping"/>
            </w:r>
            <w:r>
              <w:rPr>
                <w:rFonts w:hint="eastAsia" w:ascii="宋体" w:hAnsi="宋体" w:cs="宋体"/>
                <w:kern w:val="0"/>
                <w:sz w:val="22"/>
                <w:szCs w:val="22"/>
              </w:rPr>
              <w:t>南三街—景星路（西）法桐17棵（东）法桐25棵</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nil"/>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1580" w:type="dxa"/>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西山路</w:t>
            </w:r>
          </w:p>
        </w:tc>
        <w:tc>
          <w:tcPr>
            <w:tcW w:w="1080"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236</w:t>
            </w:r>
          </w:p>
        </w:tc>
        <w:tc>
          <w:tcPr>
            <w:tcW w:w="6140" w:type="dxa"/>
            <w:tcBorders>
              <w:top w:val="nil"/>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南二街-景星西路西  98香樟   东138香樟</w:t>
            </w:r>
          </w:p>
        </w:tc>
      </w:tr>
      <w:tr>
        <w:tblPrEx>
          <w:tblCellMar>
            <w:top w:w="0" w:type="dxa"/>
            <w:left w:w="108" w:type="dxa"/>
            <w:bottom w:w="0" w:type="dxa"/>
            <w:right w:w="108" w:type="dxa"/>
          </w:tblCellMar>
        </w:tblPrEx>
        <w:trPr>
          <w:trHeight w:val="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15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1580</w:t>
            </w:r>
          </w:p>
        </w:tc>
        <w:tc>
          <w:tcPr>
            <w:tcW w:w="614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0" w:hRule="atLeast"/>
          <w:jc w:val="center"/>
        </w:trPr>
        <w:tc>
          <w:tcPr>
            <w:tcW w:w="9880" w:type="dxa"/>
            <w:gridSpan w:val="4"/>
            <w:tcBorders>
              <w:top w:val="nil"/>
              <w:left w:val="single" w:color="000000" w:sz="4" w:space="0"/>
              <w:bottom w:val="nil"/>
              <w:right w:val="nil"/>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二级</w:t>
            </w:r>
          </w:p>
        </w:tc>
      </w:tr>
      <w:tr>
        <w:tblPrEx>
          <w:tblCellMar>
            <w:top w:w="0" w:type="dxa"/>
            <w:left w:w="108" w:type="dxa"/>
            <w:bottom w:w="0" w:type="dxa"/>
            <w:right w:w="108" w:type="dxa"/>
          </w:tblCellMar>
        </w:tblPrEx>
        <w:trPr>
          <w:trHeight w:val="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w:t>
            </w:r>
          </w:p>
        </w:tc>
        <w:tc>
          <w:tcPr>
            <w:tcW w:w="158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虎山广场边行道树</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33</w:t>
            </w:r>
          </w:p>
        </w:tc>
        <w:tc>
          <w:tcPr>
            <w:tcW w:w="6140"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公厕边西15香樟，公厕边东18香樟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江电路（虎山四街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南绿化带内10（绿化带内4香樟2法桐2松树1合欢1泡桐）虎山四街路口3法桐</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景星一街香泡（行道树）</w:t>
            </w:r>
            <w:r>
              <w:rPr>
                <w:rFonts w:hint="eastAsia" w:ascii="MS Mincho" w:hAnsi="MS Mincho" w:eastAsia="MS Mincho" w:cs="MS Mincho"/>
                <w:kern w:val="0"/>
                <w:sz w:val="22"/>
                <w:szCs w:val="22"/>
              </w:rPr>
              <w:t>∅</w:t>
            </w:r>
            <w:r>
              <w:rPr>
                <w:rFonts w:hint="eastAsia" w:ascii="宋体" w:hAnsi="宋体" w:cs="宋体"/>
                <w:kern w:val="0"/>
                <w:sz w:val="22"/>
                <w:szCs w:val="22"/>
              </w:rPr>
              <w:t>＜20cm</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2020.1.1接管</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通达路（部队东门-江贺公路）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88</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虎山四街以南：东</w:t>
            </w:r>
            <w:r>
              <w:rPr>
                <w:rFonts w:hint="eastAsia" w:ascii="宋体" w:hAnsi="宋体" w:cs="宋体"/>
                <w:kern w:val="0"/>
                <w:sz w:val="24"/>
              </w:rPr>
              <w:t>桂花11玉兰10 西桂花24</w:t>
            </w:r>
            <w:r>
              <w:rPr>
                <w:rFonts w:hint="eastAsia" w:ascii="宋体" w:hAnsi="宋体" w:cs="宋体"/>
                <w:kern w:val="0"/>
                <w:sz w:val="24"/>
              </w:rPr>
              <w:br w:type="textWrapping"/>
            </w:r>
            <w:r>
              <w:rPr>
                <w:rFonts w:hint="eastAsia" w:ascii="宋体" w:hAnsi="宋体" w:cs="宋体"/>
                <w:kern w:val="0"/>
                <w:sz w:val="24"/>
              </w:rPr>
              <w:t>以北：东桂花1女贞9杜英3香樟11（2空树池）法桐3  西香樟12桂花24杜英1棵</w:t>
            </w:r>
            <w:r>
              <w:rPr>
                <w:rFonts w:hint="eastAsia" w:ascii="宋体" w:hAnsi="宋体" w:cs="宋体"/>
                <w:kern w:val="0"/>
                <w:sz w:val="24"/>
              </w:rPr>
              <w:br w:type="textWrapping"/>
            </w:r>
            <w:r>
              <w:rPr>
                <w:rFonts w:hint="eastAsia" w:ascii="宋体" w:hAnsi="宋体" w:cs="宋体"/>
                <w:kern w:val="0"/>
                <w:sz w:val="24"/>
              </w:rPr>
              <w:t>虎山街道北侧道路 北3香樟  南5香樟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江山市出让地块顺达明珠苑外围配套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小区东侧围墙边香樟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浙麻路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42</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w:t>
            </w:r>
            <w:r>
              <w:rPr>
                <w:rFonts w:hint="eastAsia" w:ascii="宋体" w:hAnsi="宋体" w:cs="宋体"/>
                <w:kern w:val="0"/>
                <w:sz w:val="24"/>
              </w:rPr>
              <w:t>23（14桂花9香樟）东19（18桂花1法桐）</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车管所北侧道路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15</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车管所西侧道路</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39</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农贸路桂花</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50</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2022年4月10日接管，48桂花（其中2死），2香樟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七里桥路东</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32</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榉树</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七里桥路西</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44</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榉树</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景星西路物流基地行道树 </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177</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榉树</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山海路北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84</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山海路南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53</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红岗山路（景星西路-景星二街）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284</w:t>
            </w:r>
          </w:p>
        </w:tc>
        <w:tc>
          <w:tcPr>
            <w:tcW w:w="6140" w:type="dxa"/>
            <w:tcBorders>
              <w:top w:val="nil"/>
              <w:left w:val="nil"/>
              <w:bottom w:val="single" w:color="000000"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榉树</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c>
          <w:tcPr>
            <w:tcW w:w="15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东岳路（山海路以南）</w:t>
            </w:r>
          </w:p>
        </w:tc>
        <w:tc>
          <w:tcPr>
            <w:tcW w:w="1080"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28</w:t>
            </w:r>
          </w:p>
        </w:tc>
        <w:tc>
          <w:tcPr>
            <w:tcW w:w="6140" w:type="dxa"/>
            <w:tcBorders>
              <w:top w:val="nil"/>
              <w:left w:val="nil"/>
              <w:bottom w:val="single" w:color="000000" w:sz="4" w:space="0"/>
              <w:right w:val="single" w:color="000000" w:sz="4" w:space="0"/>
            </w:tcBorders>
            <w:shd w:val="clear" w:color="auto" w:fill="auto"/>
            <w:noWrap/>
            <w:vAlign w:val="center"/>
          </w:tcPr>
          <w:p>
            <w:pPr>
              <w:widowControl/>
              <w:adjustRightInd/>
              <w:jc w:val="left"/>
              <w:rPr>
                <w:rFonts w:ascii="宋体" w:hAnsi="宋体" w:cs="宋体"/>
                <w:kern w:val="0"/>
                <w:sz w:val="24"/>
              </w:rPr>
            </w:pPr>
            <w:r>
              <w:rPr>
                <w:rFonts w:hint="eastAsia" w:ascii="宋体" w:hAnsi="宋体" w:cs="宋体"/>
                <w:kern w:val="0"/>
                <w:sz w:val="24"/>
              </w:rPr>
              <w:t>香樟</w:t>
            </w:r>
          </w:p>
        </w:tc>
      </w:tr>
      <w:tr>
        <w:tblPrEx>
          <w:tblCellMar>
            <w:top w:w="0" w:type="dxa"/>
            <w:left w:w="108" w:type="dxa"/>
            <w:bottom w:w="0" w:type="dxa"/>
            <w:right w:w="108" w:type="dxa"/>
          </w:tblCellMar>
        </w:tblPrEx>
        <w:trPr>
          <w:trHeight w:val="20" w:hRule="atLeast"/>
          <w:jc w:val="center"/>
        </w:trPr>
        <w:tc>
          <w:tcPr>
            <w:tcW w:w="1080" w:type="dxa"/>
            <w:tcBorders>
              <w:top w:val="nil"/>
              <w:left w:val="single" w:color="000000" w:sz="4" w:space="0"/>
              <w:bottom w:val="single" w:color="auto" w:sz="4" w:space="0"/>
              <w:right w:val="single" w:color="000000" w:sz="4" w:space="0"/>
            </w:tcBorders>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25</w:t>
            </w:r>
          </w:p>
        </w:tc>
        <w:tc>
          <w:tcPr>
            <w:tcW w:w="1580" w:type="dxa"/>
            <w:tcBorders>
              <w:top w:val="nil"/>
              <w:left w:val="nil"/>
              <w:bottom w:val="single" w:color="auto"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新南二街（环城西路-西山路）</w:t>
            </w:r>
          </w:p>
        </w:tc>
        <w:tc>
          <w:tcPr>
            <w:tcW w:w="1080" w:type="dxa"/>
            <w:tcBorders>
              <w:top w:val="nil"/>
              <w:left w:val="nil"/>
              <w:bottom w:val="single" w:color="auto" w:sz="4" w:space="0"/>
              <w:right w:val="single" w:color="000000"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46</w:t>
            </w:r>
          </w:p>
        </w:tc>
        <w:tc>
          <w:tcPr>
            <w:tcW w:w="6140" w:type="dxa"/>
            <w:tcBorders>
              <w:top w:val="nil"/>
              <w:left w:val="nil"/>
              <w:bottom w:val="single" w:color="auto" w:sz="4" w:space="0"/>
              <w:right w:val="single" w:color="000000"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南29女贞北17女贞</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1051</w:t>
            </w:r>
          </w:p>
        </w:tc>
        <w:tc>
          <w:tcPr>
            <w:tcW w:w="6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古树名木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6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江滨南路1株古香樟</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总计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2632</w:t>
            </w:r>
          </w:p>
        </w:tc>
        <w:tc>
          <w:tcPr>
            <w:tcW w:w="6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标项二</w:t>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景星东路，南门路，南二街——城中路</w:t>
      </w:r>
    </w:p>
    <w:tbl>
      <w:tblPr>
        <w:tblStyle w:val="6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0"/>
        <w:gridCol w:w="2260"/>
        <w:gridCol w:w="10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460" w:type="dxa"/>
            <w:gridSpan w:val="4"/>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江东大道</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245</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城中路-老东门桥 西15  东13香樟</w:t>
            </w:r>
            <w:r>
              <w:rPr>
                <w:rFonts w:hint="eastAsia"/>
                <w:sz w:val="22"/>
                <w:szCs w:val="22"/>
              </w:rPr>
              <w:br w:type="textWrapping"/>
            </w:r>
            <w:r>
              <w:rPr>
                <w:rFonts w:hint="eastAsia"/>
                <w:sz w:val="22"/>
                <w:szCs w:val="22"/>
              </w:rPr>
              <w:t>老东门桥-江东一街西52  东55香樟</w:t>
            </w:r>
            <w:r>
              <w:rPr>
                <w:rFonts w:hint="eastAsia"/>
                <w:sz w:val="22"/>
                <w:szCs w:val="22"/>
              </w:rPr>
              <w:br w:type="textWrapping"/>
            </w:r>
            <w:r>
              <w:rPr>
                <w:rFonts w:hint="eastAsia"/>
                <w:sz w:val="22"/>
                <w:szCs w:val="22"/>
              </w:rPr>
              <w:t>江东一街-江东二街西20    东17香樟</w:t>
            </w:r>
            <w:r>
              <w:rPr>
                <w:rFonts w:hint="eastAsia"/>
                <w:sz w:val="22"/>
                <w:szCs w:val="22"/>
              </w:rPr>
              <w:br w:type="textWrapping"/>
            </w:r>
            <w:r>
              <w:rPr>
                <w:rFonts w:hint="eastAsia"/>
                <w:sz w:val="22"/>
                <w:szCs w:val="22"/>
              </w:rPr>
              <w:t>江东二街-江东四街西39 东34香樟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2</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江滨东路（蓝波湾）</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38</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东15香樟 西（绿化带内）23香樟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3</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江滨南路（环城南路-景星东路）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105</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西侧105法桐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4</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鹿溪南路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59</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环城南路-城中路西24香樟（绿化带内3）</w:t>
            </w:r>
            <w:r>
              <w:rPr>
                <w:rFonts w:hint="eastAsia"/>
                <w:sz w:val="22"/>
                <w:szCs w:val="22"/>
              </w:rPr>
              <w:br w:type="textWrapping"/>
            </w:r>
            <w:r>
              <w:rPr>
                <w:rFonts w:hint="eastAsia"/>
                <w:sz w:val="22"/>
                <w:szCs w:val="22"/>
              </w:rPr>
              <w:t>东35（绿化带内8香樟；26香樟1银杏）；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5</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环城西路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64</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xml:space="preserve">南门路-南市街西12  东3香樟  2栾树 </w:t>
            </w:r>
            <w:r>
              <w:rPr>
                <w:rFonts w:hint="eastAsia"/>
                <w:sz w:val="22"/>
                <w:szCs w:val="22"/>
              </w:rPr>
              <w:br w:type="textWrapping"/>
            </w:r>
            <w:r>
              <w:rPr>
                <w:rFonts w:hint="eastAsia"/>
                <w:sz w:val="22"/>
                <w:szCs w:val="22"/>
              </w:rPr>
              <w:t>南市街-西山路西5香樟  1杜英</w:t>
            </w:r>
            <w:r>
              <w:rPr>
                <w:rFonts w:hint="eastAsia"/>
                <w:sz w:val="22"/>
                <w:szCs w:val="22"/>
              </w:rPr>
              <w:br w:type="textWrapping"/>
            </w:r>
            <w:r>
              <w:rPr>
                <w:rFonts w:hint="eastAsia"/>
                <w:sz w:val="22"/>
                <w:szCs w:val="22"/>
              </w:rPr>
              <w:t>东1女贞  8香樟  3垂柳</w:t>
            </w:r>
            <w:r>
              <w:rPr>
                <w:rFonts w:hint="eastAsia"/>
                <w:sz w:val="22"/>
                <w:szCs w:val="22"/>
              </w:rPr>
              <w:br w:type="textWrapping"/>
            </w:r>
            <w:r>
              <w:rPr>
                <w:rFonts w:hint="eastAsia"/>
                <w:sz w:val="22"/>
                <w:szCs w:val="22"/>
              </w:rPr>
              <w:t>西山路-城中路 西 7香樟1栾树</w:t>
            </w:r>
            <w:r>
              <w:rPr>
                <w:rFonts w:hint="eastAsia"/>
                <w:sz w:val="22"/>
                <w:szCs w:val="22"/>
              </w:rPr>
              <w:br w:type="textWrapping"/>
            </w:r>
            <w:r>
              <w:rPr>
                <w:rFonts w:hint="eastAsia"/>
                <w:sz w:val="22"/>
                <w:szCs w:val="22"/>
              </w:rPr>
              <w:t>东11香樟1垂柳1杜英4白杨1栾树1合欢2女贞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6</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解放南路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236</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南门广场—南市街（西）法桐24棵，香樟2棵，广玉兰1棵（东）法桐28棵，香樟1棵，广玉兰1棵</w:t>
            </w:r>
            <w:r>
              <w:rPr>
                <w:rFonts w:hint="eastAsia"/>
                <w:sz w:val="22"/>
                <w:szCs w:val="22"/>
              </w:rPr>
              <w:br w:type="textWrapping"/>
            </w:r>
            <w:r>
              <w:rPr>
                <w:rFonts w:hint="eastAsia"/>
                <w:sz w:val="22"/>
                <w:szCs w:val="22"/>
              </w:rPr>
              <w:t>南市街—南一街（西）法桐21棵，琵琶树1棵（东）法桐21棵，香樟3棵，广玉兰1棵</w:t>
            </w:r>
            <w:r>
              <w:rPr>
                <w:rFonts w:hint="eastAsia"/>
                <w:sz w:val="22"/>
                <w:szCs w:val="22"/>
              </w:rPr>
              <w:br w:type="textWrapping"/>
            </w:r>
            <w:r>
              <w:rPr>
                <w:rFonts w:hint="eastAsia"/>
                <w:sz w:val="22"/>
                <w:szCs w:val="22"/>
              </w:rPr>
              <w:t>南一街—南二街（西）香樟9棵，广玉兰6棵（东）香樟14棵，广玉兰5棵</w:t>
            </w:r>
            <w:r>
              <w:rPr>
                <w:rFonts w:hint="eastAsia"/>
                <w:sz w:val="22"/>
                <w:szCs w:val="22"/>
              </w:rPr>
              <w:br w:type="textWrapping"/>
            </w:r>
            <w:r>
              <w:rPr>
                <w:rFonts w:hint="eastAsia"/>
                <w:sz w:val="22"/>
                <w:szCs w:val="22"/>
              </w:rPr>
              <w:t>南二街—南三街（西）香樟15棵，广玉兰3棵，女贞1棵（东）香樟15棵，广玉兰4棵，女贞2棵</w:t>
            </w:r>
            <w:r>
              <w:rPr>
                <w:rFonts w:hint="eastAsia"/>
                <w:sz w:val="22"/>
                <w:szCs w:val="22"/>
              </w:rPr>
              <w:br w:type="textWrapping"/>
            </w:r>
            <w:r>
              <w:rPr>
                <w:rFonts w:hint="eastAsia"/>
                <w:sz w:val="22"/>
                <w:szCs w:val="22"/>
              </w:rPr>
              <w:t>南三街—景星路（西）香樟26棵，广玉兰4棵，女贞1棵（东）香樟17棵，广玉兰8棵，女贞2棵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7</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南门路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70</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南门广场—南市街（西）法桐18棵，香樟4棵（东）法桐10棵，广玉兰1棵，桂花1棵</w:t>
            </w:r>
            <w:r>
              <w:rPr>
                <w:rFonts w:hint="eastAsia"/>
                <w:sz w:val="22"/>
                <w:szCs w:val="22"/>
              </w:rPr>
              <w:br w:type="textWrapping"/>
            </w:r>
            <w:r>
              <w:rPr>
                <w:rFonts w:hint="eastAsia"/>
                <w:sz w:val="22"/>
                <w:szCs w:val="22"/>
              </w:rPr>
              <w:t>南市街—南一街（西）法桐2棵（东）法桐15棵</w:t>
            </w:r>
            <w:r>
              <w:rPr>
                <w:rFonts w:hint="eastAsia"/>
                <w:sz w:val="22"/>
                <w:szCs w:val="22"/>
              </w:rPr>
              <w:br w:type="textWrapping"/>
            </w:r>
            <w:r>
              <w:rPr>
                <w:rFonts w:hint="eastAsia"/>
                <w:sz w:val="22"/>
                <w:szCs w:val="22"/>
              </w:rPr>
              <w:t>南一街—南二街（西）法桐6棵（东）法桐13棵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8</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西山路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109</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环城西路-南二街  西49香樟   东60香樟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9</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4"/>
              </w:rPr>
            </w:pPr>
            <w:r>
              <w:rPr>
                <w:rFonts w:hint="eastAsia"/>
              </w:rPr>
              <w:t>解放路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79</w:t>
            </w:r>
          </w:p>
        </w:tc>
        <w:tc>
          <w:tcPr>
            <w:tcW w:w="5040" w:type="dxa"/>
            <w:shd w:val="clear" w:color="auto" w:fill="auto"/>
            <w:tcMar>
              <w:top w:w="13" w:type="dxa"/>
              <w:left w:w="13" w:type="dxa"/>
              <w:bottom w:w="0" w:type="dxa"/>
              <w:right w:w="13" w:type="dxa"/>
            </w:tcMar>
            <w:vAlign w:val="center"/>
          </w:tcPr>
          <w:p>
            <w:pPr>
              <w:rPr>
                <w:rFonts w:ascii="宋体" w:hAnsi="宋体" w:cs="宋体"/>
                <w:sz w:val="24"/>
              </w:rPr>
            </w:pPr>
            <w:r>
              <w:rPr>
                <w:rFonts w:hint="eastAsia"/>
              </w:rPr>
              <w:t>城中路—南门广场（西）桂花38棵，广玉兰5棵（东）桂花36棵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10</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南市街</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122</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航埠山路-解放南路南19香樟7法桐 北9法桐</w:t>
            </w:r>
            <w:r>
              <w:rPr>
                <w:rFonts w:hint="eastAsia"/>
                <w:sz w:val="22"/>
                <w:szCs w:val="22"/>
              </w:rPr>
              <w:br w:type="textWrapping"/>
            </w:r>
            <w:r>
              <w:rPr>
                <w:rFonts w:hint="eastAsia"/>
                <w:sz w:val="22"/>
                <w:szCs w:val="22"/>
              </w:rPr>
              <w:t>解放南路-南门路 北22法桐 南19法桐</w:t>
            </w:r>
            <w:r>
              <w:rPr>
                <w:rFonts w:hint="eastAsia"/>
                <w:sz w:val="22"/>
                <w:szCs w:val="22"/>
              </w:rPr>
              <w:br w:type="textWrapping"/>
            </w:r>
            <w:r>
              <w:rPr>
                <w:rFonts w:hint="eastAsia"/>
                <w:sz w:val="22"/>
                <w:szCs w:val="22"/>
              </w:rPr>
              <w:t>南门路-环城西路北20香樟  1栾树  南25香樟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11</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东门路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43</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江东大道以西 南侧：16株，北侧：14株法桐；</w:t>
            </w:r>
            <w:r>
              <w:rPr>
                <w:rFonts w:hint="eastAsia"/>
                <w:sz w:val="22"/>
                <w:szCs w:val="22"/>
              </w:rPr>
              <w:br w:type="textWrapping"/>
            </w:r>
            <w:r>
              <w:rPr>
                <w:rFonts w:hint="eastAsia"/>
                <w:sz w:val="22"/>
                <w:szCs w:val="22"/>
              </w:rPr>
              <w:t>江东大道以东  南侧：9株；北侧：4株香樟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12</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城中路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239</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解放路-鹿溪路  南29 北27香樟  3榉树</w:t>
            </w:r>
            <w:r>
              <w:rPr>
                <w:rFonts w:hint="eastAsia"/>
                <w:sz w:val="22"/>
                <w:szCs w:val="22"/>
              </w:rPr>
              <w:br w:type="textWrapping"/>
            </w:r>
            <w:r>
              <w:rPr>
                <w:rFonts w:hint="eastAsia"/>
                <w:sz w:val="22"/>
                <w:szCs w:val="22"/>
              </w:rPr>
              <w:t>鹿溪路-江滨路  南41   北34香樟</w:t>
            </w:r>
            <w:r>
              <w:rPr>
                <w:rFonts w:hint="eastAsia"/>
                <w:sz w:val="22"/>
                <w:szCs w:val="22"/>
              </w:rPr>
              <w:br w:type="textWrapping"/>
            </w:r>
            <w:r>
              <w:rPr>
                <w:rFonts w:hint="eastAsia"/>
                <w:sz w:val="22"/>
                <w:szCs w:val="22"/>
              </w:rPr>
              <w:t>环城西路-解放路南51     北38香樟</w:t>
            </w:r>
            <w:r>
              <w:rPr>
                <w:rFonts w:hint="eastAsia"/>
                <w:sz w:val="22"/>
                <w:szCs w:val="22"/>
              </w:rPr>
              <w:br w:type="textWrapping"/>
            </w:r>
            <w:r>
              <w:rPr>
                <w:rFonts w:hint="eastAsia"/>
                <w:sz w:val="22"/>
                <w:szCs w:val="22"/>
              </w:rPr>
              <w:t>江滨东路-江东大道南9     北7香樟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合计</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　</w:t>
            </w:r>
          </w:p>
        </w:tc>
        <w:tc>
          <w:tcPr>
            <w:tcW w:w="1080" w:type="dxa"/>
            <w:shd w:val="clear" w:color="auto" w:fill="auto"/>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1409</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460" w:type="dxa"/>
            <w:gridSpan w:val="4"/>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环城南路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32</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北8马褂1香樟  南7马褂9香樟，小商品市场5法桐  鹿溪南路口2法桐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江东一街</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77</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江东大道以西  北22香樟   南28香樟                  江东大道以东  南14香樟   北13香樟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江东二街</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97</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江东大道以西  北26香樟3无患子   南26香樟4无患子    江东大道以东  北15香樟5无患子   南14香樟4无患子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西市街菜市场西侧</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20</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西10东10无患子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食府前横路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28</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xml:space="preserve">鹿溪路以东：南10银杏，北5银杏  </w:t>
            </w:r>
            <w:r>
              <w:rPr>
                <w:rFonts w:hint="eastAsia"/>
                <w:sz w:val="22"/>
                <w:szCs w:val="22"/>
              </w:rPr>
              <w:br w:type="textWrapping"/>
            </w:r>
            <w:r>
              <w:rPr>
                <w:rFonts w:hint="eastAsia"/>
                <w:sz w:val="22"/>
                <w:szCs w:val="22"/>
              </w:rPr>
              <w:t>鹿溪路以西：南5广玉兰，北7广玉兰1香樟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万购旁</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31</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xml:space="preserve">西10香樟东21香樟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航埠山路</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158</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景星东路-南三街西11香樟 腊梅1  东14香樟</w:t>
            </w:r>
            <w:r>
              <w:rPr>
                <w:rFonts w:hint="eastAsia"/>
                <w:sz w:val="22"/>
                <w:szCs w:val="22"/>
              </w:rPr>
              <w:br w:type="textWrapping"/>
            </w:r>
            <w:r>
              <w:rPr>
                <w:rFonts w:hint="eastAsia"/>
                <w:sz w:val="22"/>
                <w:szCs w:val="22"/>
              </w:rPr>
              <w:t>南三街-南二街西15  东12香樟</w:t>
            </w:r>
            <w:r>
              <w:rPr>
                <w:rFonts w:hint="eastAsia"/>
                <w:sz w:val="22"/>
                <w:szCs w:val="22"/>
              </w:rPr>
              <w:br w:type="textWrapping"/>
            </w:r>
            <w:r>
              <w:rPr>
                <w:rFonts w:hint="eastAsia"/>
                <w:sz w:val="22"/>
                <w:szCs w:val="22"/>
              </w:rPr>
              <w:t>南二街-南一街西17  东19香樟</w:t>
            </w:r>
            <w:r>
              <w:rPr>
                <w:rFonts w:hint="eastAsia"/>
                <w:sz w:val="22"/>
                <w:szCs w:val="22"/>
              </w:rPr>
              <w:br w:type="textWrapping"/>
            </w:r>
            <w:r>
              <w:rPr>
                <w:rFonts w:hint="eastAsia"/>
                <w:sz w:val="22"/>
                <w:szCs w:val="22"/>
              </w:rPr>
              <w:t>南一街-南市街西24  东23香樟</w:t>
            </w:r>
            <w:r>
              <w:rPr>
                <w:rFonts w:hint="eastAsia"/>
                <w:sz w:val="22"/>
                <w:szCs w:val="22"/>
              </w:rPr>
              <w:br w:type="textWrapping"/>
            </w:r>
            <w:r>
              <w:rPr>
                <w:rFonts w:hint="eastAsia"/>
                <w:sz w:val="22"/>
                <w:szCs w:val="22"/>
              </w:rPr>
              <w:t>南市街-环城南路东18  岗亭前4香樟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雪泉街</w:t>
            </w:r>
          </w:p>
        </w:tc>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74</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xml:space="preserve">南35（34栾树1白杨）北39栾树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合计</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　</w:t>
            </w:r>
          </w:p>
        </w:tc>
        <w:tc>
          <w:tcPr>
            <w:tcW w:w="1080" w:type="dxa"/>
            <w:shd w:val="clear" w:color="auto" w:fill="auto"/>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517</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ascii="宋体" w:hAnsi="宋体" w:cs="宋体"/>
                <w:sz w:val="22"/>
                <w:szCs w:val="22"/>
              </w:rPr>
              <w:t>9</w:t>
            </w:r>
          </w:p>
        </w:tc>
        <w:tc>
          <w:tcPr>
            <w:tcW w:w="226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名木古树</w:t>
            </w:r>
          </w:p>
        </w:tc>
        <w:tc>
          <w:tcPr>
            <w:tcW w:w="1080" w:type="dxa"/>
            <w:shd w:val="clear" w:color="auto" w:fill="auto"/>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2</w:t>
            </w:r>
          </w:p>
        </w:tc>
        <w:tc>
          <w:tcPr>
            <w:tcW w:w="50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江东大道2株古香樟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总计　</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080" w:type="dxa"/>
            <w:shd w:val="clear" w:color="auto" w:fill="auto"/>
            <w:tcMar>
              <w:top w:w="13" w:type="dxa"/>
              <w:left w:w="13" w:type="dxa"/>
              <w:bottom w:w="0" w:type="dxa"/>
              <w:right w:w="13" w:type="dxa"/>
            </w:tcMar>
            <w:vAlign w:val="center"/>
          </w:tcPr>
          <w:p>
            <w:pPr>
              <w:jc w:val="center"/>
              <w:rPr>
                <w:rFonts w:ascii="宋体" w:hAnsi="宋体" w:cs="宋体"/>
                <w:b/>
                <w:bCs/>
                <w:sz w:val="28"/>
                <w:szCs w:val="28"/>
              </w:rPr>
            </w:pPr>
            <w:r>
              <w:rPr>
                <w:rFonts w:hint="eastAsia"/>
                <w:b/>
                <w:bCs/>
                <w:sz w:val="28"/>
                <w:szCs w:val="28"/>
              </w:rPr>
              <w:t>1928</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标项三</w:t>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城中路——北环路</w:t>
      </w:r>
    </w:p>
    <w:tbl>
      <w:tblPr>
        <w:tblStyle w:val="62"/>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3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40" w:type="dxa"/>
            <w:gridSpan w:val="4"/>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江东大道（北关路-城中路）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247</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东侧：130株（108香樟22银杏），西侧：117株（63香樟，银杏15株,2柏，13桂花）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江东大道（北关路-北环路）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274</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北关路-北环路：西22银杏113香樟；东121香樟18银杏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3</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江滨东路（城中路——北关路）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147</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游览桥-北关桥：62株香樟；紫荆园围墙边47株香樟；游览桥-城中路38香樟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4</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江滨东路（北关路-北环路）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138</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北关路-北环路：西138香樟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5</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江滨路（北关路——北环路）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258</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北关路-书院路：西83法桐；东57法桐</w:t>
            </w:r>
            <w:r>
              <w:rPr>
                <w:rFonts w:hint="eastAsia" w:ascii="宋体" w:hAnsi="宋体" w:cs="宋体"/>
                <w:kern w:val="0"/>
                <w:sz w:val="22"/>
                <w:szCs w:val="22"/>
              </w:rPr>
              <w:br w:type="textWrapping"/>
            </w:r>
            <w:r>
              <w:rPr>
                <w:rFonts w:hint="eastAsia" w:ascii="宋体" w:hAnsi="宋体" w:cs="宋体"/>
                <w:kern w:val="0"/>
                <w:sz w:val="22"/>
                <w:szCs w:val="22"/>
              </w:rPr>
              <w:t>书院路-北环路：西6香樟37法桐；东75法桐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6</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江滨路（城中路—北关路）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256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城中路-中山路西37（12法桐25香樟），</w:t>
            </w:r>
            <w:r>
              <w:rPr>
                <w:rFonts w:hint="eastAsia" w:ascii="宋体" w:hAnsi="宋体" w:cs="宋体"/>
                <w:kern w:val="0"/>
                <w:sz w:val="22"/>
                <w:szCs w:val="22"/>
              </w:rPr>
              <w:br w:type="textWrapping"/>
            </w:r>
            <w:r>
              <w:rPr>
                <w:rFonts w:hint="eastAsia" w:ascii="宋体" w:hAnsi="宋体" w:cs="宋体"/>
                <w:kern w:val="0"/>
                <w:sz w:val="22"/>
                <w:szCs w:val="22"/>
              </w:rPr>
              <w:t>中山路-江城北路西51（32法桐18香樟1广玉兰），</w:t>
            </w:r>
            <w:r>
              <w:rPr>
                <w:rFonts w:hint="eastAsia" w:ascii="宋体" w:hAnsi="宋体" w:cs="宋体"/>
                <w:kern w:val="0"/>
                <w:sz w:val="22"/>
                <w:szCs w:val="22"/>
              </w:rPr>
              <w:br w:type="textWrapping"/>
            </w:r>
            <w:r>
              <w:rPr>
                <w:rFonts w:hint="eastAsia" w:ascii="宋体" w:hAnsi="宋体" w:cs="宋体"/>
                <w:kern w:val="0"/>
                <w:sz w:val="22"/>
                <w:szCs w:val="22"/>
              </w:rPr>
              <w:t>江城北路-北关路西25（24法桐1马褂），</w:t>
            </w:r>
            <w:r>
              <w:rPr>
                <w:rFonts w:hint="eastAsia" w:ascii="宋体" w:hAnsi="宋体" w:cs="宋体"/>
                <w:kern w:val="0"/>
                <w:sz w:val="22"/>
                <w:szCs w:val="22"/>
              </w:rPr>
              <w:br w:type="textWrapping"/>
            </w:r>
            <w:r>
              <w:rPr>
                <w:rFonts w:hint="eastAsia" w:ascii="宋体" w:hAnsi="宋体" w:cs="宋体"/>
                <w:kern w:val="0"/>
                <w:sz w:val="22"/>
                <w:szCs w:val="22"/>
              </w:rPr>
              <w:t>城中路-北关路东143（73香樟69法桐1栾树）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7</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鹿溪南路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67</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城中路-中山路西38香樟东29香樟；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8</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鹿溪中路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中山路-云宾路西25香樟东30香樟；</w:t>
            </w:r>
            <w:r>
              <w:rPr>
                <w:rFonts w:hint="eastAsia" w:ascii="宋体" w:hAnsi="宋体" w:cs="宋体"/>
                <w:kern w:val="0"/>
                <w:sz w:val="22"/>
                <w:szCs w:val="22"/>
              </w:rPr>
              <w:br w:type="textWrapping"/>
            </w:r>
            <w:r>
              <w:rPr>
                <w:rFonts w:hint="eastAsia" w:ascii="宋体" w:hAnsi="宋体" w:cs="宋体"/>
                <w:kern w:val="0"/>
                <w:sz w:val="22"/>
                <w:szCs w:val="22"/>
              </w:rPr>
              <w:t>云宾路-江城北路西35香樟东42香樟；</w:t>
            </w:r>
            <w:r>
              <w:rPr>
                <w:rFonts w:hint="eastAsia" w:ascii="宋体" w:hAnsi="宋体" w:cs="宋体"/>
                <w:kern w:val="0"/>
                <w:sz w:val="22"/>
                <w:szCs w:val="22"/>
              </w:rPr>
              <w:br w:type="textWrapping"/>
            </w:r>
            <w:r>
              <w:rPr>
                <w:rFonts w:hint="eastAsia" w:ascii="宋体" w:hAnsi="宋体" w:cs="宋体"/>
                <w:kern w:val="0"/>
                <w:sz w:val="22"/>
                <w:szCs w:val="22"/>
              </w:rPr>
              <w:t>江城北路-北关路西24香樟东10香樟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9</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鹿溪北路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北关路-书院路：西36香樟；东41香樟，3桂花</w:t>
            </w:r>
            <w:r>
              <w:rPr>
                <w:rFonts w:hint="eastAsia" w:ascii="宋体" w:hAnsi="宋体" w:cs="宋体"/>
                <w:kern w:val="0"/>
                <w:sz w:val="22"/>
                <w:szCs w:val="22"/>
              </w:rPr>
              <w:br w:type="textWrapping"/>
            </w:r>
            <w:r>
              <w:rPr>
                <w:rFonts w:hint="eastAsia" w:ascii="宋体" w:hAnsi="宋体" w:cs="宋体"/>
                <w:kern w:val="0"/>
                <w:sz w:val="22"/>
                <w:szCs w:val="22"/>
              </w:rPr>
              <w:t>书院路-北环路：西61香樟；东62香樟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10</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解放路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69</w:t>
            </w:r>
          </w:p>
        </w:tc>
        <w:tc>
          <w:tcPr>
            <w:tcW w:w="540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城中路—中山路（西）桂花31棵（东）桂花38棵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11</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县河东路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111</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西52法桐，东17桂花，机非隔离带9法桐1水杉</w:t>
            </w:r>
            <w:r>
              <w:rPr>
                <w:rFonts w:hint="eastAsia" w:ascii="宋体" w:hAnsi="宋体" w:cs="宋体"/>
                <w:kern w:val="0"/>
                <w:sz w:val="22"/>
                <w:szCs w:val="22"/>
              </w:rPr>
              <w:br w:type="textWrapping"/>
            </w:r>
            <w:r>
              <w:rPr>
                <w:rFonts w:hint="eastAsia" w:ascii="宋体" w:hAnsi="宋体" w:cs="宋体"/>
                <w:kern w:val="0"/>
                <w:sz w:val="22"/>
                <w:szCs w:val="22"/>
              </w:rPr>
              <w:t>县河东路（云宾路口至云宾幼儿园）西6东4法桐</w:t>
            </w:r>
            <w:r>
              <w:rPr>
                <w:rFonts w:hint="eastAsia" w:ascii="宋体" w:hAnsi="宋体" w:cs="宋体"/>
                <w:kern w:val="0"/>
                <w:sz w:val="22"/>
                <w:szCs w:val="22"/>
              </w:rPr>
              <w:br w:type="textWrapping"/>
            </w:r>
            <w:r>
              <w:rPr>
                <w:rFonts w:hint="eastAsia" w:ascii="宋体" w:hAnsi="宋体" w:cs="宋体"/>
                <w:kern w:val="0"/>
                <w:sz w:val="22"/>
                <w:szCs w:val="22"/>
              </w:rPr>
              <w:t>县河二区北18+南2+2香樟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12</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县河西路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58</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西16（3香樟10桂花2法桐1白杨），东42（19桂花2法桐20香樟1白杨）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13</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中山路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212</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环城西路-解放路南35北29香樟，</w:t>
            </w:r>
            <w:r>
              <w:rPr>
                <w:rFonts w:hint="eastAsia" w:ascii="宋体" w:hAnsi="宋体" w:cs="宋体"/>
                <w:kern w:val="0"/>
                <w:sz w:val="22"/>
                <w:szCs w:val="22"/>
              </w:rPr>
              <w:br w:type="textWrapping"/>
            </w:r>
            <w:r>
              <w:rPr>
                <w:rFonts w:hint="eastAsia" w:ascii="宋体" w:hAnsi="宋体" w:cs="宋体"/>
                <w:kern w:val="0"/>
                <w:sz w:val="22"/>
                <w:szCs w:val="22"/>
              </w:rPr>
              <w:t>解放路-鹿溪南路南21（19香樟2广玉兰）北9（6香樟2广玉兰1桂花），鹿溪南路-江滨路南66（65法桐1女贞）北52（50法桐2香樟）；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14</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云宾路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84</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环城西路-县河东路南17（15法桐，2香樟）北18（13水杉4法桐1香樟），</w:t>
            </w:r>
            <w:r>
              <w:rPr>
                <w:rFonts w:hint="eastAsia" w:ascii="宋体" w:hAnsi="宋体" w:cs="宋体"/>
                <w:kern w:val="0"/>
                <w:sz w:val="22"/>
                <w:szCs w:val="22"/>
              </w:rPr>
              <w:br w:type="textWrapping"/>
            </w:r>
            <w:r>
              <w:rPr>
                <w:rFonts w:hint="eastAsia" w:ascii="宋体" w:hAnsi="宋体" w:cs="宋体"/>
                <w:kern w:val="0"/>
                <w:sz w:val="22"/>
                <w:szCs w:val="22"/>
              </w:rPr>
              <w:t>县河东路-鹿溪中路南26香樟北12（7香樟4法桐1木棉？）, 鹿溪中路以东南面香樟2棵，北面香樟2棵，环卫处门口3香樟广玉兰1棵</w:t>
            </w:r>
            <w:r>
              <w:rPr>
                <w:rFonts w:hint="eastAsia" w:ascii="宋体" w:hAnsi="宋体" w:cs="宋体"/>
                <w:kern w:val="0"/>
                <w:sz w:val="22"/>
                <w:szCs w:val="22"/>
              </w:rPr>
              <w:br w:type="textWrapping"/>
            </w:r>
            <w:r>
              <w:rPr>
                <w:rFonts w:hint="eastAsia" w:ascii="宋体" w:hAnsi="宋体" w:cs="宋体"/>
                <w:kern w:val="0"/>
                <w:sz w:val="22"/>
                <w:szCs w:val="22"/>
              </w:rPr>
              <w:t>环城西路以西：南3香樟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15</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江城北路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182</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凝秀南路-环城西路北10香樟8合欢，南11法桐8合欢</w:t>
            </w:r>
            <w:r>
              <w:rPr>
                <w:rFonts w:hint="eastAsia" w:ascii="宋体" w:hAnsi="宋体" w:cs="宋体"/>
                <w:kern w:val="0"/>
                <w:sz w:val="22"/>
                <w:szCs w:val="22"/>
              </w:rPr>
              <w:br w:type="textWrapping"/>
            </w:r>
            <w:r>
              <w:rPr>
                <w:rFonts w:hint="eastAsia" w:ascii="宋体" w:hAnsi="宋体" w:cs="宋体"/>
                <w:kern w:val="0"/>
                <w:sz w:val="22"/>
                <w:szCs w:val="22"/>
              </w:rPr>
              <w:t>环城西路-鹿溪中路南32（28法桐4香樟）北25（20法桐5香樟），</w:t>
            </w:r>
            <w:r>
              <w:rPr>
                <w:rFonts w:hint="eastAsia" w:ascii="宋体" w:hAnsi="宋体" w:cs="宋体"/>
                <w:kern w:val="0"/>
                <w:sz w:val="22"/>
                <w:szCs w:val="22"/>
              </w:rPr>
              <w:br w:type="textWrapping"/>
            </w:r>
            <w:r>
              <w:rPr>
                <w:rFonts w:hint="eastAsia" w:ascii="宋体" w:hAnsi="宋体" w:cs="宋体"/>
                <w:kern w:val="0"/>
                <w:sz w:val="22"/>
                <w:szCs w:val="22"/>
              </w:rPr>
              <w:t>鹿溪中路-江滨路南44（17香樟26法桐1广玉兰）北44（29法桐13香樟2广玉兰）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16</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凝秀南路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环城西路-江城北路西84无患子东36无患子，</w:t>
            </w:r>
            <w:r>
              <w:rPr>
                <w:rFonts w:hint="eastAsia" w:ascii="宋体" w:hAnsi="宋体" w:cs="宋体"/>
                <w:kern w:val="0"/>
                <w:sz w:val="22"/>
                <w:szCs w:val="22"/>
              </w:rPr>
              <w:br w:type="textWrapping"/>
            </w:r>
            <w:r>
              <w:rPr>
                <w:rFonts w:hint="eastAsia" w:ascii="宋体" w:hAnsi="宋体" w:cs="宋体"/>
                <w:kern w:val="0"/>
                <w:sz w:val="22"/>
                <w:szCs w:val="22"/>
              </w:rPr>
              <w:t>江城北路-北泉街西36黄山栾树东87无患子，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17</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凝秀北路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237</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北泉街-学府街：西58香樟；东60香樟</w:t>
            </w:r>
            <w:r>
              <w:rPr>
                <w:rFonts w:hint="eastAsia" w:ascii="宋体" w:hAnsi="宋体" w:cs="宋体"/>
                <w:kern w:val="0"/>
                <w:sz w:val="22"/>
                <w:szCs w:val="22"/>
              </w:rPr>
              <w:br w:type="textWrapping"/>
            </w:r>
            <w:r>
              <w:rPr>
                <w:rFonts w:hint="eastAsia" w:ascii="宋体" w:hAnsi="宋体" w:cs="宋体"/>
                <w:kern w:val="0"/>
                <w:sz w:val="22"/>
                <w:szCs w:val="22"/>
              </w:rPr>
              <w:t>学府街-北环路：西57香樟；东59香樟，3榉树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18</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礼贤路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198</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学府街-北泉街：西37香樟；东59香樟</w:t>
            </w:r>
            <w:r>
              <w:rPr>
                <w:rFonts w:hint="eastAsia" w:ascii="宋体" w:hAnsi="宋体" w:cs="宋体"/>
                <w:kern w:val="0"/>
                <w:sz w:val="22"/>
                <w:szCs w:val="22"/>
              </w:rPr>
              <w:br w:type="textWrapping"/>
            </w:r>
            <w:r>
              <w:rPr>
                <w:rFonts w:hint="eastAsia" w:ascii="宋体" w:hAnsi="宋体" w:cs="宋体"/>
                <w:kern w:val="0"/>
                <w:sz w:val="22"/>
                <w:szCs w:val="22"/>
              </w:rPr>
              <w:t>北环路-学府街：西53香樟；东49香樟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19</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北关路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42</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鹿溪中路-江滨路南25（23马褂2无患子）</w:t>
            </w:r>
            <w:r>
              <w:rPr>
                <w:rFonts w:hint="eastAsia" w:ascii="宋体" w:hAnsi="宋体" w:cs="宋体"/>
                <w:kern w:val="0"/>
                <w:sz w:val="22"/>
                <w:szCs w:val="22"/>
              </w:rPr>
              <w:br w:type="textWrapping"/>
            </w:r>
            <w:r>
              <w:rPr>
                <w:rFonts w:hint="eastAsia" w:ascii="宋体" w:hAnsi="宋体" w:cs="宋体"/>
                <w:kern w:val="0"/>
                <w:sz w:val="22"/>
                <w:szCs w:val="22"/>
              </w:rPr>
              <w:t>鹿溪中路-环城西路南17香樟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20</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北关路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94</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北关桥头至江东大道北侧：54株（50香樟1广玉兰3黄山栾树）南侧40香樟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21</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北关路延伸（江东大道-315，东接线）</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214</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江东大道-凯旋路南26香樟49榉树北26香樟63榉树，凯旋路-315南32榉树北42榉树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　</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北泉街</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122</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南62香樟，北60（59香樟1桂花）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22</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书院路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江滨路-鹿溪路：南28香樟，1柳树；北30香樟，</w:t>
            </w:r>
            <w:r>
              <w:rPr>
                <w:rFonts w:hint="eastAsia" w:ascii="宋体" w:hAnsi="宋体" w:cs="宋体"/>
                <w:kern w:val="0"/>
                <w:sz w:val="22"/>
                <w:szCs w:val="22"/>
              </w:rPr>
              <w:br w:type="textWrapping"/>
            </w:r>
            <w:r>
              <w:rPr>
                <w:rFonts w:hint="eastAsia" w:ascii="宋体" w:hAnsi="宋体" w:cs="宋体"/>
                <w:kern w:val="0"/>
                <w:sz w:val="22"/>
                <w:szCs w:val="22"/>
              </w:rPr>
              <w:t>鹿溪路-安居路：南7香樟；北10香樟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23</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学府街</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148</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安居路-凝秀路：南47香樟；北52无患子</w:t>
            </w:r>
            <w:r>
              <w:rPr>
                <w:rFonts w:hint="eastAsia" w:ascii="宋体" w:hAnsi="宋体" w:cs="宋体"/>
                <w:kern w:val="0"/>
                <w:sz w:val="22"/>
                <w:szCs w:val="22"/>
              </w:rPr>
              <w:br w:type="textWrapping"/>
            </w:r>
            <w:r>
              <w:rPr>
                <w:rFonts w:hint="eastAsia" w:ascii="宋体" w:hAnsi="宋体" w:cs="宋体"/>
                <w:kern w:val="0"/>
                <w:sz w:val="22"/>
                <w:szCs w:val="22"/>
              </w:rPr>
              <w:t>凝秀路-礼贤路：南11香樟19无患子；北7香樟12无患子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24</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北环路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259</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鹿溪路-凝秀中：南76香樟；北63香樟</w:t>
            </w:r>
            <w:r>
              <w:rPr>
                <w:rFonts w:hint="eastAsia" w:ascii="宋体" w:hAnsi="宋体" w:cs="宋体"/>
                <w:kern w:val="0"/>
                <w:sz w:val="22"/>
                <w:szCs w:val="22"/>
              </w:rPr>
              <w:br w:type="textWrapping"/>
            </w:r>
            <w:r>
              <w:rPr>
                <w:rFonts w:hint="eastAsia" w:ascii="宋体" w:hAnsi="宋体" w:cs="宋体"/>
                <w:kern w:val="0"/>
                <w:sz w:val="22"/>
                <w:szCs w:val="22"/>
              </w:rPr>
              <w:t>凝秀中-礼贤路：南34香樟；北44香樟</w:t>
            </w:r>
            <w:r>
              <w:rPr>
                <w:rFonts w:hint="eastAsia" w:ascii="宋体" w:hAnsi="宋体" w:cs="宋体"/>
                <w:kern w:val="0"/>
                <w:sz w:val="22"/>
                <w:szCs w:val="22"/>
              </w:rPr>
              <w:br w:type="textWrapping"/>
            </w:r>
            <w:r>
              <w:rPr>
                <w:rFonts w:hint="eastAsia" w:ascii="宋体" w:hAnsi="宋体" w:cs="宋体"/>
                <w:kern w:val="0"/>
                <w:sz w:val="22"/>
                <w:szCs w:val="22"/>
              </w:rPr>
              <w:t>江滨路-鹿溪路：北19香樟；南23香樟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238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080" w:type="dxa"/>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4105</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8860" w:type="dxa"/>
            <w:gridSpan w:val="3"/>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北关里行道树</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xml:space="preserve">江城北路-环城西路：东6香樟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环城西路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城中路-中山路西16香樟东11香樟；</w:t>
            </w:r>
            <w:r>
              <w:rPr>
                <w:rFonts w:hint="eastAsia" w:ascii="宋体" w:hAnsi="宋体" w:cs="宋体"/>
                <w:kern w:val="0"/>
                <w:sz w:val="22"/>
                <w:szCs w:val="22"/>
              </w:rPr>
              <w:br w:type="textWrapping"/>
            </w:r>
            <w:r>
              <w:rPr>
                <w:rFonts w:hint="eastAsia" w:ascii="宋体" w:hAnsi="宋体" w:cs="宋体"/>
                <w:kern w:val="0"/>
                <w:sz w:val="22"/>
                <w:szCs w:val="22"/>
              </w:rPr>
              <w:t>中山路-县河西路西16香樟东26香樟；</w:t>
            </w:r>
            <w:r>
              <w:rPr>
                <w:rFonts w:hint="eastAsia" w:ascii="宋体" w:hAnsi="宋体" w:cs="宋体"/>
                <w:kern w:val="0"/>
                <w:sz w:val="22"/>
                <w:szCs w:val="22"/>
              </w:rPr>
              <w:br w:type="textWrapping"/>
            </w:r>
            <w:r>
              <w:rPr>
                <w:rFonts w:hint="eastAsia" w:ascii="宋体" w:hAnsi="宋体" w:cs="宋体"/>
                <w:kern w:val="0"/>
                <w:sz w:val="22"/>
                <w:szCs w:val="22"/>
              </w:rPr>
              <w:t>县河西路-云宾路西26香樟东22（21香樟1法桐）；</w:t>
            </w:r>
            <w:r>
              <w:rPr>
                <w:rFonts w:hint="eastAsia" w:ascii="宋体" w:hAnsi="宋体" w:cs="宋体"/>
                <w:kern w:val="0"/>
                <w:sz w:val="22"/>
                <w:szCs w:val="22"/>
              </w:rPr>
              <w:br w:type="textWrapping"/>
            </w:r>
            <w:r>
              <w:rPr>
                <w:rFonts w:hint="eastAsia" w:ascii="宋体" w:hAnsi="宋体" w:cs="宋体"/>
                <w:kern w:val="0"/>
                <w:sz w:val="22"/>
                <w:szCs w:val="22"/>
              </w:rPr>
              <w:t>云宾路-江城北路西法桐14，道岔口法桐7</w:t>
            </w:r>
            <w:r>
              <w:rPr>
                <w:rFonts w:hint="eastAsia" w:ascii="宋体" w:hAnsi="宋体" w:cs="宋体"/>
                <w:kern w:val="0"/>
                <w:sz w:val="22"/>
                <w:szCs w:val="22"/>
              </w:rPr>
              <w:br w:type="textWrapping"/>
            </w:r>
            <w:r>
              <w:rPr>
                <w:rFonts w:hint="eastAsia" w:ascii="宋体" w:hAnsi="宋体" w:cs="宋体"/>
                <w:kern w:val="0"/>
                <w:sz w:val="22"/>
                <w:szCs w:val="22"/>
              </w:rPr>
              <w:t>锦绣家园门前4法桐4香樟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锦绣家园外围行道树</w:t>
            </w:r>
            <w:r>
              <w:rPr>
                <w:rFonts w:hint="eastAsia" w:ascii="MS Mincho" w:hAnsi="MS Mincho" w:eastAsia="MS Mincho" w:cs="MS Mincho"/>
                <w:kern w:val="0"/>
                <w:sz w:val="22"/>
                <w:szCs w:val="22"/>
              </w:rPr>
              <w:t>∅</w:t>
            </w:r>
            <w:r>
              <w:rPr>
                <w:rFonts w:hint="eastAsia" w:ascii="宋体" w:hAnsi="宋体" w:cs="宋体"/>
                <w:kern w:val="0"/>
                <w:sz w:val="22"/>
                <w:szCs w:val="22"/>
              </w:rPr>
              <w:t>＜20cm</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锦绣家园南、西侧围墙外29香樟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大润发周边</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79</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西面24法桐，南面30（南21法桐北9法桐），北面25（南15法桐北10法桐）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紫荆园</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紫荆园小区门口银杏6株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江城菜场边</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西桂花19东14（桂花13法桐1）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鹿鸣山庄门口</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13银杏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蜜蜂广场南侧</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29</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南15香樟，北14香樟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新华路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27</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鹿溪渠-鹿溪路：南8北7香樟；</w:t>
            </w:r>
            <w:r>
              <w:rPr>
                <w:rFonts w:hint="eastAsia" w:ascii="宋体" w:hAnsi="宋体" w:cs="宋体"/>
                <w:kern w:val="0"/>
                <w:sz w:val="22"/>
                <w:szCs w:val="22"/>
              </w:rPr>
              <w:br w:type="textWrapping"/>
            </w:r>
            <w:r>
              <w:rPr>
                <w:rFonts w:hint="eastAsia" w:ascii="宋体" w:hAnsi="宋体" w:cs="宋体"/>
                <w:kern w:val="0"/>
                <w:sz w:val="22"/>
                <w:szCs w:val="22"/>
              </w:rPr>
              <w:t xml:space="preserve">鹿溪路以西：南6北6香樟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安居路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xml:space="preserve">城北广场-北泉街：西10香樟东13香樟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健身路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北侧9马褂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民声路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39</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中山路-新华路西2法桐东9（2法桐7马褂）；</w:t>
            </w:r>
            <w:r>
              <w:rPr>
                <w:rFonts w:hint="eastAsia" w:ascii="宋体" w:hAnsi="宋体" w:cs="宋体"/>
                <w:kern w:val="0"/>
                <w:sz w:val="22"/>
                <w:szCs w:val="22"/>
              </w:rPr>
              <w:br w:type="textWrapping"/>
            </w:r>
            <w:r>
              <w:rPr>
                <w:rFonts w:hint="eastAsia" w:ascii="宋体" w:hAnsi="宋体" w:cs="宋体"/>
                <w:kern w:val="0"/>
                <w:sz w:val="22"/>
                <w:szCs w:val="22"/>
              </w:rPr>
              <w:t>新华路-北关路西18（17法桐1马褂）东10法桐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牛头岭路（凯升路）</w:t>
            </w:r>
          </w:p>
        </w:tc>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131</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南侧：4香樟62黄山栾树，北侧：65（56黄山栾树6香樟3无患子）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1080" w:type="dxa"/>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594</w:t>
            </w:r>
          </w:p>
        </w:tc>
        <w:tc>
          <w:tcPr>
            <w:tcW w:w="540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w:t>
            </w:r>
          </w:p>
        </w:tc>
        <w:tc>
          <w:tcPr>
            <w:tcW w:w="23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名木古树</w:t>
            </w:r>
          </w:p>
        </w:tc>
        <w:tc>
          <w:tcPr>
            <w:tcW w:w="1080" w:type="dxa"/>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13</w:t>
            </w:r>
          </w:p>
        </w:tc>
        <w:tc>
          <w:tcPr>
            <w:tcW w:w="5400"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人武部银杏11株，书院里1株古香樟，鹿溪路1株古香樟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总计</w:t>
            </w:r>
          </w:p>
        </w:tc>
        <w:tc>
          <w:tcPr>
            <w:tcW w:w="2380" w:type="dxa"/>
            <w:shd w:val="clear" w:color="auto" w:fill="auto"/>
            <w:vAlign w:val="center"/>
          </w:tcPr>
          <w:p>
            <w:pPr>
              <w:widowControl/>
              <w:adjustRightInd/>
              <w:jc w:val="center"/>
              <w:rPr>
                <w:rFonts w:ascii="宋体" w:hAnsi="宋体" w:cs="宋体"/>
                <w:kern w:val="0"/>
                <w:sz w:val="22"/>
                <w:szCs w:val="22"/>
              </w:rPr>
            </w:pPr>
          </w:p>
        </w:tc>
        <w:tc>
          <w:tcPr>
            <w:tcW w:w="1080" w:type="dxa"/>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4712</w:t>
            </w:r>
          </w:p>
        </w:tc>
        <w:tc>
          <w:tcPr>
            <w:tcW w:w="5400" w:type="dxa"/>
            <w:shd w:val="clear" w:color="auto" w:fill="auto"/>
            <w:vAlign w:val="center"/>
          </w:tcPr>
          <w:p>
            <w:pPr>
              <w:widowControl/>
              <w:adjustRightInd/>
              <w:jc w:val="center"/>
              <w:rPr>
                <w:rFonts w:ascii="宋体" w:hAnsi="宋体" w:cs="宋体"/>
                <w:kern w:val="0"/>
                <w:sz w:val="22"/>
                <w:szCs w:val="22"/>
              </w:rPr>
            </w:pP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标项四</w:t>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北环路——站前大道</w:t>
      </w:r>
    </w:p>
    <w:tbl>
      <w:tblPr>
        <w:tblStyle w:val="6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1"/>
        <w:gridCol w:w="2556"/>
        <w:gridCol w:w="1161"/>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880" w:type="dxa"/>
            <w:gridSpan w:val="4"/>
            <w:shd w:val="clear" w:color="auto" w:fill="auto"/>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w:t>
            </w:r>
          </w:p>
        </w:tc>
        <w:tc>
          <w:tcPr>
            <w:tcW w:w="23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江东大道（北环路-杨梅溪口）</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324</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北环路-杨梅溪口：西70香樟；东35香樟                         杨梅溪口-安瑞北公厕：西121香樟；东98香樟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江滨北路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372</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站前大道-文教路：西65香樟；东80香樟</w:t>
            </w:r>
            <w:r>
              <w:rPr>
                <w:rFonts w:hint="eastAsia"/>
                <w:sz w:val="22"/>
                <w:szCs w:val="22"/>
              </w:rPr>
              <w:br w:type="textWrapping"/>
            </w:r>
            <w:r>
              <w:rPr>
                <w:rFonts w:hint="eastAsia"/>
                <w:sz w:val="22"/>
                <w:szCs w:val="22"/>
              </w:rPr>
              <w:t>文教路-文苑路：西54香樟；东60香樟</w:t>
            </w:r>
            <w:r>
              <w:rPr>
                <w:rFonts w:hint="eastAsia"/>
                <w:sz w:val="22"/>
                <w:szCs w:val="22"/>
              </w:rPr>
              <w:br w:type="textWrapping"/>
            </w:r>
            <w:r>
              <w:rPr>
                <w:rFonts w:hint="eastAsia"/>
                <w:sz w:val="22"/>
                <w:szCs w:val="22"/>
              </w:rPr>
              <w:t>文苑路-北环路：西47香樟；东66香樟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鹿溪北路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341</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北环路-文苑路：西36香樟32柳树16银杏；东37香樟</w:t>
            </w:r>
            <w:r>
              <w:rPr>
                <w:rFonts w:hint="eastAsia"/>
                <w:sz w:val="22"/>
                <w:szCs w:val="22"/>
              </w:rPr>
              <w:br w:type="textWrapping"/>
            </w:r>
            <w:r>
              <w:rPr>
                <w:rFonts w:hint="eastAsia"/>
                <w:sz w:val="22"/>
                <w:szCs w:val="22"/>
              </w:rPr>
              <w:t>文苑路-文教路：西34香樟18柳树41银杏；东59香樟</w:t>
            </w:r>
            <w:r>
              <w:rPr>
                <w:rFonts w:hint="eastAsia"/>
                <w:sz w:val="22"/>
                <w:szCs w:val="22"/>
              </w:rPr>
              <w:br w:type="textWrapping"/>
            </w:r>
            <w:r>
              <w:rPr>
                <w:rFonts w:hint="eastAsia"/>
                <w:sz w:val="22"/>
                <w:szCs w:val="22"/>
              </w:rPr>
              <w:t>文教路—站前大道：西1香樟，14垂柳；东53香樟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凝秀北路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337</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北环路-文苑路：西67香樟；东40香樟5无患子4栾树</w:t>
            </w:r>
            <w:r>
              <w:rPr>
                <w:rFonts w:hint="eastAsia"/>
                <w:sz w:val="22"/>
                <w:szCs w:val="22"/>
              </w:rPr>
              <w:br w:type="textWrapping"/>
            </w:r>
            <w:r>
              <w:rPr>
                <w:rFonts w:hint="eastAsia"/>
                <w:sz w:val="22"/>
                <w:szCs w:val="22"/>
              </w:rPr>
              <w:t>文苑路-文教路：西64香樟；东69香樟</w:t>
            </w:r>
            <w:r>
              <w:rPr>
                <w:rFonts w:hint="eastAsia"/>
                <w:sz w:val="22"/>
                <w:szCs w:val="22"/>
              </w:rPr>
              <w:br w:type="textWrapping"/>
            </w:r>
            <w:r>
              <w:rPr>
                <w:rFonts w:hint="eastAsia"/>
                <w:sz w:val="22"/>
                <w:szCs w:val="22"/>
              </w:rPr>
              <w:t>文教路—站前大道：西66香樟，东62香樟；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礼贤路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299</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北环路-文苑路：西47香樟；东46香樟</w:t>
            </w:r>
            <w:r>
              <w:rPr>
                <w:rFonts w:hint="eastAsia"/>
                <w:sz w:val="22"/>
                <w:szCs w:val="22"/>
              </w:rPr>
              <w:br w:type="textWrapping"/>
            </w:r>
            <w:r>
              <w:rPr>
                <w:rFonts w:hint="eastAsia"/>
                <w:sz w:val="22"/>
                <w:szCs w:val="22"/>
              </w:rPr>
              <w:t>文苑路-文教路：西32香樟；东52香樟</w:t>
            </w:r>
            <w:r>
              <w:rPr>
                <w:rFonts w:hint="eastAsia"/>
                <w:sz w:val="22"/>
                <w:szCs w:val="22"/>
              </w:rPr>
              <w:br w:type="textWrapping"/>
            </w:r>
            <w:r>
              <w:rPr>
                <w:rFonts w:hint="eastAsia"/>
                <w:sz w:val="22"/>
                <w:szCs w:val="22"/>
              </w:rPr>
              <w:t>文教路-站前大道：西40香樟；东47香樟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文苑路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330</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江滨北路-鹿溪路：南29栾树，北28栾树</w:t>
            </w:r>
            <w:r>
              <w:rPr>
                <w:rFonts w:hint="eastAsia"/>
                <w:sz w:val="22"/>
                <w:szCs w:val="22"/>
              </w:rPr>
              <w:br w:type="textWrapping"/>
            </w:r>
            <w:r>
              <w:rPr>
                <w:rFonts w:hint="eastAsia"/>
                <w:sz w:val="22"/>
                <w:szCs w:val="22"/>
              </w:rPr>
              <w:t>鹿溪路-凝秀路：南76栾树，71栾树</w:t>
            </w:r>
            <w:r>
              <w:rPr>
                <w:rFonts w:hint="eastAsia"/>
                <w:sz w:val="22"/>
                <w:szCs w:val="22"/>
              </w:rPr>
              <w:br w:type="textWrapping"/>
            </w:r>
            <w:r>
              <w:rPr>
                <w:rFonts w:hint="eastAsia"/>
                <w:sz w:val="22"/>
                <w:szCs w:val="22"/>
              </w:rPr>
              <w:t>凝秀路-礼贤路：南71栾树，55栾树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文教路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316</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礼贤路-凝秀路：南76香樟；北70香樟</w:t>
            </w:r>
            <w:r>
              <w:rPr>
                <w:rFonts w:hint="eastAsia"/>
                <w:sz w:val="22"/>
                <w:szCs w:val="22"/>
              </w:rPr>
              <w:br w:type="textWrapping"/>
            </w:r>
            <w:r>
              <w:rPr>
                <w:rFonts w:hint="eastAsia"/>
                <w:sz w:val="22"/>
                <w:szCs w:val="22"/>
              </w:rPr>
              <w:t>凝秀路-鹿溪路：南73香樟；北68棵</w:t>
            </w:r>
            <w:r>
              <w:rPr>
                <w:rFonts w:hint="eastAsia"/>
                <w:sz w:val="22"/>
                <w:szCs w:val="22"/>
              </w:rPr>
              <w:br w:type="textWrapping"/>
            </w:r>
            <w:r>
              <w:rPr>
                <w:rFonts w:hint="eastAsia"/>
                <w:sz w:val="22"/>
                <w:szCs w:val="22"/>
              </w:rPr>
              <w:t>鹿溪路-江滨北：南23香樟；北6香樟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合计</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080" w:type="dxa"/>
            <w:shd w:val="clear" w:color="auto" w:fill="auto"/>
            <w:tcMar>
              <w:top w:w="13" w:type="dxa"/>
              <w:left w:w="13" w:type="dxa"/>
              <w:bottom w:w="0" w:type="dxa"/>
              <w:right w:w="13" w:type="dxa"/>
            </w:tcMar>
            <w:vAlign w:val="center"/>
          </w:tcPr>
          <w:p>
            <w:pPr>
              <w:jc w:val="center"/>
              <w:rPr>
                <w:rFonts w:ascii="宋体" w:hAnsi="宋体" w:cs="宋体"/>
                <w:b/>
                <w:bCs/>
                <w:sz w:val="22"/>
                <w:szCs w:val="22"/>
              </w:rPr>
            </w:pPr>
            <w:r>
              <w:rPr>
                <w:rFonts w:hint="eastAsia"/>
                <w:b/>
                <w:bCs/>
                <w:sz w:val="22"/>
                <w:szCs w:val="22"/>
              </w:rPr>
              <w:t>2319</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880" w:type="dxa"/>
            <w:gridSpan w:val="4"/>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白渡路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210</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文苑路-文教路：西72栾树；东63栾树</w:t>
            </w:r>
            <w:r>
              <w:rPr>
                <w:rFonts w:hint="eastAsia"/>
                <w:sz w:val="22"/>
                <w:szCs w:val="22"/>
              </w:rPr>
              <w:br w:type="textWrapping"/>
            </w:r>
            <w:r>
              <w:rPr>
                <w:rFonts w:hint="eastAsia"/>
                <w:sz w:val="22"/>
                <w:szCs w:val="22"/>
              </w:rPr>
              <w:t>文教以北：75无患子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文景路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86</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凝秀路-白渡路：28无患子</w:t>
            </w:r>
            <w:r>
              <w:rPr>
                <w:rFonts w:hint="eastAsia"/>
                <w:sz w:val="22"/>
                <w:szCs w:val="22"/>
              </w:rPr>
              <w:br w:type="textWrapping"/>
            </w:r>
            <w:r>
              <w:rPr>
                <w:rFonts w:hint="eastAsia"/>
                <w:sz w:val="22"/>
                <w:szCs w:val="22"/>
              </w:rPr>
              <w:t>白渡路-文教路：58无患子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3</w:t>
            </w:r>
          </w:p>
        </w:tc>
        <w:tc>
          <w:tcPr>
            <w:tcW w:w="238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幼儿成长中心西侧道路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0"/>
                <w:szCs w:val="20"/>
              </w:rPr>
            </w:pPr>
            <w:r>
              <w:rPr>
                <w:rFonts w:hint="eastAsia"/>
                <w:sz w:val="20"/>
                <w:szCs w:val="20"/>
              </w:rPr>
              <w:t>104</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104榉树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4</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黄陈垃圾中转站</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25</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西8香樟，4无患子；东6香樟，7无患子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5</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博瑞明珠城东侧配套</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25</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25香樟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6</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文教西路</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154</w:t>
            </w:r>
          </w:p>
        </w:tc>
        <w:tc>
          <w:tcPr>
            <w:tcW w:w="4340" w:type="dxa"/>
            <w:shd w:val="clear" w:color="auto" w:fill="auto"/>
            <w:tcMar>
              <w:top w:w="13" w:type="dxa"/>
              <w:left w:w="13" w:type="dxa"/>
              <w:bottom w:w="0" w:type="dxa"/>
              <w:right w:w="13" w:type="dxa"/>
            </w:tcMar>
            <w:vAlign w:val="center"/>
          </w:tcPr>
          <w:p>
            <w:pPr>
              <w:rPr>
                <w:rFonts w:ascii="宋体" w:hAnsi="宋体" w:cs="宋体"/>
                <w:sz w:val="22"/>
                <w:szCs w:val="22"/>
              </w:rPr>
            </w:pPr>
            <w:r>
              <w:rPr>
                <w:rFonts w:hint="eastAsia"/>
                <w:sz w:val="22"/>
                <w:szCs w:val="22"/>
              </w:rPr>
              <w:t>南62香樟；北92香樟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7</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创新大厦西侧</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18</w:t>
            </w:r>
          </w:p>
        </w:tc>
        <w:tc>
          <w:tcPr>
            <w:tcW w:w="4340" w:type="dxa"/>
            <w:shd w:val="clear" w:color="auto" w:fill="auto"/>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东9榉树，西9榉树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8</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天余菜场东</w:t>
            </w:r>
          </w:p>
        </w:tc>
        <w:tc>
          <w:tcPr>
            <w:tcW w:w="0" w:type="auto"/>
            <w:shd w:val="clear" w:color="auto" w:fill="auto"/>
            <w:noWrap/>
            <w:tcMar>
              <w:top w:w="13" w:type="dxa"/>
              <w:left w:w="13" w:type="dxa"/>
              <w:bottom w:w="0" w:type="dxa"/>
              <w:right w:w="13" w:type="dxa"/>
            </w:tcMar>
            <w:vAlign w:val="center"/>
          </w:tcPr>
          <w:p>
            <w:pPr>
              <w:jc w:val="center"/>
              <w:rPr>
                <w:sz w:val="22"/>
                <w:szCs w:val="22"/>
              </w:rPr>
            </w:pPr>
            <w:r>
              <w:rPr>
                <w:rFonts w:hint="eastAsia"/>
                <w:sz w:val="22"/>
                <w:szCs w:val="22"/>
              </w:rPr>
              <w:t>10</w:t>
            </w:r>
          </w:p>
        </w:tc>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10黄山栾树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jc w:val="center"/>
              <w:rPr>
                <w:rFonts w:ascii="宋体" w:hAnsi="宋体" w:cs="宋体"/>
                <w:sz w:val="22"/>
                <w:szCs w:val="22"/>
              </w:rPr>
            </w:pPr>
            <w:r>
              <w:rPr>
                <w:rFonts w:hint="eastAsia"/>
                <w:sz w:val="22"/>
                <w:szCs w:val="22"/>
              </w:rPr>
              <w:t>合计</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c>
          <w:tcPr>
            <w:tcW w:w="1080" w:type="dxa"/>
            <w:shd w:val="clear" w:color="auto" w:fill="auto"/>
            <w:tcMar>
              <w:top w:w="13" w:type="dxa"/>
              <w:left w:w="13" w:type="dxa"/>
              <w:bottom w:w="0" w:type="dxa"/>
              <w:right w:w="13" w:type="dxa"/>
            </w:tcMar>
            <w:vAlign w:val="center"/>
          </w:tcPr>
          <w:p>
            <w:pPr>
              <w:jc w:val="center"/>
              <w:rPr>
                <w:sz w:val="22"/>
                <w:szCs w:val="22"/>
              </w:rPr>
            </w:pPr>
            <w:r>
              <w:rPr>
                <w:rFonts w:hint="eastAsia"/>
                <w:sz w:val="22"/>
                <w:szCs w:val="22"/>
              </w:rPr>
              <w:t>632</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r>
              <w:rPr>
                <w:rFonts w:hint="eastAsia" w:ascii="宋体" w:hAnsi="宋体" w:cs="宋体"/>
                <w:sz w:val="22"/>
                <w:szCs w:val="22"/>
              </w:rPr>
              <w:t>总计</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p>
        </w:tc>
        <w:tc>
          <w:tcPr>
            <w:tcW w:w="1080" w:type="dxa"/>
            <w:shd w:val="clear" w:color="auto" w:fill="auto"/>
            <w:tcMar>
              <w:top w:w="13" w:type="dxa"/>
              <w:left w:w="13" w:type="dxa"/>
              <w:bottom w:w="0" w:type="dxa"/>
              <w:right w:w="13" w:type="dxa"/>
            </w:tcMar>
            <w:vAlign w:val="center"/>
          </w:tcPr>
          <w:p>
            <w:pPr>
              <w:jc w:val="center"/>
              <w:rPr>
                <w:sz w:val="22"/>
                <w:szCs w:val="22"/>
              </w:rPr>
            </w:pPr>
            <w:r>
              <w:rPr>
                <w:rFonts w:hint="eastAsia"/>
                <w:sz w:val="22"/>
                <w:szCs w:val="22"/>
              </w:rPr>
              <w:t>2951</w:t>
            </w:r>
          </w:p>
        </w:tc>
        <w:tc>
          <w:tcPr>
            <w:tcW w:w="0" w:type="auto"/>
            <w:shd w:val="clear" w:color="auto" w:fill="auto"/>
            <w:noWrap/>
            <w:tcMar>
              <w:top w:w="13" w:type="dxa"/>
              <w:left w:w="13" w:type="dxa"/>
              <w:bottom w:w="0" w:type="dxa"/>
              <w:right w:w="13" w:type="dxa"/>
            </w:tcMar>
            <w:vAlign w:val="center"/>
          </w:tcPr>
          <w:p>
            <w:pPr>
              <w:rPr>
                <w:rFonts w:ascii="宋体" w:hAnsi="宋体" w:cs="宋体"/>
                <w:sz w:val="22"/>
                <w:szCs w:val="22"/>
              </w:rPr>
            </w:pPr>
          </w:p>
        </w:tc>
      </w:tr>
    </w:tbl>
    <w:p>
      <w:pPr>
        <w:adjustRightInd/>
        <w:spacing w:line="360" w:lineRule="auto"/>
        <w:jc w:val="center"/>
        <w:outlineLvl w:val="0"/>
        <w:rPr>
          <w:rFonts w:ascii="仿宋" w:hAnsi="仿宋" w:eastAsia="仿宋" w:cs="仿宋_GB2312"/>
          <w:b/>
          <w:sz w:val="24"/>
        </w:rPr>
      </w:pPr>
    </w:p>
    <w:p>
      <w:pPr>
        <w:pStyle w:val="2"/>
      </w:pPr>
      <w:r>
        <w:br w:type="page"/>
      </w:r>
    </w:p>
    <w:p>
      <w:pPr>
        <w:adjustRightInd/>
        <w:spacing w:line="360" w:lineRule="auto"/>
        <w:jc w:val="center"/>
        <w:outlineLvl w:val="0"/>
        <w:rPr>
          <w:rFonts w:ascii="仿宋" w:hAnsi="仿宋" w:eastAsia="仿宋" w:cs="仿宋_GB2312"/>
          <w:b/>
          <w:sz w:val="24"/>
        </w:rPr>
      </w:pPr>
      <w:r>
        <w:rPr>
          <w:rFonts w:hint="eastAsia" w:ascii="仿宋" w:hAnsi="仿宋" w:eastAsia="仿宋" w:cs="仿宋_GB2312"/>
          <w:b/>
          <w:sz w:val="24"/>
        </w:rPr>
        <w:t>标项五</w:t>
      </w:r>
    </w:p>
    <w:p>
      <w:pPr>
        <w:pStyle w:val="2"/>
        <w:jc w:val="center"/>
        <w:rPr>
          <w:sz w:val="28"/>
          <w:szCs w:val="28"/>
          <w:lang w:val="en-US"/>
        </w:rPr>
      </w:pPr>
      <w:r>
        <w:rPr>
          <w:rFonts w:hint="eastAsia"/>
          <w:sz w:val="28"/>
          <w:szCs w:val="28"/>
          <w:lang w:val="en-US"/>
        </w:rPr>
        <w:t>站前大道以北</w:t>
      </w:r>
    </w:p>
    <w:tbl>
      <w:tblPr>
        <w:tblStyle w:val="62"/>
        <w:tblW w:w="80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620"/>
        <w:gridCol w:w="1154"/>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20" w:type="dxa"/>
            <w:gridSpan w:val="4"/>
            <w:shd w:val="clear" w:color="auto" w:fill="auto"/>
            <w:vAlign w:val="center"/>
          </w:tcPr>
          <w:p>
            <w:pPr>
              <w:widowControl/>
              <w:adjustRightInd/>
              <w:jc w:val="center"/>
              <w:rPr>
                <w:rFonts w:ascii="宋体" w:hAnsi="宋体" w:cs="宋体"/>
                <w:kern w:val="0"/>
                <w:sz w:val="20"/>
                <w:szCs w:val="20"/>
              </w:rPr>
            </w:pPr>
            <w:r>
              <w:rPr>
                <w:rFonts w:hint="eastAsia" w:ascii="宋体" w:hAnsi="宋体" w:cs="宋体"/>
                <w:kern w:val="0"/>
                <w:sz w:val="20"/>
                <w:szCs w:val="20"/>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江东大道（杨梅溪口以北）</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114</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安瑞北公厕以北：西10香樟，9桂花，1无患子，1楝树；东74香樟，11桂花，4无患子，4银杏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迎宾大道（须江以东）</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97</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南49香樟，北48香樟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迎宾大道（高速出口）</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65</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南19香樟，北46香樟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迎宾大道（须江西侧）</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241</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鹿溪北路-凝秀北路：北82香樟；南63香樟</w:t>
            </w:r>
            <w:r>
              <w:rPr>
                <w:rFonts w:hint="eastAsia" w:ascii="宋体" w:hAnsi="宋体" w:cs="宋体"/>
                <w:kern w:val="0"/>
                <w:sz w:val="22"/>
                <w:szCs w:val="22"/>
              </w:rPr>
              <w:br w:type="textWrapping"/>
            </w:r>
            <w:r>
              <w:rPr>
                <w:rFonts w:hint="eastAsia" w:ascii="宋体" w:hAnsi="宋体" w:cs="宋体"/>
                <w:kern w:val="0"/>
                <w:sz w:val="22"/>
                <w:szCs w:val="22"/>
              </w:rPr>
              <w:t>凝秀北路-礼贤路：北79香樟；南17香樟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鹿溪北路（站前大道以北）</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107</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站前大道-迎宾大道：西21柳树，26香樟，迎宾大道以北：22银杏；东38香樟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凝秀北路（站前大道以北）</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107</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站前大道-迎宾大道：西60香樟；东47香樟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礼贤路（站前大道以北）</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站前大道-迎宾大道：东11香樟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锦绣一街</w:t>
            </w:r>
          </w:p>
        </w:tc>
        <w:tc>
          <w:tcPr>
            <w:tcW w:w="1154"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139</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北：65榉树；南:74榉树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2620" w:type="dxa"/>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154" w:type="dxa"/>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881</w:t>
            </w:r>
          </w:p>
        </w:tc>
        <w:tc>
          <w:tcPr>
            <w:tcW w:w="3525" w:type="dxa"/>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20" w:type="dxa"/>
            <w:gridSpan w:val="4"/>
            <w:shd w:val="clear" w:color="auto" w:fill="auto"/>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大都会和锦绣江外之间</w:t>
            </w:r>
          </w:p>
        </w:tc>
        <w:tc>
          <w:tcPr>
            <w:tcW w:w="1154" w:type="dxa"/>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90</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西50无患子；东40榉树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2620"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礼贤路延伸</w:t>
            </w:r>
          </w:p>
        </w:tc>
        <w:tc>
          <w:tcPr>
            <w:tcW w:w="1154" w:type="dxa"/>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232</w:t>
            </w:r>
          </w:p>
        </w:tc>
        <w:tc>
          <w:tcPr>
            <w:tcW w:w="3525" w:type="dxa"/>
            <w:shd w:val="clear" w:color="auto" w:fill="auto"/>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西123香樟；东109香樟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2620" w:type="dxa"/>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c>
          <w:tcPr>
            <w:tcW w:w="1154"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322</w:t>
            </w:r>
          </w:p>
        </w:tc>
        <w:tc>
          <w:tcPr>
            <w:tcW w:w="3525" w:type="dxa"/>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1" w:type="dxa"/>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总计</w:t>
            </w:r>
          </w:p>
        </w:tc>
        <w:tc>
          <w:tcPr>
            <w:tcW w:w="2620" w:type="dxa"/>
            <w:shd w:val="clear" w:color="auto" w:fill="auto"/>
            <w:noWrap/>
            <w:vAlign w:val="center"/>
          </w:tcPr>
          <w:p>
            <w:pPr>
              <w:widowControl/>
              <w:adjustRightInd/>
              <w:jc w:val="left"/>
              <w:rPr>
                <w:rFonts w:ascii="宋体" w:hAnsi="宋体" w:cs="宋体"/>
                <w:kern w:val="0"/>
                <w:sz w:val="22"/>
                <w:szCs w:val="22"/>
              </w:rPr>
            </w:pPr>
          </w:p>
        </w:tc>
        <w:tc>
          <w:tcPr>
            <w:tcW w:w="1154" w:type="dxa"/>
            <w:shd w:val="clear" w:color="auto" w:fill="auto"/>
            <w:vAlign w:val="center"/>
          </w:tcPr>
          <w:p>
            <w:pPr>
              <w:widowControl/>
              <w:adjustRightInd/>
              <w:jc w:val="center"/>
              <w:rPr>
                <w:rFonts w:ascii="宋体" w:hAnsi="宋体" w:cs="宋体"/>
                <w:b/>
                <w:bCs/>
                <w:kern w:val="0"/>
                <w:sz w:val="24"/>
              </w:rPr>
            </w:pPr>
            <w:r>
              <w:rPr>
                <w:rFonts w:hint="eastAsia" w:ascii="宋体" w:hAnsi="宋体" w:cs="宋体"/>
                <w:b/>
                <w:bCs/>
                <w:kern w:val="0"/>
                <w:sz w:val="24"/>
              </w:rPr>
              <w:t>1203</w:t>
            </w:r>
          </w:p>
        </w:tc>
        <w:tc>
          <w:tcPr>
            <w:tcW w:w="3525" w:type="dxa"/>
            <w:shd w:val="clear" w:color="auto" w:fill="auto"/>
            <w:noWrap/>
            <w:vAlign w:val="center"/>
          </w:tcPr>
          <w:p>
            <w:pPr>
              <w:widowControl/>
              <w:adjustRightInd/>
              <w:jc w:val="left"/>
              <w:rPr>
                <w:rFonts w:ascii="宋体" w:hAnsi="宋体" w:cs="宋体"/>
                <w:kern w:val="0"/>
                <w:sz w:val="22"/>
                <w:szCs w:val="22"/>
              </w:rPr>
            </w:pPr>
          </w:p>
        </w:tc>
      </w:tr>
    </w:tbl>
    <w:p>
      <w:pPr>
        <w:adjustRightInd/>
        <w:spacing w:line="360" w:lineRule="auto"/>
        <w:jc w:val="center"/>
        <w:outlineLvl w:val="0"/>
        <w:rPr>
          <w:rFonts w:ascii="仿宋" w:hAnsi="仿宋" w:eastAsia="仿宋" w:cs="仿宋_GB2312"/>
          <w:b/>
          <w:sz w:val="24"/>
        </w:rPr>
      </w:pPr>
    </w:p>
    <w:p>
      <w:pPr>
        <w:widowControl/>
        <w:adjustRightInd/>
        <w:jc w:val="left"/>
        <w:rPr>
          <w:b/>
        </w:rPr>
      </w:pPr>
      <w:r>
        <w:rPr>
          <w:b/>
        </w:rPr>
        <w:br w:type="page"/>
      </w:r>
      <w:r>
        <w:rPr>
          <w:rFonts w:hint="eastAsia"/>
          <w:b/>
        </w:rPr>
        <w:t>附件六：</w:t>
      </w:r>
    </w:p>
    <w:p>
      <w:pPr>
        <w:widowControl/>
        <w:adjustRightInd/>
        <w:jc w:val="center"/>
        <w:rPr>
          <w:sz w:val="32"/>
          <w:szCs w:val="32"/>
        </w:rPr>
      </w:pPr>
      <w:r>
        <w:rPr>
          <w:rFonts w:hint="eastAsia"/>
          <w:b/>
          <w:sz w:val="32"/>
          <w:szCs w:val="32"/>
        </w:rPr>
        <w:t>开放小区</w:t>
      </w:r>
    </w:p>
    <w:p>
      <w:pPr>
        <w:widowControl/>
        <w:adjustRightInd/>
        <w:jc w:val="left"/>
        <w:rPr>
          <w:sz w:val="24"/>
        </w:rPr>
      </w:pPr>
      <w:r>
        <w:rPr>
          <w:rFonts w:hint="eastAsia"/>
          <w:sz w:val="24"/>
        </w:rPr>
        <w:t xml:space="preserve">            标项一                                标项二</w:t>
      </w:r>
    </w:p>
    <w:p>
      <w:pPr>
        <w:widowControl/>
        <w:adjustRightInd/>
        <w:ind w:right="-508" w:rightChars="-242"/>
        <w:jc w:val="left"/>
        <w:rPr>
          <w:szCs w:val="21"/>
        </w:rPr>
      </w:pPr>
      <w:r>
        <w:rPr>
          <w:rFonts w:hint="eastAsia"/>
          <w:szCs w:val="21"/>
        </w:rPr>
        <w:t>景星东路，南门路，</w:t>
      </w:r>
      <w:r>
        <w:rPr>
          <w:rFonts w:hint="eastAsia"/>
        </w:rPr>
        <w:t>南二街</w:t>
      </w:r>
      <w:r>
        <w:rPr>
          <w:rFonts w:hint="eastAsia"/>
          <w:szCs w:val="21"/>
        </w:rPr>
        <w:t>以南                  景星东路，南门路，</w:t>
      </w:r>
      <w:r>
        <w:rPr>
          <w:rFonts w:hint="eastAsia"/>
        </w:rPr>
        <w:t>南二街</w:t>
      </w:r>
      <w:r>
        <w:rPr>
          <w:rFonts w:hint="eastAsia"/>
          <w:szCs w:val="21"/>
        </w:rPr>
        <w:t>——城中路</w:t>
      </w:r>
    </w:p>
    <w:tbl>
      <w:tblPr>
        <w:tblStyle w:val="62"/>
        <w:tblW w:w="8291" w:type="dxa"/>
        <w:tblInd w:w="0" w:type="dxa"/>
        <w:tblLayout w:type="autofit"/>
        <w:tblCellMar>
          <w:top w:w="0" w:type="dxa"/>
          <w:left w:w="0" w:type="dxa"/>
          <w:bottom w:w="0" w:type="dxa"/>
          <w:right w:w="0" w:type="dxa"/>
        </w:tblCellMar>
      </w:tblPr>
      <w:tblGrid>
        <w:gridCol w:w="801"/>
        <w:gridCol w:w="1479"/>
        <w:gridCol w:w="1134"/>
        <w:gridCol w:w="1546"/>
        <w:gridCol w:w="581"/>
        <w:gridCol w:w="1542"/>
        <w:gridCol w:w="1208"/>
      </w:tblGrid>
      <w:tr>
        <w:tblPrEx>
          <w:tblCellMar>
            <w:top w:w="0" w:type="dxa"/>
            <w:left w:w="0" w:type="dxa"/>
            <w:bottom w:w="0" w:type="dxa"/>
            <w:right w:w="0" w:type="dxa"/>
          </w:tblCellMar>
        </w:tblPrEx>
        <w:trPr>
          <w:trHeight w:val="49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ascii="宋体" w:hAnsi="宋体" w:cs="宋体"/>
                <w:sz w:val="22"/>
                <w:szCs w:val="22"/>
              </w:rPr>
              <w:t>序号</w:t>
            </w:r>
          </w:p>
        </w:tc>
        <w:tc>
          <w:tcPr>
            <w:tcW w:w="1479" w:type="dxa"/>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ascii="宋体" w:hAnsi="宋体" w:cs="宋体"/>
                <w:sz w:val="22"/>
                <w:szCs w:val="22"/>
              </w:rPr>
              <w:t>范围</w:t>
            </w:r>
          </w:p>
        </w:tc>
        <w:tc>
          <w:tcPr>
            <w:tcW w:w="1134" w:type="dxa"/>
            <w:tcBorders>
              <w:top w:val="single" w:color="000000" w:sz="4" w:space="0"/>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ascii="宋体" w:hAnsi="宋体" w:cs="宋体"/>
                <w:sz w:val="22"/>
                <w:szCs w:val="22"/>
              </w:rPr>
              <w:t>面积（m</w:t>
            </w:r>
            <w:r>
              <w:rPr>
                <w:rFonts w:hint="eastAsia" w:ascii="宋体" w:hAnsi="宋体" w:cs="宋体"/>
                <w:sz w:val="22"/>
                <w:szCs w:val="22"/>
                <w:vertAlign w:val="superscript"/>
              </w:rPr>
              <w:t>2</w:t>
            </w:r>
            <w:r>
              <w:rPr>
                <w:rFonts w:hint="eastAsia" w:ascii="宋体" w:hAnsi="宋体" w:cs="宋体"/>
                <w:sz w:val="22"/>
                <w:szCs w:val="22"/>
              </w:rPr>
              <w:t>）</w:t>
            </w:r>
          </w:p>
        </w:tc>
        <w:tc>
          <w:tcPr>
            <w:tcW w:w="1546" w:type="dxa"/>
            <w:tcBorders>
              <w:right w:val="single" w:color="auto" w:sz="4" w:space="0"/>
            </w:tcBorders>
          </w:tcPr>
          <w:p>
            <w:pPr>
              <w:jc w:val="center"/>
              <w:rPr>
                <w:rFonts w:ascii="宋体" w:hAnsi="宋体" w:cs="宋体"/>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范围</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面积（m</w:t>
            </w:r>
            <w:r>
              <w:rPr>
                <w:rFonts w:hint="eastAsia" w:ascii="宋体" w:hAnsi="宋体" w:cs="宋体"/>
                <w:sz w:val="22"/>
                <w:szCs w:val="22"/>
                <w:vertAlign w:val="superscript"/>
              </w:rPr>
              <w:t>2</w:t>
            </w:r>
            <w:r>
              <w:rPr>
                <w:rFonts w:hint="eastAsia" w:ascii="宋体" w:hAnsi="宋体" w:cs="宋体"/>
                <w:sz w:val="22"/>
                <w:szCs w:val="22"/>
              </w:rPr>
              <w:t>）</w:t>
            </w:r>
          </w:p>
        </w:tc>
      </w:tr>
      <w:tr>
        <w:tblPrEx>
          <w:tblCellMar>
            <w:top w:w="0" w:type="dxa"/>
            <w:left w:w="0" w:type="dxa"/>
            <w:bottom w:w="0" w:type="dxa"/>
            <w:right w:w="0" w:type="dxa"/>
          </w:tblCellMar>
        </w:tblPrEx>
        <w:trPr>
          <w:trHeight w:val="49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1479" w:type="dxa"/>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桐岭小区</w:t>
            </w:r>
          </w:p>
        </w:tc>
        <w:tc>
          <w:tcPr>
            <w:tcW w:w="1134" w:type="dxa"/>
            <w:tcBorders>
              <w:top w:val="single" w:color="000000" w:sz="4" w:space="0"/>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752.23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永泰里（东入口两处花坛）</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109.30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18"/>
                <w:szCs w:val="18"/>
              </w:rPr>
            </w:pPr>
            <w:r>
              <w:rPr>
                <w:rFonts w:hint="eastAsia"/>
                <w:sz w:val="18"/>
                <w:szCs w:val="18"/>
              </w:rPr>
              <w:t>翠苑山庄东侧（含成坤大院及虎山三区行道树）</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2899.34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永宁里</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2912.11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18"/>
                <w:szCs w:val="18"/>
              </w:rPr>
            </w:pPr>
            <w:r>
              <w:rPr>
                <w:rFonts w:hint="eastAsia"/>
                <w:sz w:val="18"/>
                <w:szCs w:val="18"/>
              </w:rPr>
              <w:t>虎山路78/84/80</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1657.20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永安里</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2029.56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景星山庄</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1307.44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永康里</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1402.46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通达路（树池）</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6.59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航埠山（老图）</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1345.90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绿苑山庄</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3994.61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雅仕苑（老图）</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935.00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江南绿城南侧安置房</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782.36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江东二区</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1708.54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景怡山庄</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1860.04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江东三区</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6413.40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景星路112号（树池）</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60.00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江东五区</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13408.79 </w:t>
            </w:r>
          </w:p>
        </w:tc>
      </w:tr>
      <w:tr>
        <w:tblPrEx>
          <w:tblCellMar>
            <w:top w:w="0" w:type="dxa"/>
            <w:left w:w="0" w:type="dxa"/>
            <w:bottom w:w="0" w:type="dxa"/>
            <w:right w:w="0" w:type="dxa"/>
          </w:tblCellMar>
        </w:tblPrEx>
        <w:trPr>
          <w:trHeight w:val="499"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1479"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双塘底安置房</w:t>
            </w:r>
          </w:p>
        </w:tc>
        <w:tc>
          <w:tcPr>
            <w:tcW w:w="1134" w:type="dxa"/>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4428.05 </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江东六区</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7697.90 </w:t>
            </w:r>
          </w:p>
        </w:tc>
      </w:tr>
      <w:tr>
        <w:tblPrEx>
          <w:tblCellMar>
            <w:top w:w="0" w:type="dxa"/>
            <w:left w:w="0" w:type="dxa"/>
            <w:bottom w:w="0" w:type="dxa"/>
            <w:right w:w="0"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w:t>
            </w:r>
          </w:p>
        </w:tc>
        <w:tc>
          <w:tcPr>
            <w:tcW w:w="1479"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上状元里</w:t>
            </w:r>
          </w:p>
        </w:tc>
        <w:tc>
          <w:tcPr>
            <w:tcW w:w="113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5430.14</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永福里</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205.68 </w:t>
            </w:r>
          </w:p>
        </w:tc>
      </w:tr>
      <w:tr>
        <w:tblPrEx>
          <w:tblCellMar>
            <w:top w:w="0" w:type="dxa"/>
            <w:left w:w="0" w:type="dxa"/>
            <w:bottom w:w="0" w:type="dxa"/>
            <w:right w:w="0"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w:t>
            </w:r>
          </w:p>
        </w:tc>
        <w:tc>
          <w:tcPr>
            <w:tcW w:w="1479"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南溪苑</w:t>
            </w:r>
          </w:p>
        </w:tc>
        <w:tc>
          <w:tcPr>
            <w:tcW w:w="113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2082.76</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南苑小区（南区五村、含南区四村行道树）</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2062.99 </w:t>
            </w:r>
          </w:p>
        </w:tc>
      </w:tr>
      <w:tr>
        <w:tblPrEx>
          <w:tblCellMar>
            <w:top w:w="0" w:type="dxa"/>
            <w:left w:w="0" w:type="dxa"/>
            <w:bottom w:w="0" w:type="dxa"/>
            <w:right w:w="0"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w:t>
            </w:r>
          </w:p>
        </w:tc>
        <w:tc>
          <w:tcPr>
            <w:tcW w:w="1479"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山水人家</w:t>
            </w:r>
          </w:p>
        </w:tc>
        <w:tc>
          <w:tcPr>
            <w:tcW w:w="113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1873.61</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环城西路126号马路对面</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1019.24 </w:t>
            </w:r>
          </w:p>
        </w:tc>
      </w:tr>
      <w:tr>
        <w:tblPrEx>
          <w:tblCellMar>
            <w:top w:w="0" w:type="dxa"/>
            <w:left w:w="0" w:type="dxa"/>
            <w:bottom w:w="0" w:type="dxa"/>
            <w:right w:w="0"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w:t>
            </w:r>
          </w:p>
        </w:tc>
        <w:tc>
          <w:tcPr>
            <w:tcW w:w="1479"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平棋小区</w:t>
            </w:r>
          </w:p>
        </w:tc>
        <w:tc>
          <w:tcPr>
            <w:tcW w:w="113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1090.38</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梅泉社区门后</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395.43 </w:t>
            </w:r>
          </w:p>
        </w:tc>
      </w:tr>
      <w:tr>
        <w:tblPrEx>
          <w:tblCellMar>
            <w:top w:w="0" w:type="dxa"/>
            <w:left w:w="0" w:type="dxa"/>
            <w:bottom w:w="0" w:type="dxa"/>
            <w:right w:w="0"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w:t>
            </w:r>
          </w:p>
        </w:tc>
        <w:tc>
          <w:tcPr>
            <w:tcW w:w="1479"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老建材市场</w:t>
            </w:r>
          </w:p>
        </w:tc>
        <w:tc>
          <w:tcPr>
            <w:tcW w:w="1134" w:type="dxa"/>
            <w:tcBorders>
              <w:top w:val="nil"/>
              <w:left w:val="nil"/>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1229.74</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15</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中石化围墙边</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23.78 </w:t>
            </w:r>
          </w:p>
        </w:tc>
      </w:tr>
      <w:tr>
        <w:tblPrEx>
          <w:tblCellMar>
            <w:top w:w="0" w:type="dxa"/>
            <w:left w:w="0" w:type="dxa"/>
            <w:bottom w:w="0" w:type="dxa"/>
            <w:right w:w="0"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r>
              <w:rPr>
                <w:rFonts w:hint="eastAsia" w:ascii="宋体" w:hAnsi="宋体" w:cs="宋体"/>
                <w:sz w:val="22"/>
                <w:szCs w:val="22"/>
              </w:rPr>
              <w:t>合计</w:t>
            </w:r>
          </w:p>
        </w:tc>
        <w:tc>
          <w:tcPr>
            <w:tcW w:w="147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b/>
                <w:bCs/>
                <w:sz w:val="22"/>
                <w:szCs w:val="22"/>
              </w:rPr>
            </w:pPr>
            <w:r>
              <w:rPr>
                <w:rFonts w:hint="eastAsia"/>
                <w:b/>
                <w:bCs/>
                <w:sz w:val="22"/>
                <w:szCs w:val="22"/>
              </w:rPr>
              <w:t>29454.49</w:t>
            </w:r>
          </w:p>
        </w:tc>
        <w:tc>
          <w:tcPr>
            <w:tcW w:w="1546" w:type="dxa"/>
            <w:tcBorders>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城东幼儿园</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327.65 </w:t>
            </w:r>
          </w:p>
        </w:tc>
      </w:tr>
      <w:tr>
        <w:tblPrEx>
          <w:tblCellMar>
            <w:top w:w="0" w:type="dxa"/>
            <w:left w:w="0" w:type="dxa"/>
            <w:bottom w:w="0" w:type="dxa"/>
            <w:right w:w="0" w:type="dxa"/>
          </w:tblCellMar>
        </w:tblPrEx>
        <w:trPr>
          <w:trHeight w:val="499" w:hRule="atLeast"/>
        </w:trPr>
        <w:tc>
          <w:tcPr>
            <w:tcW w:w="0" w:type="auto"/>
            <w:tcBorders>
              <w:top w:val="single" w:color="auto" w:sz="4" w:space="0"/>
            </w:tcBorders>
            <w:shd w:val="clear" w:color="auto" w:fill="auto"/>
            <w:noWrap/>
            <w:tcMar>
              <w:top w:w="12" w:type="dxa"/>
              <w:left w:w="12" w:type="dxa"/>
              <w:bottom w:w="0" w:type="dxa"/>
              <w:right w:w="12" w:type="dxa"/>
            </w:tcMar>
            <w:vAlign w:val="center"/>
          </w:tcPr>
          <w:p>
            <w:pPr>
              <w:jc w:val="center"/>
              <w:rPr>
                <w:rFonts w:ascii="宋体" w:hAnsi="宋体" w:cs="宋体"/>
                <w:sz w:val="22"/>
                <w:szCs w:val="22"/>
              </w:rPr>
            </w:pPr>
          </w:p>
        </w:tc>
        <w:tc>
          <w:tcPr>
            <w:tcW w:w="1479" w:type="dxa"/>
            <w:tcBorders>
              <w:top w:val="single" w:color="auto" w:sz="4" w:space="0"/>
            </w:tcBorders>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tcBorders>
              <w:top w:val="single" w:color="auto" w:sz="4" w:space="0"/>
            </w:tcBorders>
            <w:shd w:val="clear" w:color="auto" w:fill="auto"/>
            <w:noWrap/>
            <w:tcMar>
              <w:top w:w="12" w:type="dxa"/>
              <w:left w:w="12" w:type="dxa"/>
              <w:bottom w:w="0" w:type="dxa"/>
              <w:right w:w="12" w:type="dxa"/>
            </w:tcMar>
            <w:vAlign w:val="center"/>
          </w:tcPr>
          <w:p>
            <w:pPr>
              <w:jc w:val="center"/>
              <w:rPr>
                <w:b/>
                <w:bCs/>
                <w:sz w:val="22"/>
                <w:szCs w:val="22"/>
              </w:rPr>
            </w:pPr>
          </w:p>
        </w:tc>
        <w:tc>
          <w:tcPr>
            <w:tcW w:w="1546" w:type="dxa"/>
            <w:tcBorders>
              <w:left w:val="nil"/>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东门社区周围</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25.03 </w:t>
            </w:r>
          </w:p>
        </w:tc>
      </w:tr>
      <w:tr>
        <w:tblPrEx>
          <w:tblCellMar>
            <w:top w:w="0" w:type="dxa"/>
            <w:left w:w="0" w:type="dxa"/>
            <w:bottom w:w="0" w:type="dxa"/>
            <w:right w:w="0" w:type="dxa"/>
          </w:tblCellMar>
        </w:tblPrEx>
        <w:trPr>
          <w:trHeight w:val="499" w:hRule="atLeast"/>
        </w:trPr>
        <w:tc>
          <w:tcPr>
            <w:tcW w:w="0" w:type="auto"/>
            <w:shd w:val="clear" w:color="auto" w:fill="auto"/>
            <w:noWrap/>
            <w:tcMar>
              <w:top w:w="12" w:type="dxa"/>
              <w:left w:w="12" w:type="dxa"/>
              <w:bottom w:w="0" w:type="dxa"/>
              <w:right w:w="12" w:type="dxa"/>
            </w:tcMar>
            <w:vAlign w:val="center"/>
          </w:tcPr>
          <w:p>
            <w:pPr>
              <w:jc w:val="center"/>
              <w:rPr>
                <w:rFonts w:ascii="宋体" w:hAnsi="宋体" w:cs="宋体"/>
                <w:sz w:val="22"/>
                <w:szCs w:val="22"/>
              </w:rPr>
            </w:pPr>
          </w:p>
        </w:tc>
        <w:tc>
          <w:tcPr>
            <w:tcW w:w="1479" w:type="dxa"/>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shd w:val="clear" w:color="auto" w:fill="auto"/>
            <w:noWrap/>
            <w:tcMar>
              <w:top w:w="12" w:type="dxa"/>
              <w:left w:w="12" w:type="dxa"/>
              <w:bottom w:w="0" w:type="dxa"/>
              <w:right w:w="12" w:type="dxa"/>
            </w:tcMar>
            <w:vAlign w:val="center"/>
          </w:tcPr>
          <w:p>
            <w:pPr>
              <w:jc w:val="center"/>
              <w:rPr>
                <w:b/>
                <w:bCs/>
                <w:sz w:val="22"/>
                <w:szCs w:val="22"/>
              </w:rPr>
            </w:pPr>
          </w:p>
        </w:tc>
        <w:tc>
          <w:tcPr>
            <w:tcW w:w="1546" w:type="dxa"/>
            <w:tcBorders>
              <w:left w:val="nil"/>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18</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西门小区</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444.35</w:t>
            </w:r>
          </w:p>
        </w:tc>
      </w:tr>
      <w:tr>
        <w:tblPrEx>
          <w:tblCellMar>
            <w:top w:w="0" w:type="dxa"/>
            <w:left w:w="0" w:type="dxa"/>
            <w:bottom w:w="0" w:type="dxa"/>
            <w:right w:w="0" w:type="dxa"/>
          </w:tblCellMar>
        </w:tblPrEx>
        <w:trPr>
          <w:trHeight w:val="499" w:hRule="atLeast"/>
        </w:trPr>
        <w:tc>
          <w:tcPr>
            <w:tcW w:w="0" w:type="auto"/>
            <w:shd w:val="clear" w:color="auto" w:fill="auto"/>
            <w:noWrap/>
            <w:tcMar>
              <w:top w:w="12" w:type="dxa"/>
              <w:left w:w="12" w:type="dxa"/>
              <w:bottom w:w="0" w:type="dxa"/>
              <w:right w:w="12" w:type="dxa"/>
            </w:tcMar>
            <w:vAlign w:val="center"/>
          </w:tcPr>
          <w:p>
            <w:pPr>
              <w:jc w:val="center"/>
              <w:rPr>
                <w:rFonts w:ascii="宋体" w:hAnsi="宋体" w:cs="宋体"/>
                <w:sz w:val="22"/>
                <w:szCs w:val="22"/>
              </w:rPr>
            </w:pPr>
          </w:p>
        </w:tc>
        <w:tc>
          <w:tcPr>
            <w:tcW w:w="1479" w:type="dxa"/>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shd w:val="clear" w:color="auto" w:fill="auto"/>
            <w:noWrap/>
            <w:tcMar>
              <w:top w:w="12" w:type="dxa"/>
              <w:left w:w="12" w:type="dxa"/>
              <w:bottom w:w="0" w:type="dxa"/>
              <w:right w:w="12" w:type="dxa"/>
            </w:tcMar>
            <w:vAlign w:val="center"/>
          </w:tcPr>
          <w:p>
            <w:pPr>
              <w:jc w:val="center"/>
              <w:rPr>
                <w:b/>
                <w:bCs/>
                <w:sz w:val="22"/>
                <w:szCs w:val="22"/>
              </w:rPr>
            </w:pPr>
          </w:p>
        </w:tc>
        <w:tc>
          <w:tcPr>
            <w:tcW w:w="1546" w:type="dxa"/>
            <w:tcBorders>
              <w:left w:val="nil"/>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19</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同和大厦</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1211.73</w:t>
            </w:r>
          </w:p>
        </w:tc>
      </w:tr>
      <w:tr>
        <w:tblPrEx>
          <w:tblCellMar>
            <w:top w:w="0" w:type="dxa"/>
            <w:left w:w="0" w:type="dxa"/>
            <w:bottom w:w="0" w:type="dxa"/>
            <w:right w:w="0" w:type="dxa"/>
          </w:tblCellMar>
        </w:tblPrEx>
        <w:trPr>
          <w:trHeight w:val="499" w:hRule="atLeast"/>
        </w:trPr>
        <w:tc>
          <w:tcPr>
            <w:tcW w:w="0" w:type="auto"/>
            <w:shd w:val="clear" w:color="auto" w:fill="auto"/>
            <w:noWrap/>
            <w:tcMar>
              <w:top w:w="12" w:type="dxa"/>
              <w:left w:w="12" w:type="dxa"/>
              <w:bottom w:w="0" w:type="dxa"/>
              <w:right w:w="12" w:type="dxa"/>
            </w:tcMar>
            <w:vAlign w:val="center"/>
          </w:tcPr>
          <w:p>
            <w:pPr>
              <w:jc w:val="center"/>
              <w:rPr>
                <w:rFonts w:ascii="宋体" w:hAnsi="宋体" w:cs="宋体"/>
                <w:sz w:val="22"/>
                <w:szCs w:val="22"/>
              </w:rPr>
            </w:pPr>
          </w:p>
        </w:tc>
        <w:tc>
          <w:tcPr>
            <w:tcW w:w="1479" w:type="dxa"/>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shd w:val="clear" w:color="auto" w:fill="auto"/>
            <w:noWrap/>
            <w:tcMar>
              <w:top w:w="12" w:type="dxa"/>
              <w:left w:w="12" w:type="dxa"/>
              <w:bottom w:w="0" w:type="dxa"/>
              <w:right w:w="12" w:type="dxa"/>
            </w:tcMar>
            <w:vAlign w:val="center"/>
          </w:tcPr>
          <w:p>
            <w:pPr>
              <w:jc w:val="center"/>
              <w:rPr>
                <w:b/>
                <w:bCs/>
                <w:sz w:val="22"/>
                <w:szCs w:val="22"/>
              </w:rPr>
            </w:pPr>
          </w:p>
        </w:tc>
        <w:tc>
          <w:tcPr>
            <w:tcW w:w="1546" w:type="dxa"/>
            <w:tcBorders>
              <w:left w:val="nil"/>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20</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砂石办</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1744.5</w:t>
            </w:r>
          </w:p>
        </w:tc>
      </w:tr>
      <w:tr>
        <w:tblPrEx>
          <w:tblCellMar>
            <w:top w:w="0" w:type="dxa"/>
            <w:left w:w="0" w:type="dxa"/>
            <w:bottom w:w="0" w:type="dxa"/>
            <w:right w:w="0" w:type="dxa"/>
          </w:tblCellMar>
        </w:tblPrEx>
        <w:trPr>
          <w:trHeight w:val="499" w:hRule="atLeast"/>
        </w:trPr>
        <w:tc>
          <w:tcPr>
            <w:tcW w:w="0" w:type="auto"/>
            <w:shd w:val="clear" w:color="auto" w:fill="auto"/>
            <w:noWrap/>
            <w:tcMar>
              <w:top w:w="12" w:type="dxa"/>
              <w:left w:w="12" w:type="dxa"/>
              <w:bottom w:w="0" w:type="dxa"/>
              <w:right w:w="12" w:type="dxa"/>
            </w:tcMar>
            <w:vAlign w:val="center"/>
          </w:tcPr>
          <w:p>
            <w:pPr>
              <w:jc w:val="center"/>
              <w:rPr>
                <w:rFonts w:ascii="宋体" w:hAnsi="宋体" w:cs="宋体"/>
                <w:sz w:val="22"/>
                <w:szCs w:val="22"/>
              </w:rPr>
            </w:pPr>
          </w:p>
        </w:tc>
        <w:tc>
          <w:tcPr>
            <w:tcW w:w="1479" w:type="dxa"/>
            <w:shd w:val="clear" w:color="auto" w:fill="auto"/>
            <w:noWrap/>
            <w:tcMar>
              <w:top w:w="12" w:type="dxa"/>
              <w:left w:w="12" w:type="dxa"/>
              <w:bottom w:w="0" w:type="dxa"/>
              <w:right w:w="12" w:type="dxa"/>
            </w:tcMar>
            <w:vAlign w:val="center"/>
          </w:tcPr>
          <w:p>
            <w:pPr>
              <w:rPr>
                <w:rFonts w:ascii="宋体" w:hAnsi="宋体" w:cs="宋体"/>
                <w:sz w:val="22"/>
                <w:szCs w:val="22"/>
              </w:rPr>
            </w:pPr>
          </w:p>
        </w:tc>
        <w:tc>
          <w:tcPr>
            <w:tcW w:w="1134" w:type="dxa"/>
            <w:shd w:val="clear" w:color="auto" w:fill="auto"/>
            <w:noWrap/>
            <w:tcMar>
              <w:top w:w="12" w:type="dxa"/>
              <w:left w:w="12" w:type="dxa"/>
              <w:bottom w:w="0" w:type="dxa"/>
              <w:right w:w="12" w:type="dxa"/>
            </w:tcMar>
            <w:vAlign w:val="center"/>
          </w:tcPr>
          <w:p>
            <w:pPr>
              <w:jc w:val="center"/>
              <w:rPr>
                <w:b/>
                <w:bCs/>
                <w:sz w:val="22"/>
                <w:szCs w:val="22"/>
              </w:rPr>
            </w:pPr>
          </w:p>
        </w:tc>
        <w:tc>
          <w:tcPr>
            <w:tcW w:w="1546" w:type="dxa"/>
            <w:tcBorders>
              <w:left w:val="nil"/>
              <w:right w:val="single" w:color="auto" w:sz="4" w:space="0"/>
            </w:tcBorders>
          </w:tcPr>
          <w:p>
            <w:pPr>
              <w:widowControl/>
              <w:adjustRightInd/>
              <w:jc w:val="center"/>
              <w:rPr>
                <w:rFonts w:ascii="宋体" w:hAnsi="宋体" w:cs="宋体"/>
                <w:kern w:val="0"/>
                <w:sz w:val="22"/>
                <w:szCs w:val="22"/>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45423.34</w:t>
            </w:r>
          </w:p>
        </w:tc>
      </w:tr>
    </w:tbl>
    <w:p>
      <w:pPr>
        <w:widowControl/>
        <w:adjustRightInd/>
        <w:jc w:val="center"/>
        <w:rPr>
          <w:sz w:val="32"/>
          <w:szCs w:val="32"/>
        </w:rPr>
      </w:pPr>
    </w:p>
    <w:p>
      <w:pPr>
        <w:widowControl/>
        <w:adjustRightInd/>
        <w:jc w:val="center"/>
        <w:rPr>
          <w:sz w:val="24"/>
        </w:rPr>
      </w:pPr>
      <w:r>
        <w:rPr>
          <w:rFonts w:hint="eastAsia"/>
          <w:sz w:val="24"/>
        </w:rPr>
        <w:t>标项三                          标项四</w:t>
      </w:r>
    </w:p>
    <w:p>
      <w:pPr>
        <w:widowControl/>
        <w:adjustRightInd/>
        <w:jc w:val="center"/>
      </w:pPr>
      <w:r>
        <w:rPr>
          <w:rFonts w:hint="eastAsia"/>
          <w:sz w:val="24"/>
        </w:rPr>
        <w:t xml:space="preserve">   城中路——北环路               北环路——站前大道</w:t>
      </w:r>
    </w:p>
    <w:tbl>
      <w:tblPr>
        <w:tblStyle w:val="62"/>
        <w:tblpPr w:leftFromText="180" w:rightFromText="180" w:vertAnchor="text" w:tblpY="1"/>
        <w:tblOverlap w:val="never"/>
        <w:tblW w:w="8330" w:type="dxa"/>
        <w:tblInd w:w="0" w:type="dxa"/>
        <w:tblLayout w:type="fixed"/>
        <w:tblCellMar>
          <w:top w:w="0" w:type="dxa"/>
          <w:left w:w="108" w:type="dxa"/>
          <w:bottom w:w="0" w:type="dxa"/>
          <w:right w:w="108" w:type="dxa"/>
        </w:tblCellMar>
      </w:tblPr>
      <w:tblGrid>
        <w:gridCol w:w="675"/>
        <w:gridCol w:w="2007"/>
        <w:gridCol w:w="1280"/>
        <w:gridCol w:w="729"/>
        <w:gridCol w:w="662"/>
        <w:gridCol w:w="151"/>
        <w:gridCol w:w="1172"/>
        <w:gridCol w:w="141"/>
        <w:gridCol w:w="1513"/>
      </w:tblGrid>
      <w:tr>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序号</w:t>
            </w:r>
          </w:p>
        </w:tc>
        <w:tc>
          <w:tcPr>
            <w:tcW w:w="200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2"/>
                <w:szCs w:val="22"/>
              </w:rPr>
            </w:pPr>
            <w:r>
              <w:rPr>
                <w:rFonts w:hint="eastAsia" w:ascii="宋体" w:hAnsi="宋体" w:cs="宋体"/>
                <w:sz w:val="22"/>
                <w:szCs w:val="22"/>
              </w:rPr>
              <w:t>范围</w:t>
            </w:r>
          </w:p>
        </w:tc>
        <w:tc>
          <w:tcPr>
            <w:tcW w:w="128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sz w:val="22"/>
                <w:szCs w:val="22"/>
              </w:rPr>
            </w:pPr>
            <w:r>
              <w:rPr>
                <w:rFonts w:hint="eastAsia" w:ascii="宋体" w:hAnsi="宋体" w:cs="宋体"/>
                <w:sz w:val="22"/>
                <w:szCs w:val="22"/>
              </w:rPr>
              <w:t>面积（m</w:t>
            </w:r>
            <w:r>
              <w:rPr>
                <w:rFonts w:hint="eastAsia" w:ascii="宋体" w:hAnsi="宋体" w:cs="宋体"/>
                <w:sz w:val="22"/>
                <w:szCs w:val="22"/>
                <w:vertAlign w:val="superscript"/>
              </w:rPr>
              <w:t>2</w:t>
            </w:r>
            <w:r>
              <w:rPr>
                <w:rFonts w:hint="eastAsia" w:ascii="宋体" w:hAnsi="宋体" w:cs="宋体"/>
                <w:sz w:val="22"/>
                <w:szCs w:val="22"/>
              </w:rPr>
              <w:t>）</w:t>
            </w:r>
          </w:p>
        </w:tc>
        <w:tc>
          <w:tcPr>
            <w:tcW w:w="729" w:type="dxa"/>
            <w:tcBorders>
              <w:right w:val="single" w:color="auto" w:sz="4" w:space="0"/>
            </w:tcBorders>
          </w:tcPr>
          <w:p>
            <w:pPr>
              <w:pStyle w:val="710"/>
              <w:ind w:firstLine="480"/>
              <w:rPr>
                <w:szCs w:val="22"/>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序号</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范围</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面积（m</w:t>
            </w:r>
            <w:r>
              <w:rPr>
                <w:rFonts w:hint="eastAsia" w:ascii="宋体" w:hAnsi="宋体" w:cs="宋体"/>
                <w:sz w:val="22"/>
                <w:szCs w:val="22"/>
                <w:vertAlign w:val="superscript"/>
              </w:rPr>
              <w:t>2</w:t>
            </w:r>
            <w:r>
              <w:rPr>
                <w:rFonts w:hint="eastAsia" w:ascii="宋体" w:hAnsi="宋体" w:cs="宋体"/>
                <w:sz w:val="22"/>
                <w:szCs w:val="22"/>
              </w:rPr>
              <w:t>）</w:t>
            </w:r>
          </w:p>
        </w:tc>
      </w:tr>
      <w:tr>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w:t>
            </w:r>
          </w:p>
        </w:tc>
        <w:tc>
          <w:tcPr>
            <w:tcW w:w="2007"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江滨二区</w:t>
            </w:r>
          </w:p>
        </w:tc>
        <w:tc>
          <w:tcPr>
            <w:tcW w:w="1280"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2499</w:t>
            </w:r>
          </w:p>
        </w:tc>
        <w:tc>
          <w:tcPr>
            <w:tcW w:w="729" w:type="dxa"/>
            <w:tcBorders>
              <w:right w:val="single" w:color="auto" w:sz="4" w:space="0"/>
            </w:tcBorders>
          </w:tcPr>
          <w:p>
            <w:pPr>
              <w:pStyle w:val="710"/>
              <w:ind w:firstLine="480"/>
              <w:rPr>
                <w:szCs w:val="22"/>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1</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天余小区 </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5917.36</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2</w:t>
            </w:r>
          </w:p>
        </w:tc>
        <w:tc>
          <w:tcPr>
            <w:tcW w:w="2007"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北关里小区</w:t>
            </w:r>
          </w:p>
        </w:tc>
        <w:tc>
          <w:tcPr>
            <w:tcW w:w="12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284.88</w:t>
            </w:r>
          </w:p>
        </w:tc>
        <w:tc>
          <w:tcPr>
            <w:tcW w:w="729" w:type="dxa"/>
            <w:tcBorders>
              <w:right w:val="single" w:color="auto" w:sz="4" w:space="0"/>
            </w:tcBorders>
          </w:tcPr>
          <w:p>
            <w:pPr>
              <w:pStyle w:val="710"/>
              <w:ind w:firstLine="480"/>
              <w:rPr>
                <w:szCs w:val="22"/>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2</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城北加油站边</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 xml:space="preserve">100.00 </w:t>
            </w:r>
          </w:p>
        </w:tc>
      </w:tr>
      <w:tr>
        <w:tblPrEx>
          <w:tblCellMar>
            <w:top w:w="0" w:type="dxa"/>
            <w:left w:w="108" w:type="dxa"/>
            <w:bottom w:w="0" w:type="dxa"/>
            <w:right w:w="108" w:type="dxa"/>
          </w:tblCellMar>
        </w:tblPrEx>
        <w:trPr>
          <w:trHeight w:val="396"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3</w:t>
            </w:r>
          </w:p>
        </w:tc>
        <w:tc>
          <w:tcPr>
            <w:tcW w:w="2007"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铁路新村小区（云宾幼儿园边、含县前行道树）</w:t>
            </w:r>
          </w:p>
        </w:tc>
        <w:tc>
          <w:tcPr>
            <w:tcW w:w="12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174.67</w:t>
            </w:r>
          </w:p>
        </w:tc>
        <w:tc>
          <w:tcPr>
            <w:tcW w:w="729" w:type="dxa"/>
            <w:tcBorders>
              <w:right w:val="single" w:color="auto" w:sz="4" w:space="0"/>
            </w:tcBorders>
          </w:tcPr>
          <w:p>
            <w:pPr>
              <w:pStyle w:val="710"/>
              <w:ind w:firstLine="480"/>
              <w:rPr>
                <w:szCs w:val="22"/>
              </w:rPr>
            </w:pPr>
          </w:p>
        </w:tc>
        <w:tc>
          <w:tcPr>
            <w:tcW w:w="662"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合计</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5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6017.36</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4</w:t>
            </w:r>
          </w:p>
        </w:tc>
        <w:tc>
          <w:tcPr>
            <w:tcW w:w="2007"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机关大院小区</w:t>
            </w:r>
          </w:p>
        </w:tc>
        <w:tc>
          <w:tcPr>
            <w:tcW w:w="12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54.95</w:t>
            </w:r>
          </w:p>
        </w:tc>
        <w:tc>
          <w:tcPr>
            <w:tcW w:w="729" w:type="dxa"/>
          </w:tcPr>
          <w:p>
            <w:pPr>
              <w:pStyle w:val="710"/>
              <w:ind w:firstLine="480"/>
              <w:rPr>
                <w:szCs w:val="22"/>
              </w:rPr>
            </w:pPr>
          </w:p>
        </w:tc>
        <w:tc>
          <w:tcPr>
            <w:tcW w:w="3639" w:type="dxa"/>
            <w:gridSpan w:val="5"/>
            <w:tcBorders>
              <w:top w:val="single" w:color="auto"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23"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5</w:t>
            </w:r>
          </w:p>
        </w:tc>
        <w:tc>
          <w:tcPr>
            <w:tcW w:w="2007"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实验小学马路对面</w:t>
            </w:r>
          </w:p>
        </w:tc>
        <w:tc>
          <w:tcPr>
            <w:tcW w:w="12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396.54</w:t>
            </w:r>
          </w:p>
        </w:tc>
        <w:tc>
          <w:tcPr>
            <w:tcW w:w="729" w:type="dxa"/>
          </w:tcPr>
          <w:p>
            <w:pPr>
              <w:pStyle w:val="710"/>
              <w:ind w:firstLine="480"/>
              <w:rPr>
                <w:szCs w:val="22"/>
              </w:rPr>
            </w:pPr>
          </w:p>
        </w:tc>
        <w:tc>
          <w:tcPr>
            <w:tcW w:w="3639" w:type="dxa"/>
            <w:gridSpan w:val="5"/>
            <w:vAlign w:val="center"/>
          </w:tcPr>
          <w:p>
            <w:pPr>
              <w:jc w:val="center"/>
              <w:rPr>
                <w:rFonts w:ascii="宋体" w:hAnsi="宋体" w:cs="宋体"/>
                <w:sz w:val="24"/>
              </w:rPr>
            </w:pPr>
            <w:r>
              <w:rPr>
                <w:rFonts w:hint="eastAsia"/>
                <w:sz w:val="24"/>
              </w:rPr>
              <w:t>标项五</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6</w:t>
            </w:r>
          </w:p>
        </w:tc>
        <w:tc>
          <w:tcPr>
            <w:tcW w:w="2007"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麻车巷</w:t>
            </w:r>
          </w:p>
        </w:tc>
        <w:tc>
          <w:tcPr>
            <w:tcW w:w="128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709.68</w:t>
            </w:r>
          </w:p>
        </w:tc>
        <w:tc>
          <w:tcPr>
            <w:tcW w:w="729" w:type="dxa"/>
          </w:tcPr>
          <w:p>
            <w:pPr>
              <w:pStyle w:val="710"/>
              <w:ind w:firstLine="480"/>
              <w:rPr>
                <w:szCs w:val="22"/>
              </w:rPr>
            </w:pPr>
          </w:p>
        </w:tc>
        <w:tc>
          <w:tcPr>
            <w:tcW w:w="3639" w:type="dxa"/>
            <w:gridSpan w:val="5"/>
            <w:tcBorders>
              <w:bottom w:val="single" w:color="auto" w:sz="4" w:space="0"/>
            </w:tcBorders>
            <w:vAlign w:val="center"/>
          </w:tcPr>
          <w:p>
            <w:pPr>
              <w:jc w:val="center"/>
              <w:rPr>
                <w:rFonts w:ascii="宋体" w:hAnsi="宋体" w:cs="宋体"/>
                <w:sz w:val="22"/>
                <w:szCs w:val="22"/>
              </w:rPr>
            </w:pPr>
            <w:r>
              <w:rPr>
                <w:rFonts w:hint="eastAsia"/>
                <w:sz w:val="24"/>
              </w:rPr>
              <w:t>站前大道以北</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7</w:t>
            </w:r>
          </w:p>
        </w:tc>
        <w:tc>
          <w:tcPr>
            <w:tcW w:w="2007"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双凤乔灌木</w:t>
            </w:r>
          </w:p>
        </w:tc>
        <w:tc>
          <w:tcPr>
            <w:tcW w:w="1280" w:type="dxa"/>
            <w:tcBorders>
              <w:top w:val="nil"/>
              <w:left w:val="nil"/>
              <w:bottom w:val="single" w:color="auto" w:sz="4" w:space="0"/>
              <w:right w:val="single" w:color="000000"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 xml:space="preserve">14126.00 </w:t>
            </w:r>
          </w:p>
        </w:tc>
        <w:tc>
          <w:tcPr>
            <w:tcW w:w="729" w:type="dxa"/>
            <w:tcBorders>
              <w:right w:val="single" w:color="auto" w:sz="4" w:space="0"/>
            </w:tcBorders>
          </w:tcPr>
          <w:p>
            <w:pPr>
              <w:pStyle w:val="710"/>
              <w:ind w:firstLine="480"/>
              <w:rPr>
                <w:szCs w:val="22"/>
              </w:rPr>
            </w:pPr>
          </w:p>
        </w:tc>
        <w:tc>
          <w:tcPr>
            <w:tcW w:w="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序号</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范围</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面积（m</w:t>
            </w:r>
            <w:r>
              <w:rPr>
                <w:rFonts w:hint="eastAsia" w:ascii="宋体" w:hAnsi="宋体" w:cs="宋体"/>
                <w:sz w:val="22"/>
                <w:szCs w:val="22"/>
                <w:vertAlign w:val="superscript"/>
              </w:rPr>
              <w:t>2</w:t>
            </w:r>
            <w:r>
              <w:rPr>
                <w:rFonts w:hint="eastAsia" w:ascii="宋体" w:hAnsi="宋体" w:cs="宋体"/>
                <w:sz w:val="22"/>
                <w:szCs w:val="22"/>
              </w:rPr>
              <w:t>）</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8</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江东项目中心边</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 xml:space="preserve">440.00 </w:t>
            </w:r>
          </w:p>
        </w:tc>
        <w:tc>
          <w:tcPr>
            <w:tcW w:w="729" w:type="dxa"/>
            <w:tcBorders>
              <w:top w:val="nil"/>
              <w:left w:val="single" w:color="auto" w:sz="4" w:space="0"/>
              <w:right w:val="single" w:color="auto" w:sz="4" w:space="0"/>
            </w:tcBorders>
          </w:tcPr>
          <w:p>
            <w:pPr>
              <w:pStyle w:val="710"/>
              <w:ind w:firstLine="480"/>
            </w:pPr>
          </w:p>
        </w:tc>
        <w:tc>
          <w:tcPr>
            <w:tcW w:w="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1</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黄陈小区</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6359.82</w:t>
            </w:r>
          </w:p>
        </w:tc>
      </w:tr>
      <w:tr>
        <w:tblPrEx>
          <w:tblCellMar>
            <w:top w:w="0" w:type="dxa"/>
            <w:left w:w="108" w:type="dxa"/>
            <w:bottom w:w="0" w:type="dxa"/>
            <w:right w:w="108" w:type="dxa"/>
          </w:tblCellMar>
        </w:tblPrEx>
        <w:trPr>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9</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金椅山庄</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 xml:space="preserve">35146.1 </w:t>
            </w:r>
          </w:p>
        </w:tc>
        <w:tc>
          <w:tcPr>
            <w:tcW w:w="729" w:type="dxa"/>
            <w:tcBorders>
              <w:top w:val="nil"/>
              <w:left w:val="single" w:color="auto" w:sz="4" w:space="0"/>
              <w:right w:val="single" w:color="auto" w:sz="4" w:space="0"/>
            </w:tcBorders>
          </w:tcPr>
          <w:p>
            <w:pPr>
              <w:pStyle w:val="710"/>
              <w:ind w:firstLine="480"/>
            </w:pPr>
          </w:p>
        </w:tc>
        <w:tc>
          <w:tcPr>
            <w:tcW w:w="8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合计</w:t>
            </w:r>
          </w:p>
        </w:tc>
        <w:tc>
          <w:tcPr>
            <w:tcW w:w="117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szCs w:val="22"/>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6359.82</w:t>
            </w:r>
          </w:p>
        </w:tc>
      </w:tr>
      <w:tr>
        <w:tblPrEx>
          <w:tblCellMar>
            <w:top w:w="0" w:type="dxa"/>
            <w:left w:w="108" w:type="dxa"/>
            <w:bottom w:w="0" w:type="dxa"/>
            <w:right w:w="108" w:type="dxa"/>
          </w:tblCellMar>
        </w:tblPrEx>
        <w:trPr>
          <w:gridAfter w:val="6"/>
          <w:wAfter w:w="4368"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10</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牛头岭</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 xml:space="preserve">2488.4 </w:t>
            </w: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11</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城北广场小区</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524.42</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12</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鹿溪渠边（含住建局对面、江滨一区行道树）</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 xml:space="preserve">682.23 </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13</w:t>
            </w:r>
          </w:p>
        </w:tc>
        <w:tc>
          <w:tcPr>
            <w:tcW w:w="2007"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翰林院上层乔灌木</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1023.26</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14</w:t>
            </w:r>
          </w:p>
        </w:tc>
        <w:tc>
          <w:tcPr>
            <w:tcW w:w="2007"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江滨四区</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2400.1</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15</w:t>
            </w:r>
          </w:p>
        </w:tc>
        <w:tc>
          <w:tcPr>
            <w:tcW w:w="2007"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湖溪里（鹿溪山庄）</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1497.08</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16</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站前里北侧绿地</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 xml:space="preserve">389.40 </w:t>
            </w:r>
          </w:p>
        </w:tc>
        <w:tc>
          <w:tcPr>
            <w:tcW w:w="729" w:type="dxa"/>
            <w:tcBorders>
              <w:top w:val="nil"/>
              <w:left w:val="single" w:color="auto" w:sz="4" w:space="0"/>
            </w:tcBorders>
          </w:tcPr>
          <w:p>
            <w:pPr>
              <w:pStyle w:val="710"/>
              <w:ind w:firstLine="480"/>
              <w:rPr>
                <w:szCs w:val="22"/>
              </w:rPr>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17</w:t>
            </w:r>
          </w:p>
        </w:tc>
        <w:tc>
          <w:tcPr>
            <w:tcW w:w="2007" w:type="dxa"/>
            <w:tcBorders>
              <w:top w:val="nil"/>
              <w:left w:val="nil"/>
              <w:bottom w:val="single" w:color="000000"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安居西路</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ascii="宋体" w:hAnsi="宋体" w:cs="宋体"/>
                <w:kern w:val="0"/>
                <w:sz w:val="24"/>
              </w:rPr>
            </w:pPr>
            <w:r>
              <w:rPr>
                <w:rFonts w:hint="eastAsia" w:ascii="宋体" w:hAnsi="宋体" w:cs="宋体"/>
                <w:kern w:val="0"/>
                <w:sz w:val="24"/>
              </w:rPr>
              <w:t>794.66</w:t>
            </w:r>
          </w:p>
        </w:tc>
        <w:tc>
          <w:tcPr>
            <w:tcW w:w="729" w:type="dxa"/>
            <w:tcBorders>
              <w:top w:val="nil"/>
              <w:left w:val="single" w:color="auto" w:sz="4" w:space="0"/>
            </w:tcBorders>
          </w:tcPr>
          <w:p>
            <w:pPr>
              <w:pStyle w:val="710"/>
              <w:ind w:firstLine="480"/>
            </w:pPr>
          </w:p>
        </w:tc>
      </w:tr>
      <w:tr>
        <w:tblPrEx>
          <w:tblCellMar>
            <w:top w:w="0" w:type="dxa"/>
            <w:left w:w="108" w:type="dxa"/>
            <w:bottom w:w="0" w:type="dxa"/>
            <w:right w:w="108" w:type="dxa"/>
          </w:tblCellMar>
        </w:tblPrEx>
        <w:trPr>
          <w:gridAfter w:val="5"/>
          <w:wAfter w:w="3639" w:type="dxa"/>
          <w:trHeight w:val="499" w:hRule="atLeast"/>
        </w:trPr>
        <w:tc>
          <w:tcPr>
            <w:tcW w:w="6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22"/>
                <w:szCs w:val="22"/>
              </w:rPr>
            </w:pPr>
            <w:r>
              <w:rPr>
                <w:rFonts w:hint="eastAsia" w:ascii="宋体" w:hAnsi="宋体" w:cs="宋体"/>
                <w:kern w:val="0"/>
                <w:sz w:val="22"/>
                <w:szCs w:val="22"/>
              </w:rPr>
              <w:t>合计</w:t>
            </w:r>
          </w:p>
        </w:tc>
        <w:tc>
          <w:tcPr>
            <w:tcW w:w="2007" w:type="dxa"/>
            <w:tcBorders>
              <w:top w:val="nil"/>
              <w:left w:val="nil"/>
              <w:bottom w:val="single" w:color="000000"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right"/>
              <w:rPr>
                <w:rFonts w:ascii="宋体" w:hAnsi="宋体" w:cs="宋体"/>
                <w:b/>
                <w:bCs/>
                <w:kern w:val="0"/>
                <w:sz w:val="22"/>
                <w:szCs w:val="22"/>
              </w:rPr>
            </w:pPr>
            <w:r>
              <w:rPr>
                <w:rFonts w:hint="eastAsia" w:ascii="宋体" w:hAnsi="宋体" w:cs="宋体"/>
                <w:b/>
                <w:bCs/>
                <w:kern w:val="0"/>
                <w:sz w:val="22"/>
                <w:szCs w:val="22"/>
              </w:rPr>
              <w:t>63631.37</w:t>
            </w:r>
          </w:p>
        </w:tc>
        <w:tc>
          <w:tcPr>
            <w:tcW w:w="729" w:type="dxa"/>
            <w:tcBorders>
              <w:top w:val="nil"/>
              <w:left w:val="single" w:color="auto" w:sz="4" w:space="0"/>
            </w:tcBorders>
          </w:tcPr>
          <w:p>
            <w:pPr>
              <w:pStyle w:val="710"/>
              <w:ind w:firstLine="480"/>
            </w:pPr>
          </w:p>
        </w:tc>
      </w:tr>
    </w:tbl>
    <w:p>
      <w:pPr>
        <w:pStyle w:val="2"/>
      </w:pPr>
    </w:p>
    <w:p>
      <w:pPr>
        <w:adjustRightInd/>
        <w:spacing w:line="360" w:lineRule="auto"/>
        <w:jc w:val="center"/>
        <w:outlineLvl w:val="0"/>
        <w:rPr>
          <w:rFonts w:ascii="仿宋" w:hAnsi="仿宋" w:eastAsia="仿宋" w:cs="仿宋_GB2312"/>
          <w:b/>
          <w:sz w:val="32"/>
          <w:szCs w:val="32"/>
        </w:rPr>
      </w:pPr>
    </w:p>
    <w:p>
      <w:pPr>
        <w:widowControl/>
        <w:adjustRightInd/>
        <w:jc w:val="left"/>
        <w:rPr>
          <w:rFonts w:ascii="仿宋" w:hAnsi="仿宋" w:eastAsia="仿宋" w:cs="仿宋_GB2312"/>
          <w:b/>
          <w:sz w:val="36"/>
          <w:szCs w:val="20"/>
        </w:rPr>
      </w:pPr>
      <w:bookmarkStart w:id="147" w:name="_Toc95232842"/>
      <w:bookmarkStart w:id="148" w:name="_Toc95295200"/>
      <w:bookmarkStart w:id="149" w:name="_Toc95295954"/>
      <w:bookmarkStart w:id="150" w:name="_Toc95296630"/>
      <w:bookmarkStart w:id="151" w:name="_Toc95296759"/>
      <w:bookmarkStart w:id="152" w:name="_Toc102563663"/>
      <w:bookmarkStart w:id="153" w:name="_Toc102563870"/>
      <w:bookmarkStart w:id="154" w:name="_Toc102563940"/>
      <w:bookmarkStart w:id="155" w:name="_Toc102564008"/>
      <w:bookmarkStart w:id="156" w:name="_Toc102565156"/>
      <w:r>
        <w:rPr>
          <w:rFonts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20"/>
        </w:rPr>
        <w:t>第四部分</w:t>
      </w:r>
      <w:bookmarkStart w:id="157" w:name="_Toc184308098"/>
      <w:bookmarkEnd w:id="157"/>
      <w:bookmarkStart w:id="158" w:name="_Toc184314460"/>
      <w:bookmarkEnd w:id="158"/>
      <w:bookmarkStart w:id="159" w:name="_Toc184314412"/>
      <w:bookmarkEnd w:id="159"/>
      <w:bookmarkStart w:id="160" w:name="_Toc184313310"/>
      <w:bookmarkEnd w:id="160"/>
      <w:bookmarkStart w:id="161" w:name="_Toc184314421"/>
      <w:bookmarkEnd w:id="161"/>
      <w:bookmarkStart w:id="162" w:name="_Toc184312138"/>
      <w:bookmarkEnd w:id="162"/>
      <w:bookmarkStart w:id="163" w:name="_Toc184308036"/>
      <w:bookmarkEnd w:id="163"/>
      <w:bookmarkStart w:id="164" w:name="_Toc184313240"/>
      <w:bookmarkEnd w:id="164"/>
      <w:bookmarkStart w:id="165" w:name="_Toc184314439"/>
      <w:bookmarkEnd w:id="165"/>
      <w:bookmarkStart w:id="166" w:name="_Toc184313255"/>
      <w:bookmarkEnd w:id="166"/>
      <w:bookmarkStart w:id="167" w:name="_Toc184310290"/>
      <w:bookmarkEnd w:id="167"/>
      <w:bookmarkStart w:id="168" w:name="_Toc184314474"/>
      <w:bookmarkEnd w:id="168"/>
      <w:bookmarkStart w:id="169" w:name="_Toc184310316"/>
      <w:bookmarkEnd w:id="169"/>
      <w:bookmarkStart w:id="170" w:name="_Toc184308044"/>
      <w:bookmarkEnd w:id="170"/>
      <w:bookmarkStart w:id="171" w:name="_Toc184312076"/>
      <w:bookmarkEnd w:id="171"/>
      <w:bookmarkStart w:id="172" w:name="_Toc184310272"/>
      <w:bookmarkEnd w:id="172"/>
      <w:bookmarkStart w:id="173" w:name="_Toc184314415"/>
      <w:bookmarkEnd w:id="173"/>
      <w:bookmarkStart w:id="174" w:name="_Toc184308041"/>
      <w:bookmarkEnd w:id="174"/>
      <w:bookmarkStart w:id="175" w:name="_Toc184314448"/>
      <w:bookmarkEnd w:id="175"/>
      <w:bookmarkStart w:id="176" w:name="_Toc184310278"/>
      <w:bookmarkEnd w:id="176"/>
      <w:bookmarkStart w:id="177" w:name="_Toc184312072"/>
      <w:bookmarkEnd w:id="177"/>
      <w:bookmarkStart w:id="178" w:name="_Toc184310339"/>
      <w:bookmarkEnd w:id="178"/>
      <w:bookmarkStart w:id="179" w:name="_Toc184314411"/>
      <w:bookmarkEnd w:id="179"/>
      <w:bookmarkStart w:id="180" w:name="_Toc184312073"/>
      <w:bookmarkEnd w:id="180"/>
      <w:bookmarkStart w:id="181" w:name="_Toc184313246"/>
      <w:bookmarkEnd w:id="181"/>
      <w:bookmarkStart w:id="182" w:name="_Toc184314418"/>
      <w:bookmarkEnd w:id="182"/>
      <w:bookmarkStart w:id="183" w:name="_Toc184310344"/>
      <w:bookmarkEnd w:id="183"/>
      <w:bookmarkStart w:id="184" w:name="_Toc184314433"/>
      <w:bookmarkEnd w:id="184"/>
      <w:bookmarkStart w:id="185" w:name="_Toc184312092"/>
      <w:bookmarkEnd w:id="185"/>
      <w:bookmarkStart w:id="186" w:name="_Toc184308038"/>
      <w:bookmarkEnd w:id="186"/>
      <w:bookmarkStart w:id="187" w:name="_Toc184313260"/>
      <w:bookmarkEnd w:id="187"/>
      <w:bookmarkStart w:id="188" w:name="_Toc184308105"/>
      <w:bookmarkEnd w:id="188"/>
      <w:bookmarkStart w:id="189" w:name="_Toc184308043"/>
      <w:bookmarkEnd w:id="189"/>
      <w:bookmarkStart w:id="190" w:name="_Toc184308104"/>
      <w:bookmarkEnd w:id="190"/>
      <w:bookmarkStart w:id="191" w:name="_Toc184310274"/>
      <w:bookmarkEnd w:id="191"/>
      <w:bookmarkStart w:id="192" w:name="_Toc184310335"/>
      <w:bookmarkEnd w:id="192"/>
      <w:bookmarkStart w:id="193" w:name="_Toc184314417"/>
      <w:bookmarkEnd w:id="193"/>
      <w:bookmarkStart w:id="194" w:name="_Toc184310342"/>
      <w:bookmarkEnd w:id="194"/>
      <w:bookmarkStart w:id="195" w:name="_Toc184310279"/>
      <w:bookmarkEnd w:id="195"/>
      <w:bookmarkStart w:id="196" w:name="_Toc184313244"/>
      <w:bookmarkEnd w:id="196"/>
      <w:bookmarkStart w:id="197" w:name="_Toc184314416"/>
      <w:bookmarkEnd w:id="197"/>
      <w:bookmarkStart w:id="198" w:name="_Toc184310312"/>
      <w:bookmarkEnd w:id="198"/>
      <w:bookmarkStart w:id="199" w:name="_Toc184313278"/>
      <w:bookmarkEnd w:id="199"/>
      <w:bookmarkStart w:id="200" w:name="_Toc184314435"/>
      <w:bookmarkEnd w:id="200"/>
      <w:bookmarkStart w:id="201" w:name="_Toc184310294"/>
      <w:bookmarkEnd w:id="201"/>
      <w:bookmarkStart w:id="202" w:name="_Toc184314437"/>
      <w:bookmarkEnd w:id="202"/>
      <w:bookmarkStart w:id="203" w:name="_Toc184308073"/>
      <w:bookmarkEnd w:id="203"/>
      <w:bookmarkStart w:id="204" w:name="_Toc184314424"/>
      <w:bookmarkEnd w:id="204"/>
      <w:bookmarkStart w:id="205" w:name="_Toc184310304"/>
      <w:bookmarkEnd w:id="205"/>
      <w:bookmarkStart w:id="206" w:name="_Toc184310321"/>
      <w:bookmarkEnd w:id="206"/>
      <w:bookmarkStart w:id="207" w:name="_Toc184314427"/>
      <w:bookmarkEnd w:id="207"/>
      <w:bookmarkStart w:id="208" w:name="_Toc184313290"/>
      <w:bookmarkEnd w:id="208"/>
      <w:bookmarkStart w:id="209" w:name="_Toc184312090"/>
      <w:bookmarkEnd w:id="209"/>
      <w:bookmarkStart w:id="210" w:name="_Toc184313296"/>
      <w:bookmarkEnd w:id="210"/>
      <w:bookmarkStart w:id="211" w:name="_Toc184313300"/>
      <w:bookmarkEnd w:id="211"/>
      <w:bookmarkStart w:id="212" w:name="_Toc184312111"/>
      <w:bookmarkEnd w:id="212"/>
      <w:bookmarkStart w:id="213" w:name="_Toc184314414"/>
      <w:bookmarkEnd w:id="213"/>
      <w:bookmarkStart w:id="214" w:name="_Toc184310280"/>
      <w:bookmarkEnd w:id="214"/>
      <w:bookmarkStart w:id="215" w:name="_Toc184314472"/>
      <w:bookmarkEnd w:id="215"/>
      <w:bookmarkStart w:id="216" w:name="_Toc184312077"/>
      <w:bookmarkEnd w:id="216"/>
      <w:bookmarkStart w:id="217" w:name="_Toc184310318"/>
      <w:bookmarkEnd w:id="217"/>
      <w:bookmarkStart w:id="218" w:name="_Toc184312074"/>
      <w:bookmarkEnd w:id="218"/>
      <w:bookmarkStart w:id="219" w:name="_Toc184312075"/>
      <w:bookmarkEnd w:id="219"/>
      <w:bookmarkStart w:id="220" w:name="_Toc184313245"/>
      <w:bookmarkEnd w:id="220"/>
      <w:bookmarkStart w:id="221" w:name="_Toc184313282"/>
      <w:bookmarkEnd w:id="221"/>
      <w:bookmarkStart w:id="222" w:name="_Toc184310276"/>
      <w:bookmarkEnd w:id="222"/>
      <w:bookmarkStart w:id="223" w:name="_Toc184313285"/>
      <w:bookmarkEnd w:id="223"/>
      <w:bookmarkStart w:id="224" w:name="_Toc184310340"/>
      <w:bookmarkEnd w:id="224"/>
      <w:bookmarkStart w:id="225" w:name="_Toc184308076"/>
      <w:bookmarkEnd w:id="225"/>
      <w:bookmarkStart w:id="226" w:name="_Toc184312109"/>
      <w:bookmarkEnd w:id="226"/>
      <w:bookmarkStart w:id="227" w:name="_Toc184310330"/>
      <w:bookmarkEnd w:id="227"/>
      <w:bookmarkStart w:id="228" w:name="_Toc184314481"/>
      <w:bookmarkEnd w:id="228"/>
      <w:bookmarkStart w:id="229" w:name="_Toc184312128"/>
      <w:bookmarkEnd w:id="229"/>
      <w:bookmarkStart w:id="230" w:name="_Toc184312122"/>
      <w:bookmarkEnd w:id="230"/>
      <w:bookmarkStart w:id="231" w:name="_Toc184308075"/>
      <w:bookmarkEnd w:id="231"/>
      <w:bookmarkStart w:id="232" w:name="_Toc184312082"/>
      <w:bookmarkEnd w:id="232"/>
      <w:bookmarkStart w:id="233" w:name="_Toc184308042"/>
      <w:bookmarkEnd w:id="233"/>
      <w:bookmarkStart w:id="234" w:name="_Toc184308059"/>
      <w:bookmarkEnd w:id="234"/>
      <w:bookmarkStart w:id="235" w:name="_Toc184314425"/>
      <w:bookmarkEnd w:id="235"/>
      <w:bookmarkStart w:id="236" w:name="_Toc184313261"/>
      <w:bookmarkEnd w:id="236"/>
      <w:bookmarkStart w:id="237" w:name="_Toc184308106"/>
      <w:bookmarkEnd w:id="237"/>
      <w:bookmarkStart w:id="238" w:name="_Toc184310277"/>
      <w:bookmarkEnd w:id="238"/>
      <w:bookmarkStart w:id="239" w:name="_Toc184308060"/>
      <w:bookmarkEnd w:id="239"/>
      <w:bookmarkStart w:id="240" w:name="_Toc184308062"/>
      <w:bookmarkEnd w:id="240"/>
      <w:bookmarkStart w:id="241" w:name="_Toc184313276"/>
      <w:bookmarkEnd w:id="241"/>
      <w:bookmarkStart w:id="242" w:name="_Toc184314477"/>
      <w:bookmarkEnd w:id="242"/>
      <w:bookmarkStart w:id="243" w:name="_Toc184310332"/>
      <w:bookmarkEnd w:id="243"/>
      <w:bookmarkStart w:id="244" w:name="_Toc184310287"/>
      <w:bookmarkEnd w:id="244"/>
      <w:bookmarkStart w:id="245" w:name="_Toc184310295"/>
      <w:bookmarkEnd w:id="245"/>
      <w:bookmarkStart w:id="246" w:name="_Toc184314471"/>
      <w:bookmarkEnd w:id="246"/>
      <w:bookmarkStart w:id="247" w:name="_Toc184308080"/>
      <w:bookmarkEnd w:id="247"/>
      <w:bookmarkStart w:id="248" w:name="_Toc184308096"/>
      <w:bookmarkEnd w:id="248"/>
      <w:bookmarkStart w:id="249" w:name="_Toc184308050"/>
      <w:bookmarkEnd w:id="249"/>
      <w:bookmarkStart w:id="250" w:name="_Toc184313309"/>
      <w:bookmarkEnd w:id="250"/>
      <w:bookmarkStart w:id="251" w:name="_Toc184308045"/>
      <w:bookmarkEnd w:id="251"/>
      <w:bookmarkStart w:id="252" w:name="_Toc184313284"/>
      <w:bookmarkEnd w:id="252"/>
      <w:bookmarkStart w:id="253" w:name="_Toc184312110"/>
      <w:bookmarkEnd w:id="253"/>
      <w:bookmarkStart w:id="254" w:name="_Toc184312089"/>
      <w:bookmarkEnd w:id="254"/>
      <w:bookmarkStart w:id="255" w:name="_Toc184313265"/>
      <w:bookmarkEnd w:id="255"/>
      <w:bookmarkStart w:id="256" w:name="_Toc184312125"/>
      <w:bookmarkEnd w:id="256"/>
      <w:bookmarkStart w:id="257" w:name="_Toc184310320"/>
      <w:bookmarkEnd w:id="257"/>
      <w:bookmarkStart w:id="258" w:name="_Toc184313243"/>
      <w:bookmarkEnd w:id="258"/>
      <w:bookmarkStart w:id="259" w:name="_Toc184314465"/>
      <w:bookmarkEnd w:id="259"/>
      <w:bookmarkStart w:id="260" w:name="_Toc184313242"/>
      <w:bookmarkEnd w:id="260"/>
      <w:bookmarkStart w:id="261" w:name="_Toc184312108"/>
      <w:bookmarkEnd w:id="261"/>
      <w:bookmarkStart w:id="262" w:name="_Toc184312119"/>
      <w:bookmarkEnd w:id="262"/>
      <w:bookmarkStart w:id="263" w:name="_Toc184313302"/>
      <w:bookmarkEnd w:id="263"/>
      <w:bookmarkStart w:id="264" w:name="_Toc184308102"/>
      <w:bookmarkEnd w:id="264"/>
      <w:bookmarkStart w:id="265" w:name="_Toc184313289"/>
      <w:bookmarkEnd w:id="265"/>
      <w:bookmarkStart w:id="266" w:name="_Toc184312124"/>
      <w:bookmarkEnd w:id="266"/>
      <w:bookmarkStart w:id="267" w:name="_Toc184312118"/>
      <w:bookmarkEnd w:id="267"/>
      <w:bookmarkStart w:id="268" w:name="_Toc184312113"/>
      <w:bookmarkEnd w:id="268"/>
      <w:bookmarkStart w:id="269" w:name="_Toc184314456"/>
      <w:bookmarkEnd w:id="269"/>
      <w:bookmarkStart w:id="270" w:name="_Toc184314419"/>
      <w:bookmarkEnd w:id="270"/>
      <w:bookmarkStart w:id="271" w:name="_Toc184312136"/>
      <w:bookmarkEnd w:id="271"/>
      <w:bookmarkStart w:id="272" w:name="_Toc184314436"/>
      <w:bookmarkEnd w:id="272"/>
      <w:bookmarkStart w:id="273" w:name="_Toc184308072"/>
      <w:bookmarkEnd w:id="273"/>
      <w:bookmarkStart w:id="274" w:name="_Toc184310309"/>
      <w:bookmarkEnd w:id="274"/>
      <w:bookmarkStart w:id="275" w:name="_Toc184312126"/>
      <w:bookmarkEnd w:id="275"/>
      <w:bookmarkStart w:id="276" w:name="_Toc184313293"/>
      <w:bookmarkEnd w:id="276"/>
      <w:bookmarkStart w:id="277" w:name="_Toc184308051"/>
      <w:bookmarkEnd w:id="277"/>
      <w:bookmarkStart w:id="278" w:name="_Toc184308107"/>
      <w:bookmarkEnd w:id="278"/>
      <w:bookmarkStart w:id="279" w:name="_Toc184310307"/>
      <w:bookmarkEnd w:id="279"/>
      <w:bookmarkStart w:id="280" w:name="_Toc184313305"/>
      <w:bookmarkEnd w:id="280"/>
      <w:bookmarkStart w:id="281" w:name="_Toc184312129"/>
      <w:bookmarkEnd w:id="281"/>
      <w:bookmarkStart w:id="282" w:name="_Toc184308097"/>
      <w:bookmarkEnd w:id="282"/>
      <w:bookmarkStart w:id="283" w:name="_Toc184312134"/>
      <w:bookmarkEnd w:id="283"/>
      <w:bookmarkStart w:id="284" w:name="_Toc184308103"/>
      <w:bookmarkEnd w:id="284"/>
      <w:bookmarkStart w:id="285" w:name="_Toc184313304"/>
      <w:bookmarkEnd w:id="285"/>
      <w:bookmarkStart w:id="286" w:name="_Toc184314468"/>
      <w:bookmarkEnd w:id="286"/>
      <w:bookmarkStart w:id="287" w:name="_Toc184314469"/>
      <w:bookmarkEnd w:id="287"/>
      <w:bookmarkStart w:id="288" w:name="_Toc184308068"/>
      <w:bookmarkEnd w:id="288"/>
      <w:bookmarkStart w:id="289" w:name="_Toc184312091"/>
      <w:bookmarkEnd w:id="289"/>
      <w:bookmarkStart w:id="290" w:name="_Toc184308046"/>
      <w:bookmarkEnd w:id="290"/>
      <w:bookmarkStart w:id="291" w:name="_Toc184312130"/>
      <w:bookmarkEnd w:id="291"/>
      <w:bookmarkStart w:id="292" w:name="_Toc184312132"/>
      <w:bookmarkEnd w:id="292"/>
      <w:bookmarkStart w:id="293" w:name="_Toc184313299"/>
      <w:bookmarkEnd w:id="293"/>
      <w:bookmarkStart w:id="294" w:name="_Toc184314470"/>
      <w:bookmarkEnd w:id="294"/>
      <w:bookmarkStart w:id="295" w:name="_Toc184310285"/>
      <w:bookmarkEnd w:id="295"/>
      <w:bookmarkStart w:id="296" w:name="_Toc184314453"/>
      <w:bookmarkEnd w:id="296"/>
      <w:bookmarkStart w:id="297" w:name="_Toc184314440"/>
      <w:bookmarkEnd w:id="297"/>
      <w:bookmarkStart w:id="298" w:name="_Toc184313272"/>
      <w:bookmarkEnd w:id="298"/>
      <w:bookmarkStart w:id="299" w:name="_Toc184310303"/>
      <w:bookmarkEnd w:id="299"/>
      <w:bookmarkStart w:id="300" w:name="_Toc184308048"/>
      <w:bookmarkEnd w:id="300"/>
      <w:bookmarkStart w:id="301" w:name="_Toc184313291"/>
      <w:bookmarkEnd w:id="301"/>
      <w:bookmarkStart w:id="302" w:name="_Toc184308071"/>
      <w:bookmarkEnd w:id="302"/>
      <w:bookmarkStart w:id="303" w:name="_Toc184308070"/>
      <w:bookmarkEnd w:id="303"/>
      <w:bookmarkStart w:id="304" w:name="_Toc184310343"/>
      <w:bookmarkEnd w:id="304"/>
      <w:bookmarkStart w:id="305" w:name="_Toc184310311"/>
      <w:bookmarkEnd w:id="305"/>
      <w:bookmarkStart w:id="306" w:name="_Toc184313264"/>
      <w:bookmarkEnd w:id="306"/>
      <w:bookmarkStart w:id="307" w:name="_Toc184312078"/>
      <w:bookmarkEnd w:id="307"/>
      <w:bookmarkStart w:id="308" w:name="_Toc184308083"/>
      <w:bookmarkEnd w:id="308"/>
      <w:bookmarkStart w:id="309" w:name="_Toc184312081"/>
      <w:bookmarkEnd w:id="309"/>
      <w:bookmarkStart w:id="310" w:name="_Toc184313270"/>
      <w:bookmarkEnd w:id="310"/>
      <w:bookmarkStart w:id="311" w:name="_Toc184310329"/>
      <w:bookmarkEnd w:id="311"/>
      <w:bookmarkStart w:id="312" w:name="_Toc184308037"/>
      <w:bookmarkEnd w:id="312"/>
      <w:bookmarkStart w:id="313" w:name="_Toc184310334"/>
      <w:bookmarkEnd w:id="313"/>
      <w:bookmarkStart w:id="314" w:name="_Toc184314452"/>
      <w:bookmarkEnd w:id="314"/>
      <w:bookmarkStart w:id="315" w:name="_Toc184308092"/>
      <w:bookmarkEnd w:id="315"/>
      <w:bookmarkStart w:id="316" w:name="_Toc184308099"/>
      <w:bookmarkEnd w:id="316"/>
      <w:bookmarkStart w:id="317" w:name="_Toc184313297"/>
      <w:bookmarkEnd w:id="317"/>
      <w:bookmarkStart w:id="318" w:name="_Toc184313286"/>
      <w:bookmarkEnd w:id="318"/>
      <w:bookmarkStart w:id="319" w:name="_Toc184310338"/>
      <w:bookmarkEnd w:id="319"/>
      <w:bookmarkStart w:id="320" w:name="_Toc184312133"/>
      <w:bookmarkEnd w:id="320"/>
      <w:bookmarkStart w:id="321" w:name="_Toc184308095"/>
      <w:bookmarkEnd w:id="321"/>
      <w:bookmarkStart w:id="322" w:name="_Toc184308089"/>
      <w:bookmarkEnd w:id="322"/>
      <w:bookmarkStart w:id="323" w:name="_Toc184313288"/>
      <w:bookmarkEnd w:id="323"/>
      <w:bookmarkStart w:id="324" w:name="_Toc184308090"/>
      <w:bookmarkEnd w:id="324"/>
      <w:bookmarkStart w:id="325" w:name="_Toc184312120"/>
      <w:bookmarkEnd w:id="325"/>
      <w:bookmarkStart w:id="326" w:name="_Toc184310326"/>
      <w:bookmarkEnd w:id="326"/>
      <w:bookmarkStart w:id="327" w:name="_Toc184313294"/>
      <w:bookmarkEnd w:id="327"/>
      <w:bookmarkStart w:id="328" w:name="_Toc184314457"/>
      <w:bookmarkEnd w:id="328"/>
      <w:bookmarkStart w:id="329" w:name="_Toc184310331"/>
      <w:bookmarkEnd w:id="329"/>
      <w:bookmarkStart w:id="330" w:name="_Toc184308091"/>
      <w:bookmarkEnd w:id="330"/>
      <w:bookmarkStart w:id="331" w:name="_Toc184314463"/>
      <w:bookmarkEnd w:id="331"/>
      <w:bookmarkStart w:id="332" w:name="_Toc184308094"/>
      <w:bookmarkEnd w:id="332"/>
      <w:bookmarkStart w:id="333" w:name="_Toc184312127"/>
      <w:bookmarkEnd w:id="333"/>
      <w:bookmarkStart w:id="334" w:name="_Toc184310333"/>
      <w:bookmarkEnd w:id="334"/>
      <w:bookmarkStart w:id="335" w:name="_Toc184314467"/>
      <w:bookmarkEnd w:id="335"/>
      <w:bookmarkStart w:id="336" w:name="_Toc184312121"/>
      <w:bookmarkEnd w:id="336"/>
      <w:bookmarkStart w:id="337" w:name="_Toc184312107"/>
      <w:bookmarkEnd w:id="337"/>
      <w:bookmarkStart w:id="338" w:name="_Toc184312123"/>
      <w:bookmarkEnd w:id="338"/>
      <w:bookmarkStart w:id="339" w:name="_Toc184314466"/>
      <w:bookmarkEnd w:id="339"/>
      <w:bookmarkStart w:id="340" w:name="_Toc184314476"/>
      <w:bookmarkEnd w:id="340"/>
      <w:bookmarkStart w:id="341" w:name="_Toc184313298"/>
      <w:bookmarkEnd w:id="341"/>
      <w:bookmarkStart w:id="342" w:name="_Toc184308088"/>
      <w:bookmarkEnd w:id="342"/>
      <w:bookmarkStart w:id="343" w:name="_Toc184310325"/>
      <w:bookmarkEnd w:id="343"/>
      <w:bookmarkStart w:id="344" w:name="_Toc184312114"/>
      <w:bookmarkEnd w:id="344"/>
      <w:bookmarkStart w:id="345" w:name="_Toc184313248"/>
      <w:bookmarkEnd w:id="345"/>
      <w:bookmarkStart w:id="346" w:name="_Toc184312137"/>
      <w:bookmarkEnd w:id="346"/>
      <w:bookmarkStart w:id="347" w:name="_Toc184313241"/>
      <w:bookmarkEnd w:id="347"/>
      <w:bookmarkStart w:id="348" w:name="_Toc184308085"/>
      <w:bookmarkEnd w:id="348"/>
      <w:bookmarkStart w:id="349" w:name="_Toc184308093"/>
      <w:bookmarkEnd w:id="349"/>
      <w:bookmarkStart w:id="350" w:name="_Toc184308087"/>
      <w:bookmarkEnd w:id="350"/>
      <w:bookmarkStart w:id="351" w:name="_Toc184313250"/>
      <w:bookmarkEnd w:id="351"/>
      <w:bookmarkStart w:id="352" w:name="_Toc184308077"/>
      <w:bookmarkEnd w:id="352"/>
      <w:bookmarkStart w:id="353" w:name="_Toc184312105"/>
      <w:bookmarkEnd w:id="353"/>
      <w:bookmarkStart w:id="354" w:name="_Toc184314422"/>
      <w:bookmarkEnd w:id="354"/>
      <w:bookmarkStart w:id="355" w:name="_Toc184310313"/>
      <w:bookmarkEnd w:id="355"/>
      <w:bookmarkStart w:id="356" w:name="_Toc184314464"/>
      <w:bookmarkEnd w:id="356"/>
      <w:bookmarkStart w:id="357" w:name="_Toc184310327"/>
      <w:bookmarkEnd w:id="357"/>
      <w:bookmarkStart w:id="358" w:name="_Toc184314423"/>
      <w:bookmarkEnd w:id="358"/>
      <w:bookmarkStart w:id="359" w:name="_Toc184314480"/>
      <w:bookmarkEnd w:id="359"/>
      <w:bookmarkStart w:id="360" w:name="_Toc184314461"/>
      <w:bookmarkEnd w:id="360"/>
      <w:bookmarkStart w:id="361" w:name="_Toc184314479"/>
      <w:bookmarkEnd w:id="361"/>
      <w:bookmarkStart w:id="362" w:name="_Toc184313301"/>
      <w:bookmarkEnd w:id="362"/>
      <w:bookmarkStart w:id="363" w:name="_Toc184312093"/>
      <w:bookmarkEnd w:id="363"/>
      <w:bookmarkStart w:id="364" w:name="_Toc184314462"/>
      <w:bookmarkEnd w:id="364"/>
      <w:bookmarkStart w:id="365" w:name="_Toc184308063"/>
      <w:bookmarkEnd w:id="365"/>
      <w:bookmarkStart w:id="366" w:name="_Toc184312071"/>
      <w:bookmarkEnd w:id="366"/>
      <w:bookmarkStart w:id="367" w:name="_Toc184314451"/>
      <w:bookmarkEnd w:id="367"/>
      <w:bookmarkStart w:id="368" w:name="_Toc184310286"/>
      <w:bookmarkEnd w:id="368"/>
      <w:bookmarkStart w:id="369" w:name="_Toc184313252"/>
      <w:bookmarkEnd w:id="369"/>
      <w:bookmarkStart w:id="370" w:name="_Toc184310324"/>
      <w:bookmarkEnd w:id="370"/>
      <w:bookmarkStart w:id="371" w:name="_Toc184312080"/>
      <w:bookmarkEnd w:id="371"/>
      <w:bookmarkStart w:id="372" w:name="_Toc184310319"/>
      <w:bookmarkEnd w:id="372"/>
      <w:bookmarkStart w:id="373" w:name="_Toc184313274"/>
      <w:bookmarkEnd w:id="373"/>
      <w:bookmarkStart w:id="374" w:name="_Toc184310328"/>
      <w:bookmarkEnd w:id="374"/>
      <w:bookmarkStart w:id="375" w:name="_Toc184310323"/>
      <w:bookmarkEnd w:id="375"/>
      <w:bookmarkStart w:id="376" w:name="_Toc184312104"/>
      <w:bookmarkEnd w:id="376"/>
      <w:bookmarkStart w:id="377" w:name="_Toc184308086"/>
      <w:bookmarkEnd w:id="377"/>
      <w:bookmarkStart w:id="378" w:name="_Toc184313295"/>
      <w:bookmarkEnd w:id="378"/>
      <w:bookmarkStart w:id="379" w:name="_Toc184312099"/>
      <w:bookmarkEnd w:id="379"/>
      <w:bookmarkStart w:id="380" w:name="_Toc184314444"/>
      <w:bookmarkEnd w:id="380"/>
      <w:bookmarkStart w:id="381" w:name="_Toc184314482"/>
      <w:bookmarkEnd w:id="381"/>
      <w:bookmarkStart w:id="382" w:name="_Toc184310284"/>
      <w:bookmarkEnd w:id="382"/>
      <w:bookmarkStart w:id="383" w:name="_Toc184308079"/>
      <w:bookmarkEnd w:id="383"/>
      <w:bookmarkStart w:id="384" w:name="_Toc184312079"/>
      <w:bookmarkEnd w:id="384"/>
      <w:bookmarkStart w:id="385" w:name="_Toc184312139"/>
      <w:bookmarkEnd w:id="385"/>
      <w:bookmarkStart w:id="386" w:name="_Toc184308108"/>
      <w:bookmarkEnd w:id="386"/>
      <w:bookmarkStart w:id="387" w:name="_Toc184312096"/>
      <w:bookmarkEnd w:id="387"/>
      <w:bookmarkStart w:id="388" w:name="_Toc184314420"/>
      <w:bookmarkEnd w:id="388"/>
      <w:bookmarkStart w:id="389" w:name="_Toc184308100"/>
      <w:bookmarkEnd w:id="389"/>
      <w:bookmarkStart w:id="390" w:name="_Toc184312102"/>
      <w:bookmarkEnd w:id="390"/>
      <w:bookmarkStart w:id="391" w:name="_Toc184310283"/>
      <w:bookmarkEnd w:id="391"/>
      <w:bookmarkStart w:id="392" w:name="_Toc184313238"/>
      <w:bookmarkEnd w:id="392"/>
      <w:bookmarkStart w:id="393" w:name="_Toc184314445"/>
      <w:bookmarkEnd w:id="393"/>
      <w:bookmarkStart w:id="394" w:name="_Toc184313308"/>
      <w:bookmarkEnd w:id="394"/>
      <w:bookmarkStart w:id="395" w:name="_Toc184310306"/>
      <w:bookmarkEnd w:id="395"/>
      <w:bookmarkStart w:id="396" w:name="_Toc184310337"/>
      <w:bookmarkEnd w:id="396"/>
      <w:bookmarkStart w:id="397" w:name="_Toc184308084"/>
      <w:bookmarkEnd w:id="397"/>
      <w:bookmarkStart w:id="398" w:name="_Toc184313249"/>
      <w:bookmarkEnd w:id="398"/>
      <w:bookmarkStart w:id="399" w:name="_Toc184314442"/>
      <w:bookmarkEnd w:id="399"/>
      <w:bookmarkStart w:id="400" w:name="_Toc184313239"/>
      <w:bookmarkEnd w:id="400"/>
      <w:bookmarkStart w:id="401" w:name="_Toc184313247"/>
      <w:bookmarkEnd w:id="401"/>
      <w:bookmarkStart w:id="402" w:name="_Toc184314441"/>
      <w:bookmarkEnd w:id="402"/>
      <w:bookmarkStart w:id="403" w:name="_Toc184314410"/>
      <w:bookmarkEnd w:id="403"/>
      <w:bookmarkStart w:id="404" w:name="_Toc184313279"/>
      <w:bookmarkEnd w:id="404"/>
      <w:bookmarkStart w:id="405" w:name="_Toc184312131"/>
      <w:bookmarkEnd w:id="405"/>
      <w:bookmarkStart w:id="406" w:name="_Toc184312101"/>
      <w:bookmarkEnd w:id="406"/>
      <w:bookmarkStart w:id="407" w:name="_Toc184313258"/>
      <w:bookmarkEnd w:id="407"/>
      <w:bookmarkStart w:id="408" w:name="_Toc184313268"/>
      <w:bookmarkEnd w:id="408"/>
      <w:bookmarkStart w:id="409" w:name="_Toc184310305"/>
      <w:bookmarkEnd w:id="409"/>
      <w:bookmarkStart w:id="410" w:name="_Toc184313283"/>
      <w:bookmarkEnd w:id="410"/>
      <w:bookmarkStart w:id="411" w:name="_Toc184308069"/>
      <w:bookmarkEnd w:id="411"/>
      <w:bookmarkStart w:id="412" w:name="_Toc184310300"/>
      <w:bookmarkEnd w:id="412"/>
      <w:bookmarkStart w:id="413" w:name="_Toc184308082"/>
      <w:bookmarkEnd w:id="413"/>
      <w:bookmarkStart w:id="414" w:name="_Toc184308078"/>
      <w:bookmarkEnd w:id="414"/>
      <w:bookmarkStart w:id="415" w:name="_Toc184313281"/>
      <w:bookmarkEnd w:id="415"/>
      <w:bookmarkStart w:id="416" w:name="_Toc184310308"/>
      <w:bookmarkEnd w:id="416"/>
      <w:bookmarkStart w:id="417" w:name="_Toc184313269"/>
      <w:bookmarkEnd w:id="417"/>
      <w:bookmarkStart w:id="418" w:name="_Toc184313271"/>
      <w:bookmarkEnd w:id="418"/>
      <w:bookmarkStart w:id="419" w:name="_Toc184310310"/>
      <w:bookmarkEnd w:id="419"/>
      <w:bookmarkStart w:id="420" w:name="_Toc184310293"/>
      <w:bookmarkEnd w:id="420"/>
      <w:bookmarkStart w:id="421" w:name="_Toc184314426"/>
      <w:bookmarkEnd w:id="421"/>
      <w:bookmarkStart w:id="422" w:name="_Toc184313257"/>
      <w:bookmarkEnd w:id="422"/>
      <w:bookmarkStart w:id="423" w:name="_Toc184313267"/>
      <w:bookmarkEnd w:id="423"/>
      <w:bookmarkStart w:id="424" w:name="_Toc184308047"/>
      <w:bookmarkEnd w:id="424"/>
      <w:bookmarkStart w:id="425" w:name="_Toc184310302"/>
      <w:bookmarkEnd w:id="425"/>
      <w:bookmarkStart w:id="426" w:name="_Toc184312100"/>
      <w:bookmarkEnd w:id="426"/>
      <w:bookmarkStart w:id="427" w:name="_Toc184308052"/>
      <w:bookmarkEnd w:id="427"/>
      <w:bookmarkStart w:id="428" w:name="_Toc184312103"/>
      <w:bookmarkEnd w:id="428"/>
      <w:bookmarkStart w:id="429" w:name="_Toc184310282"/>
      <w:bookmarkEnd w:id="429"/>
      <w:bookmarkStart w:id="430" w:name="_Toc184310301"/>
      <w:bookmarkEnd w:id="430"/>
      <w:bookmarkStart w:id="431" w:name="_Toc184314443"/>
      <w:bookmarkEnd w:id="431"/>
      <w:bookmarkStart w:id="432" w:name="_Toc184313273"/>
      <w:bookmarkEnd w:id="432"/>
      <w:bookmarkStart w:id="433" w:name="_Toc184314446"/>
      <w:bookmarkEnd w:id="433"/>
      <w:bookmarkStart w:id="434" w:name="_Toc184314475"/>
      <w:bookmarkEnd w:id="434"/>
      <w:bookmarkStart w:id="435" w:name="_Toc184312083"/>
      <w:bookmarkEnd w:id="435"/>
      <w:bookmarkStart w:id="436" w:name="_Toc184308065"/>
      <w:bookmarkEnd w:id="436"/>
      <w:bookmarkStart w:id="437" w:name="_Toc184312088"/>
      <w:bookmarkEnd w:id="437"/>
      <w:bookmarkStart w:id="438" w:name="_Toc184310291"/>
      <w:bookmarkEnd w:id="438"/>
      <w:bookmarkStart w:id="439" w:name="_Toc184314473"/>
      <w:bookmarkEnd w:id="439"/>
      <w:bookmarkStart w:id="440" w:name="_Toc184310341"/>
      <w:bookmarkEnd w:id="440"/>
      <w:bookmarkStart w:id="441" w:name="_Toc184308057"/>
      <w:bookmarkEnd w:id="441"/>
      <w:bookmarkStart w:id="442" w:name="_Toc184312095"/>
      <w:bookmarkEnd w:id="442"/>
      <w:bookmarkStart w:id="443" w:name="_Toc184313259"/>
      <w:bookmarkEnd w:id="443"/>
      <w:bookmarkStart w:id="444" w:name="_Toc184310315"/>
      <w:bookmarkEnd w:id="444"/>
      <w:bookmarkStart w:id="445" w:name="_Toc184313254"/>
      <w:bookmarkEnd w:id="445"/>
      <w:bookmarkStart w:id="446" w:name="_Toc184312084"/>
      <w:bookmarkEnd w:id="446"/>
      <w:bookmarkStart w:id="447" w:name="_Toc184312106"/>
      <w:bookmarkEnd w:id="447"/>
      <w:bookmarkStart w:id="448" w:name="_Toc184314447"/>
      <w:bookmarkEnd w:id="448"/>
      <w:bookmarkStart w:id="449" w:name="_Toc184312098"/>
      <w:bookmarkEnd w:id="449"/>
      <w:bookmarkStart w:id="450" w:name="_Toc184308058"/>
      <w:bookmarkEnd w:id="450"/>
      <w:bookmarkStart w:id="451" w:name="_Toc184308074"/>
      <w:bookmarkEnd w:id="451"/>
      <w:bookmarkStart w:id="452" w:name="_Toc184314432"/>
      <w:bookmarkEnd w:id="452"/>
      <w:bookmarkStart w:id="453" w:name="_Toc184312068"/>
      <w:bookmarkEnd w:id="453"/>
      <w:bookmarkStart w:id="454" w:name="_Toc184308064"/>
      <w:bookmarkEnd w:id="454"/>
      <w:bookmarkStart w:id="455" w:name="_Toc184310273"/>
      <w:bookmarkEnd w:id="455"/>
      <w:bookmarkStart w:id="456" w:name="_Toc184314434"/>
      <w:bookmarkEnd w:id="456"/>
      <w:bookmarkStart w:id="457" w:name="_Toc184308055"/>
      <w:bookmarkEnd w:id="457"/>
      <w:bookmarkStart w:id="458" w:name="_Toc184312097"/>
      <w:bookmarkEnd w:id="458"/>
      <w:bookmarkStart w:id="459" w:name="_Toc184312087"/>
      <w:bookmarkEnd w:id="459"/>
      <w:bookmarkStart w:id="460" w:name="_Toc184313266"/>
      <w:bookmarkEnd w:id="460"/>
      <w:bookmarkStart w:id="461" w:name="_Toc184313256"/>
      <w:bookmarkEnd w:id="461"/>
      <w:bookmarkStart w:id="462" w:name="_Toc184308066"/>
      <w:bookmarkEnd w:id="462"/>
      <w:bookmarkStart w:id="463" w:name="_Toc184310314"/>
      <w:bookmarkEnd w:id="463"/>
      <w:bookmarkStart w:id="464" w:name="_Toc184314431"/>
      <w:bookmarkEnd w:id="464"/>
      <w:bookmarkStart w:id="465" w:name="_Toc184314438"/>
      <w:bookmarkEnd w:id="465"/>
      <w:bookmarkStart w:id="466" w:name="_Toc184308067"/>
      <w:bookmarkEnd w:id="466"/>
      <w:bookmarkStart w:id="467" w:name="_Toc184308061"/>
      <w:bookmarkEnd w:id="467"/>
      <w:bookmarkStart w:id="468" w:name="_Toc184312070"/>
      <w:bookmarkEnd w:id="468"/>
      <w:bookmarkStart w:id="469" w:name="_Toc184312135"/>
      <w:bookmarkEnd w:id="469"/>
      <w:bookmarkStart w:id="470" w:name="_Toc184310292"/>
      <w:bookmarkEnd w:id="470"/>
      <w:bookmarkStart w:id="471" w:name="_Toc184314455"/>
      <w:bookmarkEnd w:id="471"/>
      <w:bookmarkStart w:id="472" w:name="_Toc184313303"/>
      <w:bookmarkEnd w:id="472"/>
      <w:bookmarkStart w:id="473" w:name="_Toc184312117"/>
      <w:bookmarkEnd w:id="473"/>
      <w:bookmarkStart w:id="474" w:name="_Toc184312094"/>
      <w:bookmarkEnd w:id="474"/>
      <w:bookmarkStart w:id="475" w:name="_Toc184312115"/>
      <w:bookmarkEnd w:id="475"/>
      <w:bookmarkStart w:id="476" w:name="_Toc184308053"/>
      <w:bookmarkEnd w:id="476"/>
      <w:bookmarkStart w:id="477" w:name="_Toc184310281"/>
      <w:bookmarkEnd w:id="477"/>
      <w:bookmarkStart w:id="478" w:name="_Toc184314430"/>
      <w:bookmarkEnd w:id="478"/>
      <w:bookmarkStart w:id="479" w:name="_Toc184313251"/>
      <w:bookmarkEnd w:id="479"/>
      <w:bookmarkStart w:id="480" w:name="_Toc184310322"/>
      <w:bookmarkEnd w:id="480"/>
      <w:bookmarkStart w:id="481" w:name="_Toc184314454"/>
      <w:bookmarkEnd w:id="481"/>
      <w:bookmarkStart w:id="482" w:name="_Toc184313307"/>
      <w:bookmarkEnd w:id="482"/>
      <w:bookmarkStart w:id="483" w:name="_Toc184308101"/>
      <w:bookmarkEnd w:id="483"/>
      <w:bookmarkStart w:id="484" w:name="_Toc184310298"/>
      <w:bookmarkEnd w:id="484"/>
      <w:bookmarkStart w:id="485" w:name="_Toc184308081"/>
      <w:bookmarkEnd w:id="485"/>
      <w:bookmarkStart w:id="486" w:name="_Toc184310336"/>
      <w:bookmarkEnd w:id="486"/>
      <w:bookmarkStart w:id="487" w:name="_Toc184312086"/>
      <w:bookmarkEnd w:id="487"/>
      <w:bookmarkStart w:id="488" w:name="_Toc184314459"/>
      <w:bookmarkEnd w:id="488"/>
      <w:bookmarkStart w:id="489" w:name="_Toc184313292"/>
      <w:bookmarkEnd w:id="489"/>
      <w:bookmarkStart w:id="490" w:name="_Toc184313275"/>
      <w:bookmarkEnd w:id="490"/>
      <w:bookmarkStart w:id="491" w:name="_Toc184310275"/>
      <w:bookmarkEnd w:id="491"/>
      <w:bookmarkStart w:id="492" w:name="_Toc184312112"/>
      <w:bookmarkEnd w:id="492"/>
      <w:bookmarkStart w:id="493" w:name="_Toc184314429"/>
      <w:bookmarkEnd w:id="493"/>
      <w:bookmarkStart w:id="494" w:name="_Toc184308040"/>
      <w:bookmarkEnd w:id="494"/>
      <w:bookmarkStart w:id="495" w:name="_Toc184314458"/>
      <w:bookmarkEnd w:id="495"/>
      <w:bookmarkStart w:id="496" w:name="_Toc184308056"/>
      <w:bookmarkEnd w:id="496"/>
      <w:bookmarkStart w:id="497" w:name="_Toc184310317"/>
      <w:bookmarkEnd w:id="497"/>
      <w:bookmarkStart w:id="498" w:name="_Toc184308054"/>
      <w:bookmarkEnd w:id="498"/>
      <w:bookmarkStart w:id="499" w:name="_Toc184313287"/>
      <w:bookmarkEnd w:id="499"/>
      <w:bookmarkStart w:id="500" w:name="_Toc184313263"/>
      <w:bookmarkEnd w:id="500"/>
      <w:bookmarkStart w:id="501" w:name="_Toc184312116"/>
      <w:bookmarkEnd w:id="501"/>
      <w:bookmarkStart w:id="502" w:name="_Toc184314413"/>
      <w:bookmarkEnd w:id="502"/>
      <w:bookmarkStart w:id="503" w:name="_Toc184308049"/>
      <w:bookmarkEnd w:id="503"/>
      <w:bookmarkStart w:id="504" w:name="_Toc184310288"/>
      <w:bookmarkEnd w:id="504"/>
      <w:bookmarkStart w:id="505" w:name="_Toc184312069"/>
      <w:bookmarkEnd w:id="505"/>
      <w:bookmarkStart w:id="506" w:name="_Toc184313280"/>
      <w:bookmarkEnd w:id="506"/>
      <w:bookmarkStart w:id="507" w:name="_Toc184313253"/>
      <w:bookmarkEnd w:id="507"/>
      <w:bookmarkStart w:id="508" w:name="_Toc184313306"/>
      <w:bookmarkEnd w:id="508"/>
      <w:bookmarkStart w:id="509" w:name="_Toc184310296"/>
      <w:bookmarkEnd w:id="509"/>
      <w:bookmarkStart w:id="510" w:name="_Toc184308039"/>
      <w:bookmarkEnd w:id="510"/>
      <w:bookmarkStart w:id="511" w:name="_Toc184310299"/>
      <w:bookmarkEnd w:id="511"/>
      <w:bookmarkStart w:id="512" w:name="_Toc184314450"/>
      <w:bookmarkEnd w:id="512"/>
      <w:bookmarkStart w:id="513" w:name="_Toc184314449"/>
      <w:bookmarkEnd w:id="513"/>
      <w:bookmarkStart w:id="514" w:name="_Toc184312067"/>
      <w:bookmarkEnd w:id="514"/>
      <w:bookmarkStart w:id="515" w:name="_Toc184312085"/>
      <w:bookmarkEnd w:id="515"/>
      <w:bookmarkStart w:id="516" w:name="_Toc184314428"/>
      <w:bookmarkEnd w:id="516"/>
      <w:bookmarkStart w:id="517" w:name="_Toc184313262"/>
      <w:bookmarkEnd w:id="517"/>
      <w:bookmarkStart w:id="518" w:name="_Toc184310289"/>
      <w:bookmarkEnd w:id="518"/>
      <w:bookmarkStart w:id="519" w:name="_Toc184313277"/>
      <w:bookmarkEnd w:id="519"/>
      <w:bookmarkStart w:id="520" w:name="_Toc184310297"/>
      <w:bookmarkEnd w:id="520"/>
      <w:bookmarkStart w:id="521" w:name="_Toc184314478"/>
      <w:bookmarkEnd w:id="521"/>
      <w:r>
        <w:rPr>
          <w:rFonts w:hint="eastAsia" w:ascii="仿宋" w:hAnsi="仿宋" w:eastAsia="仿宋" w:cs="仿宋_GB2312"/>
          <w:b/>
          <w:sz w:val="36"/>
          <w:szCs w:val="20"/>
        </w:rPr>
        <w:t xml:space="preserve"> 评标办法</w:t>
      </w:r>
      <w:bookmarkEnd w:id="147"/>
      <w:bookmarkEnd w:id="148"/>
      <w:bookmarkEnd w:id="149"/>
      <w:bookmarkEnd w:id="150"/>
      <w:bookmarkEnd w:id="151"/>
      <w:bookmarkEnd w:id="152"/>
      <w:bookmarkEnd w:id="153"/>
      <w:bookmarkEnd w:id="154"/>
      <w:bookmarkEnd w:id="155"/>
      <w:bookmarkEnd w:id="156"/>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jc w:val="center"/>
              <w:rPr>
                <w:rFonts w:ascii="仿宋" w:hAnsi="仿宋" w:eastAsia="仿宋" w:cs="仿宋_GB2312"/>
                <w:bCs/>
                <w:sz w:val="24"/>
              </w:rPr>
            </w:pPr>
            <w:bookmarkStart w:id="522" w:name="_Toc95296760"/>
            <w:bookmarkStart w:id="523" w:name="_Toc95296631"/>
            <w:bookmarkStart w:id="524" w:name="_Toc95295955"/>
            <w:bookmarkStart w:id="525" w:name="_Toc95295201"/>
            <w:bookmarkStart w:id="526" w:name="_Toc95232843"/>
            <w:r>
              <w:rPr>
                <w:rFonts w:hint="eastAsia" w:ascii="仿宋" w:hAnsi="仿宋" w:eastAsia="仿宋" w:cs="仿宋_GB2312"/>
                <w:bCs/>
                <w:sz w:val="24"/>
              </w:rPr>
              <w:t>序号</w:t>
            </w:r>
            <w:bookmarkEnd w:id="522"/>
            <w:bookmarkEnd w:id="523"/>
            <w:bookmarkEnd w:id="524"/>
            <w:bookmarkEnd w:id="525"/>
            <w:bookmarkEnd w:id="526"/>
          </w:p>
        </w:tc>
        <w:tc>
          <w:tcPr>
            <w:tcW w:w="5399" w:type="dxa"/>
            <w:vAlign w:val="center"/>
          </w:tcPr>
          <w:p>
            <w:pPr>
              <w:jc w:val="center"/>
              <w:rPr>
                <w:rFonts w:ascii="仿宋" w:hAnsi="仿宋" w:eastAsia="仿宋" w:cs="仿宋_GB2312"/>
                <w:bCs/>
                <w:sz w:val="24"/>
              </w:rPr>
            </w:pPr>
            <w:bookmarkStart w:id="527" w:name="_Toc95296761"/>
            <w:bookmarkStart w:id="528" w:name="_Toc95296632"/>
            <w:bookmarkStart w:id="529" w:name="_Toc95295956"/>
            <w:bookmarkStart w:id="530" w:name="_Toc95295202"/>
            <w:bookmarkStart w:id="531" w:name="_Toc95232844"/>
            <w:r>
              <w:rPr>
                <w:rFonts w:hint="eastAsia" w:ascii="仿宋" w:hAnsi="仿宋" w:eastAsia="仿宋" w:cs="仿宋_GB2312"/>
                <w:bCs/>
                <w:sz w:val="24"/>
              </w:rPr>
              <w:t>评标标准</w:t>
            </w:r>
            <w:bookmarkEnd w:id="527"/>
            <w:bookmarkEnd w:id="528"/>
            <w:bookmarkEnd w:id="529"/>
            <w:bookmarkEnd w:id="530"/>
            <w:bookmarkEnd w:id="531"/>
          </w:p>
        </w:tc>
        <w:tc>
          <w:tcPr>
            <w:tcW w:w="727" w:type="dxa"/>
            <w:vAlign w:val="center"/>
          </w:tcPr>
          <w:p>
            <w:pPr>
              <w:jc w:val="center"/>
              <w:rPr>
                <w:rFonts w:ascii="仿宋" w:hAnsi="仿宋" w:eastAsia="仿宋" w:cs="仿宋_GB2312"/>
                <w:bCs/>
                <w:sz w:val="24"/>
              </w:rPr>
            </w:pPr>
            <w:bookmarkStart w:id="532" w:name="_Toc95296762"/>
            <w:bookmarkStart w:id="533" w:name="_Toc95296633"/>
            <w:bookmarkStart w:id="534" w:name="_Toc95295957"/>
            <w:bookmarkStart w:id="535" w:name="_Toc95295203"/>
            <w:bookmarkStart w:id="536" w:name="_Toc95232845"/>
            <w:r>
              <w:rPr>
                <w:rFonts w:hint="eastAsia" w:ascii="仿宋" w:hAnsi="仿宋" w:eastAsia="仿宋" w:cs="仿宋_GB2312"/>
                <w:bCs/>
                <w:sz w:val="24"/>
              </w:rPr>
              <w:t>权重</w:t>
            </w:r>
            <w:bookmarkEnd w:id="532"/>
            <w:bookmarkEnd w:id="533"/>
            <w:bookmarkEnd w:id="534"/>
            <w:bookmarkEnd w:id="535"/>
            <w:bookmarkEnd w:id="536"/>
          </w:p>
        </w:tc>
        <w:tc>
          <w:tcPr>
            <w:tcW w:w="1954" w:type="dxa"/>
            <w:vAlign w:val="center"/>
          </w:tcPr>
          <w:p>
            <w:pPr>
              <w:jc w:val="center"/>
              <w:rPr>
                <w:rFonts w:ascii="仿宋" w:hAnsi="仿宋" w:eastAsia="仿宋" w:cs="仿宋_GB2312"/>
                <w:bCs/>
                <w:sz w:val="24"/>
              </w:rPr>
            </w:pPr>
            <w:bookmarkStart w:id="537" w:name="_Toc95296763"/>
            <w:bookmarkStart w:id="538" w:name="_Toc95296634"/>
            <w:bookmarkStart w:id="539" w:name="_Toc95295958"/>
            <w:bookmarkStart w:id="540" w:name="_Toc95295204"/>
            <w:bookmarkStart w:id="541" w:name="_Toc95232846"/>
            <w:r>
              <w:rPr>
                <w:rFonts w:hint="eastAsia" w:ascii="仿宋" w:hAnsi="仿宋" w:eastAsia="仿宋" w:cs="仿宋_GB2312"/>
                <w:bCs/>
                <w:sz w:val="24"/>
              </w:rPr>
              <w:t>投标文件中评标标准相应的商务技术资料目录</w:t>
            </w:r>
            <w:r>
              <w:rPr>
                <w:rFonts w:ascii="宋体" w:hAnsi="宋体" w:eastAsia="仿宋" w:cs="宋体"/>
                <w:sz w:val="24"/>
                <w:shd w:val="clear" w:color="auto" w:fill="FFFFFF"/>
              </w:rPr>
              <w:t> </w:t>
            </w:r>
            <w:r>
              <w:rPr>
                <w:rFonts w:ascii="仿宋" w:hAnsi="仿宋" w:eastAsia="仿宋" w:cs="Arial"/>
                <w:sz w:val="24"/>
                <w:shd w:val="clear" w:color="auto" w:fill="FFFFFF"/>
              </w:rPr>
              <w:t>*</w:t>
            </w:r>
            <w:bookmarkEnd w:id="537"/>
            <w:bookmarkEnd w:id="538"/>
            <w:bookmarkEnd w:id="539"/>
            <w:bookmarkEnd w:id="540"/>
            <w:bookmarkEnd w:id="5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bookmarkStart w:id="542" w:name="_Toc95296764"/>
            <w:bookmarkStart w:id="543" w:name="_Toc95296635"/>
            <w:bookmarkStart w:id="544" w:name="_Toc95295205"/>
            <w:bookmarkStart w:id="545" w:name="_Toc95295959"/>
            <w:bookmarkStart w:id="546" w:name="_Toc95232847"/>
            <w:r>
              <w:rPr>
                <w:rFonts w:ascii="仿宋" w:hAnsi="仿宋" w:eastAsia="仿宋" w:cs="仿宋_GB2312"/>
                <w:sz w:val="24"/>
              </w:rPr>
              <w:t>1</w:t>
            </w:r>
            <w:bookmarkEnd w:id="542"/>
            <w:bookmarkEnd w:id="543"/>
            <w:bookmarkEnd w:id="544"/>
            <w:bookmarkEnd w:id="545"/>
            <w:bookmarkEnd w:id="546"/>
          </w:p>
        </w:tc>
        <w:tc>
          <w:tcPr>
            <w:tcW w:w="5399" w:type="dxa"/>
          </w:tcPr>
          <w:p>
            <w:pPr>
              <w:rPr>
                <w:rFonts w:ascii="仿宋" w:hAnsi="仿宋" w:eastAsia="仿宋" w:cs="仿宋_GB2312"/>
                <w:sz w:val="24"/>
              </w:rPr>
            </w:pPr>
            <w:r>
              <w:rPr>
                <w:rFonts w:hint="eastAsia" w:ascii="仿宋" w:hAnsi="仿宋" w:eastAsia="仿宋" w:cs="仿宋_GB2312"/>
                <w:sz w:val="24"/>
              </w:rPr>
              <w:t>投标人2019年1月1日起至投标截止时间止（以合同签订时间为准），具有完成过或者正在实施中的绿化养护总面积在10万㎡及以上的绿化养护项目（不含物业项目)，每个得0.5分；养护总面积在5万㎡及以上10万㎡以内的绿化养护项目（不含物业项目)，每个得0.2分，最高得分1分。</w:t>
            </w:r>
            <w:r>
              <w:rPr>
                <w:rFonts w:ascii="仿宋" w:hAnsi="仿宋" w:eastAsia="仿宋" w:cs="仿宋_GB2312"/>
                <w:sz w:val="24"/>
              </w:rPr>
              <w:t>（同个招标期限内，同个标段的多个年度养护合同的，算一个业绩）</w:t>
            </w:r>
          </w:p>
          <w:p>
            <w:pPr>
              <w:rPr>
                <w:rFonts w:ascii="仿宋" w:hAnsi="仿宋" w:eastAsia="仿宋" w:cs="仿宋_GB2312"/>
                <w:sz w:val="24"/>
              </w:rPr>
            </w:pPr>
            <w:r>
              <w:rPr>
                <w:rFonts w:hint="eastAsia" w:ascii="仿宋" w:hAnsi="仿宋" w:eastAsia="仿宋" w:cs="仿宋_GB2312"/>
                <w:sz w:val="24"/>
              </w:rPr>
              <w:t>注：须提供合同彩色扫描件或拍摄件及开具绿化养护服务费银行流水证明6个月以上作为凭证，合同无法体现项目规模的提供业主证明彩色扫描件或拍摄件。</w:t>
            </w:r>
          </w:p>
        </w:tc>
        <w:tc>
          <w:tcPr>
            <w:tcW w:w="727" w:type="dxa"/>
            <w:vAlign w:val="center"/>
          </w:tcPr>
          <w:p>
            <w:pPr>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1</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2</w:t>
            </w:r>
          </w:p>
        </w:tc>
        <w:tc>
          <w:tcPr>
            <w:tcW w:w="5399" w:type="dxa"/>
          </w:tcPr>
          <w:p>
            <w:pPr>
              <w:rPr>
                <w:rFonts w:ascii="仿宋" w:hAnsi="仿宋" w:eastAsia="仿宋" w:cs="仿宋_GB2312"/>
                <w:sz w:val="24"/>
              </w:rPr>
            </w:pPr>
            <w:r>
              <w:rPr>
                <w:rFonts w:hint="eastAsia" w:ascii="仿宋" w:hAnsi="仿宋" w:eastAsia="仿宋" w:cs="仿宋_GB2312"/>
                <w:sz w:val="24"/>
              </w:rPr>
              <w:t>投标人2019年1月1日起至投标截止时间止（以荣誉颁发时间或网上公告时间为准），获得县（区）级及以上绿化管理部门颁发的绿化养护相关的荣誉的，得1分，提供荣誉证书扫描件或网上公告截图，未提供不得分。</w:t>
            </w:r>
          </w:p>
        </w:tc>
        <w:tc>
          <w:tcPr>
            <w:tcW w:w="727" w:type="dxa"/>
            <w:vAlign w:val="center"/>
          </w:tcPr>
          <w:p>
            <w:pPr>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1</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3</w:t>
            </w:r>
          </w:p>
        </w:tc>
        <w:tc>
          <w:tcPr>
            <w:tcW w:w="5399" w:type="dxa"/>
          </w:tcPr>
          <w:p>
            <w:pPr>
              <w:rPr>
                <w:rFonts w:ascii="仿宋" w:hAnsi="仿宋" w:eastAsia="仿宋" w:cs="仿宋_GB2312"/>
                <w:sz w:val="24"/>
              </w:rPr>
            </w:pPr>
            <w:r>
              <w:rPr>
                <w:rFonts w:hint="eastAsia" w:ascii="仿宋" w:hAnsi="仿宋" w:eastAsia="仿宋" w:cs="仿宋_GB2312"/>
                <w:sz w:val="24"/>
              </w:rPr>
              <w:t>（1）根据投标人拟派项目负责人具有园林相关专业工程师及以上职称证书（男性要求60周岁以下，女性要求50周岁以下）得3分。</w:t>
            </w:r>
          </w:p>
          <w:p>
            <w:pPr>
              <w:rPr>
                <w:rFonts w:ascii="仿宋" w:hAnsi="仿宋" w:eastAsia="仿宋" w:cs="仿宋_GB2312"/>
                <w:sz w:val="24"/>
              </w:rPr>
            </w:pPr>
            <w:r>
              <w:rPr>
                <w:rFonts w:hint="eastAsia" w:ascii="仿宋" w:hAnsi="仿宋" w:eastAsia="仿宋" w:cs="仿宋_GB2312"/>
                <w:sz w:val="24"/>
              </w:rPr>
              <w:t>（2）根据投标人对拟派的除项目负责人外的其他人员具有养护工、绿化工、花卉园艺工、盆景工等的，每人得1分，本项最高得5分。</w:t>
            </w:r>
          </w:p>
          <w:p>
            <w:pPr>
              <w:rPr>
                <w:rFonts w:ascii="仿宋" w:hAnsi="仿宋" w:eastAsia="仿宋" w:cs="仿宋_GB2312"/>
                <w:sz w:val="24"/>
              </w:rPr>
            </w:pPr>
            <w:r>
              <w:rPr>
                <w:rFonts w:hint="eastAsia" w:ascii="仿宋" w:hAnsi="仿宋" w:eastAsia="仿宋" w:cs="仿宋_GB2312"/>
                <w:sz w:val="24"/>
              </w:rPr>
              <w:t>注：</w:t>
            </w:r>
          </w:p>
          <w:p>
            <w:pPr>
              <w:rPr>
                <w:rFonts w:ascii="仿宋" w:hAnsi="仿宋" w:eastAsia="仿宋" w:cs="仿宋_GB2312"/>
                <w:sz w:val="24"/>
              </w:rPr>
            </w:pPr>
            <w:r>
              <w:rPr>
                <w:rFonts w:hint="eastAsia" w:ascii="仿宋" w:hAnsi="仿宋" w:eastAsia="仿宋" w:cs="仿宋_GB2312"/>
                <w:sz w:val="24"/>
              </w:rPr>
              <w:t>①提供以上人员职称证书或职业技能证书及</w:t>
            </w:r>
            <w:r>
              <w:rPr>
                <w:rFonts w:ascii="仿宋" w:hAnsi="仿宋" w:eastAsia="仿宋" w:cs="仿宋_GB2312"/>
                <w:sz w:val="24"/>
              </w:rPr>
              <w:t>https://www.12333.gov.cn/portal/service_catalog</w:t>
            </w:r>
            <w:r>
              <w:rPr>
                <w:rFonts w:hint="eastAsia" w:ascii="仿宋" w:hAnsi="仿宋" w:eastAsia="仿宋" w:cs="仿宋_GB2312"/>
                <w:sz w:val="24"/>
              </w:rPr>
              <w:t>/（或</w:t>
            </w:r>
            <w:r>
              <w:rPr>
                <w:rFonts w:ascii="仿宋" w:hAnsi="仿宋" w:eastAsia="仿宋" w:cs="仿宋_GB2312"/>
                <w:sz w:val="24"/>
              </w:rPr>
              <w:t>http://www.mohrss.gov.cn/SYrlzyhshbzb/ztzl/zyzghzyjndjrdcx</w:t>
            </w:r>
            <w:r>
              <w:rPr>
                <w:rFonts w:hint="eastAsia" w:ascii="仿宋" w:hAnsi="仿宋" w:eastAsia="仿宋" w:cs="仿宋_GB2312"/>
                <w:sz w:val="24"/>
              </w:rPr>
              <w:t>）的查询截图或官方二维码。</w:t>
            </w:r>
          </w:p>
          <w:p>
            <w:pPr>
              <w:rPr>
                <w:rFonts w:ascii="仿宋" w:hAnsi="仿宋" w:eastAsia="仿宋" w:cs="仿宋_GB2312"/>
                <w:sz w:val="24"/>
              </w:rPr>
            </w:pPr>
            <w:r>
              <w:rPr>
                <w:rFonts w:hint="eastAsia" w:ascii="仿宋" w:hAnsi="仿宋" w:eastAsia="仿宋" w:cs="仿宋_GB2312"/>
                <w:sz w:val="24"/>
              </w:rPr>
              <w:t>②提供社保机构出具的投标人单位为以上人员缴纳到投标截止时间前连续三个月社保证明扫描件。</w:t>
            </w:r>
          </w:p>
          <w:p>
            <w:pPr>
              <w:rPr>
                <w:rFonts w:ascii="仿宋" w:hAnsi="仿宋" w:eastAsia="仿宋" w:cs="仿宋_GB2312"/>
                <w:sz w:val="24"/>
              </w:rPr>
            </w:pPr>
            <w:r>
              <w:rPr>
                <w:rFonts w:hint="eastAsia" w:ascii="仿宋" w:hAnsi="仿宋" w:eastAsia="仿宋" w:cs="仿宋_GB2312"/>
                <w:sz w:val="24"/>
              </w:rPr>
              <w:t>上述资料不齐全不得分。人员不得重复得分。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8</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4</w:t>
            </w:r>
          </w:p>
        </w:tc>
        <w:tc>
          <w:tcPr>
            <w:tcW w:w="5399" w:type="dxa"/>
          </w:tcPr>
          <w:p>
            <w:pPr>
              <w:rPr>
                <w:rFonts w:ascii="仿宋" w:hAnsi="仿宋" w:eastAsia="仿宋" w:cs="仿宋_GB2312"/>
                <w:sz w:val="24"/>
              </w:rPr>
            </w:pPr>
            <w:r>
              <w:rPr>
                <w:rFonts w:hint="eastAsia" w:ascii="仿宋" w:hAnsi="仿宋" w:eastAsia="仿宋" w:cs="仿宋_GB2312"/>
                <w:sz w:val="24"/>
              </w:rPr>
              <w:t>根据投标人提供主要作业车辆的参数情况的阐述与各标项主要作业车辆最低配置的匹配性并承诺该车辆用于本项目进行打分；</w:t>
            </w:r>
          </w:p>
          <w:p>
            <w:pPr>
              <w:rPr>
                <w:rFonts w:ascii="仿宋" w:hAnsi="仿宋" w:eastAsia="仿宋" w:cs="仿宋_GB2312"/>
                <w:sz w:val="24"/>
              </w:rPr>
            </w:pPr>
            <w:r>
              <w:rPr>
                <w:rFonts w:hint="eastAsia" w:ascii="仿宋" w:hAnsi="仿宋" w:eastAsia="仿宋" w:cs="仿宋_GB2312"/>
                <w:sz w:val="24"/>
              </w:rPr>
              <w:t>①自有洒水车得1分，租赁的得0.5分，最高得1分</w:t>
            </w:r>
          </w:p>
          <w:p>
            <w:pPr>
              <w:rPr>
                <w:rFonts w:ascii="仿宋" w:hAnsi="仿宋" w:eastAsia="仿宋" w:cs="仿宋_GB2312"/>
                <w:sz w:val="24"/>
              </w:rPr>
            </w:pPr>
            <w:r>
              <w:rPr>
                <w:rFonts w:hint="eastAsia" w:ascii="仿宋" w:hAnsi="仿宋" w:eastAsia="仿宋" w:cs="仿宋_GB2312"/>
                <w:sz w:val="24"/>
              </w:rPr>
              <w:t>②自有登高车得1分，租赁的得0.5分，最高得1分</w:t>
            </w:r>
          </w:p>
          <w:p>
            <w:pPr>
              <w:rPr>
                <w:rFonts w:ascii="仿宋" w:hAnsi="仿宋" w:eastAsia="仿宋" w:cs="仿宋_GB2312"/>
                <w:sz w:val="24"/>
              </w:rPr>
            </w:pPr>
            <w:r>
              <w:rPr>
                <w:rFonts w:hint="eastAsia" w:ascii="仿宋" w:hAnsi="仿宋" w:eastAsia="仿宋" w:cs="仿宋_GB2312"/>
                <w:sz w:val="24"/>
              </w:rPr>
              <w:t>③自有运输车（核载量1.45吨及以上的）每辆1分，租赁的每辆得0.5分；自有运输车（核载量0.6吨及以上的）每辆得0.5分，租赁的每辆得0.25分，最高得2分。</w:t>
            </w:r>
          </w:p>
          <w:p>
            <w:pPr>
              <w:rPr>
                <w:rFonts w:ascii="仿宋" w:hAnsi="仿宋" w:eastAsia="仿宋" w:cs="仿宋_GB2312"/>
                <w:sz w:val="24"/>
              </w:rPr>
            </w:pPr>
            <w:r>
              <w:rPr>
                <w:rFonts w:hint="eastAsia" w:ascii="仿宋" w:hAnsi="仿宋" w:eastAsia="仿宋" w:cs="仿宋_GB2312"/>
                <w:sz w:val="24"/>
              </w:rPr>
              <w:t>④自有三轮电动车每辆得0.25分，租赁的不得分，最高得1分。</w:t>
            </w:r>
          </w:p>
          <w:p>
            <w:pPr>
              <w:rPr>
                <w:rFonts w:ascii="仿宋" w:hAnsi="仿宋" w:eastAsia="仿宋" w:cs="仿宋_GB2312"/>
                <w:sz w:val="24"/>
              </w:rPr>
            </w:pPr>
            <w:r>
              <w:rPr>
                <w:rFonts w:hint="eastAsia" w:ascii="仿宋" w:hAnsi="仿宋" w:eastAsia="仿宋" w:cs="仿宋_GB2312"/>
                <w:sz w:val="24"/>
              </w:rPr>
              <w:t>租赁的提供租赁合同、发票扫描件及参数的证明材料及承诺书原件。自有的需提供车辆行驶证、购买发票及参数的证明材料及承诺书原件。需体现投标单位所有或投标人租赁且配置不低于各标项主要作业车辆最低配置要求至少一个标项的要求，否则不得分。</w:t>
            </w:r>
          </w:p>
        </w:tc>
        <w:tc>
          <w:tcPr>
            <w:tcW w:w="727" w:type="dxa"/>
            <w:vAlign w:val="center"/>
          </w:tcPr>
          <w:p>
            <w:pPr>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5</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5</w:t>
            </w:r>
          </w:p>
        </w:tc>
        <w:tc>
          <w:tcPr>
            <w:tcW w:w="5399" w:type="dxa"/>
          </w:tcPr>
          <w:p>
            <w:pPr>
              <w:rPr>
                <w:rFonts w:ascii="仿宋" w:hAnsi="仿宋" w:eastAsia="仿宋" w:cs="仿宋_GB2312"/>
                <w:sz w:val="24"/>
              </w:rPr>
            </w:pPr>
            <w:r>
              <w:rPr>
                <w:rFonts w:hint="eastAsia" w:ascii="仿宋" w:hAnsi="仿宋" w:eastAsia="仿宋" w:cs="仿宋_GB2312"/>
                <w:sz w:val="24"/>
              </w:rPr>
              <w:t>根据投标人提供自有的养护工具及用具的参数情况的阐述，不低于各标项主要工具最低配置要求至少一个标项的要求并承诺该用具用于本项目，得7分，缺少一件扣0.2分，未承诺本项不得分；如果分数低于4分，视为无法满足本项目要求，作无效标处理。需提供购买发票及参数的证明材料。需体现投标人所有，否则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7</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6</w:t>
            </w:r>
          </w:p>
        </w:tc>
        <w:tc>
          <w:tcPr>
            <w:tcW w:w="5399" w:type="dxa"/>
          </w:tcPr>
          <w:p>
            <w:pPr>
              <w:rPr>
                <w:rFonts w:ascii="仿宋" w:hAnsi="仿宋" w:eastAsia="仿宋" w:cs="仿宋_GB2312"/>
                <w:sz w:val="24"/>
              </w:rPr>
            </w:pPr>
            <w:r>
              <w:rPr>
                <w:rFonts w:hint="eastAsia" w:ascii="仿宋" w:hAnsi="仿宋" w:eastAsia="仿宋" w:cs="仿宋_GB2312"/>
                <w:sz w:val="24"/>
              </w:rPr>
              <w:t>投标人承诺为符合年龄条件的人员在服务期内按时缴纳三险和不低于下面标准保险的得5分，提供承诺书，未提供不得分。建筑施工意外伤害保险和雇主责任险合计保额最低标准：从业人员死亡、伤残100万元，医疗费用16万元。</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5</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7</w:t>
            </w:r>
          </w:p>
        </w:tc>
        <w:tc>
          <w:tcPr>
            <w:tcW w:w="5399" w:type="dxa"/>
          </w:tcPr>
          <w:p>
            <w:pPr>
              <w:rPr>
                <w:rFonts w:ascii="仿宋" w:hAnsi="仿宋" w:eastAsia="仿宋" w:cs="仿宋_GB2312"/>
                <w:sz w:val="24"/>
              </w:rPr>
            </w:pPr>
            <w:r>
              <w:rPr>
                <w:rFonts w:hint="eastAsia" w:ascii="仿宋" w:hAnsi="仿宋" w:eastAsia="仿宋" w:cs="仿宋_GB2312"/>
                <w:sz w:val="24"/>
              </w:rPr>
              <w:t>投标人承诺中标后在服务期内购买不低于下面标准的绿地（含行道树）公众责任险的得5分，提供承诺书，未提供不得分。绿地（含行道树）公众责任险最低标准：每个片区每次事故每人医疗赔偿限额5万元，每次事故每人伤亡赔偿限额80万元，每次事故财产赔偿限额10万元，每次事故赔偿责任限额150万元；累计赔偿限额600万元。法律费用限额5万元。</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5</w:t>
            </w:r>
          </w:p>
        </w:tc>
        <w:tc>
          <w:tcPr>
            <w:tcW w:w="1954"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8</w:t>
            </w:r>
          </w:p>
        </w:tc>
        <w:tc>
          <w:tcPr>
            <w:tcW w:w="5399" w:type="dxa"/>
            <w:vAlign w:val="center"/>
          </w:tcPr>
          <w:p>
            <w:pPr>
              <w:rPr>
                <w:rFonts w:ascii="仿宋" w:hAnsi="仿宋" w:eastAsia="仿宋" w:cs="仿宋_GB2312"/>
                <w:sz w:val="24"/>
              </w:rPr>
            </w:pPr>
            <w:r>
              <w:rPr>
                <w:rFonts w:hint="eastAsia" w:ascii="仿宋" w:hAnsi="仿宋" w:eastAsia="仿宋" w:cs="仿宋_GB2312"/>
                <w:sz w:val="24"/>
              </w:rPr>
              <w:t>根据本招标项目实际情况制定园林绿化养护作业管理方案，方案内容中至少包含苗木修剪、杂草防治、病虫害防治、花灌木花期管理、苗木水肥管理等、抗旱管理等内容的阐述，由评委在分值范围内进行打分。提交方案的得基本分4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7</w:t>
            </w:r>
          </w:p>
        </w:tc>
        <w:tc>
          <w:tcPr>
            <w:tcW w:w="1954"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9</w:t>
            </w:r>
          </w:p>
        </w:tc>
        <w:tc>
          <w:tcPr>
            <w:tcW w:w="5399" w:type="dxa"/>
            <w:vAlign w:val="center"/>
          </w:tcPr>
          <w:p>
            <w:pPr>
              <w:rPr>
                <w:rFonts w:ascii="仿宋" w:hAnsi="仿宋" w:eastAsia="仿宋" w:cs="仿宋_GB2312"/>
                <w:sz w:val="24"/>
              </w:rPr>
            </w:pPr>
            <w:r>
              <w:rPr>
                <w:rFonts w:hint="eastAsia" w:ascii="仿宋" w:hAnsi="仿宋" w:eastAsia="仿宋" w:cs="仿宋_GB2312"/>
                <w:sz w:val="24"/>
              </w:rPr>
              <w:t>根据本招标项目实际情况制定园林设施、铺装园路、水景等维护管理及卫生保洁方案，方案内容中至少包含设施冲洗、快速保洁、人员配备、巡查、设施维修等内容的阐述，由评委在分值范围内进行打分。提交方案的得基本分4分，方案内容可行、合理的加3分；方案内容基本可行、基本合理的加2分；方案内容一般的加1分。未提供或提供不齐全的不得分。</w:t>
            </w:r>
          </w:p>
        </w:tc>
        <w:tc>
          <w:tcPr>
            <w:tcW w:w="727" w:type="dxa"/>
            <w:vAlign w:val="center"/>
          </w:tcPr>
          <w:p>
            <w:pPr>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7</w:t>
            </w:r>
          </w:p>
        </w:tc>
        <w:tc>
          <w:tcPr>
            <w:tcW w:w="1954"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10</w:t>
            </w:r>
          </w:p>
        </w:tc>
        <w:tc>
          <w:tcPr>
            <w:tcW w:w="5399" w:type="dxa"/>
            <w:vAlign w:val="center"/>
          </w:tcPr>
          <w:p>
            <w:pPr>
              <w:rPr>
                <w:rFonts w:ascii="仿宋" w:hAnsi="仿宋" w:eastAsia="仿宋" w:cs="仿宋_GB2312"/>
                <w:sz w:val="24"/>
              </w:rPr>
            </w:pPr>
            <w:r>
              <w:rPr>
                <w:rFonts w:hint="eastAsia" w:ascii="仿宋" w:hAnsi="仿宋" w:eastAsia="仿宋" w:cs="仿宋_GB2312"/>
                <w:sz w:val="24"/>
              </w:rPr>
              <w:t>根据本招标项目实际情况制定补植方案，方案内容中至少包含人为损坏、踩踏等引起的补植方案，苗木新老更替引起的补植，苗木生长过程中造成的不适调整等方案阐述，由评委在分值范围内进行打分。提交方案的得基本分4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jc w:val="center"/>
              <w:rPr>
                <w:rFonts w:ascii="仿宋" w:hAnsi="仿宋" w:eastAsia="仿宋" w:cs="仿宋"/>
                <w:szCs w:val="21"/>
              </w:rPr>
            </w:pPr>
            <w:r>
              <w:rPr>
                <w:rFonts w:hint="eastAsia" w:ascii="仿宋" w:hAnsi="仿宋" w:eastAsia="仿宋" w:cs="仿宋"/>
                <w:szCs w:val="21"/>
              </w:rPr>
              <w:t>7</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11</w:t>
            </w:r>
          </w:p>
        </w:tc>
        <w:tc>
          <w:tcPr>
            <w:tcW w:w="5399" w:type="dxa"/>
            <w:vAlign w:val="center"/>
          </w:tcPr>
          <w:p>
            <w:pPr>
              <w:rPr>
                <w:rFonts w:ascii="仿宋" w:hAnsi="仿宋" w:eastAsia="仿宋" w:cs="仿宋_GB2312"/>
                <w:sz w:val="24"/>
              </w:rPr>
            </w:pPr>
            <w:r>
              <w:rPr>
                <w:rFonts w:hint="eastAsia" w:ascii="仿宋" w:hAnsi="仿宋" w:eastAsia="仿宋" w:cs="仿宋_GB2312"/>
                <w:sz w:val="24"/>
              </w:rPr>
              <w:t>结合季节变化、创建需求、城市建设等进行养护工作的周密计划指定养护计划及方案，由评委在分值范围内进行打分。提交方案的得基本分4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jc w:val="center"/>
              <w:rPr>
                <w:rFonts w:ascii="仿宋" w:hAnsi="仿宋" w:eastAsia="仿宋" w:cs="仿宋"/>
                <w:szCs w:val="21"/>
              </w:rPr>
            </w:pPr>
            <w:r>
              <w:rPr>
                <w:rFonts w:hint="eastAsia" w:ascii="仿宋" w:hAnsi="仿宋" w:eastAsia="仿宋" w:cs="仿宋"/>
                <w:szCs w:val="21"/>
              </w:rPr>
              <w:t>7</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12</w:t>
            </w:r>
          </w:p>
        </w:tc>
        <w:tc>
          <w:tcPr>
            <w:tcW w:w="5399" w:type="dxa"/>
            <w:vAlign w:val="center"/>
          </w:tcPr>
          <w:p>
            <w:pPr>
              <w:rPr>
                <w:rFonts w:ascii="仿宋" w:hAnsi="仿宋" w:eastAsia="仿宋" w:cs="仿宋_GB2312"/>
                <w:sz w:val="24"/>
              </w:rPr>
            </w:pPr>
            <w:r>
              <w:rPr>
                <w:rFonts w:hint="eastAsia" w:ascii="仿宋" w:hAnsi="仿宋" w:eastAsia="仿宋" w:cs="仿宋_GB2312"/>
                <w:sz w:val="24"/>
              </w:rPr>
              <w:t>结合我市绿化现状对我市公共绿地部分区域制定微提升改造方案。评委会根据方案的完整性、合理性进行综合评审，由评委在分值范围内进行打分。提交方案的得基本分3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jc w:val="center"/>
              <w:rPr>
                <w:rFonts w:ascii="仿宋" w:hAnsi="仿宋" w:eastAsia="仿宋" w:cs="仿宋"/>
                <w:szCs w:val="21"/>
              </w:rPr>
            </w:pPr>
            <w:r>
              <w:rPr>
                <w:rFonts w:hint="eastAsia" w:ascii="仿宋" w:hAnsi="仿宋" w:eastAsia="仿宋" w:cs="仿宋"/>
                <w:szCs w:val="21"/>
              </w:rPr>
              <w:t>6</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13</w:t>
            </w:r>
          </w:p>
        </w:tc>
        <w:tc>
          <w:tcPr>
            <w:tcW w:w="5399" w:type="dxa"/>
          </w:tcPr>
          <w:p>
            <w:pPr>
              <w:rPr>
                <w:rFonts w:ascii="仿宋" w:hAnsi="仿宋" w:eastAsia="仿宋" w:cs="仿宋_GB2312"/>
                <w:sz w:val="24"/>
              </w:rPr>
            </w:pPr>
            <w:r>
              <w:rPr>
                <w:rFonts w:hint="eastAsia" w:ascii="仿宋" w:hAnsi="仿宋" w:eastAsia="仿宋" w:cs="仿宋_GB2312"/>
                <w:sz w:val="24"/>
              </w:rPr>
              <w:t>根据供应商提供的内部岗位监督管理制度、绿化养护管理制度、设施维护管理制度、巡查管理制度、管理房、附属房等管理制度、管理人员培训计划、考核制度及标准、安全生产管理制度（安全生产检查及台帐资料、教育培训制度、管理预案、设施配备、风险规避措施及安全生产文明作业保障措施）等的阐述。</w:t>
            </w:r>
          </w:p>
          <w:p>
            <w:pPr>
              <w:rPr>
                <w:rFonts w:ascii="仿宋" w:hAnsi="仿宋" w:eastAsia="仿宋" w:cs="仿宋_GB2312"/>
                <w:sz w:val="24"/>
              </w:rPr>
            </w:pPr>
            <w:r>
              <w:rPr>
                <w:rFonts w:hint="eastAsia" w:ascii="仿宋" w:hAnsi="仿宋" w:eastAsia="仿宋" w:cs="仿宋_GB2312"/>
                <w:sz w:val="24"/>
              </w:rPr>
              <w:t>由评委在分值范围内进行打分。提交方案的得基本分3分，方案内容可行、合理的加3分；方案内容基本可行、基本合理的加2分；方案内容一般的加1分,未提供或提供不齐全的不得分。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6</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14</w:t>
            </w:r>
          </w:p>
        </w:tc>
        <w:tc>
          <w:tcPr>
            <w:tcW w:w="5399" w:type="dxa"/>
          </w:tcPr>
          <w:p>
            <w:pPr>
              <w:rPr>
                <w:rFonts w:ascii="仿宋" w:hAnsi="仿宋" w:eastAsia="仿宋" w:cs="仿宋_GB2312"/>
                <w:sz w:val="24"/>
              </w:rPr>
            </w:pPr>
            <w:r>
              <w:rPr>
                <w:rFonts w:hint="eastAsia" w:ascii="仿宋" w:hAnsi="仿宋" w:eastAsia="仿宋" w:cs="仿宋_GB2312"/>
                <w:sz w:val="24"/>
              </w:rPr>
              <w:t>突发事件（包括发极端天气（防汛抗台、防雪抗冻）、重大疫情期间及其他突发事件）时的应急预案及相应的措施；对重大活动及节日应急方案及相应的措施阐述；由评委在分值范围内进行打分。提交方案的得基本分3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6</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15</w:t>
            </w:r>
          </w:p>
        </w:tc>
        <w:tc>
          <w:tcPr>
            <w:tcW w:w="5399" w:type="dxa"/>
            <w:vAlign w:val="center"/>
          </w:tcPr>
          <w:p>
            <w:pPr>
              <w:jc w:val="left"/>
              <w:rPr>
                <w:rFonts w:ascii="仿宋" w:hAnsi="仿宋" w:eastAsia="仿宋" w:cs="仿宋_GB2312"/>
                <w:sz w:val="24"/>
              </w:rPr>
            </w:pPr>
            <w:r>
              <w:rPr>
                <w:rFonts w:hint="eastAsia" w:ascii="仿宋" w:hAnsi="仿宋" w:eastAsia="仿宋" w:cs="仿宋_GB2312"/>
                <w:sz w:val="24"/>
              </w:rPr>
              <w:t>根据供应商提供的文明安全作业、着重规范及应急保障措施及质量保障措施，措施是否全面、可行，进行评分。由评委在分值范围内进行打分。提交方案的得基本分3分，方案内容可行、合理的加3分；方案内容基本可行、基本合理的加2分；方案内容一般的加1分,未提供或提供不齐全的不得分。</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6</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16</w:t>
            </w:r>
          </w:p>
        </w:tc>
        <w:tc>
          <w:tcPr>
            <w:tcW w:w="5399" w:type="dxa"/>
            <w:vAlign w:val="center"/>
          </w:tcPr>
          <w:p>
            <w:pPr>
              <w:rPr>
                <w:rFonts w:ascii="仿宋" w:hAnsi="仿宋" w:eastAsia="仿宋" w:cs="仿宋_GB2312"/>
                <w:sz w:val="24"/>
              </w:rPr>
            </w:pPr>
            <w:r>
              <w:rPr>
                <w:rFonts w:hint="eastAsia" w:ascii="仿宋" w:hAnsi="仿宋" w:eastAsia="仿宋" w:cs="仿宋_GB2312"/>
                <w:sz w:val="24"/>
              </w:rPr>
              <w:t>投标人承诺中标后在江山设立办公地点和车辆放置地点的，得5分，现有的提供场地照片和相关证明材料复印件，未有的提供承诺书原件。注：中标人未在合同签订前完成采购人对相关场地的书面确认，视为放弃中标。</w:t>
            </w:r>
          </w:p>
        </w:tc>
        <w:tc>
          <w:tcPr>
            <w:tcW w:w="727" w:type="dxa"/>
            <w:vAlign w:val="center"/>
          </w:tcPr>
          <w:p>
            <w:pPr>
              <w:widowControl/>
              <w:snapToGrid w:val="0"/>
              <w:spacing w:line="360" w:lineRule="exact"/>
              <w:ind w:firstLine="33" w:firstLineChars="16"/>
              <w:jc w:val="center"/>
              <w:rPr>
                <w:rFonts w:ascii="仿宋" w:hAnsi="仿宋" w:eastAsia="仿宋" w:cs="仿宋"/>
                <w:szCs w:val="21"/>
              </w:rPr>
            </w:pPr>
            <w:r>
              <w:rPr>
                <w:rFonts w:hint="eastAsia" w:ascii="仿宋" w:hAnsi="仿宋" w:eastAsia="仿宋" w:cs="仿宋"/>
                <w:szCs w:val="21"/>
              </w:rPr>
              <w:t>5</w:t>
            </w:r>
          </w:p>
        </w:tc>
        <w:tc>
          <w:tcPr>
            <w:tcW w:w="1954"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835" w:type="dxa"/>
            <w:vAlign w:val="center"/>
          </w:tcPr>
          <w:p>
            <w:pPr>
              <w:jc w:val="center"/>
              <w:rPr>
                <w:rFonts w:ascii="仿宋" w:hAnsi="仿宋" w:eastAsia="仿宋" w:cs="仿宋_GB2312"/>
                <w:sz w:val="24"/>
              </w:rPr>
            </w:pPr>
            <w:r>
              <w:rPr>
                <w:rFonts w:hint="eastAsia" w:ascii="仿宋" w:hAnsi="仿宋" w:eastAsia="仿宋" w:cs="仿宋_GB2312"/>
                <w:sz w:val="24"/>
              </w:rPr>
              <w:t>17</w:t>
            </w:r>
          </w:p>
        </w:tc>
        <w:tc>
          <w:tcPr>
            <w:tcW w:w="5399" w:type="dxa"/>
          </w:tcPr>
          <w:p>
            <w:pPr>
              <w:rPr>
                <w:rFonts w:ascii="仿宋" w:hAnsi="仿宋" w:eastAsia="仿宋" w:cs="仿宋_GB2312"/>
                <w:sz w:val="24"/>
              </w:rPr>
            </w:pPr>
            <w:bookmarkStart w:id="547" w:name="_Toc95295962"/>
            <w:bookmarkStart w:id="548" w:name="_Toc95295208"/>
            <w:bookmarkStart w:id="549" w:name="_Toc95296767"/>
            <w:bookmarkStart w:id="550" w:name="_Toc95296638"/>
            <w:bookmarkStart w:id="551" w:name="_Toc95232850"/>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rPr>
              <w:t>1</w:t>
            </w:r>
            <w:r>
              <w:rPr>
                <w:rFonts w:ascii="仿宋" w:hAnsi="仿宋" w:eastAsia="仿宋" w:cs="仿宋_GB2312"/>
                <w:sz w:val="24"/>
              </w:rPr>
              <w:t>0］的计算公式计算。</w:t>
            </w:r>
            <w:bookmarkEnd w:id="547"/>
            <w:bookmarkEnd w:id="548"/>
            <w:bookmarkEnd w:id="549"/>
            <w:bookmarkEnd w:id="550"/>
            <w:bookmarkEnd w:id="551"/>
          </w:p>
          <w:p>
            <w:pPr>
              <w:rPr>
                <w:rFonts w:ascii="仿宋" w:hAnsi="仿宋" w:eastAsia="仿宋" w:cs="仿宋_GB2312"/>
                <w:sz w:val="24"/>
              </w:rPr>
            </w:pPr>
            <w:r>
              <w:rPr>
                <w:rFonts w:ascii="仿宋" w:hAnsi="仿宋" w:eastAsia="仿宋" w:cs="仿宋_GB2312"/>
                <w:sz w:val="24"/>
              </w:rPr>
              <w:t>评标过程中，不得去掉报价中的最高报价和最低报价。</w:t>
            </w:r>
          </w:p>
          <w:p>
            <w:pPr>
              <w:rPr>
                <w:rFonts w:ascii="仿宋" w:hAnsi="仿宋" w:eastAsia="仿宋" w:cs="仿宋_GB2312"/>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27" w:type="dxa"/>
            <w:vAlign w:val="center"/>
          </w:tcPr>
          <w:p>
            <w:pPr>
              <w:jc w:val="center"/>
              <w:rPr>
                <w:rFonts w:ascii="仿宋" w:hAnsi="仿宋" w:eastAsia="仿宋" w:cs="仿宋"/>
                <w:szCs w:val="21"/>
              </w:rPr>
            </w:pPr>
            <w:bookmarkStart w:id="552" w:name="_Toc95296768"/>
            <w:bookmarkStart w:id="553" w:name="_Toc95295963"/>
            <w:bookmarkStart w:id="554" w:name="_Toc95295209"/>
            <w:bookmarkStart w:id="555" w:name="_Toc95232851"/>
            <w:bookmarkStart w:id="556" w:name="_Toc95296639"/>
            <w:r>
              <w:rPr>
                <w:rFonts w:hint="eastAsia" w:ascii="仿宋" w:hAnsi="仿宋" w:eastAsia="仿宋" w:cs="仿宋"/>
                <w:szCs w:val="21"/>
              </w:rPr>
              <w:t>1</w:t>
            </w:r>
            <w:r>
              <w:rPr>
                <w:rFonts w:ascii="仿宋" w:hAnsi="仿宋" w:eastAsia="仿宋" w:cs="仿宋"/>
                <w:szCs w:val="21"/>
              </w:rPr>
              <w:t>0</w:t>
            </w:r>
            <w:bookmarkEnd w:id="552"/>
            <w:bookmarkEnd w:id="553"/>
            <w:bookmarkEnd w:id="554"/>
            <w:bookmarkEnd w:id="555"/>
            <w:bookmarkEnd w:id="556"/>
          </w:p>
        </w:tc>
        <w:tc>
          <w:tcPr>
            <w:tcW w:w="1954" w:type="dxa"/>
            <w:vAlign w:val="center"/>
          </w:tcPr>
          <w:p>
            <w:pPr>
              <w:rPr>
                <w:rFonts w:ascii="仿宋" w:hAnsi="仿宋" w:eastAsia="仿宋" w:cs="仿宋_GB2312"/>
                <w:sz w:val="24"/>
              </w:rPr>
            </w:pPr>
          </w:p>
        </w:tc>
      </w:tr>
    </w:tbl>
    <w:p>
      <w:pPr>
        <w:snapToGrid w:val="0"/>
        <w:spacing w:line="360" w:lineRule="auto"/>
        <w:rPr>
          <w:rFonts w:ascii="仿宋" w:hAnsi="仿宋" w:eastAsia="仿宋" w:cs="仿宋_GB2312"/>
          <w:b/>
          <w:sz w:val="24"/>
        </w:rPr>
      </w:pPr>
      <w:r>
        <w:rPr>
          <w:rFonts w:ascii="Arial" w:hAnsi="Arial" w:eastAsia="仿宋" w:cs="Arial"/>
          <w:sz w:val="20"/>
          <w:szCs w:val="20"/>
          <w:shd w:val="clear" w:color="auto" w:fill="FFFFFF"/>
        </w:rPr>
        <w:t> </w:t>
      </w: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ascii="仿宋" w:hAnsi="仿宋" w:eastAsia="仿宋"/>
        </w:rPr>
        <w:t xml:space="preserve"> </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36"/>
          <w:szCs w:val="36"/>
        </w:rPr>
      </w:pPr>
      <w:bookmarkStart w:id="557" w:name="_Toc95232852"/>
      <w:bookmarkStart w:id="558" w:name="_Toc95295210"/>
      <w:bookmarkStart w:id="559" w:name="_Toc95295964"/>
      <w:bookmarkStart w:id="560" w:name="_Toc95296640"/>
      <w:bookmarkStart w:id="561" w:name="_Toc95296769"/>
      <w:bookmarkStart w:id="562" w:name="_Toc102563664"/>
      <w:bookmarkStart w:id="563" w:name="_Toc102563871"/>
      <w:bookmarkStart w:id="564" w:name="_Toc102563941"/>
      <w:bookmarkStart w:id="565" w:name="_Toc102564009"/>
      <w:bookmarkStart w:id="566" w:name="_Toc102565157"/>
      <w:r>
        <w:rPr>
          <w:rFonts w:hint="eastAsia" w:ascii="仿宋" w:hAnsi="仿宋" w:eastAsia="仿宋" w:cs="仿宋_GB2312"/>
          <w:b/>
          <w:sz w:val="36"/>
          <w:szCs w:val="36"/>
        </w:rPr>
        <w:t>三、评标程序</w:t>
      </w:r>
      <w:bookmarkEnd w:id="557"/>
      <w:bookmarkEnd w:id="558"/>
      <w:bookmarkEnd w:id="559"/>
      <w:bookmarkEnd w:id="560"/>
      <w:bookmarkEnd w:id="561"/>
      <w:bookmarkEnd w:id="562"/>
      <w:bookmarkEnd w:id="563"/>
      <w:bookmarkEnd w:id="564"/>
      <w:bookmarkEnd w:id="565"/>
      <w:bookmarkEnd w:id="566"/>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r>
        <w:rPr>
          <w:rFonts w:ascii="仿宋" w:hAnsi="仿宋" w:eastAsia="仿宋" w:cs="Arial"/>
          <w:kern w:val="0"/>
          <w:sz w:val="24"/>
        </w:rPr>
        <w:t>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128"/>
        <w:spacing w:before="0"/>
        <w:ind w:firstLine="508" w:firstLineChars="212"/>
        <w:rPr>
          <w:rFonts w:ascii="仿宋" w:hAnsi="仿宋" w:eastAsia="仿宋" w:cs="Arial"/>
          <w:kern w:val="0"/>
        </w:rPr>
      </w:pPr>
      <w:r>
        <w:rPr>
          <w:rFonts w:ascii="仿宋" w:hAnsi="仿宋" w:eastAsia="仿宋" w:cs="Arial"/>
          <w:kern w:val="0"/>
        </w:rPr>
        <w:t>3.4.1投标文件报价出现前后不一致的，按照下列规定修正</w:t>
      </w:r>
      <w:r>
        <w:rPr>
          <w:rFonts w:hint="eastAsia" w:ascii="仿宋" w:hAnsi="仿宋" w:eastAsia="仿宋" w:cs="Arial"/>
          <w:kern w:val="0"/>
        </w:rPr>
        <w:t>，同时出现两种以上不一致的，按照顺序修正</w:t>
      </w:r>
      <w:r>
        <w:rPr>
          <w:rFonts w:ascii="仿宋" w:hAnsi="仿宋" w:eastAsia="仿宋" w:cs="Arial"/>
          <w:kern w:val="0"/>
        </w:rPr>
        <w:t>：</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20%的扣除，用扣除后的价格参与评审。接受大中型企业与小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30%以上的，对联合体或者大中型企业的报价给予6%的扣除，用扣除后的价格参加评审。组成联合体或者接受分包的小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Arial"/>
          <w:kern w:val="0"/>
          <w:sz w:val="24"/>
        </w:rPr>
        <w:t>每个标项</w:t>
      </w:r>
      <w:r>
        <w:rPr>
          <w:rFonts w:ascii="仿宋" w:hAnsi="仿宋" w:eastAsia="仿宋" w:cs="Arial"/>
          <w:kern w:val="0"/>
          <w:sz w:val="24"/>
        </w:rPr>
        <w:t>投标文件满足招标文件全部实质性要求，且按照评审因素的量化指标评审得分最高的投标人为</w:t>
      </w:r>
      <w:r>
        <w:rPr>
          <w:rFonts w:hint="eastAsia" w:ascii="仿宋" w:hAnsi="仿宋" w:eastAsia="仿宋" w:cs="Arial"/>
          <w:kern w:val="0"/>
          <w:sz w:val="24"/>
        </w:rPr>
        <w:t>该标项</w:t>
      </w:r>
      <w:r>
        <w:rPr>
          <w:rFonts w:ascii="仿宋" w:hAnsi="仿宋" w:eastAsia="仿宋" w:cs="Arial"/>
          <w:kern w:val="0"/>
          <w:sz w:val="24"/>
        </w:rPr>
        <w:t>排名第一的</w:t>
      </w:r>
      <w:r>
        <w:rPr>
          <w:rFonts w:hint="eastAsia" w:ascii="仿宋" w:hAnsi="仿宋" w:eastAsia="仿宋" w:cs="Arial"/>
          <w:kern w:val="0"/>
          <w:sz w:val="24"/>
        </w:rPr>
        <w:t>第一</w:t>
      </w:r>
      <w:r>
        <w:rPr>
          <w:rFonts w:ascii="仿宋" w:hAnsi="仿宋" w:eastAsia="仿宋" w:cs="Arial"/>
          <w:kern w:val="0"/>
          <w:sz w:val="24"/>
        </w:rPr>
        <w:t>中标候选人</w:t>
      </w:r>
      <w:r>
        <w:rPr>
          <w:rFonts w:hint="eastAsia" w:ascii="仿宋" w:hAnsi="仿宋" w:eastAsia="仿宋" w:cs="Arial"/>
          <w:kern w:val="0"/>
          <w:sz w:val="24"/>
        </w:rPr>
        <w:t>，排名次高</w:t>
      </w:r>
      <w:r>
        <w:rPr>
          <w:rFonts w:ascii="仿宋" w:hAnsi="仿宋" w:eastAsia="仿宋" w:cs="Arial"/>
          <w:kern w:val="0"/>
          <w:sz w:val="24"/>
        </w:rPr>
        <w:t>投标人为</w:t>
      </w:r>
      <w:r>
        <w:rPr>
          <w:rFonts w:hint="eastAsia" w:ascii="仿宋" w:hAnsi="仿宋" w:eastAsia="仿宋" w:cs="Arial"/>
          <w:kern w:val="0"/>
          <w:sz w:val="24"/>
        </w:rPr>
        <w:t>该标项第二</w:t>
      </w:r>
      <w:r>
        <w:rPr>
          <w:rFonts w:ascii="仿宋" w:hAnsi="仿宋" w:eastAsia="仿宋" w:cs="Arial"/>
          <w:kern w:val="0"/>
          <w:sz w:val="24"/>
        </w:rPr>
        <w:t>中标候选人</w:t>
      </w:r>
      <w:r>
        <w:rPr>
          <w:rFonts w:hint="eastAsia" w:ascii="仿宋" w:hAnsi="仿宋" w:eastAsia="仿宋" w:cs="Arial"/>
          <w:kern w:val="0"/>
          <w:sz w:val="24"/>
        </w:rPr>
        <w:t>。</w:t>
      </w:r>
      <w:r>
        <w:rPr>
          <w:rFonts w:hint="eastAsia" w:ascii="仿宋" w:hAnsi="仿宋" w:eastAsia="仿宋"/>
          <w:sz w:val="24"/>
        </w:rPr>
        <w:t>本项目按标项一、标项二、标项三、标项四、标项五顺序进行，按照一家供应商只能被推荐为一个标项的第一中标候选人的规则。如供应商被推荐为标项一的中标候选人，就</w:t>
      </w:r>
      <w:r>
        <w:rPr>
          <w:rFonts w:hint="eastAsia" w:ascii="仿宋_GB2312" w:hAnsi="仿宋" w:eastAsia="仿宋_GB2312" w:cs="仿宋_GB2312"/>
          <w:sz w:val="24"/>
        </w:rPr>
        <w:t>不参与标项二、三、四、五的评标</w:t>
      </w:r>
      <w:r>
        <w:rPr>
          <w:rFonts w:hint="eastAsia" w:ascii="仿宋" w:hAnsi="仿宋" w:eastAsia="仿宋"/>
          <w:sz w:val="24"/>
        </w:rPr>
        <w:t>；供应商被推荐为标项二的第一中标候选人，</w:t>
      </w:r>
      <w:r>
        <w:rPr>
          <w:rFonts w:hint="eastAsia" w:ascii="仿宋_GB2312" w:hAnsi="仿宋" w:eastAsia="仿宋_GB2312" w:cs="仿宋_GB2312"/>
          <w:sz w:val="24"/>
        </w:rPr>
        <w:t>就不参与标项三、四、五的评标</w:t>
      </w:r>
      <w:r>
        <w:rPr>
          <w:rFonts w:hint="eastAsia" w:ascii="仿宋" w:hAnsi="仿宋" w:eastAsia="仿宋"/>
          <w:sz w:val="24"/>
        </w:rPr>
        <w:t>；供应商被推荐为标项三的第一中标候选人，</w:t>
      </w:r>
      <w:r>
        <w:rPr>
          <w:rFonts w:hint="eastAsia" w:ascii="仿宋_GB2312" w:hAnsi="仿宋" w:eastAsia="仿宋_GB2312" w:cs="仿宋_GB2312"/>
          <w:sz w:val="24"/>
        </w:rPr>
        <w:t>就不参与标项四、五的评标；</w:t>
      </w:r>
      <w:r>
        <w:rPr>
          <w:rFonts w:hint="eastAsia" w:ascii="仿宋" w:hAnsi="仿宋" w:eastAsia="仿宋"/>
          <w:sz w:val="24"/>
        </w:rPr>
        <w:t>供应商被推荐为标项四的第一中标候选人，</w:t>
      </w:r>
      <w:r>
        <w:rPr>
          <w:rFonts w:hint="eastAsia" w:ascii="仿宋_GB2312" w:hAnsi="仿宋" w:eastAsia="仿宋_GB2312" w:cs="仿宋_GB2312"/>
          <w:sz w:val="24"/>
        </w:rPr>
        <w:t>就不参与标项五的评标</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仿宋" w:hAnsi="仿宋" w:eastAsia="仿宋" w:cs="Arial"/>
          <w:color w:val="FF0000"/>
          <w:kern w:val="0"/>
          <w:sz w:val="24"/>
        </w:rPr>
        <w:t>评审后得分最高的同品牌投标人获得中标人推荐资格；评审得分相同的，商务技术得分最高者获得中标人推荐资格，其他同品牌投标人不作为中标候选人。</w:t>
      </w:r>
      <w:r>
        <w:rPr>
          <w:rFonts w:hint="eastAsia" w:ascii="仿宋" w:hAnsi="仿宋" w:eastAsia="仿宋"/>
          <w:sz w:val="24"/>
        </w:rPr>
        <w:t xml:space="preserve"> </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32"/>
        </w:rPr>
      </w:pPr>
      <w:r>
        <w:rPr>
          <w:rFonts w:hint="eastAsia" w:ascii="仿宋" w:hAnsi="仿宋" w:eastAsia="仿宋" w:cs="仿宋_GB2312"/>
          <w:b/>
          <w:sz w:val="32"/>
        </w:rPr>
        <w:t>四、评标中的其他事项</w:t>
      </w:r>
    </w:p>
    <w:p>
      <w:pPr>
        <w:pStyle w:val="128"/>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 w:hAnsi="仿宋" w:eastAsia="仿宋" w:cs="Arial"/>
          <w:color w:val="FF0000"/>
          <w:kern w:val="0"/>
          <w:szCs w:val="24"/>
        </w:rPr>
        <w:t>不得少于半小时</w:t>
      </w:r>
      <w:r>
        <w:rPr>
          <w:rFonts w:hint="eastAsia" w:ascii="仿宋" w:hAnsi="仿宋" w:eastAsia="仿宋" w:cs="Arial"/>
          <w:kern w:val="0"/>
          <w:szCs w:val="24"/>
        </w:rPr>
        <w:t>，投标人已经明确表示澄清说明或补正完毕的除外。投标人的澄清、说明或者补正不得超出投标文件的范围或者改变投标文件的实质性内容。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color w:val="FF0000"/>
          <w:kern w:val="0"/>
          <w:sz w:val="24"/>
        </w:rPr>
      </w:pPr>
      <w:r>
        <w:rPr>
          <w:rFonts w:hint="eastAsia" w:ascii="仿宋" w:hAnsi="仿宋" w:eastAsia="仿宋" w:cs="Arial"/>
          <w:color w:val="FF0000"/>
          <w:kern w:val="0"/>
          <w:sz w:val="24"/>
        </w:rPr>
        <w:t>4.2.3未按照格式提供投标函、开标一览表（报价表）</w:t>
      </w:r>
    </w:p>
    <w:p>
      <w:pPr>
        <w:spacing w:line="360" w:lineRule="auto"/>
        <w:ind w:firstLine="480" w:firstLineChars="200"/>
        <w:rPr>
          <w:rFonts w:ascii="仿宋" w:hAnsi="仿宋" w:eastAsia="仿宋" w:cs="Arial"/>
          <w:color w:val="FF0000"/>
          <w:kern w:val="0"/>
          <w:sz w:val="24"/>
        </w:rPr>
      </w:pPr>
      <w:r>
        <w:rPr>
          <w:rFonts w:hint="eastAsia" w:ascii="仿宋" w:hAnsi="仿宋" w:eastAsia="仿宋" w:cs="Arial"/>
          <w:color w:val="FF0000"/>
          <w:kern w:val="0"/>
          <w:sz w:val="24"/>
        </w:rPr>
        <w:t>4.2.4资格、商务技术文件存在投标报价的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5</w:t>
      </w:r>
      <w:r>
        <w:rPr>
          <w:rFonts w:ascii="仿宋" w:hAnsi="仿宋" w:eastAsia="仿宋" w:cs="Arial"/>
          <w:kern w:val="0"/>
          <w:sz w:val="24"/>
        </w:rPr>
        <w:t>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rPr>
        <w:t>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6</w:t>
      </w:r>
      <w:r>
        <w:rPr>
          <w:rFonts w:ascii="仿宋" w:hAnsi="仿宋" w:eastAsia="仿宋" w:cs="Arial"/>
          <w:kern w:val="0"/>
          <w:sz w:val="24"/>
        </w:rPr>
        <w:t>投标文件含有采购人不能接受的附加条件的；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7</w:t>
      </w:r>
      <w:r>
        <w:rPr>
          <w:rFonts w:ascii="仿宋" w:hAnsi="仿宋" w:eastAsia="仿宋" w:cs="Arial"/>
          <w:kern w:val="0"/>
          <w:sz w:val="24"/>
        </w:rPr>
        <w:t>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ascii="仿宋" w:hAnsi="仿宋" w:eastAsia="仿宋" w:cs="Arial"/>
          <w:kern w:val="0"/>
          <w:sz w:val="24"/>
        </w:rPr>
        <w:t xml:space="preserve">  </w:t>
      </w:r>
      <w:r>
        <w:rPr>
          <w:rFonts w:hint="eastAsia" w:ascii="仿宋" w:hAnsi="仿宋" w:eastAsia="仿宋" w:cs="Arial"/>
          <w:kern w:val="0"/>
          <w:sz w:val="24"/>
        </w:rPr>
        <w:t xml:space="preserve"> </w:t>
      </w:r>
      <w:r>
        <w:rPr>
          <w:rFonts w:ascii="仿宋" w:hAnsi="仿宋" w:eastAsia="仿宋" w:cs="Arial"/>
          <w:kern w:val="0"/>
          <w:sz w:val="24"/>
        </w:rPr>
        <w:t>4.2.</w:t>
      </w:r>
      <w:r>
        <w:rPr>
          <w:rFonts w:hint="eastAsia" w:ascii="仿宋" w:hAnsi="仿宋" w:eastAsia="仿宋" w:cs="Arial"/>
          <w:kern w:val="0"/>
          <w:sz w:val="24"/>
        </w:rPr>
        <w:t>8</w:t>
      </w:r>
      <w:r>
        <w:rPr>
          <w:rFonts w:ascii="仿宋" w:hAnsi="仿宋" w:eastAsia="仿宋" w:cs="Arial"/>
          <w:kern w:val="0"/>
          <w:sz w:val="24"/>
        </w:rPr>
        <w:t>投标文件出现不是唯一的、有选择性投标报价的;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9</w:t>
      </w:r>
      <w:r>
        <w:rPr>
          <w:rFonts w:ascii="仿宋" w:hAnsi="仿宋" w:eastAsia="仿宋" w:cs="Arial"/>
          <w:kern w:val="0"/>
          <w:sz w:val="24"/>
        </w:rPr>
        <w:t>投标报价超过招标文件中规定的预算金额或者最高限价的;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10</w:t>
      </w:r>
      <w:r>
        <w:rPr>
          <w:rFonts w:ascii="仿宋" w:hAnsi="仿宋" w:eastAsia="仿宋" w:cs="Arial"/>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11</w:t>
      </w:r>
      <w:r>
        <w:rPr>
          <w:rFonts w:ascii="仿宋" w:hAnsi="仿宋" w:eastAsia="仿宋" w:cs="Arial"/>
          <w:kern w:val="0"/>
          <w:sz w:val="24"/>
        </w:rPr>
        <w:t>投标人对根据修正原则修正后的报价不确认的；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2</w:t>
      </w:r>
      <w:r>
        <w:rPr>
          <w:rFonts w:ascii="仿宋" w:hAnsi="仿宋" w:eastAsia="仿宋" w:cs="Arial"/>
          <w:kern w:val="0"/>
          <w:sz w:val="24"/>
        </w:rPr>
        <w:t>投标人提供虚假材料投标的；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3</w:t>
      </w:r>
      <w:r>
        <w:rPr>
          <w:rFonts w:ascii="仿宋" w:hAnsi="仿宋" w:eastAsia="仿宋" w:cs="Arial"/>
          <w:kern w:val="0"/>
          <w:sz w:val="24"/>
        </w:rPr>
        <w:t>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4</w:t>
      </w:r>
      <w:r>
        <w:rPr>
          <w:rFonts w:ascii="仿宋" w:hAnsi="仿宋" w:eastAsia="仿宋" w:cs="Arial"/>
          <w:kern w:val="0"/>
          <w:sz w:val="24"/>
        </w:rPr>
        <w:t>投标人仅提交备份投标文件，没有在电子交易平台传输递交投标文件的，投标无效；</w:t>
      </w:r>
    </w:p>
    <w:p>
      <w:pPr>
        <w:spacing w:line="360" w:lineRule="auto"/>
        <w:ind w:firstLine="480" w:firstLineChars="200"/>
        <w:rPr>
          <w:rFonts w:ascii="仿宋" w:hAnsi="仿宋" w:eastAsia="仿宋" w:cs="Arial"/>
          <w:kern w:val="0"/>
          <w:sz w:val="24"/>
        </w:rPr>
      </w:pPr>
      <w:bookmarkStart w:id="567" w:name="_Toc95232853"/>
      <w:r>
        <w:rPr>
          <w:rFonts w:ascii="仿宋" w:hAnsi="仿宋" w:eastAsia="仿宋" w:cs="Arial"/>
          <w:kern w:val="0"/>
          <w:sz w:val="24"/>
        </w:rPr>
        <w:t>4.2.1</w:t>
      </w:r>
      <w:r>
        <w:rPr>
          <w:rFonts w:hint="eastAsia" w:ascii="仿宋" w:hAnsi="仿宋" w:eastAsia="仿宋" w:cs="Arial"/>
          <w:kern w:val="0"/>
          <w:sz w:val="24"/>
        </w:rPr>
        <w:t>5投标文件不满足招标文件的其它实质性要求的；</w:t>
      </w:r>
      <w:bookmarkEnd w:id="567"/>
    </w:p>
    <w:p>
      <w:pPr>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6</w:t>
      </w:r>
      <w:r>
        <w:rPr>
          <w:rFonts w:ascii="仿宋" w:hAnsi="仿宋" w:eastAsia="仿宋" w:cs="Arial"/>
          <w:kern w:val="0"/>
          <w:sz w:val="24"/>
        </w:rPr>
        <w:t>法律、法规、规章（适用本市的）及省级以上规范性文件（适用本市的）规定的其他无效情形。</w:t>
      </w:r>
    </w:p>
    <w:p>
      <w:pPr>
        <w:rPr>
          <w:rFonts w:ascii="仿宋" w:hAnsi="仿宋" w:eastAsia="仿宋"/>
          <w:color w:val="FF0000"/>
          <w:sz w:val="24"/>
        </w:rPr>
      </w:pPr>
    </w:p>
    <w:p>
      <w:pPr>
        <w:pStyle w:val="24"/>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pStyle w:val="24"/>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4"/>
        <w:snapToGrid w:val="0"/>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pStyle w:val="24"/>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4"/>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4"/>
        <w:snapToGrid w:val="0"/>
        <w:spacing w:line="36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pStyle w:val="24"/>
        <w:snapToGrid w:val="0"/>
        <w:spacing w:line="360" w:lineRule="auto"/>
        <w:rPr>
          <w:rFonts w:ascii="仿宋" w:hAnsi="仿宋" w:eastAsia="仿宋" w:cs="仿宋_GB2312"/>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p>
    <w:p>
      <w:pPr>
        <w:pStyle w:val="24"/>
        <w:snapToGrid w:val="0"/>
        <w:spacing w:line="360" w:lineRule="auto"/>
        <w:ind w:firstLine="0" w:firstLineChars="0"/>
        <w:rPr>
          <w:rFonts w:ascii="仿宋" w:hAnsi="仿宋" w:eastAsia="仿宋" w:cs="仿宋_GB2312"/>
        </w:rPr>
      </w:pPr>
    </w:p>
    <w:bookmarkEnd w:id="136"/>
    <w:p>
      <w:pPr>
        <w:spacing w:line="360" w:lineRule="auto"/>
        <w:ind w:left="720" w:leftChars="343" w:firstLine="1084" w:firstLineChars="300"/>
        <w:outlineLvl w:val="0"/>
        <w:rPr>
          <w:rFonts w:ascii="仿宋" w:hAnsi="仿宋" w:eastAsia="仿宋" w:cs="仿宋_GB2312"/>
          <w:b/>
          <w:sz w:val="36"/>
          <w:szCs w:val="36"/>
        </w:rPr>
      </w:pPr>
      <w:bookmarkStart w:id="568" w:name="第五部分"/>
      <w:bookmarkStart w:id="569" w:name="_Toc86217003"/>
    </w:p>
    <w:p>
      <w:pPr>
        <w:spacing w:line="360" w:lineRule="auto"/>
        <w:ind w:left="720" w:leftChars="343" w:firstLine="1084" w:firstLineChars="300"/>
        <w:outlineLvl w:val="0"/>
        <w:rPr>
          <w:rFonts w:ascii="仿宋" w:hAnsi="仿宋" w:eastAsia="仿宋" w:cs="仿宋_GB2312"/>
          <w:b/>
          <w:sz w:val="36"/>
          <w:szCs w:val="36"/>
        </w:rPr>
      </w:pPr>
      <w:r>
        <w:rPr>
          <w:rFonts w:ascii="仿宋" w:hAnsi="仿宋" w:eastAsia="仿宋" w:cs="仿宋_GB2312"/>
          <w:b/>
          <w:sz w:val="36"/>
          <w:szCs w:val="36"/>
        </w:rPr>
        <w:t xml:space="preserve">    </w:t>
      </w:r>
    </w:p>
    <w:p>
      <w:pPr>
        <w:rPr>
          <w:rFonts w:ascii="仿宋" w:hAnsi="仿宋" w:eastAsia="仿宋"/>
        </w:rPr>
      </w:pPr>
    </w:p>
    <w:p>
      <w:pPr>
        <w:pStyle w:val="2"/>
        <w:rPr>
          <w:rFonts w:ascii="仿宋" w:eastAsia="仿宋"/>
          <w:lang w:val="en-US"/>
        </w:rPr>
      </w:pPr>
    </w:p>
    <w:p>
      <w:pPr>
        <w:spacing w:line="360" w:lineRule="auto"/>
        <w:ind w:left="720" w:leftChars="343" w:firstLine="1084" w:firstLineChars="300"/>
        <w:outlineLvl w:val="0"/>
        <w:rPr>
          <w:rFonts w:ascii="仿宋" w:hAnsi="仿宋" w:eastAsia="仿宋" w:cs="仿宋_GB2312"/>
          <w:b/>
          <w:sz w:val="36"/>
          <w:szCs w:val="36"/>
        </w:rPr>
      </w:pPr>
    </w:p>
    <w:p>
      <w:pPr>
        <w:widowControl/>
        <w:adjustRightInd/>
        <w:jc w:val="center"/>
        <w:rPr>
          <w:rFonts w:ascii="仿宋" w:hAnsi="仿宋" w:eastAsia="仿宋" w:cs="仿宋_GB2312"/>
          <w:b/>
          <w:sz w:val="36"/>
          <w:szCs w:val="36"/>
        </w:rPr>
      </w:pPr>
      <w:bookmarkStart w:id="570" w:name="_Toc95232854"/>
      <w:bookmarkStart w:id="571" w:name="_Toc95295211"/>
      <w:bookmarkStart w:id="572" w:name="_Toc95295965"/>
      <w:bookmarkStart w:id="573" w:name="_Toc95296641"/>
      <w:bookmarkStart w:id="574" w:name="_Toc95296770"/>
      <w:bookmarkStart w:id="575" w:name="_Toc102563665"/>
      <w:bookmarkStart w:id="576" w:name="_Toc102563872"/>
      <w:bookmarkStart w:id="577" w:name="_Toc102563942"/>
      <w:bookmarkStart w:id="578" w:name="_Toc102564010"/>
      <w:bookmarkStart w:id="579" w:name="_Toc102565158"/>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bookmarkEnd w:id="570"/>
      <w:bookmarkEnd w:id="571"/>
      <w:bookmarkEnd w:id="572"/>
      <w:bookmarkEnd w:id="573"/>
      <w:bookmarkEnd w:id="574"/>
      <w:bookmarkEnd w:id="575"/>
      <w:bookmarkEnd w:id="576"/>
      <w:bookmarkEnd w:id="577"/>
      <w:bookmarkEnd w:id="578"/>
      <w:bookmarkEnd w:id="579"/>
    </w:p>
    <w:p>
      <w:pPr>
        <w:rPr>
          <w:rFonts w:ascii="仿宋" w:hAnsi="仿宋" w:eastAsia="仿宋"/>
          <w:sz w:val="24"/>
          <w:u w:val="single"/>
        </w:rPr>
      </w:pPr>
      <w:r>
        <w:rPr>
          <w:rFonts w:hint="eastAsia" w:ascii="仿宋" w:hAnsi="仿宋" w:eastAsia="仿宋"/>
          <w:sz w:val="24"/>
        </w:rPr>
        <w:t>合同编号：</w:t>
      </w:r>
      <w:r>
        <w:rPr>
          <w:rFonts w:ascii="仿宋" w:hAnsi="仿宋" w:eastAsia="仿宋"/>
          <w:sz w:val="24"/>
          <w:u w:val="single"/>
        </w:rPr>
        <w:t xml:space="preserve">           </w:t>
      </w:r>
    </w:p>
    <w:p>
      <w:pPr>
        <w:spacing w:line="480" w:lineRule="auto"/>
        <w:jc w:val="center"/>
        <w:rPr>
          <w:rFonts w:ascii="仿宋" w:hAnsi="仿宋" w:eastAsia="仿宋"/>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（服务类）</w:t>
      </w: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580" w:name="_Toc95384900"/>
      <w:bookmarkStart w:id="581" w:name="_Toc95386506"/>
      <w:bookmarkStart w:id="582" w:name="_Toc95386623"/>
      <w:bookmarkStart w:id="583" w:name="_Toc95387059"/>
      <w:bookmarkStart w:id="584" w:name="_Toc96432496"/>
      <w:bookmarkStart w:id="585" w:name="_Toc96432578"/>
      <w:bookmarkStart w:id="586" w:name="_Toc96432822"/>
      <w:bookmarkStart w:id="587" w:name="_Toc102145366"/>
      <w:bookmarkStart w:id="588" w:name="_Toc102145430"/>
      <w:bookmarkStart w:id="589" w:name="_Toc102145565"/>
      <w:r>
        <w:rPr>
          <w:rFonts w:ascii="仿宋" w:hAnsi="仿宋" w:eastAsia="仿宋"/>
          <w:b/>
          <w:sz w:val="24"/>
        </w:rPr>
        <w:t xml:space="preserve">1.1 </w:t>
      </w:r>
      <w:r>
        <w:rPr>
          <w:rFonts w:hint="eastAsia" w:ascii="仿宋" w:hAnsi="仿宋" w:eastAsia="仿宋"/>
          <w:b/>
          <w:sz w:val="24"/>
        </w:rPr>
        <w:t>合同组成部分</w:t>
      </w:r>
      <w:bookmarkEnd w:id="580"/>
      <w:bookmarkEnd w:id="581"/>
      <w:bookmarkEnd w:id="582"/>
      <w:bookmarkEnd w:id="583"/>
      <w:bookmarkEnd w:id="584"/>
      <w:bookmarkEnd w:id="585"/>
      <w:bookmarkEnd w:id="586"/>
      <w:bookmarkEnd w:id="587"/>
      <w:bookmarkEnd w:id="588"/>
      <w:bookmarkEnd w:id="589"/>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590" w:name="_Toc95384901"/>
      <w:bookmarkStart w:id="591" w:name="_Toc95386507"/>
      <w:bookmarkStart w:id="592" w:name="_Toc95386624"/>
      <w:bookmarkStart w:id="593" w:name="_Toc95387060"/>
      <w:bookmarkStart w:id="594" w:name="_Toc96432497"/>
      <w:bookmarkStart w:id="595" w:name="_Toc96432579"/>
      <w:bookmarkStart w:id="596" w:name="_Toc96432823"/>
      <w:bookmarkStart w:id="597" w:name="_Toc102145367"/>
      <w:bookmarkStart w:id="598" w:name="_Toc102145431"/>
      <w:bookmarkStart w:id="599" w:name="_Toc102145566"/>
      <w:bookmarkStart w:id="600" w:name="_Toc21295"/>
      <w:bookmarkStart w:id="601" w:name="_Toc27126"/>
      <w:bookmarkStart w:id="602" w:name="_Toc24300"/>
      <w:bookmarkStart w:id="603" w:name="_Toc95232856"/>
      <w:bookmarkStart w:id="604" w:name="_Toc95295213"/>
      <w:bookmarkStart w:id="605" w:name="_Toc95295967"/>
      <w:bookmarkStart w:id="606" w:name="_Toc95296643"/>
      <w:bookmarkStart w:id="607" w:name="_Toc95296772"/>
      <w:bookmarkStart w:id="608" w:name="_Toc95379955"/>
      <w:r>
        <w:rPr>
          <w:rFonts w:hint="eastAsia" w:ascii="仿宋" w:hAnsi="仿宋" w:eastAsia="仿宋"/>
          <w:b/>
          <w:sz w:val="24"/>
        </w:rPr>
        <w:t>1.2服务内容</w:t>
      </w:r>
      <w:bookmarkEnd w:id="590"/>
      <w:bookmarkEnd w:id="591"/>
      <w:bookmarkEnd w:id="592"/>
      <w:bookmarkEnd w:id="593"/>
      <w:bookmarkEnd w:id="594"/>
      <w:bookmarkEnd w:id="595"/>
      <w:bookmarkEnd w:id="596"/>
      <w:bookmarkEnd w:id="597"/>
      <w:bookmarkEnd w:id="598"/>
      <w:bookmarkEnd w:id="599"/>
    </w:p>
    <w:tbl>
      <w:tblPr>
        <w:tblStyle w:val="62"/>
        <w:tblW w:w="9178" w:type="dxa"/>
        <w:jc w:val="right"/>
        <w:tblLayout w:type="fixed"/>
        <w:tblCellMar>
          <w:top w:w="0" w:type="dxa"/>
          <w:left w:w="108" w:type="dxa"/>
          <w:bottom w:w="0" w:type="dxa"/>
          <w:right w:w="108" w:type="dxa"/>
        </w:tblCellMar>
      </w:tblPr>
      <w:tblGrid>
        <w:gridCol w:w="1019"/>
        <w:gridCol w:w="1459"/>
        <w:gridCol w:w="889"/>
        <w:gridCol w:w="1984"/>
        <w:gridCol w:w="1843"/>
        <w:gridCol w:w="1984"/>
      </w:tblGrid>
      <w:tr>
        <w:tblPrEx>
          <w:tblCellMar>
            <w:top w:w="0" w:type="dxa"/>
            <w:left w:w="108" w:type="dxa"/>
            <w:bottom w:w="0" w:type="dxa"/>
            <w:right w:w="108" w:type="dxa"/>
          </w:tblCellMar>
        </w:tblPrEx>
        <w:trPr>
          <w:trHeight w:val="402" w:hRule="atLeast"/>
          <w:jc w:val="right"/>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2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类别</w:t>
            </w:r>
          </w:p>
        </w:tc>
        <w:tc>
          <w:tcPr>
            <w:tcW w:w="5811"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标项</w:t>
            </w:r>
            <w:r>
              <w:rPr>
                <w:rFonts w:hint="eastAsia" w:ascii="仿宋" w:hAnsi="仿宋" w:eastAsia="仿宋" w:cs="宋体"/>
                <w:b/>
                <w:bCs/>
                <w:color w:val="000000"/>
                <w:kern w:val="0"/>
                <w:sz w:val="15"/>
                <w:szCs w:val="15"/>
                <w:u w:val="single"/>
              </w:rPr>
              <w:t xml:space="preserve">     </w:t>
            </w:r>
          </w:p>
        </w:tc>
      </w:tr>
      <w:tr>
        <w:tblPrEx>
          <w:tblCellMar>
            <w:top w:w="0" w:type="dxa"/>
            <w:left w:w="108" w:type="dxa"/>
            <w:bottom w:w="0" w:type="dxa"/>
            <w:right w:w="108" w:type="dxa"/>
          </w:tblCellMar>
        </w:tblPrEx>
        <w:trPr>
          <w:trHeight w:val="402" w:hRule="atLeast"/>
          <w:jc w:val="righ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仿宋" w:hAnsi="仿宋" w:eastAsia="仿宋" w:cs="宋体"/>
                <w:b/>
                <w:bCs/>
                <w:color w:val="000000"/>
                <w:kern w:val="0"/>
                <w:sz w:val="22"/>
                <w:szCs w:val="22"/>
              </w:rPr>
            </w:pPr>
          </w:p>
        </w:tc>
        <w:tc>
          <w:tcPr>
            <w:tcW w:w="234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仿宋" w:hAnsi="仿宋" w:eastAsia="仿宋" w:cs="宋体"/>
                <w:b/>
                <w:bCs/>
                <w:color w:val="000000"/>
                <w:kern w:val="0"/>
                <w:szCs w:val="21"/>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数量</w:t>
            </w: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单价（元）</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小计</w:t>
            </w: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一级公共绿地面积（m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二级公共绿地面积（m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三级公共绿地面积（m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02"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草花（m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02"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5</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混播草坪（m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02"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行道树一级（棵）</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02"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7</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行道树二级（棵）</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w:t>
            </w:r>
          </w:p>
        </w:tc>
        <w:tc>
          <w:tcPr>
            <w:tcW w:w="1459" w:type="dxa"/>
            <w:vMerge w:val="restart"/>
            <w:tcBorders>
              <w:top w:val="nil"/>
              <w:left w:val="single" w:color="000000" w:sz="4" w:space="0"/>
              <w:bottom w:val="single" w:color="000000" w:sz="4" w:space="0"/>
              <w:right w:val="nil"/>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古树名木</w:t>
            </w:r>
          </w:p>
        </w:tc>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kern w:val="0"/>
                <w:sz w:val="15"/>
                <w:szCs w:val="15"/>
              </w:rPr>
            </w:pPr>
            <w:r>
              <w:rPr>
                <w:rFonts w:hint="eastAsia" w:ascii="仿宋" w:hAnsi="仿宋" w:eastAsia="仿宋" w:cs="宋体"/>
                <w:b/>
                <w:bCs/>
                <w:kern w:val="0"/>
                <w:sz w:val="15"/>
                <w:szCs w:val="15"/>
              </w:rPr>
              <w:t>100年至300年（棵）</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619"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9</w:t>
            </w:r>
          </w:p>
        </w:tc>
        <w:tc>
          <w:tcPr>
            <w:tcW w:w="1459" w:type="dxa"/>
            <w:vMerge w:val="continue"/>
            <w:tcBorders>
              <w:top w:val="nil"/>
              <w:left w:val="single" w:color="000000" w:sz="4" w:space="0"/>
              <w:bottom w:val="single" w:color="000000" w:sz="4" w:space="0"/>
              <w:right w:val="nil"/>
            </w:tcBorders>
            <w:vAlign w:val="center"/>
          </w:tcPr>
          <w:p>
            <w:pPr>
              <w:widowControl/>
              <w:adjustRightInd/>
              <w:jc w:val="left"/>
              <w:rPr>
                <w:rFonts w:ascii="仿宋" w:hAnsi="仿宋" w:eastAsia="仿宋" w:cs="宋体"/>
                <w:b/>
                <w:bCs/>
                <w:kern w:val="0"/>
                <w:sz w:val="15"/>
                <w:szCs w:val="15"/>
              </w:rPr>
            </w:pPr>
          </w:p>
        </w:tc>
        <w:tc>
          <w:tcPr>
            <w:tcW w:w="889" w:type="dxa"/>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kern w:val="0"/>
                <w:sz w:val="15"/>
                <w:szCs w:val="15"/>
              </w:rPr>
            </w:pPr>
            <w:r>
              <w:rPr>
                <w:rFonts w:hint="eastAsia" w:ascii="仿宋" w:hAnsi="仿宋" w:eastAsia="仿宋" w:cs="宋体"/>
                <w:b/>
                <w:bCs/>
                <w:kern w:val="0"/>
                <w:sz w:val="15"/>
                <w:szCs w:val="15"/>
              </w:rPr>
              <w:t>300年-500年（棵）</w:t>
            </w:r>
          </w:p>
        </w:tc>
        <w:tc>
          <w:tcPr>
            <w:tcW w:w="1984"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10</w:t>
            </w:r>
          </w:p>
        </w:tc>
        <w:tc>
          <w:tcPr>
            <w:tcW w:w="1459" w:type="dxa"/>
            <w:vMerge w:val="continue"/>
            <w:tcBorders>
              <w:top w:val="nil"/>
              <w:left w:val="single" w:color="000000" w:sz="4" w:space="0"/>
              <w:bottom w:val="single" w:color="000000" w:sz="4" w:space="0"/>
              <w:right w:val="nil"/>
            </w:tcBorders>
            <w:vAlign w:val="center"/>
          </w:tcPr>
          <w:p>
            <w:pPr>
              <w:widowControl/>
              <w:adjustRightInd/>
              <w:jc w:val="left"/>
              <w:rPr>
                <w:rFonts w:ascii="仿宋" w:hAnsi="仿宋" w:eastAsia="仿宋" w:cs="宋体"/>
                <w:b/>
                <w:bCs/>
                <w:kern w:val="0"/>
                <w:sz w:val="15"/>
                <w:szCs w:val="15"/>
              </w:rPr>
            </w:pPr>
          </w:p>
        </w:tc>
        <w:tc>
          <w:tcPr>
            <w:tcW w:w="889" w:type="dxa"/>
            <w:tcBorders>
              <w:top w:val="nil"/>
              <w:left w:val="single" w:color="auto" w:sz="4" w:space="0"/>
              <w:bottom w:val="single" w:color="000000" w:sz="4" w:space="0"/>
              <w:right w:val="single" w:color="auto" w:sz="4" w:space="0"/>
            </w:tcBorders>
            <w:shd w:val="clear" w:color="auto" w:fill="auto"/>
            <w:vAlign w:val="center"/>
          </w:tcPr>
          <w:p>
            <w:pPr>
              <w:widowControl/>
              <w:adjustRightInd/>
              <w:jc w:val="left"/>
              <w:rPr>
                <w:rFonts w:ascii="仿宋" w:hAnsi="仿宋" w:eastAsia="仿宋" w:cs="宋体"/>
                <w:b/>
                <w:bCs/>
                <w:kern w:val="0"/>
                <w:sz w:val="15"/>
                <w:szCs w:val="15"/>
              </w:rPr>
            </w:pPr>
            <w:r>
              <w:rPr>
                <w:rFonts w:hint="eastAsia" w:ascii="仿宋" w:hAnsi="仿宋" w:eastAsia="仿宋" w:cs="宋体"/>
                <w:b/>
                <w:bCs/>
                <w:kern w:val="0"/>
                <w:sz w:val="15"/>
                <w:szCs w:val="15"/>
              </w:rPr>
              <w:t>500年以上（棵）</w:t>
            </w:r>
          </w:p>
        </w:tc>
        <w:tc>
          <w:tcPr>
            <w:tcW w:w="1984"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auto" w:sz="4" w:space="0"/>
            </w:tcBorders>
            <w:shd w:val="clear" w:color="auto" w:fill="auto"/>
            <w:noWrap/>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auto"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36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11</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开放式小区（m</w:t>
            </w:r>
            <w:r>
              <w:rPr>
                <w:rFonts w:hint="eastAsia" w:ascii="仿宋" w:hAnsi="仿宋" w:eastAsia="仿宋" w:cs="宋体"/>
                <w:b/>
                <w:bCs/>
                <w:kern w:val="0"/>
                <w:sz w:val="15"/>
                <w:szCs w:val="15"/>
                <w:vertAlign w:val="superscript"/>
              </w:rPr>
              <w:t>2</w:t>
            </w:r>
            <w:r>
              <w:rPr>
                <w:rFonts w:hint="eastAsia" w:ascii="仿宋" w:hAnsi="仿宋" w:eastAsia="仿宋" w:cs="宋体"/>
                <w:b/>
                <w:bCs/>
                <w:kern w:val="0"/>
                <w:sz w:val="15"/>
                <w:szCs w:val="15"/>
              </w:rPr>
              <w:t>）</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99"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12</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5"/>
                <w:szCs w:val="15"/>
              </w:rPr>
            </w:pPr>
            <w:r>
              <w:rPr>
                <w:rFonts w:hint="eastAsia" w:ascii="仿宋" w:hAnsi="仿宋" w:eastAsia="仿宋" w:cs="宋体"/>
                <w:b/>
                <w:bCs/>
                <w:kern w:val="0"/>
                <w:sz w:val="15"/>
                <w:szCs w:val="15"/>
              </w:rPr>
              <w:t>绿化保险（年）</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642"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13</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6"/>
                <w:szCs w:val="16"/>
              </w:rPr>
            </w:pPr>
            <w:r>
              <w:rPr>
                <w:rFonts w:hint="eastAsia" w:ascii="仿宋" w:hAnsi="仿宋" w:eastAsia="仿宋" w:cs="宋体"/>
                <w:b/>
                <w:bCs/>
                <w:kern w:val="0"/>
                <w:sz w:val="16"/>
                <w:szCs w:val="16"/>
              </w:rPr>
              <w:t>西山球场保洁（项）</w:t>
            </w:r>
          </w:p>
        </w:tc>
        <w:tc>
          <w:tcPr>
            <w:tcW w:w="1984"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8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14</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6"/>
                <w:szCs w:val="16"/>
              </w:rPr>
            </w:pPr>
            <w:r>
              <w:rPr>
                <w:rFonts w:hint="eastAsia" w:ascii="仿宋" w:hAnsi="仿宋" w:eastAsia="仿宋" w:cs="宋体"/>
                <w:b/>
                <w:bCs/>
                <w:kern w:val="0"/>
                <w:sz w:val="16"/>
                <w:szCs w:val="16"/>
              </w:rPr>
              <w:t>须江公园管理（含环卫保洁）（项）</w:t>
            </w:r>
          </w:p>
        </w:tc>
        <w:tc>
          <w:tcPr>
            <w:tcW w:w="1984" w:type="dxa"/>
            <w:tcBorders>
              <w:top w:val="nil"/>
              <w:left w:val="nil"/>
              <w:bottom w:val="single" w:color="auto"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auto"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auto"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2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15</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6"/>
                <w:szCs w:val="16"/>
              </w:rPr>
            </w:pPr>
            <w:r>
              <w:rPr>
                <w:rFonts w:hint="eastAsia" w:ascii="仿宋" w:hAnsi="仿宋" w:eastAsia="仿宋" w:cs="宋体"/>
                <w:b/>
                <w:bCs/>
                <w:kern w:val="0"/>
                <w:sz w:val="16"/>
                <w:szCs w:val="16"/>
              </w:rPr>
              <w:t>城区公园广场巡逻检查（项）</w:t>
            </w: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single" w:color="auto"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single" w:color="auto"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319"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16</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6"/>
                <w:szCs w:val="16"/>
              </w:rPr>
            </w:pPr>
            <w:r>
              <w:rPr>
                <w:rFonts w:hint="eastAsia" w:ascii="仿宋" w:hAnsi="仿宋" w:eastAsia="仿宋" w:cs="宋体"/>
                <w:b/>
                <w:bCs/>
                <w:kern w:val="0"/>
                <w:sz w:val="16"/>
                <w:szCs w:val="16"/>
              </w:rPr>
              <w:t>微提升改造（项）</w:t>
            </w: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843"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c>
          <w:tcPr>
            <w:tcW w:w="1984"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p>
        </w:tc>
      </w:tr>
      <w:tr>
        <w:tblPrEx>
          <w:tblCellMar>
            <w:top w:w="0" w:type="dxa"/>
            <w:left w:w="108" w:type="dxa"/>
            <w:bottom w:w="0" w:type="dxa"/>
            <w:right w:w="108" w:type="dxa"/>
          </w:tblCellMar>
        </w:tblPrEx>
        <w:trPr>
          <w:trHeight w:val="420" w:hRule="atLeast"/>
          <w:jc w:val="right"/>
        </w:trPr>
        <w:tc>
          <w:tcPr>
            <w:tcW w:w="101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17</w:t>
            </w:r>
          </w:p>
        </w:tc>
        <w:tc>
          <w:tcPr>
            <w:tcW w:w="2348"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b/>
                <w:bCs/>
                <w:kern w:val="0"/>
                <w:sz w:val="16"/>
                <w:szCs w:val="16"/>
              </w:rPr>
            </w:pPr>
            <w:r>
              <w:rPr>
                <w:rFonts w:hint="eastAsia" w:ascii="仿宋" w:hAnsi="仿宋" w:eastAsia="仿宋" w:cs="宋体"/>
                <w:b/>
                <w:bCs/>
                <w:kern w:val="0"/>
                <w:sz w:val="16"/>
                <w:szCs w:val="16"/>
              </w:rPr>
              <w:t>养护费合计（元）</w:t>
            </w:r>
          </w:p>
        </w:tc>
        <w:tc>
          <w:tcPr>
            <w:tcW w:w="5811"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 w:hAnsi="仿宋" w:eastAsia="仿宋" w:cs="宋体"/>
                <w:kern w:val="0"/>
                <w:sz w:val="15"/>
                <w:szCs w:val="15"/>
              </w:rPr>
            </w:pPr>
            <w:r>
              <w:rPr>
                <w:rFonts w:hint="eastAsia" w:ascii="仿宋" w:hAnsi="仿宋" w:eastAsia="仿宋" w:cs="宋体"/>
                <w:kern w:val="0"/>
                <w:sz w:val="15"/>
                <w:szCs w:val="15"/>
              </w:rPr>
              <w:t xml:space="preserve"> </w:t>
            </w:r>
          </w:p>
        </w:tc>
      </w:tr>
    </w:tbl>
    <w:p>
      <w:pPr>
        <w:snapToGrid w:val="0"/>
        <w:spacing w:line="360" w:lineRule="exact"/>
        <w:ind w:firstLine="480" w:firstLineChars="200"/>
        <w:rPr>
          <w:rFonts w:ascii="仿宋" w:hAnsi="仿宋" w:eastAsia="仿宋"/>
          <w:sz w:val="24"/>
        </w:rPr>
      </w:pPr>
      <w:r>
        <w:rPr>
          <w:rFonts w:hint="eastAsia" w:ascii="仿宋" w:hAnsi="仿宋" w:eastAsia="仿宋"/>
          <w:sz w:val="24"/>
        </w:rPr>
        <w:t>提升改造的费用计算参照《浙江省园林绿化及仿古建筑工程预算定额》</w:t>
      </w:r>
      <w:r>
        <w:rPr>
          <w:rFonts w:hint="eastAsia" w:ascii="仿宋" w:hAnsi="仿宋" w:eastAsia="仿宋"/>
          <w:b/>
          <w:sz w:val="24"/>
        </w:rPr>
        <w:t>（2018版）</w:t>
      </w:r>
      <w:r>
        <w:rPr>
          <w:rFonts w:hint="eastAsia" w:ascii="仿宋" w:hAnsi="仿宋" w:eastAsia="仿宋"/>
          <w:sz w:val="24"/>
        </w:rPr>
        <w:t>、施工当期的《衢州市造价信息（江山）》，取费费率按绿化三类（市区）中间值取定，</w:t>
      </w:r>
      <w:r>
        <w:rPr>
          <w:rFonts w:hint="eastAsia" w:ascii="仿宋" w:hAnsi="仿宋" w:eastAsia="仿宋"/>
          <w:b/>
          <w:bCs/>
          <w:sz w:val="24"/>
        </w:rPr>
        <w:t>新移植的苗木养护费按一年计算，</w:t>
      </w:r>
      <w:r>
        <w:rPr>
          <w:rFonts w:hint="eastAsia" w:ascii="仿宋" w:hAnsi="仿宋" w:eastAsia="仿宋"/>
          <w:sz w:val="24"/>
        </w:rPr>
        <w:t>组价后下浮8%作为结算价，经结算审计按审定价款结算。补植的地点范围由甲方指定，补植的设计方案由乙方提供，经甲方审核同意后方可实施，否则不予认可。</w:t>
      </w:r>
    </w:p>
    <w:p>
      <w:pPr>
        <w:snapToGrid w:val="0"/>
        <w:spacing w:line="360" w:lineRule="exact"/>
        <w:ind w:firstLine="482" w:firstLineChars="200"/>
        <w:rPr>
          <w:rFonts w:ascii="仿宋" w:hAnsi="仿宋" w:eastAsia="仿宋"/>
          <w:b/>
          <w:sz w:val="24"/>
        </w:rPr>
      </w:pPr>
      <w:r>
        <w:rPr>
          <w:rFonts w:hint="eastAsia" w:ascii="仿宋" w:hAnsi="仿宋" w:eastAsia="仿宋"/>
          <w:b/>
          <w:sz w:val="24"/>
        </w:rPr>
        <w:t>1.2.1养护人员机械设备组成</w:t>
      </w:r>
    </w:p>
    <w:p>
      <w:pPr>
        <w:snapToGrid w:val="0"/>
        <w:spacing w:line="360" w:lineRule="exact"/>
        <w:ind w:firstLine="480" w:firstLineChars="200"/>
        <w:rPr>
          <w:rFonts w:ascii="仿宋" w:hAnsi="仿宋" w:eastAsia="仿宋"/>
          <w:sz w:val="24"/>
          <w:u w:val="single"/>
        </w:rPr>
      </w:pPr>
      <w:r>
        <w:rPr>
          <w:rFonts w:hint="eastAsia" w:ascii="仿宋" w:hAnsi="仿宋" w:eastAsia="仿宋"/>
          <w:sz w:val="24"/>
        </w:rPr>
        <w:t>1.2.1.1项目负责人：</w:t>
      </w:r>
      <w:r>
        <w:rPr>
          <w:rFonts w:hint="eastAsia" w:ascii="仿宋" w:hAnsi="仿宋" w:eastAsia="仿宋"/>
          <w:sz w:val="24"/>
          <w:u w:val="single"/>
        </w:rPr>
        <w:t xml:space="preserve">          （身份证号：                       ） </w:t>
      </w:r>
    </w:p>
    <w:p>
      <w:pPr>
        <w:snapToGrid w:val="0"/>
        <w:spacing w:line="360" w:lineRule="exact"/>
        <w:ind w:firstLine="480" w:firstLineChars="200"/>
        <w:rPr>
          <w:rFonts w:ascii="仿宋" w:hAnsi="仿宋" w:eastAsia="仿宋"/>
          <w:sz w:val="24"/>
        </w:rPr>
      </w:pPr>
      <w:r>
        <w:rPr>
          <w:rFonts w:hint="eastAsia" w:ascii="仿宋" w:hAnsi="仿宋" w:eastAsia="仿宋"/>
          <w:sz w:val="24"/>
        </w:rPr>
        <w:t>1.2.1.2植保员、园林绿化修剪技工等中、高级技工应持证上岗。乙方养护人员及分块绿地养护小组人员名单需到甲方备案。</w:t>
      </w:r>
    </w:p>
    <w:p>
      <w:pPr>
        <w:snapToGrid w:val="0"/>
        <w:spacing w:line="360" w:lineRule="exact"/>
        <w:ind w:firstLine="480" w:firstLineChars="200"/>
        <w:rPr>
          <w:rFonts w:ascii="仿宋" w:hAnsi="仿宋" w:eastAsia="仿宋"/>
          <w:sz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140"/>
        <w:gridCol w:w="1365"/>
        <w:gridCol w:w="1695"/>
        <w:gridCol w:w="174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r>
              <w:rPr>
                <w:rFonts w:hint="eastAsia" w:ascii="仿宋" w:hAnsi="仿宋" w:eastAsia="仿宋"/>
                <w:sz w:val="24"/>
              </w:rPr>
              <w:t>序号</w:t>
            </w:r>
          </w:p>
        </w:tc>
        <w:tc>
          <w:tcPr>
            <w:tcW w:w="1140" w:type="dxa"/>
          </w:tcPr>
          <w:p>
            <w:pPr>
              <w:snapToGrid w:val="0"/>
              <w:spacing w:after="120" w:line="360" w:lineRule="exact"/>
              <w:rPr>
                <w:rFonts w:ascii="仿宋" w:hAnsi="仿宋" w:eastAsia="仿宋"/>
                <w:sz w:val="24"/>
              </w:rPr>
            </w:pPr>
            <w:r>
              <w:rPr>
                <w:rFonts w:hint="eastAsia" w:ascii="仿宋" w:hAnsi="仿宋" w:eastAsia="仿宋"/>
                <w:sz w:val="24"/>
              </w:rPr>
              <w:t>姓名</w:t>
            </w:r>
          </w:p>
        </w:tc>
        <w:tc>
          <w:tcPr>
            <w:tcW w:w="1365" w:type="dxa"/>
          </w:tcPr>
          <w:p>
            <w:pPr>
              <w:snapToGrid w:val="0"/>
              <w:spacing w:after="120" w:line="360" w:lineRule="exact"/>
              <w:rPr>
                <w:rFonts w:ascii="仿宋" w:hAnsi="仿宋" w:eastAsia="仿宋"/>
                <w:sz w:val="24"/>
              </w:rPr>
            </w:pPr>
            <w:r>
              <w:rPr>
                <w:rFonts w:hint="eastAsia" w:ascii="仿宋" w:hAnsi="仿宋" w:eastAsia="仿宋"/>
                <w:sz w:val="24"/>
              </w:rPr>
              <w:t>性别</w:t>
            </w:r>
          </w:p>
        </w:tc>
        <w:tc>
          <w:tcPr>
            <w:tcW w:w="1695" w:type="dxa"/>
            <w:shd w:val="clear" w:color="auto" w:fill="auto"/>
          </w:tcPr>
          <w:p>
            <w:pPr>
              <w:snapToGrid w:val="0"/>
              <w:spacing w:after="120" w:line="360" w:lineRule="exact"/>
              <w:rPr>
                <w:rFonts w:ascii="仿宋" w:hAnsi="仿宋" w:eastAsia="仿宋"/>
                <w:sz w:val="24"/>
              </w:rPr>
            </w:pPr>
            <w:r>
              <w:rPr>
                <w:rFonts w:hint="eastAsia" w:ascii="仿宋" w:hAnsi="仿宋" w:eastAsia="仿宋"/>
                <w:sz w:val="24"/>
              </w:rPr>
              <w:t>本项目中职责</w:t>
            </w:r>
          </w:p>
        </w:tc>
        <w:tc>
          <w:tcPr>
            <w:tcW w:w="1740" w:type="dxa"/>
            <w:shd w:val="clear" w:color="auto" w:fill="auto"/>
          </w:tcPr>
          <w:p>
            <w:pPr>
              <w:snapToGrid w:val="0"/>
              <w:spacing w:after="120" w:line="360" w:lineRule="exact"/>
              <w:rPr>
                <w:rFonts w:ascii="仿宋" w:hAnsi="仿宋" w:eastAsia="仿宋"/>
                <w:sz w:val="24"/>
              </w:rPr>
            </w:pPr>
            <w:r>
              <w:rPr>
                <w:rFonts w:hint="eastAsia" w:ascii="仿宋" w:hAnsi="仿宋" w:eastAsia="仿宋"/>
                <w:sz w:val="24"/>
              </w:rPr>
              <w:t>执业资格</w:t>
            </w:r>
          </w:p>
        </w:tc>
        <w:tc>
          <w:tcPr>
            <w:tcW w:w="1786" w:type="dxa"/>
          </w:tcPr>
          <w:p>
            <w:pPr>
              <w:snapToGrid w:val="0"/>
              <w:spacing w:after="120" w:line="360" w:lineRule="exact"/>
              <w:rPr>
                <w:rFonts w:ascii="仿宋" w:hAnsi="仿宋" w:eastAsia="仿宋"/>
                <w:sz w:val="24"/>
              </w:rPr>
            </w:pPr>
            <w:r>
              <w:rPr>
                <w:rFonts w:hint="eastAsia" w:ascii="仿宋" w:hAnsi="仿宋" w:eastAsia="仿宋"/>
                <w:sz w:val="24"/>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p>
        </w:tc>
        <w:tc>
          <w:tcPr>
            <w:tcW w:w="1140" w:type="dxa"/>
          </w:tcPr>
          <w:p>
            <w:pPr>
              <w:snapToGrid w:val="0"/>
              <w:spacing w:after="120" w:line="360" w:lineRule="exact"/>
              <w:rPr>
                <w:rFonts w:ascii="仿宋" w:hAnsi="仿宋" w:eastAsia="仿宋"/>
                <w:sz w:val="24"/>
              </w:rPr>
            </w:pPr>
          </w:p>
        </w:tc>
        <w:tc>
          <w:tcPr>
            <w:tcW w:w="1365" w:type="dxa"/>
          </w:tcPr>
          <w:p>
            <w:pPr>
              <w:snapToGrid w:val="0"/>
              <w:spacing w:after="120" w:line="360" w:lineRule="exact"/>
              <w:rPr>
                <w:rFonts w:ascii="仿宋" w:hAnsi="仿宋" w:eastAsia="仿宋"/>
                <w:sz w:val="24"/>
              </w:rPr>
            </w:pPr>
          </w:p>
        </w:tc>
        <w:tc>
          <w:tcPr>
            <w:tcW w:w="1695" w:type="dxa"/>
          </w:tcPr>
          <w:p>
            <w:pPr>
              <w:snapToGrid w:val="0"/>
              <w:spacing w:after="120" w:line="360" w:lineRule="exact"/>
              <w:rPr>
                <w:rFonts w:ascii="仿宋" w:hAnsi="仿宋" w:eastAsia="仿宋"/>
                <w:sz w:val="24"/>
              </w:rPr>
            </w:pPr>
          </w:p>
        </w:tc>
        <w:tc>
          <w:tcPr>
            <w:tcW w:w="1740" w:type="dxa"/>
          </w:tcPr>
          <w:p>
            <w:pPr>
              <w:snapToGrid w:val="0"/>
              <w:spacing w:after="120" w:line="360" w:lineRule="exact"/>
              <w:rPr>
                <w:rFonts w:ascii="仿宋" w:hAnsi="仿宋" w:eastAsia="仿宋"/>
                <w:sz w:val="24"/>
              </w:rPr>
            </w:pPr>
          </w:p>
        </w:tc>
        <w:tc>
          <w:tcPr>
            <w:tcW w:w="1786" w:type="dxa"/>
          </w:tcPr>
          <w:p>
            <w:pPr>
              <w:snapToGrid w:val="0"/>
              <w:spacing w:after="120"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p>
        </w:tc>
        <w:tc>
          <w:tcPr>
            <w:tcW w:w="1140" w:type="dxa"/>
          </w:tcPr>
          <w:p>
            <w:pPr>
              <w:snapToGrid w:val="0"/>
              <w:spacing w:after="120" w:line="360" w:lineRule="exact"/>
              <w:rPr>
                <w:rFonts w:ascii="仿宋" w:hAnsi="仿宋" w:eastAsia="仿宋"/>
                <w:sz w:val="24"/>
              </w:rPr>
            </w:pPr>
          </w:p>
        </w:tc>
        <w:tc>
          <w:tcPr>
            <w:tcW w:w="1365" w:type="dxa"/>
          </w:tcPr>
          <w:p>
            <w:pPr>
              <w:snapToGrid w:val="0"/>
              <w:spacing w:after="120" w:line="360" w:lineRule="exact"/>
              <w:rPr>
                <w:rFonts w:ascii="仿宋" w:hAnsi="仿宋" w:eastAsia="仿宋"/>
                <w:sz w:val="24"/>
              </w:rPr>
            </w:pPr>
          </w:p>
        </w:tc>
        <w:tc>
          <w:tcPr>
            <w:tcW w:w="1695" w:type="dxa"/>
          </w:tcPr>
          <w:p>
            <w:pPr>
              <w:snapToGrid w:val="0"/>
              <w:spacing w:after="120" w:line="360" w:lineRule="exact"/>
              <w:rPr>
                <w:rFonts w:ascii="仿宋" w:hAnsi="仿宋" w:eastAsia="仿宋"/>
                <w:sz w:val="24"/>
              </w:rPr>
            </w:pPr>
          </w:p>
        </w:tc>
        <w:tc>
          <w:tcPr>
            <w:tcW w:w="1740" w:type="dxa"/>
          </w:tcPr>
          <w:p>
            <w:pPr>
              <w:snapToGrid w:val="0"/>
              <w:spacing w:after="120" w:line="360" w:lineRule="exact"/>
              <w:rPr>
                <w:rFonts w:ascii="仿宋" w:hAnsi="仿宋" w:eastAsia="仿宋"/>
                <w:sz w:val="24"/>
              </w:rPr>
            </w:pPr>
          </w:p>
        </w:tc>
        <w:tc>
          <w:tcPr>
            <w:tcW w:w="1786" w:type="dxa"/>
          </w:tcPr>
          <w:p>
            <w:pPr>
              <w:snapToGrid w:val="0"/>
              <w:spacing w:after="120"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p>
        </w:tc>
        <w:tc>
          <w:tcPr>
            <w:tcW w:w="1140" w:type="dxa"/>
          </w:tcPr>
          <w:p>
            <w:pPr>
              <w:snapToGrid w:val="0"/>
              <w:spacing w:after="120" w:line="360" w:lineRule="exact"/>
              <w:rPr>
                <w:rFonts w:ascii="仿宋" w:hAnsi="仿宋" w:eastAsia="仿宋"/>
                <w:sz w:val="24"/>
              </w:rPr>
            </w:pPr>
          </w:p>
        </w:tc>
        <w:tc>
          <w:tcPr>
            <w:tcW w:w="1365" w:type="dxa"/>
          </w:tcPr>
          <w:p>
            <w:pPr>
              <w:snapToGrid w:val="0"/>
              <w:spacing w:after="120" w:line="360" w:lineRule="exact"/>
              <w:rPr>
                <w:rFonts w:ascii="仿宋" w:hAnsi="仿宋" w:eastAsia="仿宋"/>
                <w:sz w:val="24"/>
              </w:rPr>
            </w:pPr>
          </w:p>
        </w:tc>
        <w:tc>
          <w:tcPr>
            <w:tcW w:w="1695" w:type="dxa"/>
          </w:tcPr>
          <w:p>
            <w:pPr>
              <w:snapToGrid w:val="0"/>
              <w:spacing w:after="120" w:line="360" w:lineRule="exact"/>
              <w:rPr>
                <w:rFonts w:ascii="仿宋" w:hAnsi="仿宋" w:eastAsia="仿宋"/>
                <w:sz w:val="24"/>
              </w:rPr>
            </w:pPr>
          </w:p>
        </w:tc>
        <w:tc>
          <w:tcPr>
            <w:tcW w:w="1740" w:type="dxa"/>
          </w:tcPr>
          <w:p>
            <w:pPr>
              <w:snapToGrid w:val="0"/>
              <w:spacing w:after="120" w:line="360" w:lineRule="exact"/>
              <w:rPr>
                <w:rFonts w:ascii="仿宋" w:hAnsi="仿宋" w:eastAsia="仿宋"/>
                <w:sz w:val="24"/>
              </w:rPr>
            </w:pPr>
          </w:p>
        </w:tc>
        <w:tc>
          <w:tcPr>
            <w:tcW w:w="1786" w:type="dxa"/>
          </w:tcPr>
          <w:p>
            <w:pPr>
              <w:snapToGrid w:val="0"/>
              <w:spacing w:after="120"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p>
        </w:tc>
        <w:tc>
          <w:tcPr>
            <w:tcW w:w="1140" w:type="dxa"/>
          </w:tcPr>
          <w:p>
            <w:pPr>
              <w:snapToGrid w:val="0"/>
              <w:spacing w:after="120" w:line="360" w:lineRule="exact"/>
              <w:rPr>
                <w:rFonts w:ascii="仿宋" w:hAnsi="仿宋" w:eastAsia="仿宋"/>
                <w:sz w:val="24"/>
              </w:rPr>
            </w:pPr>
          </w:p>
        </w:tc>
        <w:tc>
          <w:tcPr>
            <w:tcW w:w="1365" w:type="dxa"/>
          </w:tcPr>
          <w:p>
            <w:pPr>
              <w:snapToGrid w:val="0"/>
              <w:spacing w:after="120" w:line="360" w:lineRule="exact"/>
              <w:rPr>
                <w:rFonts w:ascii="仿宋" w:hAnsi="仿宋" w:eastAsia="仿宋"/>
                <w:sz w:val="24"/>
              </w:rPr>
            </w:pPr>
          </w:p>
        </w:tc>
        <w:tc>
          <w:tcPr>
            <w:tcW w:w="1695" w:type="dxa"/>
          </w:tcPr>
          <w:p>
            <w:pPr>
              <w:snapToGrid w:val="0"/>
              <w:spacing w:after="120" w:line="360" w:lineRule="exact"/>
              <w:rPr>
                <w:rFonts w:ascii="仿宋" w:hAnsi="仿宋" w:eastAsia="仿宋"/>
                <w:sz w:val="24"/>
              </w:rPr>
            </w:pPr>
          </w:p>
        </w:tc>
        <w:tc>
          <w:tcPr>
            <w:tcW w:w="1740" w:type="dxa"/>
          </w:tcPr>
          <w:p>
            <w:pPr>
              <w:snapToGrid w:val="0"/>
              <w:spacing w:after="120" w:line="360" w:lineRule="exact"/>
              <w:rPr>
                <w:rFonts w:ascii="仿宋" w:hAnsi="仿宋" w:eastAsia="仿宋"/>
                <w:sz w:val="24"/>
              </w:rPr>
            </w:pPr>
          </w:p>
        </w:tc>
        <w:tc>
          <w:tcPr>
            <w:tcW w:w="1786" w:type="dxa"/>
          </w:tcPr>
          <w:p>
            <w:pPr>
              <w:snapToGrid w:val="0"/>
              <w:spacing w:after="120" w:line="36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snapToGrid w:val="0"/>
              <w:spacing w:after="120" w:line="360" w:lineRule="exact"/>
              <w:rPr>
                <w:rFonts w:ascii="仿宋" w:hAnsi="仿宋" w:eastAsia="仿宋"/>
                <w:sz w:val="24"/>
              </w:rPr>
            </w:pPr>
          </w:p>
        </w:tc>
        <w:tc>
          <w:tcPr>
            <w:tcW w:w="1140" w:type="dxa"/>
          </w:tcPr>
          <w:p>
            <w:pPr>
              <w:snapToGrid w:val="0"/>
              <w:spacing w:after="120" w:line="360" w:lineRule="exact"/>
              <w:rPr>
                <w:rFonts w:ascii="仿宋" w:hAnsi="仿宋" w:eastAsia="仿宋"/>
                <w:sz w:val="24"/>
              </w:rPr>
            </w:pPr>
          </w:p>
        </w:tc>
        <w:tc>
          <w:tcPr>
            <w:tcW w:w="1365" w:type="dxa"/>
          </w:tcPr>
          <w:p>
            <w:pPr>
              <w:snapToGrid w:val="0"/>
              <w:spacing w:after="120" w:line="360" w:lineRule="exact"/>
              <w:rPr>
                <w:rFonts w:ascii="仿宋" w:hAnsi="仿宋" w:eastAsia="仿宋"/>
                <w:sz w:val="24"/>
              </w:rPr>
            </w:pPr>
          </w:p>
        </w:tc>
        <w:tc>
          <w:tcPr>
            <w:tcW w:w="1695" w:type="dxa"/>
          </w:tcPr>
          <w:p>
            <w:pPr>
              <w:snapToGrid w:val="0"/>
              <w:spacing w:after="120" w:line="360" w:lineRule="exact"/>
              <w:rPr>
                <w:rFonts w:ascii="仿宋" w:hAnsi="仿宋" w:eastAsia="仿宋"/>
                <w:sz w:val="24"/>
              </w:rPr>
            </w:pPr>
          </w:p>
        </w:tc>
        <w:tc>
          <w:tcPr>
            <w:tcW w:w="1740" w:type="dxa"/>
          </w:tcPr>
          <w:p>
            <w:pPr>
              <w:snapToGrid w:val="0"/>
              <w:spacing w:after="120" w:line="360" w:lineRule="exact"/>
              <w:rPr>
                <w:rFonts w:ascii="仿宋" w:hAnsi="仿宋" w:eastAsia="仿宋"/>
                <w:sz w:val="24"/>
              </w:rPr>
            </w:pPr>
          </w:p>
        </w:tc>
        <w:tc>
          <w:tcPr>
            <w:tcW w:w="1786" w:type="dxa"/>
          </w:tcPr>
          <w:p>
            <w:pPr>
              <w:snapToGrid w:val="0"/>
              <w:spacing w:after="120" w:line="360" w:lineRule="exact"/>
              <w:rPr>
                <w:rFonts w:ascii="仿宋" w:hAnsi="仿宋" w:eastAsia="仿宋"/>
                <w:sz w:val="24"/>
              </w:rPr>
            </w:pPr>
          </w:p>
        </w:tc>
      </w:tr>
    </w:tbl>
    <w:p>
      <w:pPr>
        <w:snapToGrid w:val="0"/>
        <w:spacing w:line="360" w:lineRule="exact"/>
        <w:ind w:firstLine="482" w:firstLineChars="200"/>
        <w:rPr>
          <w:rFonts w:ascii="仿宋" w:hAnsi="仿宋" w:eastAsia="仿宋"/>
          <w:b/>
          <w:sz w:val="24"/>
        </w:rPr>
      </w:pPr>
      <w:r>
        <w:rPr>
          <w:rFonts w:hint="eastAsia" w:ascii="仿宋" w:hAnsi="仿宋" w:eastAsia="仿宋"/>
          <w:b/>
          <w:sz w:val="24"/>
        </w:rPr>
        <w:t>1.2.1.3机械设备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36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tcPr>
          <w:p>
            <w:pPr>
              <w:spacing w:line="400" w:lineRule="exact"/>
              <w:rPr>
                <w:rFonts w:ascii="仿宋" w:hAnsi="仿宋" w:eastAsia="仿宋"/>
                <w:sz w:val="24"/>
              </w:rPr>
            </w:pPr>
            <w:r>
              <w:rPr>
                <w:rFonts w:hint="eastAsia" w:ascii="仿宋" w:hAnsi="仿宋" w:eastAsia="仿宋"/>
                <w:sz w:val="24"/>
              </w:rPr>
              <w:t>设备名称</w:t>
            </w:r>
          </w:p>
        </w:tc>
        <w:tc>
          <w:tcPr>
            <w:tcW w:w="1366" w:type="dxa"/>
            <w:noWrap/>
          </w:tcPr>
          <w:p>
            <w:pPr>
              <w:spacing w:line="400" w:lineRule="exact"/>
              <w:rPr>
                <w:rFonts w:ascii="仿宋" w:hAnsi="仿宋" w:eastAsia="仿宋"/>
                <w:sz w:val="24"/>
              </w:rPr>
            </w:pPr>
            <w:r>
              <w:rPr>
                <w:rFonts w:hint="eastAsia" w:ascii="仿宋" w:hAnsi="仿宋" w:eastAsia="仿宋"/>
                <w:sz w:val="24"/>
              </w:rPr>
              <w:t>数量</w:t>
            </w:r>
          </w:p>
        </w:tc>
        <w:tc>
          <w:tcPr>
            <w:tcW w:w="5040" w:type="dxa"/>
            <w:noWrap/>
          </w:tcPr>
          <w:p>
            <w:pPr>
              <w:spacing w:line="400" w:lineRule="exact"/>
              <w:rPr>
                <w:rFonts w:ascii="仿宋" w:hAnsi="仿宋" w:eastAsia="仿宋"/>
                <w:sz w:val="24"/>
              </w:rPr>
            </w:pPr>
            <w:r>
              <w:rPr>
                <w:rFonts w:hint="eastAsia" w:ascii="仿宋" w:hAnsi="仿宋" w:eastAsia="仿宋"/>
                <w:sz w:val="24"/>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tcPr>
          <w:p>
            <w:pPr>
              <w:spacing w:line="400" w:lineRule="exact"/>
              <w:rPr>
                <w:rFonts w:ascii="仿宋" w:hAnsi="仿宋" w:eastAsia="仿宋"/>
                <w:sz w:val="24"/>
              </w:rPr>
            </w:pPr>
          </w:p>
        </w:tc>
        <w:tc>
          <w:tcPr>
            <w:tcW w:w="1366" w:type="dxa"/>
            <w:noWrap/>
          </w:tcPr>
          <w:p>
            <w:pPr>
              <w:spacing w:line="400" w:lineRule="exact"/>
              <w:rPr>
                <w:rFonts w:ascii="仿宋" w:hAnsi="仿宋" w:eastAsia="仿宋"/>
                <w:sz w:val="24"/>
              </w:rPr>
            </w:pPr>
          </w:p>
        </w:tc>
        <w:tc>
          <w:tcPr>
            <w:tcW w:w="5040" w:type="dxa"/>
            <w:noWrap/>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tcPr>
          <w:p>
            <w:pPr>
              <w:spacing w:line="400" w:lineRule="exact"/>
              <w:rPr>
                <w:rFonts w:ascii="仿宋" w:hAnsi="仿宋" w:eastAsia="仿宋"/>
                <w:sz w:val="24"/>
              </w:rPr>
            </w:pPr>
          </w:p>
        </w:tc>
        <w:tc>
          <w:tcPr>
            <w:tcW w:w="1366" w:type="dxa"/>
            <w:noWrap/>
          </w:tcPr>
          <w:p>
            <w:pPr>
              <w:spacing w:line="400" w:lineRule="exact"/>
              <w:rPr>
                <w:rFonts w:ascii="仿宋" w:hAnsi="仿宋" w:eastAsia="仿宋"/>
                <w:sz w:val="24"/>
              </w:rPr>
            </w:pPr>
          </w:p>
        </w:tc>
        <w:tc>
          <w:tcPr>
            <w:tcW w:w="5040" w:type="dxa"/>
            <w:noWrap/>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tcPr>
          <w:p>
            <w:pPr>
              <w:spacing w:line="400" w:lineRule="exact"/>
              <w:rPr>
                <w:rFonts w:ascii="仿宋" w:hAnsi="仿宋" w:eastAsia="仿宋"/>
                <w:sz w:val="24"/>
              </w:rPr>
            </w:pPr>
          </w:p>
        </w:tc>
        <w:tc>
          <w:tcPr>
            <w:tcW w:w="1366" w:type="dxa"/>
            <w:noWrap/>
          </w:tcPr>
          <w:p>
            <w:pPr>
              <w:spacing w:line="400" w:lineRule="exact"/>
              <w:rPr>
                <w:rFonts w:ascii="仿宋" w:hAnsi="仿宋" w:eastAsia="仿宋"/>
                <w:sz w:val="24"/>
              </w:rPr>
            </w:pPr>
          </w:p>
        </w:tc>
        <w:tc>
          <w:tcPr>
            <w:tcW w:w="5040" w:type="dxa"/>
            <w:noWrap/>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tcPr>
          <w:p>
            <w:pPr>
              <w:spacing w:line="400" w:lineRule="exact"/>
              <w:rPr>
                <w:rFonts w:ascii="仿宋" w:hAnsi="仿宋" w:eastAsia="仿宋"/>
                <w:sz w:val="24"/>
              </w:rPr>
            </w:pPr>
            <w:r>
              <w:rPr>
                <w:rFonts w:hint="eastAsia" w:ascii="仿宋" w:hAnsi="仿宋" w:eastAsia="仿宋"/>
                <w:sz w:val="24"/>
              </w:rPr>
              <w:t>表格可自行增减</w:t>
            </w:r>
          </w:p>
        </w:tc>
        <w:tc>
          <w:tcPr>
            <w:tcW w:w="1366" w:type="dxa"/>
            <w:noWrap/>
          </w:tcPr>
          <w:p>
            <w:pPr>
              <w:spacing w:line="400" w:lineRule="exact"/>
              <w:rPr>
                <w:rFonts w:ascii="仿宋" w:hAnsi="仿宋" w:eastAsia="仿宋"/>
                <w:sz w:val="24"/>
              </w:rPr>
            </w:pPr>
          </w:p>
        </w:tc>
        <w:tc>
          <w:tcPr>
            <w:tcW w:w="5040" w:type="dxa"/>
            <w:noWrap/>
          </w:tcPr>
          <w:p>
            <w:pPr>
              <w:spacing w:line="400" w:lineRule="exact"/>
              <w:rPr>
                <w:rFonts w:ascii="仿宋" w:hAnsi="仿宋" w:eastAsia="仿宋"/>
                <w:sz w:val="24"/>
              </w:rPr>
            </w:pPr>
          </w:p>
        </w:tc>
      </w:tr>
    </w:tbl>
    <w:p>
      <w:pPr>
        <w:snapToGrid w:val="0"/>
        <w:spacing w:line="360" w:lineRule="exact"/>
        <w:ind w:firstLine="482" w:firstLineChars="200"/>
        <w:rPr>
          <w:rFonts w:ascii="仿宋" w:hAnsi="仿宋" w:eastAsia="仿宋"/>
          <w:b/>
          <w:sz w:val="24"/>
        </w:rPr>
      </w:pPr>
      <w:r>
        <w:rPr>
          <w:rFonts w:hint="eastAsia" w:ascii="仿宋" w:hAnsi="仿宋" w:eastAsia="仿宋"/>
          <w:b/>
          <w:sz w:val="24"/>
        </w:rPr>
        <w:t>1.2.1.4甲方代表</w:t>
      </w:r>
    </w:p>
    <w:p>
      <w:pPr>
        <w:snapToGrid w:val="0"/>
        <w:spacing w:line="360" w:lineRule="exact"/>
        <w:ind w:left="420" w:leftChars="200"/>
        <w:rPr>
          <w:rFonts w:ascii="仿宋" w:hAnsi="仿宋" w:eastAsia="仿宋"/>
          <w:b/>
          <w:sz w:val="24"/>
          <w:u w:val="single"/>
        </w:rPr>
      </w:pPr>
      <w:r>
        <w:rPr>
          <w:rFonts w:hint="eastAsia" w:ascii="仿宋" w:hAnsi="仿宋" w:eastAsia="仿宋"/>
          <w:b/>
          <w:sz w:val="24"/>
        </w:rPr>
        <w:t>本项目甲方代表：</w:t>
      </w:r>
      <w:r>
        <w:rPr>
          <w:rFonts w:hint="eastAsia" w:ascii="仿宋" w:hAnsi="仿宋" w:eastAsia="仿宋"/>
          <w:sz w:val="24"/>
          <w:u w:val="single"/>
        </w:rPr>
        <w:t>（身份证号：                       ）</w:t>
      </w:r>
    </w:p>
    <w:p>
      <w:pPr>
        <w:pStyle w:val="964"/>
        <w:spacing w:line="360" w:lineRule="exact"/>
        <w:rPr>
          <w:rFonts w:ascii="仿宋" w:hAnsi="仿宋" w:eastAsia="仿宋"/>
          <w:b/>
          <w:sz w:val="24"/>
        </w:rPr>
      </w:pPr>
      <w:r>
        <w:rPr>
          <w:rFonts w:hint="eastAsia" w:ascii="仿宋" w:hAnsi="仿宋" w:eastAsia="仿宋" w:cs="宋体"/>
          <w:spacing w:val="-4"/>
          <w:sz w:val="24"/>
          <w:szCs w:val="24"/>
        </w:rPr>
        <w:t>负责涉及本项目的管理以及合同履行过程中与甲方有关的具体事宜</w:t>
      </w:r>
      <w:r>
        <w:rPr>
          <w:rFonts w:hint="eastAsia" w:ascii="仿宋" w:hAnsi="仿宋" w:eastAsia="仿宋" w:cs="宋体"/>
          <w:spacing w:val="-2"/>
          <w:sz w:val="24"/>
          <w:szCs w:val="24"/>
        </w:rPr>
        <w:t>。</w:t>
      </w:r>
    </w:p>
    <w:p>
      <w:pPr>
        <w:spacing w:line="400" w:lineRule="exact"/>
        <w:ind w:firstLine="482" w:firstLineChars="200"/>
        <w:rPr>
          <w:rFonts w:ascii="仿宋" w:hAnsi="仿宋" w:eastAsia="仿宋"/>
          <w:b/>
          <w:sz w:val="24"/>
        </w:rPr>
      </w:pPr>
      <w:r>
        <w:rPr>
          <w:rFonts w:hint="eastAsia" w:ascii="仿宋" w:hAnsi="仿宋" w:eastAsia="仿宋"/>
          <w:b/>
          <w:sz w:val="24"/>
        </w:rPr>
        <w:t>1.3合同金额</w:t>
      </w:r>
    </w:p>
    <w:p>
      <w:pPr>
        <w:adjustRightInd/>
        <w:spacing w:line="560" w:lineRule="exact"/>
        <w:ind w:firstLine="480" w:firstLineChars="200"/>
        <w:rPr>
          <w:rFonts w:ascii="仿宋" w:hAnsi="仿宋" w:eastAsia="仿宋"/>
          <w:sz w:val="24"/>
        </w:rPr>
      </w:pPr>
      <w:r>
        <w:rPr>
          <w:rFonts w:hint="eastAsia" w:ascii="仿宋" w:hAnsi="仿宋" w:eastAsia="仿宋"/>
          <w:sz w:val="24"/>
        </w:rPr>
        <w:t>本合同金额为（大写）：</w:t>
      </w:r>
      <w:r>
        <w:rPr>
          <w:rFonts w:hint="eastAsia" w:ascii="仿宋" w:hAnsi="仿宋" w:eastAsia="仿宋"/>
          <w:sz w:val="24"/>
          <w:u w:val="single"/>
        </w:rPr>
        <w:t xml:space="preserve">     </w:t>
      </w:r>
      <w:r>
        <w:rPr>
          <w:rFonts w:hint="eastAsia" w:ascii="仿宋" w:hAnsi="仿宋" w:eastAsia="仿宋"/>
          <w:sz w:val="24"/>
        </w:rPr>
        <w:t>元（</w:t>
      </w:r>
      <w:r>
        <w:rPr>
          <w:rFonts w:hint="eastAsia" w:ascii="宋体" w:hAnsi="宋体" w:eastAsia="仿宋" w:cs="宋体"/>
          <w:sz w:val="24"/>
          <w:u w:val="single"/>
        </w:rPr>
        <w:t>¥</w:t>
      </w:r>
      <w:r>
        <w:rPr>
          <w:rFonts w:hint="eastAsia" w:ascii="仿宋" w:hAnsi="仿宋" w:eastAsia="仿宋" w:cs="仿宋"/>
          <w:sz w:val="24"/>
          <w:u w:val="single"/>
        </w:rPr>
        <w:t xml:space="preserve">      </w:t>
      </w:r>
      <w:r>
        <w:rPr>
          <w:rFonts w:hint="eastAsia" w:ascii="仿宋" w:hAnsi="仿宋" w:eastAsia="仿宋"/>
          <w:sz w:val="24"/>
        </w:rPr>
        <w:t>元）人民币。费用包括所有意外伤害保险和税金等全部费用，乙方不得以任何理由要求甲方支付任何其他费用。</w:t>
      </w:r>
    </w:p>
    <w:p>
      <w:pPr>
        <w:spacing w:line="560" w:lineRule="exact"/>
        <w:ind w:firstLine="482" w:firstLineChars="200"/>
        <w:outlineLvl w:val="0"/>
        <w:rPr>
          <w:rFonts w:ascii="仿宋" w:hAnsi="仿宋" w:eastAsia="仿宋"/>
          <w:b/>
          <w:sz w:val="24"/>
        </w:rPr>
      </w:pPr>
      <w:bookmarkStart w:id="609" w:name="_Toc95384902"/>
      <w:bookmarkStart w:id="610" w:name="_Toc95386508"/>
      <w:bookmarkStart w:id="611" w:name="_Toc95386625"/>
      <w:bookmarkStart w:id="612" w:name="_Toc95387061"/>
      <w:bookmarkStart w:id="613" w:name="_Toc96432498"/>
      <w:bookmarkStart w:id="614" w:name="_Toc96432580"/>
      <w:bookmarkStart w:id="615" w:name="_Toc96432824"/>
      <w:bookmarkStart w:id="616" w:name="_Toc102145368"/>
      <w:bookmarkStart w:id="617" w:name="_Toc102145432"/>
      <w:bookmarkStart w:id="618" w:name="_Toc102145567"/>
      <w:r>
        <w:rPr>
          <w:rFonts w:hint="eastAsia" w:ascii="仿宋" w:hAnsi="仿宋" w:eastAsia="仿宋"/>
          <w:b/>
          <w:sz w:val="24"/>
        </w:rPr>
        <w:t>1.4</w:t>
      </w:r>
      <w:r>
        <w:rPr>
          <w:rFonts w:ascii="仿宋" w:hAnsi="仿宋" w:eastAsia="仿宋"/>
          <w:b/>
          <w:sz w:val="24"/>
        </w:rPr>
        <w:t>技术资料</w:t>
      </w:r>
      <w:bookmarkEnd w:id="609"/>
      <w:bookmarkEnd w:id="610"/>
      <w:bookmarkEnd w:id="611"/>
      <w:bookmarkEnd w:id="612"/>
      <w:bookmarkEnd w:id="613"/>
      <w:bookmarkEnd w:id="614"/>
      <w:bookmarkEnd w:id="615"/>
      <w:bookmarkEnd w:id="616"/>
      <w:bookmarkEnd w:id="617"/>
      <w:bookmarkEnd w:id="618"/>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.4.1</w:t>
      </w:r>
      <w:r>
        <w:rPr>
          <w:rFonts w:ascii="仿宋" w:hAnsi="仿宋" w:eastAsia="仿宋"/>
          <w:sz w:val="24"/>
        </w:rPr>
        <w:t>乙方应按采购文件规定的时间向甲方提供有关技术资料。</w:t>
      </w:r>
    </w:p>
    <w:p>
      <w:pPr>
        <w:spacing w:line="560" w:lineRule="exact"/>
        <w:ind w:firstLine="482" w:firstLineChars="200"/>
        <w:outlineLvl w:val="0"/>
        <w:rPr>
          <w:rFonts w:ascii="仿宋" w:hAnsi="仿宋" w:eastAsia="仿宋"/>
          <w:b/>
          <w:sz w:val="24"/>
        </w:rPr>
      </w:pPr>
      <w:bookmarkStart w:id="619" w:name="_Toc95384903"/>
      <w:bookmarkStart w:id="620" w:name="_Toc95386509"/>
      <w:bookmarkStart w:id="621" w:name="_Toc95386626"/>
      <w:bookmarkStart w:id="622" w:name="_Toc95387062"/>
      <w:bookmarkStart w:id="623" w:name="_Toc96432499"/>
      <w:bookmarkStart w:id="624" w:name="_Toc96432581"/>
      <w:bookmarkStart w:id="625" w:name="_Toc96432825"/>
      <w:bookmarkStart w:id="626" w:name="_Toc102145369"/>
      <w:bookmarkStart w:id="627" w:name="_Toc102145433"/>
      <w:bookmarkStart w:id="628" w:name="_Toc102145568"/>
      <w:r>
        <w:rPr>
          <w:rFonts w:hint="eastAsia" w:ascii="仿宋" w:hAnsi="仿宋" w:eastAsia="仿宋"/>
          <w:b/>
          <w:sz w:val="24"/>
        </w:rPr>
        <w:t>1.5技术资料和保密义务</w:t>
      </w:r>
      <w:bookmarkEnd w:id="619"/>
      <w:bookmarkEnd w:id="620"/>
      <w:bookmarkEnd w:id="621"/>
      <w:bookmarkEnd w:id="622"/>
      <w:bookmarkEnd w:id="623"/>
      <w:bookmarkEnd w:id="624"/>
      <w:bookmarkEnd w:id="625"/>
      <w:bookmarkEnd w:id="626"/>
      <w:bookmarkEnd w:id="627"/>
      <w:bookmarkEnd w:id="628"/>
    </w:p>
    <w:p>
      <w:pPr>
        <w:spacing w:line="560" w:lineRule="exact"/>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629" w:name="_Toc95384904"/>
      <w:bookmarkStart w:id="630" w:name="_Toc95386510"/>
      <w:bookmarkStart w:id="631" w:name="_Toc95386627"/>
      <w:bookmarkStart w:id="632" w:name="_Toc95387063"/>
      <w:bookmarkStart w:id="633" w:name="_Toc96432500"/>
      <w:bookmarkStart w:id="634" w:name="_Toc96432582"/>
      <w:bookmarkStart w:id="635" w:name="_Toc96432826"/>
      <w:bookmarkStart w:id="636" w:name="_Toc102145370"/>
      <w:bookmarkStart w:id="637" w:name="_Toc102145434"/>
      <w:bookmarkStart w:id="638" w:name="_Toc102145569"/>
      <w:r>
        <w:rPr>
          <w:rFonts w:hint="eastAsia" w:ascii="仿宋" w:hAnsi="仿宋" w:eastAsia="仿宋"/>
          <w:b/>
          <w:sz w:val="24"/>
        </w:rPr>
        <w:t>1.6</w:t>
      </w:r>
      <w:r>
        <w:rPr>
          <w:rFonts w:ascii="仿宋" w:hAnsi="仿宋" w:eastAsia="仿宋"/>
          <w:b/>
          <w:sz w:val="24"/>
        </w:rPr>
        <w:t>知识产权</w:t>
      </w:r>
      <w:bookmarkEnd w:id="629"/>
      <w:bookmarkEnd w:id="630"/>
      <w:bookmarkEnd w:id="631"/>
      <w:bookmarkEnd w:id="632"/>
      <w:bookmarkEnd w:id="633"/>
      <w:bookmarkEnd w:id="634"/>
      <w:bookmarkEnd w:id="635"/>
      <w:bookmarkEnd w:id="636"/>
      <w:bookmarkEnd w:id="637"/>
      <w:bookmarkEnd w:id="638"/>
    </w:p>
    <w:p>
      <w:pPr>
        <w:spacing w:line="560" w:lineRule="exact"/>
        <w:ind w:firstLine="480" w:firstLineChars="200"/>
        <w:rPr>
          <w:rFonts w:ascii="仿宋" w:hAnsi="仿宋" w:eastAsia="仿宋"/>
          <w:sz w:val="24"/>
        </w:rPr>
      </w:pPr>
      <w:r>
        <w:rPr>
          <w:rFonts w:hint="eastAsia" w:ascii="仿宋" w:hAnsi="仿宋" w:eastAsia="仿宋"/>
          <w:sz w:val="24"/>
        </w:rPr>
        <w:t>1.6.1</w:t>
      </w:r>
      <w:r>
        <w:rPr>
          <w:rFonts w:ascii="仿宋" w:hAnsi="仿宋" w:eastAsia="仿宋"/>
          <w:sz w:val="24"/>
        </w:rPr>
        <w:t>乙方应保证</w:t>
      </w:r>
      <w:r>
        <w:rPr>
          <w:rFonts w:hint="eastAsia" w:ascii="仿宋" w:hAnsi="仿宋" w:eastAsia="仿宋"/>
          <w:sz w:val="24"/>
        </w:rPr>
        <w:t>服务过程中</w:t>
      </w:r>
      <w:r>
        <w:rPr>
          <w:rFonts w:ascii="仿宋" w:hAnsi="仿宋" w:eastAsia="仿宋"/>
          <w:sz w:val="24"/>
        </w:rPr>
        <w:t>不会侵犯任何第三方的知识产权。</w:t>
      </w:r>
    </w:p>
    <w:p>
      <w:pPr>
        <w:spacing w:line="560" w:lineRule="exact"/>
        <w:ind w:firstLine="482" w:firstLineChars="200"/>
        <w:outlineLvl w:val="0"/>
        <w:rPr>
          <w:rFonts w:ascii="仿宋" w:hAnsi="仿宋" w:eastAsia="仿宋"/>
          <w:b/>
          <w:sz w:val="24"/>
        </w:rPr>
      </w:pPr>
      <w:bookmarkStart w:id="639" w:name="_Toc95384905"/>
      <w:bookmarkStart w:id="640" w:name="_Toc95386511"/>
      <w:bookmarkStart w:id="641" w:name="_Toc95386628"/>
      <w:bookmarkStart w:id="642" w:name="_Toc95387064"/>
      <w:bookmarkStart w:id="643" w:name="_Toc96432501"/>
      <w:bookmarkStart w:id="644" w:name="_Toc96432583"/>
      <w:bookmarkStart w:id="645" w:name="_Toc96432827"/>
      <w:bookmarkStart w:id="646" w:name="_Toc102145371"/>
      <w:bookmarkStart w:id="647" w:name="_Toc102145435"/>
      <w:bookmarkStart w:id="648" w:name="_Toc102145570"/>
      <w:r>
        <w:rPr>
          <w:rFonts w:hint="eastAsia" w:ascii="仿宋" w:hAnsi="仿宋" w:eastAsia="仿宋"/>
          <w:b/>
          <w:sz w:val="24"/>
        </w:rPr>
        <w:t>1.7</w:t>
      </w:r>
      <w:r>
        <w:rPr>
          <w:rFonts w:ascii="仿宋" w:hAnsi="仿宋" w:eastAsia="仿宋"/>
          <w:b/>
          <w:sz w:val="24"/>
        </w:rPr>
        <w:t>履约保证金</w:t>
      </w:r>
      <w:bookmarkEnd w:id="639"/>
      <w:bookmarkEnd w:id="640"/>
      <w:bookmarkEnd w:id="641"/>
      <w:bookmarkEnd w:id="642"/>
      <w:bookmarkEnd w:id="643"/>
      <w:bookmarkEnd w:id="644"/>
      <w:bookmarkEnd w:id="645"/>
      <w:bookmarkEnd w:id="646"/>
      <w:bookmarkEnd w:id="647"/>
      <w:bookmarkEnd w:id="648"/>
    </w:p>
    <w:p>
      <w:pPr>
        <w:spacing w:line="560" w:lineRule="exact"/>
        <w:ind w:firstLine="480" w:firstLineChars="200"/>
        <w:rPr>
          <w:rFonts w:ascii="仿宋" w:hAnsi="仿宋" w:eastAsia="仿宋"/>
          <w:sz w:val="24"/>
        </w:rPr>
      </w:pPr>
      <w:bookmarkStart w:id="649" w:name="_Toc95384906"/>
      <w:bookmarkStart w:id="650" w:name="_Toc95386512"/>
      <w:bookmarkStart w:id="651" w:name="_Toc95386629"/>
      <w:bookmarkStart w:id="652" w:name="_Toc95387065"/>
      <w:bookmarkStart w:id="653" w:name="_Toc96432502"/>
      <w:bookmarkStart w:id="654" w:name="_Toc96432584"/>
      <w:bookmarkStart w:id="655" w:name="_Toc96432828"/>
      <w:r>
        <w:rPr>
          <w:rFonts w:hint="eastAsia" w:ascii="仿宋" w:hAnsi="仿宋" w:eastAsia="仿宋"/>
          <w:sz w:val="24"/>
        </w:rPr>
        <w:t>乙方通过电汇、转账、银行或保险公司出具履约保函或保险向采购人交纳中标金额1%的履约保证金，本项目在服务期质量保证期满无任何质量问题后退还（不计息）。</w:t>
      </w:r>
      <w:r>
        <w:rPr>
          <w:rFonts w:ascii="仿宋" w:hAnsi="仿宋" w:eastAsia="仿宋"/>
          <w:sz w:val="24"/>
        </w:rPr>
        <w:t>服务质量保证期</w:t>
      </w:r>
      <w:r>
        <w:rPr>
          <w:rFonts w:hint="eastAsia" w:ascii="仿宋" w:hAnsi="仿宋" w:eastAsia="仿宋"/>
          <w:sz w:val="24"/>
        </w:rPr>
        <w:t>六个月</w:t>
      </w:r>
      <w:r>
        <w:rPr>
          <w:rFonts w:ascii="仿宋" w:hAnsi="仿宋" w:eastAsia="仿宋"/>
          <w:sz w:val="24"/>
        </w:rPr>
        <w:t>。（自</w:t>
      </w:r>
      <w:r>
        <w:rPr>
          <w:rFonts w:hint="eastAsia" w:ascii="仿宋" w:hAnsi="仿宋" w:eastAsia="仿宋"/>
          <w:sz w:val="24"/>
        </w:rPr>
        <w:t>合同验收合格</w:t>
      </w:r>
      <w:r>
        <w:rPr>
          <w:rFonts w:ascii="仿宋" w:hAnsi="仿宋" w:eastAsia="仿宋"/>
          <w:sz w:val="24"/>
        </w:rPr>
        <w:t>之日起计）</w:t>
      </w:r>
    </w:p>
    <w:p>
      <w:pPr>
        <w:spacing w:line="560" w:lineRule="exact"/>
        <w:ind w:firstLine="482" w:firstLineChars="200"/>
        <w:outlineLvl w:val="0"/>
        <w:rPr>
          <w:rFonts w:ascii="仿宋" w:hAnsi="仿宋" w:eastAsia="仿宋"/>
          <w:b/>
          <w:sz w:val="24"/>
        </w:rPr>
      </w:pPr>
      <w:r>
        <w:rPr>
          <w:rFonts w:hint="eastAsia" w:ascii="仿宋" w:hAnsi="仿宋" w:eastAsia="仿宋"/>
          <w:b/>
          <w:sz w:val="24"/>
        </w:rPr>
        <w:t xml:space="preserve"> </w:t>
      </w:r>
      <w:bookmarkStart w:id="656" w:name="_Toc102145372"/>
      <w:bookmarkStart w:id="657" w:name="_Toc102145436"/>
      <w:bookmarkStart w:id="658" w:name="_Toc102145571"/>
      <w:r>
        <w:rPr>
          <w:rFonts w:hint="eastAsia" w:ascii="仿宋" w:hAnsi="仿宋" w:eastAsia="仿宋"/>
          <w:b/>
          <w:sz w:val="24"/>
        </w:rPr>
        <w:t>1.8转包或分包</w:t>
      </w:r>
      <w:bookmarkEnd w:id="649"/>
      <w:bookmarkEnd w:id="650"/>
      <w:bookmarkEnd w:id="651"/>
      <w:bookmarkEnd w:id="652"/>
      <w:bookmarkEnd w:id="653"/>
      <w:bookmarkEnd w:id="654"/>
      <w:bookmarkEnd w:id="655"/>
      <w:bookmarkEnd w:id="656"/>
      <w:bookmarkEnd w:id="657"/>
      <w:bookmarkEnd w:id="658"/>
    </w:p>
    <w:p>
      <w:pPr>
        <w:widowControl/>
        <w:spacing w:line="360" w:lineRule="exact"/>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.8.1本合同范围的服务，应由</w:t>
      </w:r>
      <w:r>
        <w:rPr>
          <w:rFonts w:ascii="仿宋" w:hAnsi="仿宋" w:eastAsia="仿宋"/>
          <w:sz w:val="24"/>
        </w:rPr>
        <w:t>乙</w:t>
      </w:r>
      <w:r>
        <w:rPr>
          <w:rFonts w:hint="eastAsia" w:ascii="仿宋" w:hAnsi="仿宋" w:eastAsia="仿宋"/>
          <w:sz w:val="24"/>
        </w:rPr>
        <w:t>方直接供应，不得转让他人供应；</w:t>
      </w:r>
    </w:p>
    <w:p>
      <w:pPr>
        <w:widowControl/>
        <w:spacing w:line="360" w:lineRule="exact"/>
        <w:ind w:firstLine="480" w:firstLineChars="200"/>
        <w:jc w:val="left"/>
        <w:rPr>
          <w:rFonts w:ascii="仿宋" w:hAnsi="仿宋" w:eastAsia="仿宋"/>
          <w:sz w:val="24"/>
        </w:rPr>
      </w:pPr>
      <w:r>
        <w:rPr>
          <w:rFonts w:hint="eastAsia" w:ascii="仿宋" w:hAnsi="仿宋" w:eastAsia="仿宋"/>
          <w:sz w:val="24"/>
        </w:rPr>
        <w:t>1.8.2除非得到</w:t>
      </w:r>
      <w:r>
        <w:rPr>
          <w:rFonts w:ascii="仿宋" w:hAnsi="仿宋" w:eastAsia="仿宋"/>
          <w:sz w:val="24"/>
        </w:rPr>
        <w:t>甲</w:t>
      </w:r>
      <w:r>
        <w:rPr>
          <w:rFonts w:hint="eastAsia" w:ascii="仿宋" w:hAnsi="仿宋" w:eastAsia="仿宋"/>
          <w:sz w:val="24"/>
        </w:rPr>
        <w:t>方的书面同意，</w:t>
      </w:r>
      <w:r>
        <w:rPr>
          <w:rFonts w:ascii="仿宋" w:hAnsi="仿宋" w:eastAsia="仿宋"/>
          <w:sz w:val="24"/>
        </w:rPr>
        <w:t>乙</w:t>
      </w:r>
      <w:r>
        <w:rPr>
          <w:rFonts w:hint="eastAsia" w:ascii="仿宋" w:hAnsi="仿宋" w:eastAsia="仿宋"/>
          <w:sz w:val="24"/>
        </w:rPr>
        <w:t>方不得将本合同范围的服务全部或部分分包给他人供应；</w:t>
      </w:r>
    </w:p>
    <w:p>
      <w:pPr>
        <w:widowControl/>
        <w:spacing w:line="360" w:lineRule="exact"/>
        <w:ind w:firstLine="480" w:firstLineChars="200"/>
        <w:jc w:val="left"/>
        <w:rPr>
          <w:rFonts w:ascii="仿宋" w:hAnsi="仿宋" w:eastAsia="仿宋"/>
          <w:sz w:val="24"/>
        </w:rPr>
      </w:pPr>
      <w:r>
        <w:rPr>
          <w:rFonts w:hint="eastAsia" w:ascii="仿宋" w:hAnsi="仿宋" w:eastAsia="仿宋"/>
          <w:sz w:val="24"/>
        </w:rPr>
        <w:t>1.8.</w:t>
      </w:r>
      <w:r>
        <w:rPr>
          <w:rFonts w:ascii="仿宋" w:hAnsi="仿宋" w:eastAsia="仿宋"/>
          <w:sz w:val="24"/>
        </w:rPr>
        <w:t>3</w:t>
      </w:r>
      <w:r>
        <w:rPr>
          <w:rFonts w:hint="eastAsia" w:ascii="仿宋" w:hAnsi="仿宋" w:eastAsia="仿宋"/>
          <w:sz w:val="24"/>
        </w:rPr>
        <w:t>如有转让和未经</w:t>
      </w:r>
      <w:r>
        <w:rPr>
          <w:rFonts w:ascii="仿宋" w:hAnsi="仿宋" w:eastAsia="仿宋"/>
          <w:sz w:val="24"/>
        </w:rPr>
        <w:t>甲</w:t>
      </w:r>
      <w:r>
        <w:rPr>
          <w:rFonts w:hint="eastAsia" w:ascii="仿宋" w:hAnsi="仿宋" w:eastAsia="仿宋"/>
          <w:sz w:val="24"/>
        </w:rPr>
        <w:t>方同意的分包行为，</w:t>
      </w:r>
      <w:r>
        <w:rPr>
          <w:rFonts w:ascii="仿宋" w:hAnsi="仿宋" w:eastAsia="仿宋"/>
          <w:sz w:val="24"/>
        </w:rPr>
        <w:t>甲</w:t>
      </w:r>
      <w:r>
        <w:rPr>
          <w:rFonts w:hint="eastAsia" w:ascii="仿宋" w:hAnsi="仿宋" w:eastAsia="仿宋"/>
          <w:sz w:val="24"/>
        </w:rPr>
        <w:t>方有权解除合同，没收履约保证金并追究乙方的违约责任。</w:t>
      </w:r>
    </w:p>
    <w:p>
      <w:pPr>
        <w:spacing w:line="560" w:lineRule="exact"/>
        <w:ind w:firstLine="482" w:firstLineChars="200"/>
        <w:outlineLvl w:val="0"/>
        <w:rPr>
          <w:rFonts w:ascii="仿宋" w:hAnsi="仿宋" w:eastAsia="仿宋"/>
          <w:b/>
          <w:sz w:val="24"/>
        </w:rPr>
      </w:pPr>
      <w:bookmarkStart w:id="659" w:name="_Toc95384907"/>
      <w:bookmarkStart w:id="660" w:name="_Toc95386513"/>
      <w:bookmarkStart w:id="661" w:name="_Toc95386630"/>
      <w:bookmarkStart w:id="662" w:name="_Toc95387066"/>
      <w:bookmarkStart w:id="663" w:name="_Toc96432503"/>
      <w:bookmarkStart w:id="664" w:name="_Toc96432585"/>
      <w:bookmarkStart w:id="665" w:name="_Toc96432829"/>
      <w:bookmarkStart w:id="666" w:name="_Toc102145373"/>
      <w:bookmarkStart w:id="667" w:name="_Toc102145437"/>
      <w:bookmarkStart w:id="668" w:name="_Toc102145572"/>
      <w:r>
        <w:rPr>
          <w:rFonts w:hint="eastAsia" w:ascii="仿宋" w:hAnsi="仿宋" w:eastAsia="仿宋"/>
          <w:b/>
          <w:sz w:val="24"/>
        </w:rPr>
        <w:t>1.9服务质量保证期</w:t>
      </w:r>
      <w:bookmarkEnd w:id="659"/>
      <w:bookmarkEnd w:id="660"/>
      <w:bookmarkEnd w:id="661"/>
      <w:bookmarkEnd w:id="662"/>
      <w:bookmarkEnd w:id="663"/>
      <w:bookmarkEnd w:id="664"/>
      <w:bookmarkEnd w:id="665"/>
      <w:bookmarkEnd w:id="666"/>
      <w:bookmarkEnd w:id="667"/>
      <w:bookmarkEnd w:id="668"/>
    </w:p>
    <w:p>
      <w:pPr>
        <w:widowControl/>
        <w:spacing w:line="360" w:lineRule="exact"/>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.9.1</w:t>
      </w:r>
      <w:r>
        <w:rPr>
          <w:rFonts w:ascii="仿宋" w:hAnsi="仿宋" w:eastAsia="仿宋"/>
          <w:sz w:val="24"/>
        </w:rPr>
        <w:t>服务质量保证期</w:t>
      </w:r>
      <w:r>
        <w:rPr>
          <w:rFonts w:hint="eastAsia" w:ascii="仿宋" w:hAnsi="仿宋" w:eastAsia="仿宋"/>
          <w:sz w:val="24"/>
        </w:rPr>
        <w:t>六个月</w:t>
      </w:r>
      <w:r>
        <w:rPr>
          <w:rFonts w:ascii="仿宋" w:hAnsi="仿宋" w:eastAsia="仿宋"/>
          <w:sz w:val="24"/>
        </w:rPr>
        <w:t>。（自</w:t>
      </w:r>
      <w:r>
        <w:rPr>
          <w:rFonts w:hint="eastAsia" w:ascii="仿宋" w:hAnsi="仿宋" w:eastAsia="仿宋"/>
          <w:sz w:val="24"/>
        </w:rPr>
        <w:t>合同验收合格</w:t>
      </w:r>
      <w:r>
        <w:rPr>
          <w:rFonts w:ascii="仿宋" w:hAnsi="仿宋" w:eastAsia="仿宋"/>
          <w:sz w:val="24"/>
        </w:rPr>
        <w:t>之日起计）</w:t>
      </w:r>
    </w:p>
    <w:p>
      <w:pPr>
        <w:spacing w:line="560" w:lineRule="exact"/>
        <w:ind w:firstLine="482" w:firstLineChars="200"/>
        <w:outlineLvl w:val="0"/>
        <w:rPr>
          <w:rFonts w:ascii="仿宋" w:hAnsi="仿宋" w:eastAsia="仿宋"/>
          <w:b/>
          <w:sz w:val="24"/>
        </w:rPr>
      </w:pPr>
      <w:bookmarkStart w:id="669" w:name="_Toc95384908"/>
      <w:bookmarkStart w:id="670" w:name="_Toc95386514"/>
      <w:bookmarkStart w:id="671" w:name="_Toc95386631"/>
      <w:bookmarkStart w:id="672" w:name="_Toc95387067"/>
      <w:bookmarkStart w:id="673" w:name="_Toc96432504"/>
      <w:bookmarkStart w:id="674" w:name="_Toc96432586"/>
      <w:bookmarkStart w:id="675" w:name="_Toc96432830"/>
      <w:bookmarkStart w:id="676" w:name="_Toc102145374"/>
      <w:bookmarkStart w:id="677" w:name="_Toc102145438"/>
      <w:bookmarkStart w:id="678" w:name="_Toc102145573"/>
      <w:r>
        <w:rPr>
          <w:rFonts w:hint="eastAsia" w:ascii="仿宋" w:hAnsi="仿宋" w:eastAsia="仿宋"/>
          <w:b/>
          <w:sz w:val="24"/>
        </w:rPr>
        <w:t>1.10合同履行时间、履行方式及履行地点</w:t>
      </w:r>
      <w:bookmarkEnd w:id="669"/>
      <w:bookmarkEnd w:id="670"/>
      <w:bookmarkEnd w:id="671"/>
      <w:bookmarkEnd w:id="672"/>
      <w:bookmarkEnd w:id="673"/>
      <w:bookmarkEnd w:id="674"/>
      <w:bookmarkEnd w:id="675"/>
      <w:bookmarkEnd w:id="676"/>
      <w:bookmarkEnd w:id="677"/>
      <w:bookmarkEnd w:id="678"/>
    </w:p>
    <w:p>
      <w:pPr>
        <w:pStyle w:val="317"/>
        <w:widowControl/>
        <w:tabs>
          <w:tab w:val="left" w:pos="360"/>
          <w:tab w:val="left" w:pos="900"/>
          <w:tab w:val="left" w:pos="1080"/>
        </w:tabs>
        <w:snapToGrid w:val="0"/>
        <w:spacing w:line="380" w:lineRule="exact"/>
        <w:ind w:left="480"/>
        <w:jc w:val="left"/>
        <w:rPr>
          <w:rFonts w:ascii="仿宋" w:hAnsi="仿宋" w:eastAsia="仿宋"/>
          <w:sz w:val="24"/>
          <w:szCs w:val="24"/>
        </w:rPr>
      </w:pPr>
      <w:r>
        <w:rPr>
          <w:rFonts w:hint="eastAsia" w:ascii="仿宋" w:hAnsi="仿宋" w:eastAsia="仿宋"/>
          <w:sz w:val="24"/>
          <w:szCs w:val="24"/>
        </w:rPr>
        <w:t>1.10.1</w:t>
      </w:r>
      <w:r>
        <w:rPr>
          <w:rFonts w:ascii="仿宋" w:hAnsi="仿宋" w:eastAsia="仿宋"/>
          <w:sz w:val="24"/>
          <w:szCs w:val="24"/>
        </w:rPr>
        <w:t>履行时间：</w:t>
      </w:r>
      <w:r>
        <w:rPr>
          <w:rFonts w:hint="eastAsia" w:ascii="仿宋" w:hAnsi="仿宋" w:eastAsia="仿宋"/>
          <w:sz w:val="24"/>
          <w:szCs w:val="24"/>
          <w:u w:val="single"/>
        </w:rPr>
        <w:t xml:space="preserve">        </w:t>
      </w:r>
      <w:r>
        <w:rPr>
          <w:rFonts w:hint="eastAsia" w:ascii="仿宋" w:hAnsi="仿宋" w:eastAsia="仿宋"/>
          <w:sz w:val="24"/>
          <w:szCs w:val="24"/>
        </w:rPr>
        <w:t>。</w:t>
      </w:r>
    </w:p>
    <w:p>
      <w:pPr>
        <w:pStyle w:val="317"/>
        <w:widowControl/>
        <w:tabs>
          <w:tab w:val="left" w:pos="360"/>
          <w:tab w:val="left" w:pos="900"/>
          <w:tab w:val="left" w:pos="1080"/>
        </w:tabs>
        <w:snapToGrid w:val="0"/>
        <w:spacing w:line="380" w:lineRule="exact"/>
        <w:ind w:left="480"/>
        <w:jc w:val="left"/>
        <w:rPr>
          <w:rFonts w:ascii="仿宋" w:hAnsi="仿宋" w:eastAsia="仿宋"/>
          <w:sz w:val="24"/>
          <w:szCs w:val="24"/>
        </w:rPr>
      </w:pPr>
      <w:r>
        <w:rPr>
          <w:rFonts w:hint="eastAsia" w:ascii="仿宋" w:hAnsi="仿宋" w:eastAsia="仿宋"/>
          <w:sz w:val="24"/>
          <w:szCs w:val="24"/>
        </w:rPr>
        <w:t>1.10.2</w:t>
      </w:r>
      <w:r>
        <w:rPr>
          <w:rFonts w:ascii="仿宋" w:hAnsi="仿宋" w:eastAsia="仿宋"/>
          <w:sz w:val="24"/>
          <w:szCs w:val="24"/>
        </w:rPr>
        <w:t>履行方式</w:t>
      </w:r>
      <w:r>
        <w:rPr>
          <w:rFonts w:hint="eastAsia" w:ascii="仿宋" w:hAnsi="仿宋" w:eastAsia="仿宋"/>
          <w:sz w:val="24"/>
          <w:szCs w:val="24"/>
        </w:rPr>
        <w:t>：直接服务</w:t>
      </w:r>
    </w:p>
    <w:p>
      <w:pPr>
        <w:pStyle w:val="317"/>
        <w:tabs>
          <w:tab w:val="left" w:pos="360"/>
        </w:tabs>
        <w:snapToGrid w:val="0"/>
        <w:spacing w:line="380" w:lineRule="exact"/>
        <w:ind w:left="480"/>
        <w:rPr>
          <w:rFonts w:ascii="仿宋" w:hAnsi="仿宋" w:eastAsia="仿宋"/>
          <w:sz w:val="24"/>
          <w:szCs w:val="24"/>
        </w:rPr>
      </w:pPr>
      <w:r>
        <w:rPr>
          <w:rFonts w:hint="eastAsia" w:ascii="仿宋" w:hAnsi="仿宋" w:eastAsia="仿宋"/>
          <w:sz w:val="24"/>
          <w:szCs w:val="24"/>
        </w:rPr>
        <w:t>1.10.3</w:t>
      </w:r>
      <w:r>
        <w:rPr>
          <w:rFonts w:ascii="仿宋" w:hAnsi="仿宋" w:eastAsia="仿宋"/>
          <w:sz w:val="24"/>
          <w:szCs w:val="24"/>
        </w:rPr>
        <w:t>履行地点：</w:t>
      </w:r>
      <w:r>
        <w:rPr>
          <w:rFonts w:hint="eastAsia" w:ascii="仿宋" w:hAnsi="仿宋" w:eastAsia="仿宋"/>
          <w:sz w:val="24"/>
          <w:szCs w:val="24"/>
        </w:rPr>
        <w:t>按采购单位的要求。</w:t>
      </w:r>
    </w:p>
    <w:p>
      <w:pPr>
        <w:spacing w:line="560" w:lineRule="exact"/>
        <w:ind w:firstLine="482" w:firstLineChars="200"/>
        <w:outlineLvl w:val="0"/>
        <w:rPr>
          <w:rFonts w:ascii="仿宋" w:hAnsi="仿宋" w:eastAsia="仿宋"/>
          <w:b/>
          <w:sz w:val="24"/>
        </w:rPr>
      </w:pPr>
      <w:bookmarkStart w:id="679" w:name="_Toc95384909"/>
      <w:bookmarkStart w:id="680" w:name="_Toc95386515"/>
      <w:bookmarkStart w:id="681" w:name="_Toc95386632"/>
      <w:bookmarkStart w:id="682" w:name="_Toc95387068"/>
      <w:bookmarkStart w:id="683" w:name="_Toc96432505"/>
      <w:bookmarkStart w:id="684" w:name="_Toc96432587"/>
      <w:bookmarkStart w:id="685" w:name="_Toc96432831"/>
      <w:bookmarkStart w:id="686" w:name="_Toc102145375"/>
      <w:bookmarkStart w:id="687" w:name="_Toc102145439"/>
      <w:bookmarkStart w:id="688" w:name="_Toc102145574"/>
      <w:r>
        <w:rPr>
          <w:rFonts w:hint="eastAsia" w:ascii="仿宋" w:hAnsi="仿宋" w:eastAsia="仿宋"/>
          <w:b/>
          <w:sz w:val="24"/>
        </w:rPr>
        <w:t>1.11款项支付</w:t>
      </w:r>
      <w:bookmarkEnd w:id="679"/>
      <w:bookmarkEnd w:id="680"/>
      <w:bookmarkEnd w:id="681"/>
      <w:bookmarkEnd w:id="682"/>
      <w:bookmarkEnd w:id="683"/>
      <w:bookmarkEnd w:id="684"/>
      <w:bookmarkEnd w:id="685"/>
      <w:bookmarkEnd w:id="686"/>
      <w:bookmarkEnd w:id="687"/>
      <w:bookmarkEnd w:id="688"/>
    </w:p>
    <w:p>
      <w:pPr>
        <w:snapToGrid w:val="0"/>
        <w:spacing w:line="360" w:lineRule="exact"/>
        <w:ind w:firstLine="540" w:firstLineChars="225"/>
        <w:rPr>
          <w:rFonts w:ascii="仿宋" w:hAnsi="仿宋" w:eastAsia="仿宋"/>
          <w:sz w:val="24"/>
        </w:rPr>
      </w:pPr>
      <w:bookmarkStart w:id="689" w:name="_Toc95384910"/>
      <w:bookmarkStart w:id="690" w:name="_Toc95386516"/>
      <w:bookmarkStart w:id="691" w:name="_Toc95386633"/>
      <w:bookmarkStart w:id="692" w:name="_Toc95387069"/>
      <w:bookmarkStart w:id="693" w:name="_Toc96432506"/>
      <w:bookmarkStart w:id="694" w:name="_Toc96432588"/>
      <w:bookmarkStart w:id="695" w:name="_Toc96432832"/>
      <w:r>
        <w:rPr>
          <w:rFonts w:hint="eastAsia" w:ascii="仿宋" w:hAnsi="仿宋" w:eastAsia="仿宋"/>
          <w:sz w:val="24"/>
        </w:rPr>
        <w:t>1.11.1全年养护经费按照绿地养护考核分数结合督办单按月核拨，乙方必须凭正式发票核拨养护经费，相关劳务费税金由乙方承担。</w:t>
      </w:r>
    </w:p>
    <w:p>
      <w:pPr>
        <w:snapToGrid w:val="0"/>
        <w:spacing w:line="360" w:lineRule="exact"/>
        <w:ind w:firstLine="540" w:firstLineChars="225"/>
        <w:rPr>
          <w:rFonts w:ascii="仿宋" w:hAnsi="仿宋" w:eastAsia="仿宋"/>
          <w:sz w:val="24"/>
        </w:rPr>
      </w:pPr>
      <w:r>
        <w:rPr>
          <w:rFonts w:hint="eastAsia" w:ascii="仿宋" w:hAnsi="仿宋" w:eastAsia="仿宋"/>
          <w:sz w:val="24"/>
        </w:rPr>
        <w:t>1.11.2由考核验收结果、甲方发放督办单等引起的经济扣罚累计费用直接在当月养护费中扣除。</w:t>
      </w:r>
    </w:p>
    <w:p>
      <w:pPr>
        <w:snapToGrid w:val="0"/>
        <w:spacing w:line="360" w:lineRule="exact"/>
        <w:ind w:firstLine="540" w:firstLineChars="225"/>
        <w:rPr>
          <w:rFonts w:ascii="仿宋" w:hAnsi="仿宋" w:eastAsia="仿宋"/>
          <w:sz w:val="24"/>
        </w:rPr>
      </w:pPr>
      <w:r>
        <w:rPr>
          <w:rFonts w:hint="eastAsia" w:ascii="仿宋" w:hAnsi="仿宋" w:eastAsia="仿宋"/>
          <w:sz w:val="24"/>
        </w:rPr>
        <w:t>1.11.3由绿地占用（经审批）引起的养护面积减少在次月核拨的养护经费中扣除。</w:t>
      </w:r>
    </w:p>
    <w:p>
      <w:pPr>
        <w:snapToGrid w:val="0"/>
        <w:spacing w:line="360" w:lineRule="exact"/>
        <w:ind w:firstLine="540" w:firstLineChars="225"/>
        <w:rPr>
          <w:rFonts w:ascii="仿宋" w:hAnsi="仿宋" w:eastAsia="仿宋"/>
          <w:sz w:val="24"/>
        </w:rPr>
      </w:pPr>
      <w:r>
        <w:rPr>
          <w:rFonts w:hint="eastAsia" w:ascii="仿宋" w:hAnsi="仿宋" w:eastAsia="仿宋"/>
          <w:sz w:val="24"/>
        </w:rPr>
        <w:t>1.11.4新接管的绿地养护引起的养护面积增加在次月核拨的养护经费中核增。</w:t>
      </w:r>
    </w:p>
    <w:p>
      <w:pPr>
        <w:snapToGrid w:val="0"/>
        <w:spacing w:line="360" w:lineRule="exact"/>
        <w:ind w:firstLine="540" w:firstLineChars="225"/>
        <w:rPr>
          <w:rFonts w:ascii="仿宋" w:hAnsi="仿宋" w:eastAsia="仿宋"/>
          <w:sz w:val="24"/>
        </w:rPr>
      </w:pPr>
      <w:r>
        <w:rPr>
          <w:rFonts w:hint="eastAsia" w:ascii="仿宋" w:hAnsi="仿宋" w:eastAsia="仿宋"/>
          <w:sz w:val="24"/>
        </w:rPr>
        <w:t>1.11.5提升改造费用在结算审核完成后在服务期满后一次性付清。</w:t>
      </w:r>
    </w:p>
    <w:p>
      <w:pPr>
        <w:pStyle w:val="317"/>
        <w:snapToGrid w:val="0"/>
        <w:spacing w:line="380" w:lineRule="exact"/>
        <w:ind w:firstLine="482" w:firstLineChars="200"/>
        <w:rPr>
          <w:rFonts w:ascii="仿宋" w:hAnsi="仿宋" w:eastAsia="仿宋"/>
          <w:b/>
          <w:sz w:val="24"/>
        </w:rPr>
      </w:pPr>
      <w:r>
        <w:rPr>
          <w:rFonts w:hint="eastAsia" w:ascii="仿宋" w:hAnsi="仿宋" w:eastAsia="仿宋"/>
          <w:b/>
          <w:sz w:val="24"/>
        </w:rPr>
        <w:t>1.12税费</w:t>
      </w:r>
      <w:bookmarkEnd w:id="689"/>
      <w:bookmarkEnd w:id="690"/>
      <w:bookmarkEnd w:id="691"/>
      <w:bookmarkEnd w:id="692"/>
      <w:bookmarkEnd w:id="693"/>
      <w:bookmarkEnd w:id="694"/>
      <w:bookmarkEnd w:id="695"/>
    </w:p>
    <w:p>
      <w:pPr>
        <w:pStyle w:val="317"/>
        <w:widowControl/>
        <w:tabs>
          <w:tab w:val="left" w:pos="360"/>
          <w:tab w:val="left" w:pos="900"/>
          <w:tab w:val="left" w:pos="1080"/>
        </w:tabs>
        <w:snapToGrid w:val="0"/>
        <w:spacing w:line="380" w:lineRule="exact"/>
        <w:ind w:left="480"/>
        <w:jc w:val="left"/>
        <w:rPr>
          <w:rFonts w:ascii="仿宋" w:hAnsi="仿宋" w:eastAsia="仿宋"/>
          <w:sz w:val="24"/>
          <w:szCs w:val="24"/>
        </w:rPr>
      </w:pPr>
      <w:r>
        <w:rPr>
          <w:rFonts w:hint="eastAsia" w:ascii="仿宋" w:hAnsi="仿宋" w:eastAsia="仿宋"/>
          <w:sz w:val="24"/>
          <w:szCs w:val="24"/>
        </w:rPr>
        <w:t>1.12.1本合同执行中产生的相关一切税费均由乙方负担。</w:t>
      </w:r>
    </w:p>
    <w:p>
      <w:pPr>
        <w:spacing w:line="560" w:lineRule="exact"/>
        <w:ind w:firstLine="482" w:firstLineChars="200"/>
        <w:outlineLvl w:val="0"/>
        <w:rPr>
          <w:rFonts w:ascii="仿宋" w:hAnsi="仿宋" w:eastAsia="仿宋"/>
          <w:b/>
          <w:sz w:val="24"/>
        </w:rPr>
      </w:pPr>
      <w:bookmarkStart w:id="696" w:name="_Toc95384911"/>
      <w:bookmarkStart w:id="697" w:name="_Toc95386517"/>
      <w:bookmarkStart w:id="698" w:name="_Toc95386634"/>
      <w:bookmarkStart w:id="699" w:name="_Toc95387070"/>
      <w:bookmarkStart w:id="700" w:name="_Toc96432507"/>
      <w:bookmarkStart w:id="701" w:name="_Toc96432589"/>
      <w:bookmarkStart w:id="702" w:name="_Toc96432833"/>
      <w:bookmarkStart w:id="703" w:name="_Toc102145376"/>
      <w:bookmarkStart w:id="704" w:name="_Toc102145440"/>
      <w:bookmarkStart w:id="705" w:name="_Toc102145575"/>
      <w:r>
        <w:rPr>
          <w:rFonts w:hint="eastAsia" w:ascii="仿宋" w:hAnsi="仿宋" w:eastAsia="仿宋"/>
          <w:b/>
          <w:sz w:val="24"/>
        </w:rPr>
        <w:t>1.13质量保证及后续服务</w:t>
      </w:r>
      <w:bookmarkEnd w:id="696"/>
      <w:bookmarkEnd w:id="697"/>
      <w:bookmarkEnd w:id="698"/>
      <w:bookmarkEnd w:id="699"/>
      <w:bookmarkEnd w:id="700"/>
      <w:bookmarkEnd w:id="701"/>
      <w:bookmarkEnd w:id="702"/>
      <w:bookmarkEnd w:id="703"/>
      <w:bookmarkEnd w:id="704"/>
      <w:bookmarkEnd w:id="705"/>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1.13.1乙方应按采购文件规定向甲方提供服务。</w:t>
      </w:r>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1.13.2乙方提供的服务成果在服务质量保证期内发生故障，乙方应负责免费提供后续服务。对达不到要求者，根据实际情况，双方协商处理。</w:t>
      </w:r>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1.13.3如在使用过程中发生问题，乙方在接到甲方通知后在24小时内到达现场处理。</w:t>
      </w:r>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1.13.4在服务质量保证期内，乙方应对出现的质量及安全问题负责处理解决并承担一切费用。</w:t>
      </w:r>
    </w:p>
    <w:p>
      <w:pPr>
        <w:pStyle w:val="317"/>
        <w:snapToGrid w:val="0"/>
        <w:spacing w:line="380" w:lineRule="exact"/>
        <w:ind w:firstLine="480" w:firstLineChars="200"/>
        <w:rPr>
          <w:rFonts w:ascii="仿宋" w:hAnsi="仿宋" w:eastAsia="仿宋"/>
          <w:sz w:val="24"/>
          <w:szCs w:val="24"/>
        </w:rPr>
      </w:pPr>
      <w:bookmarkStart w:id="706" w:name="_Toc95384912"/>
      <w:bookmarkStart w:id="707" w:name="_Toc95386518"/>
      <w:bookmarkStart w:id="708" w:name="_Toc95386635"/>
      <w:bookmarkStart w:id="709" w:name="_Toc95387071"/>
      <w:bookmarkStart w:id="710" w:name="_Toc96432508"/>
      <w:bookmarkStart w:id="711" w:name="_Toc96432590"/>
      <w:bookmarkStart w:id="712" w:name="_Toc96432834"/>
      <w:bookmarkStart w:id="713" w:name="_Toc102145377"/>
      <w:bookmarkStart w:id="714" w:name="_Toc102145441"/>
      <w:bookmarkStart w:id="715" w:name="_Toc102145576"/>
      <w:r>
        <w:rPr>
          <w:rFonts w:hint="eastAsia" w:ascii="仿宋" w:hAnsi="仿宋" w:eastAsia="仿宋"/>
          <w:sz w:val="24"/>
          <w:szCs w:val="24"/>
        </w:rPr>
        <w:t>1.13.5工期方面：做好养护进度计划，按时完成养护计划安排与业主方的交办事件，如在养护管理过程中发生应急问题，乙方在接到甲方通知后应在24小时内到达甲方现场，特殊情况除外，无法按照规定时间达到甲方现场的，将以抄告单的方式扣除一定的养护费。</w:t>
      </w:r>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 xml:space="preserve"> 1.13.6、安全文明方面：做到安全生产、文明施工，并履行甲方的安全生产、文明施工的考核措施。若由于乙方原因发生人身伤亡、财产损失及其他一切事故，均由乙方承担一切责任及费用，并给予乙方相应的违约处罚。未按规范及规定做好安全生产,造成重伤、死亡等安全事故的，除按规定承担安全等所有责任外，并全额扣除履约保证金；未按规范做好文明施工造成不良社会影响的，并扣除50%履约保证金。</w:t>
      </w:r>
    </w:p>
    <w:p>
      <w:pPr>
        <w:snapToGrid w:val="0"/>
        <w:spacing w:line="360" w:lineRule="exact"/>
        <w:ind w:firstLine="542" w:firstLineChars="225"/>
        <w:rPr>
          <w:rFonts w:ascii="仿宋" w:hAnsi="仿宋" w:eastAsia="仿宋"/>
          <w:b/>
          <w:sz w:val="24"/>
        </w:rPr>
      </w:pPr>
      <w:r>
        <w:rPr>
          <w:rFonts w:hint="eastAsia" w:ascii="仿宋" w:hAnsi="仿宋" w:eastAsia="仿宋"/>
          <w:b/>
          <w:sz w:val="24"/>
        </w:rPr>
        <w:t>1.14 双方职责</w:t>
      </w:r>
    </w:p>
    <w:p>
      <w:pPr>
        <w:snapToGrid w:val="0"/>
        <w:spacing w:line="360" w:lineRule="exact"/>
        <w:ind w:firstLine="540" w:firstLineChars="225"/>
        <w:rPr>
          <w:rFonts w:ascii="仿宋" w:hAnsi="仿宋" w:eastAsia="仿宋"/>
          <w:sz w:val="24"/>
        </w:rPr>
      </w:pPr>
      <w:r>
        <w:rPr>
          <w:rFonts w:hint="eastAsia" w:ascii="仿宋" w:hAnsi="仿宋" w:eastAsia="仿宋"/>
          <w:sz w:val="24"/>
        </w:rPr>
        <w:t>1.14.1甲方职责</w:t>
      </w:r>
    </w:p>
    <w:p>
      <w:pPr>
        <w:snapToGrid w:val="0"/>
        <w:spacing w:line="360" w:lineRule="exact"/>
        <w:ind w:firstLine="540" w:firstLineChars="225"/>
        <w:rPr>
          <w:rFonts w:ascii="仿宋" w:hAnsi="仿宋" w:eastAsia="仿宋"/>
          <w:sz w:val="24"/>
        </w:rPr>
      </w:pPr>
      <w:r>
        <w:rPr>
          <w:rFonts w:hint="eastAsia" w:ascii="仿宋" w:hAnsi="仿宋" w:eastAsia="仿宋"/>
          <w:sz w:val="24"/>
        </w:rPr>
        <w:t>1.14.1.1提供给乙方本合同所述养护相关养护设施量；</w:t>
      </w:r>
    </w:p>
    <w:p>
      <w:pPr>
        <w:snapToGrid w:val="0"/>
        <w:spacing w:line="360" w:lineRule="exact"/>
        <w:ind w:firstLine="540" w:firstLineChars="225"/>
        <w:rPr>
          <w:rFonts w:ascii="仿宋" w:hAnsi="仿宋" w:eastAsia="仿宋"/>
          <w:sz w:val="24"/>
        </w:rPr>
      </w:pPr>
      <w:r>
        <w:rPr>
          <w:rFonts w:hint="eastAsia" w:ascii="仿宋" w:hAnsi="仿宋" w:eastAsia="仿宋"/>
          <w:sz w:val="24"/>
        </w:rPr>
        <w:t xml:space="preserve">1.14.1.2对乙方养护管理项目进行监督和考核检查； </w:t>
      </w:r>
    </w:p>
    <w:p>
      <w:pPr>
        <w:snapToGrid w:val="0"/>
        <w:spacing w:line="360" w:lineRule="exact"/>
        <w:ind w:firstLine="540" w:firstLineChars="225"/>
        <w:rPr>
          <w:rFonts w:ascii="仿宋" w:hAnsi="仿宋" w:eastAsia="仿宋"/>
          <w:sz w:val="24"/>
        </w:rPr>
      </w:pPr>
      <w:r>
        <w:rPr>
          <w:rFonts w:hint="eastAsia" w:ascii="仿宋" w:hAnsi="仿宋" w:eastAsia="仿宋"/>
          <w:sz w:val="24"/>
        </w:rPr>
        <w:t>1.14.1.3按规定核拨给乙方养护经费；</w:t>
      </w:r>
    </w:p>
    <w:p>
      <w:pPr>
        <w:snapToGrid w:val="0"/>
        <w:spacing w:line="360" w:lineRule="exact"/>
        <w:ind w:firstLine="540" w:firstLineChars="225"/>
        <w:rPr>
          <w:rFonts w:ascii="仿宋" w:hAnsi="仿宋" w:eastAsia="仿宋"/>
          <w:sz w:val="24"/>
        </w:rPr>
      </w:pPr>
      <w:r>
        <w:rPr>
          <w:rFonts w:hint="eastAsia" w:ascii="仿宋" w:hAnsi="仿宋" w:eastAsia="仿宋"/>
          <w:sz w:val="24"/>
        </w:rPr>
        <w:t>1.14.1.4合同期限届满，对本合同养护项目设施量进行清点和监管。</w:t>
      </w:r>
    </w:p>
    <w:p>
      <w:pPr>
        <w:snapToGrid w:val="0"/>
        <w:spacing w:line="360" w:lineRule="exact"/>
        <w:ind w:firstLine="540" w:firstLineChars="225"/>
        <w:rPr>
          <w:rFonts w:ascii="仿宋" w:hAnsi="仿宋" w:eastAsia="仿宋"/>
          <w:sz w:val="24"/>
        </w:rPr>
      </w:pPr>
      <w:r>
        <w:rPr>
          <w:rFonts w:hint="eastAsia" w:ascii="仿宋" w:hAnsi="仿宋" w:eastAsia="仿宋"/>
          <w:sz w:val="24"/>
        </w:rPr>
        <w:t>1.14.2乙方职责</w:t>
      </w:r>
    </w:p>
    <w:p>
      <w:pPr>
        <w:spacing w:line="400" w:lineRule="exact"/>
        <w:ind w:firstLine="540" w:firstLineChars="225"/>
        <w:rPr>
          <w:rFonts w:ascii="仿宋" w:hAnsi="仿宋" w:eastAsia="仿宋"/>
          <w:sz w:val="24"/>
        </w:rPr>
      </w:pPr>
      <w:r>
        <w:rPr>
          <w:rFonts w:hint="eastAsia" w:ascii="仿宋" w:hAnsi="仿宋" w:eastAsia="仿宋"/>
          <w:sz w:val="24"/>
        </w:rPr>
        <w:t>1.14.2.1必须严格按合同条款、本次招投标要求、绿地养护质量标准及相关规定，精心组织养护，确保绿地养护质量，承担设施、人员安全和公共安全责任。</w:t>
      </w:r>
    </w:p>
    <w:p>
      <w:pPr>
        <w:spacing w:line="400" w:lineRule="exact"/>
        <w:ind w:firstLine="540" w:firstLineChars="225"/>
        <w:rPr>
          <w:rFonts w:ascii="仿宋" w:hAnsi="仿宋" w:eastAsia="仿宋"/>
          <w:sz w:val="24"/>
        </w:rPr>
      </w:pPr>
      <w:r>
        <w:rPr>
          <w:rFonts w:hint="eastAsia" w:ascii="仿宋" w:hAnsi="仿宋" w:eastAsia="仿宋"/>
          <w:sz w:val="24"/>
        </w:rPr>
        <w:t>1.14.2.2严格履行投标书中优惠承诺、投标书及询标答复有关承诺。</w:t>
      </w:r>
    </w:p>
    <w:p>
      <w:pPr>
        <w:spacing w:line="400" w:lineRule="exact"/>
        <w:ind w:firstLine="540" w:firstLineChars="225"/>
        <w:rPr>
          <w:rFonts w:ascii="仿宋" w:hAnsi="仿宋" w:eastAsia="仿宋"/>
          <w:sz w:val="24"/>
        </w:rPr>
      </w:pPr>
      <w:r>
        <w:rPr>
          <w:rFonts w:hint="eastAsia" w:ascii="仿宋" w:hAnsi="仿宋" w:eastAsia="仿宋"/>
          <w:sz w:val="24"/>
        </w:rPr>
        <w:t>1.14.2.3养护作业人员及数量的投入、机械设备的投入必须与投标时作出的承诺相一致。</w:t>
      </w:r>
    </w:p>
    <w:p>
      <w:pPr>
        <w:spacing w:line="400" w:lineRule="exact"/>
        <w:ind w:firstLine="542" w:firstLineChars="225"/>
        <w:rPr>
          <w:rFonts w:ascii="仿宋" w:hAnsi="仿宋" w:eastAsia="仿宋"/>
          <w:sz w:val="24"/>
        </w:rPr>
      </w:pPr>
      <w:r>
        <w:rPr>
          <w:rFonts w:hint="eastAsia" w:ascii="仿宋" w:hAnsi="仿宋" w:eastAsia="仿宋"/>
          <w:b/>
          <w:sz w:val="24"/>
        </w:rPr>
        <w:t>1.14.2.4乙方保证每个标项每天至少</w:t>
      </w:r>
      <w:r>
        <w:rPr>
          <w:rFonts w:hint="eastAsia" w:ascii="仿宋" w:hAnsi="仿宋" w:eastAsia="仿宋"/>
          <w:b/>
          <w:sz w:val="24"/>
          <w:u w:val="single"/>
        </w:rPr>
        <w:t xml:space="preserve">   </w:t>
      </w:r>
      <w:r>
        <w:rPr>
          <w:rFonts w:hint="eastAsia" w:ascii="仿宋" w:hAnsi="仿宋" w:eastAsia="仿宋"/>
          <w:b/>
          <w:sz w:val="24"/>
        </w:rPr>
        <w:t>个，且必须配备不少于1名项目负责人、1人的现场管理人员。组建一支5人以上的应急小组报甲方备案，保证养护质量，且所有员工均提供与本公司的聘用合同或社保部门出具的养老保险金并报甲方备案。如有新增的绿地养护区块，则</w:t>
      </w:r>
      <w:r>
        <w:rPr>
          <w:rFonts w:hint="eastAsia" w:ascii="仿宋" w:hAnsi="仿宋" w:eastAsia="仿宋"/>
          <w:sz w:val="24"/>
        </w:rPr>
        <w:t>必须同比例增加相应的人员，且新增员工提供与本公司的聘用合同或社保部门出具的三险</w:t>
      </w:r>
      <w:r>
        <w:rPr>
          <w:rFonts w:hint="eastAsia" w:ascii="仿宋" w:hAnsi="仿宋" w:eastAsia="仿宋"/>
          <w:b/>
          <w:sz w:val="24"/>
        </w:rPr>
        <w:t>和</w:t>
      </w:r>
      <w:r>
        <w:rPr>
          <w:rFonts w:hint="eastAsia" w:ascii="仿宋" w:hAnsi="仿宋" w:eastAsia="仿宋" w:cs="宋体"/>
          <w:b/>
          <w:bCs/>
          <w:sz w:val="24"/>
        </w:rPr>
        <w:t>建筑施工行业</w:t>
      </w:r>
      <w:r>
        <w:rPr>
          <w:rFonts w:hint="eastAsia" w:ascii="仿宋" w:hAnsi="仿宋" w:eastAsia="仿宋"/>
          <w:sz w:val="24"/>
        </w:rPr>
        <w:t>安全生产责任保险并报甲方备案。</w:t>
      </w:r>
    </w:p>
    <w:p>
      <w:pPr>
        <w:snapToGrid w:val="0"/>
        <w:spacing w:line="360" w:lineRule="exact"/>
        <w:ind w:firstLine="540" w:firstLineChars="225"/>
        <w:rPr>
          <w:rFonts w:ascii="仿宋" w:hAnsi="仿宋" w:eastAsia="仿宋"/>
          <w:sz w:val="24"/>
        </w:rPr>
      </w:pPr>
      <w:r>
        <w:rPr>
          <w:rFonts w:hint="eastAsia" w:ascii="仿宋" w:hAnsi="仿宋" w:eastAsia="仿宋"/>
          <w:sz w:val="24"/>
        </w:rPr>
        <w:t>1.14.2.5对本合同养护项目实施养护管理所需的一切劳动力、材料（农药、肥料、养护不当造成的苗木补植、城市绿化浇灌用水、公园广场景观用水等所有园林用水事项）、设备和服务由乙方自行组织，由此产生的一切费用由乙方承担。</w:t>
      </w:r>
    </w:p>
    <w:p>
      <w:pPr>
        <w:spacing w:line="400" w:lineRule="exact"/>
        <w:ind w:firstLine="540" w:firstLineChars="225"/>
        <w:rPr>
          <w:rFonts w:ascii="仿宋" w:hAnsi="仿宋" w:eastAsia="仿宋"/>
          <w:sz w:val="24"/>
        </w:rPr>
      </w:pPr>
      <w:r>
        <w:rPr>
          <w:rFonts w:hint="eastAsia" w:ascii="仿宋" w:hAnsi="仿宋" w:eastAsia="仿宋"/>
          <w:sz w:val="24"/>
        </w:rPr>
        <w:t>1.14.2.6、对本合同养护项目实施养护管理所需的养护管理房由乙方自行解决。</w:t>
      </w:r>
    </w:p>
    <w:p>
      <w:pPr>
        <w:spacing w:line="400" w:lineRule="exact"/>
        <w:ind w:firstLine="540" w:firstLineChars="225"/>
        <w:rPr>
          <w:rFonts w:ascii="仿宋" w:hAnsi="仿宋" w:eastAsia="仿宋"/>
          <w:sz w:val="24"/>
        </w:rPr>
      </w:pPr>
      <w:r>
        <w:rPr>
          <w:rFonts w:hint="eastAsia" w:ascii="仿宋" w:hAnsi="仿宋" w:eastAsia="仿宋"/>
          <w:sz w:val="24"/>
        </w:rPr>
        <w:t>1.14.2.7制定全年及每月绿地养管工作计划，包括绿地的各类养管措施（如施肥、修剪、病虫害防治等）、质量安全保证、应急管理（抗旱、防汛、抗台、抗寒、抗雪等）、重点技术措施等，全年计划在当年的1月分上报甲方，月度计划于每月20日之前上报甲方。</w:t>
      </w:r>
    </w:p>
    <w:p>
      <w:pPr>
        <w:tabs>
          <w:tab w:val="left" w:pos="540"/>
        </w:tabs>
        <w:spacing w:line="400" w:lineRule="exact"/>
        <w:ind w:firstLine="480" w:firstLineChars="200"/>
        <w:rPr>
          <w:rFonts w:ascii="仿宋" w:hAnsi="仿宋" w:eastAsia="仿宋"/>
          <w:sz w:val="24"/>
        </w:rPr>
      </w:pPr>
      <w:r>
        <w:rPr>
          <w:rFonts w:hint="eastAsia" w:ascii="仿宋" w:hAnsi="仿宋" w:eastAsia="仿宋"/>
          <w:sz w:val="24"/>
        </w:rPr>
        <w:t>1.14.2.8安排养护管理力量，制定劳动力计划表，做好突击性工作的应急安排等，落实专职养护人员名单，养护管理责任人名单。</w:t>
      </w:r>
    </w:p>
    <w:p>
      <w:pPr>
        <w:snapToGrid w:val="0"/>
        <w:spacing w:line="360" w:lineRule="exact"/>
        <w:ind w:firstLine="540" w:firstLineChars="225"/>
        <w:rPr>
          <w:rFonts w:ascii="仿宋" w:hAnsi="仿宋" w:eastAsia="仿宋"/>
          <w:sz w:val="24"/>
        </w:rPr>
      </w:pPr>
      <w:r>
        <w:rPr>
          <w:rFonts w:hint="eastAsia" w:ascii="仿宋" w:hAnsi="仿宋" w:eastAsia="仿宋"/>
          <w:sz w:val="24"/>
        </w:rPr>
        <w:t>1.14.2.9乙方必须重视安全工作，工作时着反光背心、戴安全帽等，设置国家标准安全警示牌。确保养护期内不出安全责任事故。如发生安全责任事故，由乙方承担一切责任及损失。</w:t>
      </w:r>
    </w:p>
    <w:p>
      <w:pPr>
        <w:snapToGrid w:val="0"/>
        <w:spacing w:line="360" w:lineRule="exact"/>
        <w:ind w:firstLine="540" w:firstLineChars="225"/>
        <w:rPr>
          <w:rFonts w:ascii="仿宋" w:hAnsi="仿宋" w:eastAsia="仿宋"/>
          <w:sz w:val="24"/>
        </w:rPr>
      </w:pPr>
      <w:r>
        <w:rPr>
          <w:rFonts w:hint="eastAsia" w:ascii="仿宋" w:hAnsi="仿宋" w:eastAsia="仿宋"/>
          <w:sz w:val="24"/>
        </w:rPr>
        <w:t>1.14.2.10确保在各类考核中不失责任分。</w:t>
      </w:r>
    </w:p>
    <w:p>
      <w:pPr>
        <w:snapToGrid w:val="0"/>
        <w:spacing w:line="360" w:lineRule="exact"/>
        <w:ind w:firstLine="540" w:firstLineChars="225"/>
        <w:rPr>
          <w:rFonts w:ascii="仿宋" w:hAnsi="仿宋" w:eastAsia="仿宋"/>
          <w:b/>
          <w:color w:val="C00000"/>
          <w:sz w:val="24"/>
        </w:rPr>
      </w:pPr>
      <w:r>
        <w:rPr>
          <w:rFonts w:hint="eastAsia" w:ascii="仿宋" w:hAnsi="仿宋" w:eastAsia="仿宋"/>
          <w:sz w:val="24"/>
        </w:rPr>
        <w:t>1.14.2.11养护费用保证专款专用。首先保证养护人员或管理人员工资，如出现拖欠养护人员或管理人员工资经甲方核实，每次扣10分；出现拖欠养护人员或管理人员工资经甲方核实，不及时整改，造成养护人员或管理人员闹事、上访，造成恶劣影响，将全额扣除履约保证金并按有关文件进行处罚，同时由甲方代付养护人员或管理人员工资(从下期工程款中扣回)。</w:t>
      </w:r>
    </w:p>
    <w:p>
      <w:pPr>
        <w:snapToGrid w:val="0"/>
        <w:spacing w:line="360" w:lineRule="exact"/>
        <w:ind w:firstLine="542" w:firstLineChars="225"/>
        <w:rPr>
          <w:rFonts w:ascii="仿宋" w:hAnsi="仿宋" w:eastAsia="仿宋"/>
          <w:b/>
          <w:sz w:val="24"/>
        </w:rPr>
      </w:pPr>
      <w:r>
        <w:rPr>
          <w:rFonts w:hint="eastAsia" w:ascii="仿宋" w:hAnsi="仿宋" w:eastAsia="仿宋"/>
          <w:b/>
          <w:sz w:val="24"/>
        </w:rPr>
        <w:t>1.15绿地养护管理要点</w:t>
      </w:r>
    </w:p>
    <w:p>
      <w:pPr>
        <w:snapToGrid w:val="0"/>
        <w:spacing w:line="360" w:lineRule="exact"/>
        <w:ind w:firstLine="540" w:firstLineChars="225"/>
        <w:rPr>
          <w:rFonts w:ascii="仿宋" w:hAnsi="仿宋" w:eastAsia="仿宋"/>
          <w:sz w:val="24"/>
        </w:rPr>
      </w:pPr>
      <w:r>
        <w:rPr>
          <w:rFonts w:hint="eastAsia" w:ascii="仿宋" w:hAnsi="仿宋" w:eastAsia="仿宋"/>
          <w:sz w:val="24"/>
        </w:rPr>
        <w:t>1.15.1建立日常巡查制度，巡查人员对所管辖的绿地每天巡查一次，发现问题及时整改。建立养护管理工作台帐，做好养护工作日报、月报、年报，健全养护档案制度。</w:t>
      </w:r>
    </w:p>
    <w:p>
      <w:pPr>
        <w:snapToGrid w:val="0"/>
        <w:spacing w:line="360" w:lineRule="exact"/>
        <w:ind w:firstLine="540" w:firstLineChars="225"/>
        <w:rPr>
          <w:rFonts w:ascii="仿宋" w:hAnsi="仿宋" w:eastAsia="仿宋"/>
          <w:sz w:val="24"/>
        </w:rPr>
      </w:pPr>
      <w:r>
        <w:rPr>
          <w:rFonts w:hint="eastAsia" w:ascii="仿宋" w:hAnsi="仿宋" w:eastAsia="仿宋"/>
          <w:sz w:val="24"/>
        </w:rPr>
        <w:t>每个片区按招标文件要求配备巡逻人员及相关人员，并备案，定人定点定岗，岗位要求为专项负责各个养护片区的巡逻工作，及时发现并安排处理各个养护问题，负责与业主的巡查人员沟通，处理各项相关事宜，若未设置专项巡逻人员的，或巡逻人员工作不到位的作缺勤处理。每缺一天扣100元(不足一天的按一天计)。扣款金额直接从当期合同款中扣除。</w:t>
      </w:r>
    </w:p>
    <w:p>
      <w:pPr>
        <w:snapToGrid w:val="0"/>
        <w:spacing w:line="360" w:lineRule="exact"/>
        <w:ind w:firstLine="540" w:firstLineChars="225"/>
        <w:rPr>
          <w:rFonts w:ascii="仿宋" w:hAnsi="仿宋" w:eastAsia="仿宋"/>
          <w:sz w:val="24"/>
        </w:rPr>
      </w:pPr>
      <w:r>
        <w:rPr>
          <w:rFonts w:hint="eastAsia" w:ascii="仿宋" w:hAnsi="仿宋" w:eastAsia="仿宋"/>
          <w:sz w:val="24"/>
        </w:rPr>
        <w:t>1.15.2养护质量要求达到江山市公共绿地养护标准，考核办法及考核要求按江山市绿化养护考核评分标准（附件一）执行（</w:t>
      </w:r>
      <w:r>
        <w:rPr>
          <w:rFonts w:hint="eastAsia" w:ascii="仿宋" w:hAnsi="仿宋" w:eastAsia="仿宋" w:cs="宋体"/>
          <w:sz w:val="24"/>
        </w:rPr>
        <w:t>如履行过程中有新的文件产生将按照新文件执行）</w:t>
      </w:r>
      <w:r>
        <w:rPr>
          <w:rFonts w:hint="eastAsia" w:ascii="仿宋" w:hAnsi="仿宋" w:eastAsia="仿宋"/>
          <w:sz w:val="24"/>
        </w:rPr>
        <w:t>，并履行甲方的质量考核措施做到：</w:t>
      </w:r>
    </w:p>
    <w:p>
      <w:pPr>
        <w:spacing w:line="400" w:lineRule="exact"/>
        <w:ind w:firstLine="480" w:firstLineChars="200"/>
        <w:rPr>
          <w:rFonts w:ascii="仿宋" w:hAnsi="仿宋" w:eastAsia="仿宋"/>
          <w:sz w:val="24"/>
        </w:rPr>
      </w:pPr>
      <w:r>
        <w:rPr>
          <w:rFonts w:hint="eastAsia" w:ascii="仿宋" w:hAnsi="仿宋" w:eastAsia="仿宋"/>
          <w:sz w:val="24"/>
        </w:rPr>
        <w:t>1.15.2.1乔灌木的修剪按相关技术规范进行操作</w:t>
      </w:r>
      <w:r>
        <w:rPr>
          <w:rFonts w:ascii="仿宋" w:hAnsi="仿宋" w:eastAsia="仿宋"/>
          <w:sz w:val="24"/>
        </w:rPr>
        <w:t>,</w:t>
      </w:r>
      <w:r>
        <w:rPr>
          <w:rFonts w:hint="eastAsia" w:ascii="仿宋" w:hAnsi="仿宋" w:eastAsia="仿宋"/>
          <w:sz w:val="24"/>
        </w:rPr>
        <w:t>香樟等乔木或大型花灌木冬季必须刷白，及时防治病虫害；发现枯枝、死枝必须</w:t>
      </w:r>
      <w:r>
        <w:rPr>
          <w:rFonts w:ascii="仿宋" w:hAnsi="仿宋" w:eastAsia="仿宋"/>
          <w:sz w:val="24"/>
        </w:rPr>
        <w:t>24</w:t>
      </w:r>
      <w:r>
        <w:rPr>
          <w:rFonts w:hint="eastAsia" w:ascii="仿宋" w:hAnsi="仿宋" w:eastAsia="仿宋"/>
          <w:sz w:val="24"/>
        </w:rPr>
        <w:t>小时内处理完毕；对花灌木应随时修剪，球形灌木应常年保持形态完整，色块灌木应控制高度及宽度，色块之间界限分明、线条清晰流畅，无缺株、无空洞。对枯死的树木应连同根部在</w:t>
      </w:r>
      <w:r>
        <w:rPr>
          <w:rFonts w:ascii="仿宋" w:hAnsi="仿宋" w:eastAsia="仿宋"/>
          <w:sz w:val="24"/>
        </w:rPr>
        <w:t>24</w:t>
      </w:r>
      <w:r>
        <w:rPr>
          <w:rFonts w:hint="eastAsia" w:ascii="仿宋" w:hAnsi="仿宋" w:eastAsia="仿宋"/>
          <w:sz w:val="24"/>
        </w:rPr>
        <w:t>小时内挖除，并在绿化季节3天内采购苗木并及时补种，补种苗木的规格、品种和原苗木基本相同，特殊情况无法补种原规格苗木，需经甲方同意。</w:t>
      </w:r>
    </w:p>
    <w:p>
      <w:pPr>
        <w:spacing w:line="400" w:lineRule="exact"/>
        <w:ind w:firstLine="480" w:firstLineChars="200"/>
        <w:rPr>
          <w:rFonts w:ascii="仿宋" w:hAnsi="仿宋" w:eastAsia="仿宋"/>
          <w:sz w:val="24"/>
        </w:rPr>
      </w:pPr>
      <w:r>
        <w:rPr>
          <w:rFonts w:hint="eastAsia" w:ascii="仿宋" w:hAnsi="仿宋" w:eastAsia="仿宋"/>
          <w:sz w:val="24"/>
        </w:rPr>
        <w:t>1.15.2.2绿地内各类地被植物覆盖完好（包括桥荫柱的垂直植物），覆盖率达到100</w:t>
      </w:r>
      <w:r>
        <w:rPr>
          <w:rFonts w:ascii="仿宋" w:hAnsi="仿宋" w:eastAsia="仿宋"/>
          <w:sz w:val="24"/>
        </w:rPr>
        <w:t>%</w:t>
      </w:r>
      <w:r>
        <w:rPr>
          <w:rFonts w:hint="eastAsia" w:ascii="仿宋" w:hAnsi="仿宋" w:eastAsia="仿宋"/>
          <w:sz w:val="24"/>
        </w:rPr>
        <w:t>以上，植株缺损必须在绿化季节的二天内采购苗木并及时进行补植，补种苗木的品种和原苗木相同。地被植物与乔、灌木的界线清晰，线条流畅。</w:t>
      </w:r>
    </w:p>
    <w:p>
      <w:pPr>
        <w:spacing w:line="400" w:lineRule="exact"/>
        <w:ind w:firstLine="480" w:firstLineChars="200"/>
        <w:rPr>
          <w:rFonts w:ascii="仿宋" w:hAnsi="仿宋" w:eastAsia="仿宋"/>
          <w:sz w:val="24"/>
        </w:rPr>
      </w:pPr>
      <w:r>
        <w:rPr>
          <w:rFonts w:hint="eastAsia" w:ascii="仿宋" w:hAnsi="仿宋" w:eastAsia="仿宋"/>
          <w:sz w:val="24"/>
        </w:rPr>
        <w:t>1.15.2.3草坪随时修剪，草坪草高度不超过</w:t>
      </w:r>
      <w:r>
        <w:rPr>
          <w:rFonts w:ascii="仿宋" w:hAnsi="仿宋" w:eastAsia="仿宋"/>
          <w:sz w:val="24"/>
        </w:rPr>
        <w:t>8</w:t>
      </w:r>
      <w:r>
        <w:rPr>
          <w:rFonts w:hint="eastAsia" w:ascii="仿宋" w:hAnsi="仿宋" w:eastAsia="仿宋"/>
          <w:sz w:val="24"/>
        </w:rPr>
        <w:t>cm（常绿草高度不超过</w:t>
      </w:r>
      <w:r>
        <w:rPr>
          <w:rFonts w:ascii="仿宋" w:hAnsi="仿宋" w:eastAsia="仿宋"/>
          <w:sz w:val="24"/>
        </w:rPr>
        <w:t>6</w:t>
      </w:r>
      <w:r>
        <w:rPr>
          <w:rFonts w:hint="eastAsia" w:ascii="仿宋" w:hAnsi="仿宋" w:eastAsia="仿宋"/>
          <w:sz w:val="24"/>
        </w:rPr>
        <w:t>cm），树木周围和草坪边缘应及时切边。常绿草四季应保持绿色，草坪的纯洁度在98</w:t>
      </w:r>
      <w:r>
        <w:rPr>
          <w:rFonts w:ascii="仿宋" w:hAnsi="仿宋" w:eastAsia="仿宋"/>
          <w:sz w:val="24"/>
        </w:rPr>
        <w:t>%</w:t>
      </w:r>
      <w:r>
        <w:rPr>
          <w:rFonts w:hint="eastAsia" w:ascii="仿宋" w:hAnsi="仿宋" w:eastAsia="仿宋"/>
          <w:sz w:val="24"/>
        </w:rPr>
        <w:t>以上，无空秃、黄化现象。对被人为损坏和已发生病害的常绿草坪两天内切除调换，补种时确保草坪的美观和平整。</w:t>
      </w:r>
    </w:p>
    <w:p>
      <w:pPr>
        <w:spacing w:line="400" w:lineRule="exact"/>
        <w:ind w:firstLine="480" w:firstLineChars="200"/>
        <w:rPr>
          <w:rFonts w:ascii="仿宋" w:hAnsi="仿宋" w:eastAsia="仿宋"/>
          <w:sz w:val="24"/>
        </w:rPr>
      </w:pPr>
      <w:r>
        <w:rPr>
          <w:rFonts w:hint="eastAsia" w:ascii="仿宋" w:hAnsi="仿宋" w:eastAsia="仿宋"/>
          <w:sz w:val="24"/>
        </w:rPr>
        <w:t>1.15.2.4植保员应每天检查绿地病虫害发生情况，发现病虫害应在</w:t>
      </w:r>
      <w:r>
        <w:rPr>
          <w:rFonts w:ascii="仿宋" w:hAnsi="仿宋" w:eastAsia="仿宋"/>
          <w:sz w:val="24"/>
        </w:rPr>
        <w:t>2</w:t>
      </w:r>
      <w:r>
        <w:rPr>
          <w:rFonts w:hint="eastAsia" w:ascii="仿宋" w:hAnsi="仿宋" w:eastAsia="仿宋"/>
          <w:sz w:val="24"/>
        </w:rPr>
        <w:t>天内治理完毕，并做好病虫害防治工作台帐。要求园林植物常年无明显病虫害。</w:t>
      </w:r>
    </w:p>
    <w:p>
      <w:pPr>
        <w:spacing w:line="400" w:lineRule="exact"/>
        <w:ind w:firstLine="480" w:firstLineChars="200"/>
        <w:rPr>
          <w:rFonts w:ascii="仿宋" w:hAnsi="仿宋" w:eastAsia="仿宋"/>
          <w:sz w:val="24"/>
        </w:rPr>
      </w:pPr>
      <w:r>
        <w:rPr>
          <w:rFonts w:hint="eastAsia" w:ascii="仿宋" w:hAnsi="仿宋" w:eastAsia="仿宋"/>
          <w:sz w:val="24"/>
        </w:rPr>
        <w:t>1.15.2.5绿地树木修剪、滚草、枯死枝的清理等绿地的垃圾当日清运完毕。</w:t>
      </w:r>
    </w:p>
    <w:p>
      <w:pPr>
        <w:spacing w:line="400" w:lineRule="exact"/>
        <w:ind w:firstLine="480" w:firstLineChars="200"/>
        <w:rPr>
          <w:rFonts w:ascii="仿宋" w:hAnsi="仿宋" w:eastAsia="仿宋"/>
          <w:sz w:val="24"/>
        </w:rPr>
      </w:pPr>
      <w:r>
        <w:rPr>
          <w:rFonts w:hint="eastAsia" w:ascii="仿宋" w:hAnsi="仿宋" w:eastAsia="仿宋"/>
          <w:sz w:val="24"/>
        </w:rPr>
        <w:t>1.15.2.6所有植物一年不少于两次施肥，肥料为复合肥或饼肥，施肥时间应定于游人稀少的时间段，肥料由乙方自行组织，</w:t>
      </w:r>
      <w:r>
        <w:rPr>
          <w:rFonts w:hint="eastAsia" w:ascii="仿宋" w:hAnsi="仿宋" w:eastAsia="仿宋"/>
          <w:b/>
          <w:bCs/>
          <w:sz w:val="24"/>
        </w:rPr>
        <w:t>并在施肥前须提前将具体方案报甲方审核，如未报甲方审核的，不作施肥次数，</w:t>
      </w:r>
      <w:r>
        <w:rPr>
          <w:rFonts w:hint="eastAsia" w:ascii="仿宋" w:hAnsi="仿宋" w:eastAsia="仿宋"/>
          <w:sz w:val="24"/>
        </w:rPr>
        <w:t>甲方监督人员将全程进行监督管理。</w:t>
      </w:r>
    </w:p>
    <w:p>
      <w:pPr>
        <w:spacing w:line="400" w:lineRule="exact"/>
        <w:ind w:firstLine="480" w:firstLineChars="200"/>
        <w:rPr>
          <w:rFonts w:ascii="仿宋" w:hAnsi="仿宋" w:eastAsia="仿宋"/>
          <w:sz w:val="24"/>
        </w:rPr>
      </w:pPr>
      <w:r>
        <w:rPr>
          <w:rFonts w:hint="eastAsia" w:ascii="仿宋" w:hAnsi="仿宋" w:eastAsia="仿宋"/>
          <w:sz w:val="24"/>
        </w:rPr>
        <w:t>1.15.2.7维护好绿地内的园林建筑和设施保洁，巡逻检查园林设施安全情况，发现有损及时维修并上报甲方。</w:t>
      </w:r>
    </w:p>
    <w:p>
      <w:pPr>
        <w:spacing w:line="400" w:lineRule="exact"/>
        <w:ind w:firstLine="480" w:firstLineChars="200"/>
        <w:rPr>
          <w:rFonts w:ascii="仿宋" w:hAnsi="仿宋" w:eastAsia="仿宋"/>
          <w:sz w:val="24"/>
        </w:rPr>
      </w:pPr>
      <w:r>
        <w:rPr>
          <w:rFonts w:hint="eastAsia" w:ascii="仿宋" w:hAnsi="仿宋" w:eastAsia="仿宋"/>
          <w:sz w:val="24"/>
        </w:rPr>
        <w:t>1.15.2.8遇到因人为或其它因素造成的苗木损坏，在绿化季节内必须及时补种。</w:t>
      </w:r>
    </w:p>
    <w:p>
      <w:pPr>
        <w:spacing w:line="400" w:lineRule="exact"/>
        <w:ind w:firstLine="480" w:firstLineChars="200"/>
        <w:rPr>
          <w:rFonts w:ascii="仿宋" w:hAnsi="仿宋" w:eastAsia="仿宋"/>
          <w:sz w:val="24"/>
        </w:rPr>
      </w:pPr>
      <w:r>
        <w:rPr>
          <w:rFonts w:hint="eastAsia" w:ascii="仿宋" w:hAnsi="仿宋" w:eastAsia="仿宋"/>
          <w:sz w:val="24"/>
        </w:rPr>
        <w:t>1.15.2.9管理人员统一着装，标志明显，管理方式应文明、礼貌，对进入绿地践踏树木和损坏花木现象应及时予以制止，遇到严重的破坏绿化行为应及时上报甲方及执法部门。</w:t>
      </w:r>
    </w:p>
    <w:p>
      <w:pPr>
        <w:snapToGrid w:val="0"/>
        <w:spacing w:line="360" w:lineRule="exact"/>
        <w:ind w:firstLine="540" w:firstLineChars="225"/>
        <w:rPr>
          <w:rFonts w:ascii="仿宋" w:hAnsi="仿宋" w:eastAsia="仿宋"/>
          <w:sz w:val="24"/>
        </w:rPr>
      </w:pPr>
      <w:r>
        <w:rPr>
          <w:rFonts w:hint="eastAsia" w:ascii="仿宋" w:hAnsi="仿宋" w:eastAsia="仿宋"/>
          <w:sz w:val="24"/>
        </w:rPr>
        <w:t>1.15.2.10零星移植质量要求事宜季节移植的苗木成活率达98%以上，反季节移植的苗木成活率达60%以上，未达到成活率要求的，低于成活率部分按照市场价赔偿。</w:t>
      </w:r>
    </w:p>
    <w:p>
      <w:pPr>
        <w:spacing w:line="400" w:lineRule="exact"/>
        <w:ind w:firstLine="480"/>
        <w:rPr>
          <w:rFonts w:ascii="仿宋" w:hAnsi="仿宋" w:eastAsia="仿宋"/>
          <w:sz w:val="24"/>
        </w:rPr>
      </w:pPr>
      <w:r>
        <w:rPr>
          <w:rFonts w:hint="eastAsia" w:ascii="仿宋" w:hAnsi="仿宋" w:eastAsia="仿宋"/>
          <w:sz w:val="24"/>
        </w:rPr>
        <w:t>1.15.3加强应急管理</w:t>
      </w:r>
    </w:p>
    <w:p>
      <w:pPr>
        <w:spacing w:line="400" w:lineRule="exact"/>
        <w:ind w:firstLine="480" w:firstLineChars="200"/>
        <w:rPr>
          <w:rFonts w:ascii="仿宋" w:hAnsi="仿宋" w:eastAsia="仿宋"/>
          <w:sz w:val="24"/>
        </w:rPr>
      </w:pPr>
      <w:r>
        <w:rPr>
          <w:rFonts w:hint="eastAsia" w:ascii="仿宋" w:hAnsi="仿宋" w:eastAsia="仿宋"/>
          <w:sz w:val="24"/>
        </w:rPr>
        <w:t>1.15.3.1制定灾害性天气应急预案，建立应急救灾队伍，将应急预案和人员名单上报甲方备案。</w:t>
      </w:r>
    </w:p>
    <w:p>
      <w:pPr>
        <w:spacing w:line="400" w:lineRule="exact"/>
        <w:ind w:firstLine="480" w:firstLineChars="200"/>
        <w:rPr>
          <w:rFonts w:ascii="仿宋" w:hAnsi="仿宋" w:eastAsia="仿宋"/>
          <w:sz w:val="24"/>
        </w:rPr>
      </w:pPr>
      <w:r>
        <w:rPr>
          <w:rFonts w:hint="eastAsia" w:ascii="仿宋" w:hAnsi="仿宋" w:eastAsia="仿宋"/>
          <w:sz w:val="24"/>
        </w:rPr>
        <w:t>1.15.3.2建立应急备货制，备货的内容有：（1）抗旱、防汛、抗台、抗寒、抗雪等物资（钢管、毛竹、水泵等）；（2）容器苗木，主要是夏季易干枯的灌木品种。（3）栏杆等易损设施。</w:t>
      </w:r>
    </w:p>
    <w:p>
      <w:pPr>
        <w:spacing w:line="400" w:lineRule="exact"/>
        <w:ind w:firstLine="480" w:firstLineChars="200"/>
        <w:rPr>
          <w:rFonts w:ascii="仿宋" w:hAnsi="仿宋" w:eastAsia="仿宋"/>
          <w:sz w:val="24"/>
        </w:rPr>
      </w:pPr>
      <w:r>
        <w:rPr>
          <w:rFonts w:hint="eastAsia" w:ascii="仿宋" w:hAnsi="仿宋" w:eastAsia="仿宋"/>
          <w:sz w:val="24"/>
        </w:rPr>
        <w:t xml:space="preserve">3、遇灾害性天气，听从甲方统一指挥，及时组织人员夏季抗旱、抗台，冬季遇积雪必须及时组织人员进行抗雪。遇到树木斜倒时，根据甲方要求，做好清障扶正工作。 </w:t>
      </w:r>
    </w:p>
    <w:p>
      <w:pPr>
        <w:spacing w:line="400" w:lineRule="exact"/>
        <w:ind w:firstLine="480" w:firstLineChars="200"/>
        <w:rPr>
          <w:rFonts w:ascii="仿宋" w:hAnsi="仿宋" w:eastAsia="仿宋"/>
          <w:sz w:val="24"/>
        </w:rPr>
      </w:pPr>
      <w:r>
        <w:rPr>
          <w:rFonts w:hint="eastAsia" w:ascii="仿宋" w:hAnsi="仿宋" w:eastAsia="仿宋"/>
          <w:sz w:val="24"/>
        </w:rPr>
        <w:t>1.15.3.4做好防台树木支撑工作，在市气象台发出台风预警信号以后，立即做好树木支撑工作。</w:t>
      </w:r>
    </w:p>
    <w:p>
      <w:pPr>
        <w:spacing w:line="400" w:lineRule="exact"/>
        <w:ind w:firstLine="480" w:firstLineChars="200"/>
        <w:rPr>
          <w:rFonts w:ascii="仿宋" w:hAnsi="仿宋" w:eastAsia="仿宋"/>
          <w:sz w:val="24"/>
        </w:rPr>
      </w:pPr>
      <w:r>
        <w:rPr>
          <w:rFonts w:hint="eastAsia" w:ascii="仿宋" w:hAnsi="仿宋" w:eastAsia="仿宋"/>
          <w:sz w:val="24"/>
        </w:rPr>
        <w:t>1.15.4其他</w:t>
      </w:r>
    </w:p>
    <w:p>
      <w:pPr>
        <w:spacing w:line="400" w:lineRule="exact"/>
        <w:ind w:firstLine="480" w:firstLineChars="200"/>
        <w:rPr>
          <w:rFonts w:ascii="仿宋" w:hAnsi="仿宋" w:eastAsia="仿宋"/>
          <w:sz w:val="24"/>
        </w:rPr>
      </w:pPr>
      <w:r>
        <w:rPr>
          <w:rFonts w:hint="eastAsia" w:ascii="仿宋" w:hAnsi="仿宋" w:eastAsia="仿宋"/>
          <w:sz w:val="24"/>
        </w:rPr>
        <w:t>1.15.4.1协助调查、解决来电来访等信访反映的养护问题。</w:t>
      </w:r>
    </w:p>
    <w:p>
      <w:pPr>
        <w:spacing w:line="400" w:lineRule="exact"/>
        <w:ind w:firstLine="480" w:firstLineChars="200"/>
        <w:rPr>
          <w:rFonts w:ascii="仿宋" w:hAnsi="仿宋" w:eastAsia="仿宋"/>
          <w:sz w:val="24"/>
        </w:rPr>
      </w:pPr>
      <w:r>
        <w:rPr>
          <w:rFonts w:hint="eastAsia" w:ascii="仿宋" w:hAnsi="仿宋" w:eastAsia="仿宋"/>
          <w:sz w:val="24"/>
        </w:rPr>
        <w:t>1.15.4.2乙方不得随意改变绿地的性质和植物的品种。</w:t>
      </w:r>
    </w:p>
    <w:p>
      <w:pPr>
        <w:snapToGrid w:val="0"/>
        <w:spacing w:line="360" w:lineRule="exact"/>
        <w:ind w:firstLine="540" w:firstLineChars="225"/>
        <w:rPr>
          <w:rFonts w:ascii="仿宋" w:hAnsi="仿宋" w:eastAsia="仿宋"/>
          <w:sz w:val="24"/>
        </w:rPr>
      </w:pPr>
      <w:r>
        <w:rPr>
          <w:rFonts w:hint="eastAsia" w:ascii="仿宋" w:hAnsi="仿宋" w:eastAsia="仿宋"/>
          <w:sz w:val="24"/>
        </w:rPr>
        <w:t>1.15.4.3承包期限内，本合同养护项目设施量无故发生减少及毁损的，乙方应予及时补齐或修复，并自行承担所需费用，合同期限届满时，乙方应保证本合同养护项目设施量无减少、无毁损。</w:t>
      </w:r>
    </w:p>
    <w:p>
      <w:pPr>
        <w:snapToGrid w:val="0"/>
        <w:spacing w:line="360" w:lineRule="exact"/>
        <w:ind w:firstLine="540" w:firstLineChars="225"/>
        <w:rPr>
          <w:rFonts w:ascii="仿宋" w:hAnsi="仿宋" w:eastAsia="仿宋"/>
          <w:sz w:val="24"/>
        </w:rPr>
      </w:pPr>
      <w:r>
        <w:rPr>
          <w:rFonts w:hint="eastAsia" w:ascii="仿宋" w:hAnsi="仿宋" w:eastAsia="仿宋"/>
          <w:sz w:val="24"/>
        </w:rPr>
        <w:t>1.15.4.4乙方在搞好日常养护工作的同时，必须配合甲方参加市、局及相关部门布置的各重大节庆和重大活动的临时布置任务。</w:t>
      </w:r>
    </w:p>
    <w:p>
      <w:pPr>
        <w:snapToGrid w:val="0"/>
        <w:spacing w:line="360" w:lineRule="exact"/>
        <w:ind w:firstLine="540" w:firstLineChars="225"/>
        <w:rPr>
          <w:rFonts w:ascii="仿宋" w:hAnsi="仿宋" w:eastAsia="仿宋"/>
          <w:sz w:val="24"/>
        </w:rPr>
      </w:pPr>
      <w:r>
        <w:rPr>
          <w:rFonts w:hint="eastAsia" w:ascii="仿宋" w:hAnsi="仿宋" w:eastAsia="仿宋"/>
          <w:sz w:val="24"/>
        </w:rPr>
        <w:t>1.15.4.5本次招标范围内的无水源提供的绿化场所用水的一切相关费用均由乙方自理.有水源的必须保持水源设施完好，水源设施有滴漏情况的要及时修复，相关费用由乙方自理。</w:t>
      </w:r>
    </w:p>
    <w:p>
      <w:pPr>
        <w:snapToGrid w:val="0"/>
        <w:spacing w:line="360" w:lineRule="exact"/>
        <w:ind w:firstLine="540" w:firstLineChars="225"/>
        <w:rPr>
          <w:rFonts w:ascii="仿宋" w:hAnsi="仿宋" w:eastAsia="仿宋"/>
          <w:sz w:val="24"/>
        </w:rPr>
      </w:pPr>
      <w:r>
        <w:rPr>
          <w:rFonts w:hint="eastAsia" w:ascii="仿宋" w:hAnsi="仿宋" w:eastAsia="仿宋"/>
          <w:sz w:val="24"/>
        </w:rPr>
        <w:t>1.15.4.6在承包期限内，对于园林局新增、新接管的公共绿地，乙方若平时养护管理到位、群众反映良好的，可由乙方实施，费用按原来合同价格、养护时间及考核结果按当月增减。</w:t>
      </w:r>
    </w:p>
    <w:p>
      <w:pPr>
        <w:snapToGrid w:val="0"/>
        <w:spacing w:line="360" w:lineRule="exact"/>
        <w:ind w:firstLine="540" w:firstLineChars="225"/>
        <w:rPr>
          <w:rFonts w:ascii="仿宋" w:hAnsi="仿宋" w:eastAsia="仿宋"/>
          <w:sz w:val="24"/>
        </w:rPr>
      </w:pPr>
      <w:r>
        <w:rPr>
          <w:rFonts w:hint="eastAsia" w:ascii="仿宋" w:hAnsi="仿宋" w:eastAsia="仿宋"/>
          <w:sz w:val="24"/>
        </w:rPr>
        <w:t>1.15.4.7在承包范围内的居住区绿地养护管理所需的一切劳动力、材料（农药、肥料、养护不当造成的苗木补植、公园广场铺装设施维修、城市绿化浇灌用水、公园广场景观用水等所有园林用水事项）、设备和服务由乙方自行组织，由此产生的一切费用由乙方承担，甲方按月进行考核，核拨养护经费</w:t>
      </w:r>
    </w:p>
    <w:p>
      <w:pPr>
        <w:snapToGrid w:val="0"/>
        <w:spacing w:line="360" w:lineRule="exact"/>
        <w:ind w:firstLine="540" w:firstLineChars="225"/>
        <w:rPr>
          <w:rFonts w:ascii="仿宋" w:hAnsi="仿宋" w:eastAsia="仿宋"/>
          <w:sz w:val="24"/>
        </w:rPr>
      </w:pPr>
      <w:r>
        <w:rPr>
          <w:rFonts w:hint="eastAsia" w:ascii="仿宋" w:hAnsi="仿宋" w:eastAsia="仿宋"/>
          <w:sz w:val="24"/>
        </w:rPr>
        <w:t>1.15.4.8乙方必须做好一切安全措施，在进行乔木修剪、抹芽时必须系好安全带，设置具有国家标准的警示牌，并有专人进行现场维稳；在进行病虫害防治时必须做好自身及行人的防毒措施，防治人员必须佩戴防护罩等，避免农药伤到行人。</w:t>
      </w:r>
    </w:p>
    <w:p>
      <w:pPr>
        <w:snapToGrid w:val="0"/>
        <w:spacing w:line="360" w:lineRule="exact"/>
        <w:ind w:firstLine="540" w:firstLineChars="225"/>
        <w:rPr>
          <w:rFonts w:ascii="仿宋" w:hAnsi="仿宋" w:eastAsia="仿宋"/>
          <w:sz w:val="24"/>
        </w:rPr>
      </w:pPr>
      <w:r>
        <w:rPr>
          <w:rFonts w:hint="eastAsia" w:ascii="仿宋" w:hAnsi="仿宋" w:eastAsia="仿宋"/>
          <w:sz w:val="24"/>
        </w:rPr>
        <w:t>1.15.4.9承包范围内的一切绿化宣传牌、禁令牌、指示牌等防护、园林设施的清洁与巡逻，及时上报各类园林设施的损坏情况。</w:t>
      </w:r>
    </w:p>
    <w:p>
      <w:pPr>
        <w:spacing w:line="560" w:lineRule="exact"/>
        <w:ind w:firstLine="482" w:firstLineChars="200"/>
        <w:outlineLvl w:val="0"/>
        <w:rPr>
          <w:rFonts w:ascii="仿宋" w:hAnsi="仿宋" w:eastAsia="仿宋"/>
          <w:b/>
          <w:sz w:val="24"/>
        </w:rPr>
      </w:pPr>
      <w:r>
        <w:rPr>
          <w:rFonts w:hint="eastAsia" w:ascii="仿宋" w:hAnsi="仿宋" w:eastAsia="仿宋"/>
          <w:b/>
          <w:sz w:val="24"/>
        </w:rPr>
        <w:t>1.16违约责任</w:t>
      </w:r>
      <w:bookmarkEnd w:id="706"/>
      <w:bookmarkEnd w:id="707"/>
      <w:bookmarkEnd w:id="708"/>
      <w:bookmarkEnd w:id="709"/>
      <w:bookmarkEnd w:id="710"/>
      <w:bookmarkEnd w:id="711"/>
      <w:bookmarkEnd w:id="712"/>
      <w:bookmarkEnd w:id="713"/>
      <w:bookmarkEnd w:id="714"/>
      <w:bookmarkEnd w:id="715"/>
    </w:p>
    <w:p>
      <w:pPr>
        <w:spacing w:line="560" w:lineRule="exact"/>
        <w:ind w:firstLine="480" w:firstLineChars="200"/>
        <w:rPr>
          <w:rFonts w:ascii="仿宋" w:hAnsi="仿宋" w:eastAsia="仿宋"/>
          <w:sz w:val="24"/>
        </w:rPr>
      </w:pPr>
      <w:bookmarkStart w:id="716" w:name="_Toc95384913"/>
      <w:bookmarkStart w:id="717" w:name="_Toc95386519"/>
      <w:bookmarkStart w:id="718" w:name="_Toc95386636"/>
      <w:bookmarkStart w:id="719" w:name="_Toc95387072"/>
      <w:bookmarkStart w:id="720" w:name="_Toc96432509"/>
      <w:bookmarkStart w:id="721" w:name="_Toc96432591"/>
      <w:bookmarkStart w:id="722" w:name="_Toc96432835"/>
      <w:bookmarkStart w:id="723" w:name="_Toc102145378"/>
      <w:bookmarkStart w:id="724" w:name="_Toc102145442"/>
      <w:bookmarkStart w:id="725" w:name="_Toc102145577"/>
      <w:r>
        <w:rPr>
          <w:rFonts w:ascii="仿宋" w:hAnsi="仿宋" w:eastAsia="仿宋"/>
          <w:sz w:val="24"/>
        </w:rPr>
        <w:t>1.</w:t>
      </w:r>
      <w:r>
        <w:rPr>
          <w:rFonts w:hint="eastAsia" w:ascii="仿宋" w:hAnsi="仿宋" w:eastAsia="仿宋"/>
          <w:sz w:val="24"/>
        </w:rPr>
        <w:t>16</w:t>
      </w:r>
      <w:r>
        <w:rPr>
          <w:rFonts w:ascii="仿宋" w:hAnsi="仿宋" w:eastAsia="仿宋"/>
          <w:sz w:val="24"/>
        </w:rPr>
        <w:t>.1</w:t>
      </w:r>
      <w:r>
        <w:rPr>
          <w:rFonts w:hint="eastAsia" w:ascii="仿宋" w:hAnsi="仿宋" w:eastAsia="仿宋"/>
          <w:sz w:val="24"/>
        </w:rPr>
        <w:t>除不可抗力外，如果乙方没有按照本合同约定的期限、地点和方式提供，那么甲方可要求乙方支付违约金，违约金按合同价款的</w:t>
      </w:r>
      <w:r>
        <w:rPr>
          <w:rFonts w:hint="eastAsia" w:ascii="仿宋" w:hAnsi="仿宋" w:eastAsia="仿宋"/>
          <w:sz w:val="24"/>
          <w:u w:val="single"/>
        </w:rPr>
        <w:t>0.2</w:t>
      </w:r>
      <w:r>
        <w:rPr>
          <w:rFonts w:ascii="仿宋" w:hAnsi="仿宋" w:eastAsia="仿宋"/>
          <w:sz w:val="24"/>
        </w:rPr>
        <w:t xml:space="preserve">%计算，最高限额为本合同总价的 </w:t>
      </w:r>
      <w:r>
        <w:rPr>
          <w:rFonts w:hint="eastAsia" w:ascii="仿宋" w:hAnsi="仿宋" w:eastAsia="仿宋"/>
          <w:sz w:val="24"/>
          <w:u w:val="single"/>
        </w:rPr>
        <w:t>10</w:t>
      </w:r>
      <w:r>
        <w:rPr>
          <w:rFonts w:ascii="仿宋" w:hAnsi="仿宋" w:eastAsia="仿宋"/>
          <w:sz w:val="24"/>
        </w:rPr>
        <w:t xml:space="preserve"> %；迟延交付</w:t>
      </w:r>
      <w:r>
        <w:rPr>
          <w:rFonts w:hint="eastAsia" w:ascii="仿宋" w:hAnsi="仿宋" w:eastAsia="仿宋"/>
          <w:sz w:val="24"/>
        </w:rPr>
        <w:t>服务</w:t>
      </w:r>
      <w:r>
        <w:rPr>
          <w:rFonts w:ascii="仿宋" w:hAnsi="仿宋" w:eastAsia="仿宋"/>
          <w:sz w:val="24"/>
        </w:rPr>
        <w:t xml:space="preserve">的违约金计算数额达到前述最高限额之日起，甲方有权在要求乙方支付违约金的同时，书面通知乙方解除本合同； </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16</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rPr>
        <w:t xml:space="preserve">  </w:t>
      </w:r>
      <w:r>
        <w:rPr>
          <w:rFonts w:hint="eastAsia" w:ascii="仿宋" w:hAnsi="仿宋" w:eastAsia="仿宋"/>
          <w:sz w:val="24"/>
          <w:u w:val="single"/>
        </w:rPr>
        <w:t>0.2</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10</w:t>
      </w:r>
      <w:r>
        <w:rPr>
          <w:rFonts w:ascii="仿宋" w:hAnsi="仿宋" w:eastAsia="仿宋"/>
          <w:sz w:val="24"/>
          <w:u w:val="single"/>
        </w:rPr>
        <w:t xml:space="preserve">  </w:t>
      </w:r>
      <w:r>
        <w:rPr>
          <w:rFonts w:ascii="仿宋" w:hAnsi="仿宋" w:eastAsia="仿宋"/>
          <w:sz w:val="24"/>
        </w:rPr>
        <w:t xml:space="preserve"> %；迟延付款的违约金计算数额达到前述最高限额之日起，乙方有权在要求甲方支付违约金的同时，书面通知甲方解除本合同；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16</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16</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16</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16</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exact"/>
        <w:ind w:firstLine="540" w:firstLineChars="225"/>
        <w:rPr>
          <w:rFonts w:ascii="仿宋" w:hAnsi="仿宋" w:eastAsia="仿宋"/>
          <w:color w:val="auto"/>
          <w:sz w:val="24"/>
          <w:highlight w:val="none"/>
        </w:rPr>
      </w:pPr>
      <w:r>
        <w:rPr>
          <w:rFonts w:hint="eastAsia" w:ascii="仿宋" w:hAnsi="仿宋" w:eastAsia="仿宋"/>
          <w:sz w:val="24"/>
        </w:rPr>
        <w:t>1.16.7考核验收</w:t>
      </w:r>
    </w:p>
    <w:p>
      <w:pPr>
        <w:spacing w:line="380" w:lineRule="exact"/>
        <w:ind w:right="-229" w:rightChars="-109" w:firstLine="566" w:firstLineChars="236"/>
        <w:rPr>
          <w:rFonts w:ascii="仿宋" w:hAnsi="仿宋" w:eastAsia="仿宋"/>
          <w:color w:val="auto"/>
          <w:sz w:val="24"/>
          <w:highlight w:val="none"/>
        </w:rPr>
      </w:pPr>
      <w:r>
        <w:rPr>
          <w:rFonts w:hint="eastAsia" w:ascii="仿宋" w:hAnsi="仿宋" w:eastAsia="仿宋"/>
          <w:color w:val="auto"/>
          <w:sz w:val="24"/>
          <w:highlight w:val="none"/>
        </w:rPr>
        <w:t>1.16.7.1甲方采取日常巡查、月度定期考核相结合办法对乙方养护质量进行考核验收。每月度乙方的考核扣分作为当月其承包款扣款依据，考核分每扣1分，核减当月承包款100元。</w:t>
      </w:r>
    </w:p>
    <w:p>
      <w:pPr>
        <w:snapToGrid w:val="0"/>
        <w:spacing w:line="360" w:lineRule="exact"/>
        <w:ind w:firstLine="540" w:firstLineChars="225"/>
        <w:rPr>
          <w:rFonts w:ascii="仿宋" w:hAnsi="仿宋" w:eastAsia="仿宋"/>
          <w:color w:val="auto"/>
          <w:sz w:val="24"/>
          <w:highlight w:val="none"/>
        </w:rPr>
      </w:pPr>
      <w:r>
        <w:rPr>
          <w:rFonts w:hint="eastAsia" w:ascii="仿宋" w:hAnsi="仿宋" w:eastAsia="仿宋"/>
          <w:color w:val="auto"/>
          <w:sz w:val="24"/>
          <w:highlight w:val="none"/>
        </w:rPr>
        <w:t>1.16.7.2考核验收参照《江山市公共绿地养护管理考核评分标准》（见附件一）执行。该办法由甲方责任提供。</w:t>
      </w:r>
    </w:p>
    <w:p>
      <w:pPr>
        <w:snapToGrid w:val="0"/>
        <w:spacing w:line="360" w:lineRule="exact"/>
        <w:ind w:firstLine="540" w:firstLineChars="225"/>
        <w:rPr>
          <w:rFonts w:ascii="仿宋" w:hAnsi="仿宋" w:eastAsia="仿宋"/>
          <w:sz w:val="24"/>
        </w:rPr>
      </w:pPr>
      <w:r>
        <w:rPr>
          <w:rFonts w:hint="eastAsia" w:ascii="仿宋" w:hAnsi="仿宋" w:eastAsia="仿宋"/>
          <w:sz w:val="24"/>
        </w:rPr>
        <w:t>1.16.7.3为了更好的进行养护管理，甲方除了日常巡逻考核、月度考核外还结合督办单的形式促进乙方日常养护工作，以下情况甲方将发督办单于养护公司：</w:t>
      </w:r>
    </w:p>
    <w:p>
      <w:pPr>
        <w:snapToGrid w:val="0"/>
        <w:spacing w:line="360" w:lineRule="exact"/>
        <w:ind w:firstLine="540" w:firstLineChars="225"/>
        <w:rPr>
          <w:rFonts w:ascii="仿宋" w:hAnsi="仿宋" w:eastAsia="仿宋"/>
          <w:sz w:val="24"/>
        </w:rPr>
      </w:pPr>
      <w:r>
        <w:rPr>
          <w:rFonts w:ascii="仿宋" w:hAnsi="仿宋" w:eastAsia="仿宋"/>
          <w:sz w:val="24"/>
        </w:rPr>
        <w:t>①</w:t>
      </w:r>
      <w:r>
        <w:rPr>
          <w:rFonts w:hint="eastAsia" w:ascii="仿宋" w:hAnsi="仿宋" w:eastAsia="仿宋"/>
          <w:sz w:val="24"/>
        </w:rPr>
        <w:t>整改通知书第一次扣除养护费2000元/条，第二次扣除养护费4000元/条，以此类推；</w:t>
      </w:r>
    </w:p>
    <w:p>
      <w:pPr>
        <w:snapToGrid w:val="0"/>
        <w:spacing w:line="360" w:lineRule="exact"/>
        <w:ind w:firstLine="540" w:firstLineChars="225"/>
        <w:rPr>
          <w:rFonts w:ascii="仿宋" w:hAnsi="仿宋" w:eastAsia="仿宋"/>
          <w:sz w:val="24"/>
        </w:rPr>
      </w:pPr>
      <w:r>
        <w:rPr>
          <w:rFonts w:ascii="仿宋" w:hAnsi="仿宋" w:eastAsia="仿宋"/>
          <w:sz w:val="24"/>
        </w:rPr>
        <w:t>②</w:t>
      </w:r>
      <w:r>
        <w:rPr>
          <w:rFonts w:hint="eastAsia" w:ascii="仿宋" w:hAnsi="仿宋" w:eastAsia="仿宋"/>
          <w:sz w:val="24"/>
        </w:rPr>
        <w:t>各类创建扣分点、市、局通报批评第一次扣除养护费2000元/条，第二次扣除养护费4000元/条，以此类推；</w:t>
      </w:r>
    </w:p>
    <w:p>
      <w:pPr>
        <w:snapToGrid w:val="0"/>
        <w:spacing w:line="360" w:lineRule="exact"/>
        <w:ind w:firstLine="540" w:firstLineChars="225"/>
        <w:rPr>
          <w:rFonts w:ascii="仿宋" w:hAnsi="仿宋" w:eastAsia="仿宋"/>
          <w:sz w:val="24"/>
        </w:rPr>
      </w:pPr>
      <w:r>
        <w:rPr>
          <w:rFonts w:ascii="仿宋" w:hAnsi="仿宋" w:eastAsia="仿宋"/>
          <w:sz w:val="24"/>
        </w:rPr>
        <w:t>③</w:t>
      </w:r>
      <w:r>
        <w:rPr>
          <w:rFonts w:hint="eastAsia" w:ascii="仿宋" w:hAnsi="仿宋" w:eastAsia="仿宋"/>
          <w:sz w:val="24"/>
        </w:rPr>
        <w:t>各类责任投诉（含数字城管）等处理不及时造成超时、延期问题的，扣除养护费2000元/个；</w:t>
      </w:r>
    </w:p>
    <w:p>
      <w:pPr>
        <w:snapToGrid w:val="0"/>
        <w:spacing w:line="360" w:lineRule="exact"/>
        <w:ind w:firstLine="540" w:firstLineChars="225"/>
        <w:rPr>
          <w:rFonts w:ascii="仿宋" w:hAnsi="仿宋" w:eastAsia="仿宋"/>
          <w:sz w:val="24"/>
        </w:rPr>
      </w:pPr>
      <w:r>
        <w:rPr>
          <w:rFonts w:hint="eastAsia" w:ascii="仿宋" w:hAnsi="仿宋" w:eastAsia="仿宋"/>
          <w:sz w:val="24"/>
        </w:rPr>
        <w:t>④养护单位对一次抄告问题未及时整改且未上报说明材料，或经查回复情况不实被二次抄告，扣除养护费2000元/个；</w:t>
      </w:r>
    </w:p>
    <w:p>
      <w:pPr>
        <w:snapToGrid w:val="0"/>
        <w:spacing w:line="360" w:lineRule="exact"/>
        <w:ind w:firstLine="540" w:firstLineChars="225"/>
        <w:rPr>
          <w:rFonts w:ascii="仿宋" w:hAnsi="仿宋" w:eastAsia="仿宋"/>
          <w:sz w:val="24"/>
        </w:rPr>
      </w:pPr>
      <w:r>
        <w:rPr>
          <w:rFonts w:hint="eastAsia" w:ascii="仿宋" w:hAnsi="仿宋" w:eastAsia="仿宋"/>
          <w:sz w:val="24"/>
        </w:rPr>
        <w:t>⑤对二次抄告在规定时间内未整改的，将发出扣款通知书扣除养护费5000元/次；并落实其他养护单位进行代整治，并以代整治费用2-3倍在相应标项的养护经费中扣除；</w:t>
      </w:r>
    </w:p>
    <w:p>
      <w:pPr>
        <w:snapToGrid w:val="0"/>
        <w:spacing w:line="360" w:lineRule="exact"/>
        <w:ind w:firstLine="540" w:firstLineChars="225"/>
        <w:rPr>
          <w:rFonts w:ascii="仿宋" w:hAnsi="仿宋" w:eastAsia="仿宋"/>
          <w:sz w:val="24"/>
        </w:rPr>
      </w:pPr>
      <w:r>
        <w:rPr>
          <w:rFonts w:hint="eastAsia" w:ascii="仿宋" w:hAnsi="仿宋" w:eastAsia="仿宋"/>
          <w:sz w:val="24"/>
        </w:rPr>
        <w:t>⑥对各类媒体曝光按情节严重扣2000-20000元，并进行通报。在市、区收到各类表彰对此绿地养护班组免除扣款2000-20000元不等。</w:t>
      </w:r>
    </w:p>
    <w:p>
      <w:pPr>
        <w:spacing w:line="560" w:lineRule="exact"/>
        <w:ind w:firstLine="482" w:firstLineChars="200"/>
        <w:outlineLvl w:val="0"/>
        <w:rPr>
          <w:rFonts w:ascii="仿宋" w:hAnsi="仿宋" w:eastAsia="仿宋"/>
          <w:b/>
          <w:sz w:val="24"/>
        </w:rPr>
      </w:pPr>
      <w:r>
        <w:rPr>
          <w:rFonts w:hint="eastAsia" w:ascii="仿宋" w:hAnsi="仿宋" w:eastAsia="仿宋"/>
          <w:b/>
          <w:sz w:val="24"/>
        </w:rPr>
        <w:t>1.17不可抗力事件处理</w:t>
      </w:r>
      <w:bookmarkEnd w:id="716"/>
      <w:bookmarkEnd w:id="717"/>
      <w:bookmarkEnd w:id="718"/>
      <w:bookmarkEnd w:id="719"/>
      <w:bookmarkEnd w:id="720"/>
      <w:bookmarkEnd w:id="721"/>
      <w:bookmarkEnd w:id="722"/>
      <w:bookmarkEnd w:id="723"/>
      <w:bookmarkEnd w:id="724"/>
      <w:bookmarkEnd w:id="725"/>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1.17.1在合同有效期内，任何一方因不可抗力事件导致不能履行合同，则合同履行期可延长，其延长期与不可抗力影响期相同。</w:t>
      </w:r>
    </w:p>
    <w:p>
      <w:pPr>
        <w:spacing w:line="560" w:lineRule="exact"/>
        <w:ind w:firstLine="480" w:firstLineChars="200"/>
        <w:rPr>
          <w:rFonts w:ascii="仿宋" w:hAnsi="仿宋" w:eastAsia="仿宋"/>
          <w:sz w:val="24"/>
        </w:rPr>
      </w:pPr>
      <w:r>
        <w:rPr>
          <w:rFonts w:hint="eastAsia" w:ascii="仿宋" w:hAnsi="仿宋" w:eastAsia="仿宋"/>
          <w:sz w:val="24"/>
        </w:rPr>
        <w:t>1.17.2因不可抗力致使不能实现合同目的的，当事人可以解除合同；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1.17.3因不可抗力致使合同有变更必要的，双方当事人应在</w:t>
      </w:r>
      <w:r>
        <w:rPr>
          <w:rFonts w:hint="eastAsia" w:ascii="仿宋" w:hAnsi="仿宋" w:eastAsia="仿宋"/>
          <w:b/>
          <w:i/>
          <w:sz w:val="24"/>
          <w:u w:val="single"/>
        </w:rPr>
        <w:t>不可抗力事件结束后15天</w:t>
      </w:r>
      <w:r>
        <w:rPr>
          <w:rFonts w:hint="eastAsia" w:ascii="仿宋" w:hAnsi="仿宋" w:eastAsia="仿宋"/>
          <w:sz w:val="24"/>
        </w:rPr>
        <w:t>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1.17.4</w:t>
      </w:r>
      <w:r>
        <w:rPr>
          <w:rFonts w:ascii="仿宋" w:hAnsi="仿宋" w:eastAsia="仿宋"/>
          <w:sz w:val="24"/>
        </w:rPr>
        <w:t>受不可抗力影响的一方在不可抗力发生后，应在</w:t>
      </w:r>
      <w:r>
        <w:rPr>
          <w:rFonts w:hint="eastAsia" w:ascii="仿宋" w:hAnsi="仿宋" w:eastAsia="仿宋"/>
          <w:b/>
          <w:i/>
          <w:sz w:val="24"/>
          <w:u w:val="single"/>
        </w:rPr>
        <w:t xml:space="preserve">不可抗力事件发生后5天 </w:t>
      </w:r>
      <w:r>
        <w:rPr>
          <w:rFonts w:hint="eastAsia" w:ascii="仿宋" w:hAnsi="仿宋" w:eastAsia="仿宋"/>
          <w:sz w:val="24"/>
        </w:rPr>
        <w:t>内以书面形式通知对方当事人，并在</w:t>
      </w:r>
      <w:r>
        <w:rPr>
          <w:rFonts w:hint="eastAsia" w:ascii="仿宋" w:hAnsi="仿宋" w:eastAsia="仿宋"/>
          <w:b/>
          <w:i/>
          <w:sz w:val="24"/>
          <w:u w:val="single"/>
        </w:rPr>
        <w:t>不可抗力事件结束后5天</w:t>
      </w:r>
      <w:r>
        <w:rPr>
          <w:rFonts w:hint="eastAsia" w:ascii="仿宋" w:hAnsi="仿宋" w:eastAsia="仿宋"/>
          <w:sz w:val="24"/>
        </w:rPr>
        <w:t>内，将有关部门出具的证明文件送达对方当事人。</w:t>
      </w:r>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1.17.5不可抗力事件延续120天以上，双方应通过友好协商，确定是否继续履行合同。</w:t>
      </w:r>
    </w:p>
    <w:p>
      <w:pPr>
        <w:spacing w:line="560" w:lineRule="exact"/>
        <w:ind w:firstLine="482" w:firstLineChars="200"/>
        <w:outlineLvl w:val="0"/>
        <w:rPr>
          <w:rFonts w:ascii="仿宋" w:hAnsi="仿宋" w:eastAsia="仿宋"/>
          <w:b/>
          <w:sz w:val="24"/>
        </w:rPr>
      </w:pPr>
      <w:bookmarkStart w:id="726" w:name="_Toc95384914"/>
      <w:bookmarkStart w:id="727" w:name="_Toc95386520"/>
      <w:bookmarkStart w:id="728" w:name="_Toc95386637"/>
      <w:bookmarkStart w:id="729" w:name="_Toc95387073"/>
      <w:bookmarkStart w:id="730" w:name="_Toc96432510"/>
      <w:bookmarkStart w:id="731" w:name="_Toc96432592"/>
      <w:bookmarkStart w:id="732" w:name="_Toc96432836"/>
      <w:bookmarkStart w:id="733" w:name="_Toc102145379"/>
      <w:bookmarkStart w:id="734" w:name="_Toc102145443"/>
      <w:bookmarkStart w:id="735" w:name="_Toc102145578"/>
      <w:r>
        <w:rPr>
          <w:rFonts w:hint="eastAsia" w:ascii="仿宋" w:hAnsi="仿宋" w:eastAsia="仿宋"/>
          <w:b/>
          <w:sz w:val="24"/>
        </w:rPr>
        <w:t>1.18</w:t>
      </w:r>
      <w:r>
        <w:rPr>
          <w:rFonts w:ascii="仿宋" w:hAnsi="仿宋" w:eastAsia="仿宋"/>
          <w:b/>
          <w:sz w:val="24"/>
        </w:rPr>
        <w:t>乙方破产</w:t>
      </w:r>
      <w:bookmarkEnd w:id="726"/>
      <w:bookmarkEnd w:id="727"/>
      <w:bookmarkEnd w:id="728"/>
      <w:bookmarkEnd w:id="729"/>
      <w:bookmarkEnd w:id="730"/>
      <w:bookmarkEnd w:id="731"/>
      <w:bookmarkEnd w:id="732"/>
      <w:bookmarkEnd w:id="733"/>
      <w:bookmarkEnd w:id="734"/>
      <w:bookmarkEnd w:id="73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736" w:name="_Toc95384915"/>
      <w:bookmarkStart w:id="737" w:name="_Toc95386521"/>
      <w:bookmarkStart w:id="738" w:name="_Toc95386638"/>
      <w:bookmarkStart w:id="739" w:name="_Toc95387074"/>
      <w:bookmarkStart w:id="740" w:name="_Toc96432511"/>
      <w:bookmarkStart w:id="741" w:name="_Toc96432593"/>
      <w:bookmarkStart w:id="742" w:name="_Toc96432837"/>
      <w:bookmarkStart w:id="743" w:name="_Toc102145380"/>
      <w:bookmarkStart w:id="744" w:name="_Toc102145444"/>
      <w:bookmarkStart w:id="745" w:name="_Toc102145579"/>
      <w:r>
        <w:rPr>
          <w:rFonts w:hint="eastAsia" w:ascii="仿宋" w:hAnsi="仿宋" w:eastAsia="仿宋"/>
          <w:b/>
          <w:sz w:val="24"/>
        </w:rPr>
        <w:t>1.19合同中止、终止</w:t>
      </w:r>
      <w:bookmarkEnd w:id="736"/>
      <w:bookmarkEnd w:id="737"/>
      <w:bookmarkEnd w:id="738"/>
      <w:bookmarkEnd w:id="739"/>
      <w:bookmarkEnd w:id="740"/>
      <w:bookmarkEnd w:id="741"/>
      <w:bookmarkEnd w:id="742"/>
      <w:bookmarkEnd w:id="743"/>
      <w:bookmarkEnd w:id="744"/>
      <w:bookmarkEnd w:id="745"/>
    </w:p>
    <w:p>
      <w:pPr>
        <w:spacing w:line="560" w:lineRule="exact"/>
        <w:ind w:firstLine="480" w:firstLineChars="200"/>
        <w:rPr>
          <w:rFonts w:ascii="仿宋" w:hAnsi="仿宋" w:eastAsia="仿宋"/>
          <w:sz w:val="24"/>
        </w:rPr>
      </w:pPr>
      <w:r>
        <w:rPr>
          <w:rFonts w:hint="eastAsia" w:ascii="仿宋" w:hAnsi="仿宋" w:eastAsia="仿宋"/>
          <w:sz w:val="24"/>
        </w:rPr>
        <w:t>1.19.1双方当事人不得擅自中止或者终止合同；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1.19</w:t>
      </w:r>
      <w:r>
        <w:rPr>
          <w:rFonts w:ascii="仿宋" w:hAnsi="仿宋" w:eastAsia="仿宋"/>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0" w:firstLineChars="200"/>
        <w:rPr>
          <w:rFonts w:ascii="仿宋" w:hAnsi="仿宋" w:eastAsia="仿宋"/>
          <w:sz w:val="24"/>
        </w:rPr>
      </w:pPr>
      <w:r>
        <w:rPr>
          <w:rFonts w:hint="eastAsia" w:ascii="仿宋" w:hAnsi="仿宋" w:eastAsia="仿宋"/>
          <w:sz w:val="24"/>
        </w:rPr>
        <w:t>1.19.3若乙方在连续两个月考核中扣分大于120分，或在一年考核中有3个月月考核中扣分大于120分的，甲方有权中止或解除合同，履约保证金不予退还。</w:t>
      </w:r>
    </w:p>
    <w:p>
      <w:pPr>
        <w:spacing w:line="560" w:lineRule="exact"/>
        <w:ind w:firstLine="482" w:firstLineChars="200"/>
        <w:outlineLvl w:val="0"/>
        <w:rPr>
          <w:rFonts w:ascii="仿宋" w:hAnsi="仿宋" w:eastAsia="仿宋"/>
          <w:b/>
          <w:sz w:val="24"/>
        </w:rPr>
      </w:pPr>
      <w:bookmarkStart w:id="746" w:name="_Toc95384916"/>
      <w:bookmarkStart w:id="747" w:name="_Toc95386522"/>
      <w:bookmarkStart w:id="748" w:name="_Toc95386639"/>
      <w:bookmarkStart w:id="749" w:name="_Toc95387075"/>
      <w:bookmarkStart w:id="750" w:name="_Toc96432512"/>
      <w:bookmarkStart w:id="751" w:name="_Toc96432594"/>
      <w:bookmarkStart w:id="752" w:name="_Toc96432838"/>
      <w:bookmarkStart w:id="753" w:name="_Toc102145381"/>
      <w:bookmarkStart w:id="754" w:name="_Toc102145445"/>
      <w:bookmarkStart w:id="755" w:name="_Toc102145580"/>
      <w:r>
        <w:rPr>
          <w:rFonts w:hint="eastAsia" w:ascii="仿宋" w:hAnsi="仿宋" w:eastAsia="仿宋"/>
          <w:b/>
          <w:sz w:val="24"/>
        </w:rPr>
        <w:t>1.20</w:t>
      </w:r>
      <w:r>
        <w:rPr>
          <w:rFonts w:ascii="仿宋" w:hAnsi="仿宋" w:eastAsia="仿宋"/>
          <w:b/>
          <w:sz w:val="24"/>
        </w:rPr>
        <w:t xml:space="preserve"> </w:t>
      </w:r>
      <w:r>
        <w:rPr>
          <w:rFonts w:hint="eastAsia" w:ascii="仿宋" w:hAnsi="仿宋" w:eastAsia="仿宋"/>
          <w:b/>
          <w:sz w:val="24"/>
        </w:rPr>
        <w:t>通知和送达</w:t>
      </w:r>
      <w:bookmarkEnd w:id="746"/>
      <w:bookmarkEnd w:id="747"/>
      <w:bookmarkEnd w:id="748"/>
      <w:bookmarkEnd w:id="749"/>
      <w:bookmarkEnd w:id="750"/>
      <w:bookmarkEnd w:id="751"/>
      <w:bookmarkEnd w:id="752"/>
      <w:bookmarkEnd w:id="753"/>
      <w:bookmarkEnd w:id="754"/>
      <w:bookmarkEnd w:id="755"/>
    </w:p>
    <w:p>
      <w:pPr>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20</w:t>
      </w:r>
      <w:r>
        <w:rPr>
          <w:rFonts w:ascii="仿宋" w:hAnsi="仿宋" w:eastAsia="仿宋"/>
          <w:sz w:val="24"/>
        </w:rPr>
        <w:t>.1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20</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p>
    <w:p>
      <w:pPr>
        <w:spacing w:line="560" w:lineRule="exact"/>
        <w:ind w:firstLine="482" w:firstLineChars="200"/>
        <w:outlineLvl w:val="0"/>
        <w:rPr>
          <w:rFonts w:ascii="仿宋" w:hAnsi="仿宋" w:eastAsia="仿宋"/>
          <w:b/>
          <w:sz w:val="24"/>
        </w:rPr>
      </w:pPr>
      <w:bookmarkStart w:id="756" w:name="_Toc95384917"/>
      <w:bookmarkStart w:id="757" w:name="_Toc95386523"/>
      <w:bookmarkStart w:id="758" w:name="_Toc95386640"/>
      <w:bookmarkStart w:id="759" w:name="_Toc95387076"/>
      <w:bookmarkStart w:id="760" w:name="_Toc96432513"/>
      <w:bookmarkStart w:id="761" w:name="_Toc96432595"/>
      <w:bookmarkStart w:id="762" w:name="_Toc96432839"/>
      <w:bookmarkStart w:id="763" w:name="_Toc102145382"/>
      <w:bookmarkStart w:id="764" w:name="_Toc102145446"/>
      <w:bookmarkStart w:id="765" w:name="_Toc102145581"/>
      <w:r>
        <w:rPr>
          <w:rFonts w:hint="eastAsia" w:ascii="仿宋" w:hAnsi="仿宋" w:eastAsia="仿宋"/>
          <w:b/>
          <w:sz w:val="24"/>
        </w:rPr>
        <w:t>1</w:t>
      </w:r>
      <w:r>
        <w:rPr>
          <w:rFonts w:ascii="仿宋" w:hAnsi="仿宋" w:eastAsia="仿宋"/>
          <w:b/>
          <w:sz w:val="24"/>
        </w:rPr>
        <w:t>.</w:t>
      </w:r>
      <w:r>
        <w:rPr>
          <w:rFonts w:hint="eastAsia" w:ascii="仿宋" w:hAnsi="仿宋" w:eastAsia="仿宋"/>
          <w:b/>
          <w:sz w:val="24"/>
        </w:rPr>
        <w:t>21</w:t>
      </w:r>
      <w:r>
        <w:rPr>
          <w:rFonts w:ascii="仿宋" w:hAnsi="仿宋" w:eastAsia="仿宋"/>
          <w:b/>
          <w:sz w:val="24"/>
        </w:rPr>
        <w:t xml:space="preserve"> </w:t>
      </w:r>
      <w:r>
        <w:rPr>
          <w:rFonts w:hint="eastAsia" w:ascii="仿宋" w:hAnsi="仿宋" w:eastAsia="仿宋"/>
          <w:b/>
          <w:sz w:val="24"/>
        </w:rPr>
        <w:t>计量单位</w:t>
      </w:r>
      <w:bookmarkEnd w:id="756"/>
      <w:bookmarkEnd w:id="757"/>
      <w:bookmarkEnd w:id="758"/>
      <w:bookmarkEnd w:id="759"/>
      <w:bookmarkEnd w:id="760"/>
      <w:bookmarkEnd w:id="761"/>
      <w:bookmarkEnd w:id="762"/>
      <w:bookmarkEnd w:id="763"/>
      <w:bookmarkEnd w:id="764"/>
      <w:bookmarkEnd w:id="76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766" w:name="_Toc95384918"/>
      <w:bookmarkStart w:id="767" w:name="_Toc95386524"/>
      <w:bookmarkStart w:id="768" w:name="_Toc95386641"/>
      <w:bookmarkStart w:id="769" w:name="_Toc95387077"/>
      <w:bookmarkStart w:id="770" w:name="_Toc96432514"/>
      <w:bookmarkStart w:id="771" w:name="_Toc96432596"/>
      <w:bookmarkStart w:id="772" w:name="_Toc96432840"/>
      <w:bookmarkStart w:id="773" w:name="_Toc102145383"/>
      <w:bookmarkStart w:id="774" w:name="_Toc102145447"/>
      <w:bookmarkStart w:id="775" w:name="_Toc102145582"/>
      <w:r>
        <w:rPr>
          <w:rFonts w:hint="eastAsia" w:ascii="仿宋" w:hAnsi="仿宋" w:eastAsia="仿宋"/>
          <w:b/>
          <w:sz w:val="24"/>
        </w:rPr>
        <w:t>1</w:t>
      </w:r>
      <w:r>
        <w:rPr>
          <w:rFonts w:ascii="仿宋" w:hAnsi="仿宋" w:eastAsia="仿宋"/>
          <w:b/>
          <w:sz w:val="24"/>
        </w:rPr>
        <w:t>.</w:t>
      </w:r>
      <w:r>
        <w:rPr>
          <w:rFonts w:hint="eastAsia" w:ascii="仿宋" w:hAnsi="仿宋" w:eastAsia="仿宋"/>
          <w:b/>
          <w:sz w:val="24"/>
        </w:rPr>
        <w:t>22</w:t>
      </w:r>
      <w:r>
        <w:rPr>
          <w:rFonts w:ascii="仿宋" w:hAnsi="仿宋" w:eastAsia="仿宋"/>
          <w:b/>
          <w:sz w:val="24"/>
        </w:rPr>
        <w:t xml:space="preserve"> </w:t>
      </w:r>
      <w:r>
        <w:rPr>
          <w:rFonts w:hint="eastAsia" w:ascii="仿宋" w:hAnsi="仿宋" w:eastAsia="仿宋"/>
          <w:b/>
          <w:sz w:val="24"/>
        </w:rPr>
        <w:t>合同使用的文字和适用的法律</w:t>
      </w:r>
      <w:bookmarkEnd w:id="766"/>
      <w:bookmarkEnd w:id="767"/>
      <w:bookmarkEnd w:id="768"/>
      <w:bookmarkEnd w:id="769"/>
      <w:bookmarkEnd w:id="770"/>
      <w:bookmarkEnd w:id="771"/>
      <w:bookmarkEnd w:id="772"/>
      <w:bookmarkEnd w:id="773"/>
      <w:bookmarkEnd w:id="774"/>
      <w:bookmarkEnd w:id="775"/>
    </w:p>
    <w:p>
      <w:pPr>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22</w:t>
      </w:r>
      <w:r>
        <w:rPr>
          <w:rFonts w:ascii="仿宋" w:hAnsi="仿宋" w:eastAsia="仿宋"/>
          <w:sz w:val="24"/>
        </w:rPr>
        <w:t xml:space="preserve">.1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22</w:t>
      </w:r>
      <w:r>
        <w:rPr>
          <w:rFonts w:ascii="仿宋" w:hAnsi="仿宋" w:eastAsia="仿宋"/>
          <w:sz w:val="24"/>
        </w:rPr>
        <w:t xml:space="preserve">.2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776" w:name="_Toc95384919"/>
      <w:bookmarkStart w:id="777" w:name="_Toc95386525"/>
      <w:bookmarkStart w:id="778" w:name="_Toc95386642"/>
      <w:bookmarkStart w:id="779" w:name="_Toc95387078"/>
      <w:bookmarkStart w:id="780" w:name="_Toc96432515"/>
      <w:bookmarkStart w:id="781" w:name="_Toc96432597"/>
      <w:bookmarkStart w:id="782" w:name="_Toc96432841"/>
      <w:bookmarkStart w:id="783" w:name="_Toc102145384"/>
      <w:bookmarkStart w:id="784" w:name="_Toc102145448"/>
      <w:bookmarkStart w:id="785" w:name="_Toc102145583"/>
      <w:r>
        <w:rPr>
          <w:rFonts w:hint="eastAsia" w:ascii="仿宋" w:hAnsi="仿宋" w:eastAsia="仿宋"/>
          <w:b/>
          <w:sz w:val="24"/>
        </w:rPr>
        <w:t>1.23诉讼</w:t>
      </w:r>
      <w:bookmarkEnd w:id="776"/>
      <w:bookmarkEnd w:id="777"/>
      <w:bookmarkEnd w:id="778"/>
      <w:bookmarkEnd w:id="779"/>
      <w:bookmarkEnd w:id="780"/>
      <w:bookmarkEnd w:id="781"/>
      <w:bookmarkEnd w:id="782"/>
      <w:bookmarkEnd w:id="783"/>
      <w:bookmarkEnd w:id="784"/>
      <w:bookmarkEnd w:id="785"/>
    </w:p>
    <w:p>
      <w:pPr>
        <w:pStyle w:val="317"/>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双方在执行合同中所发生的一切争议，应通过协商解决。如协商不成，可向甲方所在地法院起诉。</w:t>
      </w:r>
    </w:p>
    <w:p>
      <w:pPr>
        <w:spacing w:line="560" w:lineRule="exact"/>
        <w:ind w:firstLine="482" w:firstLineChars="200"/>
        <w:outlineLvl w:val="0"/>
        <w:rPr>
          <w:rFonts w:ascii="仿宋" w:hAnsi="仿宋" w:eastAsia="仿宋"/>
          <w:b/>
          <w:sz w:val="24"/>
        </w:rPr>
      </w:pPr>
      <w:bookmarkStart w:id="786" w:name="_Toc95384920"/>
      <w:bookmarkStart w:id="787" w:name="_Toc95386526"/>
      <w:bookmarkStart w:id="788" w:name="_Toc95386643"/>
      <w:bookmarkStart w:id="789" w:name="_Toc95387079"/>
      <w:bookmarkStart w:id="790" w:name="_Toc96432516"/>
      <w:bookmarkStart w:id="791" w:name="_Toc96432598"/>
      <w:bookmarkStart w:id="792" w:name="_Toc96432842"/>
      <w:bookmarkStart w:id="793" w:name="_Toc102145385"/>
      <w:bookmarkStart w:id="794" w:name="_Toc102145449"/>
      <w:bookmarkStart w:id="795" w:name="_Toc102145584"/>
      <w:r>
        <w:rPr>
          <w:rFonts w:hint="eastAsia" w:ascii="仿宋" w:hAnsi="仿宋" w:eastAsia="仿宋"/>
          <w:b/>
          <w:sz w:val="24"/>
        </w:rPr>
        <w:t>1.24</w:t>
      </w:r>
      <w:r>
        <w:rPr>
          <w:rFonts w:ascii="仿宋" w:hAnsi="仿宋" w:eastAsia="仿宋"/>
          <w:b/>
          <w:sz w:val="24"/>
        </w:rPr>
        <w:t>合同的生效</w:t>
      </w:r>
      <w:bookmarkEnd w:id="786"/>
      <w:bookmarkEnd w:id="787"/>
      <w:bookmarkEnd w:id="788"/>
      <w:bookmarkEnd w:id="789"/>
      <w:bookmarkEnd w:id="790"/>
      <w:bookmarkEnd w:id="791"/>
      <w:bookmarkEnd w:id="792"/>
      <w:bookmarkEnd w:id="793"/>
      <w:bookmarkEnd w:id="794"/>
      <w:bookmarkEnd w:id="795"/>
    </w:p>
    <w:p>
      <w:pPr>
        <w:spacing w:line="560" w:lineRule="exact"/>
        <w:ind w:firstLine="480" w:firstLineChars="200"/>
        <w:rPr>
          <w:rFonts w:ascii="仿宋" w:hAnsi="仿宋" w:eastAsia="仿宋"/>
          <w:sz w:val="24"/>
        </w:rPr>
      </w:pPr>
      <w:r>
        <w:rPr>
          <w:rFonts w:hint="eastAsia" w:ascii="仿宋" w:hAnsi="仿宋" w:eastAsia="仿宋"/>
          <w:sz w:val="24"/>
        </w:rPr>
        <w:t>1. 本合同自双方当事人签字并盖章时生效。</w:t>
      </w:r>
    </w:p>
    <w:p>
      <w:pPr>
        <w:spacing w:line="560" w:lineRule="exact"/>
        <w:ind w:firstLine="480" w:firstLineChars="200"/>
        <w:rPr>
          <w:rFonts w:ascii="仿宋" w:hAnsi="仿宋" w:eastAsia="仿宋"/>
          <w:sz w:val="24"/>
        </w:rPr>
      </w:pPr>
      <w:r>
        <w:rPr>
          <w:rFonts w:hint="eastAsia" w:ascii="仿宋" w:hAnsi="仿宋" w:eastAsia="仿宋"/>
          <w:sz w:val="24"/>
        </w:rPr>
        <w:t>2.合同执行中涉及采购资金和采购内容修改或补充的，须经财政部门审批，并签书面补充协议报政府采购监督管理部门备案，方可作为主合同不可分割的一部分。</w:t>
      </w:r>
    </w:p>
    <w:p>
      <w:pPr>
        <w:spacing w:line="560" w:lineRule="exact"/>
        <w:ind w:firstLine="480" w:firstLineChars="200"/>
        <w:rPr>
          <w:rFonts w:ascii="仿宋" w:hAnsi="仿宋" w:eastAsia="仿宋"/>
          <w:sz w:val="24"/>
        </w:rPr>
      </w:pPr>
      <w:r>
        <w:rPr>
          <w:rFonts w:hint="eastAsia" w:ascii="仿宋" w:hAnsi="仿宋" w:eastAsia="仿宋"/>
          <w:sz w:val="24"/>
        </w:rPr>
        <w:t>3.本合同未尽事宜，遵照《民法典》有关条文执行。</w:t>
      </w:r>
    </w:p>
    <w:p>
      <w:pPr>
        <w:spacing w:line="560" w:lineRule="exact"/>
        <w:ind w:firstLine="480" w:firstLineChars="200"/>
        <w:rPr>
          <w:rFonts w:ascii="仿宋" w:hAnsi="仿宋" w:eastAsia="仿宋"/>
          <w:sz w:val="24"/>
        </w:rPr>
      </w:pPr>
      <w:r>
        <w:rPr>
          <w:rFonts w:hint="eastAsia" w:ascii="仿宋" w:hAnsi="仿宋" w:eastAsia="仿宋"/>
          <w:sz w:val="24"/>
        </w:rPr>
        <w:t>4.本合同一式六份，具有同等法律效力，甲方执三份；乙方执两份，采购代理机构执一份。</w:t>
      </w:r>
    </w:p>
    <w:bookmarkEnd w:id="600"/>
    <w:bookmarkEnd w:id="601"/>
    <w:bookmarkEnd w:id="602"/>
    <w:bookmarkEnd w:id="603"/>
    <w:bookmarkEnd w:id="604"/>
    <w:bookmarkEnd w:id="605"/>
    <w:bookmarkEnd w:id="606"/>
    <w:bookmarkEnd w:id="607"/>
    <w:bookmarkEnd w:id="608"/>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开户银行：</w:t>
      </w:r>
      <w:r>
        <w:rPr>
          <w:rFonts w:ascii="仿宋" w:hAnsi="仿宋" w:eastAsia="仿宋"/>
          <w:sz w:val="24"/>
          <w:lang w:val="zh-CN"/>
        </w:rPr>
        <w:t xml:space="preserve">                               开户银行：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开户名称：</w:t>
      </w:r>
      <w:r>
        <w:rPr>
          <w:rFonts w:ascii="仿宋" w:hAnsi="仿宋" w:eastAsia="仿宋"/>
          <w:sz w:val="24"/>
          <w:lang w:val="zh-CN"/>
        </w:rPr>
        <w:t xml:space="preserve">                               开户名称：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开户账号：</w:t>
      </w:r>
      <w:r>
        <w:rPr>
          <w:rFonts w:ascii="仿宋" w:hAnsi="仿宋" w:eastAsia="仿宋"/>
          <w:sz w:val="24"/>
          <w:lang w:val="zh-CN"/>
        </w:rPr>
        <w:t xml:space="preserve">                               </w:t>
      </w:r>
      <w:r>
        <w:rPr>
          <w:rFonts w:hint="eastAsia" w:ascii="仿宋" w:hAnsi="仿宋" w:eastAsia="仿宋"/>
          <w:sz w:val="24"/>
          <w:lang w:val="zh-CN"/>
        </w:rPr>
        <w:t>开户账号：</w:t>
      </w:r>
    </w:p>
    <w:p>
      <w:pPr>
        <w:widowControl/>
        <w:adjustRightInd/>
        <w:jc w:val="left"/>
        <w:rPr>
          <w:rFonts w:ascii="仿宋_GB2312" w:hAnsi="仿宋" w:eastAsia="仿宋_GB2312"/>
          <w:b/>
          <w:bCs/>
          <w:sz w:val="32"/>
          <w:szCs w:val="32"/>
          <w:lang w:val="zh-CN"/>
        </w:rPr>
      </w:pPr>
      <w:r>
        <w:br w:type="page"/>
      </w:r>
      <w:r>
        <w:br w:type="page"/>
      </w:r>
    </w:p>
    <w:p>
      <w:pPr>
        <w:spacing w:line="500" w:lineRule="exact"/>
        <w:jc w:val="center"/>
        <w:rPr>
          <w:rFonts w:ascii="黑体" w:hAnsi="宋体" w:eastAsia="黑体"/>
          <w:b/>
          <w:spacing w:val="20"/>
          <w:w w:val="90"/>
          <w:sz w:val="32"/>
          <w:szCs w:val="28"/>
        </w:rPr>
      </w:pPr>
      <w:r>
        <w:rPr>
          <w:rFonts w:hint="eastAsia" w:ascii="宋体" w:hAnsi="宋体"/>
          <w:b/>
          <w:sz w:val="32"/>
          <w:szCs w:val="32"/>
        </w:rPr>
        <w:t>附件一、</w:t>
      </w:r>
      <w:r>
        <w:rPr>
          <w:rFonts w:hint="eastAsia" w:ascii="黑体" w:hAnsi="宋体" w:eastAsia="黑体"/>
          <w:b/>
          <w:spacing w:val="20"/>
          <w:w w:val="90"/>
          <w:sz w:val="32"/>
          <w:szCs w:val="28"/>
        </w:rPr>
        <w:t>江山市公共绿地养护管理考核评分标准</w:t>
      </w:r>
    </w:p>
    <w:tbl>
      <w:tblPr>
        <w:tblStyle w:val="62"/>
        <w:tblW w:w="8386" w:type="dxa"/>
        <w:tblInd w:w="0" w:type="dxa"/>
        <w:tblLayout w:type="fixed"/>
        <w:tblCellMar>
          <w:top w:w="15" w:type="dxa"/>
          <w:left w:w="15" w:type="dxa"/>
          <w:bottom w:w="15" w:type="dxa"/>
          <w:right w:w="15" w:type="dxa"/>
        </w:tblCellMar>
      </w:tblPr>
      <w:tblGrid>
        <w:gridCol w:w="480"/>
        <w:gridCol w:w="555"/>
        <w:gridCol w:w="600"/>
        <w:gridCol w:w="2087"/>
        <w:gridCol w:w="937"/>
        <w:gridCol w:w="925"/>
        <w:gridCol w:w="2802"/>
      </w:tblGrid>
      <w:tr>
        <w:tblPrEx>
          <w:tblCellMar>
            <w:top w:w="15" w:type="dxa"/>
            <w:left w:w="15" w:type="dxa"/>
            <w:bottom w:w="15" w:type="dxa"/>
            <w:right w:w="15" w:type="dxa"/>
          </w:tblCellMar>
        </w:tblPrEx>
        <w:trPr>
          <w:trHeight w:val="20" w:hRule="atLeast"/>
        </w:trPr>
        <w:tc>
          <w:tcPr>
            <w:tcW w:w="480" w:type="dxa"/>
            <w:tcBorders>
              <w:top w:val="single" w:color="000000" w:sz="4" w:space="0"/>
              <w:left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序号</w:t>
            </w:r>
          </w:p>
        </w:tc>
        <w:tc>
          <w:tcPr>
            <w:tcW w:w="1155" w:type="dxa"/>
            <w:gridSpan w:val="2"/>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类别</w:t>
            </w:r>
          </w:p>
        </w:tc>
        <w:tc>
          <w:tcPr>
            <w:tcW w:w="2087" w:type="dxa"/>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问题描述</w:t>
            </w:r>
          </w:p>
        </w:tc>
        <w:tc>
          <w:tcPr>
            <w:tcW w:w="937" w:type="dxa"/>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处置时限</w:t>
            </w:r>
          </w:p>
        </w:tc>
        <w:tc>
          <w:tcPr>
            <w:tcW w:w="925"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扣分标准</w:t>
            </w:r>
          </w:p>
        </w:tc>
        <w:tc>
          <w:tcPr>
            <w:tcW w:w="2802"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扣分方式</w:t>
            </w:r>
          </w:p>
        </w:tc>
      </w:tr>
      <w:tr>
        <w:tblPrEx>
          <w:tblCellMar>
            <w:top w:w="15" w:type="dxa"/>
            <w:left w:w="15" w:type="dxa"/>
            <w:bottom w:w="15" w:type="dxa"/>
            <w:right w:w="15" w:type="dxa"/>
          </w:tblCellMar>
        </w:tblPrEx>
        <w:trPr>
          <w:trHeight w:val="20" w:hRule="atLeast"/>
        </w:trPr>
        <w:tc>
          <w:tcPr>
            <w:tcW w:w="480" w:type="dxa"/>
            <w:vMerge w:val="restart"/>
            <w:tcBorders>
              <w:left w:val="single" w:color="000000" w:sz="4" w:space="0"/>
              <w:bottom w:val="single" w:color="000000" w:sz="4" w:space="0"/>
              <w:right w:val="single" w:color="000000" w:sz="4" w:space="0"/>
            </w:tcBorders>
            <w:noWrap/>
            <w:vAlign w:val="center"/>
          </w:tcPr>
          <w:p>
            <w:pPr>
              <w:widowControl/>
              <w:jc w:val="center"/>
              <w:textAlignment w:val="top"/>
              <w:rPr>
                <w:color w:val="000000"/>
                <w:szCs w:val="21"/>
              </w:rPr>
            </w:pPr>
            <w:r>
              <w:rPr>
                <w:color w:val="000000"/>
                <w:kern w:val="0"/>
                <w:szCs w:val="21"/>
              </w:rPr>
              <w:t>1</w:t>
            </w:r>
          </w:p>
        </w:tc>
        <w:tc>
          <w:tcPr>
            <w:tcW w:w="555"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公共绿地</w:t>
            </w:r>
          </w:p>
        </w:tc>
        <w:tc>
          <w:tcPr>
            <w:tcW w:w="600" w:type="dxa"/>
            <w:tcBorders>
              <w:bottom w:val="single" w:color="000000" w:sz="4" w:space="0"/>
              <w:right w:val="single" w:color="000000" w:sz="4" w:space="0"/>
            </w:tcBorders>
            <w:noWrap/>
          </w:tcPr>
          <w:p>
            <w:pP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植物保存率低于</w:t>
            </w:r>
            <w:r>
              <w:rPr>
                <w:color w:val="000000"/>
                <w:kern w:val="0"/>
                <w:szCs w:val="21"/>
              </w:rPr>
              <w:t>98%</w:t>
            </w:r>
            <w:r>
              <w:rPr>
                <w:rFonts w:hint="eastAsia" w:ascii="宋体" w:hAnsi="宋体" w:cs="宋体"/>
                <w:color w:val="000000"/>
                <w:kern w:val="0"/>
                <w:szCs w:val="21"/>
              </w:rPr>
              <w:t>，移植苗木成活率低于</w:t>
            </w:r>
            <w:r>
              <w:rPr>
                <w:color w:val="000000"/>
                <w:kern w:val="0"/>
                <w:szCs w:val="21"/>
              </w:rPr>
              <w:t>98%</w:t>
            </w:r>
            <w:r>
              <w:rPr>
                <w:rFonts w:hint="eastAsia" w:ascii="宋体" w:hAnsi="宋体" w:cs="宋体"/>
                <w:color w:val="000000"/>
                <w:kern w:val="0"/>
                <w:szCs w:val="21"/>
              </w:rPr>
              <w:t>以上</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1</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24</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1</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乔木（含行道树）</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绿地内出现落叶、枯死枝、折断枝等</w:t>
            </w:r>
          </w:p>
        </w:tc>
        <w:tc>
          <w:tcPr>
            <w:tcW w:w="937" w:type="dxa"/>
            <w:tcBorders>
              <w:bottom w:val="single" w:color="000000" w:sz="4" w:space="0"/>
              <w:right w:val="single" w:color="000000" w:sz="4" w:space="0"/>
            </w:tcBorders>
            <w:noWrap/>
            <w:vAlign w:val="center"/>
          </w:tcPr>
          <w:p>
            <w:pPr>
              <w:widowControl/>
              <w:textAlignment w:val="center"/>
              <w:rPr>
                <w:szCs w:val="21"/>
              </w:rPr>
            </w:pPr>
            <w:r>
              <w:rPr>
                <w:rFonts w:hint="eastAsia" w:ascii="宋体" w:hAnsi="宋体" w:cs="宋体"/>
                <w:kern w:val="0"/>
                <w:szCs w:val="21"/>
              </w:rPr>
              <w:t>2小时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分。枯死枝、折断枝立案后</w:t>
            </w:r>
            <w:r>
              <w:rPr>
                <w:color w:val="000000"/>
                <w:kern w:val="0"/>
                <w:szCs w:val="21"/>
              </w:rPr>
              <w:t>2</w:t>
            </w:r>
            <w:r>
              <w:rPr>
                <w:rFonts w:hint="eastAsia" w:ascii="宋体" w:hAnsi="宋体" w:cs="宋体"/>
                <w:color w:val="000000"/>
                <w:kern w:val="0"/>
                <w:szCs w:val="21"/>
              </w:rPr>
              <w:t>小时内整改完成，其它内容立案后</w:t>
            </w:r>
            <w:r>
              <w:rPr>
                <w:color w:val="000000"/>
                <w:kern w:val="0"/>
                <w:szCs w:val="21"/>
              </w:rPr>
              <w:t>2</w:t>
            </w:r>
            <w:r>
              <w:rPr>
                <w:rFonts w:hint="eastAsia" w:ascii="宋体" w:hAnsi="宋体" w:cs="宋体"/>
                <w:color w:val="000000"/>
                <w:kern w:val="0"/>
                <w:szCs w:val="21"/>
              </w:rPr>
              <w:t>小时到现场查明原因并着手整改的则结束扣分；超过</w:t>
            </w:r>
            <w:r>
              <w:rPr>
                <w:color w:val="000000"/>
                <w:kern w:val="0"/>
                <w:szCs w:val="21"/>
              </w:rPr>
              <w:t>1</w:t>
            </w:r>
            <w:r>
              <w:rPr>
                <w:rFonts w:hint="eastAsia" w:ascii="宋体" w:hAnsi="宋体" w:cs="宋体"/>
                <w:color w:val="000000"/>
                <w:kern w:val="0"/>
                <w:szCs w:val="21"/>
              </w:rPr>
              <w:t>小时未落实整改，每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乔木出现非自然落叶、枯叶、黄叶等</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24小时</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0.5分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每株发现即扣</w:t>
            </w:r>
            <w:r>
              <w:rPr>
                <w:kern w:val="0"/>
                <w:szCs w:val="21"/>
              </w:rPr>
              <w:t>0.5</w:t>
            </w:r>
            <w:r>
              <w:rPr>
                <w:rFonts w:hint="eastAsia" w:ascii="宋体" w:hAnsi="宋体" w:cs="宋体"/>
                <w:kern w:val="0"/>
                <w:szCs w:val="21"/>
              </w:rPr>
              <w:t>分。</w:t>
            </w:r>
            <w:r>
              <w:rPr>
                <w:kern w:val="0"/>
                <w:szCs w:val="21"/>
              </w:rPr>
              <w:t>24</w:t>
            </w:r>
            <w:r>
              <w:rPr>
                <w:rFonts w:hint="eastAsia" w:ascii="宋体" w:hAnsi="宋体" w:cs="宋体"/>
                <w:kern w:val="0"/>
                <w:szCs w:val="21"/>
              </w:rPr>
              <w:t>小时内立即对乔木情况进行调查并处理；超过</w:t>
            </w:r>
            <w:r>
              <w:rPr>
                <w:rFonts w:hint="eastAsia"/>
                <w:kern w:val="0"/>
                <w:szCs w:val="21"/>
              </w:rPr>
              <w:t>24</w:t>
            </w:r>
            <w:r>
              <w:rPr>
                <w:rFonts w:hint="eastAsia" w:ascii="宋体" w:hAnsi="宋体" w:cs="宋体"/>
                <w:kern w:val="0"/>
                <w:szCs w:val="21"/>
              </w:rPr>
              <w:t>小时未落实整改，每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shd w:val="clear" w:color="auto" w:fill="auto"/>
            <w:noWrap/>
            <w:vAlign w:val="center"/>
          </w:tcPr>
          <w:p>
            <w:pPr>
              <w:spacing w:line="260" w:lineRule="exact"/>
              <w:textAlignment w:val="center"/>
              <w:rPr>
                <w:rFonts w:ascii="宋体" w:hAnsi="宋体" w:cs="宋体"/>
                <w:szCs w:val="21"/>
              </w:rPr>
            </w:pPr>
            <w:r>
              <w:rPr>
                <w:rFonts w:hint="eastAsia" w:ascii="宋体" w:hAnsi="宋体" w:cs="宋体"/>
                <w:szCs w:val="21"/>
              </w:rPr>
              <w:t>除交通事故因素外，行道树因养护不当导致死亡的植株；倾斜树未及时扶正。未及时修剪严重遮挡各类标识牌；</w:t>
            </w:r>
          </w:p>
        </w:tc>
        <w:tc>
          <w:tcPr>
            <w:tcW w:w="937" w:type="dxa"/>
            <w:tcBorders>
              <w:bottom w:val="single" w:color="000000" w:sz="4" w:space="0"/>
              <w:right w:val="single" w:color="000000" w:sz="4" w:space="0"/>
            </w:tcBorders>
            <w:shd w:val="clear" w:color="auto" w:fill="auto"/>
            <w:noWrap/>
            <w:vAlign w:val="center"/>
          </w:tcPr>
          <w:p>
            <w:pPr>
              <w:spacing w:line="260" w:lineRule="exact"/>
              <w:textAlignment w:val="center"/>
              <w:rPr>
                <w:rFonts w:ascii="宋体" w:hAnsi="宋体" w:cs="宋体"/>
                <w:szCs w:val="21"/>
              </w:rPr>
            </w:pPr>
            <w:r>
              <w:rPr>
                <w:rFonts w:hint="eastAsia" w:ascii="宋体" w:hAnsi="宋体" w:cs="宋体"/>
                <w:szCs w:val="21"/>
              </w:rPr>
              <w:t>24</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kern w:val="0"/>
                <w:szCs w:val="21"/>
              </w:rPr>
            </w:pPr>
            <w:r>
              <w:rPr>
                <w:rFonts w:hint="eastAsia" w:ascii="宋体" w:hAnsi="宋体" w:cs="宋体"/>
                <w:kern w:val="0"/>
                <w:szCs w:val="21"/>
              </w:rPr>
              <w:t>0.5分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kern w:val="0"/>
                <w:szCs w:val="21"/>
              </w:rPr>
            </w:pPr>
            <w:r>
              <w:rPr>
                <w:rFonts w:hint="eastAsia" w:ascii="宋体" w:hAnsi="宋体" w:cs="宋体"/>
                <w:kern w:val="0"/>
                <w:szCs w:val="21"/>
              </w:rPr>
              <w:t>每发现一处即扣</w:t>
            </w:r>
            <w:r>
              <w:rPr>
                <w:kern w:val="0"/>
                <w:szCs w:val="21"/>
              </w:rPr>
              <w:t>0.5</w:t>
            </w:r>
            <w:r>
              <w:rPr>
                <w:rFonts w:hint="eastAsia" w:ascii="宋体" w:hAnsi="宋体" w:cs="宋体"/>
                <w:kern w:val="0"/>
                <w:szCs w:val="21"/>
              </w:rPr>
              <w:t>分。</w:t>
            </w:r>
            <w:r>
              <w:rPr>
                <w:kern w:val="0"/>
                <w:szCs w:val="21"/>
              </w:rPr>
              <w:t>24</w:t>
            </w:r>
            <w:r>
              <w:rPr>
                <w:rFonts w:hint="eastAsia" w:ascii="宋体" w:hAnsi="宋体" w:cs="宋体"/>
                <w:kern w:val="0"/>
                <w:szCs w:val="21"/>
              </w:rPr>
              <w:t>小时内立即整改（倾斜树除影响交通的其它需在适宜季节扶正）；超过</w:t>
            </w:r>
            <w:r>
              <w:rPr>
                <w:kern w:val="0"/>
                <w:szCs w:val="21"/>
              </w:rPr>
              <w:t>1</w:t>
            </w:r>
            <w:r>
              <w:rPr>
                <w:rFonts w:hint="eastAsia" w:ascii="宋体" w:hAnsi="宋体" w:cs="宋体"/>
                <w:kern w:val="0"/>
                <w:szCs w:val="21"/>
              </w:rPr>
              <w:t>小时未落实整改，每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r>
              <w:rPr>
                <w:rFonts w:hint="eastAsia" w:ascii="宋体" w:hAnsi="宋体" w:cs="宋体"/>
                <w:szCs w:val="21"/>
              </w:rPr>
              <w:t>。</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shd w:val="clear" w:color="auto" w:fill="auto"/>
            <w:noWrap/>
            <w:vAlign w:val="center"/>
          </w:tcPr>
          <w:p>
            <w:pPr>
              <w:spacing w:line="260" w:lineRule="exact"/>
              <w:textAlignment w:val="center"/>
              <w:rPr>
                <w:rFonts w:ascii="宋体" w:hAnsi="宋体" w:cs="宋体"/>
                <w:szCs w:val="21"/>
              </w:rPr>
            </w:pPr>
            <w:r>
              <w:rPr>
                <w:rFonts w:hint="eastAsia" w:ascii="宋体" w:hAnsi="宋体" w:cs="宋体"/>
                <w:szCs w:val="21"/>
              </w:rPr>
              <w:t>树干有钉子，捆、挂、贴、刻、画等物品；</w:t>
            </w:r>
          </w:p>
        </w:tc>
        <w:tc>
          <w:tcPr>
            <w:tcW w:w="937" w:type="dxa"/>
            <w:tcBorders>
              <w:bottom w:val="single" w:color="000000" w:sz="4" w:space="0"/>
              <w:right w:val="single" w:color="000000" w:sz="4" w:space="0"/>
            </w:tcBorders>
            <w:shd w:val="clear" w:color="auto" w:fill="auto"/>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shd w:val="clear" w:color="auto" w:fill="auto"/>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kern w:val="0"/>
                <w:szCs w:val="21"/>
              </w:rPr>
            </w:pPr>
            <w:r>
              <w:rPr>
                <w:rFonts w:hint="eastAsia" w:ascii="宋体" w:hAnsi="宋体" w:cs="宋体"/>
                <w:szCs w:val="21"/>
              </w:rPr>
              <w:t>每发现一处扣0.5分；</w:t>
            </w:r>
            <w:r>
              <w:rPr>
                <w:rFonts w:hint="eastAsia" w:ascii="宋体" w:hAnsi="宋体" w:cs="宋体"/>
                <w:kern w:val="0"/>
                <w:szCs w:val="21"/>
              </w:rPr>
              <w:t>立案后</w:t>
            </w:r>
            <w:r>
              <w:rPr>
                <w:kern w:val="0"/>
                <w:szCs w:val="21"/>
              </w:rPr>
              <w:t>1</w:t>
            </w:r>
            <w:r>
              <w:rPr>
                <w:rFonts w:hint="eastAsia" w:ascii="宋体" w:hAnsi="宋体" w:cs="宋体"/>
                <w:kern w:val="0"/>
                <w:szCs w:val="21"/>
              </w:rPr>
              <w:t>小时内人员到位并着手整改则结束扣分；超过</w:t>
            </w:r>
            <w:r>
              <w:rPr>
                <w:kern w:val="0"/>
                <w:szCs w:val="21"/>
              </w:rPr>
              <w:t>2</w:t>
            </w:r>
            <w:r>
              <w:rPr>
                <w:rFonts w:hint="eastAsia" w:ascii="宋体" w:hAnsi="宋体" w:cs="宋体"/>
                <w:kern w:val="0"/>
                <w:szCs w:val="21"/>
              </w:rPr>
              <w:t>小时未整改完，每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shd w:val="clear" w:color="auto" w:fill="auto"/>
            <w:noWrap/>
            <w:vAlign w:val="center"/>
          </w:tcPr>
          <w:p>
            <w:pPr>
              <w:spacing w:line="260" w:lineRule="exact"/>
              <w:textAlignment w:val="center"/>
              <w:rPr>
                <w:rFonts w:ascii="宋体" w:hAnsi="宋体" w:cs="宋体"/>
                <w:szCs w:val="21"/>
              </w:rPr>
            </w:pPr>
            <w:r>
              <w:rPr>
                <w:rFonts w:hint="eastAsia" w:ascii="宋体" w:hAnsi="宋体" w:cs="宋体"/>
                <w:szCs w:val="21"/>
              </w:rPr>
              <w:t>行道树树池杂草丛生、发现建筑垃圾，杂乱裸露，侧石损坏应及时上报；</w:t>
            </w:r>
          </w:p>
        </w:tc>
        <w:tc>
          <w:tcPr>
            <w:tcW w:w="937" w:type="dxa"/>
            <w:tcBorders>
              <w:bottom w:val="single" w:color="000000" w:sz="4" w:space="0"/>
              <w:right w:val="single" w:color="000000" w:sz="4" w:space="0"/>
            </w:tcBorders>
            <w:shd w:val="clear" w:color="auto" w:fill="auto"/>
            <w:noWrap/>
            <w:vAlign w:val="center"/>
          </w:tcPr>
          <w:p>
            <w:pPr>
              <w:widowControl/>
              <w:textAlignment w:val="center"/>
              <w:rPr>
                <w:szCs w:val="21"/>
              </w:rPr>
            </w:pPr>
            <w:r>
              <w:rPr>
                <w:rFonts w:hint="eastAsia" w:ascii="宋体" w:hAnsi="宋体" w:cs="宋体"/>
                <w:kern w:val="0"/>
                <w:szCs w:val="21"/>
              </w:rPr>
              <w:t>24小时</w:t>
            </w:r>
          </w:p>
        </w:tc>
        <w:tc>
          <w:tcPr>
            <w:tcW w:w="925" w:type="dxa"/>
            <w:tcBorders>
              <w:bottom w:val="single" w:color="000000" w:sz="4" w:space="0"/>
              <w:right w:val="single" w:color="000000" w:sz="4" w:space="0"/>
            </w:tcBorders>
            <w:shd w:val="clear" w:color="auto" w:fill="auto"/>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kern w:val="0"/>
                <w:szCs w:val="21"/>
              </w:rPr>
            </w:pPr>
            <w:r>
              <w:rPr>
                <w:rFonts w:hint="eastAsia" w:ascii="宋体" w:hAnsi="宋体" w:cs="宋体"/>
                <w:szCs w:val="21"/>
              </w:rPr>
              <w:t>每发现一处扣0.5分；上报不及时扣1分。</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shd w:val="clear" w:color="auto" w:fill="auto"/>
            <w:noWrap/>
            <w:vAlign w:val="center"/>
          </w:tcPr>
          <w:p>
            <w:pPr>
              <w:spacing w:line="260" w:lineRule="exact"/>
              <w:textAlignment w:val="center"/>
              <w:rPr>
                <w:rFonts w:ascii="宋体" w:hAnsi="宋体" w:cs="宋体"/>
                <w:szCs w:val="21"/>
              </w:rPr>
            </w:pPr>
            <w:r>
              <w:rPr>
                <w:rFonts w:hint="eastAsia" w:ascii="宋体" w:hAnsi="宋体" w:cs="宋体"/>
                <w:szCs w:val="21"/>
              </w:rPr>
              <w:t>乔木冬季涂白不规范，未在规定时间内完成涂白工作。</w:t>
            </w:r>
          </w:p>
        </w:tc>
        <w:tc>
          <w:tcPr>
            <w:tcW w:w="937" w:type="dxa"/>
            <w:tcBorders>
              <w:bottom w:val="single" w:color="000000" w:sz="4" w:space="0"/>
              <w:right w:val="single" w:color="000000" w:sz="4" w:space="0"/>
            </w:tcBorders>
            <w:shd w:val="clear" w:color="auto" w:fill="auto"/>
            <w:noWrap/>
            <w:vAlign w:val="center"/>
          </w:tcPr>
          <w:p>
            <w:pPr>
              <w:widowControl/>
              <w:textAlignment w:val="center"/>
              <w:rPr>
                <w:szCs w:val="21"/>
              </w:rPr>
            </w:pPr>
            <w:r>
              <w:rPr>
                <w:rFonts w:hint="eastAsia" w:ascii="宋体" w:hAnsi="宋体" w:cs="宋体"/>
                <w:kern w:val="0"/>
                <w:szCs w:val="21"/>
              </w:rPr>
              <w:t>24小时</w:t>
            </w:r>
          </w:p>
        </w:tc>
        <w:tc>
          <w:tcPr>
            <w:tcW w:w="925" w:type="dxa"/>
            <w:tcBorders>
              <w:bottom w:val="single" w:color="000000" w:sz="4" w:space="0"/>
              <w:right w:val="single" w:color="000000" w:sz="4" w:space="0"/>
            </w:tcBorders>
            <w:shd w:val="clear" w:color="auto" w:fill="auto"/>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szCs w:val="21"/>
              </w:rPr>
              <w:t>每发现一处扣0.5分；</w:t>
            </w:r>
            <w:r>
              <w:rPr>
                <w:rFonts w:hint="eastAsia" w:ascii="宋体" w:hAnsi="宋体" w:cs="宋体"/>
                <w:kern w:val="0"/>
                <w:szCs w:val="21"/>
              </w:rPr>
              <w:t>涂白完成每延期一天扣1分。</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萌芽</w:t>
            </w:r>
            <w:r>
              <w:rPr>
                <w:kern w:val="0"/>
                <w:szCs w:val="21"/>
              </w:rPr>
              <w:t>10</w:t>
            </w:r>
            <w:r>
              <w:rPr>
                <w:rFonts w:hint="eastAsia" w:ascii="宋体" w:hAnsi="宋体" w:cs="宋体"/>
                <w:kern w:val="0"/>
                <w:szCs w:val="21"/>
              </w:rPr>
              <w:t>厘米以上，未及时抹芽的；树木未及时修剪的</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1</w:t>
            </w:r>
            <w:r>
              <w:rPr>
                <w:rFonts w:hint="eastAsia" w:ascii="宋体" w:hAnsi="宋体" w:cs="宋体"/>
                <w:kern w:val="0"/>
                <w:szCs w:val="21"/>
              </w:rPr>
              <w:t>分。立案后</w:t>
            </w:r>
            <w:r>
              <w:rPr>
                <w:kern w:val="0"/>
                <w:szCs w:val="21"/>
              </w:rPr>
              <w:t>1</w:t>
            </w:r>
            <w:r>
              <w:rPr>
                <w:rFonts w:hint="eastAsia" w:ascii="宋体" w:hAnsi="宋体" w:cs="宋体"/>
                <w:kern w:val="0"/>
                <w:szCs w:val="21"/>
              </w:rPr>
              <w:t>小时内人员到位并着手整改则结束扣分；超过1小时未整改完，每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未剪除病虫害枝条、严重的内堂枝等</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1</w:t>
            </w:r>
            <w:r>
              <w:rPr>
                <w:rFonts w:hint="eastAsia" w:ascii="宋体" w:hAnsi="宋体" w:cs="宋体"/>
                <w:kern w:val="0"/>
                <w:szCs w:val="21"/>
              </w:rPr>
              <w:t>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修剪后未及时清理现场</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rFonts w:hint="eastAsia"/>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每处发现即扣0.5分。立案后</w:t>
            </w:r>
            <w:r>
              <w:rPr>
                <w:kern w:val="0"/>
                <w:szCs w:val="21"/>
              </w:rPr>
              <w:t>1</w:t>
            </w:r>
            <w:r>
              <w:rPr>
                <w:rFonts w:hint="eastAsia" w:ascii="宋体" w:hAnsi="宋体" w:cs="宋体"/>
                <w:kern w:val="0"/>
                <w:szCs w:val="21"/>
              </w:rPr>
              <w:t>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1</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出现因修剪而产生的树皮拉伤现象</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每处发现即扣1分。立案后</w:t>
            </w:r>
            <w:r>
              <w:rPr>
                <w:kern w:val="0"/>
                <w:szCs w:val="21"/>
              </w:rPr>
              <w:t>1</w:t>
            </w:r>
            <w:r>
              <w:rPr>
                <w:rFonts w:hint="eastAsia" w:ascii="宋体" w:hAnsi="宋体" w:cs="宋体"/>
                <w:kern w:val="0"/>
                <w:szCs w:val="21"/>
              </w:rPr>
              <w:t>小时内采取有效措施整改则结束扣分；超过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切口没有靠节，切口不够平整、留有树茬的；</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1</w:t>
            </w:r>
            <w:r>
              <w:rPr>
                <w:rFonts w:hint="eastAsia" w:ascii="宋体" w:hAnsi="宋体" w:cs="宋体"/>
                <w:kern w:val="0"/>
                <w:szCs w:val="21"/>
              </w:rPr>
              <w:t>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树木出现枯死、损坏的；</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48</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2</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2</w:t>
            </w:r>
            <w:r>
              <w:rPr>
                <w:rFonts w:hint="eastAsia" w:ascii="宋体" w:hAnsi="宋体" w:cs="宋体"/>
                <w:kern w:val="0"/>
                <w:szCs w:val="21"/>
              </w:rPr>
              <w:t>分。立案后</w:t>
            </w:r>
            <w:r>
              <w:rPr>
                <w:kern w:val="0"/>
                <w:szCs w:val="21"/>
              </w:rPr>
              <w:t>48</w:t>
            </w:r>
            <w:r>
              <w:rPr>
                <w:rFonts w:hint="eastAsia" w:ascii="宋体" w:hAnsi="宋体" w:cs="宋体"/>
                <w:kern w:val="0"/>
                <w:szCs w:val="21"/>
              </w:rPr>
              <w:t>小时内整改则结束扣分；超过</w:t>
            </w:r>
            <w:r>
              <w:rPr>
                <w:kern w:val="0"/>
                <w:szCs w:val="21"/>
              </w:rPr>
              <w:t>24</w:t>
            </w:r>
            <w:r>
              <w:rPr>
                <w:rFonts w:hint="eastAsia" w:ascii="宋体" w:hAnsi="宋体" w:cs="宋体"/>
                <w:kern w:val="0"/>
                <w:szCs w:val="21"/>
              </w:rPr>
              <w:t>小时整改，每</w:t>
            </w:r>
            <w:r>
              <w:rPr>
                <w:kern w:val="0"/>
                <w:szCs w:val="21"/>
              </w:rPr>
              <w:t>12</w:t>
            </w:r>
            <w:r>
              <w:rPr>
                <w:rFonts w:hint="eastAsia" w:ascii="宋体" w:hAnsi="宋体" w:cs="宋体"/>
                <w:kern w:val="0"/>
                <w:szCs w:val="21"/>
              </w:rPr>
              <w:t>小时扣</w:t>
            </w:r>
            <w:r>
              <w:rPr>
                <w:kern w:val="0"/>
                <w:szCs w:val="21"/>
              </w:rPr>
              <w:t>2</w:t>
            </w:r>
            <w:r>
              <w:rPr>
                <w:rFonts w:hint="eastAsia" w:ascii="宋体" w:hAnsi="宋体" w:cs="宋体"/>
                <w:kern w:val="0"/>
                <w:szCs w:val="21"/>
              </w:rPr>
              <w:t>分，扣分累计【未在绿化季节</w:t>
            </w:r>
            <w:r>
              <w:rPr>
                <w:kern w:val="0"/>
                <w:szCs w:val="21"/>
              </w:rPr>
              <w:t>3</w:t>
            </w:r>
            <w:r>
              <w:rPr>
                <w:rFonts w:hint="eastAsia" w:ascii="宋体" w:hAnsi="宋体" w:cs="宋体"/>
                <w:kern w:val="0"/>
                <w:szCs w:val="21"/>
              </w:rPr>
              <w:t>日内补种完毕的，按市场价赔偿（由于自然原因或其他人为原因造成树木大量死亡的时间可以延后）】</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灌木，球类</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模纹色块的上平面、内侧面、外侧面不平整</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2</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2</w:t>
            </w:r>
            <w:r>
              <w:rPr>
                <w:rFonts w:hint="eastAsia" w:ascii="宋体" w:hAnsi="宋体" w:cs="宋体"/>
                <w:kern w:val="0"/>
                <w:szCs w:val="21"/>
              </w:rPr>
              <w:t>小时内整改则结束扣分；超过</w:t>
            </w:r>
            <w:r>
              <w:rPr>
                <w:kern w:val="0"/>
                <w:szCs w:val="21"/>
              </w:rPr>
              <w:t>2</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轮廓不清楚、线条不流畅</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分。立案后1小时内整改则结束扣分；超过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不同植物材料分界不清晰、高差层次不分明</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24</w:t>
            </w:r>
            <w:r>
              <w:rPr>
                <w:rFonts w:hint="eastAsia" w:ascii="宋体" w:hAnsi="宋体" w:cs="宋体"/>
                <w:kern w:val="0"/>
                <w:szCs w:val="21"/>
              </w:rPr>
              <w:t>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绿篱不整齐，高度过高</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徒长枝高过</w:t>
            </w:r>
            <w:r>
              <w:rPr>
                <w:kern w:val="0"/>
                <w:szCs w:val="21"/>
              </w:rPr>
              <w:t>3</w:t>
            </w:r>
            <w:r>
              <w:rPr>
                <w:rFonts w:hint="eastAsia" w:ascii="宋体" w:hAnsi="宋体" w:cs="宋体"/>
                <w:kern w:val="0"/>
                <w:szCs w:val="21"/>
              </w:rPr>
              <w:t>厘米</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球形不够丰满、完整、分布匀称</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圆头形、半圆头形或柱形面不够光滑密实</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单枝</w:t>
            </w:r>
            <w:r>
              <w:rPr>
                <w:kern w:val="0"/>
                <w:szCs w:val="21"/>
              </w:rPr>
              <w:t>(</w:t>
            </w:r>
            <w:r>
              <w:rPr>
                <w:rFonts w:hint="eastAsia" w:ascii="宋体" w:hAnsi="宋体" w:cs="宋体"/>
                <w:kern w:val="0"/>
                <w:szCs w:val="21"/>
              </w:rPr>
              <w:t>芽</w:t>
            </w:r>
            <w:r>
              <w:rPr>
                <w:kern w:val="0"/>
                <w:szCs w:val="21"/>
              </w:rPr>
              <w:t>)</w:t>
            </w:r>
            <w:r>
              <w:rPr>
                <w:rFonts w:hint="eastAsia" w:ascii="宋体" w:hAnsi="宋体" w:cs="宋体"/>
                <w:kern w:val="0"/>
                <w:szCs w:val="21"/>
              </w:rPr>
              <w:t>超出</w:t>
            </w:r>
            <w:r>
              <w:rPr>
                <w:kern w:val="0"/>
                <w:szCs w:val="21"/>
              </w:rPr>
              <w:t>2cm</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内膛小枝没有适量疏剪，强壮枝没有进行适当短截</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下垂细弱枝及地表萌生的地蘖没有彻底疏除</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24</w:t>
            </w:r>
            <w:r>
              <w:rPr>
                <w:rFonts w:hint="eastAsia" w:ascii="宋体" w:hAnsi="宋体" w:cs="宋体"/>
                <w:kern w:val="0"/>
                <w:szCs w:val="21"/>
              </w:rPr>
              <w:t>小时内整改则结束扣分；超过</w:t>
            </w:r>
            <w:r>
              <w:rPr>
                <w:kern w:val="0"/>
                <w:szCs w:val="21"/>
              </w:rPr>
              <w:t>1</w:t>
            </w:r>
            <w:r>
              <w:rPr>
                <w:rFonts w:hint="eastAsia" w:ascii="宋体" w:hAnsi="宋体" w:cs="宋体"/>
                <w:kern w:val="0"/>
                <w:szCs w:val="21"/>
              </w:rPr>
              <w:t>小时整改，每</w:t>
            </w:r>
            <w:r>
              <w:rPr>
                <w:kern w:val="0"/>
                <w:szCs w:val="21"/>
              </w:rPr>
              <w:t>1</w:t>
            </w:r>
            <w:r>
              <w:rPr>
                <w:rFonts w:hint="eastAsia" w:ascii="宋体" w:hAnsi="宋体" w:cs="宋体"/>
                <w:kern w:val="0"/>
                <w:szCs w:val="21"/>
              </w:rPr>
              <w:t>小时扣</w:t>
            </w:r>
            <w:r>
              <w:rPr>
                <w:kern w:val="0"/>
                <w:szCs w:val="21"/>
              </w:rPr>
              <w:t>0.5</w:t>
            </w:r>
            <w:r>
              <w:rPr>
                <w:rFonts w:hint="eastAsia" w:ascii="宋体" w:hAnsi="宋体" w:cs="宋体"/>
                <w:kern w:val="0"/>
                <w:szCs w:val="21"/>
              </w:rPr>
              <w:t>分，扣分累计</w:t>
            </w:r>
          </w:p>
        </w:tc>
      </w:tr>
      <w:tr>
        <w:tblPrEx>
          <w:tblCellMar>
            <w:top w:w="15" w:type="dxa"/>
            <w:left w:w="15" w:type="dxa"/>
            <w:bottom w:w="15" w:type="dxa"/>
            <w:right w:w="15" w:type="dxa"/>
          </w:tblCellMar>
        </w:tblPrEx>
        <w:trPr>
          <w:trHeight w:val="241"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vMerge w:val="restart"/>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球类植株长势欠佳，或者遭受破坏的，造成球体不完整需要重新补植的</w:t>
            </w:r>
          </w:p>
        </w:tc>
        <w:tc>
          <w:tcPr>
            <w:tcW w:w="937" w:type="dxa"/>
            <w:vMerge w:val="restart"/>
            <w:tcBorders>
              <w:bottom w:val="single" w:color="000000" w:sz="4" w:space="0"/>
              <w:right w:val="single" w:color="000000" w:sz="4" w:space="0"/>
            </w:tcBorders>
            <w:noWrap/>
            <w:vAlign w:val="center"/>
          </w:tcPr>
          <w:p>
            <w:pPr>
              <w:widowControl/>
              <w:textAlignment w:val="center"/>
              <w:rPr>
                <w:szCs w:val="21"/>
              </w:rPr>
            </w:pPr>
            <w:r>
              <w:rPr>
                <w:kern w:val="0"/>
                <w:szCs w:val="21"/>
              </w:rPr>
              <w:t>24</w:t>
            </w:r>
            <w:r>
              <w:rPr>
                <w:rFonts w:hint="eastAsia" w:ascii="宋体" w:hAnsi="宋体" w:cs="宋体"/>
                <w:kern w:val="0"/>
                <w:szCs w:val="21"/>
              </w:rPr>
              <w:t>小时</w:t>
            </w:r>
          </w:p>
        </w:tc>
        <w:tc>
          <w:tcPr>
            <w:tcW w:w="925" w:type="dxa"/>
            <w:vMerge w:val="restart"/>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分</w:t>
            </w:r>
          </w:p>
        </w:tc>
        <w:tc>
          <w:tcPr>
            <w:tcW w:w="2802" w:type="dxa"/>
            <w:vMerge w:val="restart"/>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0.5</w:t>
            </w:r>
            <w:r>
              <w:rPr>
                <w:rFonts w:hint="eastAsia" w:ascii="宋体" w:hAnsi="宋体" w:cs="宋体"/>
                <w:kern w:val="0"/>
                <w:szCs w:val="21"/>
              </w:rPr>
              <w:t>分。立案后</w:t>
            </w:r>
            <w:r>
              <w:rPr>
                <w:kern w:val="0"/>
                <w:szCs w:val="21"/>
              </w:rPr>
              <w:t>72</w:t>
            </w:r>
            <w:r>
              <w:rPr>
                <w:rFonts w:hint="eastAsia" w:ascii="宋体" w:hAnsi="宋体" w:cs="宋体"/>
                <w:kern w:val="0"/>
                <w:szCs w:val="21"/>
              </w:rPr>
              <w:t>小时内整改则结束扣分；超过</w:t>
            </w:r>
            <w:r>
              <w:rPr>
                <w:kern w:val="0"/>
                <w:szCs w:val="21"/>
              </w:rPr>
              <w:t>24</w:t>
            </w:r>
            <w:r>
              <w:rPr>
                <w:rFonts w:hint="eastAsia" w:ascii="宋体" w:hAnsi="宋体" w:cs="宋体"/>
                <w:kern w:val="0"/>
                <w:szCs w:val="21"/>
              </w:rPr>
              <w:t>小时整改，每</w:t>
            </w:r>
            <w:r>
              <w:rPr>
                <w:kern w:val="0"/>
                <w:szCs w:val="21"/>
              </w:rPr>
              <w:t>12</w:t>
            </w:r>
            <w:r>
              <w:rPr>
                <w:rFonts w:hint="eastAsia" w:ascii="宋体" w:hAnsi="宋体" w:cs="宋体"/>
                <w:kern w:val="0"/>
                <w:szCs w:val="21"/>
              </w:rPr>
              <w:t>小时扣</w:t>
            </w:r>
            <w:r>
              <w:rPr>
                <w:kern w:val="0"/>
                <w:szCs w:val="21"/>
              </w:rPr>
              <w:t>1</w:t>
            </w:r>
            <w:r>
              <w:rPr>
                <w:rFonts w:hint="eastAsia" w:ascii="宋体" w:hAnsi="宋体" w:cs="宋体"/>
                <w:kern w:val="0"/>
                <w:szCs w:val="21"/>
              </w:rPr>
              <w:t>分，扣分累计（受天气影响可适当延期）</w:t>
            </w:r>
          </w:p>
        </w:tc>
      </w:tr>
      <w:tr>
        <w:tblPrEx>
          <w:tblCellMar>
            <w:top w:w="15" w:type="dxa"/>
            <w:left w:w="15" w:type="dxa"/>
            <w:bottom w:w="15" w:type="dxa"/>
            <w:right w:w="15" w:type="dxa"/>
          </w:tblCellMar>
        </w:tblPrEx>
        <w:trPr>
          <w:trHeight w:val="241"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vMerge w:val="continue"/>
            <w:tcBorders>
              <w:bottom w:val="single" w:color="000000" w:sz="4" w:space="0"/>
              <w:right w:val="single" w:color="000000" w:sz="4" w:space="0"/>
            </w:tcBorders>
            <w:noWrap/>
            <w:vAlign w:val="center"/>
          </w:tcPr>
          <w:p>
            <w:pPr>
              <w:rPr>
                <w:rFonts w:ascii="宋体" w:hAnsi="宋体" w:cs="宋体"/>
                <w:szCs w:val="21"/>
              </w:rPr>
            </w:pPr>
          </w:p>
        </w:tc>
        <w:tc>
          <w:tcPr>
            <w:tcW w:w="937" w:type="dxa"/>
            <w:vMerge w:val="continue"/>
            <w:tcBorders>
              <w:bottom w:val="single" w:color="000000" w:sz="4" w:space="0"/>
              <w:right w:val="single" w:color="000000" w:sz="4" w:space="0"/>
            </w:tcBorders>
            <w:noWrap/>
            <w:vAlign w:val="center"/>
          </w:tcPr>
          <w:p>
            <w:pPr>
              <w:rPr>
                <w:szCs w:val="21"/>
              </w:rPr>
            </w:pPr>
          </w:p>
        </w:tc>
        <w:tc>
          <w:tcPr>
            <w:tcW w:w="925" w:type="dxa"/>
            <w:vMerge w:val="continue"/>
            <w:tcBorders>
              <w:bottom w:val="single" w:color="000000" w:sz="4" w:space="0"/>
              <w:right w:val="single" w:color="000000" w:sz="4" w:space="0"/>
            </w:tcBorders>
            <w:noWrap/>
            <w:vAlign w:val="center"/>
          </w:tcPr>
          <w:p>
            <w:pPr>
              <w:rPr>
                <w:szCs w:val="21"/>
              </w:rPr>
            </w:pPr>
          </w:p>
        </w:tc>
        <w:tc>
          <w:tcPr>
            <w:tcW w:w="2802" w:type="dxa"/>
            <w:vMerge w:val="continue"/>
            <w:tcBorders>
              <w:bottom w:val="single" w:color="000000" w:sz="4" w:space="0"/>
              <w:right w:val="single" w:color="000000" w:sz="4" w:space="0"/>
            </w:tcBorders>
            <w:noWrap/>
            <w:vAlign w:val="center"/>
          </w:tcPr>
          <w:p>
            <w:pPr>
              <w:rPr>
                <w:rFonts w:ascii="宋体" w:hAnsi="宋体" w:cs="宋体"/>
                <w:szCs w:val="21"/>
              </w:rPr>
            </w:pP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草坪</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草坪、绿地内有杂草、空秃</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24</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1</w:t>
            </w:r>
            <w:r>
              <w:rPr>
                <w:rFonts w:hint="eastAsia" w:ascii="宋体" w:hAnsi="宋体" w:cs="宋体"/>
                <w:kern w:val="0"/>
                <w:szCs w:val="21"/>
              </w:rPr>
              <w:t>分。立案后</w:t>
            </w:r>
            <w:r>
              <w:rPr>
                <w:kern w:val="0"/>
                <w:szCs w:val="21"/>
              </w:rPr>
              <w:t>24</w:t>
            </w:r>
            <w:r>
              <w:rPr>
                <w:rFonts w:hint="eastAsia" w:ascii="宋体" w:hAnsi="宋体" w:cs="宋体"/>
                <w:kern w:val="0"/>
                <w:szCs w:val="21"/>
              </w:rPr>
              <w:t>小时内整改则结束扣分；超过</w:t>
            </w:r>
            <w:r>
              <w:rPr>
                <w:kern w:val="0"/>
                <w:szCs w:val="21"/>
              </w:rPr>
              <w:t>24</w:t>
            </w:r>
            <w:r>
              <w:rPr>
                <w:rFonts w:hint="eastAsia" w:ascii="宋体" w:hAnsi="宋体" w:cs="宋体"/>
                <w:kern w:val="0"/>
                <w:szCs w:val="21"/>
              </w:rPr>
              <w:t>小时整改，每</w:t>
            </w:r>
            <w:r>
              <w:rPr>
                <w:kern w:val="0"/>
                <w:szCs w:val="21"/>
              </w:rPr>
              <w:t>12</w:t>
            </w:r>
            <w:r>
              <w:rPr>
                <w:rFonts w:hint="eastAsia" w:ascii="宋体" w:hAnsi="宋体" w:cs="宋体"/>
                <w:kern w:val="0"/>
                <w:szCs w:val="21"/>
              </w:rPr>
              <w:t>小时扣</w:t>
            </w:r>
            <w:r>
              <w:rPr>
                <w:kern w:val="0"/>
                <w:szCs w:val="21"/>
              </w:rPr>
              <w:t>1</w:t>
            </w:r>
            <w:r>
              <w:rPr>
                <w:rFonts w:hint="eastAsia" w:ascii="宋体" w:hAnsi="宋体" w:cs="宋体"/>
                <w:kern w:val="0"/>
                <w:szCs w:val="21"/>
              </w:rPr>
              <w:t>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草坪有成片非自然枯黄现象</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24</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每处发现即扣</w:t>
            </w:r>
            <w:r>
              <w:rPr>
                <w:kern w:val="0"/>
                <w:szCs w:val="21"/>
              </w:rPr>
              <w:t>1</w:t>
            </w:r>
            <w:r>
              <w:rPr>
                <w:rFonts w:hint="eastAsia" w:ascii="宋体" w:hAnsi="宋体" w:cs="宋体"/>
                <w:kern w:val="0"/>
                <w:szCs w:val="21"/>
              </w:rPr>
              <w:t>分。立案后</w:t>
            </w:r>
            <w:r>
              <w:rPr>
                <w:kern w:val="0"/>
                <w:szCs w:val="21"/>
              </w:rPr>
              <w:t>24</w:t>
            </w:r>
            <w:r>
              <w:rPr>
                <w:rFonts w:hint="eastAsia" w:ascii="宋体" w:hAnsi="宋体" w:cs="宋体"/>
                <w:kern w:val="0"/>
                <w:szCs w:val="21"/>
              </w:rPr>
              <w:t>小时内整改则结束扣分；超过</w:t>
            </w:r>
            <w:r>
              <w:rPr>
                <w:kern w:val="0"/>
                <w:szCs w:val="21"/>
              </w:rPr>
              <w:t>24</w:t>
            </w:r>
            <w:r>
              <w:rPr>
                <w:rFonts w:hint="eastAsia" w:ascii="宋体" w:hAnsi="宋体" w:cs="宋体"/>
                <w:kern w:val="0"/>
                <w:szCs w:val="21"/>
              </w:rPr>
              <w:t>小时整改，每</w:t>
            </w:r>
            <w:r>
              <w:rPr>
                <w:kern w:val="0"/>
                <w:szCs w:val="21"/>
              </w:rPr>
              <w:t>12</w:t>
            </w:r>
            <w:r>
              <w:rPr>
                <w:rFonts w:hint="eastAsia" w:ascii="宋体" w:hAnsi="宋体" w:cs="宋体"/>
                <w:kern w:val="0"/>
                <w:szCs w:val="21"/>
              </w:rPr>
              <w:t>小时扣</w:t>
            </w:r>
            <w:r>
              <w:rPr>
                <w:kern w:val="0"/>
                <w:szCs w:val="21"/>
              </w:rPr>
              <w:t>1</w:t>
            </w:r>
            <w:r>
              <w:rPr>
                <w:rFonts w:hint="eastAsia" w:ascii="宋体" w:hAnsi="宋体" w:cs="宋体"/>
                <w:kern w:val="0"/>
                <w:szCs w:val="21"/>
              </w:rPr>
              <w:t>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未及时滚剪的，草高过</w:t>
            </w:r>
            <w:r>
              <w:rPr>
                <w:kern w:val="0"/>
                <w:szCs w:val="21"/>
              </w:rPr>
              <w:t>5</w:t>
            </w:r>
            <w:r>
              <w:rPr>
                <w:rFonts w:hint="eastAsia" w:ascii="宋体" w:hAnsi="宋体" w:cs="宋体"/>
                <w:kern w:val="0"/>
                <w:szCs w:val="21"/>
              </w:rPr>
              <w:t>厘米（除由于天气原因不能滚剪以外）</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6</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每处发现即扣0.5分。立案后6小时内整改则结束扣分；超过6小时整改，每6小时扣0.5分，扣分累计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草坪边缘线不清晰</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6</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0.5</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每处发现即扣0.5分。立案后6小时内整改则结束扣分；超过6小时整改，每6小时扣0.5分，扣分累计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草坪有石块、果壳纸屑及其他垃圾</w:t>
            </w:r>
          </w:p>
        </w:tc>
        <w:tc>
          <w:tcPr>
            <w:tcW w:w="937" w:type="dxa"/>
            <w:tcBorders>
              <w:bottom w:val="single" w:color="000000" w:sz="4" w:space="0"/>
              <w:right w:val="single" w:color="000000" w:sz="4" w:space="0"/>
            </w:tcBorders>
            <w:noWrap/>
            <w:vAlign w:val="center"/>
          </w:tcPr>
          <w:p>
            <w:pPr>
              <w:widowControl/>
              <w:textAlignment w:val="center"/>
              <w:rPr>
                <w:szCs w:val="21"/>
              </w:rPr>
            </w:pPr>
            <w:r>
              <w:rPr>
                <w:kern w:val="0"/>
                <w:szCs w:val="21"/>
              </w:rPr>
              <w:t>1</w:t>
            </w:r>
            <w:r>
              <w:rPr>
                <w:rFonts w:hint="eastAsia" w:ascii="宋体" w:hAnsi="宋体" w:cs="宋体"/>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szCs w:val="21"/>
              </w:rPr>
            </w:pPr>
            <w:r>
              <w:rPr>
                <w:rFonts w:hint="eastAsia" w:ascii="宋体" w:hAnsi="宋体" w:cs="宋体"/>
                <w:kern w:val="0"/>
                <w:szCs w:val="21"/>
              </w:rPr>
              <w:t>0.5分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FF"/>
                <w:kern w:val="0"/>
                <w:szCs w:val="21"/>
              </w:rPr>
            </w:pPr>
            <w:r>
              <w:rPr>
                <w:rFonts w:hint="eastAsia" w:ascii="宋体" w:hAnsi="宋体" w:cs="宋体"/>
                <w:color w:val="0000FF"/>
                <w:kern w:val="0"/>
                <w:szCs w:val="21"/>
              </w:rPr>
              <w:t>混播草冷季型草坪未及时播种，播种不到位，出芽率低</w:t>
            </w:r>
          </w:p>
        </w:tc>
        <w:tc>
          <w:tcPr>
            <w:tcW w:w="937" w:type="dxa"/>
            <w:tcBorders>
              <w:bottom w:val="single" w:color="000000" w:sz="4" w:space="0"/>
              <w:right w:val="single" w:color="000000" w:sz="4" w:space="0"/>
            </w:tcBorders>
            <w:noWrap/>
            <w:vAlign w:val="center"/>
          </w:tcPr>
          <w:p>
            <w:pPr>
              <w:widowControl/>
              <w:textAlignment w:val="center"/>
              <w:rPr>
                <w:color w:val="0000FF"/>
                <w:kern w:val="0"/>
                <w:szCs w:val="21"/>
              </w:rPr>
            </w:pPr>
            <w:r>
              <w:rPr>
                <w:rFonts w:hint="eastAsia"/>
                <w:color w:val="0000FF"/>
                <w:kern w:val="0"/>
                <w:szCs w:val="21"/>
              </w:rPr>
              <w:t>24小时</w:t>
            </w:r>
          </w:p>
        </w:tc>
        <w:tc>
          <w:tcPr>
            <w:tcW w:w="925" w:type="dxa"/>
            <w:tcBorders>
              <w:bottom w:val="single" w:color="000000" w:sz="4" w:space="0"/>
              <w:right w:val="single" w:color="000000" w:sz="4" w:space="0"/>
            </w:tcBorders>
            <w:noWrap/>
            <w:vAlign w:val="center"/>
          </w:tcPr>
          <w:p>
            <w:pPr>
              <w:widowControl/>
              <w:textAlignment w:val="center"/>
              <w:rPr>
                <w:color w:val="0000FF"/>
                <w:kern w:val="0"/>
                <w:szCs w:val="21"/>
              </w:rPr>
            </w:pPr>
            <w:r>
              <w:rPr>
                <w:rFonts w:hint="eastAsia"/>
                <w:color w:val="0000FF"/>
                <w:kern w:val="0"/>
                <w:szCs w:val="21"/>
              </w:rPr>
              <w:t>1分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FF"/>
                <w:kern w:val="0"/>
                <w:szCs w:val="21"/>
              </w:rPr>
            </w:pPr>
            <w:r>
              <w:rPr>
                <w:rFonts w:hint="eastAsia" w:ascii="宋体" w:hAnsi="宋体" w:cs="宋体"/>
                <w:color w:val="0000FF"/>
                <w:kern w:val="0"/>
                <w:szCs w:val="21"/>
              </w:rPr>
              <w:t>每处发现即扣</w:t>
            </w:r>
            <w:r>
              <w:rPr>
                <w:color w:val="0000FF"/>
                <w:kern w:val="0"/>
                <w:szCs w:val="21"/>
              </w:rPr>
              <w:t>1</w:t>
            </w:r>
            <w:r>
              <w:rPr>
                <w:rFonts w:hint="eastAsia" w:ascii="宋体" w:hAnsi="宋体" w:cs="宋体"/>
                <w:color w:val="0000FF"/>
                <w:kern w:val="0"/>
                <w:szCs w:val="21"/>
              </w:rPr>
              <w:t>分。立案后</w:t>
            </w:r>
            <w:r>
              <w:rPr>
                <w:color w:val="0000FF"/>
                <w:kern w:val="0"/>
                <w:szCs w:val="21"/>
              </w:rPr>
              <w:t>72</w:t>
            </w:r>
            <w:r>
              <w:rPr>
                <w:rFonts w:hint="eastAsia" w:ascii="宋体" w:hAnsi="宋体" w:cs="宋体"/>
                <w:color w:val="0000FF"/>
                <w:kern w:val="0"/>
                <w:szCs w:val="21"/>
              </w:rPr>
              <w:t>小时内整改则结束扣分；超过</w:t>
            </w:r>
            <w:r>
              <w:rPr>
                <w:color w:val="0000FF"/>
                <w:kern w:val="0"/>
                <w:szCs w:val="21"/>
              </w:rPr>
              <w:t>24</w:t>
            </w:r>
            <w:r>
              <w:rPr>
                <w:rFonts w:hint="eastAsia" w:ascii="宋体" w:hAnsi="宋体" w:cs="宋体"/>
                <w:color w:val="0000FF"/>
                <w:kern w:val="0"/>
                <w:szCs w:val="21"/>
              </w:rPr>
              <w:t>小时整改，每</w:t>
            </w:r>
            <w:r>
              <w:rPr>
                <w:color w:val="0000FF"/>
                <w:kern w:val="0"/>
                <w:szCs w:val="21"/>
              </w:rPr>
              <w:t>12</w:t>
            </w:r>
            <w:r>
              <w:rPr>
                <w:rFonts w:hint="eastAsia" w:ascii="宋体" w:hAnsi="宋体" w:cs="宋体"/>
                <w:color w:val="0000FF"/>
                <w:kern w:val="0"/>
                <w:szCs w:val="21"/>
              </w:rPr>
              <w:t>小时扣</w:t>
            </w:r>
            <w:r>
              <w:rPr>
                <w:color w:val="0000FF"/>
                <w:kern w:val="0"/>
                <w:szCs w:val="21"/>
              </w:rPr>
              <w:t>1</w:t>
            </w:r>
            <w:r>
              <w:rPr>
                <w:rFonts w:hint="eastAsia" w:ascii="宋体" w:hAnsi="宋体" w:cs="宋体"/>
                <w:color w:val="0000FF"/>
                <w:kern w:val="0"/>
                <w:szCs w:val="21"/>
              </w:rPr>
              <w:t>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绿带缺失、有小道</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1</w:t>
            </w:r>
            <w:r>
              <w:rPr>
                <w:rFonts w:hint="eastAsia" w:ascii="宋体" w:hAnsi="宋体" w:cs="宋体"/>
                <w:color w:val="000000"/>
                <w:kern w:val="0"/>
                <w:szCs w:val="21"/>
              </w:rPr>
              <w:t>分。立案后</w:t>
            </w:r>
            <w:r>
              <w:rPr>
                <w:color w:val="000000"/>
                <w:kern w:val="0"/>
                <w:szCs w:val="21"/>
              </w:rPr>
              <w:t>72</w:t>
            </w:r>
            <w:r>
              <w:rPr>
                <w:rFonts w:hint="eastAsia" w:ascii="宋体" w:hAnsi="宋体" w:cs="宋体"/>
                <w:color w:val="000000"/>
                <w:kern w:val="0"/>
                <w:szCs w:val="21"/>
              </w:rPr>
              <w:t>小时内整改则结束扣分；超过</w:t>
            </w:r>
            <w:r>
              <w:rPr>
                <w:color w:val="000000"/>
                <w:kern w:val="0"/>
                <w:szCs w:val="21"/>
              </w:rPr>
              <w:t>24</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1</w:t>
            </w:r>
            <w:r>
              <w:rPr>
                <w:rFonts w:hint="eastAsia" w:ascii="宋体" w:hAnsi="宋体" w:cs="宋体"/>
                <w:color w:val="000000"/>
                <w:kern w:val="0"/>
                <w:szCs w:val="21"/>
              </w:rPr>
              <w:t>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修剪后未及时清理现场的</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rFonts w:hint="eastAsia" w:ascii="宋体" w:hAnsi="宋体" w:cs="宋体"/>
                <w:color w:val="000000"/>
                <w:kern w:val="0"/>
                <w:szCs w:val="21"/>
              </w:rPr>
              <w:t>0.5分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2</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枯枝落叶未及时清理的</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2</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草花</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草花未及时更换，保持完整鲜艳</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rFonts w:hint="eastAsia"/>
                <w:color w:val="000000"/>
                <w:kern w:val="0"/>
                <w:szCs w:val="21"/>
              </w:rPr>
              <w:t>24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12</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有杂草、积水</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color w:val="000000"/>
                <w:kern w:val="0"/>
                <w:szCs w:val="21"/>
              </w:rPr>
              <w:t>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12</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宿根植物未及时翻种、断根、间删</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24</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水生植物</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挺水、浮叶植物生长期未及时修剪清理枯叶、残花、过密枝叶</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rFonts w:hint="eastAsia" w:ascii="宋体" w:hAnsi="宋体" w:cs="宋体"/>
                <w:color w:val="000000"/>
                <w:kern w:val="0"/>
                <w:szCs w:val="21"/>
              </w:rPr>
              <w:t>24小时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沉水、漂浮植物过密影响景观时，未及时进行打捞、清理</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竹类</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未及时清除枯死竹干和枝条，砍除老竹、病竹和倒伏竹</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12</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土、水、肥标准</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绿地施肥少于</w:t>
            </w:r>
            <w:r>
              <w:rPr>
                <w:color w:val="000000"/>
                <w:kern w:val="0"/>
                <w:szCs w:val="21"/>
              </w:rPr>
              <w:t>2</w:t>
            </w:r>
            <w:r>
              <w:rPr>
                <w:rFonts w:hint="eastAsia" w:ascii="宋体" w:hAnsi="宋体" w:cs="宋体"/>
                <w:color w:val="000000"/>
                <w:kern w:val="0"/>
                <w:szCs w:val="21"/>
              </w:rPr>
              <w:t>次（未报园林处审核备案的，不作施肥次数）</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1</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12</w:t>
            </w:r>
            <w:r>
              <w:rPr>
                <w:rFonts w:hint="eastAsia" w:ascii="宋体" w:hAnsi="宋体" w:cs="宋体"/>
                <w:color w:val="000000"/>
                <w:kern w:val="0"/>
                <w:szCs w:val="21"/>
              </w:rPr>
              <w:t>小时整改，每</w:t>
            </w:r>
            <w:r>
              <w:rPr>
                <w:color w:val="000000"/>
                <w:kern w:val="0"/>
                <w:szCs w:val="21"/>
              </w:rPr>
              <w:t>6</w:t>
            </w:r>
            <w:r>
              <w:rPr>
                <w:rFonts w:hint="eastAsia" w:ascii="宋体" w:hAnsi="宋体" w:cs="宋体"/>
                <w:color w:val="000000"/>
                <w:kern w:val="0"/>
                <w:szCs w:val="21"/>
              </w:rPr>
              <w:t>小时扣</w:t>
            </w:r>
            <w:r>
              <w:rPr>
                <w:color w:val="000000"/>
                <w:kern w:val="0"/>
                <w:szCs w:val="21"/>
              </w:rPr>
              <w:t>1</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日常养护中植株出现缺水萎蔫</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分。立案后1小时内整改则结束扣分；超过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夏季未在每日上午</w:t>
            </w:r>
            <w:r>
              <w:rPr>
                <w:color w:val="000000"/>
                <w:kern w:val="0"/>
                <w:szCs w:val="21"/>
              </w:rPr>
              <w:t>10</w:t>
            </w:r>
            <w:r>
              <w:rPr>
                <w:rFonts w:hint="eastAsia" w:ascii="宋体" w:hAnsi="宋体" w:cs="宋体"/>
                <w:color w:val="000000"/>
                <w:kern w:val="0"/>
                <w:szCs w:val="21"/>
              </w:rPr>
              <w:t>时前、下午</w:t>
            </w:r>
            <w:r>
              <w:rPr>
                <w:color w:val="000000"/>
                <w:kern w:val="0"/>
                <w:szCs w:val="21"/>
              </w:rPr>
              <w:t>4</w:t>
            </w:r>
            <w:r>
              <w:rPr>
                <w:rFonts w:hint="eastAsia" w:ascii="宋体" w:hAnsi="宋体" w:cs="宋体"/>
                <w:color w:val="000000"/>
                <w:kern w:val="0"/>
                <w:szCs w:val="21"/>
              </w:rPr>
              <w:t>时后开始浇水，每天少于</w:t>
            </w:r>
            <w:r>
              <w:rPr>
                <w:color w:val="000000"/>
                <w:kern w:val="0"/>
                <w:szCs w:val="21"/>
              </w:rPr>
              <w:t>2</w:t>
            </w:r>
            <w:r>
              <w:rPr>
                <w:rFonts w:hint="eastAsia" w:ascii="宋体" w:hAnsi="宋体" w:cs="宋体"/>
                <w:color w:val="000000"/>
                <w:kern w:val="0"/>
                <w:szCs w:val="21"/>
              </w:rPr>
              <w:t>次浇水（忌中午酷热时浇水，不得出现失水萎蔫现象）</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1小时</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1</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浇灌过程不规范，未浇足浇透；浇灌设施不完好，发生跑、冒、滴、漏现象</w:t>
            </w:r>
          </w:p>
        </w:tc>
        <w:tc>
          <w:tcPr>
            <w:tcW w:w="937" w:type="dxa"/>
            <w:tcBorders>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1小时</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0.5分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1</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暴雨后绿地内有明显积水</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每处发现即扣1分。立案后12小时内整改则结束扣分；超过12小时整改，每12小时扣1分，扣分累计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病虫害防治</w:t>
            </w: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病虫害预防措施未及时到位</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每处发现即扣1分。立案后2小时内整改则结束扣分；超过2小时整改，每1小时扣1分，扣分累计（受天气影响可适当延期）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接到甲方通知未完成预防防治工作</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每处发现即扣1分。立案后2小时内整改则结束扣分；超过2小时整改，每1小时扣1分，扣分累计（受天气影响可适当延期）</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病虫害枝条严重的内堂枝等必须进行剪除，未剪除</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每处发现即扣0.5分。立案后1小时内整改则结束扣分；超过1小时整改，每1小时扣0.5分，扣分累计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施用剧毒药剂，或对害虫天敌</w:t>
            </w:r>
            <w:r>
              <w:rPr>
                <w:color w:val="000000"/>
                <w:kern w:val="0"/>
                <w:szCs w:val="21"/>
              </w:rPr>
              <w:t>(</w:t>
            </w:r>
            <w:r>
              <w:rPr>
                <w:rFonts w:hint="eastAsia" w:ascii="宋体" w:hAnsi="宋体" w:cs="宋体"/>
                <w:color w:val="000000"/>
                <w:kern w:val="0"/>
                <w:szCs w:val="21"/>
              </w:rPr>
              <w:t>包括天敌昆虫、蛙、蟾蜍、鸟类等</w:t>
            </w:r>
            <w:r>
              <w:rPr>
                <w:color w:val="000000"/>
                <w:kern w:val="0"/>
                <w:szCs w:val="21"/>
              </w:rPr>
              <w:t>)</w:t>
            </w:r>
            <w:r>
              <w:rPr>
                <w:rFonts w:hint="eastAsia" w:ascii="宋体" w:hAnsi="宋体" w:cs="宋体"/>
                <w:color w:val="000000"/>
                <w:kern w:val="0"/>
                <w:szCs w:val="21"/>
              </w:rPr>
              <w:t>有严重影响的药物</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2小时</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5</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2</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jc w:val="center"/>
              <w:rPr>
                <w:rFonts w:ascii="宋体" w:hAnsi="宋体" w:cs="宋体"/>
                <w:color w:val="000000"/>
                <w:szCs w:val="21"/>
              </w:rPr>
            </w:pPr>
          </w:p>
        </w:tc>
        <w:tc>
          <w:tcPr>
            <w:tcW w:w="2087" w:type="dxa"/>
            <w:vMerge w:val="restart"/>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苗木上有捆绑物、杂物以及晾晒的衣物</w:t>
            </w:r>
          </w:p>
        </w:tc>
        <w:tc>
          <w:tcPr>
            <w:tcW w:w="937" w:type="dxa"/>
            <w:vMerge w:val="restart"/>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小时</w:t>
            </w:r>
          </w:p>
        </w:tc>
        <w:tc>
          <w:tcPr>
            <w:tcW w:w="925" w:type="dxa"/>
            <w:vMerge w:val="restart"/>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vMerge w:val="restart"/>
            <w:tcBorders>
              <w:bottom w:val="single" w:color="000000" w:sz="4" w:space="0"/>
              <w:right w:val="single" w:color="000000" w:sz="4" w:space="0"/>
            </w:tcBorders>
            <w:noWrap/>
          </w:tcPr>
          <w:p>
            <w:pPr>
              <w:widowControl/>
              <w:textAlignment w:val="top"/>
            </w:pPr>
            <w:r>
              <w:rPr>
                <w:rFonts w:hint="eastAsia"/>
              </w:rPr>
              <w:t>每处发现即扣0.5分。立案后1小时内整改则结束扣分；超过1小时整改，每1小时扣0.5分，扣分累计</w:t>
            </w:r>
          </w:p>
          <w:p>
            <w:pPr>
              <w:widowControl/>
              <w:textAlignment w:val="top"/>
            </w:pP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jc w:val="center"/>
              <w:rPr>
                <w:rFonts w:ascii="宋体" w:hAnsi="宋体" w:cs="宋体"/>
                <w:color w:val="000000"/>
                <w:szCs w:val="21"/>
              </w:rPr>
            </w:pPr>
          </w:p>
        </w:tc>
        <w:tc>
          <w:tcPr>
            <w:tcW w:w="2087" w:type="dxa"/>
            <w:vMerge w:val="continue"/>
            <w:tcBorders>
              <w:bottom w:val="single" w:color="000000" w:sz="4" w:space="0"/>
              <w:right w:val="single" w:color="000000" w:sz="4" w:space="0"/>
            </w:tcBorders>
            <w:noWrap/>
          </w:tcPr>
          <w:p>
            <w:pPr>
              <w:rPr>
                <w:rFonts w:ascii="宋体" w:hAnsi="宋体" w:cs="宋体"/>
                <w:color w:val="000000"/>
                <w:szCs w:val="21"/>
              </w:rPr>
            </w:pPr>
          </w:p>
        </w:tc>
        <w:tc>
          <w:tcPr>
            <w:tcW w:w="937" w:type="dxa"/>
            <w:vMerge w:val="continue"/>
            <w:tcBorders>
              <w:bottom w:val="single" w:color="000000" w:sz="4" w:space="0"/>
              <w:right w:val="single" w:color="000000" w:sz="4" w:space="0"/>
            </w:tcBorders>
            <w:noWrap/>
          </w:tcPr>
          <w:p>
            <w:pPr>
              <w:rPr>
                <w:color w:val="000000"/>
                <w:szCs w:val="21"/>
              </w:rPr>
            </w:pPr>
          </w:p>
        </w:tc>
        <w:tc>
          <w:tcPr>
            <w:tcW w:w="925" w:type="dxa"/>
            <w:vMerge w:val="continue"/>
            <w:tcBorders>
              <w:bottom w:val="single" w:color="000000" w:sz="4" w:space="0"/>
              <w:right w:val="single" w:color="000000" w:sz="4" w:space="0"/>
            </w:tcBorders>
            <w:noWrap/>
          </w:tcPr>
          <w:p>
            <w:pPr>
              <w:rPr>
                <w:color w:val="000000"/>
                <w:szCs w:val="21"/>
              </w:rPr>
            </w:pPr>
          </w:p>
        </w:tc>
        <w:tc>
          <w:tcPr>
            <w:tcW w:w="2802" w:type="dxa"/>
            <w:vMerge w:val="continue"/>
            <w:tcBorders>
              <w:bottom w:val="single" w:color="000000" w:sz="4" w:space="0"/>
              <w:right w:val="single" w:color="000000" w:sz="4" w:space="0"/>
            </w:tcBorders>
            <w:noWrap/>
          </w:tcPr>
          <w:p>
            <w:pPr>
              <w:rPr>
                <w:rFonts w:ascii="宋体" w:hAnsi="宋体" w:cs="宋体"/>
                <w:color w:val="000000"/>
                <w:szCs w:val="21"/>
              </w:rPr>
            </w:pP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未组织人员打雪，造成树木倒伏的</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每处发现即扣0.5分。立案后2小时内整改则结束扣分；超过2小时整改，每1小时扣0.5分，扣分累计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jc w:val="cente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倾斜度超过</w:t>
            </w:r>
            <w:r>
              <w:rPr>
                <w:color w:val="000000"/>
                <w:kern w:val="0"/>
                <w:szCs w:val="21"/>
              </w:rPr>
              <w:t>15</w:t>
            </w:r>
            <w:r>
              <w:rPr>
                <w:rFonts w:hint="eastAsia" w:ascii="宋体" w:hAnsi="宋体" w:cs="宋体"/>
                <w:color w:val="000000"/>
                <w:kern w:val="0"/>
                <w:szCs w:val="21"/>
              </w:rPr>
              <w:t>度未及时采取措施进行支撑</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每处发现即扣0.5分。立案后2小时内整改则结束扣分；超过2小时整改，每1小时扣0.5分，扣分累计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jc w:val="center"/>
              <w:rPr>
                <w:rFonts w:ascii="宋体" w:hAnsi="宋体" w:cs="宋体"/>
                <w:color w:val="000000"/>
                <w:szCs w:val="21"/>
              </w:rPr>
            </w:pPr>
          </w:p>
        </w:tc>
        <w:tc>
          <w:tcPr>
            <w:tcW w:w="2087" w:type="dxa"/>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遇第三方开挖，未主动检查其开挖证明，并跟踪其开挖活动，避免绿地受损</w:t>
            </w:r>
          </w:p>
        </w:tc>
        <w:tc>
          <w:tcPr>
            <w:tcW w:w="937" w:type="dxa"/>
            <w:tcBorders>
              <w:left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小时</w:t>
            </w:r>
          </w:p>
        </w:tc>
        <w:tc>
          <w:tcPr>
            <w:tcW w:w="925" w:type="dxa"/>
            <w:tcBorders>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right w:val="single" w:color="000000" w:sz="4" w:space="0"/>
            </w:tcBorders>
            <w:noWrap/>
          </w:tcPr>
          <w:p>
            <w:pPr>
              <w:widowControl/>
              <w:textAlignment w:val="top"/>
              <w:rPr>
                <w:rFonts w:ascii="宋体" w:hAnsi="宋体" w:cs="宋体"/>
                <w:color w:val="000000"/>
                <w:szCs w:val="21"/>
              </w:rPr>
            </w:pPr>
            <w:r>
              <w:rPr>
                <w:rFonts w:hint="eastAsia"/>
              </w:rPr>
              <w:t>每处发现即扣2分。立案后2小时内整改则结束扣分；超过2小时整改，每1小时扣2分，扣分累计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管理标准</w:t>
            </w:r>
          </w:p>
        </w:tc>
        <w:tc>
          <w:tcPr>
            <w:tcW w:w="2087"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补植未按原品种、原规格补齐</w:t>
            </w:r>
          </w:p>
        </w:tc>
        <w:tc>
          <w:tcPr>
            <w:tcW w:w="937" w:type="dxa"/>
            <w:tcBorders>
              <w:top w:val="single" w:color="000000" w:sz="4" w:space="0"/>
              <w:bottom w:val="single" w:color="000000" w:sz="4" w:space="0"/>
              <w:right w:val="single" w:color="000000" w:sz="4" w:space="0"/>
            </w:tcBorders>
            <w:noWrap/>
          </w:tcPr>
          <w:p>
            <w:pPr>
              <w:widowControl/>
              <w:textAlignment w:val="top"/>
              <w:rPr>
                <w:color w:val="000000"/>
                <w:szCs w:val="21"/>
              </w:rPr>
            </w:pPr>
            <w:r>
              <w:rPr>
                <w:rFonts w:hint="eastAsia" w:ascii="宋体" w:hAnsi="宋体" w:cs="宋体"/>
                <w:color w:val="000000"/>
                <w:kern w:val="0"/>
                <w:szCs w:val="21"/>
              </w:rPr>
              <w:t>72小时</w:t>
            </w:r>
          </w:p>
        </w:tc>
        <w:tc>
          <w:tcPr>
            <w:tcW w:w="925" w:type="dxa"/>
            <w:tcBorders>
              <w:top w:val="single" w:color="000000" w:sz="4" w:space="0"/>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top w:val="single" w:color="000000" w:sz="4" w:space="0"/>
              <w:right w:val="single" w:color="000000" w:sz="4" w:space="0"/>
            </w:tcBorders>
            <w:noWrap/>
          </w:tcPr>
          <w:p>
            <w:pPr>
              <w:widowControl/>
              <w:textAlignment w:val="top"/>
              <w:rPr>
                <w:rFonts w:ascii="宋体" w:hAnsi="宋体" w:cs="宋体"/>
                <w:color w:val="000000"/>
                <w:szCs w:val="21"/>
              </w:rPr>
            </w:pPr>
            <w:r>
              <w:rPr>
                <w:rFonts w:hint="eastAsia"/>
              </w:rPr>
              <w:t>每处发现即扣2分。立案后72小时内整改则结束扣分；超过72小时整改，每12小时扣2分，扣分累计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top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应急预案</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遇到防台抗台、抗旱抗涝、抗雪等突发事件，未及时采取加固、修剪、浇水等措施；恶劣天气过后未对绿化带进行全面检查整改</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2</w:t>
            </w:r>
            <w:r>
              <w:rPr>
                <w:rFonts w:hint="eastAsia" w:ascii="宋体" w:hAnsi="宋体" w:cs="宋体"/>
                <w:color w:val="000000"/>
                <w:kern w:val="0"/>
                <w:szCs w:val="21"/>
              </w:rPr>
              <w:t>分。立案后</w:t>
            </w:r>
            <w:r>
              <w:rPr>
                <w:color w:val="000000"/>
                <w:kern w:val="0"/>
                <w:szCs w:val="21"/>
              </w:rPr>
              <w:t>2</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2</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restart"/>
            <w:tcBorders>
              <w:left w:val="single" w:color="000000" w:sz="4" w:space="0"/>
              <w:bottom w:val="single" w:color="000000" w:sz="4" w:space="0"/>
              <w:right w:val="single" w:color="000000" w:sz="4" w:space="0"/>
            </w:tcBorders>
            <w:noWrap/>
            <w:vAlign w:val="center"/>
          </w:tcPr>
          <w:p>
            <w:pPr>
              <w:widowControl/>
              <w:jc w:val="center"/>
              <w:textAlignment w:val="top"/>
              <w:rPr>
                <w:color w:val="000000"/>
                <w:szCs w:val="21"/>
              </w:rPr>
            </w:pPr>
            <w:r>
              <w:rPr>
                <w:color w:val="000000"/>
                <w:kern w:val="0"/>
                <w:szCs w:val="21"/>
              </w:rPr>
              <w:t>2</w:t>
            </w:r>
          </w:p>
        </w:tc>
        <w:tc>
          <w:tcPr>
            <w:tcW w:w="555"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园林设施</w:t>
            </w:r>
          </w:p>
        </w:tc>
        <w:tc>
          <w:tcPr>
            <w:tcW w:w="600" w:type="dxa"/>
            <w:vMerge w:val="restart"/>
            <w:tcBorders>
              <w:bottom w:val="single" w:color="000000" w:sz="4" w:space="0"/>
              <w:right w:val="single" w:color="000000" w:sz="4" w:space="0"/>
            </w:tcBorders>
            <w:noWrap/>
          </w:tcPr>
          <w:p>
            <w:pP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园路、园林设施损坏，未及时维修的，广场喷泉设施，</w:t>
            </w:r>
            <w:r>
              <w:rPr>
                <w:color w:val="000000"/>
                <w:kern w:val="0"/>
                <w:szCs w:val="21"/>
              </w:rPr>
              <w:t>3</w:t>
            </w:r>
            <w:r>
              <w:rPr>
                <w:rFonts w:hint="eastAsia" w:ascii="宋体" w:hAnsi="宋体" w:cs="宋体"/>
                <w:color w:val="000000"/>
                <w:kern w:val="0"/>
                <w:szCs w:val="21"/>
              </w:rPr>
              <w:t>天内未发现和未及时上报的</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3</w:t>
            </w:r>
            <w:r>
              <w:rPr>
                <w:rFonts w:hint="eastAsia" w:ascii="宋体" w:hAnsi="宋体" w:cs="宋体"/>
                <w:color w:val="000000"/>
                <w:kern w:val="0"/>
                <w:szCs w:val="21"/>
              </w:rPr>
              <w:t>天</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1</w:t>
            </w:r>
            <w:r>
              <w:rPr>
                <w:rFonts w:hint="eastAsia" w:ascii="宋体" w:hAnsi="宋体" w:cs="宋体"/>
                <w:color w:val="000000"/>
                <w:kern w:val="0"/>
                <w:szCs w:val="21"/>
              </w:rPr>
              <w:t>分。立案后</w:t>
            </w:r>
            <w:r>
              <w:rPr>
                <w:color w:val="000000"/>
                <w:kern w:val="0"/>
                <w:szCs w:val="21"/>
              </w:rPr>
              <w:t>3</w:t>
            </w:r>
            <w:r>
              <w:rPr>
                <w:rFonts w:hint="eastAsia" w:ascii="宋体" w:hAnsi="宋体" w:cs="宋体"/>
                <w:color w:val="000000"/>
                <w:kern w:val="0"/>
                <w:szCs w:val="21"/>
              </w:rPr>
              <w:t>天内整改则结束扣分；超过</w:t>
            </w:r>
            <w:r>
              <w:rPr>
                <w:color w:val="000000"/>
                <w:kern w:val="0"/>
                <w:szCs w:val="21"/>
              </w:rPr>
              <w:t>3</w:t>
            </w:r>
            <w:r>
              <w:rPr>
                <w:rFonts w:hint="eastAsia" w:ascii="宋体" w:hAnsi="宋体" w:cs="宋体"/>
                <w:color w:val="000000"/>
                <w:kern w:val="0"/>
                <w:szCs w:val="21"/>
              </w:rPr>
              <w:t>天整改，每</w:t>
            </w:r>
            <w:r>
              <w:rPr>
                <w:color w:val="000000"/>
                <w:kern w:val="0"/>
                <w:szCs w:val="21"/>
              </w:rPr>
              <w:t>1</w:t>
            </w:r>
            <w:r>
              <w:rPr>
                <w:rFonts w:hint="eastAsia" w:ascii="宋体" w:hAnsi="宋体" w:cs="宋体"/>
                <w:color w:val="000000"/>
                <w:kern w:val="0"/>
                <w:szCs w:val="21"/>
              </w:rPr>
              <w:t>天扣</w:t>
            </w:r>
            <w:r>
              <w:rPr>
                <w:color w:val="000000"/>
                <w:kern w:val="0"/>
                <w:szCs w:val="21"/>
              </w:rPr>
              <w:t>1</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tcPr>
          <w:p>
            <w:pP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供水、排水等管网设施有损坏，要求</w:t>
            </w:r>
            <w:r>
              <w:rPr>
                <w:color w:val="000000"/>
                <w:kern w:val="0"/>
                <w:szCs w:val="21"/>
              </w:rPr>
              <w:t>24</w:t>
            </w:r>
            <w:r>
              <w:rPr>
                <w:rFonts w:hint="eastAsia" w:ascii="宋体" w:hAnsi="宋体" w:cs="宋体"/>
                <w:color w:val="000000"/>
                <w:kern w:val="0"/>
                <w:szCs w:val="21"/>
              </w:rPr>
              <w:t>小时内及时修理而未修理</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24</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1</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1</w:t>
            </w:r>
            <w:r>
              <w:rPr>
                <w:rFonts w:hint="eastAsia" w:ascii="宋体" w:hAnsi="宋体" w:cs="宋体"/>
                <w:color w:val="000000"/>
                <w:kern w:val="0"/>
                <w:szCs w:val="21"/>
              </w:rPr>
              <w:t>分。立案后</w:t>
            </w:r>
            <w:r>
              <w:rPr>
                <w:color w:val="000000"/>
                <w:kern w:val="0"/>
                <w:szCs w:val="21"/>
              </w:rPr>
              <w:t>24</w:t>
            </w:r>
            <w:r>
              <w:rPr>
                <w:rFonts w:hint="eastAsia" w:ascii="宋体" w:hAnsi="宋体" w:cs="宋体"/>
                <w:color w:val="000000"/>
                <w:kern w:val="0"/>
                <w:szCs w:val="21"/>
              </w:rPr>
              <w:t>小时内整改则结束扣分；超过</w:t>
            </w:r>
            <w:r>
              <w:rPr>
                <w:color w:val="000000"/>
                <w:kern w:val="0"/>
                <w:szCs w:val="21"/>
              </w:rPr>
              <w:t>24</w:t>
            </w:r>
            <w:r>
              <w:rPr>
                <w:rFonts w:hint="eastAsia" w:ascii="宋体" w:hAnsi="宋体" w:cs="宋体"/>
                <w:color w:val="000000"/>
                <w:kern w:val="0"/>
                <w:szCs w:val="21"/>
              </w:rPr>
              <w:t>小时整改，每</w:t>
            </w:r>
            <w:r>
              <w:rPr>
                <w:color w:val="000000"/>
                <w:kern w:val="0"/>
                <w:szCs w:val="21"/>
              </w:rPr>
              <w:t>12</w:t>
            </w:r>
            <w:r>
              <w:rPr>
                <w:rFonts w:hint="eastAsia" w:ascii="宋体" w:hAnsi="宋体" w:cs="宋体"/>
                <w:color w:val="000000"/>
                <w:kern w:val="0"/>
                <w:szCs w:val="21"/>
              </w:rPr>
              <w:t>小时扣</w:t>
            </w:r>
            <w:r>
              <w:rPr>
                <w:color w:val="000000"/>
                <w:kern w:val="0"/>
                <w:szCs w:val="21"/>
              </w:rPr>
              <w:t>1</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tcPr>
          <w:p>
            <w:pP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绿化宣传牌、指路牌、禁令牌等防护设施不符合标准</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48</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w:t>
            </w:r>
            <w:r>
              <w:rPr>
                <w:color w:val="000000"/>
                <w:kern w:val="0"/>
                <w:szCs w:val="21"/>
              </w:rPr>
              <w:t>48</w:t>
            </w:r>
            <w:r>
              <w:rPr>
                <w:rFonts w:hint="eastAsia" w:ascii="宋体" w:hAnsi="宋体" w:cs="宋体"/>
                <w:color w:val="000000"/>
                <w:kern w:val="0"/>
                <w:szCs w:val="21"/>
              </w:rPr>
              <w:t>小时内整改则结束扣分；超过</w:t>
            </w:r>
            <w:r>
              <w:rPr>
                <w:color w:val="000000"/>
                <w:kern w:val="0"/>
                <w:szCs w:val="21"/>
              </w:rPr>
              <w:t>48</w:t>
            </w:r>
            <w:r>
              <w:rPr>
                <w:rFonts w:hint="eastAsia" w:ascii="宋体" w:hAnsi="宋体" w:cs="宋体"/>
                <w:color w:val="000000"/>
                <w:kern w:val="0"/>
                <w:szCs w:val="21"/>
              </w:rPr>
              <w:t>小时整改，每</w:t>
            </w:r>
            <w:r>
              <w:rPr>
                <w:color w:val="000000"/>
                <w:kern w:val="0"/>
                <w:szCs w:val="21"/>
              </w:rPr>
              <w:t>24</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tcPr>
          <w:p>
            <w:pPr>
              <w:rPr>
                <w:rFonts w:ascii="宋体" w:hAnsi="宋体" w:cs="宋体"/>
                <w:color w:val="000000"/>
                <w:szCs w:val="21"/>
              </w:rPr>
            </w:pPr>
          </w:p>
        </w:tc>
        <w:tc>
          <w:tcPr>
            <w:tcW w:w="2087"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绿地内园路、园林设施、园林建筑的清洁工作不到位</w:t>
            </w:r>
          </w:p>
        </w:tc>
        <w:tc>
          <w:tcPr>
            <w:tcW w:w="937"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6</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tcPr>
          <w:p>
            <w:pPr>
              <w:widowControl/>
              <w:textAlignment w:val="top"/>
              <w:rPr>
                <w:color w:val="000000"/>
                <w:szCs w:val="21"/>
              </w:rPr>
            </w:pPr>
            <w:r>
              <w:rPr>
                <w:color w:val="000000"/>
                <w:kern w:val="0"/>
                <w:szCs w:val="21"/>
              </w:rPr>
              <w:t>0.5</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每处发现即扣</w:t>
            </w:r>
            <w:r>
              <w:rPr>
                <w:color w:val="000000"/>
                <w:kern w:val="0"/>
                <w:szCs w:val="21"/>
              </w:rPr>
              <w:t>0.5</w:t>
            </w:r>
            <w:r>
              <w:rPr>
                <w:rFonts w:hint="eastAsia" w:ascii="宋体" w:hAnsi="宋体" w:cs="宋体"/>
                <w:color w:val="000000"/>
                <w:kern w:val="0"/>
                <w:szCs w:val="21"/>
              </w:rPr>
              <w:t>分。立案后6小时内整改则结束扣分；超过</w:t>
            </w:r>
            <w:r>
              <w:rPr>
                <w:color w:val="000000"/>
                <w:kern w:val="0"/>
                <w:szCs w:val="21"/>
              </w:rPr>
              <w:t>6</w:t>
            </w:r>
            <w:r>
              <w:rPr>
                <w:rFonts w:hint="eastAsia" w:ascii="宋体" w:hAnsi="宋体" w:cs="宋体"/>
                <w:color w:val="000000"/>
                <w:kern w:val="0"/>
                <w:szCs w:val="21"/>
              </w:rPr>
              <w:t>小时整改，每</w:t>
            </w:r>
            <w:r>
              <w:rPr>
                <w:color w:val="000000"/>
                <w:kern w:val="0"/>
                <w:szCs w:val="21"/>
              </w:rPr>
              <w:t>6</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color w:val="000000"/>
                <w:szCs w:val="21"/>
              </w:rPr>
            </w:pPr>
            <w:r>
              <w:rPr>
                <w:color w:val="000000"/>
                <w:kern w:val="0"/>
                <w:szCs w:val="21"/>
              </w:rPr>
              <w:t>3</w:t>
            </w:r>
          </w:p>
        </w:tc>
        <w:tc>
          <w:tcPr>
            <w:tcW w:w="555" w:type="dxa"/>
            <w:vMerge w:val="restart"/>
            <w:tcBorders>
              <w:top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各类督办</w:t>
            </w:r>
          </w:p>
        </w:tc>
        <w:tc>
          <w:tcPr>
            <w:tcW w:w="600" w:type="dxa"/>
            <w:vMerge w:val="restart"/>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通报的问题</w:t>
            </w:r>
          </w:p>
        </w:tc>
        <w:tc>
          <w:tcPr>
            <w:tcW w:w="2087"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处领导及其他上级部门检查中发现的问题查实有责的</w:t>
            </w:r>
          </w:p>
        </w:tc>
        <w:tc>
          <w:tcPr>
            <w:tcW w:w="937"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根据各类问题处置时间设置</w:t>
            </w:r>
          </w:p>
        </w:tc>
        <w:tc>
          <w:tcPr>
            <w:tcW w:w="925" w:type="dxa"/>
            <w:tcBorders>
              <w:top w:val="single" w:color="000000" w:sz="4" w:space="0"/>
              <w:bottom w:val="single" w:color="000000" w:sz="4" w:space="0"/>
              <w:right w:val="single" w:color="000000" w:sz="4" w:space="0"/>
            </w:tcBorders>
            <w:noWrap/>
          </w:tcPr>
          <w:p>
            <w:pPr>
              <w:widowControl/>
              <w:textAlignment w:val="top"/>
              <w:rPr>
                <w:rFonts w:ascii="宋体" w:hAnsi="宋体" w:cs="宋体"/>
                <w:color w:val="000000"/>
                <w:szCs w:val="21"/>
              </w:rPr>
            </w:pPr>
            <w:r>
              <w:rPr>
                <w:rFonts w:hint="eastAsia" w:ascii="宋体" w:hAnsi="宋体" w:cs="宋体"/>
                <w:color w:val="000000"/>
                <w:kern w:val="0"/>
                <w:szCs w:val="21"/>
              </w:rPr>
              <w:t>按各类问题基础分值扣分</w:t>
            </w:r>
          </w:p>
        </w:tc>
        <w:tc>
          <w:tcPr>
            <w:tcW w:w="2802" w:type="dxa"/>
            <w:tcBorders>
              <w:top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发现即扣相应基础分值。立案后在规定时间内整改结束扣分，超过规定时间按对应大小类处置时限累计扣分。</w:t>
            </w:r>
          </w:p>
        </w:tc>
      </w:tr>
      <w:tr>
        <w:tblPrEx>
          <w:tblCellMar>
            <w:top w:w="15" w:type="dxa"/>
            <w:left w:w="15" w:type="dxa"/>
            <w:bottom w:w="15" w:type="dxa"/>
            <w:right w:w="15" w:type="dxa"/>
          </w:tblCellMar>
        </w:tblPrEx>
        <w:trPr>
          <w:trHeight w:val="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top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top w:val="single" w:color="000000" w:sz="4" w:space="0"/>
              <w:bottom w:val="single" w:color="000000" w:sz="4" w:space="0"/>
              <w:right w:val="single" w:color="000000" w:sz="4" w:space="0"/>
            </w:tcBorders>
            <w:noWrap/>
            <w:vAlign w:val="center"/>
          </w:tcPr>
          <w:p>
            <w:pP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处领导及其他上级部门检查中发现的问题查实有责且受批评、通报的问题</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2</w:t>
            </w:r>
            <w:r>
              <w:rPr>
                <w:rFonts w:hint="eastAsia" w:ascii="宋体" w:hAnsi="宋体" w:cs="宋体"/>
                <w:color w:val="000000"/>
                <w:kern w:val="0"/>
                <w:szCs w:val="21"/>
              </w:rPr>
              <w:t>分。立案后在规定时间内整改扣分结束；超过规定时间整改加倍扣分</w:t>
            </w:r>
          </w:p>
        </w:tc>
      </w:tr>
      <w:tr>
        <w:tblPrEx>
          <w:tblCellMar>
            <w:top w:w="15" w:type="dxa"/>
            <w:left w:w="15" w:type="dxa"/>
            <w:bottom w:w="15" w:type="dxa"/>
            <w:right w:w="15" w:type="dxa"/>
          </w:tblCellMar>
        </w:tblPrEx>
        <w:trPr>
          <w:trHeight w:val="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top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出现有责投诉</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收到来自电话、信访、市长电话等途径的投诉并确认有责</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2</w:t>
            </w:r>
            <w:r>
              <w:rPr>
                <w:rFonts w:hint="eastAsia" w:ascii="宋体" w:hAnsi="宋体" w:cs="宋体"/>
                <w:color w:val="000000"/>
                <w:kern w:val="0"/>
                <w:szCs w:val="21"/>
              </w:rPr>
              <w:t>分。立案后在规定时间内整改扣分结束；超过规定时间整改加倍扣分</w:t>
            </w:r>
          </w:p>
        </w:tc>
      </w:tr>
      <w:tr>
        <w:tblPrEx>
          <w:tblCellMar>
            <w:top w:w="15" w:type="dxa"/>
            <w:left w:w="15" w:type="dxa"/>
            <w:bottom w:w="15" w:type="dxa"/>
            <w:right w:w="15" w:type="dxa"/>
          </w:tblCellMar>
        </w:tblPrEx>
        <w:trPr>
          <w:trHeight w:val="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top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新闻媒体曝光</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遭新闻媒体光爆后查实有责的</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4--20</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发现即扣相应分数。立案后在规定时间内整改扣分结束；超过规定时间整改加倍扣分</w:t>
            </w:r>
          </w:p>
        </w:tc>
      </w:tr>
      <w:tr>
        <w:tblPrEx>
          <w:tblCellMar>
            <w:top w:w="15" w:type="dxa"/>
            <w:left w:w="15" w:type="dxa"/>
            <w:bottom w:w="15" w:type="dxa"/>
            <w:right w:w="15" w:type="dxa"/>
          </w:tblCellMar>
        </w:tblPrEx>
        <w:trPr>
          <w:trHeight w:val="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top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县市级以上检查存在责任失分</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县市级以上检查存在责任失分</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20-60</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发现即扣相应分数。立案后在规定时间内整改扣分结束；超过规定时间整改加倍扣分</w:t>
            </w:r>
          </w:p>
        </w:tc>
      </w:tr>
      <w:tr>
        <w:tblPrEx>
          <w:tblCellMar>
            <w:top w:w="15" w:type="dxa"/>
            <w:left w:w="15" w:type="dxa"/>
            <w:bottom w:w="15" w:type="dxa"/>
            <w:right w:w="15" w:type="dxa"/>
          </w:tblCellMar>
        </w:tblPrEx>
        <w:trPr>
          <w:trHeight w:val="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continue"/>
            <w:tcBorders>
              <w:top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重大负面事件</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存在重大失责行为或社会影响极坏</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根据程度可扣</w:t>
            </w:r>
            <w:r>
              <w:rPr>
                <w:color w:val="000000"/>
                <w:kern w:val="0"/>
                <w:szCs w:val="21"/>
              </w:rPr>
              <w:t>50</w:t>
            </w:r>
            <w:r>
              <w:rPr>
                <w:rFonts w:hint="eastAsia" w:ascii="宋体" w:hAnsi="宋体" w:cs="宋体"/>
                <w:color w:val="000000"/>
                <w:kern w:val="0"/>
                <w:szCs w:val="21"/>
              </w:rPr>
              <w:t>分以上</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发现即扣相应分数。立案后在规定时间内整改扣分结束；超过规定时间整改加倍扣分</w:t>
            </w:r>
          </w:p>
        </w:tc>
      </w:tr>
      <w:tr>
        <w:tblPrEx>
          <w:tblCellMar>
            <w:top w:w="15" w:type="dxa"/>
            <w:left w:w="15" w:type="dxa"/>
            <w:bottom w:w="15" w:type="dxa"/>
            <w:right w:w="15" w:type="dxa"/>
          </w:tblCellMar>
        </w:tblPrEx>
        <w:trPr>
          <w:trHeight w:val="20" w:hRule="atLeast"/>
        </w:trPr>
        <w:tc>
          <w:tcPr>
            <w:tcW w:w="480" w:type="dxa"/>
            <w:vMerge w:val="restart"/>
            <w:tcBorders>
              <w:left w:val="single" w:color="000000" w:sz="4" w:space="0"/>
              <w:bottom w:val="single" w:color="000000" w:sz="4" w:space="0"/>
              <w:right w:val="single" w:color="000000" w:sz="4" w:space="0"/>
            </w:tcBorders>
            <w:noWrap/>
            <w:vAlign w:val="center"/>
          </w:tcPr>
          <w:p>
            <w:pPr>
              <w:jc w:val="center"/>
              <w:rPr>
                <w:color w:val="000000"/>
                <w:szCs w:val="21"/>
              </w:rPr>
            </w:pPr>
          </w:p>
        </w:tc>
        <w:tc>
          <w:tcPr>
            <w:tcW w:w="555" w:type="dxa"/>
            <w:vMerge w:val="restart"/>
            <w:tcBorders>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公司管理</w:t>
            </w: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着装</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养护人员未统一穿着规范要求的工作服</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0.5</w:t>
            </w:r>
            <w:r>
              <w:rPr>
                <w:rFonts w:hint="eastAsia" w:ascii="宋体" w:hAnsi="宋体" w:cs="宋体"/>
                <w:color w:val="000000"/>
                <w:kern w:val="0"/>
                <w:szCs w:val="21"/>
              </w:rPr>
              <w:t>分</w:t>
            </w:r>
            <w:r>
              <w:rPr>
                <w:color w:val="000000"/>
                <w:kern w:val="0"/>
                <w:szCs w:val="21"/>
              </w:rPr>
              <w:t>/</w:t>
            </w:r>
            <w:r>
              <w:rPr>
                <w:rFonts w:hint="eastAsia" w:ascii="宋体" w:hAnsi="宋体" w:cs="宋体"/>
                <w:color w:val="000000"/>
                <w:kern w:val="0"/>
                <w:szCs w:val="21"/>
              </w:rPr>
              <w:t>人</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0.5</w:t>
            </w:r>
            <w:r>
              <w:rPr>
                <w:rFonts w:hint="eastAsia" w:ascii="宋体" w:hAnsi="宋体" w:cs="宋体"/>
                <w:color w:val="000000"/>
                <w:kern w:val="0"/>
                <w:szCs w:val="21"/>
              </w:rPr>
              <w:t>分</w:t>
            </w:r>
            <w:r>
              <w:rPr>
                <w:color w:val="000000"/>
                <w:kern w:val="0"/>
                <w:szCs w:val="21"/>
              </w:rPr>
              <w:t>/</w:t>
            </w:r>
            <w:r>
              <w:rPr>
                <w:rFonts w:hint="eastAsia" w:ascii="宋体" w:hAnsi="宋体" w:cs="宋体"/>
                <w:color w:val="000000"/>
                <w:kern w:val="0"/>
                <w:szCs w:val="21"/>
              </w:rPr>
              <w:t>人。立案后</w:t>
            </w:r>
            <w:r>
              <w:rPr>
                <w:color w:val="000000"/>
                <w:kern w:val="0"/>
                <w:szCs w:val="21"/>
              </w:rPr>
              <w:t>1</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w:t>
            </w:r>
            <w:r>
              <w:rPr>
                <w:color w:val="000000"/>
                <w:kern w:val="0"/>
                <w:szCs w:val="21"/>
              </w:rPr>
              <w:t>0.5</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未遵守劳动纪律</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责任养护范围内不作为且立岗、坐岗、扎堆聊天的</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10</w:t>
            </w:r>
            <w:r>
              <w:rPr>
                <w:rFonts w:hint="eastAsia" w:ascii="宋体" w:hAnsi="宋体" w:cs="宋体"/>
                <w:color w:val="000000"/>
                <w:kern w:val="0"/>
                <w:szCs w:val="21"/>
              </w:rPr>
              <w:t>分钟</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0.2</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0.2</w:t>
            </w:r>
            <w:r>
              <w:rPr>
                <w:rFonts w:hint="eastAsia" w:ascii="宋体" w:hAnsi="宋体" w:cs="宋体"/>
                <w:color w:val="000000"/>
                <w:kern w:val="0"/>
                <w:szCs w:val="21"/>
              </w:rPr>
              <w:t>分。立案后</w:t>
            </w:r>
            <w:r>
              <w:rPr>
                <w:color w:val="000000"/>
                <w:kern w:val="0"/>
                <w:szCs w:val="21"/>
              </w:rPr>
              <w:t>10</w:t>
            </w:r>
            <w:r>
              <w:rPr>
                <w:rFonts w:hint="eastAsia" w:ascii="宋体" w:hAnsi="宋体" w:cs="宋体"/>
                <w:color w:val="000000"/>
                <w:kern w:val="0"/>
                <w:szCs w:val="21"/>
              </w:rPr>
              <w:t>分钟内整改则结束扣分；超过</w:t>
            </w:r>
            <w:r>
              <w:rPr>
                <w:color w:val="000000"/>
                <w:kern w:val="0"/>
                <w:szCs w:val="21"/>
              </w:rPr>
              <w:t>10</w:t>
            </w:r>
            <w:r>
              <w:rPr>
                <w:rFonts w:hint="eastAsia" w:ascii="宋体" w:hAnsi="宋体" w:cs="宋体"/>
                <w:color w:val="000000"/>
                <w:kern w:val="0"/>
                <w:szCs w:val="21"/>
              </w:rPr>
              <w:t>分钟整改，每</w:t>
            </w:r>
            <w:r>
              <w:rPr>
                <w:color w:val="000000"/>
                <w:kern w:val="0"/>
                <w:szCs w:val="21"/>
              </w:rPr>
              <w:t>10</w:t>
            </w:r>
            <w:r>
              <w:rPr>
                <w:rFonts w:hint="eastAsia" w:ascii="宋体" w:hAnsi="宋体" w:cs="宋体"/>
                <w:color w:val="000000"/>
                <w:kern w:val="0"/>
                <w:szCs w:val="21"/>
              </w:rPr>
              <w:t>分钟扣</w:t>
            </w:r>
            <w:r>
              <w:rPr>
                <w:color w:val="000000"/>
                <w:kern w:val="0"/>
                <w:szCs w:val="21"/>
              </w:rPr>
              <w:t>0.2</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人数不足</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未按招标文件及合同规定设置相应人数的养护人员，每缺一人扣</w:t>
            </w:r>
            <w:r>
              <w:rPr>
                <w:color w:val="000000"/>
                <w:kern w:val="0"/>
                <w:szCs w:val="21"/>
              </w:rPr>
              <w:t>1-2</w:t>
            </w:r>
            <w:r>
              <w:rPr>
                <w:rFonts w:hint="eastAsia" w:ascii="宋体" w:hAnsi="宋体" w:cs="宋体"/>
                <w:color w:val="000000"/>
                <w:kern w:val="0"/>
                <w:szCs w:val="21"/>
              </w:rPr>
              <w:t>分</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w:t>
            </w:r>
            <w:r>
              <w:rPr>
                <w:rFonts w:hint="eastAsia" w:ascii="宋体" w:hAnsi="宋体" w:cs="宋体"/>
                <w:color w:val="000000"/>
                <w:kern w:val="0"/>
                <w:szCs w:val="21"/>
              </w:rPr>
              <w:t>小时</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1-2</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发现即扣分</w:t>
            </w:r>
            <w:r>
              <w:rPr>
                <w:color w:val="000000"/>
                <w:kern w:val="0"/>
                <w:szCs w:val="21"/>
              </w:rPr>
              <w:t>,</w:t>
            </w:r>
            <w:r>
              <w:rPr>
                <w:rFonts w:hint="eastAsia" w:ascii="宋体" w:hAnsi="宋体" w:cs="宋体"/>
                <w:color w:val="000000"/>
                <w:kern w:val="0"/>
                <w:szCs w:val="21"/>
              </w:rPr>
              <w:t>人员到岗比例在</w:t>
            </w:r>
            <w:r>
              <w:rPr>
                <w:color w:val="000000"/>
                <w:kern w:val="0"/>
                <w:szCs w:val="21"/>
              </w:rPr>
              <w:t>90%</w:t>
            </w:r>
            <w:r>
              <w:rPr>
                <w:rFonts w:hint="eastAsia" w:ascii="宋体" w:hAnsi="宋体" w:cs="宋体"/>
                <w:color w:val="000000"/>
                <w:kern w:val="0"/>
                <w:szCs w:val="21"/>
              </w:rPr>
              <w:t>（含）</w:t>
            </w:r>
            <w:r>
              <w:rPr>
                <w:color w:val="000000"/>
                <w:kern w:val="0"/>
                <w:szCs w:val="21"/>
              </w:rPr>
              <w:t>-95%</w:t>
            </w:r>
            <w:r>
              <w:rPr>
                <w:rFonts w:hint="eastAsia" w:ascii="宋体" w:hAnsi="宋体" w:cs="宋体"/>
                <w:color w:val="000000"/>
                <w:kern w:val="0"/>
                <w:szCs w:val="21"/>
              </w:rPr>
              <w:t>以内的，缺员部分扣款</w:t>
            </w:r>
            <w:r>
              <w:rPr>
                <w:color w:val="000000"/>
                <w:kern w:val="0"/>
                <w:szCs w:val="21"/>
              </w:rPr>
              <w:t>1</w:t>
            </w:r>
            <w:r>
              <w:rPr>
                <w:rFonts w:hint="eastAsia" w:ascii="宋体" w:hAnsi="宋体" w:cs="宋体"/>
                <w:color w:val="000000"/>
                <w:kern w:val="0"/>
                <w:szCs w:val="21"/>
              </w:rPr>
              <w:t>分</w:t>
            </w:r>
            <w:r>
              <w:rPr>
                <w:color w:val="000000"/>
                <w:kern w:val="0"/>
                <w:szCs w:val="21"/>
              </w:rPr>
              <w:t>/</w:t>
            </w:r>
            <w:r>
              <w:rPr>
                <w:rFonts w:hint="eastAsia" w:ascii="宋体" w:hAnsi="宋体" w:cs="宋体"/>
                <w:color w:val="000000"/>
                <w:kern w:val="0"/>
                <w:szCs w:val="21"/>
              </w:rPr>
              <w:t>人•次。在</w:t>
            </w:r>
            <w:r>
              <w:rPr>
                <w:color w:val="000000"/>
                <w:kern w:val="0"/>
                <w:szCs w:val="21"/>
              </w:rPr>
              <w:t>85%</w:t>
            </w:r>
            <w:r>
              <w:rPr>
                <w:rFonts w:hint="eastAsia" w:ascii="宋体" w:hAnsi="宋体" w:cs="宋体"/>
                <w:color w:val="000000"/>
                <w:kern w:val="0"/>
                <w:szCs w:val="21"/>
              </w:rPr>
              <w:t>（含）</w:t>
            </w:r>
            <w:r>
              <w:rPr>
                <w:color w:val="000000"/>
                <w:kern w:val="0"/>
                <w:szCs w:val="21"/>
              </w:rPr>
              <w:t>-90%</w:t>
            </w:r>
            <w:r>
              <w:rPr>
                <w:rFonts w:hint="eastAsia" w:ascii="宋体" w:hAnsi="宋体" w:cs="宋体"/>
                <w:color w:val="000000"/>
                <w:kern w:val="0"/>
                <w:szCs w:val="21"/>
              </w:rPr>
              <w:t>的，缺员部分扣款</w:t>
            </w:r>
            <w:r>
              <w:rPr>
                <w:color w:val="000000"/>
                <w:kern w:val="0"/>
                <w:szCs w:val="21"/>
              </w:rPr>
              <w:t>2</w:t>
            </w:r>
            <w:r>
              <w:rPr>
                <w:rFonts w:hint="eastAsia" w:ascii="宋体" w:hAnsi="宋体" w:cs="宋体"/>
                <w:color w:val="000000"/>
                <w:kern w:val="0"/>
                <w:szCs w:val="21"/>
              </w:rPr>
              <w:t>分</w:t>
            </w:r>
            <w:r>
              <w:rPr>
                <w:color w:val="000000"/>
                <w:kern w:val="0"/>
                <w:szCs w:val="21"/>
              </w:rPr>
              <w:t>/</w:t>
            </w:r>
            <w:r>
              <w:rPr>
                <w:rFonts w:hint="eastAsia" w:ascii="宋体" w:hAnsi="宋体" w:cs="宋体"/>
                <w:color w:val="000000"/>
                <w:kern w:val="0"/>
                <w:szCs w:val="21"/>
              </w:rPr>
              <w:t>人•次。</w:t>
            </w:r>
            <w:r>
              <w:rPr>
                <w:color w:val="000000"/>
                <w:kern w:val="0"/>
                <w:szCs w:val="21"/>
              </w:rPr>
              <w:t>85%</w:t>
            </w:r>
            <w:r>
              <w:rPr>
                <w:rFonts w:hint="eastAsia" w:ascii="宋体" w:hAnsi="宋体" w:cs="宋体"/>
                <w:color w:val="000000"/>
                <w:kern w:val="0"/>
                <w:szCs w:val="21"/>
              </w:rPr>
              <w:t>以下的，缺员部分扣款</w:t>
            </w:r>
            <w:r>
              <w:rPr>
                <w:color w:val="000000"/>
                <w:kern w:val="0"/>
                <w:szCs w:val="21"/>
              </w:rPr>
              <w:t>3</w:t>
            </w:r>
            <w:r>
              <w:rPr>
                <w:rFonts w:hint="eastAsia" w:ascii="宋体" w:hAnsi="宋体" w:cs="宋体"/>
                <w:color w:val="000000"/>
                <w:kern w:val="0"/>
                <w:szCs w:val="21"/>
              </w:rPr>
              <w:t>分</w:t>
            </w:r>
            <w:r>
              <w:rPr>
                <w:color w:val="000000"/>
                <w:kern w:val="0"/>
                <w:szCs w:val="21"/>
              </w:rPr>
              <w:t>/</w:t>
            </w:r>
            <w:r>
              <w:rPr>
                <w:rFonts w:hint="eastAsia" w:ascii="宋体" w:hAnsi="宋体" w:cs="宋体"/>
                <w:color w:val="000000"/>
                <w:kern w:val="0"/>
                <w:szCs w:val="21"/>
              </w:rPr>
              <w:t>人•次。立案后</w:t>
            </w:r>
            <w:r>
              <w:rPr>
                <w:color w:val="000000"/>
                <w:kern w:val="0"/>
                <w:szCs w:val="21"/>
              </w:rPr>
              <w:t>1</w:t>
            </w:r>
            <w:r>
              <w:rPr>
                <w:rFonts w:hint="eastAsia" w:ascii="宋体" w:hAnsi="宋体" w:cs="宋体"/>
                <w:color w:val="000000"/>
                <w:kern w:val="0"/>
                <w:szCs w:val="21"/>
              </w:rPr>
              <w:t>小时内整改则结束扣分；超过</w:t>
            </w:r>
            <w:r>
              <w:rPr>
                <w:color w:val="000000"/>
                <w:kern w:val="0"/>
                <w:szCs w:val="21"/>
              </w:rPr>
              <w:t>1</w:t>
            </w:r>
            <w:r>
              <w:rPr>
                <w:rFonts w:hint="eastAsia" w:ascii="宋体" w:hAnsi="宋体" w:cs="宋体"/>
                <w:color w:val="000000"/>
                <w:kern w:val="0"/>
                <w:szCs w:val="21"/>
              </w:rPr>
              <w:t>小时整改，每</w:t>
            </w:r>
            <w:r>
              <w:rPr>
                <w:color w:val="000000"/>
                <w:kern w:val="0"/>
                <w:szCs w:val="21"/>
              </w:rPr>
              <w:t>1</w:t>
            </w:r>
            <w:r>
              <w:rPr>
                <w:rFonts w:hint="eastAsia" w:ascii="宋体" w:hAnsi="宋体" w:cs="宋体"/>
                <w:color w:val="000000"/>
                <w:kern w:val="0"/>
                <w:szCs w:val="21"/>
              </w:rPr>
              <w:t>小时扣一次分，扣分累计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人员工资发放</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因拖欠养护人员或管理人员工资或有因拖欠养护人员或管理人员工资造成养护人员或管理人员，且经甲方核实</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szCs w:val="21"/>
              </w:rPr>
            </w:pPr>
            <w:r>
              <w:rPr>
                <w:kern w:val="0"/>
                <w:szCs w:val="21"/>
              </w:rPr>
              <w:t>10</w:t>
            </w:r>
            <w:r>
              <w:rPr>
                <w:rFonts w:hint="eastAsia" w:ascii="宋体" w:hAnsi="宋体" w:cs="宋体"/>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szCs w:val="21"/>
              </w:rPr>
            </w:pPr>
            <w:r>
              <w:rPr>
                <w:rFonts w:hint="eastAsia" w:ascii="宋体" w:hAnsi="宋体" w:cs="宋体"/>
                <w:kern w:val="0"/>
                <w:szCs w:val="21"/>
              </w:rPr>
              <w:t>核实即扣分</w:t>
            </w:r>
            <w:r>
              <w:rPr>
                <w:kern w:val="0"/>
                <w:szCs w:val="21"/>
              </w:rPr>
              <w:t>,</w:t>
            </w:r>
            <w:r>
              <w:rPr>
                <w:rFonts w:hint="eastAsia" w:ascii="宋体" w:hAnsi="宋体" w:cs="宋体"/>
                <w:kern w:val="0"/>
                <w:szCs w:val="21"/>
              </w:rPr>
              <w:t>每核实一次扣</w:t>
            </w:r>
            <w:r>
              <w:rPr>
                <w:kern w:val="0"/>
                <w:szCs w:val="21"/>
              </w:rPr>
              <w:t>10</w:t>
            </w:r>
            <w:r>
              <w:rPr>
                <w:rFonts w:hint="eastAsia" w:ascii="宋体" w:hAnsi="宋体" w:cs="宋体"/>
                <w:kern w:val="0"/>
                <w:szCs w:val="21"/>
              </w:rPr>
              <w:t xml:space="preserve">分。 </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台账缺失</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公司台账资料不齐全，缺失；每月总结和计划未在本月</w:t>
            </w:r>
            <w:r>
              <w:rPr>
                <w:color w:val="000000"/>
                <w:kern w:val="0"/>
                <w:szCs w:val="21"/>
              </w:rPr>
              <w:t>28</w:t>
            </w:r>
            <w:r>
              <w:rPr>
                <w:rFonts w:hint="eastAsia" w:ascii="宋体" w:hAnsi="宋体" w:cs="宋体"/>
                <w:color w:val="000000"/>
                <w:kern w:val="0"/>
                <w:szCs w:val="21"/>
              </w:rPr>
              <w:t>日前上报</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7</w:t>
            </w:r>
            <w:r>
              <w:rPr>
                <w:rFonts w:hint="eastAsia" w:ascii="宋体" w:hAnsi="宋体" w:cs="宋体"/>
                <w:color w:val="000000"/>
                <w:kern w:val="0"/>
                <w:szCs w:val="21"/>
              </w:rPr>
              <w:t>工作日</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2</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2</w:t>
            </w:r>
            <w:r>
              <w:rPr>
                <w:rFonts w:hint="eastAsia" w:ascii="宋体" w:hAnsi="宋体" w:cs="宋体"/>
                <w:color w:val="000000"/>
                <w:kern w:val="0"/>
                <w:szCs w:val="21"/>
              </w:rPr>
              <w:t>分。立案后</w:t>
            </w:r>
            <w:r>
              <w:rPr>
                <w:color w:val="000000"/>
                <w:kern w:val="0"/>
                <w:szCs w:val="21"/>
              </w:rPr>
              <w:t>7</w:t>
            </w:r>
            <w:r>
              <w:rPr>
                <w:rFonts w:hint="eastAsia" w:ascii="宋体" w:hAnsi="宋体" w:cs="宋体"/>
                <w:color w:val="000000"/>
                <w:kern w:val="0"/>
                <w:szCs w:val="21"/>
              </w:rPr>
              <w:t>个工作日内整改则结束扣分；超过</w:t>
            </w:r>
            <w:r>
              <w:rPr>
                <w:color w:val="000000"/>
                <w:kern w:val="0"/>
                <w:szCs w:val="21"/>
              </w:rPr>
              <w:t>7</w:t>
            </w:r>
            <w:r>
              <w:rPr>
                <w:rFonts w:hint="eastAsia" w:ascii="宋体" w:hAnsi="宋体" w:cs="宋体"/>
                <w:color w:val="000000"/>
                <w:kern w:val="0"/>
                <w:szCs w:val="21"/>
              </w:rPr>
              <w:t>个工作日整改，每</w:t>
            </w:r>
            <w:r>
              <w:rPr>
                <w:color w:val="000000"/>
                <w:kern w:val="0"/>
                <w:szCs w:val="21"/>
              </w:rPr>
              <w:t>7</w:t>
            </w:r>
            <w:r>
              <w:rPr>
                <w:rFonts w:hint="eastAsia" w:ascii="宋体" w:hAnsi="宋体" w:cs="宋体"/>
                <w:color w:val="000000"/>
                <w:kern w:val="0"/>
                <w:szCs w:val="21"/>
              </w:rPr>
              <w:t>个工作日扣</w:t>
            </w:r>
            <w:r>
              <w:rPr>
                <w:color w:val="000000"/>
                <w:kern w:val="0"/>
                <w:szCs w:val="21"/>
              </w:rPr>
              <w:t>2</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管理制度</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未建立领导小组，层层落实管理责任制；未建立健全各项管理制度</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7</w:t>
            </w:r>
            <w:r>
              <w:rPr>
                <w:rFonts w:hint="eastAsia" w:ascii="宋体" w:hAnsi="宋体" w:cs="宋体"/>
                <w:color w:val="000000"/>
                <w:kern w:val="0"/>
                <w:szCs w:val="21"/>
              </w:rPr>
              <w:t>工作日</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10</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10</w:t>
            </w:r>
            <w:r>
              <w:rPr>
                <w:rFonts w:hint="eastAsia" w:ascii="宋体" w:hAnsi="宋体" w:cs="宋体"/>
                <w:color w:val="000000"/>
                <w:kern w:val="0"/>
                <w:szCs w:val="21"/>
              </w:rPr>
              <w:t>分。立案后</w:t>
            </w:r>
            <w:r>
              <w:rPr>
                <w:color w:val="000000"/>
                <w:kern w:val="0"/>
                <w:szCs w:val="21"/>
              </w:rPr>
              <w:t>7</w:t>
            </w:r>
            <w:r>
              <w:rPr>
                <w:rFonts w:hint="eastAsia" w:ascii="宋体" w:hAnsi="宋体" w:cs="宋体"/>
                <w:color w:val="000000"/>
                <w:kern w:val="0"/>
                <w:szCs w:val="21"/>
              </w:rPr>
              <w:t>个工作日内整改则结束扣分；超过</w:t>
            </w:r>
            <w:r>
              <w:rPr>
                <w:color w:val="000000"/>
                <w:kern w:val="0"/>
                <w:szCs w:val="21"/>
              </w:rPr>
              <w:t>7</w:t>
            </w:r>
            <w:r>
              <w:rPr>
                <w:rFonts w:hint="eastAsia" w:ascii="宋体" w:hAnsi="宋体" w:cs="宋体"/>
                <w:color w:val="000000"/>
                <w:kern w:val="0"/>
                <w:szCs w:val="21"/>
              </w:rPr>
              <w:t>个工作日整改，每</w:t>
            </w:r>
            <w:r>
              <w:rPr>
                <w:color w:val="000000"/>
                <w:kern w:val="0"/>
                <w:szCs w:val="21"/>
              </w:rPr>
              <w:t>7</w:t>
            </w:r>
            <w:r>
              <w:rPr>
                <w:rFonts w:hint="eastAsia" w:ascii="宋体" w:hAnsi="宋体" w:cs="宋体"/>
                <w:color w:val="000000"/>
                <w:kern w:val="0"/>
                <w:szCs w:val="21"/>
              </w:rPr>
              <w:t>个工作日扣</w:t>
            </w:r>
            <w:r>
              <w:rPr>
                <w:color w:val="000000"/>
                <w:kern w:val="0"/>
                <w:szCs w:val="21"/>
              </w:rPr>
              <w:t>10</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未能文明作业，办公场所整洁有序，劳动工具机械设备按要求配备完好</w:t>
            </w:r>
          </w:p>
        </w:tc>
        <w:tc>
          <w:tcPr>
            <w:tcW w:w="937"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7</w:t>
            </w:r>
            <w:r>
              <w:rPr>
                <w:rFonts w:hint="eastAsia" w:ascii="宋体" w:hAnsi="宋体" w:cs="宋体"/>
                <w:color w:val="000000"/>
                <w:kern w:val="0"/>
                <w:szCs w:val="21"/>
              </w:rPr>
              <w:t>个工作日</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5</w:t>
            </w:r>
            <w:r>
              <w:rPr>
                <w:rFonts w:hint="eastAsia" w:ascii="宋体" w:hAnsi="宋体" w:cs="宋体"/>
                <w:color w:val="000000"/>
                <w:kern w:val="0"/>
                <w:szCs w:val="21"/>
              </w:rPr>
              <w:t>分</w:t>
            </w:r>
            <w:r>
              <w:rPr>
                <w:color w:val="000000"/>
                <w:kern w:val="0"/>
                <w:szCs w:val="21"/>
              </w:rPr>
              <w:t>-10</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w:t>
            </w:r>
            <w:r>
              <w:rPr>
                <w:color w:val="000000"/>
                <w:kern w:val="0"/>
                <w:szCs w:val="21"/>
              </w:rPr>
              <w:t>5-10</w:t>
            </w:r>
            <w:r>
              <w:rPr>
                <w:rFonts w:hint="eastAsia" w:ascii="宋体" w:hAnsi="宋体" w:cs="宋体"/>
                <w:color w:val="000000"/>
                <w:kern w:val="0"/>
                <w:szCs w:val="21"/>
              </w:rPr>
              <w:t>分。立案后</w:t>
            </w:r>
            <w:r>
              <w:rPr>
                <w:color w:val="000000"/>
                <w:kern w:val="0"/>
                <w:szCs w:val="21"/>
              </w:rPr>
              <w:t>7</w:t>
            </w:r>
            <w:r>
              <w:rPr>
                <w:rFonts w:hint="eastAsia" w:ascii="宋体" w:hAnsi="宋体" w:cs="宋体"/>
                <w:color w:val="000000"/>
                <w:kern w:val="0"/>
                <w:szCs w:val="21"/>
              </w:rPr>
              <w:t>个工作日内整改则结束扣分；超过</w:t>
            </w:r>
            <w:r>
              <w:rPr>
                <w:color w:val="000000"/>
                <w:kern w:val="0"/>
                <w:szCs w:val="21"/>
              </w:rPr>
              <w:t>7</w:t>
            </w:r>
            <w:r>
              <w:rPr>
                <w:rFonts w:hint="eastAsia" w:ascii="宋体" w:hAnsi="宋体" w:cs="宋体"/>
                <w:color w:val="000000"/>
                <w:kern w:val="0"/>
                <w:szCs w:val="21"/>
              </w:rPr>
              <w:t>个工作日整改，每</w:t>
            </w:r>
            <w:r>
              <w:rPr>
                <w:color w:val="000000"/>
                <w:kern w:val="0"/>
                <w:szCs w:val="21"/>
              </w:rPr>
              <w:t>7</w:t>
            </w:r>
            <w:r>
              <w:rPr>
                <w:rFonts w:hint="eastAsia" w:ascii="宋体" w:hAnsi="宋体" w:cs="宋体"/>
                <w:color w:val="000000"/>
                <w:kern w:val="0"/>
                <w:szCs w:val="21"/>
              </w:rPr>
              <w:t>个工作日扣</w:t>
            </w:r>
            <w:r>
              <w:rPr>
                <w:color w:val="000000"/>
                <w:kern w:val="0"/>
                <w:szCs w:val="21"/>
              </w:rPr>
              <w:t>5-10</w:t>
            </w:r>
            <w:r>
              <w:rPr>
                <w:rFonts w:hint="eastAsia" w:ascii="宋体" w:hAnsi="宋体" w:cs="宋体"/>
                <w:color w:val="000000"/>
                <w:kern w:val="0"/>
                <w:szCs w:val="21"/>
              </w:rPr>
              <w:t>分，扣分累计</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restart"/>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来件处理情况</w:t>
            </w: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未能上级部门抄告单及时回复处理</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按各类问题基础分值扣分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发现即扣相应基础分值。立案后在规定时间内整改结束扣分，超过规定时间按对应大小类处置时限累计扣分。</w:t>
            </w:r>
          </w:p>
        </w:tc>
      </w:tr>
      <w:tr>
        <w:tblPrEx>
          <w:tblCellMar>
            <w:top w:w="15" w:type="dxa"/>
            <w:left w:w="15" w:type="dxa"/>
            <w:bottom w:w="15" w:type="dxa"/>
            <w:right w:w="15" w:type="dxa"/>
          </w:tblCellMar>
        </w:tblPrEx>
        <w:trPr>
          <w:trHeight w:val="20" w:hRule="atLeast"/>
        </w:trPr>
        <w:tc>
          <w:tcPr>
            <w:tcW w:w="480" w:type="dxa"/>
            <w:vMerge w:val="continue"/>
            <w:tcBorders>
              <w:left w:val="single" w:color="000000" w:sz="4" w:space="0"/>
              <w:bottom w:val="single" w:color="000000" w:sz="4" w:space="0"/>
              <w:right w:val="single" w:color="000000" w:sz="4" w:space="0"/>
            </w:tcBorders>
            <w:noWrap/>
          </w:tcPr>
          <w:p>
            <w:pPr>
              <w:rPr>
                <w:color w:val="000000"/>
                <w:szCs w:val="21"/>
              </w:rPr>
            </w:pPr>
          </w:p>
        </w:tc>
        <w:tc>
          <w:tcPr>
            <w:tcW w:w="555" w:type="dxa"/>
            <w:vMerge w:val="continue"/>
            <w:tcBorders>
              <w:bottom w:val="single" w:color="000000" w:sz="4" w:space="0"/>
              <w:right w:val="single" w:color="000000" w:sz="4" w:space="0"/>
            </w:tcBorders>
            <w:noWrap/>
            <w:vAlign w:val="center"/>
          </w:tcPr>
          <w:p>
            <w:pPr>
              <w:jc w:val="center"/>
              <w:rPr>
                <w:rFonts w:ascii="宋体" w:hAnsi="宋体" w:cs="宋体"/>
                <w:color w:val="000000"/>
                <w:szCs w:val="21"/>
              </w:rPr>
            </w:pPr>
          </w:p>
        </w:tc>
        <w:tc>
          <w:tcPr>
            <w:tcW w:w="600" w:type="dxa"/>
            <w:vMerge w:val="continue"/>
            <w:tcBorders>
              <w:bottom w:val="single" w:color="000000" w:sz="4" w:space="0"/>
              <w:right w:val="single" w:color="000000" w:sz="4" w:space="0"/>
            </w:tcBorders>
            <w:noWrap/>
            <w:vAlign w:val="center"/>
          </w:tcPr>
          <w:p>
            <w:pPr>
              <w:rPr>
                <w:rFonts w:ascii="宋体" w:hAnsi="宋体" w:cs="宋体"/>
                <w:color w:val="000000"/>
                <w:szCs w:val="21"/>
              </w:rPr>
            </w:pPr>
          </w:p>
        </w:tc>
        <w:tc>
          <w:tcPr>
            <w:tcW w:w="208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未能积极配合上级部门组织的各类活动，不能及时完成交办任务，记录不清晰</w:t>
            </w:r>
          </w:p>
        </w:tc>
        <w:tc>
          <w:tcPr>
            <w:tcW w:w="937"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根据实际情况决定</w:t>
            </w:r>
          </w:p>
        </w:tc>
        <w:tc>
          <w:tcPr>
            <w:tcW w:w="925" w:type="dxa"/>
            <w:tcBorders>
              <w:bottom w:val="single" w:color="000000" w:sz="4" w:space="0"/>
              <w:right w:val="single" w:color="000000" w:sz="4" w:space="0"/>
            </w:tcBorders>
            <w:noWrap/>
            <w:vAlign w:val="center"/>
          </w:tcPr>
          <w:p>
            <w:pPr>
              <w:widowControl/>
              <w:textAlignment w:val="center"/>
              <w:rPr>
                <w:color w:val="000000"/>
                <w:szCs w:val="21"/>
              </w:rPr>
            </w:pPr>
            <w:r>
              <w:rPr>
                <w:color w:val="000000"/>
                <w:kern w:val="0"/>
                <w:szCs w:val="21"/>
              </w:rPr>
              <w:t>5-10</w:t>
            </w:r>
            <w:r>
              <w:rPr>
                <w:rFonts w:hint="eastAsia" w:ascii="宋体" w:hAnsi="宋体" w:cs="宋体"/>
                <w:color w:val="000000"/>
                <w:kern w:val="0"/>
                <w:szCs w:val="21"/>
              </w:rPr>
              <w:t>分</w:t>
            </w:r>
          </w:p>
        </w:tc>
        <w:tc>
          <w:tcPr>
            <w:tcW w:w="2802" w:type="dxa"/>
            <w:tcBorders>
              <w:bottom w:val="single" w:color="000000" w:sz="4" w:space="0"/>
              <w:right w:val="single" w:color="000000" w:sz="4" w:space="0"/>
            </w:tcBorders>
            <w:noWrap/>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发现即扣相应分数。立案后在规定时间内整改扣分结束；超过规定时间整改加倍扣分</w:t>
            </w:r>
          </w:p>
        </w:tc>
      </w:tr>
    </w:tbl>
    <w:p>
      <w:pPr>
        <w:spacing w:afterLines="50"/>
        <w:rPr>
          <w:rFonts w:ascii="宋体" w:hAnsi="宋体"/>
          <w:sz w:val="24"/>
        </w:rPr>
      </w:pPr>
      <w:r>
        <w:rPr>
          <w:rFonts w:hint="eastAsia" w:ascii="宋体" w:hAnsi="宋体"/>
          <w:sz w:val="24"/>
        </w:rPr>
        <w:t>检查人员：                                          年   月   日</w:t>
      </w:r>
    </w:p>
    <w:p>
      <w:pPr>
        <w:spacing w:line="500" w:lineRule="exact"/>
        <w:rPr>
          <w:rFonts w:ascii="宋体" w:hAnsi="宋体"/>
          <w:szCs w:val="21"/>
        </w:rPr>
      </w:pPr>
      <w:r>
        <w:rPr>
          <w:rFonts w:hint="eastAsia" w:ascii="宋体" w:hAnsi="宋体"/>
          <w:szCs w:val="21"/>
        </w:rPr>
        <w:t>注： 1、整改期限按天气、整改的内容由业主界定；1分对应扣款100元。</w:t>
      </w:r>
    </w:p>
    <w:p>
      <w:pPr>
        <w:spacing w:line="380" w:lineRule="exact"/>
        <w:ind w:right="-229" w:rightChars="-109" w:firstLine="495" w:firstLineChars="236"/>
        <w:rPr>
          <w:rFonts w:ascii="宋体" w:hAnsi="宋体"/>
          <w:szCs w:val="21"/>
        </w:rPr>
      </w:pPr>
      <w:r>
        <w:rPr>
          <w:rFonts w:hint="eastAsia" w:ascii="宋体" w:hAnsi="宋体"/>
          <w:szCs w:val="21"/>
        </w:rPr>
        <w:t>2、各类林木施肥按要求分类实施，每次施肥前应报业主验收、备案，施肥期不施肥，本月考核评定为不合格；浇水不及时、不足量，导致大面积植株死亡的，本月考核评定为不合格。</w:t>
      </w:r>
    </w:p>
    <w:p>
      <w:pPr>
        <w:spacing w:line="380" w:lineRule="exact"/>
        <w:ind w:right="-229" w:rightChars="-109" w:firstLine="495" w:firstLineChars="236"/>
        <w:rPr>
          <w:rFonts w:ascii="宋体" w:hAnsi="宋体"/>
          <w:szCs w:val="21"/>
        </w:rPr>
      </w:pPr>
      <w:r>
        <w:rPr>
          <w:rFonts w:hint="eastAsia" w:ascii="宋体" w:hAnsi="宋体"/>
          <w:szCs w:val="21"/>
        </w:rPr>
        <w:t>3、若承包公司在连续两个月考核中扣分大于120分，或在一年考核中有3个月月考核中扣分大于120分的，采购人有权中止或解除合同，履约保证金不予退还。</w:t>
      </w:r>
    </w:p>
    <w:p>
      <w:pPr>
        <w:spacing w:line="500" w:lineRule="exact"/>
        <w:ind w:firstLine="420" w:firstLineChars="200"/>
        <w:rPr>
          <w:rFonts w:ascii="宋体" w:hAnsi="宋体"/>
          <w:szCs w:val="21"/>
        </w:rPr>
      </w:pPr>
      <w:r>
        <w:rPr>
          <w:rFonts w:hint="eastAsia" w:ascii="宋体" w:hAnsi="宋体"/>
          <w:szCs w:val="21"/>
        </w:rPr>
        <w:t>4、养护单位每月底上报作业计划，业主代表根据作业计划表内容督促实施。</w:t>
      </w:r>
    </w:p>
    <w:p>
      <w:pPr>
        <w:spacing w:line="500" w:lineRule="exact"/>
        <w:ind w:firstLine="420" w:firstLineChars="200"/>
        <w:rPr>
          <w:rFonts w:ascii="Calibri"/>
          <w:szCs w:val="22"/>
        </w:rPr>
      </w:pPr>
      <w:r>
        <w:rPr>
          <w:rFonts w:hint="eastAsia" w:ascii="宋体" w:hAnsi="宋体"/>
          <w:szCs w:val="21"/>
        </w:rPr>
        <w:t>5、灾害性天气、突发事件应根据管理单位要求及时响应。</w:t>
      </w:r>
    </w:p>
    <w:p>
      <w:pPr>
        <w:spacing w:line="500" w:lineRule="exact"/>
        <w:ind w:firstLine="420" w:firstLineChars="200"/>
        <w:rPr>
          <w:rFonts w:ascii="宋体" w:hAnsi="宋体"/>
          <w:szCs w:val="21"/>
        </w:rPr>
      </w:pPr>
      <w:r>
        <w:rPr>
          <w:rFonts w:hint="eastAsia" w:ascii="宋体" w:hAnsi="宋体"/>
          <w:szCs w:val="21"/>
        </w:rPr>
        <w:t>6、本办法可根据工作需要进行调整，由江山市园林管理处负责解释。</w:t>
      </w:r>
    </w:p>
    <w:p>
      <w:pPr>
        <w:spacing w:line="500" w:lineRule="exact"/>
        <w:ind w:firstLine="420" w:firstLineChars="200"/>
        <w:jc w:val="left"/>
        <w:rPr>
          <w:rFonts w:ascii="宋体" w:hAnsi="宋体"/>
          <w:szCs w:val="21"/>
        </w:rPr>
      </w:pPr>
      <w:r>
        <w:rPr>
          <w:rFonts w:hint="eastAsia" w:ascii="宋体" w:hAnsi="宋体"/>
          <w:szCs w:val="21"/>
        </w:rPr>
        <w:t>7、本办法在项目移交完成后，各公司有1个月的调整期，调整期内可适当放宽条件。</w:t>
      </w:r>
    </w:p>
    <w:p>
      <w:pPr>
        <w:pStyle w:val="2"/>
        <w:rPr>
          <w:lang w:val="en-US"/>
        </w:rPr>
      </w:pPr>
    </w:p>
    <w:p>
      <w:pPr>
        <w:autoSpaceDE w:val="0"/>
        <w:autoSpaceDN w:val="0"/>
        <w:spacing w:line="560" w:lineRule="exact"/>
        <w:rPr>
          <w:rFonts w:ascii="仿宋" w:hAnsi="仿宋" w:eastAsia="仿宋"/>
          <w:sz w:val="24"/>
          <w:lang w:val="zh-CN"/>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widowControl/>
        <w:adjustRightInd/>
        <w:jc w:val="left"/>
        <w:rPr>
          <w:rFonts w:ascii="仿宋" w:hAnsi="仿宋" w:eastAsia="仿宋" w:cs="仿宋_GB2312"/>
          <w:b/>
          <w:sz w:val="36"/>
          <w:szCs w:val="36"/>
        </w:rPr>
      </w:pPr>
      <w:bookmarkStart w:id="796" w:name="_Toc95232886"/>
      <w:bookmarkStart w:id="797" w:name="_Toc95295243"/>
      <w:bookmarkStart w:id="798" w:name="_Toc95295997"/>
      <w:bookmarkStart w:id="799" w:name="_Toc95296673"/>
      <w:bookmarkStart w:id="800" w:name="_Toc95296802"/>
      <w:bookmarkStart w:id="801" w:name="_Toc102563696"/>
      <w:bookmarkStart w:id="802" w:name="_Toc102563903"/>
      <w:bookmarkStart w:id="803" w:name="_Toc102563973"/>
      <w:bookmarkStart w:id="804" w:name="_Toc102564041"/>
      <w:bookmarkStart w:id="805" w:name="_Toc102565189"/>
      <w:r>
        <w:rPr>
          <w:rFonts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第六部分</w:t>
      </w:r>
      <w:bookmarkEnd w:id="568"/>
      <w:r>
        <w:rPr>
          <w:rFonts w:ascii="仿宋" w:hAnsi="仿宋" w:eastAsia="仿宋" w:cs="仿宋_GB2312"/>
          <w:b/>
          <w:sz w:val="36"/>
          <w:szCs w:val="36"/>
        </w:rPr>
        <w:t xml:space="preserve"> </w:t>
      </w:r>
      <w:bookmarkEnd w:id="569"/>
      <w:r>
        <w:rPr>
          <w:rFonts w:hint="eastAsia" w:ascii="仿宋" w:hAnsi="仿宋" w:eastAsia="仿宋" w:cs="仿宋_GB2312"/>
          <w:b/>
          <w:sz w:val="36"/>
          <w:szCs w:val="36"/>
        </w:rPr>
        <w:t>应提交的有关格式范例</w:t>
      </w:r>
      <w:bookmarkEnd w:id="796"/>
      <w:bookmarkEnd w:id="797"/>
      <w:bookmarkEnd w:id="798"/>
      <w:bookmarkEnd w:id="799"/>
      <w:bookmarkEnd w:id="800"/>
      <w:bookmarkEnd w:id="801"/>
      <w:bookmarkEnd w:id="802"/>
      <w:bookmarkEnd w:id="803"/>
      <w:bookmarkEnd w:id="804"/>
      <w:bookmarkEnd w:id="805"/>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bookmarkStart w:id="806" w:name="_Toc95232887"/>
      <w:bookmarkStart w:id="807" w:name="_Toc95295244"/>
      <w:bookmarkStart w:id="808" w:name="_Toc95295998"/>
      <w:bookmarkStart w:id="809" w:name="_Toc95296674"/>
      <w:bookmarkStart w:id="810" w:name="_Toc95296803"/>
      <w:bookmarkStart w:id="811" w:name="_Toc102563697"/>
      <w:bookmarkStart w:id="812" w:name="_Toc102563904"/>
      <w:bookmarkStart w:id="813" w:name="_Toc102563974"/>
      <w:bookmarkStart w:id="814" w:name="_Toc102564042"/>
      <w:bookmarkStart w:id="815" w:name="_Toc102565190"/>
      <w:r>
        <w:rPr>
          <w:rFonts w:hint="eastAsia" w:ascii="仿宋" w:hAnsi="仿宋" w:eastAsia="仿宋" w:cs="仿宋_GB2312"/>
          <w:b/>
          <w:kern w:val="0"/>
          <w:sz w:val="36"/>
          <w:szCs w:val="36"/>
        </w:rPr>
        <w:t>资格文件部分</w:t>
      </w:r>
      <w:bookmarkEnd w:id="806"/>
      <w:bookmarkEnd w:id="807"/>
      <w:bookmarkEnd w:id="808"/>
      <w:bookmarkEnd w:id="809"/>
      <w:bookmarkEnd w:id="810"/>
      <w:bookmarkEnd w:id="811"/>
      <w:bookmarkEnd w:id="812"/>
      <w:bookmarkEnd w:id="813"/>
      <w:bookmarkEnd w:id="814"/>
      <w:bookmarkEnd w:id="815"/>
    </w:p>
    <w:p>
      <w:pPr>
        <w:spacing w:line="360" w:lineRule="auto"/>
        <w:jc w:val="center"/>
        <w:outlineLvl w:val="0"/>
        <w:rPr>
          <w:rFonts w:ascii="仿宋" w:hAnsi="仿宋" w:eastAsia="仿宋" w:cstheme="minorBidi"/>
          <w:szCs w:val="22"/>
        </w:rPr>
      </w:pPr>
      <w:bookmarkStart w:id="816" w:name="_Toc95232888"/>
      <w:bookmarkStart w:id="817" w:name="_Toc95295245"/>
      <w:bookmarkStart w:id="818" w:name="_Toc95295999"/>
      <w:bookmarkStart w:id="819" w:name="_Toc95296675"/>
      <w:bookmarkStart w:id="820" w:name="_Toc95296804"/>
      <w:bookmarkStart w:id="821" w:name="_Toc102563698"/>
      <w:bookmarkStart w:id="822" w:name="_Toc102563905"/>
      <w:bookmarkStart w:id="823" w:name="_Toc102563975"/>
      <w:bookmarkStart w:id="824" w:name="_Toc102564043"/>
      <w:bookmarkStart w:id="825" w:name="_Toc102565191"/>
      <w:r>
        <w:rPr>
          <w:rFonts w:hint="eastAsia" w:ascii="仿宋" w:hAnsi="仿宋" w:eastAsia="仿宋" w:cs="宋体"/>
          <w:b/>
          <w:kern w:val="0"/>
          <w:sz w:val="36"/>
          <w:szCs w:val="36"/>
        </w:rPr>
        <w:t>目录</w:t>
      </w:r>
      <w:bookmarkEnd w:id="816"/>
      <w:bookmarkEnd w:id="817"/>
      <w:bookmarkEnd w:id="818"/>
      <w:bookmarkEnd w:id="819"/>
      <w:bookmarkEnd w:id="820"/>
      <w:bookmarkEnd w:id="821"/>
      <w:bookmarkEnd w:id="822"/>
      <w:bookmarkEnd w:id="823"/>
      <w:bookmarkEnd w:id="824"/>
      <w:bookmarkEnd w:id="825"/>
      <w:r>
        <w:rPr>
          <w:rFonts w:ascii="仿宋" w:hAnsi="仿宋" w:eastAsia="仿宋" w:cs="仿宋_GB2312"/>
          <w:sz w:val="24"/>
        </w:rPr>
        <w:fldChar w:fldCharType="begin"/>
      </w:r>
      <w:r>
        <w:rPr>
          <w:rFonts w:ascii="仿宋" w:hAnsi="仿宋" w:eastAsia="仿宋" w:cs="仿宋_GB2312"/>
          <w:sz w:val="24"/>
        </w:rPr>
        <w:instrText xml:space="preserve"> TOC \o "1-3" \h \z \u </w:instrText>
      </w:r>
      <w:r>
        <w:rPr>
          <w:rFonts w:ascii="仿宋" w:hAnsi="仿宋" w:eastAsia="仿宋" w:cs="仿宋_GB2312"/>
          <w:sz w:val="24"/>
        </w:rPr>
        <w:fldChar w:fldCharType="separate"/>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"_Toc102565192" </w:instrText>
      </w:r>
      <w:r>
        <w:fldChar w:fldCharType="separate"/>
      </w:r>
      <w:r>
        <w:rPr>
          <w:rStyle w:val="76"/>
          <w:rFonts w:hint="eastAsia" w:ascii="仿宋" w:hAnsi="仿宋" w:eastAsia="仿宋" w:cs="宋体"/>
          <w:b/>
          <w:sz w:val="28"/>
          <w:szCs w:val="28"/>
        </w:rPr>
        <w:t>一、资格文件封面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_Toc102565192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"_Toc102565193" </w:instrText>
      </w:r>
      <w:r>
        <w:fldChar w:fldCharType="separate"/>
      </w:r>
      <w:r>
        <w:rPr>
          <w:rStyle w:val="76"/>
          <w:rFonts w:hint="eastAsia" w:ascii="仿宋" w:hAnsi="仿宋" w:eastAsia="仿宋" w:cs="仿宋_GB2312"/>
          <w:b/>
          <w:sz w:val="28"/>
          <w:szCs w:val="28"/>
        </w:rPr>
        <w:t>二</w:t>
      </w:r>
      <w:r>
        <w:rPr>
          <w:rStyle w:val="76"/>
          <w:rFonts w:hint="eastAsia" w:ascii="仿宋" w:hAnsi="仿宋" w:eastAsia="仿宋" w:cs="宋体"/>
          <w:b/>
          <w:sz w:val="28"/>
          <w:szCs w:val="28"/>
        </w:rPr>
        <w:t>、符合参加政府采购活动应当具备的一般条件的承诺函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_Toc102565193 \h </w:instrText>
      </w:r>
      <w:r>
        <w:rPr>
          <w:rFonts w:ascii="仿宋" w:hAnsi="仿宋" w:eastAsia="仿宋"/>
          <w:sz w:val="28"/>
          <w:szCs w:val="28"/>
        </w:rPr>
        <w:fldChar w:fldCharType="separate"/>
      </w:r>
      <w:r>
        <w:rPr>
          <w:rFonts w:ascii="仿宋" w:hAnsi="仿宋" w:eastAsia="仿宋"/>
          <w:sz w:val="28"/>
          <w:szCs w:val="28"/>
        </w:rPr>
        <w:t>45</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"_Toc102565194" </w:instrText>
      </w:r>
      <w:r>
        <w:fldChar w:fldCharType="separate"/>
      </w:r>
      <w:r>
        <w:rPr>
          <w:rStyle w:val="76"/>
          <w:rFonts w:hint="eastAsia" w:ascii="仿宋" w:hAnsi="仿宋" w:eastAsia="仿宋" w:cs="仿宋_GB2312"/>
          <w:b/>
          <w:sz w:val="28"/>
          <w:szCs w:val="28"/>
        </w:rPr>
        <w:t>三</w:t>
      </w:r>
      <w:r>
        <w:rPr>
          <w:rStyle w:val="76"/>
          <w:rFonts w:hint="eastAsia" w:ascii="仿宋" w:hAnsi="仿宋" w:eastAsia="仿宋" w:cs="宋体"/>
          <w:b/>
          <w:sz w:val="28"/>
          <w:szCs w:val="28"/>
        </w:rPr>
        <w:t>、营业执照</w:t>
      </w:r>
      <w:r>
        <w:rPr>
          <w:rStyle w:val="76"/>
          <w:rFonts w:ascii="仿宋" w:hAnsi="仿宋" w:eastAsia="仿宋" w:cs="仿宋_GB2312"/>
          <w:b/>
          <w:sz w:val="28"/>
          <w:szCs w:val="28"/>
        </w:rPr>
        <w:t>(</w:t>
      </w:r>
      <w:r>
        <w:rPr>
          <w:rStyle w:val="76"/>
          <w:rFonts w:hint="eastAsia" w:ascii="仿宋" w:hAnsi="仿宋" w:eastAsia="仿宋" w:cs="宋体"/>
          <w:b/>
          <w:sz w:val="28"/>
          <w:szCs w:val="28"/>
        </w:rPr>
        <w:t>或事业法人登记证或其他工商等登记证明材料</w:t>
      </w:r>
      <w:r>
        <w:rPr>
          <w:rStyle w:val="76"/>
          <w:rFonts w:ascii="仿宋" w:hAnsi="仿宋" w:eastAsia="仿宋" w:cs="仿宋_GB2312"/>
          <w:b/>
          <w:sz w:val="28"/>
          <w:szCs w:val="28"/>
        </w:rPr>
        <w:t>)</w:t>
      </w:r>
      <w:r>
        <w:rPr>
          <w:rStyle w:val="76"/>
          <w:rFonts w:hint="eastAsia" w:ascii="仿宋" w:hAnsi="仿宋" w:eastAsia="仿宋" w:cs="宋体"/>
          <w:b/>
          <w:sz w:val="28"/>
          <w:szCs w:val="28"/>
        </w:rPr>
        <w:t>彩色扫描件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_Toc102565194 \h </w:instrText>
      </w:r>
      <w:r>
        <w:rPr>
          <w:rFonts w:ascii="仿宋" w:hAnsi="仿宋" w:eastAsia="仿宋"/>
          <w:sz w:val="28"/>
          <w:szCs w:val="28"/>
        </w:rPr>
        <w:fldChar w:fldCharType="separate"/>
      </w:r>
      <w:r>
        <w:rPr>
          <w:rFonts w:ascii="仿宋" w:hAnsi="仿宋" w:eastAsia="仿宋"/>
          <w:sz w:val="28"/>
          <w:szCs w:val="28"/>
        </w:rPr>
        <w:t>46</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"_Toc102565195" </w:instrText>
      </w:r>
      <w:r>
        <w:fldChar w:fldCharType="separate"/>
      </w:r>
      <w:r>
        <w:rPr>
          <w:rStyle w:val="76"/>
          <w:rFonts w:hint="eastAsia" w:ascii="仿宋" w:hAnsi="仿宋" w:eastAsia="仿宋" w:cs="仿宋_GB2312"/>
          <w:b/>
          <w:sz w:val="28"/>
          <w:szCs w:val="28"/>
        </w:rPr>
        <w:t>四</w:t>
      </w:r>
      <w:r>
        <w:rPr>
          <w:rStyle w:val="76"/>
          <w:rFonts w:hint="eastAsia" w:ascii="仿宋" w:hAnsi="仿宋" w:eastAsia="仿宋" w:cs="宋体"/>
          <w:b/>
          <w:sz w:val="28"/>
          <w:szCs w:val="28"/>
        </w:rPr>
        <w:t>、落实政府采购政策需满足的资格要求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_Toc102565195 \h </w:instrText>
      </w:r>
      <w:r>
        <w:rPr>
          <w:rFonts w:ascii="仿宋" w:hAnsi="仿宋" w:eastAsia="仿宋"/>
          <w:sz w:val="28"/>
          <w:szCs w:val="28"/>
        </w:rPr>
        <w:fldChar w:fldCharType="separate"/>
      </w:r>
      <w:r>
        <w:rPr>
          <w:rFonts w:ascii="仿宋" w:hAnsi="仿宋" w:eastAsia="仿宋"/>
          <w:sz w:val="28"/>
          <w:szCs w:val="28"/>
        </w:rPr>
        <w:t>47</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"_Toc102565196" </w:instrText>
      </w:r>
      <w:r>
        <w:fldChar w:fldCharType="separate"/>
      </w:r>
      <w:r>
        <w:rPr>
          <w:rStyle w:val="76"/>
          <w:rFonts w:hint="eastAsia" w:ascii="仿宋" w:hAnsi="仿宋" w:eastAsia="仿宋" w:cs="仿宋_GB2312"/>
          <w:b/>
          <w:sz w:val="28"/>
          <w:szCs w:val="28"/>
        </w:rPr>
        <w:t>五</w:t>
      </w:r>
      <w:r>
        <w:rPr>
          <w:rStyle w:val="76"/>
          <w:rFonts w:hint="eastAsia" w:ascii="仿宋" w:hAnsi="仿宋" w:eastAsia="仿宋" w:cs="宋体"/>
          <w:b/>
          <w:sz w:val="28"/>
          <w:szCs w:val="28"/>
        </w:rPr>
        <w:t>、本项目的特定资格要求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_Toc102565196 \h </w:instrText>
      </w:r>
      <w:r>
        <w:rPr>
          <w:rFonts w:ascii="仿宋" w:hAnsi="仿宋" w:eastAsia="仿宋"/>
          <w:sz w:val="28"/>
          <w:szCs w:val="28"/>
        </w:rPr>
        <w:fldChar w:fldCharType="separate"/>
      </w:r>
      <w:r>
        <w:rPr>
          <w:rFonts w:ascii="仿宋" w:hAnsi="仿宋" w:eastAsia="仿宋"/>
          <w:sz w:val="28"/>
          <w:szCs w:val="28"/>
        </w:rPr>
        <w:t>50</w:t>
      </w:r>
      <w:r>
        <w:rPr>
          <w:rFonts w:ascii="仿宋" w:hAnsi="仿宋" w:eastAsia="仿宋"/>
          <w:sz w:val="28"/>
          <w:szCs w:val="28"/>
        </w:rPr>
        <w:fldChar w:fldCharType="end"/>
      </w:r>
      <w:r>
        <w:rPr>
          <w:rFonts w:ascii="仿宋" w:hAnsi="仿宋" w:eastAsia="仿宋"/>
          <w:sz w:val="28"/>
          <w:szCs w:val="28"/>
        </w:rPr>
        <w:fldChar w:fldCharType="end"/>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fldChar w:fldCharType="end"/>
      </w:r>
    </w:p>
    <w:p>
      <w:pPr>
        <w:spacing w:line="360" w:lineRule="auto"/>
        <w:ind w:firstLine="480" w:firstLineChars="200"/>
        <w:rPr>
          <w:rFonts w:ascii="仿宋" w:hAnsi="仿宋" w:eastAsia="仿宋" w:cs="仿宋_GB2312"/>
          <w:sz w:val="24"/>
        </w:rPr>
      </w:pPr>
    </w:p>
    <w:p>
      <w:pPr>
        <w:snapToGrid w:val="0"/>
        <w:spacing w:line="360" w:lineRule="auto"/>
        <w:ind w:right="482"/>
        <w:jc w:val="center"/>
        <w:outlineLvl w:val="0"/>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 xml:space="preserve"> </w:t>
      </w:r>
    </w:p>
    <w:p>
      <w:pPr>
        <w:snapToGrid w:val="0"/>
        <w:spacing w:line="360" w:lineRule="auto"/>
        <w:ind w:right="482"/>
        <w:jc w:val="center"/>
        <w:outlineLvl w:val="0"/>
        <w:rPr>
          <w:rFonts w:ascii="仿宋" w:hAnsi="仿宋" w:eastAsia="仿宋" w:cs="仿宋_GB2312"/>
          <w:b/>
          <w:kern w:val="0"/>
          <w:sz w:val="32"/>
          <w:szCs w:val="32"/>
        </w:rPr>
      </w:pPr>
      <w:bookmarkStart w:id="826" w:name="_Toc84841485"/>
      <w:bookmarkStart w:id="827" w:name="_Toc84841350"/>
      <w:bookmarkStart w:id="828" w:name="_Toc14964497"/>
      <w:bookmarkStart w:id="829" w:name="_Toc95379698"/>
      <w:bookmarkStart w:id="830" w:name="_Toc95379988"/>
      <w:bookmarkStart w:id="831" w:name="_Toc95384924"/>
      <w:bookmarkStart w:id="832" w:name="_Toc95386530"/>
      <w:bookmarkStart w:id="833" w:name="_Toc95386647"/>
      <w:bookmarkStart w:id="834" w:name="_Toc95387083"/>
      <w:bookmarkStart w:id="835" w:name="_Toc102563699"/>
      <w:bookmarkStart w:id="836" w:name="_Toc102563976"/>
      <w:bookmarkStart w:id="837" w:name="_Toc102564044"/>
      <w:bookmarkStart w:id="838" w:name="_Toc102565192"/>
      <w:r>
        <w:rPr>
          <w:rFonts w:hint="eastAsia" w:ascii="仿宋" w:hAnsi="仿宋" w:eastAsia="仿宋" w:cs="仿宋_GB2312"/>
          <w:b/>
          <w:kern w:val="0"/>
          <w:sz w:val="32"/>
          <w:szCs w:val="32"/>
        </w:rPr>
        <w:t>一、资格文件封面</w:t>
      </w:r>
      <w:bookmarkEnd w:id="826"/>
      <w:bookmarkEnd w:id="827"/>
      <w:bookmarkEnd w:id="828"/>
      <w:bookmarkEnd w:id="829"/>
      <w:bookmarkEnd w:id="830"/>
      <w:bookmarkEnd w:id="831"/>
      <w:bookmarkEnd w:id="832"/>
      <w:bookmarkEnd w:id="833"/>
      <w:bookmarkEnd w:id="834"/>
      <w:bookmarkEnd w:id="835"/>
      <w:bookmarkEnd w:id="836"/>
      <w:bookmarkEnd w:id="837"/>
      <w:bookmarkEnd w:id="838"/>
    </w:p>
    <w:p>
      <w:pPr>
        <w:ind w:left="1800" w:leftChars="857"/>
        <w:jc w:val="right"/>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snapToGrid w:val="0"/>
        <w:spacing w:line="520" w:lineRule="exact"/>
        <w:jc w:val="center"/>
        <w:rPr>
          <w:rFonts w:ascii="仿宋" w:hAnsi="仿宋" w:eastAsia="仿宋"/>
          <w:color w:val="000000"/>
          <w:sz w:val="24"/>
        </w:rPr>
      </w:pPr>
      <w:r>
        <w:rPr>
          <w:rFonts w:hint="eastAsia" w:ascii="仿宋" w:hAnsi="仿宋" w:eastAsia="仿宋"/>
          <w:color w:val="000000"/>
          <w:sz w:val="24"/>
        </w:rPr>
        <w:t>资格文件</w:t>
      </w:r>
    </w:p>
    <w:p>
      <w:pPr>
        <w:snapToGrid w:val="0"/>
        <w:spacing w:line="520" w:lineRule="exact"/>
        <w:ind w:firstLine="1682" w:firstLineChars="698"/>
        <w:rPr>
          <w:rFonts w:ascii="仿宋" w:hAnsi="仿宋" w:eastAsia="仿宋"/>
          <w:b/>
          <w:color w:val="000000"/>
          <w:sz w:val="24"/>
        </w:rPr>
      </w:pPr>
    </w:p>
    <w:p>
      <w:pPr>
        <w:snapToGrid w:val="0"/>
        <w:spacing w:line="400" w:lineRule="exact"/>
        <w:ind w:firstLine="480" w:firstLineChars="200"/>
        <w:rPr>
          <w:rFonts w:ascii="仿宋" w:hAnsi="仿宋" w:eastAsia="仿宋" w:cs="仿宋_GB2312"/>
          <w:sz w:val="24"/>
          <w:u w:val="single"/>
        </w:rPr>
      </w:pPr>
      <w:bookmarkStart w:id="839" w:name="_Toc357410802"/>
      <w:r>
        <w:rPr>
          <w:rFonts w:hint="eastAsia" w:ascii="仿宋" w:hAnsi="仿宋" w:eastAsia="仿宋"/>
          <w:color w:val="000000"/>
          <w:sz w:val="24"/>
        </w:rPr>
        <w:t xml:space="preserve">     </w:t>
      </w:r>
      <w:bookmarkEnd w:id="839"/>
      <w:r>
        <w:rPr>
          <w:rFonts w:hint="eastAsia" w:ascii="仿宋" w:hAnsi="仿宋" w:eastAsia="仿宋" w:cs="仿宋_GB2312"/>
          <w:sz w:val="24"/>
        </w:rPr>
        <w:t>项目名称：</w:t>
      </w:r>
      <w:r>
        <w:rPr>
          <w:rFonts w:hint="eastAsia" w:ascii="仿宋" w:hAnsi="仿宋" w:eastAsia="仿宋" w:cs="仿宋_GB2312"/>
          <w:sz w:val="24"/>
          <w:u w:val="single"/>
        </w:rPr>
        <w:t xml:space="preserve">                        </w:t>
      </w:r>
    </w:p>
    <w:p>
      <w:pPr>
        <w:snapToGrid w:val="0"/>
        <w:spacing w:line="600" w:lineRule="exact"/>
        <w:rPr>
          <w:rFonts w:ascii="仿宋" w:hAnsi="仿宋" w:eastAsia="仿宋"/>
          <w:color w:val="000000"/>
          <w:sz w:val="24"/>
        </w:rPr>
      </w:pPr>
    </w:p>
    <w:p>
      <w:pPr>
        <w:snapToGrid w:val="0"/>
        <w:spacing w:line="400" w:lineRule="exact"/>
        <w:ind w:firstLine="480" w:firstLineChars="200"/>
        <w:rPr>
          <w:rFonts w:ascii="仿宋" w:hAnsi="仿宋" w:eastAsia="仿宋"/>
          <w:color w:val="000000"/>
          <w:sz w:val="24"/>
          <w:u w:val="single"/>
        </w:rPr>
      </w:pPr>
      <w:r>
        <w:rPr>
          <w:rFonts w:hint="eastAsia" w:ascii="仿宋" w:hAnsi="仿宋" w:eastAsia="仿宋"/>
          <w:color w:val="000000"/>
          <w:sz w:val="24"/>
        </w:rPr>
        <w:t xml:space="preserve">     </w:t>
      </w:r>
      <w:r>
        <w:rPr>
          <w:rFonts w:hint="eastAsia" w:ascii="仿宋" w:hAnsi="仿宋" w:eastAsia="仿宋" w:cs="仿宋_GB2312"/>
          <w:sz w:val="24"/>
        </w:rPr>
        <w:t>项目编号：</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u w:val="single"/>
        </w:rPr>
      </w:pPr>
      <w:r>
        <w:rPr>
          <w:rFonts w:hint="eastAsia" w:ascii="仿宋" w:hAnsi="仿宋" w:eastAsia="仿宋"/>
          <w:color w:val="000000"/>
          <w:sz w:val="24"/>
        </w:rPr>
        <w:t xml:space="preserve">         </w:t>
      </w:r>
      <w:r>
        <w:rPr>
          <w:rFonts w:hint="eastAsia" w:ascii="仿宋" w:hAnsi="仿宋" w:eastAsia="仿宋" w:cs="仿宋_GB2312"/>
          <w:sz w:val="24"/>
        </w:rPr>
        <w:t>供应商：</w:t>
      </w:r>
      <w:r>
        <w:rPr>
          <w:rFonts w:hint="eastAsia" w:ascii="仿宋" w:hAnsi="仿宋" w:eastAsia="仿宋" w:cs="仿宋_GB2312"/>
          <w:sz w:val="24"/>
          <w:u w:val="single"/>
        </w:rPr>
        <w:t xml:space="preserve">                       </w:t>
      </w:r>
      <w:r>
        <w:rPr>
          <w:rFonts w:ascii="仿宋" w:hAnsi="仿宋" w:eastAsia="仿宋" w:cs="仿宋_GB2312"/>
          <w:sz w:val="24"/>
          <w:u w:val="single"/>
        </w:rPr>
        <w:t>(电子签名)</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rPr>
      </w:pPr>
      <w:r>
        <w:rPr>
          <w:rFonts w:hint="eastAsia" w:ascii="仿宋" w:hAnsi="仿宋" w:eastAsia="仿宋"/>
          <w:color w:val="000000"/>
          <w:sz w:val="24"/>
        </w:rPr>
        <w:t xml:space="preserve">         </w:t>
      </w:r>
      <w:r>
        <w:rPr>
          <w:rFonts w:hint="eastAsia" w:ascii="仿宋" w:hAnsi="仿宋" w:eastAsia="仿宋" w:cs="仿宋_GB2312"/>
          <w:sz w:val="24"/>
        </w:rPr>
        <w:t>日期：</w:t>
      </w:r>
      <w:r>
        <w:rPr>
          <w:rFonts w:hint="eastAsia" w:ascii="仿宋" w:hAnsi="仿宋" w:eastAsia="仿宋"/>
          <w:color w:val="000000"/>
          <w:sz w:val="24"/>
        </w:rPr>
        <w:t xml:space="preserve">   </w:t>
      </w:r>
      <w:r>
        <w:rPr>
          <w:rFonts w:hint="eastAsia" w:ascii="仿宋" w:hAnsi="仿宋" w:eastAsia="仿宋" w:cs="仿宋_GB2312"/>
          <w:sz w:val="24"/>
        </w:rPr>
        <w:t xml:space="preserve"> 年   月 日</w:t>
      </w:r>
    </w:p>
    <w:p>
      <w:pPr>
        <w:snapToGrid w:val="0"/>
        <w:spacing w:line="520" w:lineRule="exact"/>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pStyle w:val="2"/>
        <w:rPr>
          <w:rFonts w:ascii="仿宋" w:eastAsia="仿宋"/>
          <w:kern w:val="0"/>
        </w:rPr>
      </w:pPr>
      <w:r>
        <w:rPr>
          <w:rFonts w:ascii="仿宋" w:eastAsia="仿宋"/>
          <w:kern w:val="0"/>
        </w:rPr>
        <w:br w:type="page"/>
      </w:r>
    </w:p>
    <w:p>
      <w:pPr>
        <w:snapToGrid w:val="0"/>
        <w:spacing w:line="360" w:lineRule="auto"/>
        <w:ind w:right="482"/>
        <w:jc w:val="center"/>
        <w:outlineLvl w:val="0"/>
        <w:rPr>
          <w:rFonts w:ascii="仿宋" w:hAnsi="仿宋" w:eastAsia="仿宋" w:cs="仿宋_GB2312"/>
          <w:b/>
          <w:kern w:val="0"/>
          <w:sz w:val="32"/>
          <w:szCs w:val="32"/>
        </w:rPr>
      </w:pPr>
      <w:r>
        <w:rPr>
          <w:rFonts w:ascii="仿宋" w:hAnsi="仿宋" w:eastAsia="仿宋" w:cs="仿宋_GB2312"/>
          <w:b/>
          <w:kern w:val="0"/>
          <w:sz w:val="32"/>
          <w:szCs w:val="32"/>
        </w:rPr>
        <w:t xml:space="preserve"> </w:t>
      </w:r>
      <w:bookmarkStart w:id="840" w:name="_Toc102563700"/>
      <w:bookmarkStart w:id="841" w:name="_Toc95296805"/>
      <w:bookmarkStart w:id="842" w:name="_Toc102563977"/>
      <w:bookmarkStart w:id="843" w:name="_Toc102564045"/>
      <w:bookmarkStart w:id="844" w:name="_Toc95296676"/>
      <w:bookmarkStart w:id="845" w:name="_Toc95296000"/>
      <w:bookmarkStart w:id="846" w:name="_Toc102565193"/>
      <w:r>
        <w:rPr>
          <w:rFonts w:hint="eastAsia" w:ascii="仿宋" w:hAnsi="仿宋" w:eastAsia="仿宋" w:cs="仿宋_GB2312"/>
          <w:b/>
          <w:kern w:val="0"/>
          <w:sz w:val="32"/>
          <w:szCs w:val="32"/>
        </w:rPr>
        <w:t>二</w:t>
      </w:r>
      <w:r>
        <w:rPr>
          <w:rFonts w:ascii="仿宋" w:hAnsi="仿宋" w:eastAsia="仿宋" w:cs="仿宋_GB2312"/>
          <w:b/>
          <w:kern w:val="0"/>
          <w:sz w:val="32"/>
          <w:szCs w:val="32"/>
        </w:rPr>
        <w:t>、符合参加政府采购活动应当具备的一般条件的承诺函</w:t>
      </w:r>
      <w:bookmarkEnd w:id="840"/>
      <w:bookmarkEnd w:id="841"/>
      <w:bookmarkEnd w:id="842"/>
      <w:bookmarkEnd w:id="843"/>
      <w:bookmarkEnd w:id="844"/>
      <w:bookmarkEnd w:id="845"/>
      <w:bookmarkEnd w:id="846"/>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www.creditchina.gov.cn)、中国政府采购网（www.ccgp.gov.cn）列入严重失信主体名单、政府采购严重违法失信行为记录名单。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b/>
          <w:color w:val="FF0000"/>
          <w:kern w:val="0"/>
          <w:sz w:val="24"/>
        </w:rPr>
      </w:pPr>
      <w:r>
        <w:rPr>
          <w:rFonts w:hint="eastAsia" w:ascii="仿宋" w:hAnsi="仿宋" w:eastAsia="仿宋" w:cs="仿宋_GB2312"/>
          <w:kern w:val="0"/>
          <w:sz w:val="24"/>
          <w:lang w:val="zh-CN"/>
        </w:rPr>
        <w:t>投标人名称</w:t>
      </w:r>
      <w:r>
        <w:rPr>
          <w:rFonts w:ascii="仿宋" w:hAnsi="仿宋" w:eastAsia="仿宋" w:cs="仿宋_GB2312"/>
          <w:b/>
          <w:color w:val="FF0000"/>
          <w:kern w:val="0"/>
          <w:sz w:val="24"/>
          <w:lang w:val="zh-CN"/>
        </w:rPr>
        <w:t>(电子签名)：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ind w:right="482"/>
        <w:jc w:val="center"/>
        <w:outlineLvl w:val="0"/>
        <w:rPr>
          <w:rFonts w:ascii="仿宋" w:hAnsi="仿宋" w:eastAsia="仿宋" w:cs="仿宋_GB2312"/>
          <w:b/>
          <w:kern w:val="0"/>
          <w:sz w:val="32"/>
          <w:szCs w:val="32"/>
        </w:rPr>
      </w:pPr>
      <w:bookmarkStart w:id="847" w:name="_Toc95384925"/>
      <w:bookmarkStart w:id="848" w:name="_Toc95386531"/>
      <w:bookmarkStart w:id="849" w:name="_Toc95386648"/>
      <w:bookmarkStart w:id="850" w:name="_Toc95387084"/>
      <w:bookmarkStart w:id="851" w:name="_Toc96432521"/>
      <w:bookmarkStart w:id="852" w:name="_Toc96432603"/>
      <w:bookmarkStart w:id="853" w:name="_Toc96432847"/>
      <w:bookmarkStart w:id="854" w:name="_Toc102563701"/>
      <w:bookmarkStart w:id="855" w:name="_Toc102563978"/>
      <w:bookmarkStart w:id="856" w:name="_Toc102564046"/>
      <w:bookmarkStart w:id="857" w:name="_Toc102565194"/>
      <w:bookmarkStart w:id="858" w:name="_Toc95296001"/>
      <w:bookmarkStart w:id="859" w:name="_Toc95296677"/>
      <w:bookmarkStart w:id="860" w:name="_Toc95296806"/>
      <w:r>
        <w:rPr>
          <w:rFonts w:hint="eastAsia" w:ascii="仿宋" w:hAnsi="仿宋" w:eastAsia="仿宋" w:cs="仿宋_GB2312"/>
          <w:b/>
          <w:kern w:val="0"/>
          <w:sz w:val="32"/>
          <w:szCs w:val="32"/>
        </w:rPr>
        <w:t>三、营业执照(或事业法人登记证或其他工商等登记证明材料)彩色扫描件</w:t>
      </w:r>
      <w:bookmarkEnd w:id="847"/>
      <w:bookmarkEnd w:id="848"/>
      <w:bookmarkEnd w:id="849"/>
      <w:bookmarkEnd w:id="850"/>
      <w:bookmarkEnd w:id="851"/>
      <w:bookmarkEnd w:id="852"/>
      <w:bookmarkEnd w:id="853"/>
      <w:bookmarkEnd w:id="854"/>
      <w:bookmarkEnd w:id="855"/>
      <w:bookmarkEnd w:id="856"/>
      <w:bookmarkEnd w:id="857"/>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ind w:right="482"/>
        <w:jc w:val="center"/>
        <w:outlineLvl w:val="0"/>
        <w:rPr>
          <w:rFonts w:ascii="仿宋" w:hAnsi="仿宋" w:eastAsia="仿宋" w:cs="仿宋_GB2312"/>
          <w:b/>
          <w:kern w:val="0"/>
          <w:sz w:val="32"/>
          <w:szCs w:val="32"/>
        </w:rPr>
      </w:pPr>
      <w:bookmarkStart w:id="861" w:name="_Toc102563702"/>
      <w:bookmarkStart w:id="862" w:name="_Toc102564047"/>
      <w:bookmarkStart w:id="863" w:name="_Toc102565195"/>
      <w:bookmarkStart w:id="864" w:name="_Toc102563979"/>
      <w:r>
        <w:rPr>
          <w:rFonts w:hint="eastAsia" w:ascii="仿宋" w:hAnsi="仿宋" w:eastAsia="仿宋" w:cs="仿宋_GB2312"/>
          <w:b/>
          <w:kern w:val="0"/>
          <w:sz w:val="32"/>
          <w:szCs w:val="32"/>
        </w:rPr>
        <w:t>四、落实政府采购政策需满足的资格要求</w:t>
      </w:r>
      <w:bookmarkEnd w:id="858"/>
      <w:bookmarkEnd w:id="859"/>
      <w:bookmarkEnd w:id="860"/>
      <w:bookmarkEnd w:id="861"/>
      <w:bookmarkEnd w:id="862"/>
      <w:bookmarkEnd w:id="863"/>
      <w:bookmarkEnd w:id="864"/>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r>
        <w:rPr>
          <w:rFonts w:ascii="仿宋" w:hAnsi="仿宋" w:eastAsia="仿宋" w:cs="仿宋_GB2312"/>
          <w:sz w:val="24"/>
        </w:rPr>
        <w:t xml:space="preserve"> </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r>
        <w:rPr>
          <w:rFonts w:ascii="仿宋" w:hAnsi="仿宋" w:eastAsia="仿宋" w:cs="仿宋_GB2312"/>
          <w:b/>
          <w:sz w:val="24"/>
        </w:rPr>
        <w:t xml:space="preserve">    </w:t>
      </w: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b/>
          <w:color w:val="FF0000"/>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60" w:firstLineChars="2100"/>
        <w:rPr>
          <w:rFonts w:ascii="仿宋" w:hAnsi="仿宋" w:eastAsia="仿宋" w:cs="仿宋_GB2312"/>
          <w:b/>
          <w:color w:val="FF0000"/>
          <w:kern w:val="0"/>
          <w:sz w:val="24"/>
          <w:lang w:val="zh-CN"/>
        </w:rPr>
      </w:pPr>
      <w:r>
        <w:rPr>
          <w:rFonts w:ascii="仿宋" w:hAnsi="仿宋" w:eastAsia="仿宋" w:cs="仿宋_GB2312"/>
          <w:b/>
          <w:color w:val="FF0000"/>
          <w:kern w:val="0"/>
          <w:sz w:val="24"/>
          <w:lang w:val="zh-CN"/>
        </w:rPr>
        <w:t>联合体成员名称(电子签名/公章)：</w:t>
      </w:r>
    </w:p>
    <w:p>
      <w:pPr>
        <w:snapToGrid w:val="0"/>
        <w:spacing w:line="360" w:lineRule="auto"/>
        <w:ind w:firstLine="5060" w:firstLineChars="2100"/>
        <w:rPr>
          <w:rFonts w:ascii="仿宋" w:hAnsi="仿宋" w:eastAsia="仿宋" w:cs="仿宋_GB2312"/>
          <w:b/>
          <w:color w:val="FF0000"/>
          <w:kern w:val="0"/>
          <w:sz w:val="24"/>
          <w:lang w:val="zh-CN"/>
        </w:rPr>
      </w:pPr>
      <w:r>
        <w:rPr>
          <w:rFonts w:ascii="仿宋" w:hAnsi="仿宋" w:eastAsia="仿宋" w:cs="仿宋_GB2312"/>
          <w:b/>
          <w:color w:val="FF0000"/>
          <w:kern w:val="0"/>
          <w:sz w:val="24"/>
          <w:lang w:val="zh-CN"/>
        </w:rPr>
        <w:t>联合体成员名称(电子签名/公章)：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rPr>
          <w:rFonts w:ascii="仿宋" w:hAnsi="仿宋" w:eastAsia="仿宋"/>
        </w:rPr>
      </w:pPr>
      <w:bookmarkStart w:id="865" w:name="_Toc95232889"/>
      <w:bookmarkStart w:id="866" w:name="_Toc95295248"/>
      <w:bookmarkStart w:id="867" w:name="_Toc95296002"/>
      <w:bookmarkStart w:id="868" w:name="_Toc95296678"/>
      <w:r>
        <w:rPr>
          <w:rFonts w:hint="eastAsia" w:ascii="仿宋" w:hAnsi="仿宋" w:eastAsia="仿宋" w:cs="仿宋_GB2312"/>
          <w:kern w:val="0"/>
          <w:sz w:val="24"/>
        </w:rPr>
        <w:t>……</w:t>
      </w:r>
      <w:bookmarkEnd w:id="865"/>
      <w:bookmarkEnd w:id="866"/>
      <w:bookmarkEnd w:id="867"/>
      <w:bookmarkEnd w:id="868"/>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w:t>
      </w:r>
      <w:r>
        <w:rPr>
          <w:rFonts w:ascii="仿宋" w:hAnsi="仿宋" w:eastAsia="仿宋" w:cs="仿宋_GB2312"/>
          <w:b/>
          <w:color w:val="FF0000"/>
          <w:kern w:val="0"/>
          <w:sz w:val="24"/>
          <w:lang w:val="zh-CN"/>
        </w:rPr>
        <w:t>投标人名称(电子签名)</w:t>
      </w:r>
      <w:r>
        <w:rPr>
          <w:rFonts w:ascii="仿宋" w:hAnsi="仿宋" w:eastAsia="仿宋" w:cs="仿宋_GB2312"/>
          <w:kern w:val="0"/>
          <w:sz w:val="24"/>
          <w:lang w:val="zh-CN"/>
        </w:rPr>
        <w:t>：</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spacing w:line="360" w:lineRule="auto"/>
        <w:ind w:left="150"/>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ind w:right="482"/>
        <w:jc w:val="center"/>
        <w:outlineLvl w:val="0"/>
        <w:rPr>
          <w:rFonts w:ascii="仿宋" w:hAnsi="仿宋" w:eastAsia="仿宋" w:cs="仿宋_GB2312"/>
          <w:b/>
          <w:kern w:val="0"/>
          <w:sz w:val="32"/>
          <w:szCs w:val="32"/>
        </w:rPr>
      </w:pPr>
      <w:bookmarkStart w:id="869" w:name="_Toc95296003"/>
      <w:bookmarkStart w:id="870" w:name="_Toc95296679"/>
      <w:bookmarkStart w:id="871" w:name="_Toc95296807"/>
      <w:bookmarkStart w:id="872" w:name="_Toc102563703"/>
      <w:bookmarkStart w:id="873" w:name="_Toc102563980"/>
      <w:bookmarkStart w:id="874" w:name="_Toc102564048"/>
      <w:bookmarkStart w:id="875" w:name="_Toc102565196"/>
      <w:r>
        <w:rPr>
          <w:rFonts w:hint="eastAsia" w:ascii="仿宋" w:hAnsi="仿宋" w:eastAsia="仿宋" w:cs="仿宋_GB2312"/>
          <w:b/>
          <w:kern w:val="0"/>
          <w:sz w:val="32"/>
          <w:szCs w:val="32"/>
        </w:rPr>
        <w:t>五、本项目的特定资格要求</w:t>
      </w:r>
      <w:bookmarkEnd w:id="869"/>
      <w:bookmarkEnd w:id="870"/>
      <w:bookmarkEnd w:id="871"/>
      <w:bookmarkEnd w:id="872"/>
      <w:bookmarkEnd w:id="873"/>
      <w:bookmarkEnd w:id="874"/>
      <w:bookmarkEnd w:id="875"/>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二、商务技术文件部分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bookmarkStart w:id="876" w:name="_Toc95232890"/>
      <w:bookmarkStart w:id="877" w:name="_Toc95295250"/>
      <w:bookmarkStart w:id="878" w:name="_Toc95296004"/>
      <w:bookmarkStart w:id="879" w:name="_Toc95296680"/>
      <w:bookmarkStart w:id="880" w:name="_Toc95296808"/>
      <w:bookmarkStart w:id="881" w:name="_Toc102563704"/>
      <w:bookmarkStart w:id="882" w:name="_Toc102563911"/>
      <w:bookmarkStart w:id="883" w:name="_Toc102563981"/>
      <w:bookmarkStart w:id="884" w:name="_Toc102564049"/>
      <w:bookmarkStart w:id="885" w:name="_Toc102565197"/>
      <w:r>
        <w:rPr>
          <w:rFonts w:hint="eastAsia" w:ascii="仿宋" w:hAnsi="仿宋" w:eastAsia="仿宋" w:cs="仿宋_GB2312"/>
          <w:b/>
          <w:kern w:val="0"/>
          <w:sz w:val="28"/>
          <w:szCs w:val="28"/>
        </w:rPr>
        <w:t>目录</w:t>
      </w:r>
      <w:bookmarkEnd w:id="876"/>
      <w:bookmarkEnd w:id="877"/>
      <w:bookmarkEnd w:id="878"/>
      <w:bookmarkEnd w:id="879"/>
      <w:bookmarkEnd w:id="880"/>
      <w:bookmarkEnd w:id="881"/>
      <w:bookmarkEnd w:id="882"/>
      <w:bookmarkEnd w:id="883"/>
      <w:bookmarkEnd w:id="884"/>
      <w:bookmarkEnd w:id="885"/>
    </w:p>
    <w:p>
      <w:pPr>
        <w:snapToGrid w:val="0"/>
        <w:spacing w:line="360" w:lineRule="auto"/>
        <w:jc w:val="center"/>
        <w:rPr>
          <w:rFonts w:ascii="仿宋" w:hAnsi="仿宋" w:eastAsia="仿宋" w:cs="仿宋_GB2312"/>
          <w:b/>
          <w:kern w:val="0"/>
          <w:sz w:val="32"/>
          <w:szCs w:val="32"/>
          <w:lang w:val="zh-CN"/>
        </w:rPr>
      </w:pPr>
    </w:p>
    <w:p>
      <w:pPr>
        <w:pStyle w:val="42"/>
        <w:tabs>
          <w:tab w:val="right" w:leader="dot" w:pos="9060"/>
        </w:tabs>
        <w:spacing w:line="360" w:lineRule="auto"/>
        <w:rPr>
          <w:rFonts w:ascii="仿宋" w:hAnsi="仿宋" w:eastAsia="仿宋" w:cstheme="minorBidi"/>
          <w:sz w:val="28"/>
          <w:szCs w:val="28"/>
        </w:rPr>
      </w:pPr>
      <w:r>
        <w:rPr>
          <w:rFonts w:ascii="仿宋" w:hAnsi="仿宋" w:eastAsia="仿宋" w:cs="仿宋_GB2312"/>
          <w:b/>
          <w:kern w:val="0"/>
          <w:sz w:val="28"/>
          <w:szCs w:val="28"/>
          <w:lang w:val="zh-CN"/>
        </w:rPr>
        <w:fldChar w:fldCharType="begin"/>
      </w:r>
      <w:r>
        <w:rPr>
          <w:rFonts w:ascii="仿宋" w:hAnsi="仿宋" w:eastAsia="仿宋" w:cs="仿宋_GB2312"/>
          <w:b/>
          <w:kern w:val="0"/>
          <w:sz w:val="28"/>
          <w:szCs w:val="28"/>
          <w:lang w:val="zh-CN"/>
        </w:rPr>
        <w:instrText xml:space="preserve"> TOC \o "1-3" \h \z \u </w:instrText>
      </w:r>
      <w:r>
        <w:rPr>
          <w:rFonts w:ascii="仿宋" w:hAnsi="仿宋" w:eastAsia="仿宋" w:cs="仿宋_GB2312"/>
          <w:b/>
          <w:kern w:val="0"/>
          <w:sz w:val="28"/>
          <w:szCs w:val="28"/>
          <w:lang w:val="zh-CN"/>
        </w:rPr>
        <w:fldChar w:fldCharType="separate"/>
      </w:r>
      <w:r>
        <w:fldChar w:fldCharType="begin"/>
      </w:r>
      <w:r>
        <w:instrText xml:space="preserve"> HYPERLINK \l "_Toc102563982" </w:instrText>
      </w:r>
      <w:r>
        <w:fldChar w:fldCharType="separate"/>
      </w:r>
      <w:r>
        <w:rPr>
          <w:rStyle w:val="76"/>
          <w:rFonts w:hint="eastAsia" w:ascii="仿宋" w:hAnsi="仿宋" w:eastAsia="仿宋" w:cs="宋体"/>
          <w:b/>
          <w:sz w:val="28"/>
          <w:szCs w:val="28"/>
        </w:rPr>
        <w:t>一、商务技术文件封面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_Toc102563982 \h </w:instrText>
      </w:r>
      <w:r>
        <w:rPr>
          <w:rFonts w:ascii="仿宋" w:hAnsi="仿宋" w:eastAsia="仿宋"/>
          <w:sz w:val="28"/>
          <w:szCs w:val="28"/>
        </w:rPr>
        <w:fldChar w:fldCharType="separate"/>
      </w:r>
      <w:r>
        <w:rPr>
          <w:rFonts w:ascii="仿宋" w:hAnsi="仿宋" w:eastAsia="仿宋"/>
          <w:sz w:val="28"/>
          <w:szCs w:val="28"/>
        </w:rPr>
        <w:t>53</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"_Toc102563983" </w:instrText>
      </w:r>
      <w:r>
        <w:fldChar w:fldCharType="separate"/>
      </w:r>
      <w:r>
        <w:rPr>
          <w:rStyle w:val="76"/>
          <w:rFonts w:hint="eastAsia" w:ascii="仿宋" w:hAnsi="仿宋" w:eastAsia="仿宋" w:cs="仿宋_GB2312"/>
          <w:b/>
          <w:sz w:val="28"/>
          <w:szCs w:val="28"/>
        </w:rPr>
        <w:t>二</w:t>
      </w:r>
      <w:r>
        <w:rPr>
          <w:rStyle w:val="76"/>
          <w:rFonts w:hint="eastAsia" w:ascii="仿宋" w:hAnsi="仿宋" w:eastAsia="仿宋" w:cs="宋体"/>
          <w:b/>
          <w:sz w:val="28"/>
          <w:szCs w:val="28"/>
        </w:rPr>
        <w:t>、投标函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_Toc102563983 \h </w:instrText>
      </w:r>
      <w:r>
        <w:rPr>
          <w:rFonts w:ascii="仿宋" w:hAnsi="仿宋" w:eastAsia="仿宋"/>
          <w:sz w:val="28"/>
          <w:szCs w:val="28"/>
        </w:rPr>
        <w:fldChar w:fldCharType="separate"/>
      </w:r>
      <w:r>
        <w:rPr>
          <w:rFonts w:ascii="仿宋" w:hAnsi="仿宋" w:eastAsia="仿宋"/>
          <w:sz w:val="28"/>
          <w:szCs w:val="28"/>
        </w:rPr>
        <w:t>54</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"_Toc102563984" </w:instrText>
      </w:r>
      <w:r>
        <w:fldChar w:fldCharType="separate"/>
      </w:r>
      <w:r>
        <w:rPr>
          <w:rStyle w:val="76"/>
          <w:rFonts w:hint="eastAsia" w:ascii="仿宋" w:hAnsi="仿宋" w:eastAsia="仿宋" w:cs="仿宋_GB2312"/>
          <w:b/>
          <w:sz w:val="28"/>
          <w:szCs w:val="28"/>
        </w:rPr>
        <w:t>三</w:t>
      </w:r>
      <w:r>
        <w:rPr>
          <w:rStyle w:val="76"/>
          <w:rFonts w:hint="eastAsia" w:ascii="仿宋" w:hAnsi="仿宋" w:eastAsia="仿宋" w:cs="宋体"/>
          <w:b/>
          <w:sz w:val="28"/>
          <w:szCs w:val="28"/>
        </w:rPr>
        <w:t>、授权委托书或法定代表人（单位负责人、自然人本人）身份证明和社保证明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_Toc102563984 \h </w:instrText>
      </w:r>
      <w:r>
        <w:rPr>
          <w:rFonts w:ascii="仿宋" w:hAnsi="仿宋" w:eastAsia="仿宋"/>
          <w:sz w:val="28"/>
          <w:szCs w:val="28"/>
        </w:rPr>
        <w:fldChar w:fldCharType="separate"/>
      </w:r>
      <w:r>
        <w:rPr>
          <w:rFonts w:ascii="仿宋" w:hAnsi="仿宋" w:eastAsia="仿宋"/>
          <w:sz w:val="28"/>
          <w:szCs w:val="28"/>
        </w:rPr>
        <w:t>56</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"_Toc102563985" </w:instrText>
      </w:r>
      <w:r>
        <w:fldChar w:fldCharType="separate"/>
      </w:r>
      <w:r>
        <w:rPr>
          <w:rStyle w:val="76"/>
          <w:rFonts w:hint="eastAsia" w:ascii="仿宋" w:hAnsi="仿宋" w:eastAsia="仿宋" w:cs="仿宋_GB2312"/>
          <w:b/>
          <w:sz w:val="28"/>
          <w:szCs w:val="28"/>
        </w:rPr>
        <w:t>四</w:t>
      </w:r>
      <w:r>
        <w:rPr>
          <w:rStyle w:val="76"/>
          <w:rFonts w:hint="eastAsia" w:ascii="仿宋" w:hAnsi="仿宋" w:eastAsia="仿宋" w:cs="宋体"/>
          <w:b/>
          <w:sz w:val="28"/>
          <w:szCs w:val="28"/>
        </w:rPr>
        <w:t>、</w:t>
      </w:r>
      <w:r>
        <w:rPr>
          <w:rStyle w:val="76"/>
          <w:rFonts w:hint="eastAsia" w:ascii="仿宋" w:hAnsi="仿宋" w:eastAsia="仿宋" w:cs="宋体"/>
          <w:b/>
          <w:sz w:val="28"/>
          <w:szCs w:val="28"/>
          <w:lang w:val="zh-CN"/>
        </w:rPr>
        <w:t>联合协议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_Toc102563985 \h </w:instrText>
      </w:r>
      <w:r>
        <w:rPr>
          <w:rFonts w:ascii="仿宋" w:hAnsi="仿宋" w:eastAsia="仿宋"/>
          <w:sz w:val="28"/>
          <w:szCs w:val="28"/>
        </w:rPr>
        <w:fldChar w:fldCharType="separate"/>
      </w:r>
      <w:r>
        <w:rPr>
          <w:rFonts w:ascii="仿宋" w:hAnsi="仿宋" w:eastAsia="仿宋"/>
          <w:sz w:val="28"/>
          <w:szCs w:val="28"/>
        </w:rPr>
        <w:t>57</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"_Toc102563986" </w:instrText>
      </w:r>
      <w:r>
        <w:fldChar w:fldCharType="separate"/>
      </w:r>
      <w:r>
        <w:rPr>
          <w:rStyle w:val="76"/>
          <w:rFonts w:hint="eastAsia" w:ascii="仿宋" w:hAnsi="仿宋" w:eastAsia="仿宋" w:cs="仿宋_GB2312"/>
          <w:b/>
          <w:sz w:val="28"/>
          <w:szCs w:val="28"/>
        </w:rPr>
        <w:t>五</w:t>
      </w:r>
      <w:r>
        <w:rPr>
          <w:rStyle w:val="76"/>
          <w:rFonts w:hint="eastAsia" w:ascii="仿宋" w:hAnsi="仿宋" w:eastAsia="仿宋" w:cs="宋体"/>
          <w:b/>
          <w:sz w:val="28"/>
          <w:szCs w:val="28"/>
        </w:rPr>
        <w:t>、分包意向协议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_Toc102563986 \h </w:instrText>
      </w:r>
      <w:r>
        <w:rPr>
          <w:rFonts w:ascii="仿宋" w:hAnsi="仿宋" w:eastAsia="仿宋"/>
          <w:sz w:val="28"/>
          <w:szCs w:val="28"/>
        </w:rPr>
        <w:fldChar w:fldCharType="separate"/>
      </w:r>
      <w:r>
        <w:rPr>
          <w:rFonts w:ascii="仿宋" w:hAnsi="仿宋" w:eastAsia="仿宋"/>
          <w:sz w:val="28"/>
          <w:szCs w:val="28"/>
        </w:rPr>
        <w:t>59</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"_Toc102563987" </w:instrText>
      </w:r>
      <w:r>
        <w:fldChar w:fldCharType="separate"/>
      </w:r>
      <w:r>
        <w:rPr>
          <w:rStyle w:val="76"/>
          <w:rFonts w:hint="eastAsia" w:ascii="仿宋" w:hAnsi="仿宋" w:eastAsia="仿宋" w:cs="仿宋_GB2312"/>
          <w:b/>
          <w:sz w:val="28"/>
          <w:szCs w:val="28"/>
        </w:rPr>
        <w:t>六</w:t>
      </w:r>
      <w:r>
        <w:rPr>
          <w:rStyle w:val="76"/>
          <w:rFonts w:hint="eastAsia" w:ascii="仿宋" w:hAnsi="仿宋" w:eastAsia="仿宋" w:cs="宋体"/>
          <w:b/>
          <w:sz w:val="28"/>
          <w:szCs w:val="28"/>
        </w:rPr>
        <w:t>、符合性审查资料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_Toc102563987 \h </w:instrText>
      </w:r>
      <w:r>
        <w:rPr>
          <w:rFonts w:ascii="仿宋" w:hAnsi="仿宋" w:eastAsia="仿宋"/>
          <w:sz w:val="28"/>
          <w:szCs w:val="28"/>
        </w:rPr>
        <w:fldChar w:fldCharType="separate"/>
      </w:r>
      <w:r>
        <w:rPr>
          <w:rFonts w:ascii="仿宋" w:hAnsi="仿宋" w:eastAsia="仿宋"/>
          <w:sz w:val="28"/>
          <w:szCs w:val="28"/>
        </w:rPr>
        <w:t>60</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"_Toc102563988" </w:instrText>
      </w:r>
      <w:r>
        <w:fldChar w:fldCharType="separate"/>
      </w:r>
      <w:r>
        <w:rPr>
          <w:rStyle w:val="76"/>
          <w:rFonts w:hint="eastAsia" w:ascii="仿宋" w:hAnsi="仿宋" w:eastAsia="仿宋" w:cs="仿宋_GB2312"/>
          <w:b/>
          <w:sz w:val="28"/>
          <w:szCs w:val="28"/>
        </w:rPr>
        <w:t>七</w:t>
      </w:r>
      <w:r>
        <w:rPr>
          <w:rStyle w:val="76"/>
          <w:rFonts w:hint="eastAsia" w:ascii="仿宋" w:hAnsi="仿宋" w:eastAsia="仿宋" w:cs="宋体"/>
          <w:b/>
          <w:sz w:val="28"/>
          <w:szCs w:val="28"/>
        </w:rPr>
        <w:t>、评标标准相应的商务技术资料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_Toc102563988 \h </w:instrText>
      </w:r>
      <w:r>
        <w:rPr>
          <w:rFonts w:ascii="仿宋" w:hAnsi="仿宋" w:eastAsia="仿宋"/>
          <w:sz w:val="28"/>
          <w:szCs w:val="28"/>
        </w:rPr>
        <w:fldChar w:fldCharType="separate"/>
      </w:r>
      <w:r>
        <w:rPr>
          <w:rFonts w:ascii="仿宋" w:hAnsi="仿宋" w:eastAsia="仿宋"/>
          <w:sz w:val="28"/>
          <w:szCs w:val="28"/>
        </w:rPr>
        <w:t>61</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"_Toc102563989" </w:instrText>
      </w:r>
      <w:r>
        <w:fldChar w:fldCharType="separate"/>
      </w:r>
      <w:r>
        <w:rPr>
          <w:rStyle w:val="76"/>
          <w:rFonts w:hint="eastAsia" w:ascii="仿宋" w:hAnsi="仿宋" w:eastAsia="仿宋" w:cs="仿宋_GB2312"/>
          <w:b/>
          <w:sz w:val="28"/>
          <w:szCs w:val="28"/>
        </w:rPr>
        <w:t>八</w:t>
      </w:r>
      <w:r>
        <w:rPr>
          <w:rStyle w:val="76"/>
          <w:rFonts w:hint="eastAsia" w:ascii="仿宋" w:hAnsi="仿宋" w:eastAsia="仿宋" w:cs="宋体"/>
          <w:b/>
          <w:sz w:val="28"/>
          <w:szCs w:val="28"/>
        </w:rPr>
        <w:t>、商务技术偏离表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_Toc102563989 \h </w:instrText>
      </w:r>
      <w:r>
        <w:rPr>
          <w:rFonts w:ascii="仿宋" w:hAnsi="仿宋" w:eastAsia="仿宋"/>
          <w:sz w:val="28"/>
          <w:szCs w:val="28"/>
        </w:rPr>
        <w:fldChar w:fldCharType="separate"/>
      </w:r>
      <w:r>
        <w:rPr>
          <w:rFonts w:ascii="仿宋" w:hAnsi="仿宋" w:eastAsia="仿宋"/>
          <w:sz w:val="28"/>
          <w:szCs w:val="28"/>
        </w:rPr>
        <w:t>62</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"_Toc102563990" </w:instrText>
      </w:r>
      <w:r>
        <w:fldChar w:fldCharType="separate"/>
      </w:r>
      <w:r>
        <w:rPr>
          <w:rStyle w:val="76"/>
          <w:rFonts w:hint="eastAsia" w:ascii="仿宋" w:hAnsi="仿宋" w:eastAsia="仿宋" w:cs="仿宋_GB2312"/>
          <w:b/>
          <w:sz w:val="28"/>
          <w:szCs w:val="28"/>
        </w:rPr>
        <w:t>九</w:t>
      </w:r>
      <w:r>
        <w:rPr>
          <w:rStyle w:val="76"/>
          <w:rFonts w:hint="eastAsia" w:ascii="仿宋" w:hAnsi="仿宋" w:eastAsia="仿宋" w:cs="宋体"/>
          <w:b/>
          <w:sz w:val="28"/>
          <w:szCs w:val="28"/>
        </w:rPr>
        <w:t>、</w:t>
      </w:r>
      <w:r>
        <w:rPr>
          <w:rStyle w:val="76"/>
          <w:rFonts w:hint="eastAsia" w:ascii="仿宋" w:hAnsi="仿宋" w:eastAsia="仿宋" w:cs="宋体"/>
          <w:b/>
          <w:sz w:val="28"/>
          <w:szCs w:val="28"/>
          <w:lang w:val="zh-CN"/>
        </w:rPr>
        <w:t>政府采购供应商廉洁自律承诺书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_Toc102563990 \h </w:instrText>
      </w:r>
      <w:r>
        <w:rPr>
          <w:rFonts w:ascii="仿宋" w:hAnsi="仿宋" w:eastAsia="仿宋"/>
          <w:sz w:val="28"/>
          <w:szCs w:val="28"/>
        </w:rPr>
        <w:fldChar w:fldCharType="separate"/>
      </w:r>
      <w:r>
        <w:rPr>
          <w:rFonts w:ascii="仿宋" w:hAnsi="仿宋" w:eastAsia="仿宋"/>
          <w:sz w:val="28"/>
          <w:szCs w:val="28"/>
        </w:rPr>
        <w:t>63</w:t>
      </w:r>
      <w:r>
        <w:rPr>
          <w:rFonts w:ascii="仿宋" w:hAnsi="仿宋" w:eastAsia="仿宋"/>
          <w:sz w:val="28"/>
          <w:szCs w:val="28"/>
        </w:rPr>
        <w:fldChar w:fldCharType="end"/>
      </w:r>
      <w:r>
        <w:rPr>
          <w:rFonts w:ascii="仿宋" w:hAnsi="仿宋" w:eastAsia="仿宋"/>
          <w:sz w:val="28"/>
          <w:szCs w:val="28"/>
        </w:rPr>
        <w:fldChar w:fldCharType="end"/>
      </w:r>
    </w:p>
    <w:p>
      <w:pPr>
        <w:snapToGrid w:val="0"/>
        <w:spacing w:line="360" w:lineRule="auto"/>
        <w:jc w:val="center"/>
        <w:rPr>
          <w:rFonts w:ascii="仿宋" w:hAnsi="仿宋" w:eastAsia="仿宋" w:cs="仿宋_GB2312"/>
          <w:b/>
          <w:kern w:val="0"/>
          <w:sz w:val="32"/>
          <w:szCs w:val="32"/>
          <w:lang w:val="zh-CN"/>
        </w:rPr>
      </w:pPr>
      <w:r>
        <w:rPr>
          <w:rFonts w:ascii="仿宋" w:hAnsi="仿宋" w:eastAsia="仿宋" w:cs="仿宋_GB2312"/>
          <w:b/>
          <w:kern w:val="0"/>
          <w:sz w:val="28"/>
          <w:szCs w:val="28"/>
          <w:lang w:val="zh-CN"/>
        </w:rPr>
        <w:fldChar w:fldCharType="end"/>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ind w:right="482"/>
        <w:jc w:val="center"/>
        <w:outlineLvl w:val="0"/>
        <w:rPr>
          <w:rFonts w:ascii="仿宋" w:hAnsi="仿宋" w:eastAsia="仿宋" w:cs="仿宋_GB2312"/>
          <w:b/>
          <w:kern w:val="0"/>
          <w:sz w:val="32"/>
          <w:szCs w:val="32"/>
        </w:rPr>
      </w:pPr>
      <w:bookmarkStart w:id="886" w:name="_Toc95295251"/>
      <w:bookmarkStart w:id="887" w:name="_Toc95232891"/>
      <w:bookmarkStart w:id="888" w:name="_Toc95296809"/>
      <w:r>
        <w:rPr>
          <w:rFonts w:ascii="仿宋" w:hAnsi="仿宋" w:eastAsia="仿宋" w:cs="仿宋_GB2312"/>
          <w:b/>
          <w:kern w:val="0"/>
          <w:sz w:val="32"/>
          <w:szCs w:val="32"/>
        </w:rPr>
        <w:br w:type="page"/>
      </w:r>
    </w:p>
    <w:p>
      <w:pPr>
        <w:snapToGrid w:val="0"/>
        <w:spacing w:line="360" w:lineRule="auto"/>
        <w:ind w:right="482"/>
        <w:jc w:val="center"/>
        <w:outlineLvl w:val="0"/>
        <w:rPr>
          <w:rFonts w:ascii="仿宋" w:hAnsi="仿宋" w:eastAsia="仿宋" w:cs="仿宋_GB2312"/>
          <w:b/>
          <w:kern w:val="0"/>
          <w:sz w:val="32"/>
          <w:szCs w:val="32"/>
        </w:rPr>
      </w:pPr>
      <w:bookmarkStart w:id="889" w:name="_Toc102563705"/>
      <w:bookmarkStart w:id="890" w:name="_Toc102563912"/>
      <w:bookmarkStart w:id="891" w:name="_Toc102563982"/>
      <w:bookmarkStart w:id="892" w:name="_Toc102564050"/>
      <w:bookmarkStart w:id="893" w:name="_Toc102565198"/>
      <w:r>
        <w:rPr>
          <w:rFonts w:hint="eastAsia" w:ascii="仿宋" w:hAnsi="仿宋" w:eastAsia="仿宋" w:cs="仿宋_GB2312"/>
          <w:b/>
          <w:kern w:val="0"/>
          <w:sz w:val="32"/>
          <w:szCs w:val="32"/>
        </w:rPr>
        <w:t>一、商务技术文件封面</w:t>
      </w:r>
      <w:bookmarkEnd w:id="889"/>
      <w:bookmarkEnd w:id="890"/>
      <w:bookmarkEnd w:id="891"/>
      <w:bookmarkEnd w:id="892"/>
      <w:bookmarkEnd w:id="893"/>
    </w:p>
    <w:p>
      <w:pPr>
        <w:ind w:left="1800" w:leftChars="857"/>
        <w:jc w:val="right"/>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snapToGrid w:val="0"/>
        <w:spacing w:line="520" w:lineRule="exact"/>
        <w:jc w:val="center"/>
        <w:rPr>
          <w:rFonts w:ascii="仿宋" w:hAnsi="仿宋" w:eastAsia="仿宋"/>
          <w:color w:val="000000"/>
          <w:sz w:val="24"/>
          <w:u w:val="single"/>
        </w:rPr>
      </w:pPr>
      <w:r>
        <w:rPr>
          <w:rFonts w:hint="eastAsia" w:ascii="仿宋" w:hAnsi="仿宋" w:eastAsia="仿宋"/>
          <w:color w:val="000000"/>
          <w:sz w:val="24"/>
        </w:rPr>
        <w:t>商务技术文件标项</w:t>
      </w:r>
      <w:r>
        <w:rPr>
          <w:rFonts w:hint="eastAsia" w:ascii="仿宋" w:hAnsi="仿宋" w:eastAsia="仿宋"/>
          <w:color w:val="000000"/>
          <w:sz w:val="24"/>
          <w:u w:val="single"/>
        </w:rPr>
        <w:t xml:space="preserve">   </w:t>
      </w:r>
    </w:p>
    <w:p>
      <w:pPr>
        <w:snapToGrid w:val="0"/>
        <w:spacing w:line="520" w:lineRule="exact"/>
        <w:ind w:firstLine="1682" w:firstLineChars="698"/>
        <w:rPr>
          <w:rFonts w:ascii="仿宋" w:hAnsi="仿宋" w:eastAsia="仿宋"/>
          <w:b/>
          <w:color w:val="000000"/>
          <w:sz w:val="24"/>
        </w:rPr>
      </w:pPr>
    </w:p>
    <w:p>
      <w:pPr>
        <w:snapToGrid w:val="0"/>
        <w:spacing w:line="400" w:lineRule="exact"/>
        <w:ind w:firstLine="480" w:firstLineChars="200"/>
        <w:rPr>
          <w:rFonts w:ascii="仿宋" w:hAnsi="仿宋" w:eastAsia="仿宋" w:cs="仿宋_GB2312"/>
          <w:sz w:val="24"/>
          <w:u w:val="single"/>
        </w:rPr>
      </w:pPr>
      <w:r>
        <w:rPr>
          <w:rFonts w:hint="eastAsia" w:ascii="仿宋" w:hAnsi="仿宋" w:eastAsia="仿宋"/>
          <w:color w:val="000000"/>
          <w:sz w:val="24"/>
        </w:rPr>
        <w:t xml:space="preserve">     </w:t>
      </w:r>
      <w:r>
        <w:rPr>
          <w:rFonts w:hint="eastAsia" w:ascii="仿宋" w:hAnsi="仿宋" w:eastAsia="仿宋" w:cs="仿宋_GB2312"/>
          <w:sz w:val="24"/>
        </w:rPr>
        <w:t>项目名称：</w:t>
      </w:r>
      <w:r>
        <w:rPr>
          <w:rFonts w:hint="eastAsia" w:ascii="仿宋" w:hAnsi="仿宋" w:eastAsia="仿宋" w:cs="仿宋_GB2312"/>
          <w:sz w:val="24"/>
          <w:u w:val="single"/>
        </w:rPr>
        <w:t xml:space="preserve">                        </w:t>
      </w:r>
    </w:p>
    <w:p>
      <w:pPr>
        <w:snapToGrid w:val="0"/>
        <w:spacing w:line="600" w:lineRule="exact"/>
        <w:rPr>
          <w:rFonts w:ascii="仿宋" w:hAnsi="仿宋" w:eastAsia="仿宋"/>
          <w:color w:val="000000"/>
          <w:sz w:val="24"/>
        </w:rPr>
      </w:pPr>
    </w:p>
    <w:p>
      <w:pPr>
        <w:snapToGrid w:val="0"/>
        <w:spacing w:line="400" w:lineRule="exact"/>
        <w:ind w:firstLine="480" w:firstLineChars="200"/>
        <w:rPr>
          <w:rFonts w:ascii="仿宋" w:hAnsi="仿宋" w:eastAsia="仿宋"/>
          <w:color w:val="000000"/>
          <w:sz w:val="24"/>
          <w:u w:val="single"/>
        </w:rPr>
      </w:pPr>
      <w:r>
        <w:rPr>
          <w:rFonts w:hint="eastAsia" w:ascii="仿宋" w:hAnsi="仿宋" w:eastAsia="仿宋"/>
          <w:color w:val="000000"/>
          <w:sz w:val="24"/>
        </w:rPr>
        <w:t xml:space="preserve">     </w:t>
      </w:r>
      <w:r>
        <w:rPr>
          <w:rFonts w:hint="eastAsia" w:ascii="仿宋" w:hAnsi="仿宋" w:eastAsia="仿宋" w:cs="仿宋_GB2312"/>
          <w:sz w:val="24"/>
        </w:rPr>
        <w:t>项目编号：</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u w:val="single"/>
        </w:rPr>
      </w:pPr>
      <w:r>
        <w:rPr>
          <w:rFonts w:hint="eastAsia" w:ascii="仿宋" w:hAnsi="仿宋" w:eastAsia="仿宋"/>
          <w:color w:val="000000"/>
          <w:sz w:val="24"/>
        </w:rPr>
        <w:t xml:space="preserve">         </w:t>
      </w:r>
      <w:r>
        <w:rPr>
          <w:rFonts w:hint="eastAsia" w:ascii="仿宋" w:hAnsi="仿宋" w:eastAsia="仿宋" w:cs="仿宋_GB2312"/>
          <w:sz w:val="24"/>
        </w:rPr>
        <w:t>供应商：</w:t>
      </w:r>
      <w:r>
        <w:rPr>
          <w:rFonts w:hint="eastAsia" w:ascii="仿宋" w:hAnsi="仿宋" w:eastAsia="仿宋" w:cs="仿宋_GB2312"/>
          <w:sz w:val="24"/>
          <w:u w:val="single"/>
        </w:rPr>
        <w:t xml:space="preserve">                       </w:t>
      </w:r>
      <w:r>
        <w:rPr>
          <w:rFonts w:ascii="仿宋" w:hAnsi="仿宋" w:eastAsia="仿宋" w:cs="仿宋_GB2312"/>
          <w:sz w:val="24"/>
          <w:u w:val="single"/>
        </w:rPr>
        <w:t>(电子签名)</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rPr>
      </w:pPr>
      <w:r>
        <w:rPr>
          <w:rFonts w:hint="eastAsia" w:ascii="仿宋" w:hAnsi="仿宋" w:eastAsia="仿宋"/>
          <w:color w:val="000000"/>
          <w:sz w:val="24"/>
        </w:rPr>
        <w:t xml:space="preserve">         </w:t>
      </w:r>
      <w:r>
        <w:rPr>
          <w:rFonts w:hint="eastAsia" w:ascii="仿宋" w:hAnsi="仿宋" w:eastAsia="仿宋" w:cs="仿宋_GB2312"/>
          <w:sz w:val="24"/>
        </w:rPr>
        <w:t>日期：</w:t>
      </w:r>
      <w:r>
        <w:rPr>
          <w:rFonts w:hint="eastAsia" w:ascii="仿宋" w:hAnsi="仿宋" w:eastAsia="仿宋"/>
          <w:color w:val="000000"/>
          <w:sz w:val="24"/>
        </w:rPr>
        <w:t xml:space="preserve">   </w:t>
      </w:r>
      <w:r>
        <w:rPr>
          <w:rFonts w:hint="eastAsia" w:ascii="仿宋" w:hAnsi="仿宋" w:eastAsia="仿宋" w:cs="仿宋_GB2312"/>
          <w:sz w:val="24"/>
        </w:rPr>
        <w:t xml:space="preserve"> 年   月 日</w:t>
      </w:r>
    </w:p>
    <w:p>
      <w:pPr>
        <w:snapToGrid w:val="0"/>
        <w:spacing w:line="520" w:lineRule="exact"/>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pStyle w:val="2"/>
        <w:rPr>
          <w:rFonts w:ascii="仿宋" w:eastAsia="仿宋"/>
          <w:kern w:val="0"/>
        </w:rPr>
      </w:pPr>
      <w:r>
        <w:rPr>
          <w:rFonts w:ascii="仿宋" w:eastAsia="仿宋"/>
          <w:kern w:val="0"/>
        </w:rPr>
        <w:br w:type="page"/>
      </w:r>
    </w:p>
    <w:p>
      <w:pPr>
        <w:snapToGrid w:val="0"/>
        <w:spacing w:line="360" w:lineRule="auto"/>
        <w:jc w:val="center"/>
        <w:outlineLvl w:val="0"/>
        <w:rPr>
          <w:rFonts w:ascii="仿宋" w:hAnsi="仿宋" w:eastAsia="仿宋" w:cs="仿宋_GB2312"/>
          <w:b/>
          <w:sz w:val="32"/>
          <w:szCs w:val="32"/>
        </w:rPr>
      </w:pPr>
      <w:bookmarkStart w:id="894" w:name="_Toc102563706"/>
      <w:bookmarkStart w:id="895" w:name="_Toc102563913"/>
      <w:bookmarkStart w:id="896" w:name="_Toc102563983"/>
      <w:bookmarkStart w:id="897" w:name="_Toc102564051"/>
      <w:bookmarkStart w:id="898" w:name="_Toc102565199"/>
      <w:r>
        <w:rPr>
          <w:rFonts w:hint="eastAsia" w:ascii="仿宋" w:hAnsi="仿宋" w:eastAsia="仿宋" w:cs="仿宋_GB2312"/>
          <w:b/>
          <w:kern w:val="0"/>
          <w:sz w:val="32"/>
          <w:szCs w:val="32"/>
        </w:rPr>
        <w:t>二、投标</w:t>
      </w:r>
      <w:r>
        <w:rPr>
          <w:rFonts w:hint="eastAsia" w:ascii="仿宋" w:hAnsi="仿宋" w:eastAsia="仿宋" w:cs="仿宋_GB2312"/>
          <w:b/>
          <w:sz w:val="32"/>
          <w:szCs w:val="32"/>
        </w:rPr>
        <w:t>函</w:t>
      </w:r>
      <w:bookmarkEnd w:id="886"/>
      <w:bookmarkEnd w:id="887"/>
      <w:bookmarkEnd w:id="888"/>
      <w:bookmarkEnd w:id="894"/>
      <w:bookmarkEnd w:id="895"/>
      <w:bookmarkEnd w:id="896"/>
      <w:bookmarkEnd w:id="897"/>
      <w:bookmarkEnd w:id="898"/>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firstLine="960" w:firstLineChars="400"/>
        <w:rPr>
          <w:rFonts w:ascii="仿宋" w:hAnsi="仿宋" w:eastAsia="仿宋"/>
          <w:b/>
        </w:rPr>
      </w:pPr>
      <w:r>
        <w:rPr>
          <w:rFonts w:ascii="仿宋" w:hAnsi="仿宋" w:eastAsia="仿宋" w:cs="仿宋_GB2312"/>
          <w:sz w:val="24"/>
        </w:rPr>
        <w:t>2.1.1</w:t>
      </w:r>
      <w:r>
        <w:rPr>
          <w:rFonts w:hint="eastAsia" w:ascii="仿宋" w:hAnsi="仿宋" w:eastAsia="仿宋" w:cs="仿宋_GB2312"/>
          <w:sz w:val="24"/>
        </w:rPr>
        <w:t>资格文件封面</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符合参加政府采购活动应当具备的一般条件的承诺函；</w:t>
      </w:r>
    </w:p>
    <w:p>
      <w:pPr>
        <w:snapToGrid w:val="0"/>
        <w:spacing w:line="360" w:lineRule="auto"/>
        <w:ind w:right="482" w:firstLine="960" w:firstLineChars="400"/>
        <w:jc w:val="left"/>
        <w:rPr>
          <w:rFonts w:ascii="仿宋" w:hAnsi="仿宋" w:eastAsia="仿宋" w:cs="仿宋_GB2312"/>
          <w:sz w:val="24"/>
        </w:rPr>
      </w:pPr>
      <w:r>
        <w:rPr>
          <w:rFonts w:hint="eastAsia" w:ascii="仿宋" w:hAnsi="仿宋" w:eastAsia="仿宋" w:cs="仿宋_GB2312"/>
          <w:sz w:val="24"/>
        </w:rPr>
        <w:t>2.1.3营业执照(或事业法人登记证或其他工商等登记证明材料)彩色扫描件；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5</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w:t>
      </w:r>
      <w:r>
        <w:rPr>
          <w:rFonts w:hint="eastAsia" w:ascii="仿宋" w:hAnsi="仿宋" w:eastAsia="仿宋" w:cs="仿宋_GB2312"/>
          <w:sz w:val="24"/>
        </w:rPr>
        <w:t>商务技术文件封面；</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投标函；</w:t>
      </w:r>
      <w:r>
        <w:rPr>
          <w:rFonts w:ascii="仿宋" w:hAnsi="仿宋" w:eastAsia="仿宋" w:cs="仿宋_GB2312"/>
          <w:sz w:val="24"/>
          <w:lang w:val="zh-CN"/>
        </w:rPr>
        <w:t xml:space="preserve"> </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联合协议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6</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7</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8</w:t>
      </w:r>
      <w:r>
        <w:rPr>
          <w:rFonts w:ascii="仿宋" w:hAnsi="仿宋" w:eastAsia="仿宋" w:cs="仿宋_GB2312"/>
          <w:sz w:val="24"/>
        </w:rPr>
        <w:t>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9</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1报价文件封面；</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2.3.2</w:t>
      </w:r>
      <w:r>
        <w:rPr>
          <w:rFonts w:ascii="仿宋" w:hAnsi="仿宋" w:eastAsia="仿宋" w:cs="仿宋_GB2312"/>
          <w:sz w:val="24"/>
        </w:rPr>
        <w:t>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3</w:t>
      </w:r>
      <w:r>
        <w:rPr>
          <w:rFonts w:ascii="仿宋" w:hAnsi="仿宋" w:eastAsia="仿宋" w:cs="仿宋_GB2312"/>
          <w:sz w:val="24"/>
        </w:rPr>
        <w:t>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r>
        <w:rPr>
          <w:rFonts w:ascii="仿宋" w:hAnsi="仿宋" w:eastAsia="仿宋" w:cs="仿宋_GB2312"/>
          <w:sz w:val="24"/>
        </w:rPr>
        <w:t xml:space="preserve">                          </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widowControl/>
        <w:adjustRightInd/>
        <w:jc w:val="left"/>
        <w:rPr>
          <w:rFonts w:ascii="仿宋" w:hAnsi="仿宋" w:eastAsia="仿宋" w:cs="仿宋_GB2312"/>
          <w:b/>
          <w:kern w:val="0"/>
          <w:sz w:val="32"/>
          <w:szCs w:val="32"/>
          <w:lang w:val="zh-CN"/>
        </w:rPr>
      </w:pPr>
    </w:p>
    <w:p>
      <w:pPr>
        <w:widowControl/>
        <w:adjustRightInd/>
        <w:jc w:val="left"/>
        <w:rPr>
          <w:rFonts w:ascii="仿宋" w:hAnsi="仿宋" w:eastAsia="仿宋" w:cs="仿宋_GB2312"/>
          <w:b/>
          <w:kern w:val="0"/>
          <w:sz w:val="32"/>
          <w:szCs w:val="32"/>
        </w:rPr>
      </w:pPr>
      <w:bookmarkStart w:id="899" w:name="_Toc95296810"/>
      <w:r>
        <w:rPr>
          <w:rFonts w:ascii="仿宋" w:hAnsi="仿宋" w:eastAsia="仿宋" w:cs="仿宋_GB2312"/>
          <w:b/>
          <w:kern w:val="0"/>
          <w:sz w:val="32"/>
          <w:szCs w:val="32"/>
        </w:rPr>
        <w:br w:type="page"/>
      </w:r>
    </w:p>
    <w:p>
      <w:pPr>
        <w:snapToGrid w:val="0"/>
        <w:spacing w:line="360" w:lineRule="auto"/>
        <w:jc w:val="center"/>
        <w:outlineLvl w:val="0"/>
        <w:rPr>
          <w:rFonts w:ascii="仿宋" w:hAnsi="仿宋" w:eastAsia="仿宋" w:cs="仿宋_GB2312"/>
          <w:b/>
          <w:kern w:val="0"/>
          <w:sz w:val="32"/>
          <w:szCs w:val="32"/>
        </w:rPr>
      </w:pPr>
      <w:bookmarkStart w:id="900" w:name="_Toc102563707"/>
      <w:bookmarkStart w:id="901" w:name="_Toc102563914"/>
      <w:bookmarkStart w:id="902" w:name="_Toc102563984"/>
      <w:bookmarkStart w:id="903" w:name="_Toc102564052"/>
      <w:bookmarkStart w:id="904" w:name="_Toc102565200"/>
      <w:r>
        <w:rPr>
          <w:rFonts w:hint="eastAsia" w:ascii="仿宋" w:hAnsi="仿宋" w:eastAsia="仿宋" w:cs="仿宋_GB2312"/>
          <w:b/>
          <w:kern w:val="0"/>
          <w:sz w:val="32"/>
          <w:szCs w:val="32"/>
        </w:rPr>
        <w:t>三、授权委托书或法定代表人（单位负责人、自然人本人）身份证明和社保证明</w:t>
      </w:r>
      <w:bookmarkEnd w:id="899"/>
      <w:bookmarkEnd w:id="900"/>
      <w:bookmarkEnd w:id="901"/>
      <w:bookmarkEnd w:id="902"/>
      <w:bookmarkEnd w:id="903"/>
      <w:bookmarkEnd w:id="904"/>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r>
        <w:rPr>
          <w:rFonts w:ascii="仿宋" w:hAnsi="仿宋" w:eastAsia="仿宋"/>
        </w:rPr>
        <w:t xml:space="preserve">                               </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ascii="仿宋" w:hAnsi="仿宋" w:eastAsia="仿宋" w:cs="仿宋_GB2312"/>
          <w:b/>
          <w:kern w:val="0"/>
          <w:sz w:val="32"/>
          <w:szCs w:val="32"/>
          <w:lang w:val="zh-CN"/>
        </w:rPr>
        <w:t xml:space="preserve">      </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adjustRightInd/>
        <w:jc w:val="left"/>
        <w:rPr>
          <w:rFonts w:ascii="仿宋" w:hAnsi="仿宋" w:eastAsia="仿宋" w:cs="仿宋_GB2312"/>
          <w:b/>
          <w:sz w:val="24"/>
        </w:rPr>
      </w:pPr>
      <w:bookmarkStart w:id="905" w:name="_Toc95296007"/>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lang w:val="zh-CN"/>
        </w:rPr>
        <w:t>法定代表人、</w:t>
      </w:r>
      <w:r>
        <w:rPr>
          <w:rFonts w:hint="eastAsia" w:ascii="仿宋" w:hAnsi="仿宋" w:eastAsia="仿宋" w:cs="仿宋_GB2312"/>
          <w:b/>
          <w:color w:val="FF0000"/>
          <w:kern w:val="0"/>
          <w:sz w:val="32"/>
          <w:szCs w:val="32"/>
          <w:lang w:val="zh-CN"/>
        </w:rPr>
        <w:t>单位负责人</w:t>
      </w:r>
      <w:r>
        <w:rPr>
          <w:rFonts w:hint="eastAsia" w:ascii="仿宋" w:hAnsi="仿宋" w:eastAsia="仿宋" w:cs="仿宋_GB2312"/>
          <w:b/>
          <w:kern w:val="0"/>
          <w:sz w:val="32"/>
          <w:szCs w:val="32"/>
          <w:lang w:val="zh-CN"/>
        </w:rPr>
        <w:t>或自然人本人</w:t>
      </w:r>
      <w:r>
        <w:rPr>
          <w:rFonts w:hint="eastAsia" w:ascii="仿宋" w:hAnsi="仿宋" w:eastAsia="仿宋" w:cs="仿宋_GB2312"/>
          <w:b/>
          <w:sz w:val="30"/>
          <w:szCs w:val="30"/>
        </w:rPr>
        <w:t>的身份证明（适用于法定代表人、单位负责人或者自然人本人代表投标人参加投标）</w:t>
      </w:r>
      <w:bookmarkEnd w:id="905"/>
    </w:p>
    <w:p>
      <w:pPr>
        <w:pStyle w:val="146"/>
        <w:spacing w:line="360" w:lineRule="auto"/>
        <w:rPr>
          <w:rFonts w:ascii="仿宋" w:hAnsi="仿宋" w:eastAsia="仿宋"/>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146"/>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widowControl/>
        <w:adjustRightInd/>
        <w:jc w:val="left"/>
        <w:rPr>
          <w:rFonts w:ascii="仿宋" w:hAnsi="仿宋" w:eastAsia="仿宋" w:cs="仿宋_GB2312"/>
          <w:b/>
          <w:sz w:val="30"/>
          <w:szCs w:val="30"/>
        </w:rPr>
      </w:pPr>
      <w:r>
        <w:rPr>
          <w:rFonts w:ascii="仿宋" w:hAnsi="仿宋" w:eastAsia="仿宋" w:cs="仿宋_GB2312"/>
          <w:b/>
          <w:sz w:val="30"/>
          <w:szCs w:val="30"/>
        </w:rPr>
        <w:br w:type="page"/>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30"/>
          <w:szCs w:val="30"/>
        </w:rPr>
        <w:t>被授权人的身份证明（适用于被授权人参加投标）</w:t>
      </w:r>
    </w:p>
    <w:p>
      <w:pPr>
        <w:pStyle w:val="146"/>
        <w:spacing w:line="360" w:lineRule="auto"/>
        <w:rPr>
          <w:rFonts w:ascii="仿宋" w:hAnsi="仿宋" w:eastAsia="仿宋"/>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bCs/>
                <w:sz w:val="24"/>
              </w:rPr>
            </w:pPr>
            <w:r>
              <w:rPr>
                <w:rFonts w:hint="eastAsia" w:ascii="仿宋" w:hAnsi="仿宋" w:eastAsia="仿宋"/>
                <w:bCs/>
                <w:sz w:val="24"/>
              </w:rPr>
              <w:t>正面：                                  反面：</w:t>
            </w:r>
          </w:p>
          <w:p>
            <w:pPr>
              <w:pStyle w:val="146"/>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bookmarkStart w:id="906" w:name="_Toc95296811"/>
      <w:bookmarkStart w:id="907" w:name="_Toc102563708"/>
      <w:bookmarkStart w:id="908" w:name="_Toc102563915"/>
      <w:bookmarkStart w:id="909" w:name="_Toc102563985"/>
      <w:bookmarkStart w:id="910" w:name="_Toc102564053"/>
      <w:bookmarkStart w:id="911" w:name="_Toc102565201"/>
      <w:r>
        <w:rPr>
          <w:rFonts w:ascii="仿宋" w:hAnsi="仿宋" w:eastAsia="仿宋" w:cs="仿宋_GB2312"/>
          <w:b/>
          <w:kern w:val="0"/>
          <w:sz w:val="32"/>
          <w:szCs w:val="32"/>
        </w:rPr>
        <w:br w:type="page"/>
      </w:r>
    </w:p>
    <w:p>
      <w:pPr>
        <w:jc w:val="center"/>
        <w:outlineLvl w:val="0"/>
        <w:rPr>
          <w:rFonts w:ascii="仿宋" w:hAnsi="仿宋" w:eastAsia="仿宋" w:cs="仿宋_GB2312"/>
          <w:b/>
          <w:kern w:val="0"/>
          <w:sz w:val="32"/>
          <w:szCs w:val="32"/>
          <w:lang w:val="zh-CN"/>
        </w:rPr>
      </w:pPr>
      <w:r>
        <w:rPr>
          <w:rFonts w:hint="eastAsia" w:ascii="仿宋" w:hAnsi="仿宋" w:eastAsia="仿宋" w:cs="仿宋_GB2312"/>
          <w:b/>
          <w:kern w:val="0"/>
          <w:sz w:val="32"/>
          <w:szCs w:val="32"/>
        </w:rPr>
        <w:t>四、</w:t>
      </w:r>
      <w:r>
        <w:rPr>
          <w:rFonts w:hint="eastAsia" w:ascii="仿宋" w:hAnsi="仿宋" w:eastAsia="仿宋" w:cs="仿宋_GB2312"/>
          <w:b/>
          <w:kern w:val="0"/>
          <w:sz w:val="32"/>
          <w:szCs w:val="32"/>
          <w:lang w:val="zh-CN"/>
        </w:rPr>
        <w:t>联合协议</w:t>
      </w:r>
      <w:bookmarkEnd w:id="906"/>
      <w:bookmarkEnd w:id="907"/>
      <w:bookmarkEnd w:id="908"/>
      <w:bookmarkEnd w:id="909"/>
      <w:bookmarkEnd w:id="910"/>
      <w:bookmarkEnd w:id="911"/>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ascii="仿宋" w:hAnsi="仿宋" w:eastAsia="仿宋" w:cs="仿宋_GB2312"/>
          <w:b/>
          <w:kern w:val="0"/>
          <w:sz w:val="24"/>
          <w:lang w:val="zh-CN"/>
        </w:rPr>
        <w:t>6%的扣除</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right="480"/>
        <w:rPr>
          <w:rFonts w:ascii="仿宋" w:hAnsi="仿宋" w:eastAsia="仿宋"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0"/>
        <w:rPr>
          <w:rFonts w:ascii="仿宋" w:hAnsi="仿宋" w:eastAsia="仿宋" w:cs="仿宋_GB2312"/>
          <w:b/>
          <w:kern w:val="0"/>
          <w:sz w:val="32"/>
          <w:szCs w:val="32"/>
        </w:rPr>
      </w:pPr>
      <w:bookmarkStart w:id="912" w:name="_Toc102565202"/>
      <w:bookmarkStart w:id="913" w:name="_Toc102563986"/>
      <w:bookmarkStart w:id="914" w:name="_Toc102563916"/>
      <w:bookmarkStart w:id="915" w:name="_Toc102563709"/>
      <w:bookmarkStart w:id="916" w:name="_Toc102564054"/>
      <w:bookmarkStart w:id="917" w:name="_Toc95296812"/>
      <w:r>
        <w:rPr>
          <w:rFonts w:hint="eastAsia" w:ascii="仿宋" w:hAnsi="仿宋" w:eastAsia="仿宋" w:cs="仿宋_GB2312"/>
          <w:b/>
          <w:kern w:val="0"/>
          <w:sz w:val="32"/>
          <w:szCs w:val="32"/>
        </w:rPr>
        <w:t>五、分包意向协议</w:t>
      </w:r>
      <w:bookmarkEnd w:id="912"/>
      <w:bookmarkEnd w:id="913"/>
      <w:bookmarkEnd w:id="914"/>
      <w:bookmarkEnd w:id="915"/>
      <w:bookmarkEnd w:id="916"/>
      <w:bookmarkEnd w:id="917"/>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rPr>
          <w:rFonts w:ascii="仿宋" w:hAnsi="仿宋" w:eastAsia="仿宋"/>
        </w:rPr>
      </w:pPr>
      <w:bookmarkStart w:id="918" w:name="_Toc95296010"/>
      <w:bookmarkStart w:id="919" w:name="_Toc95232892"/>
      <w:bookmarkStart w:id="920" w:name="_Toc95295252"/>
      <w:r>
        <w:rPr>
          <w:rFonts w:hint="eastAsia" w:ascii="仿宋" w:hAnsi="仿宋" w:eastAsia="仿宋" w:cs="仿宋_GB2312"/>
          <w:kern w:val="0"/>
          <w:sz w:val="24"/>
        </w:rPr>
        <w:t>……</w:t>
      </w:r>
      <w:bookmarkEnd w:id="918"/>
      <w:bookmarkEnd w:id="919"/>
      <w:bookmarkEnd w:id="920"/>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ascii="仿宋" w:hAnsi="仿宋" w:eastAsia="仿宋" w:cs="仿宋_GB2312"/>
          <w:b/>
          <w:kern w:val="0"/>
          <w:sz w:val="24"/>
          <w:lang w:val="zh-CN"/>
        </w:rPr>
        <w:t>6%的扣除</w:t>
      </w:r>
      <w:r>
        <w:rPr>
          <w:rFonts w:hint="eastAsia" w:ascii="仿宋" w:hAnsi="仿宋" w:eastAsia="仿宋" w:cs="仿宋_GB2312"/>
          <w:b/>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firstLine="3534" w:firstLineChars="1100"/>
        <w:outlineLvl w:val="0"/>
        <w:rPr>
          <w:rFonts w:ascii="仿宋" w:hAnsi="仿宋" w:eastAsia="仿宋" w:cs="仿宋_GB2312"/>
          <w:b/>
          <w:kern w:val="0"/>
          <w:sz w:val="32"/>
          <w:szCs w:val="32"/>
        </w:rPr>
      </w:pPr>
      <w:r>
        <w:rPr>
          <w:rFonts w:ascii="仿宋" w:hAnsi="仿宋" w:eastAsia="仿宋" w:cs="仿宋_GB2312"/>
          <w:b/>
          <w:kern w:val="0"/>
          <w:sz w:val="32"/>
          <w:szCs w:val="32"/>
        </w:rPr>
        <w:br w:type="page"/>
      </w:r>
      <w:bookmarkStart w:id="921" w:name="_Toc95296813"/>
      <w:bookmarkStart w:id="922" w:name="_Toc102563987"/>
      <w:bookmarkStart w:id="923" w:name="_Toc102565203"/>
      <w:bookmarkStart w:id="924" w:name="_Toc102564055"/>
      <w:bookmarkStart w:id="925" w:name="_Toc102563917"/>
      <w:bookmarkStart w:id="926" w:name="_Toc102563710"/>
      <w:r>
        <w:rPr>
          <w:rFonts w:hint="eastAsia" w:ascii="仿宋" w:hAnsi="仿宋" w:eastAsia="仿宋" w:cs="仿宋_GB2312"/>
          <w:b/>
          <w:kern w:val="0"/>
          <w:sz w:val="32"/>
          <w:szCs w:val="32"/>
        </w:rPr>
        <w:t>六、符合性审查资料</w:t>
      </w:r>
      <w:bookmarkEnd w:id="921"/>
      <w:bookmarkEnd w:id="922"/>
      <w:bookmarkEnd w:id="923"/>
      <w:bookmarkEnd w:id="924"/>
      <w:bookmarkEnd w:id="925"/>
      <w:bookmarkEnd w:id="926"/>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center"/>
          </w:tcPr>
          <w:p>
            <w:pPr>
              <w:spacing w:line="360" w:lineRule="auto"/>
              <w:jc w:val="left"/>
              <w:rPr>
                <w:rFonts w:ascii="仿宋" w:hAnsi="仿宋" w:eastAsia="仿宋" w:cs="仿宋_GB2312"/>
                <w:sz w:val="24"/>
              </w:rPr>
            </w:pPr>
            <w:r>
              <w:rPr>
                <w:rFonts w:hint="eastAsia" w:ascii="仿宋" w:hAnsi="仿宋" w:eastAsia="仿宋" w:cs="仿宋_GB2312"/>
                <w:sz w:val="24"/>
              </w:rPr>
              <w:t>投标文件按照采购文件要求签署、盖章。</w:t>
            </w:r>
          </w:p>
        </w:tc>
        <w:tc>
          <w:tcPr>
            <w:tcW w:w="2551" w:type="dxa"/>
            <w:vAlign w:val="center"/>
          </w:tcPr>
          <w:p>
            <w:pPr>
              <w:jc w:val="left"/>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center"/>
          </w:tcPr>
          <w:p>
            <w:pPr>
              <w:jc w:val="left"/>
              <w:rPr>
                <w:rFonts w:ascii="仿宋" w:hAnsi="仿宋" w:eastAsia="仿宋" w:cs="仿宋_GB2312"/>
                <w:sz w:val="24"/>
              </w:rPr>
            </w:pPr>
            <w:r>
              <w:rPr>
                <w:rFonts w:hint="eastAsia" w:ascii="仿宋" w:hAnsi="仿宋" w:eastAsia="仿宋" w:cs="仿宋_GB2312"/>
                <w:sz w:val="24"/>
              </w:rPr>
              <w:t>见投标文件</w:t>
            </w:r>
          </w:p>
          <w:p>
            <w:pPr>
              <w:jc w:val="left"/>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hint="eastAsia" w:ascii="仿宋" w:hAnsi="仿宋" w:eastAsia="仿宋"/>
                <w:sz w:val="24"/>
              </w:rPr>
              <w:t>2</w:t>
            </w:r>
          </w:p>
        </w:tc>
        <w:tc>
          <w:tcPr>
            <w:tcW w:w="4991" w:type="dxa"/>
            <w:vAlign w:val="center"/>
          </w:tcPr>
          <w:p>
            <w:pPr>
              <w:spacing w:line="360" w:lineRule="auto"/>
              <w:jc w:val="left"/>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jc w:val="left"/>
              <w:rPr>
                <w:rFonts w:ascii="仿宋" w:hAnsi="仿宋" w:eastAsia="仿宋"/>
                <w:sz w:val="24"/>
              </w:rPr>
            </w:pPr>
            <w:r>
              <w:rPr>
                <w:rFonts w:hint="eastAsia" w:ascii="仿宋" w:hAnsi="仿宋" w:eastAsia="仿宋"/>
                <w:sz w:val="24"/>
              </w:rPr>
              <w:t>投标函</w:t>
            </w:r>
          </w:p>
        </w:tc>
        <w:tc>
          <w:tcPr>
            <w:tcW w:w="1418" w:type="dxa"/>
            <w:vAlign w:val="center"/>
          </w:tcPr>
          <w:p>
            <w:pPr>
              <w:jc w:val="left"/>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hint="eastAsia" w:ascii="仿宋" w:hAnsi="仿宋" w:eastAsia="仿宋"/>
                <w:sz w:val="24"/>
              </w:rPr>
              <w:t>3</w:t>
            </w:r>
          </w:p>
        </w:tc>
        <w:tc>
          <w:tcPr>
            <w:tcW w:w="4991" w:type="dxa"/>
            <w:vAlign w:val="center"/>
          </w:tcPr>
          <w:p>
            <w:pPr>
              <w:spacing w:line="360" w:lineRule="auto"/>
              <w:jc w:val="left"/>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jc w:val="left"/>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418" w:type="dxa"/>
            <w:vAlign w:val="center"/>
          </w:tcPr>
          <w:p>
            <w:pPr>
              <w:jc w:val="left"/>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ascii="仿宋" w:hAnsi="仿宋" w:eastAsia="仿宋" w:cs="仿宋_GB2312"/>
          <w:b/>
          <w:kern w:val="0"/>
          <w:sz w:val="32"/>
          <w:szCs w:val="32"/>
        </w:rPr>
        <w:t xml:space="preserve">            </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outlineLvl w:val="0"/>
        <w:rPr>
          <w:rFonts w:ascii="仿宋" w:hAnsi="仿宋" w:eastAsia="仿宋"/>
        </w:rPr>
      </w:pPr>
      <w:bookmarkStart w:id="927" w:name="_Toc102564056"/>
      <w:bookmarkStart w:id="928" w:name="_Toc102563918"/>
      <w:bookmarkStart w:id="929" w:name="_Toc102563711"/>
      <w:bookmarkStart w:id="930" w:name="_Toc102563988"/>
      <w:bookmarkStart w:id="931" w:name="_Toc95296814"/>
      <w:bookmarkStart w:id="932" w:name="_Toc102565204"/>
      <w:r>
        <w:rPr>
          <w:rFonts w:hint="eastAsia" w:ascii="仿宋" w:hAnsi="仿宋" w:eastAsia="仿宋" w:cs="仿宋_GB2312"/>
          <w:b/>
          <w:kern w:val="0"/>
          <w:sz w:val="32"/>
          <w:szCs w:val="32"/>
        </w:rPr>
        <w:t>七、评标标准相应的商务技术资料</w:t>
      </w:r>
      <w:bookmarkEnd w:id="927"/>
      <w:bookmarkEnd w:id="928"/>
      <w:bookmarkEnd w:id="929"/>
      <w:bookmarkEnd w:id="930"/>
      <w:bookmarkEnd w:id="931"/>
      <w:bookmarkEnd w:id="932"/>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bookmarkStart w:id="933" w:name="_Toc95296815"/>
      <w:r>
        <w:rPr>
          <w:rFonts w:ascii="仿宋" w:hAnsi="仿宋" w:eastAsia="仿宋" w:cs="仿宋_GB2312"/>
          <w:b/>
          <w:kern w:val="0"/>
          <w:sz w:val="32"/>
          <w:szCs w:val="32"/>
        </w:rPr>
        <w:br w:type="page"/>
      </w:r>
    </w:p>
    <w:p>
      <w:pPr>
        <w:jc w:val="center"/>
        <w:outlineLvl w:val="0"/>
        <w:rPr>
          <w:rFonts w:ascii="仿宋" w:hAnsi="仿宋" w:eastAsia="仿宋" w:cs="仿宋_GB2312"/>
          <w:b/>
          <w:kern w:val="0"/>
          <w:sz w:val="32"/>
          <w:szCs w:val="32"/>
        </w:rPr>
      </w:pPr>
      <w:bookmarkStart w:id="934" w:name="_Toc102563989"/>
      <w:bookmarkStart w:id="935" w:name="_Toc102563712"/>
      <w:bookmarkStart w:id="936" w:name="_Toc102565205"/>
      <w:bookmarkStart w:id="937" w:name="_Toc102563919"/>
      <w:bookmarkStart w:id="938" w:name="_Toc102564057"/>
      <w:r>
        <w:rPr>
          <w:rFonts w:hint="eastAsia" w:ascii="仿宋" w:hAnsi="仿宋" w:eastAsia="仿宋" w:cs="仿宋_GB2312"/>
          <w:b/>
          <w:kern w:val="0"/>
          <w:sz w:val="32"/>
          <w:szCs w:val="32"/>
        </w:rPr>
        <w:t>八、商务技术偏离表</w:t>
      </w:r>
      <w:bookmarkEnd w:id="933"/>
      <w:bookmarkEnd w:id="934"/>
      <w:bookmarkEnd w:id="935"/>
      <w:bookmarkEnd w:id="936"/>
      <w:bookmarkEnd w:id="937"/>
      <w:bookmarkEnd w:id="938"/>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bookmarkStart w:id="939" w:name="_Toc95296816"/>
      <w:r>
        <w:rPr>
          <w:rFonts w:ascii="仿宋" w:hAnsi="仿宋" w:eastAsia="仿宋" w:cs="仿宋_GB2312"/>
          <w:b/>
          <w:kern w:val="0"/>
          <w:sz w:val="32"/>
          <w:szCs w:val="32"/>
        </w:rPr>
        <w:br w:type="page"/>
      </w:r>
    </w:p>
    <w:p>
      <w:pPr>
        <w:ind w:firstLine="1911" w:firstLineChars="595"/>
        <w:outlineLvl w:val="0"/>
        <w:rPr>
          <w:rFonts w:ascii="仿宋" w:hAnsi="仿宋" w:eastAsia="仿宋" w:cs="仿宋_GB2312"/>
          <w:b/>
          <w:kern w:val="0"/>
          <w:sz w:val="32"/>
          <w:szCs w:val="32"/>
        </w:rPr>
      </w:pPr>
      <w:bookmarkStart w:id="940" w:name="_Toc102565206"/>
      <w:bookmarkStart w:id="941" w:name="_Toc102563713"/>
      <w:bookmarkStart w:id="942" w:name="_Toc102563990"/>
      <w:bookmarkStart w:id="943" w:name="_Toc102564058"/>
      <w:bookmarkStart w:id="944" w:name="_Toc102563920"/>
      <w:r>
        <w:rPr>
          <w:rFonts w:hint="eastAsia" w:ascii="仿宋" w:hAnsi="仿宋" w:eastAsia="仿宋" w:cs="仿宋_GB2312"/>
          <w:b/>
          <w:kern w:val="0"/>
          <w:sz w:val="32"/>
          <w:szCs w:val="32"/>
        </w:rPr>
        <w:t>九、</w:t>
      </w:r>
      <w:r>
        <w:rPr>
          <w:rFonts w:hint="eastAsia" w:ascii="仿宋" w:hAnsi="仿宋" w:eastAsia="仿宋" w:cs="仿宋_GB2312"/>
          <w:b/>
          <w:kern w:val="0"/>
          <w:sz w:val="32"/>
          <w:szCs w:val="32"/>
          <w:lang w:val="zh-CN"/>
        </w:rPr>
        <w:t>政府采购供应商廉洁自律承诺书</w:t>
      </w:r>
      <w:bookmarkEnd w:id="939"/>
      <w:bookmarkEnd w:id="940"/>
      <w:bookmarkEnd w:id="941"/>
      <w:bookmarkEnd w:id="942"/>
      <w:bookmarkEnd w:id="943"/>
      <w:bookmarkEnd w:id="944"/>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kern w:val="0"/>
          <w:sz w:val="36"/>
          <w:szCs w:val="36"/>
        </w:rPr>
      </w:pPr>
      <w:bookmarkStart w:id="945" w:name="_Toc95295254"/>
      <w:bookmarkStart w:id="946" w:name="_Toc102563991"/>
      <w:bookmarkStart w:id="947" w:name="_Toc95232894"/>
      <w:bookmarkStart w:id="948" w:name="_Toc102565207"/>
      <w:bookmarkStart w:id="949" w:name="_Toc95296817"/>
      <w:bookmarkStart w:id="950" w:name="_Toc102563714"/>
      <w:bookmarkStart w:id="951" w:name="_Toc102564059"/>
      <w:bookmarkStart w:id="952" w:name="_Toc95296016"/>
      <w:bookmarkStart w:id="953" w:name="_Toc95296689"/>
      <w:bookmarkStart w:id="954" w:name="_Toc102563921"/>
      <w:r>
        <w:rPr>
          <w:rFonts w:hint="eastAsia" w:ascii="仿宋" w:hAnsi="仿宋" w:eastAsia="仿宋" w:cs="仿宋_GB2312"/>
          <w:b/>
          <w:kern w:val="0"/>
          <w:sz w:val="36"/>
          <w:szCs w:val="36"/>
        </w:rPr>
        <w:t>报价文件部分</w:t>
      </w:r>
      <w:bookmarkEnd w:id="945"/>
      <w:bookmarkEnd w:id="946"/>
      <w:bookmarkEnd w:id="947"/>
      <w:bookmarkEnd w:id="948"/>
      <w:bookmarkEnd w:id="949"/>
      <w:bookmarkEnd w:id="950"/>
      <w:bookmarkEnd w:id="951"/>
      <w:bookmarkEnd w:id="952"/>
      <w:bookmarkEnd w:id="953"/>
      <w:bookmarkEnd w:id="954"/>
    </w:p>
    <w:p>
      <w:pPr>
        <w:spacing w:line="360" w:lineRule="auto"/>
        <w:jc w:val="center"/>
        <w:outlineLvl w:val="0"/>
        <w:rPr>
          <w:rFonts w:ascii="仿宋" w:hAnsi="仿宋" w:eastAsia="仿宋" w:cs="仿宋_GB2312"/>
          <w:b/>
          <w:kern w:val="0"/>
          <w:sz w:val="36"/>
          <w:szCs w:val="36"/>
        </w:rPr>
      </w:pPr>
      <w:bookmarkStart w:id="955" w:name="_Toc95295255"/>
      <w:bookmarkStart w:id="956" w:name="_Toc95296017"/>
      <w:bookmarkStart w:id="957" w:name="_Toc102563715"/>
      <w:bookmarkStart w:id="958" w:name="_Toc95296818"/>
      <w:bookmarkStart w:id="959" w:name="_Toc95296690"/>
      <w:bookmarkStart w:id="960" w:name="_Toc102565208"/>
      <w:bookmarkStart w:id="961" w:name="_Toc102563922"/>
      <w:bookmarkStart w:id="962" w:name="_Toc102563992"/>
      <w:bookmarkStart w:id="963" w:name="_Toc95232895"/>
      <w:bookmarkStart w:id="964" w:name="_Toc102564060"/>
      <w:r>
        <w:rPr>
          <w:rFonts w:hint="eastAsia" w:ascii="仿宋" w:hAnsi="仿宋" w:eastAsia="仿宋" w:cs="仿宋_GB2312"/>
          <w:b/>
          <w:kern w:val="0"/>
          <w:sz w:val="36"/>
          <w:szCs w:val="36"/>
        </w:rPr>
        <w:t>目录</w:t>
      </w:r>
      <w:bookmarkEnd w:id="955"/>
      <w:bookmarkEnd w:id="956"/>
      <w:bookmarkEnd w:id="957"/>
      <w:bookmarkEnd w:id="958"/>
      <w:bookmarkEnd w:id="959"/>
      <w:bookmarkEnd w:id="960"/>
      <w:bookmarkEnd w:id="961"/>
      <w:bookmarkEnd w:id="962"/>
      <w:bookmarkEnd w:id="963"/>
      <w:bookmarkEnd w:id="964"/>
    </w:p>
    <w:p>
      <w:pPr>
        <w:snapToGrid w:val="0"/>
        <w:spacing w:line="360" w:lineRule="auto"/>
        <w:ind w:right="480"/>
        <w:jc w:val="center"/>
        <w:rPr>
          <w:rFonts w:ascii="仿宋" w:hAnsi="仿宋" w:eastAsia="仿宋" w:cs="仿宋_GB2312"/>
          <w:b/>
          <w:kern w:val="0"/>
          <w:sz w:val="32"/>
          <w:szCs w:val="32"/>
        </w:rPr>
      </w:pPr>
    </w:p>
    <w:p>
      <w:pPr>
        <w:pStyle w:val="42"/>
        <w:tabs>
          <w:tab w:val="right" w:leader="dot" w:pos="9060"/>
        </w:tabs>
        <w:spacing w:line="360" w:lineRule="auto"/>
        <w:rPr>
          <w:rFonts w:ascii="仿宋" w:hAnsi="仿宋" w:eastAsia="仿宋" w:cstheme="minorBidi"/>
          <w:sz w:val="28"/>
          <w:szCs w:val="28"/>
        </w:rPr>
      </w:pPr>
      <w:r>
        <w:rPr>
          <w:rFonts w:ascii="仿宋" w:hAnsi="仿宋" w:eastAsia="仿宋" w:cs="仿宋_GB2312"/>
          <w:b/>
          <w:kern w:val="0"/>
          <w:sz w:val="32"/>
          <w:szCs w:val="32"/>
        </w:rPr>
        <w:fldChar w:fldCharType="begin"/>
      </w:r>
      <w:r>
        <w:rPr>
          <w:rFonts w:ascii="仿宋" w:hAnsi="仿宋" w:eastAsia="仿宋" w:cs="仿宋_GB2312"/>
          <w:b/>
          <w:kern w:val="0"/>
          <w:sz w:val="32"/>
          <w:szCs w:val="32"/>
        </w:rPr>
        <w:instrText xml:space="preserve"> TOC \o "1-3" \h \z \u </w:instrText>
      </w:r>
      <w:r>
        <w:rPr>
          <w:rFonts w:ascii="仿宋" w:hAnsi="仿宋" w:eastAsia="仿宋" w:cs="仿宋_GB2312"/>
          <w:b/>
          <w:kern w:val="0"/>
          <w:sz w:val="32"/>
          <w:szCs w:val="32"/>
        </w:rPr>
        <w:fldChar w:fldCharType="separate"/>
      </w:r>
      <w:r>
        <w:fldChar w:fldCharType="begin"/>
      </w:r>
      <w:r>
        <w:instrText xml:space="preserve"> HYPERLINK \l "_Toc102564061" </w:instrText>
      </w:r>
      <w:r>
        <w:fldChar w:fldCharType="separate"/>
      </w:r>
      <w:r>
        <w:rPr>
          <w:rStyle w:val="76"/>
          <w:rFonts w:hint="eastAsia" w:ascii="仿宋" w:hAnsi="仿宋" w:eastAsia="仿宋" w:cs="宋体"/>
          <w:b/>
          <w:sz w:val="28"/>
          <w:szCs w:val="28"/>
        </w:rPr>
        <w:t>一、报价文件封面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_Toc102564061 \h </w:instrText>
      </w:r>
      <w:r>
        <w:rPr>
          <w:rFonts w:ascii="仿宋" w:hAnsi="仿宋" w:eastAsia="仿宋"/>
          <w:sz w:val="28"/>
          <w:szCs w:val="28"/>
        </w:rPr>
        <w:fldChar w:fldCharType="separate"/>
      </w:r>
      <w:r>
        <w:rPr>
          <w:rFonts w:ascii="仿宋" w:hAnsi="仿宋" w:eastAsia="仿宋"/>
          <w:sz w:val="28"/>
          <w:szCs w:val="28"/>
        </w:rPr>
        <w:t>65</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"_Toc102564062" </w:instrText>
      </w:r>
      <w:r>
        <w:fldChar w:fldCharType="separate"/>
      </w:r>
      <w:r>
        <w:rPr>
          <w:rStyle w:val="76"/>
          <w:rFonts w:hint="eastAsia" w:ascii="仿宋" w:hAnsi="仿宋" w:eastAsia="仿宋" w:cs="仿宋_GB2312"/>
          <w:sz w:val="28"/>
          <w:szCs w:val="28"/>
        </w:rPr>
        <w:t>二</w:t>
      </w:r>
      <w:r>
        <w:rPr>
          <w:rStyle w:val="76"/>
          <w:rFonts w:hint="eastAsia" w:ascii="仿宋" w:hAnsi="仿宋" w:eastAsia="仿宋" w:cs="宋体"/>
          <w:sz w:val="28"/>
          <w:szCs w:val="28"/>
        </w:rPr>
        <w:t>、开标一览表（报价表）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_Toc102564062 \h </w:instrText>
      </w:r>
      <w:r>
        <w:rPr>
          <w:rFonts w:ascii="仿宋" w:hAnsi="仿宋" w:eastAsia="仿宋"/>
          <w:sz w:val="28"/>
          <w:szCs w:val="28"/>
        </w:rPr>
        <w:fldChar w:fldCharType="separate"/>
      </w:r>
      <w:r>
        <w:rPr>
          <w:rFonts w:ascii="仿宋" w:hAnsi="仿宋" w:eastAsia="仿宋"/>
          <w:sz w:val="28"/>
          <w:szCs w:val="28"/>
        </w:rPr>
        <w:t>66</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"_Toc102564063" </w:instrText>
      </w:r>
      <w:r>
        <w:fldChar w:fldCharType="separate"/>
      </w:r>
      <w:r>
        <w:rPr>
          <w:rStyle w:val="76"/>
          <w:rFonts w:hint="eastAsia" w:ascii="仿宋" w:hAnsi="仿宋" w:eastAsia="仿宋" w:cs="仿宋_GB2312"/>
          <w:sz w:val="28"/>
          <w:szCs w:val="28"/>
        </w:rPr>
        <w:t>三</w:t>
      </w:r>
      <w:r>
        <w:rPr>
          <w:rStyle w:val="76"/>
          <w:rFonts w:hint="eastAsia" w:ascii="仿宋" w:hAnsi="仿宋" w:eastAsia="仿宋" w:cs="宋体"/>
          <w:sz w:val="28"/>
          <w:szCs w:val="28"/>
        </w:rPr>
        <w:t>、中小企业声明函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_Toc102564063 \h </w:instrText>
      </w:r>
      <w:r>
        <w:rPr>
          <w:rFonts w:ascii="仿宋" w:hAnsi="仿宋" w:eastAsia="仿宋"/>
          <w:sz w:val="28"/>
          <w:szCs w:val="28"/>
        </w:rPr>
        <w:fldChar w:fldCharType="separate"/>
      </w:r>
      <w:r>
        <w:rPr>
          <w:rFonts w:ascii="仿宋" w:hAnsi="仿宋" w:eastAsia="仿宋"/>
          <w:sz w:val="28"/>
          <w:szCs w:val="28"/>
        </w:rPr>
        <w:t>68</w:t>
      </w:r>
      <w:r>
        <w:rPr>
          <w:rFonts w:ascii="仿宋" w:hAnsi="仿宋" w:eastAsia="仿宋"/>
          <w:sz w:val="28"/>
          <w:szCs w:val="28"/>
        </w:rPr>
        <w:fldChar w:fldCharType="end"/>
      </w:r>
      <w:r>
        <w:rPr>
          <w:rFonts w:ascii="仿宋" w:hAnsi="仿宋" w:eastAsia="仿宋"/>
          <w:sz w:val="28"/>
          <w:szCs w:val="28"/>
        </w:rPr>
        <w:fldChar w:fldCharType="end"/>
      </w:r>
    </w:p>
    <w:p>
      <w:pPr>
        <w:pStyle w:val="42"/>
        <w:tabs>
          <w:tab w:val="right" w:leader="dot" w:pos="9060"/>
        </w:tabs>
        <w:spacing w:line="360" w:lineRule="auto"/>
        <w:rPr>
          <w:rFonts w:ascii="仿宋" w:hAnsi="仿宋" w:eastAsia="仿宋" w:cstheme="minorBidi"/>
          <w:sz w:val="28"/>
          <w:szCs w:val="28"/>
        </w:rPr>
      </w:pPr>
      <w:r>
        <w:fldChar w:fldCharType="begin"/>
      </w:r>
      <w:r>
        <w:instrText xml:space="preserve"> HYPERLINK \l "_Toc102564064" </w:instrText>
      </w:r>
      <w:r>
        <w:fldChar w:fldCharType="separate"/>
      </w:r>
      <w:r>
        <w:rPr>
          <w:rStyle w:val="76"/>
          <w:rFonts w:hint="eastAsia" w:ascii="仿宋" w:hAnsi="仿宋" w:eastAsia="仿宋" w:cs="宋体"/>
          <w:sz w:val="28"/>
          <w:szCs w:val="28"/>
        </w:rPr>
        <w:t>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_Toc102564064 \h </w:instrText>
      </w:r>
      <w:r>
        <w:rPr>
          <w:rFonts w:ascii="仿宋" w:hAnsi="仿宋" w:eastAsia="仿宋"/>
          <w:sz w:val="28"/>
          <w:szCs w:val="28"/>
        </w:rPr>
        <w:fldChar w:fldCharType="separate"/>
      </w:r>
      <w:r>
        <w:rPr>
          <w:rFonts w:ascii="仿宋" w:hAnsi="仿宋" w:eastAsia="仿宋"/>
          <w:sz w:val="28"/>
          <w:szCs w:val="28"/>
        </w:rPr>
        <w:t>69</w:t>
      </w:r>
      <w:r>
        <w:rPr>
          <w:rFonts w:ascii="仿宋" w:hAnsi="仿宋" w:eastAsia="仿宋"/>
          <w:sz w:val="28"/>
          <w:szCs w:val="28"/>
        </w:rPr>
        <w:fldChar w:fldCharType="end"/>
      </w:r>
      <w:r>
        <w:rPr>
          <w:rFonts w:ascii="仿宋" w:hAnsi="仿宋" w:eastAsia="仿宋"/>
          <w:sz w:val="28"/>
          <w:szCs w:val="28"/>
        </w:rPr>
        <w:fldChar w:fldCharType="end"/>
      </w: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fldChar w:fldCharType="end"/>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ind w:right="482"/>
        <w:jc w:val="center"/>
        <w:outlineLvl w:val="0"/>
        <w:rPr>
          <w:rFonts w:ascii="仿宋" w:hAnsi="仿宋" w:eastAsia="仿宋" w:cs="仿宋_GB2312"/>
          <w:b/>
          <w:kern w:val="0"/>
          <w:sz w:val="32"/>
          <w:szCs w:val="32"/>
        </w:rPr>
      </w:pPr>
    </w:p>
    <w:p>
      <w:pPr>
        <w:snapToGrid w:val="0"/>
        <w:spacing w:line="360" w:lineRule="auto"/>
        <w:ind w:right="482"/>
        <w:jc w:val="center"/>
        <w:outlineLvl w:val="0"/>
        <w:rPr>
          <w:rFonts w:ascii="仿宋" w:hAnsi="仿宋" w:eastAsia="仿宋" w:cs="仿宋_GB2312"/>
          <w:b/>
          <w:kern w:val="0"/>
          <w:sz w:val="32"/>
          <w:szCs w:val="32"/>
        </w:rPr>
      </w:pPr>
      <w:bookmarkStart w:id="965" w:name="_Toc102565209"/>
      <w:bookmarkStart w:id="966" w:name="_Toc102564061"/>
      <w:bookmarkStart w:id="967" w:name="_Toc102563923"/>
      <w:bookmarkStart w:id="968" w:name="_Toc102563993"/>
      <w:bookmarkStart w:id="969" w:name="_Toc102563716"/>
      <w:r>
        <w:rPr>
          <w:rFonts w:hint="eastAsia" w:ascii="仿宋" w:hAnsi="仿宋" w:eastAsia="仿宋" w:cs="仿宋_GB2312"/>
          <w:b/>
          <w:kern w:val="0"/>
          <w:sz w:val="32"/>
          <w:szCs w:val="32"/>
        </w:rPr>
        <w:t>一、报价文件封面</w:t>
      </w:r>
      <w:bookmarkEnd w:id="965"/>
      <w:bookmarkEnd w:id="966"/>
      <w:bookmarkEnd w:id="967"/>
      <w:bookmarkEnd w:id="968"/>
      <w:bookmarkEnd w:id="969"/>
    </w:p>
    <w:p>
      <w:pPr>
        <w:ind w:left="1800" w:leftChars="857"/>
        <w:jc w:val="right"/>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snapToGrid w:val="0"/>
        <w:spacing w:line="520" w:lineRule="exact"/>
        <w:jc w:val="center"/>
        <w:rPr>
          <w:rFonts w:ascii="仿宋" w:hAnsi="仿宋" w:eastAsia="仿宋"/>
          <w:color w:val="000000"/>
          <w:sz w:val="24"/>
          <w:u w:val="single"/>
        </w:rPr>
      </w:pPr>
      <w:r>
        <w:rPr>
          <w:rFonts w:hint="eastAsia" w:ascii="仿宋" w:hAnsi="仿宋" w:eastAsia="仿宋"/>
          <w:color w:val="000000"/>
          <w:sz w:val="24"/>
        </w:rPr>
        <w:t>报价文件标项</w:t>
      </w:r>
      <w:r>
        <w:rPr>
          <w:rFonts w:hint="eastAsia" w:ascii="仿宋" w:hAnsi="仿宋" w:eastAsia="仿宋"/>
          <w:color w:val="000000"/>
          <w:sz w:val="24"/>
          <w:u w:val="single"/>
        </w:rPr>
        <w:t xml:space="preserve">   </w:t>
      </w:r>
    </w:p>
    <w:p>
      <w:pPr>
        <w:snapToGrid w:val="0"/>
        <w:spacing w:line="520" w:lineRule="exact"/>
        <w:ind w:firstLine="1682" w:firstLineChars="698"/>
        <w:rPr>
          <w:rFonts w:ascii="仿宋" w:hAnsi="仿宋" w:eastAsia="仿宋"/>
          <w:b/>
          <w:color w:val="000000"/>
          <w:sz w:val="24"/>
        </w:rPr>
      </w:pPr>
    </w:p>
    <w:p>
      <w:pPr>
        <w:snapToGrid w:val="0"/>
        <w:spacing w:line="400" w:lineRule="exact"/>
        <w:ind w:firstLine="480" w:firstLineChars="200"/>
        <w:rPr>
          <w:rFonts w:ascii="仿宋" w:hAnsi="仿宋" w:eastAsia="仿宋" w:cs="仿宋_GB2312"/>
          <w:sz w:val="24"/>
          <w:u w:val="single"/>
        </w:rPr>
      </w:pPr>
      <w:r>
        <w:rPr>
          <w:rFonts w:hint="eastAsia" w:ascii="仿宋" w:hAnsi="仿宋" w:eastAsia="仿宋"/>
          <w:color w:val="000000"/>
          <w:sz w:val="24"/>
        </w:rPr>
        <w:t xml:space="preserve">     </w:t>
      </w:r>
      <w:r>
        <w:rPr>
          <w:rFonts w:hint="eastAsia" w:ascii="仿宋" w:hAnsi="仿宋" w:eastAsia="仿宋" w:cs="仿宋_GB2312"/>
          <w:sz w:val="24"/>
        </w:rPr>
        <w:t>项目名称：</w:t>
      </w:r>
      <w:r>
        <w:rPr>
          <w:rFonts w:hint="eastAsia" w:ascii="仿宋" w:hAnsi="仿宋" w:eastAsia="仿宋" w:cs="仿宋_GB2312"/>
          <w:sz w:val="24"/>
          <w:u w:val="single"/>
        </w:rPr>
        <w:t xml:space="preserve">                        </w:t>
      </w:r>
    </w:p>
    <w:p>
      <w:pPr>
        <w:snapToGrid w:val="0"/>
        <w:spacing w:line="600" w:lineRule="exact"/>
        <w:rPr>
          <w:rFonts w:ascii="仿宋" w:hAnsi="仿宋" w:eastAsia="仿宋"/>
          <w:color w:val="000000"/>
          <w:sz w:val="24"/>
        </w:rPr>
      </w:pPr>
    </w:p>
    <w:p>
      <w:pPr>
        <w:snapToGrid w:val="0"/>
        <w:spacing w:line="400" w:lineRule="exact"/>
        <w:ind w:firstLine="480" w:firstLineChars="200"/>
        <w:rPr>
          <w:rFonts w:ascii="仿宋" w:hAnsi="仿宋" w:eastAsia="仿宋"/>
          <w:color w:val="000000"/>
          <w:sz w:val="24"/>
          <w:u w:val="single"/>
        </w:rPr>
      </w:pPr>
      <w:r>
        <w:rPr>
          <w:rFonts w:hint="eastAsia" w:ascii="仿宋" w:hAnsi="仿宋" w:eastAsia="仿宋"/>
          <w:color w:val="000000"/>
          <w:sz w:val="24"/>
        </w:rPr>
        <w:t xml:space="preserve">     </w:t>
      </w:r>
      <w:r>
        <w:rPr>
          <w:rFonts w:hint="eastAsia" w:ascii="仿宋" w:hAnsi="仿宋" w:eastAsia="仿宋" w:cs="仿宋_GB2312"/>
          <w:sz w:val="24"/>
        </w:rPr>
        <w:t>项目编号：</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u w:val="single"/>
        </w:rPr>
      </w:pPr>
      <w:r>
        <w:rPr>
          <w:rFonts w:hint="eastAsia" w:ascii="仿宋" w:hAnsi="仿宋" w:eastAsia="仿宋"/>
          <w:color w:val="000000"/>
          <w:sz w:val="24"/>
        </w:rPr>
        <w:t xml:space="preserve">         </w:t>
      </w:r>
      <w:r>
        <w:rPr>
          <w:rFonts w:hint="eastAsia" w:ascii="仿宋" w:hAnsi="仿宋" w:eastAsia="仿宋" w:cs="仿宋_GB2312"/>
          <w:sz w:val="24"/>
        </w:rPr>
        <w:t>供应商：</w:t>
      </w:r>
      <w:r>
        <w:rPr>
          <w:rFonts w:hint="eastAsia" w:ascii="仿宋" w:hAnsi="仿宋" w:eastAsia="仿宋" w:cs="仿宋_GB2312"/>
          <w:sz w:val="24"/>
          <w:u w:val="single"/>
        </w:rPr>
        <w:t xml:space="preserve">                       </w:t>
      </w:r>
      <w:r>
        <w:rPr>
          <w:rFonts w:ascii="仿宋" w:hAnsi="仿宋" w:eastAsia="仿宋" w:cs="仿宋_GB2312"/>
          <w:sz w:val="24"/>
          <w:u w:val="single"/>
        </w:rPr>
        <w:t>(电子签名)</w:t>
      </w:r>
    </w:p>
    <w:p>
      <w:pPr>
        <w:snapToGrid w:val="0"/>
        <w:spacing w:line="600" w:lineRule="exact"/>
        <w:rPr>
          <w:rFonts w:ascii="仿宋" w:hAnsi="仿宋" w:eastAsia="仿宋"/>
          <w:color w:val="000000"/>
          <w:sz w:val="24"/>
        </w:rPr>
      </w:pPr>
    </w:p>
    <w:p>
      <w:pPr>
        <w:snapToGrid w:val="0"/>
        <w:spacing w:line="600" w:lineRule="exact"/>
        <w:rPr>
          <w:rFonts w:ascii="仿宋" w:hAnsi="仿宋" w:eastAsia="仿宋" w:cs="仿宋_GB2312"/>
          <w:sz w:val="24"/>
        </w:rPr>
      </w:pPr>
      <w:r>
        <w:rPr>
          <w:rFonts w:hint="eastAsia" w:ascii="仿宋" w:hAnsi="仿宋" w:eastAsia="仿宋"/>
          <w:color w:val="000000"/>
          <w:sz w:val="24"/>
        </w:rPr>
        <w:t xml:space="preserve">         </w:t>
      </w:r>
      <w:r>
        <w:rPr>
          <w:rFonts w:hint="eastAsia" w:ascii="仿宋" w:hAnsi="仿宋" w:eastAsia="仿宋" w:cs="仿宋_GB2312"/>
          <w:sz w:val="24"/>
        </w:rPr>
        <w:t>日期：</w:t>
      </w:r>
      <w:r>
        <w:rPr>
          <w:rFonts w:hint="eastAsia" w:ascii="仿宋" w:hAnsi="仿宋" w:eastAsia="仿宋"/>
          <w:color w:val="000000"/>
          <w:sz w:val="24"/>
        </w:rPr>
        <w:t xml:space="preserve">   </w:t>
      </w:r>
      <w:r>
        <w:rPr>
          <w:rFonts w:hint="eastAsia" w:ascii="仿宋" w:hAnsi="仿宋" w:eastAsia="仿宋" w:cs="仿宋_GB2312"/>
          <w:sz w:val="24"/>
        </w:rPr>
        <w:t xml:space="preserve"> 年   月 日</w:t>
      </w:r>
    </w:p>
    <w:p>
      <w:pPr>
        <w:snapToGrid w:val="0"/>
        <w:spacing w:line="520" w:lineRule="exact"/>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pStyle w:val="2"/>
        <w:rPr>
          <w:rFonts w:ascii="仿宋" w:eastAsia="仿宋"/>
          <w:kern w:val="0"/>
        </w:rPr>
      </w:pPr>
      <w:r>
        <w:rPr>
          <w:rFonts w:ascii="仿宋" w:eastAsia="仿宋"/>
          <w:kern w:val="0"/>
        </w:rPr>
        <w:br w:type="page"/>
      </w: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1"/>
        <w:rPr>
          <w:rFonts w:ascii="仿宋" w:hAnsi="仿宋" w:eastAsia="仿宋" w:cs="仿宋_GB2312"/>
          <w:kern w:val="2"/>
          <w:sz w:val="32"/>
          <w:szCs w:val="32"/>
        </w:rPr>
      </w:pPr>
      <w:bookmarkStart w:id="970" w:name="_Toc102563717"/>
      <w:bookmarkStart w:id="971" w:name="_Toc102563994"/>
      <w:bookmarkStart w:id="972" w:name="_Toc102563924"/>
      <w:bookmarkStart w:id="973" w:name="_Toc95296691"/>
      <w:bookmarkStart w:id="974" w:name="_Toc95232896"/>
      <w:bookmarkStart w:id="975" w:name="_Toc95295256"/>
      <w:bookmarkStart w:id="976" w:name="_Toc102564062"/>
      <w:bookmarkStart w:id="977" w:name="_Toc102565210"/>
      <w:bookmarkStart w:id="978" w:name="_Toc95296018"/>
      <w:r>
        <w:rPr>
          <w:rFonts w:hint="eastAsia" w:ascii="仿宋" w:hAnsi="仿宋" w:eastAsia="仿宋" w:cs="仿宋_GB2312"/>
          <w:kern w:val="2"/>
          <w:sz w:val="32"/>
          <w:szCs w:val="32"/>
        </w:rPr>
        <w:t>二、开标一览表（报价表）</w:t>
      </w:r>
      <w:bookmarkEnd w:id="970"/>
      <w:bookmarkEnd w:id="971"/>
      <w:bookmarkEnd w:id="972"/>
      <w:bookmarkEnd w:id="973"/>
      <w:bookmarkEnd w:id="974"/>
      <w:bookmarkEnd w:id="975"/>
      <w:bookmarkEnd w:id="976"/>
      <w:bookmarkEnd w:id="977"/>
      <w:bookmarkEnd w:id="978"/>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14120" w:type="dxa"/>
        <w:jc w:val="center"/>
        <w:tblLayout w:type="fixed"/>
        <w:tblCellMar>
          <w:top w:w="0" w:type="dxa"/>
          <w:left w:w="108" w:type="dxa"/>
          <w:bottom w:w="0" w:type="dxa"/>
          <w:right w:w="108" w:type="dxa"/>
        </w:tblCellMar>
      </w:tblPr>
      <w:tblGrid>
        <w:gridCol w:w="888"/>
        <w:gridCol w:w="1493"/>
        <w:gridCol w:w="2304"/>
        <w:gridCol w:w="3488"/>
        <w:gridCol w:w="3485"/>
        <w:gridCol w:w="2462"/>
      </w:tblGrid>
      <w:tr>
        <w:tblPrEx>
          <w:tblCellMar>
            <w:top w:w="0" w:type="dxa"/>
            <w:left w:w="108" w:type="dxa"/>
            <w:bottom w:w="0" w:type="dxa"/>
            <w:right w:w="108" w:type="dxa"/>
          </w:tblCellMar>
        </w:tblPrEx>
        <w:trPr>
          <w:trHeight w:val="402"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序号</w:t>
            </w:r>
          </w:p>
        </w:tc>
        <w:tc>
          <w:tcPr>
            <w:tcW w:w="3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Cs w:val="21"/>
              </w:rPr>
            </w:pPr>
            <w:r>
              <w:rPr>
                <w:rFonts w:hint="eastAsia" w:ascii="宋体" w:hAnsi="宋体" w:cs="宋体"/>
                <w:b/>
                <w:bCs/>
                <w:kern w:val="0"/>
                <w:szCs w:val="21"/>
              </w:rPr>
              <w:t>类别</w:t>
            </w:r>
          </w:p>
        </w:tc>
        <w:tc>
          <w:tcPr>
            <w:tcW w:w="9435" w:type="dxa"/>
            <w:gridSpan w:val="3"/>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u w:val="single"/>
              </w:rPr>
            </w:pPr>
            <w:r>
              <w:rPr>
                <w:rFonts w:hint="eastAsia" w:ascii="宋体" w:hAnsi="宋体" w:cs="宋体"/>
                <w:b/>
                <w:bCs/>
                <w:kern w:val="0"/>
                <w:sz w:val="15"/>
                <w:szCs w:val="15"/>
              </w:rPr>
              <w:t>标项</w:t>
            </w:r>
          </w:p>
        </w:tc>
      </w:tr>
      <w:tr>
        <w:tblPrEx>
          <w:tblCellMar>
            <w:top w:w="0" w:type="dxa"/>
            <w:left w:w="108" w:type="dxa"/>
            <w:bottom w:w="0" w:type="dxa"/>
            <w:right w:w="108" w:type="dxa"/>
          </w:tblCellMar>
        </w:tblPrEx>
        <w:trPr>
          <w:trHeight w:val="402"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b/>
                <w:bCs/>
                <w:kern w:val="0"/>
                <w:sz w:val="22"/>
                <w:szCs w:val="22"/>
              </w:rPr>
            </w:pPr>
          </w:p>
        </w:tc>
        <w:tc>
          <w:tcPr>
            <w:tcW w:w="379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b/>
                <w:bCs/>
                <w:kern w:val="0"/>
                <w:szCs w:val="21"/>
              </w:rPr>
            </w:pPr>
          </w:p>
        </w:tc>
        <w:tc>
          <w:tcPr>
            <w:tcW w:w="3488"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数量</w:t>
            </w:r>
          </w:p>
        </w:tc>
        <w:tc>
          <w:tcPr>
            <w:tcW w:w="3485"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单价（元）</w:t>
            </w:r>
          </w:p>
        </w:tc>
        <w:tc>
          <w:tcPr>
            <w:tcW w:w="246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小计</w:t>
            </w: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一级公共绿地面积（m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2</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二级公共绿地面积（m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3</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三级公共绿地面积（m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02"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4</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草花（m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02"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5</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混播草坪（m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02"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6</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行道树一级（棵）</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02"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7</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行道树二级（棵）</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8</w:t>
            </w:r>
          </w:p>
        </w:tc>
        <w:tc>
          <w:tcPr>
            <w:tcW w:w="1493" w:type="dxa"/>
            <w:vMerge w:val="restart"/>
            <w:tcBorders>
              <w:top w:val="nil"/>
              <w:left w:val="single" w:color="000000" w:sz="4" w:space="0"/>
              <w:bottom w:val="single" w:color="000000" w:sz="4" w:space="0"/>
              <w:right w:val="nil"/>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古树名木</w:t>
            </w:r>
          </w:p>
        </w:tc>
        <w:tc>
          <w:tcPr>
            <w:tcW w:w="2304"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16"/>
                <w:szCs w:val="16"/>
              </w:rPr>
            </w:pPr>
            <w:r>
              <w:rPr>
                <w:rFonts w:hint="eastAsia"/>
                <w:b/>
                <w:bCs/>
                <w:sz w:val="16"/>
                <w:szCs w:val="16"/>
              </w:rPr>
              <w:t>100年至300年</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619"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9</w:t>
            </w:r>
          </w:p>
        </w:tc>
        <w:tc>
          <w:tcPr>
            <w:tcW w:w="1493" w:type="dxa"/>
            <w:vMerge w:val="continue"/>
            <w:tcBorders>
              <w:top w:val="nil"/>
              <w:left w:val="single" w:color="000000" w:sz="4" w:space="0"/>
              <w:bottom w:val="single" w:color="000000" w:sz="4" w:space="0"/>
              <w:right w:val="nil"/>
            </w:tcBorders>
            <w:vAlign w:val="center"/>
          </w:tcPr>
          <w:p>
            <w:pPr>
              <w:widowControl/>
              <w:adjustRightInd/>
              <w:jc w:val="left"/>
              <w:rPr>
                <w:rFonts w:ascii="宋体" w:hAnsi="宋体" w:cs="宋体"/>
                <w:b/>
                <w:bCs/>
                <w:kern w:val="0"/>
                <w:sz w:val="15"/>
                <w:szCs w:val="15"/>
              </w:rPr>
            </w:pPr>
          </w:p>
        </w:tc>
        <w:tc>
          <w:tcPr>
            <w:tcW w:w="2304"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16"/>
                <w:szCs w:val="16"/>
              </w:rPr>
            </w:pPr>
            <w:r>
              <w:rPr>
                <w:rFonts w:hint="eastAsia"/>
                <w:b/>
                <w:bCs/>
                <w:sz w:val="16"/>
                <w:szCs w:val="16"/>
              </w:rPr>
              <w:t>300年-500年</w:t>
            </w:r>
          </w:p>
        </w:tc>
        <w:tc>
          <w:tcPr>
            <w:tcW w:w="348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10</w:t>
            </w:r>
          </w:p>
        </w:tc>
        <w:tc>
          <w:tcPr>
            <w:tcW w:w="1493" w:type="dxa"/>
            <w:vMerge w:val="continue"/>
            <w:tcBorders>
              <w:top w:val="nil"/>
              <w:left w:val="single" w:color="000000" w:sz="4" w:space="0"/>
              <w:bottom w:val="single" w:color="000000" w:sz="4" w:space="0"/>
              <w:right w:val="nil"/>
            </w:tcBorders>
            <w:vAlign w:val="center"/>
          </w:tcPr>
          <w:p>
            <w:pPr>
              <w:widowControl/>
              <w:adjustRightInd/>
              <w:jc w:val="left"/>
              <w:rPr>
                <w:rFonts w:ascii="宋体" w:hAnsi="宋体" w:cs="宋体"/>
                <w:b/>
                <w:bCs/>
                <w:kern w:val="0"/>
                <w:sz w:val="15"/>
                <w:szCs w:val="15"/>
              </w:rPr>
            </w:pPr>
          </w:p>
        </w:tc>
        <w:tc>
          <w:tcPr>
            <w:tcW w:w="2304" w:type="dxa"/>
            <w:tcBorders>
              <w:top w:val="nil"/>
              <w:left w:val="single" w:color="auto" w:sz="4" w:space="0"/>
              <w:bottom w:val="single" w:color="000000" w:sz="4" w:space="0"/>
              <w:right w:val="single" w:color="auto" w:sz="4" w:space="0"/>
            </w:tcBorders>
            <w:shd w:val="clear" w:color="auto" w:fill="auto"/>
            <w:vAlign w:val="center"/>
          </w:tcPr>
          <w:p>
            <w:pPr>
              <w:rPr>
                <w:rFonts w:ascii="宋体" w:hAnsi="宋体" w:cs="宋体"/>
                <w:b/>
                <w:bCs/>
                <w:sz w:val="16"/>
                <w:szCs w:val="16"/>
              </w:rPr>
            </w:pPr>
            <w:r>
              <w:rPr>
                <w:rFonts w:hint="eastAsia"/>
                <w:b/>
                <w:bCs/>
                <w:sz w:val="16"/>
                <w:szCs w:val="16"/>
              </w:rPr>
              <w:t>500年以上</w:t>
            </w:r>
          </w:p>
        </w:tc>
        <w:tc>
          <w:tcPr>
            <w:tcW w:w="3488"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p>
        </w:tc>
        <w:tc>
          <w:tcPr>
            <w:tcW w:w="3485" w:type="dxa"/>
            <w:tcBorders>
              <w:top w:val="nil"/>
              <w:left w:val="nil"/>
              <w:bottom w:val="single" w:color="000000" w:sz="4" w:space="0"/>
              <w:right w:val="single" w:color="auto" w:sz="4" w:space="0"/>
            </w:tcBorders>
            <w:shd w:val="clear" w:color="auto" w:fill="auto"/>
            <w:noWrap/>
            <w:vAlign w:val="center"/>
          </w:tcPr>
          <w:p>
            <w:pPr>
              <w:jc w:val="center"/>
              <w:rPr>
                <w:rFonts w:ascii="宋体" w:hAnsi="宋体" w:cs="宋体"/>
                <w:sz w:val="15"/>
                <w:szCs w:val="15"/>
              </w:rPr>
            </w:pPr>
          </w:p>
        </w:tc>
        <w:tc>
          <w:tcPr>
            <w:tcW w:w="2462"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36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11</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开放式小区（m</w:t>
            </w:r>
            <w:r>
              <w:rPr>
                <w:rFonts w:hint="eastAsia" w:ascii="宋体" w:hAnsi="宋体" w:cs="宋体"/>
                <w:b/>
                <w:bCs/>
                <w:kern w:val="0"/>
                <w:sz w:val="15"/>
                <w:szCs w:val="15"/>
                <w:vertAlign w:val="superscript"/>
              </w:rPr>
              <w:t>2</w:t>
            </w:r>
            <w:r>
              <w:rPr>
                <w:rFonts w:hint="eastAsia" w:ascii="宋体" w:hAnsi="宋体" w:cs="宋体"/>
                <w:b/>
                <w:bCs/>
                <w:kern w:val="0"/>
                <w:sz w:val="15"/>
                <w:szCs w:val="15"/>
              </w:rPr>
              <w:t>）</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99"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12</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5"/>
                <w:szCs w:val="15"/>
              </w:rPr>
            </w:pPr>
            <w:r>
              <w:rPr>
                <w:rFonts w:hint="eastAsia" w:ascii="宋体" w:hAnsi="宋体" w:cs="宋体"/>
                <w:b/>
                <w:bCs/>
                <w:kern w:val="0"/>
                <w:sz w:val="15"/>
                <w:szCs w:val="15"/>
              </w:rPr>
              <w:t>绿化保险（年）</w:t>
            </w:r>
          </w:p>
        </w:tc>
        <w:tc>
          <w:tcPr>
            <w:tcW w:w="348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642"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13</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西山球场保洁（项）</w:t>
            </w:r>
          </w:p>
        </w:tc>
        <w:tc>
          <w:tcPr>
            <w:tcW w:w="3488"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p>
        </w:tc>
        <w:tc>
          <w:tcPr>
            <w:tcW w:w="348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p>
        </w:tc>
        <w:tc>
          <w:tcPr>
            <w:tcW w:w="246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8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14</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须江公园管理（含环卫保洁）（项）</w:t>
            </w:r>
          </w:p>
        </w:tc>
        <w:tc>
          <w:tcPr>
            <w:tcW w:w="3488"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nil"/>
              <w:left w:val="nil"/>
              <w:bottom w:val="single" w:color="auto"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42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15</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城区公园广场巡逻检查（项）</w:t>
            </w:r>
          </w:p>
        </w:tc>
        <w:tc>
          <w:tcPr>
            <w:tcW w:w="3488"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3485"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c>
          <w:tcPr>
            <w:tcW w:w="2462" w:type="dxa"/>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r>
        <w:tblPrEx>
          <w:tblCellMar>
            <w:top w:w="0" w:type="dxa"/>
            <w:left w:w="108" w:type="dxa"/>
            <w:bottom w:w="0" w:type="dxa"/>
            <w:right w:w="108" w:type="dxa"/>
          </w:tblCellMar>
        </w:tblPrEx>
        <w:trPr>
          <w:trHeight w:val="319"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16</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微提升改造（项）</w:t>
            </w:r>
          </w:p>
        </w:tc>
        <w:tc>
          <w:tcPr>
            <w:tcW w:w="3488"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p>
        </w:tc>
        <w:tc>
          <w:tcPr>
            <w:tcW w:w="3485"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p>
        </w:tc>
        <w:tc>
          <w:tcPr>
            <w:tcW w:w="2462" w:type="dxa"/>
            <w:tcBorders>
              <w:top w:val="nil"/>
              <w:left w:val="nil"/>
              <w:bottom w:val="single" w:color="000000" w:sz="4" w:space="0"/>
              <w:right w:val="single" w:color="000000" w:sz="4" w:space="0"/>
            </w:tcBorders>
            <w:shd w:val="clear" w:color="auto" w:fill="auto"/>
            <w:vAlign w:val="center"/>
          </w:tcPr>
          <w:p>
            <w:pPr>
              <w:widowControl/>
              <w:adjustRightInd/>
              <w:jc w:val="center"/>
              <w:rPr>
                <w:rFonts w:ascii="宋体" w:hAnsi="宋体" w:cs="宋体"/>
                <w:kern w:val="0"/>
                <w:sz w:val="15"/>
                <w:szCs w:val="15"/>
              </w:rPr>
            </w:pPr>
          </w:p>
        </w:tc>
      </w:tr>
      <w:tr>
        <w:tblPrEx>
          <w:tblCellMar>
            <w:top w:w="0" w:type="dxa"/>
            <w:left w:w="108" w:type="dxa"/>
            <w:bottom w:w="0" w:type="dxa"/>
            <w:right w:w="108" w:type="dxa"/>
          </w:tblCellMar>
        </w:tblPrEx>
        <w:trPr>
          <w:trHeight w:val="420" w:hRule="atLeast"/>
          <w:jc w:val="center"/>
        </w:trPr>
        <w:tc>
          <w:tcPr>
            <w:tcW w:w="8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宋体" w:hAnsi="宋体" w:cs="宋体"/>
                <w:kern w:val="0"/>
                <w:sz w:val="15"/>
                <w:szCs w:val="15"/>
              </w:rPr>
            </w:pPr>
            <w:r>
              <w:rPr>
                <w:rFonts w:hint="eastAsia" w:ascii="宋体" w:hAnsi="宋体" w:cs="宋体"/>
                <w:kern w:val="0"/>
                <w:sz w:val="15"/>
                <w:szCs w:val="15"/>
              </w:rPr>
              <w:t>17</w:t>
            </w:r>
          </w:p>
        </w:tc>
        <w:tc>
          <w:tcPr>
            <w:tcW w:w="3797" w:type="dxa"/>
            <w:gridSpan w:val="2"/>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宋体" w:hAnsi="宋体" w:cs="宋体"/>
                <w:b/>
                <w:bCs/>
                <w:kern w:val="0"/>
                <w:sz w:val="16"/>
                <w:szCs w:val="16"/>
              </w:rPr>
            </w:pPr>
            <w:r>
              <w:rPr>
                <w:rFonts w:hint="eastAsia" w:ascii="宋体" w:hAnsi="宋体" w:cs="宋体"/>
                <w:b/>
                <w:bCs/>
                <w:kern w:val="0"/>
                <w:sz w:val="16"/>
                <w:szCs w:val="16"/>
              </w:rPr>
              <w:t>养护费（元）</w:t>
            </w:r>
          </w:p>
        </w:tc>
        <w:tc>
          <w:tcPr>
            <w:tcW w:w="9435"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5"/>
                <w:szCs w:val="15"/>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spacing w:line="360" w:lineRule="auto"/>
        <w:ind w:firstLine="480" w:firstLineChars="200"/>
        <w:jc w:val="left"/>
        <w:rPr>
          <w:rFonts w:ascii="宋体" w:hAnsi="宋体" w:cs="宋体"/>
          <w:b/>
          <w:bCs/>
          <w:kern w:val="0"/>
          <w:sz w:val="36"/>
          <w:szCs w:val="36"/>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r>
        <w:rPr>
          <w:rFonts w:ascii="宋体" w:hAnsi="宋体" w:cs="宋体"/>
          <w:b/>
          <w:bCs/>
          <w:kern w:val="0"/>
          <w:sz w:val="36"/>
          <w:szCs w:val="36"/>
        </w:rPr>
        <w:br w:type="page"/>
      </w:r>
    </w:p>
    <w:p>
      <w:pPr>
        <w:snapToGrid w:val="0"/>
        <w:spacing w:line="360" w:lineRule="auto"/>
        <w:ind w:left="480"/>
        <w:jc w:val="center"/>
        <w:rPr>
          <w:rFonts w:ascii="仿宋" w:hAnsi="仿宋" w:eastAsia="仿宋" w:cs="仿宋_GB2312"/>
          <w:b/>
          <w:kern w:val="0"/>
          <w:sz w:val="24"/>
        </w:rPr>
      </w:pPr>
      <w:r>
        <w:rPr>
          <w:rFonts w:hint="eastAsia" w:ascii="宋体" w:hAnsi="宋体" w:cs="宋体"/>
          <w:b/>
          <w:bCs/>
          <w:kern w:val="0"/>
          <w:sz w:val="36"/>
          <w:szCs w:val="36"/>
        </w:rPr>
        <w:t>三、定点人员报价表（如标项无相关内容则无须提供）</w:t>
      </w:r>
    </w:p>
    <w:tbl>
      <w:tblPr>
        <w:tblStyle w:val="62"/>
        <w:tblW w:w="15694" w:type="dxa"/>
        <w:jc w:val="center"/>
        <w:tblLayout w:type="autofit"/>
        <w:tblCellMar>
          <w:top w:w="0" w:type="dxa"/>
          <w:left w:w="108" w:type="dxa"/>
          <w:bottom w:w="0" w:type="dxa"/>
          <w:right w:w="108" w:type="dxa"/>
        </w:tblCellMar>
      </w:tblPr>
      <w:tblGrid>
        <w:gridCol w:w="1294"/>
        <w:gridCol w:w="660"/>
        <w:gridCol w:w="820"/>
        <w:gridCol w:w="1000"/>
        <w:gridCol w:w="940"/>
        <w:gridCol w:w="980"/>
        <w:gridCol w:w="800"/>
        <w:gridCol w:w="1060"/>
        <w:gridCol w:w="940"/>
        <w:gridCol w:w="980"/>
        <w:gridCol w:w="880"/>
        <w:gridCol w:w="1040"/>
        <w:gridCol w:w="1080"/>
        <w:gridCol w:w="1080"/>
        <w:gridCol w:w="1060"/>
        <w:gridCol w:w="1080"/>
      </w:tblGrid>
      <w:tr>
        <w:tblPrEx>
          <w:tblCellMar>
            <w:top w:w="0" w:type="dxa"/>
            <w:left w:w="108" w:type="dxa"/>
            <w:bottom w:w="0" w:type="dxa"/>
            <w:right w:w="108" w:type="dxa"/>
          </w:tblCellMar>
        </w:tblPrEx>
        <w:trPr>
          <w:trHeight w:val="480" w:hRule="atLeast"/>
          <w:jc w:val="center"/>
        </w:trPr>
        <w:tc>
          <w:tcPr>
            <w:tcW w:w="1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人员所在位置</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人员</w:t>
            </w: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▲工具费</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▲年工资</w:t>
            </w:r>
          </w:p>
        </w:tc>
        <w:tc>
          <w:tcPr>
            <w:tcW w:w="18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▲福利</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▲高温补贴(4个月</w:t>
            </w: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▲防暑用品</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ascii="宋体" w:hAnsi="宋体" w:cs="宋体"/>
                <w:b/>
                <w:bCs/>
                <w:kern w:val="0"/>
                <w:sz w:val="22"/>
                <w:szCs w:val="22"/>
              </w:rPr>
            </w:pPr>
            <w:r>
              <w:rPr>
                <w:rFonts w:hint="eastAsia" w:ascii="宋体" w:hAnsi="宋体" w:cs="宋体"/>
                <w:b/>
                <w:bCs/>
                <w:kern w:val="0"/>
                <w:sz w:val="22"/>
                <w:szCs w:val="22"/>
              </w:rPr>
              <w:t>▲劳保费用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合计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管理费</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税金</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总计</w:t>
            </w:r>
          </w:p>
        </w:tc>
      </w:tr>
      <w:tr>
        <w:tblPrEx>
          <w:tblCellMar>
            <w:top w:w="0" w:type="dxa"/>
            <w:left w:w="108" w:type="dxa"/>
            <w:bottom w:w="0" w:type="dxa"/>
            <w:right w:w="108" w:type="dxa"/>
          </w:tblCellMar>
        </w:tblPrEx>
        <w:trPr>
          <w:trHeight w:val="439" w:hRule="atLeast"/>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b/>
                <w:bCs/>
                <w:kern w:val="0"/>
                <w:sz w:val="22"/>
                <w:szCs w:val="22"/>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b/>
                <w:bCs/>
                <w:kern w:val="0"/>
                <w:sz w:val="22"/>
                <w:szCs w:val="22"/>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单价</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总金额</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（计算）</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（计算）</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r>
      <w:tr>
        <w:tblPrEx>
          <w:tblCellMar>
            <w:top w:w="0" w:type="dxa"/>
            <w:left w:w="108" w:type="dxa"/>
            <w:bottom w:w="0" w:type="dxa"/>
            <w:right w:w="108" w:type="dxa"/>
          </w:tblCellMar>
        </w:tblPrEx>
        <w:trPr>
          <w:trHeight w:val="439" w:hRule="atLeast"/>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人</w:t>
            </w: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元/人</w:t>
            </w: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b/>
                <w:bCs/>
                <w:kern w:val="0"/>
                <w:sz w:val="22"/>
                <w:szCs w:val="22"/>
              </w:rPr>
            </w:pPr>
            <w:r>
              <w:rPr>
                <w:rFonts w:hint="eastAsia" w:ascii="宋体" w:hAnsi="宋体" w:cs="宋体"/>
                <w:b/>
                <w:bCs/>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（元/年）</w:t>
            </w:r>
          </w:p>
        </w:tc>
        <w:tc>
          <w:tcPr>
            <w:tcW w:w="10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r>
      <w:tr>
        <w:tblPrEx>
          <w:tblCellMar>
            <w:top w:w="0" w:type="dxa"/>
            <w:left w:w="108" w:type="dxa"/>
            <w:bottom w:w="0" w:type="dxa"/>
            <w:right w:w="108" w:type="dxa"/>
          </w:tblCellMar>
        </w:tblPrEx>
        <w:trPr>
          <w:trHeight w:val="439"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须江公园保卫</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522"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须江公园温室</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须江阁</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1002"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须江公园保洁（含猴山保洁与饲养、须江阁卫生）</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522"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小  计</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522"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城区公园广场巡逻检查现场管理人员</w:t>
            </w:r>
          </w:p>
        </w:tc>
        <w:tc>
          <w:tcPr>
            <w:tcW w:w="6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1294" w:type="dxa"/>
            <w:tcBorders>
              <w:top w:val="nil"/>
              <w:left w:val="single" w:color="auto" w:sz="4" w:space="0"/>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r>
              <w:rPr>
                <w:rFonts w:hint="eastAsia" w:ascii="宋体" w:hAnsi="宋体" w:cs="宋体"/>
                <w:b/>
                <w:bCs/>
                <w:kern w:val="0"/>
                <w:sz w:val="20"/>
                <w:szCs w:val="20"/>
              </w:rPr>
              <w:t>小  计</w:t>
            </w:r>
          </w:p>
        </w:tc>
        <w:tc>
          <w:tcPr>
            <w:tcW w:w="66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82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100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94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98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80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106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940" w:type="dxa"/>
            <w:tcBorders>
              <w:top w:val="nil"/>
              <w:left w:val="nil"/>
              <w:bottom w:val="single" w:color="auto" w:sz="4" w:space="0"/>
              <w:right w:val="nil"/>
            </w:tcBorders>
            <w:shd w:val="clear" w:color="auto" w:fill="auto"/>
            <w:noWrap/>
            <w:vAlign w:val="center"/>
          </w:tcPr>
          <w:p>
            <w:pPr>
              <w:widowControl/>
              <w:adjustRightInd/>
              <w:jc w:val="center"/>
              <w:rPr>
                <w:rFonts w:ascii="宋体" w:hAnsi="宋体" w:cs="宋体"/>
                <w:b/>
                <w:bCs/>
                <w:kern w:val="0"/>
                <w:sz w:val="20"/>
                <w:szCs w:val="20"/>
              </w:rPr>
            </w:pP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420" w:hRule="atLeast"/>
          <w:jc w:val="center"/>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西山球场保洁</w:t>
            </w:r>
          </w:p>
        </w:tc>
        <w:tc>
          <w:tcPr>
            <w:tcW w:w="6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2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0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0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4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9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8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4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6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c>
          <w:tcPr>
            <w:tcW w:w="1080" w:type="dxa"/>
            <w:tcBorders>
              <w:top w:val="nil"/>
              <w:left w:val="nil"/>
              <w:bottom w:val="nil"/>
              <w:right w:val="single" w:color="auto" w:sz="4" w:space="0"/>
            </w:tcBorders>
            <w:shd w:val="clear" w:color="auto" w:fill="auto"/>
            <w:vAlign w:val="center"/>
          </w:tcPr>
          <w:p>
            <w:pPr>
              <w:widowControl/>
              <w:adjustRightInd/>
              <w:jc w:val="center"/>
              <w:rPr>
                <w:rFonts w:ascii="宋体" w:hAnsi="宋体" w:cs="宋体"/>
                <w:kern w:val="0"/>
                <w:sz w:val="18"/>
                <w:szCs w:val="18"/>
              </w:rPr>
            </w:pPr>
          </w:p>
        </w:tc>
      </w:tr>
      <w:tr>
        <w:tblPrEx>
          <w:tblCellMar>
            <w:top w:w="0" w:type="dxa"/>
            <w:left w:w="108" w:type="dxa"/>
            <w:bottom w:w="0" w:type="dxa"/>
            <w:right w:w="108" w:type="dxa"/>
          </w:tblCellMar>
        </w:tblPrEx>
        <w:trPr>
          <w:trHeight w:val="702" w:hRule="atLeast"/>
          <w:jc w:val="center"/>
        </w:trPr>
        <w:tc>
          <w:tcPr>
            <w:tcW w:w="129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备注：</w:t>
            </w: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1、所有员工工资均根据各自职责要求包含相应费用。</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2、中标人中标后，人员年工资、福利、工具费、劳保费、高温补贴、防暑用品发放不得低于上述测算标准。</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3、须江公园温室管理人员要求：男性，65周岁以下，身体健康，有电动三轮车相关证件。工作内容为温室日常管理、配合园林处进行单位摆花工作。</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4、须江公园保卫人员要求：其中1人为24小时值班制，3人为24小时轮班制。</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5、现场管理人员要求：年龄60周岁以下、责任心强、会用智能手机、基本掌握电脑操作。基本工作按江山市最低工资标准*1.4倍计算，其中考核奖500元/月年终发放。</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宋体" w:hAnsi="宋体" w:cs="宋体"/>
                <w:kern w:val="0"/>
                <w:sz w:val="18"/>
                <w:szCs w:val="18"/>
              </w:rPr>
            </w:pPr>
            <w:r>
              <w:rPr>
                <w:rFonts w:hint="eastAsia" w:ascii="宋体" w:hAnsi="宋体" w:cs="宋体"/>
                <w:kern w:val="0"/>
                <w:sz w:val="18"/>
                <w:szCs w:val="18"/>
              </w:rPr>
              <w:t>6、须江阁人员要求：工作内容为看守须江阁，巡逻须江阁内各类设施的安全，劝导入阁游玩人员文明游玩，同时做好日常卫生保洁。</w:t>
            </w:r>
          </w:p>
        </w:tc>
      </w:tr>
      <w:tr>
        <w:tblPrEx>
          <w:tblCellMar>
            <w:top w:w="0" w:type="dxa"/>
            <w:left w:w="108" w:type="dxa"/>
            <w:bottom w:w="0" w:type="dxa"/>
            <w:right w:w="108" w:type="dxa"/>
          </w:tblCellMar>
        </w:tblPrEx>
        <w:trPr>
          <w:trHeight w:val="420" w:hRule="atLeast"/>
          <w:jc w:val="center"/>
        </w:trPr>
        <w:tc>
          <w:tcPr>
            <w:tcW w:w="1294"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b/>
                <w:bCs/>
                <w:kern w:val="0"/>
                <w:sz w:val="18"/>
                <w:szCs w:val="18"/>
              </w:rPr>
            </w:pPr>
          </w:p>
        </w:tc>
        <w:tc>
          <w:tcPr>
            <w:tcW w:w="1440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2"/>
                <w:szCs w:val="22"/>
              </w:rPr>
            </w:pPr>
            <w:r>
              <w:rPr>
                <w:rFonts w:hint="eastAsia" w:ascii="宋体" w:hAnsi="宋体" w:cs="宋体"/>
                <w:kern w:val="0"/>
                <w:sz w:val="22"/>
                <w:szCs w:val="22"/>
              </w:rPr>
              <w:t>7、须江公园内保洁包括整个公园绿地、园路、构筑物、须江阁、猴山等的卫生保洁工作。</w:t>
            </w:r>
          </w:p>
        </w:tc>
      </w:tr>
    </w:tbl>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20" w:type="default"/>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1"/>
        <w:rPr>
          <w:rFonts w:ascii="仿宋" w:hAnsi="仿宋" w:eastAsia="仿宋"/>
          <w:sz w:val="32"/>
          <w:szCs w:val="32"/>
        </w:rPr>
      </w:pPr>
      <w:bookmarkStart w:id="979" w:name="_Toc95296692"/>
      <w:bookmarkStart w:id="980" w:name="_Toc102564063"/>
      <w:bookmarkStart w:id="981" w:name="_Toc102563925"/>
      <w:bookmarkStart w:id="982" w:name="_Toc95296019"/>
      <w:bookmarkStart w:id="983" w:name="_Toc102563995"/>
      <w:bookmarkStart w:id="984" w:name="_Toc95232897"/>
      <w:bookmarkStart w:id="985" w:name="_Toc95295257"/>
      <w:bookmarkStart w:id="986" w:name="_Toc102563718"/>
      <w:bookmarkStart w:id="987" w:name="_Toc102565211"/>
      <w:r>
        <w:rPr>
          <w:rFonts w:hint="eastAsia" w:ascii="仿宋" w:hAnsi="仿宋" w:eastAsia="仿宋" w:cs="仿宋_GB2312"/>
          <w:kern w:val="2"/>
          <w:sz w:val="32"/>
          <w:szCs w:val="32"/>
        </w:rPr>
        <w:t>三、</w:t>
      </w:r>
      <w:r>
        <w:rPr>
          <w:rFonts w:hint="eastAsia" w:ascii="仿宋" w:hAnsi="仿宋" w:eastAsia="仿宋"/>
          <w:sz w:val="32"/>
          <w:szCs w:val="32"/>
        </w:rPr>
        <w:t>中小企业声明函</w:t>
      </w:r>
      <w:bookmarkEnd w:id="979"/>
      <w:bookmarkEnd w:id="980"/>
      <w:bookmarkEnd w:id="981"/>
      <w:bookmarkEnd w:id="982"/>
      <w:bookmarkEnd w:id="983"/>
      <w:bookmarkEnd w:id="984"/>
      <w:bookmarkEnd w:id="985"/>
      <w:bookmarkEnd w:id="986"/>
      <w:bookmarkEnd w:id="987"/>
    </w:p>
    <w:p>
      <w:pPr>
        <w:widowControl/>
        <w:spacing w:line="360" w:lineRule="auto"/>
        <w:ind w:firstLine="120" w:firstLineChars="5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p>
    <w:p>
      <w:pPr>
        <w:pStyle w:val="690"/>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rPr>
      </w:pPr>
      <w:bookmarkStart w:id="988" w:name="_Toc95296020"/>
      <w:bookmarkStart w:id="989" w:name="_Toc102564064"/>
      <w:bookmarkStart w:id="990" w:name="_Toc95232898"/>
      <w:bookmarkStart w:id="991" w:name="_Toc102565212"/>
      <w:bookmarkStart w:id="992" w:name="_Toc465665161"/>
      <w:bookmarkStart w:id="993" w:name="_Toc95295258"/>
      <w:bookmarkStart w:id="994" w:name="_Toc102563719"/>
      <w:bookmarkStart w:id="995" w:name="_Toc102563926"/>
      <w:bookmarkStart w:id="996" w:name="_Toc102563996"/>
      <w:bookmarkStart w:id="997" w:name="_Toc95296693"/>
      <w:r>
        <w:rPr>
          <w:rFonts w:hint="eastAsia" w:ascii="仿宋" w:hAnsi="仿宋" w:eastAsia="仿宋"/>
        </w:rPr>
        <w:t>附件</w:t>
      </w:r>
      <w:bookmarkEnd w:id="988"/>
      <w:bookmarkEnd w:id="989"/>
      <w:bookmarkEnd w:id="990"/>
      <w:bookmarkEnd w:id="991"/>
      <w:bookmarkEnd w:id="992"/>
      <w:bookmarkEnd w:id="993"/>
      <w:bookmarkEnd w:id="994"/>
      <w:bookmarkEnd w:id="995"/>
      <w:bookmarkEnd w:id="996"/>
      <w:bookmarkEnd w:id="997"/>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998" w:name="OLE_LINK14"/>
      <w:bookmarkStart w:id="999" w:name="OLE_LINK13"/>
      <w:r>
        <w:rPr>
          <w:rFonts w:hint="eastAsia" w:ascii="仿宋" w:hAnsi="仿宋" w:eastAsia="仿宋"/>
          <w:b/>
          <w:spacing w:val="6"/>
          <w:sz w:val="32"/>
          <w:szCs w:val="32"/>
        </w:rPr>
        <w:t>残疾人福利性单位声明函</w:t>
      </w:r>
    </w:p>
    <w:bookmarkEnd w:id="998"/>
    <w:bookmarkEnd w:id="999"/>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widowControl/>
        <w:adjustRightInd/>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widowControl/>
        <w:adjustRightInd/>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你方组织的（项目名称）项目【招标编号：（采购编号）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ascii="仿宋" w:hAnsi="仿宋" w:eastAsia="仿宋"/>
          <w:sz w:val="24"/>
        </w:rPr>
        <w:t xml:space="preserve"> </w:t>
      </w:r>
      <w:r>
        <w:rPr>
          <w:rFonts w:hint="eastAsia" w:ascii="仿宋" w:hAnsi="仿宋" w:eastAsia="仿宋"/>
          <w:sz w:val="24"/>
        </w:rPr>
        <w:t>（单位名称）</w:t>
      </w:r>
      <w:r>
        <w:rPr>
          <w:rFonts w:ascii="仿宋" w:hAnsi="仿宋" w:eastAsia="仿宋"/>
          <w:sz w:val="24"/>
        </w:rPr>
        <w:t xml:space="preserve"> </w:t>
      </w:r>
      <w:r>
        <w:rPr>
          <w:rFonts w:hint="eastAsia" w:ascii="仿宋" w:hAnsi="仿宋" w:eastAsia="仿宋"/>
          <w:sz w:val="24"/>
        </w:rPr>
        <w:t>的</w:t>
      </w:r>
      <w:r>
        <w:rPr>
          <w:rFonts w:ascii="仿宋" w:hAnsi="仿宋" w:eastAsia="仿宋"/>
          <w:sz w:val="24"/>
        </w:rPr>
        <w:t xml:space="preserve"> </w:t>
      </w:r>
      <w:r>
        <w:rPr>
          <w:rFonts w:hint="eastAsia" w:ascii="仿宋" w:hAnsi="仿宋" w:eastAsia="仿宋"/>
          <w:sz w:val="24"/>
        </w:rPr>
        <w:t>（项目名称）</w:t>
      </w:r>
      <w:r>
        <w:rPr>
          <w:rFonts w:ascii="仿宋" w:hAnsi="仿宋" w:eastAsia="仿宋"/>
          <w:sz w:val="24"/>
        </w:rPr>
        <w:t xml:space="preserve">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widowControl/>
        <w:adjustRightInd/>
        <w:jc w:val="left"/>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ascii="仿宋" w:hAnsi="仿宋" w:eastAsia="仿宋"/>
          <w:sz w:val="24"/>
        </w:rPr>
        <w:t xml:space="preserve"> </w:t>
      </w:r>
      <w:r>
        <w:rPr>
          <w:rFonts w:hint="eastAsia" w:ascii="仿宋" w:hAnsi="仿宋" w:eastAsia="仿宋"/>
          <w:sz w:val="24"/>
        </w:rPr>
        <w:t>（单位名称）</w:t>
      </w:r>
      <w:r>
        <w:rPr>
          <w:rFonts w:ascii="仿宋" w:hAnsi="仿宋" w:eastAsia="仿宋"/>
          <w:sz w:val="24"/>
        </w:rPr>
        <w:t xml:space="preserve"> </w:t>
      </w:r>
      <w:r>
        <w:rPr>
          <w:rFonts w:hint="eastAsia" w:ascii="仿宋" w:hAnsi="仿宋" w:eastAsia="仿宋"/>
          <w:sz w:val="24"/>
        </w:rPr>
        <w:t>的</w:t>
      </w:r>
      <w:r>
        <w:rPr>
          <w:rFonts w:ascii="仿宋" w:hAnsi="仿宋" w:eastAsia="仿宋"/>
          <w:sz w:val="24"/>
        </w:rPr>
        <w:t xml:space="preserve"> </w:t>
      </w:r>
      <w:r>
        <w:rPr>
          <w:rFonts w:hint="eastAsia" w:ascii="仿宋" w:hAnsi="仿宋" w:eastAsia="仿宋"/>
          <w:sz w:val="24"/>
        </w:rPr>
        <w:t>（项目名称）</w:t>
      </w:r>
      <w:r>
        <w:rPr>
          <w:rFonts w:ascii="仿宋" w:hAnsi="仿宋" w:eastAsia="仿宋"/>
          <w:sz w:val="24"/>
        </w:rPr>
        <w:t xml:space="preserve"> </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cs="仿宋_GB2312"/>
          <w:sz w:val="24"/>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lang w:val="en-US"/>
        </w:rPr>
      </w:pPr>
    </w:p>
    <w:p>
      <w:pPr>
        <w:spacing w:line="360" w:lineRule="auto"/>
        <w:ind w:right="420"/>
        <w:rPr>
          <w:rFonts w:ascii="仿宋" w:hAnsi="仿宋" w:eastAsia="仿宋"/>
        </w:rPr>
      </w:pP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bookmarkStart w:id="1000" w:name="_Toc164085800"/>
    <w:bookmarkStart w:id="1001" w:name="_Toc91899912"/>
    <w:bookmarkStart w:id="1002" w:name="_Toc36110187"/>
    <w:bookmarkStart w:id="1003" w:name="_Toc131845147"/>
    <w:r>
      <w:rPr>
        <w:rFonts w:hint="eastAsia" w:ascii="仿宋_GB2312" w:eastAsia="仿宋_GB2312"/>
        <w:kern w:val="0"/>
        <w:szCs w:val="21"/>
      </w:rPr>
      <w:t xml:space="preserve"> 页</w:t>
    </w:r>
    <w:bookmarkEnd w:id="1000"/>
    <w:bookmarkEnd w:id="1001"/>
    <w:bookmarkEnd w:id="1002"/>
    <w:bookmarkEnd w:id="10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both"/>
      <w:rPr>
        <w:rFonts w:ascii="仿宋_GB2312" w:eastAsia="仿宋_GB2312"/>
        <w:b/>
        <w:i/>
        <w:u w:val="single"/>
      </w:rPr>
    </w:pP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93CF0"/>
    <w:multiLevelType w:val="singleLevel"/>
    <w:tmpl w:val="C8F93CF0"/>
    <w:lvl w:ilvl="0" w:tentative="0">
      <w:start w:val="14"/>
      <w:numFmt w:val="decimal"/>
      <w:suff w:val="nothing"/>
      <w:lvlText w:val="%1、"/>
      <w:lvlJc w:val="left"/>
    </w:lvl>
  </w:abstractNum>
  <w:abstractNum w:abstractNumId="1">
    <w:nsid w:val="00000017"/>
    <w:multiLevelType w:val="singleLevel"/>
    <w:tmpl w:val="00000017"/>
    <w:lvl w:ilvl="0" w:tentative="0">
      <w:start w:val="1"/>
      <w:numFmt w:val="chineseCounting"/>
      <w:suff w:val="nothing"/>
      <w:lvlText w:val="%1、"/>
      <w:lvlJc w:val="left"/>
      <w:rPr>
        <w:rFonts w:cs="Times New Roman"/>
      </w:rPr>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Y2YWFkNjE5ODAyODFjNmU4M2M3YzhlZTdiZDUwY2YifQ=="/>
  </w:docVars>
  <w:rsids>
    <w:rsidRoot w:val="00172A27"/>
    <w:rsid w:val="00000451"/>
    <w:rsid w:val="0000108B"/>
    <w:rsid w:val="0000133D"/>
    <w:rsid w:val="00001509"/>
    <w:rsid w:val="000032B2"/>
    <w:rsid w:val="0000363B"/>
    <w:rsid w:val="000055C0"/>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9B1"/>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022"/>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3B7"/>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21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6DE"/>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2BF"/>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0D2"/>
    <w:rsid w:val="00155862"/>
    <w:rsid w:val="00155B95"/>
    <w:rsid w:val="00156853"/>
    <w:rsid w:val="00157432"/>
    <w:rsid w:val="001600D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A89"/>
    <w:rsid w:val="001A0C98"/>
    <w:rsid w:val="001A128B"/>
    <w:rsid w:val="001A1475"/>
    <w:rsid w:val="001A1F0E"/>
    <w:rsid w:val="001A269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5C3"/>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048"/>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6D2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78"/>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201"/>
    <w:rsid w:val="00333337"/>
    <w:rsid w:val="00333A28"/>
    <w:rsid w:val="00333B6C"/>
    <w:rsid w:val="00334927"/>
    <w:rsid w:val="003360AD"/>
    <w:rsid w:val="0033631D"/>
    <w:rsid w:val="003369C7"/>
    <w:rsid w:val="003373A6"/>
    <w:rsid w:val="00337409"/>
    <w:rsid w:val="00337E18"/>
    <w:rsid w:val="00340259"/>
    <w:rsid w:val="003405AF"/>
    <w:rsid w:val="0034088F"/>
    <w:rsid w:val="00340B3E"/>
    <w:rsid w:val="003413D2"/>
    <w:rsid w:val="003413EB"/>
    <w:rsid w:val="00341525"/>
    <w:rsid w:val="0034257E"/>
    <w:rsid w:val="003429A1"/>
    <w:rsid w:val="003429FC"/>
    <w:rsid w:val="00342D82"/>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1A6"/>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ABA"/>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5E8"/>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3A"/>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7FE"/>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6FF5"/>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35"/>
    <w:rsid w:val="005D4854"/>
    <w:rsid w:val="005D5BCF"/>
    <w:rsid w:val="005D65BF"/>
    <w:rsid w:val="005D6D84"/>
    <w:rsid w:val="005D70A1"/>
    <w:rsid w:val="005D79F2"/>
    <w:rsid w:val="005D7CB1"/>
    <w:rsid w:val="005D7F57"/>
    <w:rsid w:val="005E0067"/>
    <w:rsid w:val="005E0141"/>
    <w:rsid w:val="005E022B"/>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984"/>
    <w:rsid w:val="005F5A0D"/>
    <w:rsid w:val="005F60DF"/>
    <w:rsid w:val="005F615B"/>
    <w:rsid w:val="005F61DF"/>
    <w:rsid w:val="005F680A"/>
    <w:rsid w:val="005F6880"/>
    <w:rsid w:val="005F6B3E"/>
    <w:rsid w:val="005F6ED2"/>
    <w:rsid w:val="005F745B"/>
    <w:rsid w:val="005F77F8"/>
    <w:rsid w:val="005F7CA8"/>
    <w:rsid w:val="00600DE1"/>
    <w:rsid w:val="00600F28"/>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48"/>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9F3"/>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1EA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69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EA6"/>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7C"/>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744"/>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C0"/>
    <w:rsid w:val="008465B4"/>
    <w:rsid w:val="00846D25"/>
    <w:rsid w:val="00850013"/>
    <w:rsid w:val="008500DD"/>
    <w:rsid w:val="00850A0A"/>
    <w:rsid w:val="00850A94"/>
    <w:rsid w:val="00851E96"/>
    <w:rsid w:val="00851F1C"/>
    <w:rsid w:val="00852FA5"/>
    <w:rsid w:val="00853F7D"/>
    <w:rsid w:val="0085517F"/>
    <w:rsid w:val="0085562D"/>
    <w:rsid w:val="00855A78"/>
    <w:rsid w:val="00855F16"/>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3E0"/>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9A"/>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2D4"/>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14"/>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49E"/>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43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68B"/>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67"/>
    <w:rsid w:val="00A94BF5"/>
    <w:rsid w:val="00A9686A"/>
    <w:rsid w:val="00A96B4A"/>
    <w:rsid w:val="00A975A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070"/>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3676"/>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807"/>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63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16DF"/>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52"/>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E3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24"/>
    <w:rsid w:val="00CA1AB6"/>
    <w:rsid w:val="00CA2528"/>
    <w:rsid w:val="00CA3CAB"/>
    <w:rsid w:val="00CA3FC0"/>
    <w:rsid w:val="00CA5685"/>
    <w:rsid w:val="00CA6A2E"/>
    <w:rsid w:val="00CA6B56"/>
    <w:rsid w:val="00CA6FA9"/>
    <w:rsid w:val="00CA77B7"/>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46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D72"/>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708"/>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B96"/>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80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22"/>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3BE"/>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2EF3"/>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21D"/>
    <w:rsid w:val="00FD3AE2"/>
    <w:rsid w:val="00FD3E41"/>
    <w:rsid w:val="00FD3EFA"/>
    <w:rsid w:val="00FD3FC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67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23B93"/>
    <w:rsid w:val="1F5771FF"/>
    <w:rsid w:val="1FE868A9"/>
    <w:rsid w:val="20034907"/>
    <w:rsid w:val="20173E4B"/>
    <w:rsid w:val="204E48BC"/>
    <w:rsid w:val="20696B61"/>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8F6FED"/>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D557E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7F3B48"/>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254FB"/>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99"/>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39"/>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1"/>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1"/>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TOC Heading"/>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962">
    <w:name w:val="Normal Indent1"/>
    <w:basedOn w:val="1"/>
    <w:qFormat/>
    <w:uiPriority w:val="0"/>
    <w:pPr>
      <w:adjustRightInd/>
      <w:ind w:firstLine="420" w:firstLineChars="200"/>
    </w:pPr>
    <w:rPr>
      <w:rFonts w:ascii="Calibri" w:hAnsi="Calibri"/>
      <w:szCs w:val="21"/>
    </w:rPr>
  </w:style>
  <w:style w:type="paragraph" w:customStyle="1" w:styleId="963">
    <w:name w:val="Body Text First Indent 21"/>
    <w:basedOn w:val="1"/>
    <w:qFormat/>
    <w:uiPriority w:val="0"/>
    <w:pPr>
      <w:adjustRightInd/>
      <w:spacing w:after="120"/>
      <w:ind w:left="420" w:leftChars="200" w:firstLine="420" w:firstLineChars="200"/>
    </w:pPr>
  </w:style>
  <w:style w:type="paragraph" w:customStyle="1" w:styleId="964">
    <w:name w:val="正文_4"/>
    <w:basedOn w:val="1"/>
    <w:next w:val="1"/>
    <w:qFormat/>
    <w:uiPriority w:val="0"/>
    <w:pPr>
      <w:widowControl/>
      <w:adjustRightInd/>
    </w:pPr>
    <w:rPr>
      <w:kern w:val="0"/>
      <w:szCs w:val="21"/>
    </w:rPr>
  </w:style>
  <w:style w:type="paragraph" w:customStyle="1" w:styleId="965">
    <w:name w:val="普通(网站)1"/>
    <w:basedOn w:val="1"/>
    <w:qFormat/>
    <w:uiPriority w:val="0"/>
    <w:pPr>
      <w:widowControl/>
      <w:adjustRightInd/>
      <w:spacing w:before="100" w:beforeAutospacing="1" w:after="100" w:afterAutospacing="1" w:line="360" w:lineRule="auto"/>
      <w:jc w:val="left"/>
    </w:pPr>
    <w:rPr>
      <w:rFonts w:ascii="宋体" w:hAnsi="宋体" w:eastAsia="仿宋" w:cs="宋体"/>
      <w:kern w:val="0"/>
      <w:sz w:val="24"/>
    </w:rPr>
  </w:style>
  <w:style w:type="paragraph" w:customStyle="1" w:styleId="966">
    <w:name w:val="正文_3_0"/>
    <w:next w:val="967"/>
    <w:qFormat/>
    <w:uiPriority w:val="1"/>
    <w:pPr>
      <w:jc w:val="both"/>
    </w:pPr>
    <w:rPr>
      <w:rFonts w:ascii="Times New Roman" w:hAnsi="Times New Roman" w:eastAsia="宋体" w:cs="Times New Roman"/>
      <w:sz w:val="21"/>
      <w:szCs w:val="21"/>
      <w:lang w:val="en-US" w:eastAsia="zh-CN" w:bidi="ar-SA"/>
    </w:rPr>
  </w:style>
  <w:style w:type="paragraph" w:customStyle="1" w:styleId="967">
    <w:name w:val="正文首行缩进 2_1_0"/>
    <w:basedOn w:val="968"/>
    <w:unhideWhenUsed/>
    <w:qFormat/>
    <w:uiPriority w:val="0"/>
    <w:pPr>
      <w:spacing w:after="120"/>
      <w:ind w:left="200" w:leftChars="200" w:firstLine="420" w:firstLineChars="200"/>
    </w:pPr>
    <w:rPr>
      <w:sz w:val="21"/>
      <w:szCs w:val="21"/>
    </w:rPr>
  </w:style>
  <w:style w:type="paragraph" w:customStyle="1" w:styleId="968">
    <w:name w:val="正文文本缩进_2_0"/>
    <w:basedOn w:val="969"/>
    <w:next w:val="966"/>
    <w:qFormat/>
    <w:uiPriority w:val="99"/>
    <w:pPr>
      <w:ind w:left="420"/>
    </w:pPr>
    <w:rPr>
      <w:sz w:val="20"/>
      <w:szCs w:val="20"/>
    </w:rPr>
  </w:style>
  <w:style w:type="paragraph" w:customStyle="1" w:styleId="969">
    <w:name w:val="正文_5_0"/>
    <w:basedOn w:val="970"/>
    <w:next w:val="984"/>
    <w:qFormat/>
    <w:uiPriority w:val="1"/>
  </w:style>
  <w:style w:type="paragraph" w:customStyle="1" w:styleId="970">
    <w:name w:val="正文_2_3_0"/>
    <w:next w:val="971"/>
    <w:qFormat/>
    <w:uiPriority w:val="1"/>
    <w:pPr>
      <w:jc w:val="both"/>
    </w:pPr>
    <w:rPr>
      <w:rFonts w:ascii="Times New Roman" w:hAnsi="Times New Roman" w:eastAsia="宋体" w:cs="Times New Roman"/>
      <w:sz w:val="21"/>
      <w:szCs w:val="21"/>
      <w:lang w:val="en-US" w:eastAsia="zh-CN" w:bidi="ar-SA"/>
    </w:rPr>
  </w:style>
  <w:style w:type="paragraph" w:customStyle="1" w:styleId="971">
    <w:name w:val="标题 1_2_0_0_0"/>
    <w:basedOn w:val="972"/>
    <w:next w:val="970"/>
    <w:qFormat/>
    <w:uiPriority w:val="7"/>
    <w:pPr>
      <w:keepNext/>
      <w:keepLines/>
      <w:outlineLvl w:val="0"/>
    </w:pPr>
    <w:rPr>
      <w:b/>
      <w:sz w:val="32"/>
      <w:szCs w:val="32"/>
    </w:rPr>
  </w:style>
  <w:style w:type="paragraph" w:customStyle="1" w:styleId="972">
    <w:name w:val="正文_4_1_0_0_0"/>
    <w:basedOn w:val="973"/>
    <w:next w:val="971"/>
    <w:qFormat/>
    <w:uiPriority w:val="1"/>
  </w:style>
  <w:style w:type="paragraph" w:customStyle="1" w:styleId="973">
    <w:name w:val="正文_3_0_1_0_0"/>
    <w:basedOn w:val="974"/>
    <w:qFormat/>
    <w:uiPriority w:val="1"/>
    <w:pPr>
      <w:jc w:val="both"/>
    </w:pPr>
    <w:rPr>
      <w:sz w:val="21"/>
      <w:szCs w:val="21"/>
    </w:rPr>
  </w:style>
  <w:style w:type="paragraph" w:customStyle="1" w:styleId="974">
    <w:name w:val="Normal_1_2_0"/>
    <w:next w:val="975"/>
    <w:qFormat/>
    <w:uiPriority w:val="0"/>
    <w:rPr>
      <w:rFonts w:ascii="Times New Roman" w:hAnsi="Times New Roman" w:eastAsia="Times New Roman" w:cs="Times New Roman"/>
      <w:sz w:val="24"/>
      <w:szCs w:val="24"/>
      <w:lang w:val="en-US" w:eastAsia="zh-CN" w:bidi="ar-SA"/>
    </w:rPr>
  </w:style>
  <w:style w:type="paragraph" w:customStyle="1" w:styleId="975">
    <w:name w:val="正文_3_2_1_0"/>
    <w:next w:val="976"/>
    <w:qFormat/>
    <w:uiPriority w:val="1"/>
    <w:pPr>
      <w:jc w:val="both"/>
    </w:pPr>
    <w:rPr>
      <w:rFonts w:ascii="Times New Roman" w:hAnsi="Times New Roman" w:eastAsia="宋体" w:cs="Times New Roman"/>
      <w:sz w:val="21"/>
      <w:szCs w:val="21"/>
      <w:lang w:val="en-US" w:eastAsia="zh-CN" w:bidi="ar-SA"/>
    </w:rPr>
  </w:style>
  <w:style w:type="paragraph" w:customStyle="1" w:styleId="976">
    <w:name w:val="正文首行缩进 2_1_0_1_0"/>
    <w:basedOn w:val="977"/>
    <w:qFormat/>
    <w:uiPriority w:val="0"/>
    <w:pPr>
      <w:spacing w:after="120"/>
      <w:ind w:left="200" w:leftChars="200" w:firstLine="420" w:firstLineChars="200"/>
    </w:pPr>
    <w:rPr>
      <w:sz w:val="21"/>
    </w:rPr>
  </w:style>
  <w:style w:type="paragraph" w:customStyle="1" w:styleId="977">
    <w:name w:val="正文文本缩进_2_0_1_0"/>
    <w:basedOn w:val="978"/>
    <w:next w:val="975"/>
    <w:qFormat/>
    <w:uiPriority w:val="0"/>
    <w:pPr>
      <w:ind w:left="420"/>
    </w:pPr>
    <w:rPr>
      <w:sz w:val="20"/>
      <w:szCs w:val="20"/>
    </w:rPr>
  </w:style>
  <w:style w:type="paragraph" w:customStyle="1" w:styleId="978">
    <w:name w:val="正文_4_0_0_1_0"/>
    <w:basedOn w:val="979"/>
    <w:next w:val="976"/>
    <w:qFormat/>
    <w:uiPriority w:val="1"/>
  </w:style>
  <w:style w:type="paragraph" w:customStyle="1" w:styleId="979">
    <w:name w:val="正文_3_1_1_0"/>
    <w:next w:val="980"/>
    <w:qFormat/>
    <w:uiPriority w:val="1"/>
    <w:pPr>
      <w:jc w:val="both"/>
    </w:pPr>
    <w:rPr>
      <w:rFonts w:ascii="Times New Roman" w:hAnsi="Times New Roman" w:eastAsia="宋体" w:cs="Times New Roman"/>
      <w:sz w:val="21"/>
      <w:szCs w:val="21"/>
      <w:lang w:val="en-US" w:eastAsia="zh-CN" w:bidi="ar-SA"/>
    </w:rPr>
  </w:style>
  <w:style w:type="paragraph" w:customStyle="1" w:styleId="980">
    <w:name w:val="正文首行缩进 2_0_0_1_0"/>
    <w:basedOn w:val="981"/>
    <w:qFormat/>
    <w:uiPriority w:val="0"/>
    <w:pPr>
      <w:spacing w:after="120"/>
      <w:ind w:left="200" w:leftChars="200" w:firstLine="420" w:firstLineChars="200"/>
    </w:pPr>
    <w:rPr>
      <w:sz w:val="21"/>
    </w:rPr>
  </w:style>
  <w:style w:type="paragraph" w:customStyle="1" w:styleId="981">
    <w:name w:val="正文文本缩进_0_0_1_0"/>
    <w:basedOn w:val="982"/>
    <w:next w:val="983"/>
    <w:qFormat/>
    <w:uiPriority w:val="0"/>
    <w:pPr>
      <w:ind w:left="420"/>
    </w:pPr>
    <w:rPr>
      <w:sz w:val="20"/>
      <w:szCs w:val="20"/>
    </w:rPr>
  </w:style>
  <w:style w:type="paragraph" w:customStyle="1" w:styleId="982">
    <w:name w:val="正文_10_1_0"/>
    <w:next w:val="980"/>
    <w:qFormat/>
    <w:uiPriority w:val="1"/>
    <w:pPr>
      <w:jc w:val="both"/>
    </w:pPr>
    <w:rPr>
      <w:rFonts w:ascii="Times New Roman" w:hAnsi="Times New Roman" w:eastAsia="宋体" w:cs="Times New Roman"/>
      <w:sz w:val="21"/>
      <w:szCs w:val="21"/>
      <w:lang w:val="en-US" w:eastAsia="zh-CN" w:bidi="ar-SA"/>
    </w:rPr>
  </w:style>
  <w:style w:type="paragraph" w:customStyle="1" w:styleId="983">
    <w:name w:val="正文_13_1_0"/>
    <w:next w:val="980"/>
    <w:qFormat/>
    <w:uiPriority w:val="1"/>
    <w:pPr>
      <w:jc w:val="both"/>
    </w:pPr>
    <w:rPr>
      <w:rFonts w:ascii="Times New Roman" w:hAnsi="Times New Roman" w:eastAsia="宋体" w:cs="Times New Roman"/>
      <w:sz w:val="21"/>
      <w:szCs w:val="21"/>
      <w:lang w:val="en-US" w:eastAsia="zh-CN" w:bidi="ar-SA"/>
    </w:rPr>
  </w:style>
  <w:style w:type="paragraph" w:customStyle="1" w:styleId="984">
    <w:name w:val="正文首行缩进 2_2_0"/>
    <w:basedOn w:val="985"/>
    <w:unhideWhenUsed/>
    <w:qFormat/>
    <w:uiPriority w:val="99"/>
    <w:pPr>
      <w:ind w:firstLine="420" w:firstLineChars="200"/>
    </w:pPr>
  </w:style>
  <w:style w:type="paragraph" w:customStyle="1" w:styleId="985">
    <w:name w:val="正文文本缩进_3_0"/>
    <w:basedOn w:val="986"/>
    <w:next w:val="969"/>
    <w:qFormat/>
    <w:uiPriority w:val="0"/>
    <w:pPr>
      <w:ind w:left="420"/>
    </w:pPr>
    <w:rPr>
      <w:sz w:val="20"/>
      <w:szCs w:val="20"/>
    </w:rPr>
  </w:style>
  <w:style w:type="paragraph" w:customStyle="1" w:styleId="986">
    <w:name w:val="正文_8_0"/>
    <w:next w:val="984"/>
    <w:qFormat/>
    <w:uiPriority w:val="1"/>
    <w:pPr>
      <w:jc w:val="both"/>
    </w:pPr>
    <w:rPr>
      <w:rFonts w:ascii="Times New Roman" w:hAnsi="Times New Roman" w:eastAsia="宋体" w:cs="Times New Roman"/>
      <w:sz w:val="21"/>
      <w:szCs w:val="21"/>
      <w:lang w:val="en-US" w:eastAsia="zh-CN" w:bidi="ar-SA"/>
    </w:rPr>
  </w:style>
  <w:style w:type="paragraph" w:customStyle="1" w:styleId="987">
    <w:name w:val="标题 1_2"/>
    <w:basedOn w:val="988"/>
    <w:next w:val="990"/>
    <w:qFormat/>
    <w:uiPriority w:val="99"/>
    <w:pPr>
      <w:keepNext/>
      <w:keepLines/>
      <w:outlineLvl w:val="0"/>
    </w:pPr>
    <w:rPr>
      <w:b/>
      <w:sz w:val="32"/>
      <w:szCs w:val="32"/>
    </w:rPr>
  </w:style>
  <w:style w:type="paragraph" w:customStyle="1" w:styleId="988">
    <w:name w:val="正文_3"/>
    <w:next w:val="989"/>
    <w:qFormat/>
    <w:uiPriority w:val="1"/>
    <w:pPr>
      <w:jc w:val="both"/>
    </w:pPr>
    <w:rPr>
      <w:rFonts w:ascii="Times New Roman" w:hAnsi="Times New Roman" w:eastAsia="宋体" w:cs="Times New Roman"/>
      <w:sz w:val="21"/>
      <w:szCs w:val="21"/>
      <w:lang w:val="en-US" w:eastAsia="zh-CN" w:bidi="ar-SA"/>
    </w:rPr>
  </w:style>
  <w:style w:type="paragraph" w:customStyle="1" w:styleId="989">
    <w:name w:val="标题 1_1"/>
    <w:basedOn w:val="988"/>
    <w:next w:val="988"/>
    <w:qFormat/>
    <w:uiPriority w:val="7"/>
    <w:pPr>
      <w:keepNext/>
      <w:keepLines/>
      <w:outlineLvl w:val="0"/>
    </w:pPr>
    <w:rPr>
      <w:b/>
      <w:sz w:val="32"/>
      <w:szCs w:val="32"/>
    </w:rPr>
  </w:style>
  <w:style w:type="paragraph" w:customStyle="1" w:styleId="990">
    <w:name w:val="正文_2_0"/>
    <w:basedOn w:val="991"/>
    <w:next w:val="987"/>
    <w:qFormat/>
    <w:uiPriority w:val="1"/>
  </w:style>
  <w:style w:type="paragraph" w:customStyle="1" w:styleId="991">
    <w:name w:val="正文_1"/>
    <w:next w:val="992"/>
    <w:qFormat/>
    <w:uiPriority w:val="1"/>
    <w:pPr>
      <w:jc w:val="both"/>
    </w:pPr>
    <w:rPr>
      <w:rFonts w:ascii="Times New Roman" w:hAnsi="Times New Roman" w:eastAsia="宋体" w:cs="Times New Roman"/>
      <w:sz w:val="21"/>
      <w:szCs w:val="21"/>
      <w:lang w:val="en-US" w:eastAsia="zh-CN" w:bidi="ar-SA"/>
    </w:rPr>
  </w:style>
  <w:style w:type="paragraph" w:customStyle="1" w:styleId="992">
    <w:name w:val="索引 4_0"/>
    <w:basedOn w:val="991"/>
    <w:next w:val="991"/>
    <w:qFormat/>
    <w:uiPriority w:val="0"/>
    <w:pPr>
      <w:ind w:left="600" w:leftChars="600"/>
    </w:pPr>
    <w:rPr>
      <w:szCs w:val="24"/>
    </w:rPr>
  </w:style>
  <w:style w:type="character" w:customStyle="1" w:styleId="993">
    <w:name w:val="bookmark-item"/>
    <w:basedOn w:val="69"/>
    <w:uiPriority w:val="0"/>
  </w:style>
  <w:style w:type="paragraph" w:customStyle="1" w:styleId="994">
    <w:name w:val="TOC 标题2"/>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BD9A5-3DCA-41E6-945F-36A1A9B2EF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126</Pages>
  <Words>12283</Words>
  <Characters>70014</Characters>
  <Lines>583</Lines>
  <Paragraphs>164</Paragraphs>
  <TotalTime>1</TotalTime>
  <ScaleCrop>false</ScaleCrop>
  <LinksUpToDate>false</LinksUpToDate>
  <CharactersWithSpaces>82133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2022-01-13T08:58:00Z</dcterms:created>
  <dc:creator>Administrator</dc:creator>
  <cp:lastModifiedBy>Administrator</cp:lastModifiedBy>
  <cp:lastPrinted>2021-12-27T11:06:00Z</cp:lastPrinted>
  <dcterms:modified xsi:type="dcterms:W3CDTF">2024-11-29T09:19:19Z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