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overflowPunct/>
        <w:topLinePunct w:val="0"/>
        <w:bidi w:val="0"/>
        <w:spacing w:line="460" w:lineRule="exact"/>
        <w:ind w:left="0" w:leftChars="0"/>
        <w:jc w:val="center"/>
        <w:rPr>
          <w:rFonts w:hint="eastAsia" w:ascii="宋体" w:hAnsi="宋体" w:cs="宋体"/>
          <w:b/>
          <w:bCs/>
          <w:color w:val="auto"/>
          <w:sz w:val="48"/>
          <w:szCs w:val="48"/>
          <w:highlight w:val="none"/>
          <w:lang w:val="zh-CN"/>
        </w:rPr>
      </w:pPr>
    </w:p>
    <w:p>
      <w:pPr>
        <w:spacing w:line="360" w:lineRule="auto"/>
        <w:ind w:firstLine="0" w:firstLineChars="0"/>
        <w:jc w:val="center"/>
        <w:rPr>
          <w:rFonts w:hint="eastAsia" w:ascii="微软雅黑" w:hAnsi="微软雅黑"/>
          <w:color w:val="auto"/>
          <w:w w:val="90"/>
          <w:sz w:val="84"/>
          <w:szCs w:val="84"/>
          <w:highlight w:val="none"/>
        </w:rPr>
      </w:pPr>
    </w:p>
    <w:p>
      <w:pPr>
        <w:spacing w:line="360" w:lineRule="auto"/>
        <w:ind w:firstLine="0" w:firstLineChars="0"/>
        <w:jc w:val="center"/>
        <w:rPr>
          <w:rFonts w:ascii="微软雅黑" w:hAnsi="微软雅黑"/>
          <w:color w:val="auto"/>
          <w:w w:val="90"/>
          <w:sz w:val="84"/>
          <w:szCs w:val="84"/>
          <w:highlight w:val="none"/>
        </w:rPr>
      </w:pPr>
      <w:r>
        <w:rPr>
          <w:rFonts w:hint="eastAsia" w:ascii="微软雅黑" w:hAnsi="微软雅黑"/>
          <w:color w:val="auto"/>
          <w:w w:val="90"/>
          <w:sz w:val="84"/>
          <w:szCs w:val="84"/>
          <w:highlight w:val="none"/>
        </w:rPr>
        <w:t>公开招标采购文件</w:t>
      </w:r>
    </w:p>
    <w:p>
      <w:pPr>
        <w:snapToGrid w:val="0"/>
        <w:ind w:firstLine="0" w:firstLineChars="0"/>
        <w:rPr>
          <w:rFonts w:ascii="微软雅黑" w:hAnsi="微软雅黑"/>
          <w:color w:val="auto"/>
          <w:szCs w:val="24"/>
          <w:highlight w:val="none"/>
        </w:rPr>
      </w:pPr>
    </w:p>
    <w:p>
      <w:pPr>
        <w:snapToGrid w:val="0"/>
        <w:ind w:firstLine="0" w:firstLineChars="0"/>
        <w:rPr>
          <w:rFonts w:ascii="微软雅黑" w:hAnsi="微软雅黑"/>
          <w:color w:val="auto"/>
          <w:szCs w:val="24"/>
          <w:highlight w:val="none"/>
        </w:rPr>
      </w:pPr>
    </w:p>
    <w:p>
      <w:pPr>
        <w:snapToGrid w:val="0"/>
        <w:ind w:firstLine="0" w:firstLineChars="0"/>
        <w:rPr>
          <w:rFonts w:ascii="微软雅黑" w:hAnsi="微软雅黑"/>
          <w:color w:val="auto"/>
          <w:szCs w:val="24"/>
          <w:highlight w:val="none"/>
        </w:rPr>
      </w:pPr>
    </w:p>
    <w:p>
      <w:pPr>
        <w:snapToGrid w:val="0"/>
        <w:spacing w:line="520" w:lineRule="exact"/>
        <w:ind w:firstLine="0" w:firstLineChars="0"/>
        <w:rPr>
          <w:rFonts w:ascii="微软雅黑" w:hAnsi="微软雅黑"/>
          <w:bCs/>
          <w:color w:val="auto"/>
          <w:sz w:val="32"/>
          <w:szCs w:val="32"/>
          <w:highlight w:val="none"/>
          <w:lang w:val="zh-CN"/>
        </w:rPr>
      </w:pPr>
    </w:p>
    <w:p>
      <w:pPr>
        <w:snapToGrid w:val="0"/>
        <w:spacing w:line="520" w:lineRule="exact"/>
        <w:ind w:firstLine="320" w:firstLineChars="100"/>
        <w:jc w:val="left"/>
        <w:rPr>
          <w:rFonts w:hint="eastAsia" w:ascii="微软雅黑" w:hAnsi="微软雅黑"/>
          <w:bCs/>
          <w:color w:val="auto"/>
          <w:sz w:val="32"/>
          <w:szCs w:val="32"/>
          <w:highlight w:val="none"/>
          <w:u w:val="single"/>
          <w:lang w:val="zh-CN"/>
        </w:rPr>
      </w:pPr>
      <w:r>
        <w:rPr>
          <w:rFonts w:hint="eastAsia" w:ascii="微软雅黑" w:hAnsi="微软雅黑"/>
          <w:bCs/>
          <w:color w:val="auto"/>
          <w:sz w:val="32"/>
          <w:szCs w:val="32"/>
          <w:highlight w:val="none"/>
          <w:lang w:val="zh-CN"/>
        </w:rPr>
        <w:t>项目编号：</w:t>
      </w:r>
      <w:r>
        <w:rPr>
          <w:rFonts w:hint="eastAsia" w:ascii="微软雅黑" w:hAnsi="微软雅黑"/>
          <w:bCs/>
          <w:color w:val="auto"/>
          <w:sz w:val="32"/>
          <w:szCs w:val="32"/>
          <w:highlight w:val="none"/>
          <w:u w:val="single"/>
          <w:lang w:val="zh-CN"/>
        </w:rPr>
        <w:t>QZCHZFCG2025-005</w:t>
      </w:r>
    </w:p>
    <w:p>
      <w:pPr>
        <w:snapToGrid w:val="0"/>
        <w:spacing w:line="520" w:lineRule="exact"/>
        <w:ind w:firstLine="420" w:firstLineChars="0"/>
        <w:jc w:val="left"/>
        <w:rPr>
          <w:rFonts w:hint="eastAsia" w:ascii="微软雅黑" w:hAnsi="微软雅黑"/>
          <w:bCs/>
          <w:color w:val="auto"/>
          <w:sz w:val="32"/>
          <w:szCs w:val="32"/>
          <w:highlight w:val="none"/>
          <w:lang w:val="zh-CN"/>
        </w:rPr>
      </w:pPr>
    </w:p>
    <w:p>
      <w:pPr>
        <w:snapToGrid w:val="0"/>
        <w:spacing w:line="520" w:lineRule="exact"/>
        <w:ind w:firstLine="320" w:firstLineChars="100"/>
        <w:jc w:val="left"/>
        <w:rPr>
          <w:rFonts w:ascii="微软雅黑" w:hAnsi="微软雅黑"/>
          <w:color w:val="auto"/>
          <w:szCs w:val="24"/>
          <w:highlight w:val="none"/>
          <w:lang w:val="zh-CN"/>
        </w:rPr>
      </w:pPr>
      <w:r>
        <w:rPr>
          <w:rFonts w:hint="eastAsia" w:ascii="微软雅黑" w:hAnsi="微软雅黑"/>
          <w:bCs/>
          <w:color w:val="auto"/>
          <w:sz w:val="32"/>
          <w:szCs w:val="32"/>
          <w:highlight w:val="none"/>
          <w:lang w:val="zh-CN"/>
        </w:rPr>
        <w:t>项目名称：</w:t>
      </w:r>
      <w:r>
        <w:rPr>
          <w:rFonts w:hint="eastAsia" w:ascii="微软雅黑" w:hAnsi="微软雅黑"/>
          <w:bCs/>
          <w:color w:val="auto"/>
          <w:sz w:val="32"/>
          <w:szCs w:val="32"/>
          <w:highlight w:val="none"/>
          <w:u w:val="single"/>
          <w:lang w:val="zh-CN"/>
        </w:rPr>
        <w:t>龙游县重度残疾人康养一体化康复设备采购项目（重招）</w:t>
      </w:r>
    </w:p>
    <w:p>
      <w:pPr>
        <w:snapToGrid w:val="0"/>
        <w:spacing w:line="520" w:lineRule="exact"/>
        <w:rPr>
          <w:rFonts w:hint="eastAsia" w:ascii="微软雅黑" w:hAnsi="微软雅黑"/>
          <w:bCs/>
          <w:color w:val="auto"/>
          <w:sz w:val="32"/>
          <w:szCs w:val="32"/>
          <w:highlight w:val="none"/>
          <w:lang w:val="zh-CN"/>
        </w:rPr>
      </w:pPr>
    </w:p>
    <w:p>
      <w:pPr>
        <w:snapToGrid w:val="0"/>
        <w:spacing w:line="520" w:lineRule="exact"/>
        <w:ind w:firstLine="320" w:firstLineChars="100"/>
        <w:rPr>
          <w:rFonts w:ascii="微软雅黑" w:hAnsi="微软雅黑"/>
          <w:color w:val="auto"/>
          <w:szCs w:val="24"/>
          <w:highlight w:val="none"/>
          <w:lang w:val="zh-CN"/>
        </w:rPr>
      </w:pPr>
      <w:r>
        <w:rPr>
          <w:rFonts w:hint="eastAsia" w:ascii="微软雅黑" w:hAnsi="微软雅黑"/>
          <w:bCs/>
          <w:color w:val="auto"/>
          <w:sz w:val="32"/>
          <w:szCs w:val="32"/>
          <w:highlight w:val="none"/>
          <w:lang w:val="zh-CN"/>
        </w:rPr>
        <w:t>采购单位：</w:t>
      </w:r>
      <w:r>
        <w:rPr>
          <w:rFonts w:hint="eastAsia" w:ascii="微软雅黑" w:hAnsi="微软雅黑" w:cs="Times New Roman"/>
          <w:bCs/>
          <w:color w:val="auto"/>
          <w:sz w:val="32"/>
          <w:szCs w:val="32"/>
          <w:highlight w:val="none"/>
          <w:u w:val="single"/>
          <w:lang w:val="zh-CN"/>
        </w:rPr>
        <w:t>龙游县残疾人联合会</w:t>
      </w:r>
      <w:r>
        <w:rPr>
          <w:rFonts w:hint="eastAsia" w:ascii="微软雅黑" w:hAnsi="微软雅黑" w:eastAsia="宋体" w:cs="Times New Roman"/>
          <w:bCs/>
          <w:color w:val="auto"/>
          <w:sz w:val="32"/>
          <w:szCs w:val="32"/>
          <w:highlight w:val="none"/>
          <w:u w:val="single"/>
          <w:lang w:val="zh-CN"/>
        </w:rPr>
        <w:t xml:space="preserve">         </w:t>
      </w:r>
      <w:r>
        <w:rPr>
          <w:rFonts w:hint="eastAsia" w:ascii="微软雅黑" w:hAnsi="微软雅黑" w:eastAsia="宋体" w:cs="Times New Roman"/>
          <w:bCs/>
          <w:color w:val="auto"/>
          <w:sz w:val="32"/>
          <w:szCs w:val="32"/>
          <w:highlight w:val="none"/>
          <w:u w:val="single"/>
          <w:lang w:val="en-US" w:eastAsia="zh-CN"/>
        </w:rPr>
        <w:t xml:space="preserve">          </w:t>
      </w:r>
      <w:r>
        <w:rPr>
          <w:rFonts w:hint="eastAsia" w:ascii="微软雅黑" w:hAnsi="微软雅黑" w:eastAsia="宋体" w:cs="Times New Roman"/>
          <w:bCs/>
          <w:color w:val="auto"/>
          <w:sz w:val="32"/>
          <w:szCs w:val="32"/>
          <w:highlight w:val="none"/>
          <w:u w:val="single"/>
          <w:lang w:val="zh-CN"/>
        </w:rPr>
        <w:t xml:space="preserve"> （盖</w:t>
      </w:r>
      <w:r>
        <w:rPr>
          <w:rFonts w:hint="eastAsia" w:ascii="微软雅黑" w:hAnsi="微软雅黑"/>
          <w:bCs/>
          <w:color w:val="auto"/>
          <w:sz w:val="32"/>
          <w:szCs w:val="32"/>
          <w:highlight w:val="none"/>
          <w:u w:val="single"/>
        </w:rPr>
        <w:t>章）</w:t>
      </w:r>
    </w:p>
    <w:p>
      <w:pPr>
        <w:snapToGrid w:val="0"/>
        <w:spacing w:line="520" w:lineRule="exact"/>
        <w:rPr>
          <w:rFonts w:hint="eastAsia" w:ascii="微软雅黑" w:hAnsi="微软雅黑"/>
          <w:bCs/>
          <w:color w:val="auto"/>
          <w:sz w:val="32"/>
          <w:szCs w:val="32"/>
          <w:highlight w:val="none"/>
          <w:lang w:val="zh-CN"/>
        </w:rPr>
      </w:pPr>
    </w:p>
    <w:p>
      <w:pPr>
        <w:snapToGrid w:val="0"/>
        <w:spacing w:line="520" w:lineRule="exact"/>
        <w:ind w:firstLine="320" w:firstLineChars="100"/>
        <w:rPr>
          <w:rFonts w:ascii="微软雅黑" w:hAnsi="微软雅黑"/>
          <w:bCs/>
          <w:color w:val="auto"/>
          <w:sz w:val="32"/>
          <w:szCs w:val="32"/>
          <w:highlight w:val="none"/>
          <w:lang w:val="zh-CN"/>
        </w:rPr>
      </w:pPr>
      <w:r>
        <w:rPr>
          <w:rFonts w:hint="eastAsia" w:ascii="微软雅黑" w:hAnsi="微软雅黑"/>
          <w:bCs/>
          <w:color w:val="auto"/>
          <w:sz w:val="32"/>
          <w:szCs w:val="32"/>
          <w:highlight w:val="none"/>
          <w:lang w:val="zh-CN"/>
        </w:rPr>
        <w:t>代理机构：</w:t>
      </w:r>
      <w:r>
        <w:rPr>
          <w:rFonts w:hint="eastAsia" w:ascii="微软雅黑" w:hAnsi="微软雅黑"/>
          <w:bCs/>
          <w:color w:val="auto"/>
          <w:sz w:val="32"/>
          <w:szCs w:val="32"/>
          <w:highlight w:val="none"/>
          <w:u w:val="single"/>
          <w:lang w:val="zh-CN"/>
        </w:rPr>
        <w:t>衢州创禾招标代理有限公司</w:t>
      </w:r>
      <w:r>
        <w:rPr>
          <w:rFonts w:hint="eastAsia" w:ascii="微软雅黑" w:hAnsi="微软雅黑"/>
          <w:bCs/>
          <w:color w:val="auto"/>
          <w:sz w:val="32"/>
          <w:szCs w:val="32"/>
          <w:highlight w:val="none"/>
          <w:u w:val="single"/>
        </w:rPr>
        <w:t xml:space="preserve">      （盖章）</w:t>
      </w:r>
    </w:p>
    <w:p>
      <w:pPr>
        <w:snapToGrid w:val="0"/>
        <w:ind w:firstLine="0" w:firstLineChars="0"/>
        <w:rPr>
          <w:rFonts w:ascii="微软雅黑" w:hAnsi="微软雅黑"/>
          <w:color w:val="auto"/>
          <w:szCs w:val="24"/>
          <w:highlight w:val="none"/>
          <w:lang w:val="zh-CN"/>
        </w:rPr>
      </w:pPr>
    </w:p>
    <w:p>
      <w:pPr>
        <w:snapToGrid w:val="0"/>
        <w:ind w:firstLine="0" w:firstLineChars="0"/>
        <w:rPr>
          <w:rFonts w:ascii="微软雅黑" w:hAnsi="微软雅黑"/>
          <w:color w:val="auto"/>
          <w:szCs w:val="24"/>
          <w:highlight w:val="none"/>
          <w:lang w:val="zh-CN"/>
        </w:rPr>
      </w:pPr>
    </w:p>
    <w:p>
      <w:pPr>
        <w:snapToGrid w:val="0"/>
        <w:ind w:firstLine="0" w:firstLineChars="0"/>
        <w:rPr>
          <w:rFonts w:ascii="微软雅黑" w:hAnsi="微软雅黑"/>
          <w:color w:val="auto"/>
          <w:szCs w:val="24"/>
          <w:highlight w:val="none"/>
          <w:lang w:val="zh-CN"/>
        </w:rPr>
      </w:pPr>
    </w:p>
    <w:p>
      <w:pPr>
        <w:snapToGrid w:val="0"/>
        <w:ind w:firstLine="0" w:firstLineChars="0"/>
        <w:rPr>
          <w:rFonts w:ascii="微软雅黑" w:hAnsi="微软雅黑"/>
          <w:color w:val="auto"/>
          <w:szCs w:val="24"/>
          <w:highlight w:val="none"/>
          <w:lang w:val="zh-CN"/>
        </w:rPr>
      </w:pPr>
    </w:p>
    <w:p>
      <w:pPr>
        <w:snapToGrid w:val="0"/>
        <w:spacing w:line="240" w:lineRule="auto"/>
        <w:ind w:firstLine="0" w:firstLineChars="0"/>
        <w:jc w:val="center"/>
        <w:rPr>
          <w:rFonts w:ascii="微软雅黑" w:hAnsi="微软雅黑"/>
          <w:color w:val="auto"/>
          <w:sz w:val="32"/>
          <w:szCs w:val="32"/>
          <w:highlight w:val="none"/>
          <w:lang w:val="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080" w:bottom="1440" w:left="1080" w:header="851" w:footer="850" w:gutter="0"/>
          <w:pgBorders>
            <w:top w:val="none" w:sz="0" w:space="0"/>
            <w:left w:val="none" w:sz="0" w:space="0"/>
            <w:bottom w:val="none" w:sz="0" w:space="0"/>
            <w:right w:val="none" w:sz="0" w:space="0"/>
          </w:pgBorders>
          <w:pgNumType w:fmt="decimal"/>
          <w:cols w:space="720" w:num="1"/>
          <w:docGrid w:linePitch="312" w:charSpace="0"/>
        </w:sectPr>
      </w:pPr>
      <w:r>
        <w:rPr>
          <w:rFonts w:hint="eastAsia" w:ascii="微软雅黑" w:hAnsi="微软雅黑"/>
          <w:color w:val="auto"/>
          <w:sz w:val="32"/>
          <w:szCs w:val="32"/>
          <w:highlight w:val="none"/>
          <w:lang w:val="zh-CN"/>
        </w:rPr>
        <w:t>二〇二</w:t>
      </w:r>
      <w:r>
        <w:rPr>
          <w:rFonts w:hint="eastAsia" w:ascii="微软雅黑" w:hAnsi="微软雅黑"/>
          <w:color w:val="auto"/>
          <w:sz w:val="32"/>
          <w:szCs w:val="32"/>
          <w:highlight w:val="none"/>
          <w:lang w:val="en-US" w:eastAsia="zh-CN"/>
        </w:rPr>
        <w:t>五</w:t>
      </w:r>
      <w:r>
        <w:rPr>
          <w:rFonts w:hint="eastAsia" w:ascii="微软雅黑" w:hAnsi="微软雅黑"/>
          <w:color w:val="auto"/>
          <w:sz w:val="32"/>
          <w:szCs w:val="32"/>
          <w:highlight w:val="none"/>
          <w:lang w:val="zh-CN"/>
        </w:rPr>
        <w:t>年</w:t>
      </w:r>
      <w:r>
        <w:rPr>
          <w:rFonts w:hint="eastAsia" w:ascii="微软雅黑" w:hAnsi="微软雅黑"/>
          <w:color w:val="auto"/>
          <w:sz w:val="32"/>
          <w:szCs w:val="32"/>
          <w:highlight w:val="none"/>
          <w:lang w:val="en-US" w:eastAsia="zh-CN"/>
        </w:rPr>
        <w:t>三</w:t>
      </w:r>
      <w:r>
        <w:rPr>
          <w:rFonts w:hint="eastAsia" w:ascii="微软雅黑" w:hAnsi="微软雅黑"/>
          <w:color w:val="auto"/>
          <w:sz w:val="32"/>
          <w:szCs w:val="32"/>
          <w:highlight w:val="none"/>
          <w:lang w:val="zh-CN"/>
        </w:rPr>
        <w:t>月</w:t>
      </w:r>
    </w:p>
    <w:p>
      <w:pPr>
        <w:pageBreakBefore w:val="0"/>
        <w:kinsoku/>
        <w:overflowPunct/>
        <w:topLinePunct w:val="0"/>
        <w:bidi w:val="0"/>
        <w:ind w:left="0" w:leftChars="0"/>
        <w:rPr>
          <w:rFonts w:hint="eastAsia"/>
          <w:color w:val="auto"/>
          <w:highlight w:val="none"/>
          <w:lang w:val="en-US" w:eastAsia="zh-CN"/>
        </w:rPr>
      </w:pPr>
    </w:p>
    <w:p>
      <w:pPr>
        <w:pageBreakBefore w:val="0"/>
        <w:kinsoku/>
        <w:overflowPunct/>
        <w:topLinePunct w:val="0"/>
        <w:bidi w:val="0"/>
        <w:spacing w:before="0" w:beforeLines="0" w:after="0" w:afterLines="0" w:line="240" w:lineRule="auto"/>
        <w:ind w:left="0" w:leftChars="0" w:right="0" w:rightChars="0" w:firstLine="0" w:firstLineChars="0"/>
        <w:jc w:val="center"/>
        <w:rPr>
          <w:color w:val="auto"/>
          <w:sz w:val="30"/>
          <w:szCs w:val="30"/>
          <w:highlight w:val="none"/>
        </w:rPr>
      </w:pPr>
      <w:r>
        <w:rPr>
          <w:rFonts w:ascii="宋体" w:hAnsi="宋体" w:eastAsia="宋体"/>
          <w:color w:val="auto"/>
          <w:sz w:val="30"/>
          <w:szCs w:val="30"/>
          <w:highlight w:val="none"/>
        </w:rPr>
        <w:t>目录</w:t>
      </w:r>
    </w:p>
    <w:p>
      <w:pPr>
        <w:pStyle w:val="19"/>
        <w:pageBreakBefore w:val="0"/>
        <w:tabs>
          <w:tab w:val="right" w:leader="dot" w:pos="8462"/>
        </w:tabs>
        <w:kinsoku/>
        <w:overflowPunct/>
        <w:topLinePunct w:val="0"/>
        <w:bidi w:val="0"/>
        <w:ind w:left="0" w:leftChars="0"/>
        <w:rPr>
          <w:color w:val="auto"/>
          <w:sz w:val="28"/>
          <w:szCs w:val="28"/>
          <w:highlight w:val="none"/>
        </w:rPr>
      </w:pPr>
    </w:p>
    <w:p>
      <w:pPr>
        <w:pStyle w:val="19"/>
        <w:pageBreakBefore w:val="0"/>
        <w:tabs>
          <w:tab w:val="right" w:leader="dot" w:pos="8462"/>
        </w:tabs>
        <w:kinsoku/>
        <w:overflowPunct/>
        <w:topLinePunct w:val="0"/>
        <w:bidi w:val="0"/>
        <w:ind w:left="0" w:leftChars="0"/>
        <w:rPr>
          <w:color w:val="auto"/>
          <w:sz w:val="28"/>
          <w:szCs w:val="28"/>
          <w:highlight w:val="none"/>
        </w:rPr>
      </w:pP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TOC \o "1-3" \h \u </w:instrText>
      </w:r>
      <w:r>
        <w:rPr>
          <w:color w:val="auto"/>
          <w:sz w:val="28"/>
          <w:szCs w:val="28"/>
          <w:highlight w:val="none"/>
        </w:rPr>
        <w:fldChar w:fldCharType="separate"/>
      </w:r>
      <w:r>
        <w:rPr>
          <w:color w:val="auto"/>
          <w:sz w:val="28"/>
          <w:szCs w:val="28"/>
          <w:highlight w:val="none"/>
        </w:rPr>
        <w:fldChar w:fldCharType="begin"/>
      </w:r>
      <w:r>
        <w:rPr>
          <w:color w:val="auto"/>
          <w:sz w:val="28"/>
          <w:szCs w:val="28"/>
          <w:highlight w:val="none"/>
        </w:rPr>
        <w:instrText xml:space="preserve"> HYPERLINK \l _Toc666 </w:instrText>
      </w:r>
      <w:r>
        <w:rPr>
          <w:color w:val="auto"/>
          <w:sz w:val="28"/>
          <w:szCs w:val="28"/>
          <w:highlight w:val="none"/>
        </w:rPr>
        <w:fldChar w:fldCharType="separate"/>
      </w:r>
      <w:r>
        <w:rPr>
          <w:rFonts w:hint="eastAsia" w:ascii="宋体" w:hAnsi="宋体" w:cs="宋体"/>
          <w:color w:val="auto"/>
          <w:sz w:val="28"/>
          <w:szCs w:val="28"/>
          <w:highlight w:val="none"/>
        </w:rPr>
        <w:t>第一章</w:t>
      </w:r>
      <w:r>
        <w:rPr>
          <w:rFonts w:hint="eastAsia" w:ascii="宋体" w:hAnsi="宋体" w:cs="宋体"/>
          <w:color w:val="auto"/>
          <w:sz w:val="28"/>
          <w:szCs w:val="28"/>
          <w:highlight w:val="none"/>
          <w:lang w:val="en-US" w:eastAsia="zh-CN"/>
        </w:rPr>
        <w:t xml:space="preserve"> 招标</w:t>
      </w:r>
      <w:r>
        <w:rPr>
          <w:rFonts w:hint="eastAsia" w:ascii="宋体" w:hAnsi="宋体" w:cs="宋体"/>
          <w:color w:val="auto"/>
          <w:sz w:val="28"/>
          <w:szCs w:val="28"/>
          <w:highlight w:val="none"/>
        </w:rPr>
        <w:t>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_Toc666 \h </w:instrText>
      </w:r>
      <w:r>
        <w:rPr>
          <w:color w:val="auto"/>
          <w:sz w:val="28"/>
          <w:szCs w:val="28"/>
          <w:highlight w:val="none"/>
        </w:rPr>
        <w:fldChar w:fldCharType="separate"/>
      </w:r>
      <w:r>
        <w:rPr>
          <w:color w:val="auto"/>
          <w:sz w:val="28"/>
          <w:szCs w:val="28"/>
          <w:highlight w:val="none"/>
        </w:rPr>
        <w:t>3</w:t>
      </w:r>
      <w:r>
        <w:rPr>
          <w:color w:val="auto"/>
          <w:sz w:val="28"/>
          <w:szCs w:val="28"/>
          <w:highlight w:val="none"/>
        </w:rPr>
        <w:fldChar w:fldCharType="end"/>
      </w:r>
      <w:r>
        <w:rPr>
          <w:color w:val="auto"/>
          <w:sz w:val="28"/>
          <w:szCs w:val="28"/>
          <w:highlight w:val="none"/>
        </w:rPr>
        <w:fldChar w:fldCharType="end"/>
      </w: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_Toc17551 </w:instrText>
      </w:r>
      <w:r>
        <w:rPr>
          <w:color w:val="auto"/>
          <w:sz w:val="28"/>
          <w:szCs w:val="28"/>
          <w:highlight w:val="none"/>
        </w:rPr>
        <w:fldChar w:fldCharType="separate"/>
      </w:r>
      <w:r>
        <w:rPr>
          <w:rFonts w:hint="eastAsia" w:ascii="宋体" w:hAnsi="宋体" w:cs="宋体"/>
          <w:color w:val="auto"/>
          <w:sz w:val="28"/>
          <w:szCs w:val="28"/>
          <w:highlight w:val="none"/>
        </w:rPr>
        <w:t>第二章</w:t>
      </w:r>
      <w:r>
        <w:rPr>
          <w:rFonts w:hint="eastAsia" w:ascii="宋体" w:hAnsi="宋体" w:cs="宋体"/>
          <w:color w:val="auto"/>
          <w:sz w:val="28"/>
          <w:szCs w:val="28"/>
          <w:highlight w:val="none"/>
          <w:lang w:val="en-US" w:eastAsia="zh-CN"/>
        </w:rPr>
        <w:t xml:space="preserve"> 投标人</w:t>
      </w:r>
      <w:r>
        <w:rPr>
          <w:rFonts w:hint="eastAsia" w:ascii="宋体" w:hAnsi="宋体" w:cs="宋体"/>
          <w:color w:val="auto"/>
          <w:sz w:val="28"/>
          <w:szCs w:val="28"/>
          <w:highlight w:val="none"/>
        </w:rPr>
        <w:t>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_Toc17551 \h </w:instrText>
      </w:r>
      <w:r>
        <w:rPr>
          <w:color w:val="auto"/>
          <w:sz w:val="28"/>
          <w:szCs w:val="28"/>
          <w:highlight w:val="none"/>
        </w:rPr>
        <w:fldChar w:fldCharType="separate"/>
      </w:r>
      <w:r>
        <w:rPr>
          <w:color w:val="auto"/>
          <w:sz w:val="28"/>
          <w:szCs w:val="28"/>
          <w:highlight w:val="none"/>
        </w:rPr>
        <w:t>7</w:t>
      </w:r>
      <w:r>
        <w:rPr>
          <w:color w:val="auto"/>
          <w:sz w:val="28"/>
          <w:szCs w:val="28"/>
          <w:highlight w:val="none"/>
        </w:rPr>
        <w:fldChar w:fldCharType="end"/>
      </w:r>
      <w:r>
        <w:rPr>
          <w:color w:val="auto"/>
          <w:sz w:val="28"/>
          <w:szCs w:val="28"/>
          <w:highlight w:val="none"/>
        </w:rPr>
        <w:fldChar w:fldCharType="end"/>
      </w: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_Toc12177 </w:instrText>
      </w:r>
      <w:r>
        <w:rPr>
          <w:color w:val="auto"/>
          <w:sz w:val="28"/>
          <w:szCs w:val="28"/>
          <w:highlight w:val="none"/>
        </w:rPr>
        <w:fldChar w:fldCharType="separate"/>
      </w:r>
      <w:r>
        <w:rPr>
          <w:rFonts w:hint="eastAsia" w:ascii="宋体" w:hAnsi="宋体" w:cs="宋体"/>
          <w:color w:val="auto"/>
          <w:sz w:val="28"/>
          <w:szCs w:val="28"/>
          <w:highlight w:val="none"/>
        </w:rPr>
        <w:t>第三章 采购内容及要求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_Toc12177 \h </w:instrText>
      </w:r>
      <w:r>
        <w:rPr>
          <w:color w:val="auto"/>
          <w:sz w:val="28"/>
          <w:szCs w:val="28"/>
          <w:highlight w:val="none"/>
        </w:rPr>
        <w:fldChar w:fldCharType="separate"/>
      </w:r>
      <w:r>
        <w:rPr>
          <w:color w:val="auto"/>
          <w:sz w:val="28"/>
          <w:szCs w:val="28"/>
          <w:highlight w:val="none"/>
        </w:rPr>
        <w:t>23</w:t>
      </w:r>
      <w:r>
        <w:rPr>
          <w:color w:val="auto"/>
          <w:sz w:val="28"/>
          <w:szCs w:val="28"/>
          <w:highlight w:val="none"/>
        </w:rPr>
        <w:fldChar w:fldCharType="end"/>
      </w:r>
      <w:r>
        <w:rPr>
          <w:color w:val="auto"/>
          <w:sz w:val="28"/>
          <w:szCs w:val="28"/>
          <w:highlight w:val="none"/>
        </w:rPr>
        <w:fldChar w:fldCharType="end"/>
      </w: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_Toc30932 </w:instrText>
      </w:r>
      <w:r>
        <w:rPr>
          <w:color w:val="auto"/>
          <w:sz w:val="28"/>
          <w:szCs w:val="28"/>
          <w:highlight w:val="none"/>
        </w:rPr>
        <w:fldChar w:fldCharType="separate"/>
      </w:r>
      <w:r>
        <w:rPr>
          <w:rFonts w:hint="eastAsia" w:ascii="宋体" w:hAnsi="宋体" w:cs="宋体"/>
          <w:color w:val="auto"/>
          <w:sz w:val="28"/>
          <w:szCs w:val="28"/>
          <w:highlight w:val="none"/>
        </w:rPr>
        <w:t>第四章</w:t>
      </w:r>
      <w:r>
        <w:rPr>
          <w:rFonts w:hint="eastAsia" w:ascii="宋体" w:hAnsi="宋体" w:cs="宋体"/>
          <w:color w:val="auto"/>
          <w:sz w:val="28"/>
          <w:szCs w:val="28"/>
          <w:highlight w:val="none"/>
          <w:lang w:val="en-US" w:eastAsia="zh-CN"/>
        </w:rPr>
        <w:t xml:space="preserve"> </w:t>
      </w:r>
      <w:r>
        <w:rPr>
          <w:rFonts w:hint="eastAsia" w:ascii="宋体" w:hAnsi="宋体" w:cs="宋体"/>
          <w:color w:val="auto"/>
          <w:sz w:val="28"/>
          <w:szCs w:val="28"/>
          <w:highlight w:val="none"/>
        </w:rPr>
        <w:t>合同的通用条款</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_Toc30932 \h </w:instrText>
      </w:r>
      <w:r>
        <w:rPr>
          <w:color w:val="auto"/>
          <w:sz w:val="28"/>
          <w:szCs w:val="28"/>
          <w:highlight w:val="none"/>
        </w:rPr>
        <w:fldChar w:fldCharType="separate"/>
      </w:r>
      <w:r>
        <w:rPr>
          <w:color w:val="auto"/>
          <w:sz w:val="28"/>
          <w:szCs w:val="28"/>
          <w:highlight w:val="none"/>
        </w:rPr>
        <w:t>23</w:t>
      </w:r>
      <w:r>
        <w:rPr>
          <w:color w:val="auto"/>
          <w:sz w:val="28"/>
          <w:szCs w:val="28"/>
          <w:highlight w:val="none"/>
        </w:rPr>
        <w:fldChar w:fldCharType="end"/>
      </w:r>
      <w:r>
        <w:rPr>
          <w:color w:val="auto"/>
          <w:sz w:val="28"/>
          <w:szCs w:val="28"/>
          <w:highlight w:val="none"/>
        </w:rPr>
        <w:fldChar w:fldCharType="end"/>
      </w: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_Toc26467 </w:instrText>
      </w:r>
      <w:r>
        <w:rPr>
          <w:color w:val="auto"/>
          <w:sz w:val="28"/>
          <w:szCs w:val="28"/>
          <w:highlight w:val="none"/>
        </w:rPr>
        <w:fldChar w:fldCharType="separate"/>
      </w:r>
      <w:r>
        <w:rPr>
          <w:rFonts w:hint="eastAsia" w:ascii="宋体" w:hAnsi="宋体" w:eastAsia="宋体" w:cs="宋体"/>
          <w:color w:val="auto"/>
          <w:kern w:val="2"/>
          <w:sz w:val="28"/>
          <w:szCs w:val="28"/>
          <w:highlight w:val="none"/>
          <w:lang w:val="en-US" w:eastAsia="zh-CN" w:bidi="ar-SA"/>
        </w:rPr>
        <w:t>第五章 投标文件格式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_Toc26467 \h </w:instrText>
      </w:r>
      <w:r>
        <w:rPr>
          <w:color w:val="auto"/>
          <w:sz w:val="28"/>
          <w:szCs w:val="28"/>
          <w:highlight w:val="none"/>
        </w:rPr>
        <w:fldChar w:fldCharType="separate"/>
      </w:r>
      <w:r>
        <w:rPr>
          <w:color w:val="auto"/>
          <w:sz w:val="28"/>
          <w:szCs w:val="28"/>
          <w:highlight w:val="none"/>
        </w:rPr>
        <w:t>59</w:t>
      </w:r>
      <w:r>
        <w:rPr>
          <w:color w:val="auto"/>
          <w:sz w:val="28"/>
          <w:szCs w:val="28"/>
          <w:highlight w:val="none"/>
        </w:rPr>
        <w:fldChar w:fldCharType="end"/>
      </w:r>
      <w:r>
        <w:rPr>
          <w:color w:val="auto"/>
          <w:sz w:val="28"/>
          <w:szCs w:val="28"/>
          <w:highlight w:val="none"/>
        </w:rPr>
        <w:fldChar w:fldCharType="end"/>
      </w:r>
    </w:p>
    <w:p>
      <w:pPr>
        <w:pStyle w:val="19"/>
        <w:pageBreakBefore w:val="0"/>
        <w:tabs>
          <w:tab w:val="right" w:leader="dot" w:pos="8462"/>
        </w:tabs>
        <w:kinsoku/>
        <w:overflowPunct/>
        <w:topLinePunct w:val="0"/>
        <w:bidi w:val="0"/>
        <w:ind w:left="0" w:leftChars="0"/>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_Toc5310 </w:instrText>
      </w:r>
      <w:r>
        <w:rPr>
          <w:color w:val="auto"/>
          <w:sz w:val="28"/>
          <w:szCs w:val="28"/>
          <w:highlight w:val="none"/>
        </w:rPr>
        <w:fldChar w:fldCharType="separate"/>
      </w:r>
      <w:r>
        <w:rPr>
          <w:rFonts w:hint="eastAsia" w:ascii="宋体" w:hAnsi="宋体" w:cs="宋体"/>
          <w:color w:val="auto"/>
          <w:sz w:val="28"/>
          <w:szCs w:val="28"/>
          <w:highlight w:val="none"/>
        </w:rPr>
        <w:t xml:space="preserve">第六章 </w:t>
      </w:r>
      <w:r>
        <w:rPr>
          <w:rFonts w:hint="eastAsia" w:ascii="宋体" w:hAnsi="宋体" w:cs="宋体"/>
          <w:color w:val="auto"/>
          <w:sz w:val="28"/>
          <w:szCs w:val="28"/>
          <w:highlight w:val="none"/>
          <w:lang w:val="en-US" w:eastAsia="zh-CN"/>
        </w:rPr>
        <w:t>评审办法和评分标准</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_Toc5310 \h </w:instrText>
      </w:r>
      <w:r>
        <w:rPr>
          <w:color w:val="auto"/>
          <w:sz w:val="28"/>
          <w:szCs w:val="28"/>
          <w:highlight w:val="none"/>
        </w:rPr>
        <w:fldChar w:fldCharType="separate"/>
      </w:r>
      <w:r>
        <w:rPr>
          <w:color w:val="auto"/>
          <w:sz w:val="28"/>
          <w:szCs w:val="28"/>
          <w:highlight w:val="none"/>
        </w:rPr>
        <w:t>84</w:t>
      </w:r>
      <w:r>
        <w:rPr>
          <w:color w:val="auto"/>
          <w:sz w:val="28"/>
          <w:szCs w:val="28"/>
          <w:highlight w:val="none"/>
        </w:rPr>
        <w:fldChar w:fldCharType="end"/>
      </w:r>
      <w:r>
        <w:rPr>
          <w:color w:val="auto"/>
          <w:sz w:val="28"/>
          <w:szCs w:val="28"/>
          <w:highlight w:val="none"/>
        </w:rPr>
        <w:fldChar w:fldCharType="end"/>
      </w:r>
    </w:p>
    <w:p>
      <w:pPr>
        <w:pageBreakBefore w:val="0"/>
        <w:kinsoku/>
        <w:overflowPunct/>
        <w:topLinePunct w:val="0"/>
        <w:bidi w:val="0"/>
        <w:ind w:left="0" w:leftChars="0"/>
        <w:rPr>
          <w:color w:val="auto"/>
          <w:sz w:val="28"/>
          <w:szCs w:val="28"/>
          <w:highlight w:val="none"/>
        </w:rPr>
      </w:pPr>
      <w:r>
        <w:rPr>
          <w:color w:val="auto"/>
          <w:sz w:val="28"/>
          <w:szCs w:val="28"/>
          <w:highlight w:val="none"/>
        </w:rPr>
        <w:fldChar w:fldCharType="end"/>
      </w:r>
    </w:p>
    <w:p>
      <w:pPr>
        <w:pageBreakBefore w:val="0"/>
        <w:tabs>
          <w:tab w:val="left" w:pos="1035"/>
        </w:tabs>
        <w:kinsoku/>
        <w:overflowPunct/>
        <w:topLinePunct w:val="0"/>
        <w:bidi w:val="0"/>
        <w:spacing w:line="460" w:lineRule="exact"/>
        <w:ind w:left="0" w:leftChars="0"/>
        <w:jc w:val="center"/>
        <w:outlineLvl w:val="0"/>
        <w:rPr>
          <w:rFonts w:ascii="宋体" w:hAnsi="宋体" w:cs="宋体"/>
          <w:b/>
          <w:color w:val="auto"/>
          <w:sz w:val="32"/>
          <w:szCs w:val="32"/>
          <w:highlight w:val="none"/>
        </w:rPr>
      </w:pPr>
      <w:r>
        <w:rPr>
          <w:rFonts w:hint="eastAsia"/>
          <w:color w:val="auto"/>
          <w:highlight w:val="none"/>
          <w:lang w:val="en-US" w:eastAsia="zh-CN"/>
        </w:rPr>
        <w:br w:type="page"/>
      </w:r>
      <w:bookmarkStart w:id="0" w:name="_Toc24825"/>
      <w:bookmarkStart w:id="1" w:name="_Toc666"/>
      <w:r>
        <w:rPr>
          <w:rFonts w:hint="eastAsia" w:ascii="宋体" w:hAnsi="宋体" w:cs="宋体"/>
          <w:b/>
          <w:color w:val="auto"/>
          <w:sz w:val="32"/>
          <w:szCs w:val="32"/>
          <w:highlight w:val="none"/>
        </w:rPr>
        <w:t>第一章</w:t>
      </w:r>
      <w:r>
        <w:rPr>
          <w:rFonts w:hint="eastAsia" w:ascii="宋体" w:hAnsi="宋体" w:cs="宋体"/>
          <w:b/>
          <w:color w:val="auto"/>
          <w:sz w:val="32"/>
          <w:szCs w:val="32"/>
          <w:highlight w:val="none"/>
          <w:lang w:val="en-US" w:eastAsia="zh-CN"/>
        </w:rPr>
        <w:t xml:space="preserve"> 招标</w:t>
      </w:r>
      <w:r>
        <w:rPr>
          <w:rFonts w:hint="eastAsia" w:ascii="宋体" w:hAnsi="宋体" w:cs="宋体"/>
          <w:b/>
          <w:color w:val="auto"/>
          <w:sz w:val="32"/>
          <w:szCs w:val="32"/>
          <w:highlight w:val="none"/>
        </w:rPr>
        <w:t>公告</w:t>
      </w:r>
      <w:bookmarkEnd w:id="0"/>
      <w:bookmarkEnd w:id="1"/>
    </w:p>
    <w:p>
      <w:pPr>
        <w:pageBreakBefore w:val="0"/>
        <w:kinsoku/>
        <w:overflowPunct/>
        <w:topLinePunct w:val="0"/>
        <w:bidi w:val="0"/>
        <w:adjustRightInd w:val="0"/>
        <w:snapToGrid w:val="0"/>
        <w:spacing w:line="312" w:lineRule="auto"/>
        <w:ind w:left="0" w:leftChars="0" w:firstLine="480" w:firstLineChars="200"/>
        <w:rPr>
          <w:rFonts w:ascii="宋体" w:hAnsi="宋体" w:cs="宋体"/>
          <w:color w:val="auto"/>
          <w:sz w:val="24"/>
          <w:highlight w:val="none"/>
        </w:rPr>
      </w:pPr>
    </w:p>
    <w:p>
      <w:pPr>
        <w:pageBreakBefore w:val="0"/>
        <w:pBdr>
          <w:top w:val="single" w:color="auto" w:sz="4" w:space="1"/>
          <w:left w:val="single" w:color="auto" w:sz="4" w:space="4"/>
          <w:bottom w:val="single" w:color="auto" w:sz="4" w:space="12"/>
          <w:right w:val="single" w:color="auto" w:sz="4" w:space="4"/>
        </w:pBdr>
        <w:kinsoku/>
        <w:overflowPunct/>
        <w:topLinePunct w:val="0"/>
        <w:bidi w:val="0"/>
        <w:ind w:left="0" w:leftChars="0"/>
        <w:rPr>
          <w:rFonts w:ascii="宋体" w:hAnsi="宋体"/>
          <w:color w:val="auto"/>
          <w:sz w:val="28"/>
          <w:szCs w:val="28"/>
          <w:highlight w:val="none"/>
        </w:rPr>
      </w:pPr>
      <w:r>
        <w:rPr>
          <w:rFonts w:hint="eastAsia" w:ascii="宋体" w:hAnsi="宋体"/>
          <w:color w:val="auto"/>
          <w:sz w:val="28"/>
          <w:szCs w:val="28"/>
          <w:highlight w:val="none"/>
        </w:rPr>
        <w:t>项目概况</w:t>
      </w:r>
    </w:p>
    <w:p>
      <w:pPr>
        <w:pageBreakBefore w:val="0"/>
        <w:pBdr>
          <w:top w:val="single" w:color="auto" w:sz="4" w:space="1"/>
          <w:left w:val="single" w:color="auto" w:sz="4" w:space="4"/>
          <w:bottom w:val="single" w:color="auto" w:sz="4" w:space="12"/>
          <w:right w:val="single" w:color="auto" w:sz="4" w:space="4"/>
        </w:pBdr>
        <w:kinsoku/>
        <w:overflowPunct/>
        <w:topLinePunct w:val="0"/>
        <w:bidi w:val="0"/>
        <w:ind w:left="0" w:leftChars="0" w:firstLine="560" w:firstLineChars="200"/>
        <w:rPr>
          <w:rFonts w:hint="eastAsia" w:ascii="宋体" w:hAnsi="宋体"/>
          <w:bCs/>
          <w:color w:val="auto"/>
          <w:sz w:val="28"/>
          <w:szCs w:val="28"/>
          <w:highlight w:val="none"/>
          <w:lang w:val="zh-CN"/>
        </w:rPr>
      </w:pPr>
      <w:r>
        <w:rPr>
          <w:rFonts w:hint="eastAsia" w:ascii="宋体" w:hAnsi="宋体"/>
          <w:bCs/>
          <w:color w:val="auto"/>
          <w:sz w:val="28"/>
          <w:szCs w:val="28"/>
          <w:highlight w:val="none"/>
          <w:lang w:val="zh-CN"/>
        </w:rPr>
        <w:t>龙游县重度残疾人康养一体化康复设备采购项目（重招）</w:t>
      </w:r>
      <w:r>
        <w:rPr>
          <w:rFonts w:hint="eastAsia" w:ascii="宋体" w:hAnsi="宋体"/>
          <w:bCs/>
          <w:color w:val="auto"/>
          <w:sz w:val="28"/>
          <w:szCs w:val="28"/>
          <w:highlight w:val="none"/>
        </w:rPr>
        <w:t>的潜在</w:t>
      </w:r>
      <w:r>
        <w:rPr>
          <w:rFonts w:hint="eastAsia" w:ascii="宋体" w:hAnsi="宋体"/>
          <w:bCs/>
          <w:color w:val="auto"/>
          <w:sz w:val="28"/>
          <w:szCs w:val="28"/>
          <w:highlight w:val="none"/>
          <w:lang w:val="en-US" w:eastAsia="zh-CN"/>
        </w:rPr>
        <w:t>供应商</w:t>
      </w:r>
      <w:r>
        <w:rPr>
          <w:rFonts w:hint="eastAsia" w:ascii="宋体" w:hAnsi="宋体"/>
          <w:bCs/>
          <w:color w:val="auto"/>
          <w:sz w:val="28"/>
          <w:szCs w:val="28"/>
          <w:highlight w:val="none"/>
        </w:rPr>
        <w:t>应在浙江政府采购网 (http://zfcg.czt.zj.gov.c</w:t>
      </w:r>
      <w:r>
        <w:rPr>
          <w:rFonts w:hint="eastAsia" w:ascii="宋体" w:hAnsi="宋体"/>
          <w:color w:val="auto"/>
          <w:sz w:val="28"/>
          <w:szCs w:val="28"/>
          <w:highlight w:val="none"/>
          <w:u w:val="single"/>
        </w:rPr>
        <w:t>n/</w:t>
      </w:r>
      <w:r>
        <w:rPr>
          <w:rFonts w:ascii="宋体" w:hAnsi="宋体"/>
          <w:color w:val="auto"/>
          <w:sz w:val="28"/>
          <w:szCs w:val="28"/>
          <w:highlight w:val="none"/>
          <w:u w:val="single"/>
        </w:rPr>
        <w:t>)</w:t>
      </w:r>
      <w:r>
        <w:rPr>
          <w:rFonts w:hint="eastAsia" w:ascii="宋体" w:hAnsi="宋体"/>
          <w:color w:val="auto"/>
          <w:sz w:val="28"/>
          <w:szCs w:val="28"/>
          <w:highlight w:val="none"/>
        </w:rPr>
        <w:t>下载采购文件，并于</w:t>
      </w:r>
      <w:r>
        <w:rPr>
          <w:rFonts w:hint="eastAsia" w:ascii="宋体" w:hAnsi="宋体"/>
          <w:color w:val="auto"/>
          <w:sz w:val="28"/>
          <w:szCs w:val="28"/>
          <w:highlight w:val="none"/>
          <w:lang w:val="en-US" w:eastAsia="zh-CN"/>
        </w:rPr>
        <w:t>2025</w:t>
      </w:r>
      <w:r>
        <w:rPr>
          <w:rFonts w:hint="eastAsia" w:ascii="宋体" w:hAnsi="宋体"/>
          <w:bCs/>
          <w:color w:val="auto"/>
          <w:sz w:val="28"/>
          <w:szCs w:val="28"/>
          <w:highlight w:val="none"/>
          <w:lang w:val="zh-CN"/>
        </w:rPr>
        <w:t>年</w:t>
      </w:r>
      <w:r>
        <w:rPr>
          <w:rFonts w:hint="eastAsia" w:ascii="宋体" w:hAnsi="宋体"/>
          <w:bCs/>
          <w:color w:val="auto"/>
          <w:sz w:val="28"/>
          <w:szCs w:val="28"/>
          <w:highlight w:val="none"/>
          <w:lang w:val="en-US" w:eastAsia="zh-CN"/>
        </w:rPr>
        <w:t>4</w:t>
      </w:r>
      <w:r>
        <w:rPr>
          <w:rFonts w:hint="eastAsia" w:ascii="宋体" w:hAnsi="宋体"/>
          <w:bCs/>
          <w:color w:val="auto"/>
          <w:sz w:val="28"/>
          <w:szCs w:val="28"/>
          <w:highlight w:val="none"/>
          <w:lang w:val="zh-CN"/>
        </w:rPr>
        <w:t>月</w:t>
      </w:r>
      <w:r>
        <w:rPr>
          <w:rFonts w:hint="eastAsia" w:ascii="宋体" w:hAnsi="宋体"/>
          <w:bCs/>
          <w:color w:val="auto"/>
          <w:sz w:val="28"/>
          <w:szCs w:val="28"/>
          <w:highlight w:val="none"/>
          <w:lang w:val="en-US" w:eastAsia="zh-CN"/>
        </w:rPr>
        <w:t>8</w:t>
      </w:r>
      <w:r>
        <w:rPr>
          <w:rFonts w:hint="eastAsia" w:ascii="宋体" w:hAnsi="宋体"/>
          <w:bCs/>
          <w:color w:val="auto"/>
          <w:sz w:val="28"/>
          <w:szCs w:val="28"/>
          <w:highlight w:val="none"/>
          <w:lang w:val="zh-CN"/>
        </w:rPr>
        <w:t>日</w:t>
      </w:r>
      <w:r>
        <w:rPr>
          <w:rFonts w:hint="eastAsia" w:ascii="宋体" w:hAnsi="宋体"/>
          <w:bCs/>
          <w:color w:val="auto"/>
          <w:sz w:val="28"/>
          <w:szCs w:val="28"/>
          <w:highlight w:val="none"/>
          <w:lang w:val="en-US" w:eastAsia="zh-CN"/>
        </w:rPr>
        <w:t xml:space="preserve"> 9</w:t>
      </w:r>
      <w:r>
        <w:rPr>
          <w:rFonts w:hint="eastAsia" w:ascii="宋体" w:hAnsi="宋体"/>
          <w:bCs/>
          <w:color w:val="auto"/>
          <w:sz w:val="28"/>
          <w:szCs w:val="28"/>
          <w:highlight w:val="none"/>
          <w:lang w:val="zh-CN"/>
        </w:rPr>
        <w:t>时</w:t>
      </w:r>
      <w:r>
        <w:rPr>
          <w:rFonts w:hint="eastAsia" w:ascii="宋体" w:hAnsi="宋体"/>
          <w:bCs/>
          <w:color w:val="auto"/>
          <w:sz w:val="28"/>
          <w:szCs w:val="28"/>
          <w:highlight w:val="none"/>
          <w:lang w:val="en-US" w:eastAsia="zh-CN"/>
        </w:rPr>
        <w:t>00</w:t>
      </w:r>
      <w:r>
        <w:rPr>
          <w:rFonts w:hint="eastAsia" w:ascii="宋体" w:hAnsi="宋体"/>
          <w:bCs/>
          <w:color w:val="auto"/>
          <w:sz w:val="28"/>
          <w:szCs w:val="28"/>
          <w:highlight w:val="none"/>
          <w:lang w:val="zh-CN"/>
        </w:rPr>
        <w:t>分（北京时间）前提交响应文件。</w:t>
      </w:r>
    </w:p>
    <w:p>
      <w:pPr>
        <w:pageBreakBefore w:val="0"/>
        <w:kinsoku/>
        <w:overflowPunct/>
        <w:topLinePunct w:val="0"/>
        <w:bidi w:val="0"/>
        <w:adjustRightInd w:val="0"/>
        <w:snapToGrid w:val="0"/>
        <w:spacing w:before="109" w:beforeLines="35" w:line="312" w:lineRule="auto"/>
        <w:ind w:left="0" w:leftChars="0"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一、项目基本情况</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lang w:val="zh-CN"/>
        </w:rPr>
        <w:t>QZCHZFCG2025-005</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项目名称：</w:t>
      </w:r>
      <w:r>
        <w:rPr>
          <w:rFonts w:hint="eastAsia" w:ascii="宋体" w:hAnsi="宋体" w:cs="宋体"/>
          <w:color w:val="auto"/>
          <w:sz w:val="24"/>
          <w:szCs w:val="24"/>
          <w:highlight w:val="none"/>
          <w:lang w:val="zh-CN"/>
        </w:rPr>
        <w:t>龙游县重度残疾人康养一体化康复设备采购项目（重招）</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采购方式：</w:t>
      </w:r>
      <w:r>
        <w:rPr>
          <w:rFonts w:hint="eastAsia" w:ascii="宋体" w:hAnsi="宋体" w:eastAsia="宋体" w:cs="宋体"/>
          <w:color w:val="auto"/>
          <w:sz w:val="24"/>
          <w:szCs w:val="24"/>
          <w:highlight w:val="none"/>
          <w:lang w:val="en-US" w:eastAsia="zh-CN"/>
        </w:rPr>
        <w:t>公开招标</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预算金额（最高限价）：</w:t>
      </w:r>
      <w:r>
        <w:rPr>
          <w:rFonts w:hint="eastAsia" w:ascii="宋体" w:hAnsi="宋体" w:cs="宋体"/>
          <w:color w:val="auto"/>
          <w:sz w:val="24"/>
          <w:szCs w:val="24"/>
          <w:highlight w:val="none"/>
          <w:lang w:val="en-US" w:eastAsia="zh-CN"/>
        </w:rPr>
        <w:t>2800000元</w:t>
      </w:r>
    </w:p>
    <w:p>
      <w:pPr>
        <w:pageBreakBefore w:val="0"/>
        <w:kinsoku/>
        <w:overflowPunct/>
        <w:topLinePunct w:val="0"/>
        <w:bidi w:val="0"/>
        <w:adjustRightInd w:val="0"/>
        <w:snapToGrid w:val="0"/>
        <w:spacing w:line="312" w:lineRule="auto"/>
        <w:ind w:left="0" w:leftChars="0" w:firstLine="480" w:firstLineChars="200"/>
        <w:rPr>
          <w:rFonts w:hint="default" w:ascii="宋体" w:hAnsi="宋体" w:cs="宋体"/>
          <w:color w:val="auto"/>
          <w:sz w:val="24"/>
          <w:highlight w:val="none"/>
          <w:lang w:val="en-US" w:eastAsia="zh-CN"/>
        </w:rPr>
      </w:pPr>
      <w:r>
        <w:rPr>
          <w:rFonts w:hint="eastAsia" w:ascii="宋体" w:hAnsi="宋体" w:cs="宋体"/>
          <w:color w:val="auto"/>
          <w:sz w:val="24"/>
          <w:szCs w:val="24"/>
          <w:highlight w:val="none"/>
          <w:lang w:val="en-US" w:eastAsia="zh-CN"/>
        </w:rPr>
        <w:t>5.采购需求：</w:t>
      </w:r>
      <w:r>
        <w:rPr>
          <w:rFonts w:hint="eastAsia" w:ascii="宋体" w:hAnsi="宋体" w:cs="宋体"/>
          <w:color w:val="auto"/>
          <w:sz w:val="24"/>
          <w:highlight w:val="none"/>
        </w:rPr>
        <w:t>具体要求见第三章：采购内容、要求。</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是否允许联合体参加：</w:t>
      </w:r>
      <w:r>
        <w:rPr>
          <w:rFonts w:hint="eastAsia" w:ascii="宋体" w:hAnsi="宋体" w:cs="宋体"/>
          <w:color w:val="auto"/>
          <w:sz w:val="24"/>
          <w:szCs w:val="24"/>
          <w:highlight w:val="none"/>
          <w:lang w:val="en-US" w:eastAsia="zh-CN"/>
        </w:rPr>
        <w:t>否</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服务期限</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接甲方通知装修完工后，60天内完成项目所有内容</w:t>
      </w:r>
    </w:p>
    <w:p>
      <w:pPr>
        <w:pageBreakBefore w:val="0"/>
        <w:kinsoku/>
        <w:overflowPunct/>
        <w:topLinePunct w:val="0"/>
        <w:bidi w:val="0"/>
        <w:adjustRightInd w:val="0"/>
        <w:snapToGrid w:val="0"/>
        <w:spacing w:line="312" w:lineRule="auto"/>
        <w:ind w:left="0" w:leftChars="0" w:firstLine="482" w:firstLineChars="200"/>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二、申请人的资格要求：</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.满足《中华人民共和国政府采购法》第二十二条规定；</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yellow"/>
          <w:lang w:val="en-US" w:eastAsia="zh-CN"/>
        </w:rPr>
      </w:pPr>
      <w:r>
        <w:rPr>
          <w:rFonts w:hint="eastAsia" w:ascii="宋体" w:hAnsi="宋体" w:cs="宋体"/>
          <w:color w:val="auto"/>
          <w:sz w:val="24"/>
          <w:highlight w:val="none"/>
        </w:rPr>
        <w:t>2.</w:t>
      </w:r>
      <w:r>
        <w:rPr>
          <w:rFonts w:hint="eastAsia" w:ascii="宋体" w:hAnsi="宋体"/>
          <w:color w:val="auto"/>
          <w:sz w:val="24"/>
          <w:highlight w:val="none"/>
        </w:rPr>
        <w:t>落实政府采购政策需满足的资格要求：</w:t>
      </w:r>
      <w:r>
        <w:rPr>
          <w:rFonts w:hint="eastAsia" w:hAnsi="宋体" w:cs="Times New Roman"/>
          <w:color w:val="auto"/>
          <w:kern w:val="2"/>
          <w:sz w:val="24"/>
          <w:szCs w:val="24"/>
          <w:highlight w:val="none"/>
          <w:lang w:val="en-US" w:eastAsia="zh-CN" w:bidi="ar-SA"/>
        </w:rPr>
        <w:t>本项目为专门面向中小企业采购招标，小微企业不享受价格折扣优惠</w:t>
      </w:r>
      <w:r>
        <w:rPr>
          <w:rFonts w:hint="eastAsia" w:ascii="宋体" w:hAnsi="宋体" w:eastAsia="宋体" w:cs="Times New Roman"/>
          <w:color w:val="auto"/>
          <w:kern w:val="2"/>
          <w:sz w:val="24"/>
          <w:szCs w:val="24"/>
          <w:highlight w:val="none"/>
          <w:lang w:val="en-US" w:eastAsia="zh-CN" w:bidi="ar-SA"/>
        </w:rPr>
        <w:t>。</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olor w:val="auto"/>
          <w:sz w:val="24"/>
          <w:highlight w:val="none"/>
          <w:lang w:val="en-US" w:eastAsia="zh-CN"/>
        </w:rPr>
      </w:pPr>
      <w:r>
        <w:rPr>
          <w:rFonts w:hint="eastAsia" w:ascii="宋体" w:hAnsi="宋体"/>
          <w:color w:val="auto"/>
          <w:sz w:val="24"/>
          <w:highlight w:val="none"/>
        </w:rPr>
        <w:t>3.本项目的特定资格要求：</w:t>
      </w:r>
      <w:r>
        <w:rPr>
          <w:rFonts w:hint="eastAsia" w:ascii="宋体" w:hAnsi="宋体"/>
          <w:b/>
          <w:bCs/>
          <w:color w:val="auto"/>
          <w:sz w:val="24"/>
          <w:highlight w:val="none"/>
          <w:lang w:val="en-US" w:eastAsia="zh-CN"/>
        </w:rPr>
        <w:t>具有二类医疗器械经营备案证或医疗器械经营许可证。</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olor w:val="auto"/>
          <w:sz w:val="24"/>
          <w:highlight w:val="none"/>
          <w:lang w:val="en-US" w:eastAsia="zh-CN"/>
        </w:rPr>
      </w:pPr>
      <w:r>
        <w:rPr>
          <w:rFonts w:hint="eastAsia" w:ascii="宋体" w:hAnsi="宋体" w:cs="宋体"/>
          <w:color w:val="auto"/>
          <w:sz w:val="24"/>
          <w:highlight w:val="none"/>
          <w:lang w:val="en-US" w:eastAsia="zh-CN"/>
        </w:rPr>
        <w:t>4.未被“信用中国</w:t>
      </w:r>
      <w:r>
        <w:rPr>
          <w:rFonts w:hint="eastAsia" w:ascii="宋体" w:hAnsi="宋体"/>
          <w:color w:val="auto"/>
          <w:sz w:val="24"/>
          <w:highlight w:val="none"/>
          <w:lang w:val="en-US" w:eastAsia="zh-CN"/>
        </w:rPr>
        <w:t>”（www.creditchina.gov.cn）、中国政府采购网</w:t>
      </w:r>
      <w:r>
        <w:rPr>
          <w:rFonts w:hint="eastAsia" w:ascii="宋体" w:hAnsi="宋体"/>
          <w:color w:val="auto"/>
          <w:sz w:val="24"/>
          <w:highlight w:val="none"/>
        </w:rPr>
        <w:t>(www.ccgp.gov.cn)</w:t>
      </w:r>
      <w:r>
        <w:rPr>
          <w:rFonts w:hint="eastAsia" w:ascii="宋体" w:hAnsi="宋体"/>
          <w:color w:val="auto"/>
          <w:sz w:val="24"/>
          <w:highlight w:val="none"/>
          <w:lang w:val="en-US" w:eastAsia="zh-CN"/>
        </w:rPr>
        <w:t>列入失信被执行人、重大税收违法案件当事人名单、政府采购严重违法失信行为记录名单；</w:t>
      </w:r>
    </w:p>
    <w:p>
      <w:pPr>
        <w:pageBreakBefore w:val="0"/>
        <w:kinsoku/>
        <w:overflowPunct/>
        <w:topLinePunct w:val="0"/>
        <w:bidi w:val="0"/>
        <w:adjustRightInd w:val="0"/>
        <w:snapToGrid w:val="0"/>
        <w:spacing w:line="312" w:lineRule="auto"/>
        <w:ind w:left="0" w:leftChars="0" w:firstLine="482" w:firstLineChars="200"/>
        <w:rPr>
          <w:rFonts w:ascii="宋体" w:hAnsi="宋体" w:cs="宋体"/>
          <w:b/>
          <w:bCs/>
          <w:color w:val="auto"/>
          <w:sz w:val="24"/>
          <w:highlight w:val="none"/>
        </w:rPr>
      </w:pPr>
      <w:r>
        <w:rPr>
          <w:rFonts w:hint="eastAsia" w:ascii="宋体" w:hAnsi="宋体" w:cs="宋体"/>
          <w:b/>
          <w:bCs/>
          <w:color w:val="auto"/>
          <w:sz w:val="24"/>
          <w:highlight w:val="none"/>
        </w:rPr>
        <w:t>三、获取采购文件</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olor w:val="auto"/>
          <w:sz w:val="24"/>
          <w:highlight w:val="none"/>
        </w:rPr>
      </w:pPr>
      <w:r>
        <w:rPr>
          <w:rFonts w:hint="eastAsia" w:ascii="宋体" w:hAnsi="宋体"/>
          <w:color w:val="auto"/>
          <w:sz w:val="24"/>
          <w:highlight w:val="none"/>
        </w:rPr>
        <w:t>时间：至</w:t>
      </w:r>
      <w:r>
        <w:rPr>
          <w:rFonts w:hint="eastAsia" w:ascii="宋体" w:hAnsi="宋体"/>
          <w:color w:val="auto"/>
          <w:sz w:val="24"/>
          <w:highlight w:val="none"/>
          <w:lang w:eastAsia="zh-CN"/>
        </w:rPr>
        <w:t>202</w:t>
      </w:r>
      <w:r>
        <w:rPr>
          <w:rFonts w:hint="eastAsia" w:ascii="宋体" w:hAnsi="宋体"/>
          <w:color w:val="auto"/>
          <w:sz w:val="24"/>
          <w:highlight w:val="none"/>
          <w:lang w:val="en-US" w:eastAsia="zh-CN"/>
        </w:rPr>
        <w:t>5</w:t>
      </w:r>
      <w:r>
        <w:rPr>
          <w:rFonts w:hint="eastAsia" w:ascii="宋体" w:hAnsi="宋体"/>
          <w:color w:val="auto"/>
          <w:sz w:val="24"/>
          <w:highlight w:val="none"/>
        </w:rPr>
        <w:t>年</w:t>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8</w:t>
      </w:r>
      <w:r>
        <w:rPr>
          <w:rFonts w:hint="eastAsia" w:ascii="宋体" w:hAnsi="宋体"/>
          <w:color w:val="auto"/>
          <w:sz w:val="24"/>
          <w:highlight w:val="none"/>
        </w:rPr>
        <w:t>日，每天上午00:00至12:00，下午12:00至23:59（北京时间，线上获取法定节假日均可，线下获取文件法定节假日除外）</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olor w:val="auto"/>
          <w:sz w:val="24"/>
          <w:highlight w:val="none"/>
        </w:rPr>
      </w:pPr>
      <w:r>
        <w:rPr>
          <w:rFonts w:hint="eastAsia" w:ascii="宋体" w:hAnsi="宋体"/>
          <w:color w:val="auto"/>
          <w:sz w:val="24"/>
          <w:highlight w:val="none"/>
        </w:rPr>
        <w:t>地点（网址）：浙江政府采购网﹣政府采购云平台，潜在投标人获取招标文件前应先完成“政府采购云平台”的账号注册。</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olor w:val="auto"/>
          <w:sz w:val="24"/>
          <w:highlight w:val="none"/>
        </w:rPr>
      </w:pPr>
      <w:r>
        <w:rPr>
          <w:rFonts w:hint="eastAsia" w:ascii="宋体" w:hAnsi="宋体"/>
          <w:color w:val="auto"/>
          <w:sz w:val="24"/>
          <w:highlight w:val="none"/>
        </w:rPr>
        <w:t>方式：投标人通过网上在线获取，潜在投标人登陆政府采购云平台，进入“项目采购”应用在“获取采购文件”菜单中选择项目后申请获取采购文件，招标文件在线获取，不提供纸质版招标文件。</w:t>
      </w:r>
    </w:p>
    <w:p>
      <w:pPr>
        <w:pageBreakBefore w:val="0"/>
        <w:kinsoku/>
        <w:overflowPunct/>
        <w:topLinePunct w:val="0"/>
        <w:bidi w:val="0"/>
        <w:adjustRightInd w:val="0"/>
        <w:snapToGrid w:val="0"/>
        <w:spacing w:line="312" w:lineRule="auto"/>
        <w:ind w:left="0" w:leftChars="0" w:firstLine="480" w:firstLineChars="200"/>
        <w:rPr>
          <w:rFonts w:hint="eastAsia" w:ascii="宋体" w:hAnsi="宋体"/>
          <w:color w:val="auto"/>
          <w:sz w:val="24"/>
          <w:highlight w:val="none"/>
          <w:lang w:val="en-US" w:eastAsia="zh-CN"/>
        </w:rPr>
      </w:pPr>
      <w:r>
        <w:rPr>
          <w:rFonts w:hint="eastAsia" w:ascii="宋体" w:hAnsi="宋体"/>
          <w:color w:val="auto"/>
          <w:sz w:val="24"/>
          <w:highlight w:val="none"/>
          <w:lang w:val="en-US" w:eastAsia="zh-CN"/>
        </w:rPr>
        <w:t>售价：0元</w:t>
      </w:r>
    </w:p>
    <w:p>
      <w:pPr>
        <w:pageBreakBefore w:val="0"/>
        <w:kinsoku/>
        <w:overflowPunct/>
        <w:topLinePunct w:val="0"/>
        <w:bidi w:val="0"/>
        <w:adjustRightInd w:val="0"/>
        <w:snapToGrid w:val="0"/>
        <w:spacing w:line="312" w:lineRule="auto"/>
        <w:ind w:left="0" w:leftChars="0" w:firstLine="482" w:firstLineChars="200"/>
        <w:rPr>
          <w:rFonts w:hint="default" w:ascii="宋体" w:hAnsi="宋体"/>
          <w:b/>
          <w:bCs/>
          <w:color w:val="auto"/>
          <w:sz w:val="24"/>
          <w:highlight w:val="none"/>
          <w:lang w:val="en-US" w:eastAsia="zh-CN"/>
        </w:rPr>
      </w:pPr>
      <w:r>
        <w:rPr>
          <w:rFonts w:hint="default" w:ascii="宋体" w:hAnsi="宋体"/>
          <w:b/>
          <w:bCs/>
          <w:color w:val="auto"/>
          <w:sz w:val="24"/>
          <w:highlight w:val="none"/>
          <w:lang w:val="en-US" w:eastAsia="zh-CN"/>
        </w:rPr>
        <w:t>四、提交投标文件截止时间、开标时间和地点</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default" w:ascii="宋体" w:hAnsi="宋体"/>
          <w:color w:val="auto"/>
          <w:sz w:val="24"/>
          <w:highlight w:val="none"/>
          <w:lang w:val="en-US" w:eastAsia="zh-CN"/>
        </w:rPr>
        <w:t>提交投标文件截止时间：202</w:t>
      </w:r>
      <w:r>
        <w:rPr>
          <w:rFonts w:hint="eastAsia" w:ascii="宋体" w:hAnsi="宋体"/>
          <w:color w:val="auto"/>
          <w:sz w:val="24"/>
          <w:highlight w:val="none"/>
          <w:lang w:val="en-US" w:eastAsia="zh-CN"/>
        </w:rPr>
        <w:t>5</w:t>
      </w:r>
      <w:r>
        <w:rPr>
          <w:rFonts w:hint="default" w:ascii="宋体" w:hAnsi="宋体"/>
          <w:color w:val="auto"/>
          <w:sz w:val="24"/>
          <w:highlight w:val="none"/>
          <w:lang w:val="en-US" w:eastAsia="zh-CN"/>
        </w:rPr>
        <w:t>年</w:t>
      </w:r>
      <w:r>
        <w:rPr>
          <w:rFonts w:hint="eastAsia" w:ascii="宋体" w:hAnsi="宋体"/>
          <w:color w:val="auto"/>
          <w:sz w:val="24"/>
          <w:highlight w:val="none"/>
          <w:lang w:val="en-US" w:eastAsia="zh-CN"/>
        </w:rPr>
        <w:t>4</w:t>
      </w:r>
      <w:r>
        <w:rPr>
          <w:rFonts w:hint="default" w:ascii="宋体" w:hAnsi="宋体"/>
          <w:color w:val="auto"/>
          <w:sz w:val="24"/>
          <w:highlight w:val="none"/>
          <w:lang w:val="en-US" w:eastAsia="zh-CN"/>
        </w:rPr>
        <w:t>月</w:t>
      </w:r>
      <w:r>
        <w:rPr>
          <w:rFonts w:hint="eastAsia" w:ascii="宋体" w:hAnsi="宋体"/>
          <w:color w:val="auto"/>
          <w:sz w:val="24"/>
          <w:highlight w:val="none"/>
          <w:lang w:val="en-US" w:eastAsia="zh-CN"/>
        </w:rPr>
        <w:t>8</w:t>
      </w:r>
      <w:r>
        <w:rPr>
          <w:rFonts w:hint="default" w:ascii="宋体" w:hAnsi="宋体"/>
          <w:color w:val="auto"/>
          <w:sz w:val="24"/>
          <w:highlight w:val="none"/>
          <w:lang w:val="en-US" w:eastAsia="zh-CN"/>
        </w:rPr>
        <w:t>日</w:t>
      </w:r>
      <w:r>
        <w:rPr>
          <w:rFonts w:hint="eastAsia" w:ascii="宋体" w:hAnsi="宋体"/>
          <w:color w:val="auto"/>
          <w:sz w:val="24"/>
          <w:highlight w:val="none"/>
          <w:lang w:val="en-US" w:eastAsia="zh-CN"/>
        </w:rPr>
        <w:t>9</w:t>
      </w:r>
      <w:r>
        <w:rPr>
          <w:rFonts w:hint="default" w:ascii="宋体" w:hAnsi="宋体"/>
          <w:color w:val="auto"/>
          <w:sz w:val="24"/>
          <w:highlight w:val="none"/>
          <w:lang w:val="en-US" w:eastAsia="zh-CN"/>
        </w:rPr>
        <w:t>时</w:t>
      </w:r>
      <w:r>
        <w:rPr>
          <w:rFonts w:hint="eastAsia" w:ascii="宋体" w:hAnsi="宋体"/>
          <w:color w:val="auto"/>
          <w:sz w:val="24"/>
          <w:highlight w:val="none"/>
          <w:lang w:val="en-US" w:eastAsia="zh-CN"/>
        </w:rPr>
        <w:t>00</w:t>
      </w:r>
      <w:r>
        <w:rPr>
          <w:rFonts w:hint="default" w:ascii="宋体" w:hAnsi="宋体"/>
          <w:color w:val="auto"/>
          <w:sz w:val="24"/>
          <w:highlight w:val="none"/>
          <w:lang w:val="en-US" w:eastAsia="zh-CN"/>
        </w:rPr>
        <w:t>分（北京时间）</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default" w:ascii="宋体" w:hAnsi="宋体"/>
          <w:color w:val="auto"/>
          <w:sz w:val="24"/>
          <w:highlight w:val="none"/>
          <w:lang w:val="en-US" w:eastAsia="zh-CN"/>
        </w:rPr>
        <w:t>投标地点：政采云平台</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default" w:ascii="宋体" w:hAnsi="宋体"/>
          <w:color w:val="auto"/>
          <w:sz w:val="24"/>
          <w:highlight w:val="none"/>
          <w:lang w:val="en-US" w:eastAsia="zh-CN"/>
        </w:rPr>
        <w:t>开标时间：202</w:t>
      </w:r>
      <w:r>
        <w:rPr>
          <w:rFonts w:hint="eastAsia" w:ascii="宋体" w:hAnsi="宋体"/>
          <w:color w:val="auto"/>
          <w:sz w:val="24"/>
          <w:highlight w:val="none"/>
          <w:lang w:val="en-US" w:eastAsia="zh-CN"/>
        </w:rPr>
        <w:t>5</w:t>
      </w:r>
      <w:r>
        <w:rPr>
          <w:rFonts w:hint="default" w:ascii="宋体" w:hAnsi="宋体"/>
          <w:color w:val="auto"/>
          <w:sz w:val="24"/>
          <w:highlight w:val="none"/>
          <w:lang w:val="en-US" w:eastAsia="zh-CN"/>
        </w:rPr>
        <w:t>年</w:t>
      </w:r>
      <w:r>
        <w:rPr>
          <w:rFonts w:hint="eastAsia" w:ascii="宋体" w:hAnsi="宋体"/>
          <w:color w:val="auto"/>
          <w:sz w:val="24"/>
          <w:highlight w:val="none"/>
          <w:lang w:val="en-US" w:eastAsia="zh-CN"/>
        </w:rPr>
        <w:t>4</w:t>
      </w:r>
      <w:r>
        <w:rPr>
          <w:rFonts w:hint="default" w:ascii="宋体" w:hAnsi="宋体"/>
          <w:color w:val="auto"/>
          <w:sz w:val="24"/>
          <w:highlight w:val="none"/>
          <w:lang w:val="en-US" w:eastAsia="zh-CN"/>
        </w:rPr>
        <w:t>月</w:t>
      </w:r>
      <w:r>
        <w:rPr>
          <w:rFonts w:hint="eastAsia" w:ascii="宋体" w:hAnsi="宋体"/>
          <w:color w:val="auto"/>
          <w:sz w:val="24"/>
          <w:highlight w:val="none"/>
          <w:lang w:val="en-US" w:eastAsia="zh-CN"/>
        </w:rPr>
        <w:t>8</w:t>
      </w:r>
      <w:r>
        <w:rPr>
          <w:rFonts w:hint="default" w:ascii="宋体" w:hAnsi="宋体"/>
          <w:color w:val="auto"/>
          <w:sz w:val="24"/>
          <w:highlight w:val="none"/>
          <w:lang w:val="en-US" w:eastAsia="zh-CN"/>
        </w:rPr>
        <w:t>日</w:t>
      </w:r>
      <w:r>
        <w:rPr>
          <w:rFonts w:hint="eastAsia" w:ascii="宋体" w:hAnsi="宋体"/>
          <w:color w:val="auto"/>
          <w:sz w:val="24"/>
          <w:highlight w:val="none"/>
          <w:lang w:val="en-US" w:eastAsia="zh-CN"/>
        </w:rPr>
        <w:t>9</w:t>
      </w:r>
      <w:r>
        <w:rPr>
          <w:rFonts w:hint="default" w:ascii="宋体" w:hAnsi="宋体"/>
          <w:color w:val="auto"/>
          <w:sz w:val="24"/>
          <w:highlight w:val="none"/>
          <w:lang w:val="en-US" w:eastAsia="zh-CN"/>
        </w:rPr>
        <w:t>时</w:t>
      </w:r>
      <w:r>
        <w:rPr>
          <w:rFonts w:hint="eastAsia" w:ascii="宋体" w:hAnsi="宋体"/>
          <w:color w:val="auto"/>
          <w:sz w:val="24"/>
          <w:highlight w:val="none"/>
          <w:lang w:val="en-US" w:eastAsia="zh-CN"/>
        </w:rPr>
        <w:t>00</w:t>
      </w:r>
      <w:r>
        <w:rPr>
          <w:rFonts w:hint="default" w:ascii="宋体" w:hAnsi="宋体"/>
          <w:color w:val="auto"/>
          <w:sz w:val="24"/>
          <w:highlight w:val="none"/>
          <w:lang w:val="en-US" w:eastAsia="zh-CN"/>
        </w:rPr>
        <w:t>分（北京时间）</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default" w:ascii="宋体" w:hAnsi="宋体"/>
          <w:color w:val="auto"/>
          <w:sz w:val="24"/>
          <w:highlight w:val="none"/>
          <w:lang w:val="en-US" w:eastAsia="zh-CN"/>
        </w:rPr>
        <w:t>开标地点：政采云平台</w:t>
      </w:r>
    </w:p>
    <w:p>
      <w:pPr>
        <w:pageBreakBefore w:val="0"/>
        <w:kinsoku/>
        <w:overflowPunct/>
        <w:topLinePunct w:val="0"/>
        <w:bidi w:val="0"/>
        <w:adjustRightInd w:val="0"/>
        <w:snapToGrid w:val="0"/>
        <w:spacing w:line="312" w:lineRule="auto"/>
        <w:ind w:left="0" w:leftChars="0" w:firstLine="482" w:firstLineChars="200"/>
        <w:rPr>
          <w:rFonts w:hint="default" w:ascii="宋体" w:hAnsi="宋体"/>
          <w:b/>
          <w:bCs/>
          <w:color w:val="auto"/>
          <w:sz w:val="24"/>
          <w:highlight w:val="none"/>
          <w:lang w:val="en-US" w:eastAsia="zh-CN"/>
        </w:rPr>
      </w:pPr>
      <w:r>
        <w:rPr>
          <w:rFonts w:hint="default" w:ascii="宋体" w:hAnsi="宋体"/>
          <w:b/>
          <w:bCs/>
          <w:color w:val="auto"/>
          <w:sz w:val="24"/>
          <w:highlight w:val="none"/>
          <w:lang w:val="en-US" w:eastAsia="zh-CN"/>
        </w:rPr>
        <w:t>五、公告期限</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default" w:ascii="宋体" w:hAnsi="宋体"/>
          <w:color w:val="auto"/>
          <w:sz w:val="24"/>
          <w:highlight w:val="none"/>
          <w:lang w:val="en-US" w:eastAsia="zh-CN"/>
        </w:rPr>
        <w:t>自本公告发布之日起5个工作日。</w:t>
      </w:r>
    </w:p>
    <w:p>
      <w:pPr>
        <w:pageBreakBefore w:val="0"/>
        <w:kinsoku/>
        <w:overflowPunct/>
        <w:topLinePunct w:val="0"/>
        <w:bidi w:val="0"/>
        <w:adjustRightInd w:val="0"/>
        <w:snapToGrid w:val="0"/>
        <w:spacing w:line="312" w:lineRule="auto"/>
        <w:ind w:left="0" w:leftChars="0" w:firstLine="482" w:firstLineChars="200"/>
        <w:rPr>
          <w:rFonts w:hint="default" w:ascii="宋体" w:hAnsi="宋体"/>
          <w:b/>
          <w:bCs/>
          <w:color w:val="auto"/>
          <w:sz w:val="24"/>
          <w:highlight w:val="none"/>
          <w:lang w:val="en-US" w:eastAsia="zh-CN"/>
        </w:rPr>
      </w:pPr>
      <w:r>
        <w:rPr>
          <w:rFonts w:hint="default" w:ascii="宋体" w:hAnsi="宋体"/>
          <w:b/>
          <w:bCs/>
          <w:color w:val="auto"/>
          <w:sz w:val="24"/>
          <w:highlight w:val="none"/>
          <w:lang w:val="en-US" w:eastAsia="zh-CN"/>
        </w:rPr>
        <w:t>六、其他补充事宜</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电子响应文件制作、递交</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本项目实行政采云电子交易系统全流程电子交易，响应方应按本项目采购文件和政采云平台的要求编制、加密并递交响应文件。响应方在使用系统进行</w:t>
      </w:r>
      <w:r>
        <w:rPr>
          <w:rFonts w:hint="eastAsia" w:ascii="宋体" w:hAnsi="宋体" w:cs="宋体"/>
          <w:color w:val="auto"/>
          <w:sz w:val="24"/>
          <w:highlight w:val="none"/>
          <w:lang w:eastAsia="zh-CN"/>
        </w:rPr>
        <w:t>公开</w:t>
      </w:r>
      <w:r>
        <w:rPr>
          <w:rFonts w:hint="eastAsia" w:ascii="宋体" w:hAnsi="宋体" w:cs="宋体"/>
          <w:color w:val="auto"/>
          <w:sz w:val="24"/>
          <w:highlight w:val="none"/>
        </w:rPr>
        <w:t>响应的过程中遇到涉及平台使用的任何问题，可致电政采云平台技术支持热线咨询，联系方式：</w:t>
      </w:r>
      <w:r>
        <w:rPr>
          <w:rFonts w:hint="eastAsia" w:ascii="宋体" w:hAnsi="宋体" w:cs="宋体"/>
          <w:color w:val="auto"/>
          <w:sz w:val="24"/>
          <w:highlight w:val="none"/>
          <w:lang w:eastAsia="zh-CN"/>
        </w:rPr>
        <w:t>95763</w:t>
      </w:r>
      <w:r>
        <w:rPr>
          <w:rFonts w:hint="eastAsia" w:ascii="宋体" w:hAnsi="宋体" w:cs="宋体"/>
          <w:color w:val="auto"/>
          <w:sz w:val="24"/>
          <w:highlight w:val="none"/>
        </w:rPr>
        <w:t>。</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响应方应在开标前完成CA数字证书办理。（办理流程详见http://zfcg.czt.zj.gov.cn/bidClientTemplate/2019-05-27/12945.html）。完成CA数字证书办理预计一周左右，建议各响应方抓紧时间办理。</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响应方通过政采云平台电子交易系统制作响应文件，“政采云电子交易客户端”请供应商自行下载并安装，（下载网址：http://zfcg.czt.zj.gov.cn/bidClientTemplate/2019-09-24/12975.html），《供应商-政府采购项目电子交易操作指南》详见网址：https://help.zcygov.cn/web/site_2/2018/12-28/2573.html。</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1.4</w:t>
      </w:r>
      <w:r>
        <w:rPr>
          <w:rFonts w:hint="eastAsia" w:ascii="宋体" w:hAnsi="宋体" w:cs="宋体"/>
          <w:color w:val="auto"/>
          <w:sz w:val="24"/>
          <w:highlight w:val="none"/>
        </w:rPr>
        <w:t>本项目采用实行政采云电子交易系统全流程电子交易，响应方无需到现场。在截止时间后凭CA数字证书完成响应文件解密。响应方的联系电话在开标当天保持通信畅通，因通信问题无法联系到，造成的后果由响应方自负。</w:t>
      </w:r>
    </w:p>
    <w:p>
      <w:pPr>
        <w:adjustRightInd w:val="0"/>
        <w:snapToGrid w:val="0"/>
        <w:spacing w:line="312"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为支持和促进中小企业发展，有需要的中标供应商可根据需要申请办理政府采购合同贷款（以下简称“政采贷”），具体要求、条件和操作教程可通过政采云首页右上角——网站导航——金融服务查看，也可拨打政采云客服热线</w:t>
      </w:r>
      <w:r>
        <w:rPr>
          <w:rFonts w:hint="eastAsia" w:ascii="宋体" w:hAnsi="宋体" w:cs="宋体"/>
          <w:color w:val="auto"/>
          <w:sz w:val="24"/>
          <w:highlight w:val="none"/>
          <w:lang w:eastAsia="zh-CN"/>
        </w:rPr>
        <w:t>95763</w:t>
      </w:r>
      <w:r>
        <w:rPr>
          <w:rFonts w:hint="eastAsia" w:ascii="宋体" w:hAnsi="宋体" w:cs="宋体"/>
          <w:color w:val="auto"/>
          <w:sz w:val="24"/>
          <w:highlight w:val="none"/>
        </w:rPr>
        <w:t>咨询，或向各地已开通政采贷的银行咨询办理。</w:t>
      </w:r>
    </w:p>
    <w:p>
      <w:pPr>
        <w:adjustRightInd w:val="0"/>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质疑和投诉：</w:t>
      </w:r>
    </w:p>
    <w:p>
      <w:pPr>
        <w:adjustRightInd w:val="0"/>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依照《中华人民共和国政府采购法》、《中华人民共和国政府采购法实施条例》和《政府采购质疑和投诉办法》（财政部令第94号）等有关法律法规规定。供应商提交的质疑函应符合财政部《政府采购供应商质疑函范本》要求。下载网址：</w:t>
      </w:r>
      <w:r>
        <w:rPr>
          <w:rFonts w:ascii="宋体" w:hAnsi="宋体" w:cs="宋体"/>
          <w:color w:val="auto"/>
          <w:sz w:val="24"/>
          <w:highlight w:val="none"/>
        </w:rPr>
        <w:t>http://ztb.longyou.gov.cn/front/content/9003002000</w:t>
      </w:r>
      <w:r>
        <w:rPr>
          <w:rFonts w:hint="eastAsia" w:ascii="宋体" w:hAnsi="宋体" w:cs="宋体"/>
          <w:color w:val="auto"/>
          <w:sz w:val="24"/>
          <w:highlight w:val="none"/>
        </w:rPr>
        <w:t>。</w:t>
      </w:r>
    </w:p>
    <w:p>
      <w:pPr>
        <w:adjustRightInd w:val="0"/>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公开</w:t>
      </w:r>
      <w:r>
        <w:rPr>
          <w:rFonts w:hint="eastAsia" w:ascii="宋体" w:hAnsi="宋体" w:cs="宋体"/>
          <w:color w:val="auto"/>
          <w:sz w:val="24"/>
          <w:highlight w:val="none"/>
        </w:rPr>
        <w:t>响应方认为采购文件使自己的权益受到损害的，可以自收到采购文件之日或者采购文件公告期限届满之日起7个工作日内，以书面形式向</w:t>
      </w:r>
      <w:r>
        <w:rPr>
          <w:rFonts w:hint="eastAsia" w:ascii="宋体" w:hAnsi="宋体" w:cs="宋体"/>
          <w:color w:val="auto"/>
          <w:sz w:val="24"/>
          <w:highlight w:val="none"/>
          <w:lang w:val="en-US" w:eastAsia="zh-CN"/>
        </w:rPr>
        <w:t>衢州创禾招标代理有限公司</w:t>
      </w:r>
      <w:r>
        <w:rPr>
          <w:rFonts w:hint="eastAsia" w:ascii="宋体" w:hAnsi="宋体" w:cs="宋体"/>
          <w:color w:val="auto"/>
          <w:sz w:val="24"/>
          <w:highlight w:val="none"/>
        </w:rPr>
        <w:t>提出质疑，逾期将不予受理。</w:t>
      </w:r>
    </w:p>
    <w:p>
      <w:pPr>
        <w:adjustRightInd w:val="0"/>
        <w:snapToGrid w:val="0"/>
        <w:spacing w:line="312" w:lineRule="auto"/>
        <w:ind w:firstLine="480" w:firstLineChars="200"/>
        <w:rPr>
          <w:rFonts w:ascii="宋体" w:hAnsi="宋体"/>
          <w:color w:val="auto"/>
          <w:highlight w:val="none"/>
        </w:rPr>
      </w:pPr>
      <w:r>
        <w:rPr>
          <w:rFonts w:hint="eastAsia" w:ascii="宋体" w:hAnsi="宋体" w:cs="宋体"/>
          <w:color w:val="auto"/>
          <w:sz w:val="24"/>
          <w:highlight w:val="none"/>
          <w:lang w:eastAsia="zh-CN"/>
        </w:rPr>
        <w:t>公开</w:t>
      </w:r>
      <w:r>
        <w:rPr>
          <w:rFonts w:hint="eastAsia" w:ascii="宋体" w:hAnsi="宋体" w:cs="宋体"/>
          <w:color w:val="auto"/>
          <w:sz w:val="24"/>
          <w:highlight w:val="none"/>
        </w:rPr>
        <w:t>响应方对</w:t>
      </w:r>
      <w:r>
        <w:rPr>
          <w:rFonts w:hint="eastAsia" w:ascii="宋体" w:hAnsi="宋体" w:cs="宋体"/>
          <w:color w:val="auto"/>
          <w:sz w:val="24"/>
          <w:highlight w:val="none"/>
          <w:lang w:val="en-US" w:eastAsia="zh-CN"/>
        </w:rPr>
        <w:t>衢州创禾招标代理有限公司</w:t>
      </w:r>
      <w:r>
        <w:rPr>
          <w:rFonts w:hint="eastAsia" w:ascii="宋体" w:hAnsi="宋体" w:cs="宋体"/>
          <w:color w:val="auto"/>
          <w:sz w:val="24"/>
          <w:highlight w:val="none"/>
        </w:rPr>
        <w:t>的质疑答复不满意或者</w:t>
      </w:r>
      <w:r>
        <w:rPr>
          <w:rFonts w:hint="eastAsia" w:ascii="宋体" w:hAnsi="宋体" w:cs="宋体"/>
          <w:color w:val="auto"/>
          <w:sz w:val="24"/>
          <w:highlight w:val="none"/>
          <w:lang w:val="en-US" w:eastAsia="zh-CN"/>
        </w:rPr>
        <w:t>衢州创禾招标代理有限公司</w:t>
      </w:r>
      <w:r>
        <w:rPr>
          <w:rFonts w:hint="eastAsia" w:ascii="宋体" w:hAnsi="宋体" w:cs="宋体"/>
          <w:color w:val="auto"/>
          <w:sz w:val="24"/>
          <w:highlight w:val="none"/>
        </w:rPr>
        <w:t>未在规定时间内作出答复的，可以在答复期满后15个工作日内向龙游县财政局政府采购监管科投诉。</w:t>
      </w:r>
    </w:p>
    <w:p>
      <w:pPr>
        <w:adjustRightInd w:val="0"/>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落实政府采购政策</w:t>
      </w:r>
    </w:p>
    <w:p>
      <w:pPr>
        <w:adjustRightInd w:val="0"/>
        <w:snapToGrid w:val="0"/>
        <w:spacing w:line="312"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eastAsia="宋体"/>
          <w:color w:val="auto"/>
          <w:sz w:val="24"/>
          <w:szCs w:val="24"/>
          <w:highlight w:val="none"/>
          <w:lang w:val="en-US" w:eastAsia="zh-CN"/>
        </w:rPr>
        <w:t>本项目对符合</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rPr>
        <w:t>政</w:t>
      </w:r>
      <w:r>
        <w:rPr>
          <w:rFonts w:hint="eastAsia" w:ascii="宋体" w:hAnsi="宋体" w:eastAsia="宋体" w:cs="Times New Roman"/>
          <w:color w:val="auto"/>
          <w:sz w:val="24"/>
          <w:szCs w:val="24"/>
          <w:highlight w:val="none"/>
          <w:lang w:val="en-US" w:eastAsia="zh-CN"/>
        </w:rPr>
        <w:t>府采购促进中小企业发展管理办法》规定的中小企业、监狱企业、残疾人福利性单位给予政策扶持，执行节能产品政府强制采购和优先采购政策，执行环境标志产品政府优先采购政策。</w:t>
      </w:r>
    </w:p>
    <w:p>
      <w:pPr>
        <w:adjustRightInd w:val="0"/>
        <w:snapToGrid w:val="0"/>
        <w:spacing w:line="312"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（一）中小微企业</w:t>
      </w:r>
    </w:p>
    <w:p>
      <w:pPr>
        <w:pageBreakBefore w:val="0"/>
        <w:kinsoku/>
        <w:overflowPunct/>
        <w:topLinePunct w:val="0"/>
        <w:bidi w:val="0"/>
        <w:adjustRightInd w:val="0"/>
        <w:snapToGrid w:val="0"/>
        <w:spacing w:line="312" w:lineRule="auto"/>
        <w:ind w:left="0" w:leftChars="0" w:firstLine="480" w:firstLineChars="200"/>
        <w:rPr>
          <w:rFonts w:hint="default" w:ascii="宋体" w:hAnsi="宋体"/>
          <w:color w:val="auto"/>
          <w:sz w:val="24"/>
          <w:highlight w:val="none"/>
          <w:lang w:val="en-US" w:eastAsia="zh-CN"/>
        </w:rPr>
      </w:pPr>
      <w:r>
        <w:rPr>
          <w:rFonts w:hint="eastAsia" w:ascii="宋体" w:hAnsi="宋体" w:eastAsia="宋体" w:cs="Times New Roman"/>
          <w:color w:val="auto"/>
          <w:sz w:val="24"/>
          <w:szCs w:val="24"/>
          <w:highlight w:val="none"/>
          <w:lang w:val="en-US" w:eastAsia="zh-CN"/>
        </w:rPr>
        <w:t>根据财政工信部《关于印发（政府采购促进中小企业发展管理办法）的通知》财库（2020）46号及浙财采购【2022】3号文件的相关规定，</w:t>
      </w:r>
      <w:r>
        <w:rPr>
          <w:rFonts w:hint="eastAsia" w:ascii="宋体" w:hAnsi="宋体" w:cs="Times New Roman"/>
          <w:color w:val="auto"/>
          <w:sz w:val="24"/>
          <w:szCs w:val="24"/>
          <w:highlight w:val="none"/>
          <w:lang w:val="en-US" w:eastAsia="zh-CN"/>
        </w:rPr>
        <w:t>经采购人确认，本项目为</w:t>
      </w:r>
      <w:r>
        <w:rPr>
          <w:rFonts w:hint="eastAsia" w:hAnsi="宋体" w:cs="Times New Roman"/>
          <w:color w:val="auto"/>
          <w:kern w:val="2"/>
          <w:sz w:val="24"/>
          <w:szCs w:val="24"/>
          <w:highlight w:val="none"/>
          <w:lang w:val="en-US" w:eastAsia="zh-CN" w:bidi="ar-SA"/>
        </w:rPr>
        <w:t>本项目为专门面向中小企业采购招标，小微企业不享受价格折扣优惠</w:t>
      </w:r>
      <w:r>
        <w:rPr>
          <w:rFonts w:hint="eastAsia" w:ascii="宋体" w:hAnsi="宋体" w:eastAsia="宋体" w:cs="Times New Roman"/>
          <w:color w:val="auto"/>
          <w:kern w:val="2"/>
          <w:sz w:val="24"/>
          <w:szCs w:val="24"/>
          <w:highlight w:val="none"/>
          <w:lang w:val="en-US" w:eastAsia="zh-CN" w:bidi="ar-SA"/>
        </w:rPr>
        <w:t>。</w:t>
      </w:r>
    </w:p>
    <w:p>
      <w:pPr>
        <w:adjustRightInd w:val="0"/>
        <w:snapToGrid w:val="0"/>
        <w:spacing w:line="312"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（1）中小型微型企业划型标准：</w:t>
      </w:r>
    </w:p>
    <w:p>
      <w:pPr>
        <w:adjustRightInd w:val="0"/>
        <w:snapToGrid w:val="0"/>
        <w:spacing w:line="312"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1.1）在中华人民共和国境内依法设立，依据《关于印发中小企业划型标准规定的通知》（工信部联企业〔2011〕300号）确定的小型企业和微型企业，但与中型或大企业的负责人为同一人，或者与中型、大企业存在直接控股、管理关系的除外。</w:t>
      </w:r>
    </w:p>
    <w:p>
      <w:pPr>
        <w:adjustRightInd w:val="0"/>
        <w:snapToGrid w:val="0"/>
        <w:spacing w:line="312"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符合中小企业划分标准的个体工商户，在政府采购活动中视同小型企业和微型企业。</w:t>
      </w:r>
    </w:p>
    <w:p>
      <w:pPr>
        <w:adjustRightInd w:val="0"/>
        <w:snapToGrid w:val="0"/>
        <w:spacing w:line="312"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（1.2</w:t>
      </w:r>
      <w:r>
        <w:rPr>
          <w:rFonts w:hint="eastAsia" w:ascii="宋体" w:hAnsi="宋体" w:eastAsia="宋体" w:cs="Times New Roman"/>
          <w:b w:val="0"/>
          <w:bCs w:val="0"/>
          <w:color w:val="auto"/>
          <w:sz w:val="24"/>
          <w:szCs w:val="24"/>
          <w:highlight w:val="none"/>
          <w:u w:val="none"/>
          <w:lang w:val="en-US" w:eastAsia="zh-CN"/>
        </w:rPr>
        <w:t>）所属行业：</w:t>
      </w:r>
      <w:r>
        <w:rPr>
          <w:rFonts w:hint="eastAsia" w:ascii="宋体" w:hAnsi="宋体" w:cs="Times New Roman"/>
          <w:b w:val="0"/>
          <w:bCs w:val="0"/>
          <w:color w:val="auto"/>
          <w:sz w:val="24"/>
          <w:szCs w:val="24"/>
          <w:highlight w:val="none"/>
          <w:u w:val="none"/>
          <w:lang w:val="en-US" w:eastAsia="zh-CN"/>
        </w:rPr>
        <w:t>其他未列明行业</w:t>
      </w:r>
      <w:r>
        <w:rPr>
          <w:rFonts w:hint="eastAsia" w:ascii="宋体" w:hAnsi="宋体" w:eastAsia="宋体" w:cs="Times New Roman"/>
          <w:b w:val="0"/>
          <w:bCs w:val="0"/>
          <w:color w:val="auto"/>
          <w:sz w:val="24"/>
          <w:szCs w:val="24"/>
          <w:highlight w:val="none"/>
          <w:u w:val="none"/>
          <w:lang w:val="en-US" w:eastAsia="zh-CN"/>
        </w:rPr>
        <w:t>。</w:t>
      </w:r>
      <w:r>
        <w:rPr>
          <w:rFonts w:hint="eastAsia" w:ascii="宋体" w:hAnsi="宋体" w:cs="Times New Roman"/>
          <w:b w:val="0"/>
          <w:bCs w:val="0"/>
          <w:color w:val="auto"/>
          <w:sz w:val="24"/>
          <w:szCs w:val="24"/>
          <w:highlight w:val="none"/>
          <w:u w:val="none"/>
          <w:lang w:val="en-US" w:eastAsia="zh-CN"/>
        </w:rPr>
        <w:t>从</w:t>
      </w:r>
      <w:r>
        <w:rPr>
          <w:rFonts w:hint="eastAsia" w:ascii="宋体" w:hAnsi="宋体" w:cs="Times New Roman"/>
          <w:b w:val="0"/>
          <w:bCs w:val="0"/>
          <w:color w:val="auto"/>
          <w:sz w:val="24"/>
          <w:szCs w:val="24"/>
          <w:highlight w:val="none"/>
          <w:lang w:val="en-US" w:eastAsia="zh-CN"/>
        </w:rPr>
        <w:t>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Times New Roman"/>
          <w:b w:val="0"/>
          <w:bCs w:val="0"/>
          <w:color w:val="auto"/>
          <w:sz w:val="24"/>
          <w:szCs w:val="24"/>
          <w:highlight w:val="none"/>
          <w:lang w:val="en-US" w:eastAsia="zh-CN"/>
        </w:rPr>
        <w:t>。</w:t>
      </w:r>
    </w:p>
    <w:p>
      <w:pPr>
        <w:adjustRightInd w:val="0"/>
        <w:snapToGrid w:val="0"/>
        <w:spacing w:line="312" w:lineRule="auto"/>
        <w:ind w:firstLine="480" w:firstLineChars="200"/>
        <w:rPr>
          <w:rFonts w:ascii="宋体" w:hAnsi="宋体" w:eastAsia="宋体"/>
          <w:color w:val="auto"/>
          <w:sz w:val="24"/>
          <w:szCs w:val="24"/>
          <w:highlight w:val="none"/>
        </w:rPr>
      </w:pP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1.3</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rPr>
        <w:t>享受小微企业价格折扣的供应商，应当提供《中小企业声明函》，未提供或者提供的材料不符合规定的不予价格扣除。</w:t>
      </w:r>
    </w:p>
    <w:p>
      <w:pPr>
        <w:adjustRightInd w:val="0"/>
        <w:snapToGrid w:val="0"/>
        <w:spacing w:line="312" w:lineRule="auto"/>
        <w:ind w:firstLine="480" w:firstLineChars="200"/>
        <w:rPr>
          <w:rFonts w:hint="eastAsia" w:ascii="宋体" w:hAnsi="宋体" w:eastAsia="宋体"/>
          <w:color w:val="auto"/>
          <w:sz w:val="24"/>
          <w:szCs w:val="24"/>
          <w:highlight w:val="none"/>
        </w:rPr>
      </w:pPr>
      <w:r>
        <w:rPr>
          <w:rFonts w:hint="eastAsia" w:ascii="宋体" w:hAnsi="宋体"/>
          <w:color w:val="auto"/>
          <w:sz w:val="24"/>
          <w:szCs w:val="24"/>
          <w:highlight w:val="none"/>
          <w:lang w:val="en-US" w:eastAsia="zh-CN"/>
        </w:rPr>
        <w:t>5.</w:t>
      </w:r>
      <w:r>
        <w:rPr>
          <w:rFonts w:hint="eastAsia" w:ascii="宋体" w:hAnsi="宋体" w:eastAsia="宋体"/>
          <w:color w:val="auto"/>
          <w:sz w:val="24"/>
          <w:szCs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napToGrid w:val="0"/>
        <w:spacing w:line="312" w:lineRule="auto"/>
        <w:ind w:firstLine="480" w:firstLineChars="200"/>
        <w:rPr>
          <w:rFonts w:hint="default" w:ascii="宋体" w:hAnsi="宋体"/>
          <w:color w:val="auto"/>
          <w:sz w:val="24"/>
          <w:highlight w:val="none"/>
          <w:lang w:val="en-US" w:eastAsia="zh-CN"/>
        </w:rPr>
      </w:pPr>
      <w:r>
        <w:rPr>
          <w:rFonts w:hint="eastAsia" w:ascii="宋体" w:hAnsi="宋体" w:eastAsia="宋体" w:cs="Times New Roman"/>
          <w:color w:val="auto"/>
          <w:sz w:val="24"/>
          <w:szCs w:val="24"/>
          <w:highlight w:val="none"/>
          <w:lang w:val="en-US" w:eastAsia="zh-CN"/>
        </w:rPr>
        <w:t>6.根据《浙江省财政厅关于明确政府采购保证金管理工作的通知》（浙财采监〔2019〕5号）规定“供应商在政府采购活动中违反政府采购相关规定给采购组织机构造成损失的，要求其承担代理费和专家评审费等费用。</w:t>
      </w:r>
    </w:p>
    <w:p>
      <w:pPr>
        <w:pageBreakBefore w:val="0"/>
        <w:kinsoku/>
        <w:overflowPunct/>
        <w:topLinePunct w:val="0"/>
        <w:bidi w:val="0"/>
        <w:adjustRightInd w:val="0"/>
        <w:snapToGrid w:val="0"/>
        <w:spacing w:line="312" w:lineRule="auto"/>
        <w:ind w:left="0" w:leftChars="0"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七、凡对本次采购提出询问，请按以下方式联系。</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1.采购人信息</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名称：</w:t>
      </w:r>
      <w:r>
        <w:rPr>
          <w:rFonts w:hint="eastAsia" w:ascii="宋体" w:hAnsi="宋体" w:cs="宋体"/>
          <w:color w:val="auto"/>
          <w:sz w:val="24"/>
          <w:highlight w:val="none"/>
          <w:lang w:val="en-US" w:eastAsia="zh-CN"/>
        </w:rPr>
        <w:t>龙游县残疾人联合会</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联系人：</w:t>
      </w:r>
      <w:r>
        <w:rPr>
          <w:rFonts w:hint="default" w:ascii="宋体" w:hAnsi="宋体" w:cs="宋体"/>
          <w:color w:val="auto"/>
          <w:sz w:val="24"/>
          <w:highlight w:val="none"/>
          <w:lang w:eastAsia="zh-CN"/>
        </w:rPr>
        <w:t>余先生</w:t>
      </w:r>
      <w:r>
        <w:rPr>
          <w:rFonts w:hint="eastAsia" w:ascii="宋体" w:hAnsi="宋体" w:eastAsia="宋体" w:cs="宋体"/>
          <w:color w:val="auto"/>
          <w:sz w:val="24"/>
          <w:highlight w:val="none"/>
          <w:lang w:val="en-US" w:eastAsia="zh-CN"/>
        </w:rPr>
        <w:t xml:space="preserve">               </w:t>
      </w:r>
    </w:p>
    <w:p>
      <w:pPr>
        <w:adjustRightInd w:val="0"/>
        <w:snapToGrid w:val="0"/>
        <w:spacing w:line="312"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联系方式：1</w:t>
      </w:r>
      <w:r>
        <w:rPr>
          <w:rFonts w:hint="default" w:ascii="宋体" w:hAnsi="宋体" w:cs="宋体"/>
          <w:color w:val="auto"/>
          <w:sz w:val="24"/>
          <w:highlight w:val="none"/>
          <w:lang w:eastAsia="zh-CN"/>
        </w:rPr>
        <w:t>8757033208</w:t>
      </w:r>
      <w:r>
        <w:rPr>
          <w:rFonts w:hint="eastAsia" w:ascii="宋体" w:hAnsi="宋体" w:eastAsia="宋体" w:cs="宋体"/>
          <w:color w:val="auto"/>
          <w:sz w:val="24"/>
          <w:highlight w:val="none"/>
          <w:lang w:val="en-US" w:eastAsia="zh-CN"/>
        </w:rPr>
        <w:t> </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2.采购代理机构信息：</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名称：</w:t>
      </w:r>
      <w:r>
        <w:rPr>
          <w:rFonts w:hint="eastAsia" w:ascii="宋体" w:hAnsi="宋体" w:cs="宋体"/>
          <w:color w:val="auto"/>
          <w:sz w:val="24"/>
          <w:highlight w:val="none"/>
          <w:lang w:val="en-US" w:eastAsia="zh-CN"/>
        </w:rPr>
        <w:t>衢州创禾招标代理有限公司</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联系人：</w:t>
      </w:r>
      <w:r>
        <w:rPr>
          <w:rFonts w:hint="eastAsia" w:ascii="宋体" w:hAnsi="宋体" w:cs="宋体"/>
          <w:color w:val="auto"/>
          <w:sz w:val="24"/>
          <w:highlight w:val="none"/>
          <w:lang w:val="en-US" w:eastAsia="zh-CN"/>
        </w:rPr>
        <w:t>江先生</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联系方式</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18367065229</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龙游县向阳世家68幢二楼</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同级政府采购监督管理部门</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名称：龙游县财政局政府采购监管科</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联系人：严先生</w:t>
      </w:r>
    </w:p>
    <w:p>
      <w:pPr>
        <w:pageBreakBefore w:val="0"/>
        <w:kinsoku/>
        <w:overflowPunct/>
        <w:topLinePunct w:val="0"/>
        <w:bidi w:val="0"/>
        <w:adjustRightInd w:val="0"/>
        <w:snapToGrid w:val="0"/>
        <w:spacing w:line="312"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联系方式</w:t>
      </w:r>
      <w:r>
        <w:rPr>
          <w:rFonts w:hint="eastAsia" w:ascii="宋体" w:hAnsi="宋体" w:eastAsia="宋体" w:cs="宋体"/>
          <w:color w:val="auto"/>
          <w:sz w:val="24"/>
          <w:highlight w:val="none"/>
          <w:lang w:val="en-US" w:eastAsia="zh-CN"/>
        </w:rPr>
        <w:t>：0570-7011687</w:t>
      </w:r>
    </w:p>
    <w:p>
      <w:pPr>
        <w:pageBreakBefore w:val="0"/>
        <w:kinsoku/>
        <w:overflowPunct/>
        <w:topLinePunct w:val="0"/>
        <w:bidi w:val="0"/>
        <w:adjustRightInd w:val="0"/>
        <w:snapToGrid w:val="0"/>
        <w:spacing w:line="312" w:lineRule="auto"/>
        <w:ind w:left="0" w:leftChars="0"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地址：龙游县莲湖路69号</w:t>
      </w:r>
    </w:p>
    <w:p>
      <w:pPr>
        <w:pageBreakBefore w:val="0"/>
        <w:kinsoku/>
        <w:overflowPunct/>
        <w:topLinePunct w:val="0"/>
        <w:bidi w:val="0"/>
        <w:adjustRightInd w:val="0"/>
        <w:snapToGrid w:val="0"/>
        <w:spacing w:line="312" w:lineRule="auto"/>
        <w:ind w:left="0" w:leftChars="0" w:firstLine="480" w:firstLineChars="200"/>
        <w:jc w:val="right"/>
        <w:rPr>
          <w:rFonts w:hint="eastAsia" w:ascii="宋体" w:hAnsi="宋体" w:cs="宋体"/>
          <w:color w:val="auto"/>
          <w:sz w:val="24"/>
          <w:highlight w:val="none"/>
          <w:lang w:eastAsia="zh-CN"/>
        </w:rPr>
      </w:pPr>
    </w:p>
    <w:p>
      <w:pPr>
        <w:pageBreakBefore w:val="0"/>
        <w:kinsoku/>
        <w:overflowPunct/>
        <w:topLinePunct w:val="0"/>
        <w:bidi w:val="0"/>
        <w:adjustRightInd w:val="0"/>
        <w:snapToGrid w:val="0"/>
        <w:spacing w:line="312" w:lineRule="auto"/>
        <w:ind w:left="0" w:leftChars="0" w:firstLine="4800" w:firstLineChars="2000"/>
        <w:jc w:val="right"/>
        <w:rPr>
          <w:rFonts w:hint="eastAsia" w:ascii="宋体" w:hAnsi="宋体" w:cs="宋体"/>
          <w:color w:val="auto"/>
          <w:sz w:val="24"/>
          <w:highlight w:val="none"/>
          <w:lang w:eastAsia="zh-CN"/>
        </w:rPr>
      </w:pPr>
    </w:p>
    <w:p>
      <w:pPr>
        <w:pageBreakBefore w:val="0"/>
        <w:kinsoku/>
        <w:overflowPunct/>
        <w:topLinePunct w:val="0"/>
        <w:bidi w:val="0"/>
        <w:adjustRightInd w:val="0"/>
        <w:snapToGrid w:val="0"/>
        <w:spacing w:line="312" w:lineRule="auto"/>
        <w:ind w:left="0" w:leftChars="0" w:firstLine="4800" w:firstLineChars="2000"/>
        <w:jc w:val="right"/>
        <w:rPr>
          <w:rFonts w:hint="eastAsia" w:ascii="宋体" w:hAnsi="宋体" w:cs="宋体"/>
          <w:color w:val="auto"/>
          <w:sz w:val="24"/>
          <w:highlight w:val="none"/>
          <w:lang w:eastAsia="zh-CN"/>
        </w:rPr>
      </w:pPr>
    </w:p>
    <w:p>
      <w:pPr>
        <w:pageBreakBefore w:val="0"/>
        <w:kinsoku/>
        <w:overflowPunct/>
        <w:topLinePunct w:val="0"/>
        <w:bidi w:val="0"/>
        <w:adjustRightInd w:val="0"/>
        <w:snapToGrid w:val="0"/>
        <w:spacing w:line="312" w:lineRule="auto"/>
        <w:ind w:left="0" w:leftChars="0" w:firstLine="4800" w:firstLineChars="2000"/>
        <w:jc w:val="righ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龙游县残疾人联合会</w:t>
      </w:r>
    </w:p>
    <w:p>
      <w:pPr>
        <w:pageBreakBefore w:val="0"/>
        <w:kinsoku/>
        <w:overflowPunct/>
        <w:topLinePunct w:val="0"/>
        <w:bidi w:val="0"/>
        <w:adjustRightInd w:val="0"/>
        <w:snapToGrid w:val="0"/>
        <w:spacing w:line="312" w:lineRule="auto"/>
        <w:ind w:left="0" w:leftChars="0" w:firstLine="4800" w:firstLineChars="2000"/>
        <w:jc w:val="righ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衢州创禾招标代理有限公司</w:t>
      </w:r>
    </w:p>
    <w:p>
      <w:pPr>
        <w:pageBreakBefore w:val="0"/>
        <w:kinsoku/>
        <w:overflowPunct/>
        <w:topLinePunct w:val="0"/>
        <w:bidi w:val="0"/>
        <w:adjustRightInd w:val="0"/>
        <w:snapToGrid w:val="0"/>
        <w:spacing w:line="312" w:lineRule="auto"/>
        <w:ind w:left="0" w:leftChars="0" w:firstLine="4800" w:firstLineChars="2000"/>
        <w:jc w:val="righ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eastAsia="zh-CN"/>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18日</w:t>
      </w:r>
    </w:p>
    <w:p>
      <w:pPr>
        <w:pageBreakBefore w:val="0"/>
        <w:kinsoku/>
        <w:overflowPunct/>
        <w:topLinePunct w:val="0"/>
        <w:bidi w:val="0"/>
        <w:ind w:left="0" w:leftChars="0"/>
        <w:jc w:val="center"/>
        <w:outlineLvl w:val="0"/>
        <w:rPr>
          <w:rFonts w:ascii="宋体" w:hAnsi="宋体" w:cs="宋体"/>
          <w:b/>
          <w:color w:val="auto"/>
          <w:sz w:val="36"/>
          <w:szCs w:val="36"/>
          <w:highlight w:val="none"/>
        </w:rPr>
      </w:pPr>
      <w:r>
        <w:rPr>
          <w:rFonts w:hint="default"/>
          <w:color w:val="auto"/>
          <w:highlight w:val="none"/>
          <w:lang w:val="en-US" w:eastAsia="zh-CN"/>
        </w:rPr>
        <w:br w:type="page"/>
      </w:r>
      <w:bookmarkStart w:id="2" w:name="_Toc20722"/>
      <w:bookmarkStart w:id="3" w:name="_Toc17551"/>
      <w:r>
        <w:rPr>
          <w:rFonts w:hint="eastAsia" w:ascii="宋体" w:hAnsi="宋体" w:cs="宋体"/>
          <w:b/>
          <w:color w:val="auto"/>
          <w:sz w:val="36"/>
          <w:szCs w:val="36"/>
          <w:highlight w:val="none"/>
        </w:rPr>
        <w:t>第二章</w:t>
      </w:r>
      <w:r>
        <w:rPr>
          <w:rFonts w:hint="eastAsia" w:ascii="宋体" w:hAnsi="宋体" w:cs="宋体"/>
          <w:b/>
          <w:color w:val="auto"/>
          <w:sz w:val="36"/>
          <w:szCs w:val="36"/>
          <w:highlight w:val="none"/>
          <w:lang w:val="en-US" w:eastAsia="zh-CN"/>
        </w:rPr>
        <w:t xml:space="preserve"> 投标人</w:t>
      </w:r>
      <w:r>
        <w:rPr>
          <w:rFonts w:hint="eastAsia" w:ascii="宋体" w:hAnsi="宋体" w:cs="宋体"/>
          <w:b/>
          <w:color w:val="auto"/>
          <w:sz w:val="36"/>
          <w:szCs w:val="36"/>
          <w:highlight w:val="none"/>
        </w:rPr>
        <w:t>须知</w:t>
      </w:r>
      <w:bookmarkEnd w:id="2"/>
      <w:bookmarkEnd w:id="3"/>
    </w:p>
    <w:p>
      <w:pPr>
        <w:pageBreakBefore w:val="0"/>
        <w:tabs>
          <w:tab w:val="left" w:pos="1035"/>
        </w:tabs>
        <w:kinsoku/>
        <w:overflowPunct/>
        <w:topLinePunct w:val="0"/>
        <w:bidi w:val="0"/>
        <w:spacing w:line="460" w:lineRule="exact"/>
        <w:ind w:left="0" w:leftChars="0"/>
        <w:jc w:val="center"/>
        <w:rPr>
          <w:rFonts w:ascii="宋体" w:hAnsi="宋体" w:cs="宋体"/>
          <w:b/>
          <w:color w:val="auto"/>
          <w:sz w:val="30"/>
          <w:szCs w:val="30"/>
          <w:highlight w:val="none"/>
        </w:rPr>
      </w:pPr>
      <w:r>
        <w:rPr>
          <w:rFonts w:hint="eastAsia" w:ascii="宋体" w:hAnsi="宋体" w:cs="宋体"/>
          <w:b/>
          <w:color w:val="auto"/>
          <w:sz w:val="30"/>
          <w:szCs w:val="30"/>
          <w:highlight w:val="none"/>
          <w:lang w:val="en-US" w:eastAsia="zh-CN"/>
        </w:rPr>
        <w:t>一、投标人</w:t>
      </w:r>
      <w:r>
        <w:rPr>
          <w:rFonts w:hint="eastAsia" w:ascii="宋体" w:hAnsi="宋体" w:cs="宋体"/>
          <w:b/>
          <w:color w:val="auto"/>
          <w:sz w:val="30"/>
          <w:szCs w:val="30"/>
          <w:highlight w:val="none"/>
        </w:rPr>
        <w:t>须知前附表</w:t>
      </w:r>
    </w:p>
    <w:tbl>
      <w:tblPr>
        <w:tblStyle w:val="26"/>
        <w:tblW w:w="9753"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567"/>
        <w:gridCol w:w="1986"/>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78"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序号</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内容</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61"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采购人</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龙游县残疾人联合会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项目名称</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zh-CN" w:eastAsia="zh-CN" w:bidi="ar-SA"/>
              </w:rPr>
              <w:t>龙游县重度残疾人康养一体化康复设备采购项目（重招）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76"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采购预算</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2800000元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75"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服务期限</w:t>
            </w:r>
          </w:p>
        </w:tc>
        <w:tc>
          <w:tcPr>
            <w:tcW w:w="7200" w:type="dxa"/>
            <w:shd w:val="clear" w:color="auto" w:fill="FFFFFF"/>
            <w:noWrap w:val="0"/>
            <w:vAlign w:val="center"/>
          </w:tcPr>
          <w:p>
            <w:pPr>
              <w:pageBreakBefore w:val="0"/>
              <w:kinsoku/>
              <w:overflowPunct/>
              <w:topLinePunct w:val="0"/>
              <w:bidi w:val="0"/>
              <w:adjustRightInd w:val="0"/>
              <w:snapToGrid w:val="0"/>
              <w:spacing w:line="312" w:lineRule="auto"/>
              <w:rPr>
                <w:rFonts w:hint="default" w:ascii="宋体" w:hAnsi="宋体"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接甲方通知装修完工后，60天内完成项目所有内容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5</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是否允许联合体参加</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6</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投标有效期</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投标响应文件递交截止之日起90天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19"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7</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投标保证金</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无需缴纳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8</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分包</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不允许，招标文件规定且采购方事先书面同意除外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9</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投标项及中标规定</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本项目不分标项。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10</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分包和非主体、非关键性工作</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11</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现场勘察</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不组织，自行踏勘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12</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答疑会</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13</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履约保证金</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14</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面向中小企业预留情况及小微企业报价扣除标准</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经采购人确认，本项目为专门面向中小企业采购招标，小微企业不享受价格折扣优惠</w:t>
            </w:r>
            <w:r>
              <w:rPr>
                <w:rFonts w:hint="eastAsia" w:ascii="宋体" w:hAnsi="宋体" w:eastAsia="宋体" w:cs="Times New Roman"/>
                <w:color w:val="auto"/>
                <w:kern w:val="2"/>
                <w:sz w:val="24"/>
                <w:szCs w:val="24"/>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15</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行业划分标准及所属行业</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1.本项目所属行业：</w:t>
            </w:r>
            <w:r>
              <w:rPr>
                <w:rFonts w:hint="eastAsia" w:hAnsi="宋体" w:cs="Times New Roman"/>
                <w:color w:val="auto"/>
                <w:kern w:val="2"/>
                <w:sz w:val="24"/>
                <w:szCs w:val="24"/>
                <w:highlight w:val="none"/>
                <w:lang w:val="en-US" w:eastAsia="zh-CN" w:bidi="ar-SA"/>
              </w:rPr>
              <w:t>其他未列明行业</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2.中小企业划分标准：从业人员300人以下的为中小微型企业。其中，从业人员100人及以上的为中型企业；从业人员10人及以上的为小型企业；从业人员10人以下的为微型企业。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78"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16</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政府采购节能环保产品</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投标人须按招标文件要求提供相关产品认证证书。</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采购人拟采购的产品属于政府强制采购的节能产品品目清单范围的，投标人未按招标文件要求提供国家确定的认证机构出具的、处于有效期之内的节能产品认证证书，投标无效。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17</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构成招标文件的其他材料</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采购人依法依规对招标文件所作的澄清或修改，构成招标文件的组成部分。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18</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招标文件的澄清或修改</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招标文件的澄清或修改内容详见浙江政府采购网本项目招标公告页面，投标人应密切关注上述公告页面的最新澄清信息。澄清和修改一经发布，视为投标人已收到。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19</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投标报价范围</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default" w:ascii="宋体" w:hAnsi="宋体" w:eastAsia="宋体" w:cs="Times New Roman"/>
                <w:color w:val="auto"/>
                <w:kern w:val="2"/>
                <w:sz w:val="24"/>
                <w:szCs w:val="24"/>
                <w:highlight w:val="none"/>
                <w:lang w:val="en-US" w:eastAsia="zh-CN" w:bidi="ar-SA"/>
              </w:rPr>
              <w:t>是供应商在正确地完全履行合同义务后采购人应支付的服务价格</w:t>
            </w:r>
            <w:r>
              <w:rPr>
                <w:rFonts w:hint="eastAsia" w:hAnsi="宋体" w:cs="Times New Roman"/>
                <w:color w:val="auto"/>
                <w:kern w:val="2"/>
                <w:sz w:val="24"/>
                <w:szCs w:val="24"/>
                <w:highlight w:val="none"/>
                <w:lang w:val="en-US" w:eastAsia="zh-CN" w:bidi="ar-SA"/>
              </w:rPr>
              <w:t>，</w:t>
            </w:r>
            <w:r>
              <w:rPr>
                <w:rFonts w:hint="eastAsia" w:ascii="宋体" w:hAnsi="宋体" w:eastAsia="宋体" w:cs="Times New Roman"/>
                <w:color w:val="auto"/>
                <w:kern w:val="2"/>
                <w:sz w:val="24"/>
                <w:szCs w:val="24"/>
                <w:highlight w:val="none"/>
                <w:lang w:val="zh-CN" w:eastAsia="zh-CN" w:bidi="ar-SA"/>
              </w:rPr>
              <w:t>包括但不限于</w:t>
            </w:r>
            <w:r>
              <w:rPr>
                <w:rFonts w:hint="eastAsia" w:hAnsi="宋体" w:cs="Times New Roman"/>
                <w:color w:val="auto"/>
                <w:kern w:val="2"/>
                <w:sz w:val="24"/>
                <w:szCs w:val="24"/>
                <w:highlight w:val="none"/>
                <w:lang w:val="en-US" w:eastAsia="zh-CN" w:bidi="ar-SA"/>
              </w:rPr>
              <w:t>货物采购费、</w:t>
            </w:r>
            <w:r>
              <w:rPr>
                <w:rFonts w:hint="eastAsia" w:ascii="宋体" w:hAnsi="宋体" w:eastAsia="宋体" w:cs="Times New Roman"/>
                <w:color w:val="auto"/>
                <w:kern w:val="2"/>
                <w:sz w:val="24"/>
                <w:szCs w:val="24"/>
                <w:highlight w:val="none"/>
                <w:lang w:val="en-US" w:eastAsia="zh-CN" w:bidi="ar-SA"/>
              </w:rPr>
              <w:t>人员费用及福利、办公设施、</w:t>
            </w:r>
            <w:r>
              <w:rPr>
                <w:rFonts w:hint="eastAsia" w:ascii="宋体" w:hAnsi="宋体" w:eastAsia="宋体" w:cs="Times New Roman"/>
                <w:color w:val="auto"/>
                <w:kern w:val="2"/>
                <w:sz w:val="24"/>
                <w:szCs w:val="24"/>
                <w:highlight w:val="none"/>
                <w:lang w:val="zh-CN" w:eastAsia="zh-CN" w:bidi="ar-SA"/>
              </w:rPr>
              <w:t>技术服务及培训费、</w:t>
            </w:r>
            <w:r>
              <w:rPr>
                <w:rFonts w:hint="eastAsia" w:hAnsi="宋体" w:cs="Times New Roman"/>
                <w:color w:val="auto"/>
                <w:kern w:val="2"/>
                <w:sz w:val="24"/>
                <w:szCs w:val="24"/>
                <w:highlight w:val="none"/>
                <w:lang w:val="en-US" w:eastAsia="zh-CN" w:bidi="ar-SA"/>
              </w:rPr>
              <w:t>软件开发及维护、售后服务、</w:t>
            </w:r>
            <w:r>
              <w:rPr>
                <w:rFonts w:hint="eastAsia" w:ascii="宋体" w:hAnsi="宋体" w:eastAsia="宋体" w:cs="Times New Roman"/>
                <w:color w:val="auto"/>
                <w:kern w:val="2"/>
                <w:sz w:val="24"/>
                <w:szCs w:val="24"/>
                <w:highlight w:val="none"/>
                <w:lang w:val="zh-CN" w:eastAsia="zh-CN" w:bidi="ar-SA"/>
              </w:rPr>
              <w:t>保险、采购代理费、</w:t>
            </w:r>
            <w:r>
              <w:rPr>
                <w:rFonts w:hint="default" w:ascii="宋体" w:hAnsi="宋体" w:eastAsia="宋体" w:cs="宋体"/>
                <w:color w:val="auto"/>
                <w:sz w:val="24"/>
                <w:highlight w:val="none"/>
                <w:lang w:val="en-US" w:eastAsia="zh-CN"/>
              </w:rPr>
              <w:t>设备费</w:t>
            </w:r>
            <w:r>
              <w:rPr>
                <w:rFonts w:hint="eastAsia" w:ascii="宋体" w:hAnsi="宋体" w:eastAsia="宋体" w:cs="宋体"/>
                <w:color w:val="auto"/>
                <w:sz w:val="24"/>
                <w:highlight w:val="none"/>
                <w:lang w:val="en-US" w:eastAsia="zh-CN"/>
              </w:rPr>
              <w:t>、</w:t>
            </w:r>
            <w:r>
              <w:rPr>
                <w:rFonts w:hint="default" w:ascii="宋体" w:hAnsi="宋体" w:eastAsia="宋体" w:cs="宋体"/>
                <w:color w:val="auto"/>
                <w:sz w:val="24"/>
                <w:highlight w:val="none"/>
                <w:lang w:val="en-US" w:eastAsia="zh-CN"/>
              </w:rPr>
              <w:t>安装调试费、有关部门的验收费、政策性文件规定及合同包含的所有风险、责任</w:t>
            </w:r>
            <w:r>
              <w:rPr>
                <w:rFonts w:hint="eastAsia" w:ascii="宋体" w:hAnsi="宋体" w:eastAsia="宋体" w:cs="宋体"/>
                <w:color w:val="auto"/>
                <w:sz w:val="24"/>
                <w:highlight w:val="none"/>
                <w:lang w:val="en-US" w:eastAsia="zh-CN"/>
              </w:rPr>
              <w:t>、</w:t>
            </w:r>
            <w:r>
              <w:rPr>
                <w:rFonts w:hint="eastAsia" w:ascii="宋体" w:hAnsi="宋体" w:eastAsia="宋体" w:cs="Times New Roman"/>
                <w:color w:val="auto"/>
                <w:kern w:val="2"/>
                <w:sz w:val="24"/>
                <w:szCs w:val="24"/>
                <w:highlight w:val="none"/>
                <w:lang w:val="zh-CN" w:eastAsia="zh-CN" w:bidi="ar-SA"/>
              </w:rPr>
              <w:t>税金和利润费等所有费用。实行总价包干，如有漏项，视同已包含在其它项目中，价格不作调整，合同签订后不允许中标人擅自改变服务内容、质量标准、期限和追加项目费用。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20</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投标报价次数</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default" w:ascii="宋体" w:hAnsi="宋体" w:eastAsia="宋体" w:cs="Times New Roman"/>
                <w:color w:val="auto"/>
                <w:kern w:val="2"/>
                <w:sz w:val="24"/>
                <w:szCs w:val="24"/>
                <w:highlight w:val="none"/>
                <w:lang w:val="en-US" w:eastAsia="zh-CN" w:bidi="ar-SA"/>
              </w:rPr>
              <w:t>本次投标报价为一次不得更改报价，投标人只有一次报价的机会。投标报价不得有选择性报价和附有条件，且不得高于最高限价，否则，评标委员会按无效报价处理。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21</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是否允许递交备选投标方案</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22</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投标文件形式、制作及组成</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1．形式：电子投标文件</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2．制作：</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2.1政采云电子交易客户端：通过浙江政府采购网（网址：</w:t>
            </w:r>
            <w:r>
              <w:rPr>
                <w:rFonts w:hint="eastAsia" w:ascii="宋体" w:hAnsi="宋体" w:eastAsia="宋体" w:cs="Times New Roman"/>
                <w:color w:val="auto"/>
                <w:kern w:val="2"/>
                <w:sz w:val="24"/>
                <w:szCs w:val="24"/>
                <w:highlight w:val="none"/>
                <w:lang w:val="en-US" w:eastAsia="zh-CN" w:bidi="ar-SA"/>
              </w:rPr>
              <w:fldChar w:fldCharType="begin"/>
            </w:r>
            <w:r>
              <w:rPr>
                <w:rFonts w:hint="eastAsia" w:ascii="宋体" w:hAnsi="宋体" w:eastAsia="宋体" w:cs="Times New Roman"/>
                <w:color w:val="auto"/>
                <w:kern w:val="2"/>
                <w:sz w:val="24"/>
                <w:szCs w:val="24"/>
                <w:highlight w:val="none"/>
                <w:lang w:val="en-US" w:eastAsia="zh-CN" w:bidi="ar-SA"/>
              </w:rPr>
              <w:instrText xml:space="preserve"> HYPERLINK "http://zfcg.czt.zj.gov.cn/bidClientTemplate/2019-09-24/12975.html" \h </w:instrText>
            </w:r>
            <w:r>
              <w:rPr>
                <w:rFonts w:hint="eastAsia" w:ascii="宋体" w:hAnsi="宋体" w:eastAsia="宋体" w:cs="Times New Roman"/>
                <w:color w:val="auto"/>
                <w:kern w:val="2"/>
                <w:sz w:val="24"/>
                <w:szCs w:val="24"/>
                <w:highlight w:val="none"/>
                <w:lang w:val="en-US" w:eastAsia="zh-CN" w:bidi="ar-SA"/>
              </w:rPr>
              <w:fldChar w:fldCharType="separate"/>
            </w:r>
            <w:r>
              <w:rPr>
                <w:rFonts w:hint="eastAsia" w:ascii="宋体" w:hAnsi="宋体" w:eastAsia="宋体" w:cs="Times New Roman"/>
                <w:color w:val="auto"/>
                <w:kern w:val="2"/>
                <w:sz w:val="24"/>
                <w:szCs w:val="24"/>
                <w:highlight w:val="none"/>
                <w:lang w:val="en-US" w:eastAsia="zh-CN" w:bidi="ar-SA"/>
              </w:rPr>
              <w:t>http://zfcg.czt.zj.gov.cn/bidClientTemplate/2019-09-24/12975.html</w:t>
            </w:r>
            <w:r>
              <w:rPr>
                <w:rFonts w:hint="eastAsia" w:ascii="宋体" w:hAnsi="宋体" w:eastAsia="宋体" w:cs="Times New Roman"/>
                <w:color w:val="auto"/>
                <w:kern w:val="2"/>
                <w:sz w:val="24"/>
                <w:szCs w:val="24"/>
                <w:highlight w:val="none"/>
                <w:lang w:val="en-US" w:eastAsia="zh-CN" w:bidi="ar-SA"/>
              </w:rPr>
              <w:fldChar w:fldCharType="end"/>
            </w:r>
            <w:r>
              <w:rPr>
                <w:rFonts w:hint="eastAsia" w:ascii="宋体" w:hAnsi="宋体" w:eastAsia="宋体" w:cs="Times New Roman"/>
                <w:color w:val="auto"/>
                <w:kern w:val="2"/>
                <w:sz w:val="24"/>
                <w:szCs w:val="24"/>
                <w:highlight w:val="none"/>
                <w:lang w:val="en-US" w:eastAsia="zh-CN" w:bidi="ar-SA"/>
              </w:rPr>
              <w:t>)﹣下载专区下载并安装。</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2.2投标文件制作：按照本招标文件和政采云平台的要求，通过政采云电子交易客户端制作并加密投标文件。制作投标文件，响应文件制作：按照本</w:t>
            </w:r>
            <w:r>
              <w:rPr>
                <w:rFonts w:hint="eastAsia" w:hAnsi="宋体" w:cs="Times New Roman"/>
                <w:color w:val="auto"/>
                <w:kern w:val="2"/>
                <w:sz w:val="24"/>
                <w:szCs w:val="24"/>
                <w:highlight w:val="none"/>
                <w:lang w:val="en-US" w:eastAsia="zh-CN" w:bidi="ar-SA"/>
              </w:rPr>
              <w:t>公开招标</w:t>
            </w:r>
            <w:r>
              <w:rPr>
                <w:rFonts w:hint="eastAsia" w:ascii="宋体" w:hAnsi="宋体" w:eastAsia="宋体" w:cs="Times New Roman"/>
                <w:color w:val="auto"/>
                <w:kern w:val="2"/>
                <w:sz w:val="24"/>
                <w:szCs w:val="24"/>
                <w:highlight w:val="none"/>
                <w:lang w:val="en-US" w:eastAsia="zh-CN" w:bidi="ar-SA"/>
              </w:rPr>
              <w:t>文件和政采云平台的要求，通过政采云电子交易客户端制作并加密响应文件。</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2.3签章： CA 电子签单。</w:t>
            </w:r>
          </w:p>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3.幅面规格：采用A4纸规格（图页除外）。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23</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投标文件解密</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投标文件解密时投标人须打开“政采云电子投标客户端”进行解密，使用解密的 CA 和加密的 CA 必须是同一把，在开始解密后30分钟内完成投标文件解密。若因投标人自身原因造成投标文件无法解密读取的，取消投标资格。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69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24</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电子备份投标文件递交</w:t>
            </w:r>
          </w:p>
        </w:tc>
        <w:tc>
          <w:tcPr>
            <w:tcW w:w="7200" w:type="dxa"/>
            <w:shd w:val="clear" w:color="auto" w:fill="FFFFFF"/>
            <w:noWrap w:val="0"/>
            <w:vAlign w:val="center"/>
          </w:tcPr>
          <w:p>
            <w:pPr>
              <w:adjustRightInd w:val="0"/>
              <w:snapToGrid w:val="0"/>
              <w:spacing w:before="31" w:beforeLines="10" w:line="312"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备份文件，由供应商自行确定是否提交；若提交请将备份文件压缩加密后以电子邮件的形式发送至</w:t>
            </w:r>
            <w:r>
              <w:rPr>
                <w:rFonts w:hint="eastAsia" w:ascii="宋体" w:hAnsi="宋体" w:cs="Times New Roman"/>
                <w:color w:val="auto"/>
                <w:kern w:val="2"/>
                <w:sz w:val="24"/>
                <w:szCs w:val="24"/>
                <w:highlight w:val="none"/>
                <w:lang w:val="en-US" w:eastAsia="zh-CN" w:bidi="ar-SA"/>
              </w:rPr>
              <w:t>380480090</w:t>
            </w:r>
            <w:r>
              <w:rPr>
                <w:rFonts w:hint="eastAsia" w:ascii="宋体" w:hAnsi="宋体" w:eastAsia="宋体" w:cs="Times New Roman"/>
                <w:color w:val="auto"/>
                <w:kern w:val="2"/>
                <w:sz w:val="24"/>
                <w:szCs w:val="24"/>
                <w:highlight w:val="none"/>
                <w:lang w:val="en-US" w:eastAsia="zh-CN" w:bidi="ar-SA"/>
              </w:rPr>
              <w:t>@qq.com。</w:t>
            </w:r>
          </w:p>
          <w:p>
            <w:pPr>
              <w:adjustRightInd w:val="0"/>
              <w:snapToGrid w:val="0"/>
              <w:spacing w:before="31" w:beforeLines="10" w:line="312" w:lineRule="auto"/>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注：供应商在线解密失败后，启用备份文件，否则不启用备份文件。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25</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投标文件效力</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投标文件的启用顺序：首先是投标文件，其次是备份投标文件。因网络或者其他非投标人自身问题造成投标文件无法正常解密，才能启用备份投标文件。备份投标文件一旦启用，则投标文件失效，不予启用。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26</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评标委员会</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共5人组成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27</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资格审查</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开标后由评标委员会对投标人资格进行审查，并认定投标人资格是否符合条件。已依法申请获取招标文件并向指定邮箱提交资料的投标人不代表已通过资格审查。</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28</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评审方法</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29</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投标文件递交截止时间</w:t>
            </w:r>
          </w:p>
        </w:tc>
        <w:tc>
          <w:tcPr>
            <w:tcW w:w="7200" w:type="dxa"/>
            <w:shd w:val="clear" w:color="auto" w:fill="FFFFFF"/>
            <w:noWrap w:val="0"/>
            <w:vAlign w:val="center"/>
          </w:tcPr>
          <w:p>
            <w:pPr>
              <w:pageBreakBefore w:val="0"/>
              <w:kinsoku/>
              <w:overflowPunct/>
              <w:topLinePunct w:val="0"/>
              <w:bidi w:val="0"/>
              <w:adjustRightInd w:val="0"/>
              <w:snapToGrid w:val="0"/>
              <w:spacing w:line="312" w:lineRule="auto"/>
              <w:rPr>
                <w:rFonts w:hint="eastAsia" w:ascii="宋体" w:hAnsi="宋体" w:eastAsia="宋体" w:cs="Times New Roman"/>
                <w:color w:val="auto"/>
                <w:kern w:val="2"/>
                <w:sz w:val="24"/>
                <w:szCs w:val="24"/>
                <w:highlight w:val="none"/>
                <w:lang w:val="en-US" w:eastAsia="zh-CN" w:bidi="ar-SA"/>
              </w:rPr>
            </w:pPr>
            <w:r>
              <w:rPr>
                <w:rFonts w:hint="default" w:ascii="宋体" w:hAnsi="宋体"/>
                <w:color w:val="auto"/>
                <w:sz w:val="24"/>
                <w:highlight w:val="none"/>
                <w:lang w:val="en-US" w:eastAsia="zh-CN"/>
              </w:rPr>
              <w:t>202</w:t>
            </w:r>
            <w:r>
              <w:rPr>
                <w:rFonts w:hint="eastAsia" w:ascii="宋体" w:hAnsi="宋体"/>
                <w:color w:val="auto"/>
                <w:sz w:val="24"/>
                <w:highlight w:val="none"/>
                <w:lang w:val="en-US" w:eastAsia="zh-CN"/>
              </w:rPr>
              <w:t>5</w:t>
            </w:r>
            <w:r>
              <w:rPr>
                <w:rFonts w:hint="default" w:ascii="宋体" w:hAnsi="宋体"/>
                <w:color w:val="auto"/>
                <w:sz w:val="24"/>
                <w:highlight w:val="none"/>
                <w:lang w:val="en-US" w:eastAsia="zh-CN"/>
              </w:rPr>
              <w:t>年</w:t>
            </w:r>
            <w:r>
              <w:rPr>
                <w:rFonts w:hint="eastAsia" w:ascii="宋体" w:hAnsi="宋体"/>
                <w:color w:val="auto"/>
                <w:sz w:val="24"/>
                <w:highlight w:val="none"/>
                <w:lang w:val="en-US" w:eastAsia="zh-CN"/>
              </w:rPr>
              <w:t>4</w:t>
            </w:r>
            <w:r>
              <w:rPr>
                <w:rFonts w:hint="default" w:ascii="宋体" w:hAnsi="宋体"/>
                <w:color w:val="auto"/>
                <w:sz w:val="24"/>
                <w:highlight w:val="none"/>
                <w:lang w:val="en-US" w:eastAsia="zh-CN"/>
              </w:rPr>
              <w:t>月</w:t>
            </w:r>
            <w:r>
              <w:rPr>
                <w:rFonts w:hint="eastAsia" w:ascii="宋体" w:hAnsi="宋体"/>
                <w:color w:val="auto"/>
                <w:sz w:val="24"/>
                <w:highlight w:val="none"/>
                <w:lang w:val="en-US" w:eastAsia="zh-CN"/>
              </w:rPr>
              <w:t>8</w:t>
            </w:r>
            <w:r>
              <w:rPr>
                <w:rFonts w:hint="default" w:ascii="宋体" w:hAnsi="宋体"/>
                <w:color w:val="auto"/>
                <w:sz w:val="24"/>
                <w:highlight w:val="none"/>
                <w:lang w:val="en-US" w:eastAsia="zh-CN"/>
              </w:rPr>
              <w:t>日</w:t>
            </w:r>
            <w:r>
              <w:rPr>
                <w:rFonts w:hint="eastAsia" w:ascii="宋体" w:hAnsi="宋体"/>
                <w:color w:val="auto"/>
                <w:sz w:val="24"/>
                <w:highlight w:val="none"/>
                <w:lang w:val="en-US" w:eastAsia="zh-CN"/>
              </w:rPr>
              <w:t>9</w:t>
            </w:r>
            <w:r>
              <w:rPr>
                <w:rFonts w:hint="default" w:ascii="宋体" w:hAnsi="宋体"/>
                <w:color w:val="auto"/>
                <w:sz w:val="24"/>
                <w:highlight w:val="none"/>
                <w:lang w:val="en-US" w:eastAsia="zh-CN"/>
              </w:rPr>
              <w:t>时</w:t>
            </w:r>
            <w:r>
              <w:rPr>
                <w:rFonts w:hint="eastAsia" w:ascii="宋体" w:hAnsi="宋体"/>
                <w:color w:val="auto"/>
                <w:sz w:val="24"/>
                <w:highlight w:val="none"/>
                <w:lang w:val="en-US" w:eastAsia="zh-CN"/>
              </w:rPr>
              <w:t>00</w:t>
            </w:r>
            <w:r>
              <w:rPr>
                <w:rFonts w:hint="default" w:ascii="宋体" w:hAnsi="宋体"/>
                <w:color w:val="auto"/>
                <w:sz w:val="24"/>
                <w:highlight w:val="none"/>
                <w:lang w:val="en-US" w:eastAsia="zh-CN"/>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30</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评审地点</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衢州市公共资源交易龙游县分中心1楼</w:t>
            </w:r>
            <w:r>
              <w:rPr>
                <w:rFonts w:hint="eastAsia" w:hAnsi="宋体" w:cs="Times New Roman"/>
                <w:color w:val="auto"/>
                <w:kern w:val="2"/>
                <w:sz w:val="24"/>
                <w:szCs w:val="24"/>
                <w:highlight w:val="none"/>
                <w:lang w:val="en-US" w:eastAsia="zh-CN" w:bidi="ar-SA"/>
              </w:rPr>
              <w:t>3</w:t>
            </w:r>
            <w:r>
              <w:rPr>
                <w:rFonts w:hint="eastAsia" w:ascii="宋体" w:hAnsi="宋体" w:eastAsia="宋体" w:cs="Times New Roman"/>
                <w:color w:val="auto"/>
                <w:kern w:val="2"/>
                <w:sz w:val="24"/>
                <w:szCs w:val="24"/>
                <w:highlight w:val="none"/>
                <w:lang w:val="en-US" w:eastAsia="zh-CN" w:bidi="ar-SA"/>
              </w:rPr>
              <w:t>号评标室（龙游县龙翔路378号，原香溢市场西侧）。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3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31</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开标时间</w:t>
            </w:r>
          </w:p>
        </w:tc>
        <w:tc>
          <w:tcPr>
            <w:tcW w:w="7200" w:type="dxa"/>
            <w:shd w:val="clear" w:color="auto" w:fill="FFFFFF"/>
            <w:noWrap w:val="0"/>
            <w:vAlign w:val="center"/>
          </w:tcPr>
          <w:p>
            <w:pPr>
              <w:pageBreakBefore w:val="0"/>
              <w:kinsoku/>
              <w:overflowPunct/>
              <w:topLinePunct w:val="0"/>
              <w:bidi w:val="0"/>
              <w:adjustRightInd w:val="0"/>
              <w:snapToGrid w:val="0"/>
              <w:spacing w:line="312" w:lineRule="auto"/>
              <w:rPr>
                <w:rFonts w:hint="eastAsia" w:ascii="宋体" w:hAnsi="宋体" w:eastAsia="宋体" w:cs="Times New Roman"/>
                <w:color w:val="auto"/>
                <w:kern w:val="2"/>
                <w:sz w:val="24"/>
                <w:szCs w:val="24"/>
                <w:highlight w:val="none"/>
                <w:lang w:val="en-US" w:eastAsia="zh-CN" w:bidi="ar-SA"/>
              </w:rPr>
            </w:pPr>
            <w:r>
              <w:rPr>
                <w:rFonts w:hint="default" w:ascii="宋体" w:hAnsi="宋体"/>
                <w:color w:val="auto"/>
                <w:sz w:val="24"/>
                <w:highlight w:val="none"/>
                <w:lang w:val="en-US" w:eastAsia="zh-CN"/>
              </w:rPr>
              <w:t>202</w:t>
            </w:r>
            <w:r>
              <w:rPr>
                <w:rFonts w:hint="eastAsia" w:ascii="宋体" w:hAnsi="宋体"/>
                <w:color w:val="auto"/>
                <w:sz w:val="24"/>
                <w:highlight w:val="none"/>
                <w:lang w:val="en-US" w:eastAsia="zh-CN"/>
              </w:rPr>
              <w:t>5</w:t>
            </w:r>
            <w:r>
              <w:rPr>
                <w:rFonts w:hint="default" w:ascii="宋体" w:hAnsi="宋体"/>
                <w:color w:val="auto"/>
                <w:sz w:val="24"/>
                <w:highlight w:val="none"/>
                <w:lang w:val="en-US" w:eastAsia="zh-CN"/>
              </w:rPr>
              <w:t>年</w:t>
            </w:r>
            <w:r>
              <w:rPr>
                <w:rFonts w:hint="eastAsia" w:ascii="宋体" w:hAnsi="宋体"/>
                <w:color w:val="auto"/>
                <w:sz w:val="24"/>
                <w:highlight w:val="none"/>
                <w:lang w:val="en-US" w:eastAsia="zh-CN"/>
              </w:rPr>
              <w:t>4</w:t>
            </w:r>
            <w:r>
              <w:rPr>
                <w:rFonts w:hint="default" w:ascii="宋体" w:hAnsi="宋体"/>
                <w:color w:val="auto"/>
                <w:sz w:val="24"/>
                <w:highlight w:val="none"/>
                <w:lang w:val="en-US" w:eastAsia="zh-CN"/>
              </w:rPr>
              <w:t>月</w:t>
            </w:r>
            <w:r>
              <w:rPr>
                <w:rFonts w:hint="eastAsia" w:ascii="宋体" w:hAnsi="宋体"/>
                <w:color w:val="auto"/>
                <w:sz w:val="24"/>
                <w:highlight w:val="none"/>
                <w:lang w:val="en-US" w:eastAsia="zh-CN"/>
              </w:rPr>
              <w:t>8</w:t>
            </w:r>
            <w:bookmarkStart w:id="18" w:name="_GoBack"/>
            <w:bookmarkEnd w:id="18"/>
            <w:r>
              <w:rPr>
                <w:rFonts w:hint="default" w:ascii="宋体" w:hAnsi="宋体"/>
                <w:color w:val="auto"/>
                <w:sz w:val="24"/>
                <w:highlight w:val="none"/>
                <w:lang w:val="en-US" w:eastAsia="zh-CN"/>
              </w:rPr>
              <w:t>日</w:t>
            </w:r>
            <w:r>
              <w:rPr>
                <w:rFonts w:hint="eastAsia" w:ascii="宋体" w:hAnsi="宋体"/>
                <w:color w:val="auto"/>
                <w:sz w:val="24"/>
                <w:highlight w:val="none"/>
                <w:lang w:val="en-US" w:eastAsia="zh-CN"/>
              </w:rPr>
              <w:t>9</w:t>
            </w:r>
            <w:r>
              <w:rPr>
                <w:rFonts w:hint="default" w:ascii="宋体" w:hAnsi="宋体"/>
                <w:color w:val="auto"/>
                <w:sz w:val="24"/>
                <w:highlight w:val="none"/>
                <w:lang w:val="en-US" w:eastAsia="zh-CN"/>
              </w:rPr>
              <w:t>时</w:t>
            </w:r>
            <w:r>
              <w:rPr>
                <w:rFonts w:hint="eastAsia" w:ascii="宋体" w:hAnsi="宋体"/>
                <w:color w:val="auto"/>
                <w:sz w:val="24"/>
                <w:highlight w:val="none"/>
                <w:lang w:val="en-US" w:eastAsia="zh-CN"/>
              </w:rPr>
              <w:t>00</w:t>
            </w:r>
            <w:r>
              <w:rPr>
                <w:rFonts w:hint="default" w:ascii="宋体" w:hAnsi="宋体"/>
                <w:color w:val="auto"/>
                <w:sz w:val="24"/>
                <w:highlight w:val="none"/>
                <w:lang w:val="en-US" w:eastAsia="zh-CN"/>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32</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成交规定</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从评审报告提出的成交候选供应商中，按照总分排名顺序确定1个成交供应商。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3"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33</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成交结果公示</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在浙江政府采购网公告，公告期限为1个工作日。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11"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34</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签订合同</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中标通知书发出之日起30日内签订合同。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50"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35</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联系人</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衢州创禾招标代理有限公司</w:t>
            </w:r>
          </w:p>
          <w:p>
            <w:pPr>
              <w:pStyle w:val="16"/>
              <w:pageBreakBefore w:val="0"/>
              <w:kinsoku/>
              <w:overflowPunct/>
              <w:topLinePunct w:val="0"/>
              <w:bidi w:val="0"/>
              <w:adjustRightInd w:val="0"/>
              <w:snapToGrid w:val="0"/>
              <w:spacing w:line="300" w:lineRule="exact"/>
              <w:ind w:left="0" w:leftChars="0" w:right="-53" w:rightChars="-25"/>
              <w:jc w:val="both"/>
              <w:rPr>
                <w:rFonts w:hint="default" w:ascii="宋体" w:hAnsi="宋体" w:eastAsia="宋体" w:cs="Times New Roman"/>
                <w:color w:val="auto"/>
                <w:kern w:val="2"/>
                <w:sz w:val="24"/>
                <w:szCs w:val="24"/>
                <w:highlight w:val="none"/>
                <w:lang w:val="en-US" w:eastAsia="zh-CN" w:bidi="ar-SA"/>
              </w:rPr>
            </w:pPr>
            <w:r>
              <w:rPr>
                <w:rFonts w:hint="eastAsia" w:hAnsi="宋体" w:cs="Times New Roman"/>
                <w:color w:val="auto"/>
                <w:kern w:val="2"/>
                <w:sz w:val="24"/>
                <w:szCs w:val="24"/>
                <w:highlight w:val="none"/>
                <w:lang w:val="en-US" w:eastAsia="zh-CN" w:bidi="ar-SA"/>
              </w:rPr>
              <w:t>江先生</w:t>
            </w:r>
            <w:r>
              <w:rPr>
                <w:rFonts w:hint="eastAsia" w:ascii="宋体" w:hAnsi="宋体" w:eastAsia="宋体" w:cs="Times New Roman"/>
                <w:color w:val="auto"/>
                <w:kern w:val="2"/>
                <w:sz w:val="24"/>
                <w:szCs w:val="24"/>
                <w:highlight w:val="none"/>
                <w:lang w:val="en-US" w:eastAsia="zh-CN" w:bidi="ar-SA"/>
              </w:rPr>
              <w:t xml:space="preserve"> </w:t>
            </w:r>
            <w:r>
              <w:rPr>
                <w:rFonts w:hint="eastAsia" w:ascii="宋体" w:hAnsi="宋体" w:eastAsia="宋体" w:cs="Times New Roman"/>
                <w:color w:val="auto"/>
                <w:kern w:val="2"/>
                <w:sz w:val="24"/>
                <w:szCs w:val="24"/>
                <w:highlight w:val="none"/>
                <w:lang w:val="zh-CN" w:eastAsia="zh-CN" w:bidi="ar-SA"/>
              </w:rPr>
              <w:t>电话：</w:t>
            </w:r>
            <w:r>
              <w:rPr>
                <w:rFonts w:hint="eastAsia" w:hAnsi="宋体" w:cs="Times New Roman"/>
                <w:color w:val="auto"/>
                <w:kern w:val="2"/>
                <w:sz w:val="24"/>
                <w:szCs w:val="24"/>
                <w:highlight w:val="none"/>
                <w:lang w:val="en-US" w:eastAsia="zh-CN" w:bidi="ar-SA"/>
              </w:rPr>
              <w:t>18367065229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74" w:hRule="atLeast"/>
        </w:trPr>
        <w:tc>
          <w:tcPr>
            <w:tcW w:w="567"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36</w:t>
            </w:r>
          </w:p>
        </w:tc>
        <w:tc>
          <w:tcPr>
            <w:tcW w:w="1986"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zh-CN" w:eastAsia="zh-CN" w:bidi="ar-SA"/>
              </w:rPr>
              <w:t>采购公告，更正公告，中标公告发布网址</w:t>
            </w:r>
          </w:p>
        </w:tc>
        <w:tc>
          <w:tcPr>
            <w:tcW w:w="7200" w:type="dxa"/>
            <w:shd w:val="clear" w:color="auto" w:fill="FFFFFF"/>
            <w:noWrap w:val="0"/>
            <w:vAlign w:val="center"/>
          </w:tcPr>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zh-CN" w:eastAsia="zh-CN" w:bidi="ar-SA"/>
              </w:rPr>
            </w:pPr>
            <w:r>
              <w:rPr>
                <w:rFonts w:hint="eastAsia" w:ascii="宋体" w:hAnsi="宋体" w:eastAsia="宋体" w:cs="Times New Roman"/>
                <w:color w:val="auto"/>
                <w:kern w:val="2"/>
                <w:sz w:val="24"/>
                <w:szCs w:val="24"/>
                <w:highlight w:val="none"/>
                <w:lang w:val="zh-CN" w:eastAsia="zh-CN" w:bidi="ar-SA"/>
              </w:rPr>
              <w:t>zfcg.czt.zj.gov.cn（浙江省政府采购网）</w:t>
            </w:r>
          </w:p>
          <w:p>
            <w:pPr>
              <w:pStyle w:val="16"/>
              <w:pageBreakBefore w:val="0"/>
              <w:kinsoku/>
              <w:overflowPunct/>
              <w:topLinePunct w:val="0"/>
              <w:bidi w:val="0"/>
              <w:adjustRightInd w:val="0"/>
              <w:snapToGrid w:val="0"/>
              <w:spacing w:line="300" w:lineRule="exact"/>
              <w:ind w:left="0" w:leftChars="0" w:right="-53" w:rightChars="-25"/>
              <w:jc w:val="both"/>
              <w:rPr>
                <w:rFonts w:hint="eastAsia" w:ascii="宋体" w:hAnsi="宋体" w:eastAsia="宋体" w:cs="Times New Roman"/>
                <w:color w:val="auto"/>
                <w:kern w:val="2"/>
                <w:sz w:val="24"/>
                <w:szCs w:val="24"/>
                <w:highlight w:val="none"/>
                <w:lang w:val="en-US" w:eastAsia="zh-CN" w:bidi="ar-SA"/>
              </w:rPr>
            </w:pPr>
          </w:p>
        </w:tc>
      </w:tr>
    </w:tbl>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二、总则</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1．编制依据</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根据《中华人民共和国政府采购法》《中华人民共和国政府采购法实施条例》《政府采购货物和服务招标投标管理办法》（财政部令第87号）等有关政府采购管理的规定，编制本招标文件。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2．定义</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2.1．采购人，是指本次采购货物</w:t>
      </w:r>
      <w:r>
        <w:rPr>
          <w:rFonts w:hint="eastAsia"/>
          <w:color w:val="auto"/>
          <w:highlight w:val="none"/>
          <w:lang w:val="en-US" w:eastAsia="zh-CN"/>
        </w:rPr>
        <w:t>/</w:t>
      </w:r>
      <w:r>
        <w:rPr>
          <w:rFonts w:hint="default" w:ascii="宋体" w:eastAsia="宋体"/>
          <w:color w:val="auto"/>
          <w:highlight w:val="none"/>
          <w:lang w:val="en-US" w:eastAsia="zh-CN"/>
        </w:rPr>
        <w:t>服务的购买单位。</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2.2．投标人，是指参加政府采购活动，有意愿向采购人提供货物、工程或者服务的</w:t>
      </w:r>
      <w:r>
        <w:rPr>
          <w:rFonts w:hint="eastAsia"/>
          <w:color w:val="auto"/>
          <w:highlight w:val="none"/>
          <w:lang w:val="en-US" w:eastAsia="zh-CN"/>
        </w:rPr>
        <w:t>供应商</w:t>
      </w:r>
      <w:r>
        <w:rPr>
          <w:rFonts w:hint="default" w:ascii="宋体" w:eastAsia="宋体"/>
          <w:color w:val="auto"/>
          <w:highlight w:val="none"/>
          <w:lang w:val="en-US" w:eastAsia="zh-CN"/>
        </w:rPr>
        <w:t>。</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2.3．采购代理机构（采购组织机构），是指在采购活动中根据采购人的委托代理采购事宜的机构。</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2.4．原件，是指原始件（即：资料生成时的原始形态，包括所加盖的印章、相关人员的签字笔迹等均是原始印痕、印迹和行迹）。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2.5．书面形式，包括文字的打印或复印件、传真、信函、电传、电报、电子邮件、浙江政府采购网发布的公告等可以有形地表现所载内容的形式。</w:t>
      </w:r>
    </w:p>
    <w:p>
      <w:pPr>
        <w:pStyle w:val="7"/>
        <w:pageBreakBefore w:val="0"/>
        <w:kinsoku/>
        <w:overflowPunct/>
        <w:topLinePunct w:val="0"/>
        <w:bidi w:val="0"/>
        <w:ind w:left="0" w:leftChars="0"/>
        <w:rPr>
          <w:rFonts w:hint="default"/>
          <w:color w:val="auto"/>
          <w:highlight w:val="none"/>
          <w:lang w:val="en-US" w:eastAsia="zh-CN"/>
        </w:rPr>
      </w:pPr>
      <w:r>
        <w:rPr>
          <w:rFonts w:hint="default" w:ascii="宋体" w:eastAsia="宋体"/>
          <w:color w:val="auto"/>
          <w:highlight w:val="none"/>
          <w:lang w:val="en-US" w:eastAsia="zh-CN"/>
        </w:rPr>
        <w:t>2.6.投标人公章，是指投标人用自己法定主体行为名称制作的签名印章。不得使用专用章（如经济合同章、投标专用章、业务专用章等）或下属单位</w:t>
      </w:r>
      <w:r>
        <w:rPr>
          <w:rFonts w:hint="default"/>
          <w:color w:val="auto"/>
          <w:highlight w:val="none"/>
          <w:lang w:val="en-US" w:eastAsia="zh-CN"/>
        </w:rPr>
        <w:t>印章代替。</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 xml:space="preserve">2.7.“ </w:t>
      </w:r>
      <w:r>
        <w:rPr>
          <w:rFonts w:hint="eastAsia" w:ascii="宋体" w:hAnsi="宋体" w:eastAsia="宋体" w:cs="宋体"/>
          <w:color w:val="auto"/>
          <w:highlight w:val="none"/>
          <w:lang w:val="en-US" w:eastAsia="zh-CN"/>
        </w:rPr>
        <w:t>▲</w:t>
      </w:r>
      <w:r>
        <w:rPr>
          <w:rFonts w:hint="default"/>
          <w:color w:val="auto"/>
          <w:highlight w:val="none"/>
          <w:lang w:val="en-US" w:eastAsia="zh-CN"/>
        </w:rPr>
        <w:t xml:space="preserve"> ”是投标人按本招标文件要求必须实质性响应的条款，有任何一项缺失或非实质性响应将取消其投标资格。</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3．</w:t>
      </w:r>
      <w:r>
        <w:rPr>
          <w:rFonts w:hint="eastAsia" w:ascii="宋体" w:hAnsi="宋体" w:eastAsia="宋体" w:cs="宋体"/>
          <w:color w:val="auto"/>
          <w:highlight w:val="none"/>
          <w:lang w:val="en-US" w:eastAsia="zh-CN"/>
        </w:rPr>
        <w:t>▲</w:t>
      </w:r>
      <w:r>
        <w:rPr>
          <w:rFonts w:hint="default"/>
          <w:color w:val="auto"/>
          <w:highlight w:val="none"/>
          <w:lang w:val="en-US" w:eastAsia="zh-CN"/>
        </w:rPr>
        <w:t>合格的投标人</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合格的投标人应具备以下条件：</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3.1．具备法律法规和本采购文件规定的资格条件</w:t>
      </w:r>
      <w:r>
        <w:rPr>
          <w:rFonts w:hint="eastAsia"/>
          <w:color w:val="auto"/>
          <w:highlight w:val="none"/>
          <w:lang w:val="en-US" w:eastAsia="zh-CN"/>
        </w:rPr>
        <w:t>；</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3.2．不属于限制参加本项目采购活动的供应商；</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3.3．按照规定获取了招标文件，属于实质性参加政府采购活动的供应商。</w:t>
      </w:r>
    </w:p>
    <w:p>
      <w:pPr>
        <w:pStyle w:val="7"/>
        <w:pageBreakBefore w:val="0"/>
        <w:kinsoku/>
        <w:overflowPunct/>
        <w:topLinePunct w:val="0"/>
        <w:bidi w:val="0"/>
        <w:ind w:left="0" w:leftChars="0"/>
        <w:rPr>
          <w:rFonts w:hint="default"/>
          <w:color w:val="auto"/>
          <w:highlight w:val="none"/>
          <w:lang w:val="en-US" w:eastAsia="zh-CN"/>
        </w:rPr>
      </w:pPr>
      <w:r>
        <w:rPr>
          <w:rFonts w:hint="default"/>
          <w:color w:val="auto"/>
          <w:highlight w:val="none"/>
          <w:lang w:val="en-US" w:eastAsia="zh-CN"/>
        </w:rPr>
        <w:t>4．对投标人的限制</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default"/>
          <w:color w:val="auto"/>
          <w:highlight w:val="none"/>
          <w:lang w:val="en-US" w:eastAsia="zh-CN"/>
        </w:rPr>
        <w:t>4.1．未被“信用中国”网站（https://</w:t>
      </w:r>
      <w:r>
        <w:rPr>
          <w:rFonts w:hint="default" w:ascii="宋体" w:eastAsia="宋体"/>
          <w:color w:val="auto"/>
          <w:highlight w:val="none"/>
          <w:lang w:val="en-US" w:eastAsia="zh-CN"/>
        </w:rPr>
        <w:t>www</w:t>
      </w:r>
      <w:r>
        <w:rPr>
          <w:rFonts w:hint="default"/>
          <w:color w:val="auto"/>
          <w:highlight w:val="none"/>
          <w:lang w:val="en-US" w:eastAsia="zh-CN"/>
        </w:rPr>
        <w:t>. creditchina . gov . cn / home /）列入失信被执行人、重大税收违法案件当事人名单、政府采购严重违法失信名单，且在处罚公示期内；未被中国政府采购网</w:t>
      </w:r>
      <w:r>
        <w:rPr>
          <w:rFonts w:hint="default" w:ascii="宋体" w:eastAsia="宋体"/>
          <w:color w:val="auto"/>
          <w:highlight w:val="none"/>
          <w:lang w:val="en-US" w:eastAsia="zh-CN"/>
        </w:rPr>
        <w:t>（http://www. ccgp . gov . cn ）列入政府采购严重违法失信行为信用记录名单，且在禁止参加政府采购活动的行政处罚期内，以及其他不符合《中</w:t>
      </w:r>
      <w:r>
        <w:rPr>
          <w:rFonts w:hint="eastAsia" w:ascii="宋体" w:eastAsia="宋体"/>
          <w:color w:val="auto"/>
          <w:highlight w:val="none"/>
          <w:lang w:val="en-US" w:eastAsia="zh-CN"/>
        </w:rPr>
        <w:t>华人民共和国政府采购法》第二十二条规定条件的申请人。</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(1）信用信息查询。根据《关于在政府采购活动中查询及使用信用记录有关问题的通知》（财库（2016)125号）的要求，通过“信用中国”网站（ www . creditchina . gov . cn )、中国政府采购网（ www . ccgp . gov . cn ）等渠道查询。</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(2）截止时点。响应截止时间。</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(3）信用信息查询记录证据留存的方式。采购代理机构经办人将查询网页打印与其他采购文件一并保存。</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4.2．为采购项目提供整体设计、规范编制或者项目管理、监理、检测等服务的申请人，不得参加本采购项目。申请人为采购人、采购代理机构在确定采购需求、编制招标文件过程中提供咨询论证，其提供的咨询论证意见成为招标文件中规定的申请人资格条件、技术服务商务要求、评审因素和标准、采购合同等实质性内容条款的，视同为采购项目提供规范编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4.3．单位负责人为同一人或者存在直接控股、管理关系的不同供应商，不得参加同一合同项下的政府采购活动。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4.4．政府采购活动中，采购人员及相关人员与供应商有下列利害关系之一的，应当回避：</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(1）参加采购活动前3年内与供应商存在劳动关系；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(2）参加采购活动前3年内担任供应商的董事、监事；</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(3）参加采购活动前3年内是供应商的控股股东或者实际控制人；</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(4）与供应商的法定代表人或者负责人有夫妻、直系血亲、三代以内旁系血亲或者近姻亲关系：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(5）存在共同直接或间接投资设立子公司、联营企业和合营企业情况</w:t>
      </w:r>
      <w:r>
        <w:rPr>
          <w:rFonts w:hint="eastAsia"/>
          <w:color w:val="auto"/>
          <w:highlight w:val="none"/>
          <w:lang w:val="en-US" w:eastAsia="zh-CN"/>
        </w:rPr>
        <w:t>；</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(6）与供应商有其他可能影响政府采购活动公平、公正进行的关系。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4.5．本项目政府采购活动中需要依法回避的采购人员是指采购人内部负责采购项目的具体经办工作人员和直接分管采购项目的负责人，以及采购代理机构负责采购项目的具体经办工作人员和直接分管采购活动的负贵人。本项目政府采购活动中需要依法回避的相关人员是指评标委员会成员。</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4.6．投标人认为采购人员及相关人员与其他投标人有利害关系的，可以向采购代理机构书面提出回避申请，并说明理由。采购代理机构将及时询问被申请回避人员，有利害关系的被申请回避人员应当回避。</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4.7．投标人投标所使用的资质、信誉、荣誉（获奖）、业绩、知识产权、企业认证必须为本法人所拥有。不同法人、其他组织的资料与供应商无关。</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5．资格审查</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按照投标人须知前附表规定，采购组织机构不保证所有获取招标文件的投标人都符合资格要求。</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6．语言文字</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6.1．投标文件以及投标人与采购人就有关投标事宜的所有来往函电，均应以中文汉语书写。除签名、盖章、专用名称等特殊情形外，以中文汉语以外的文字表述的投标文件视同未提供。</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default" w:ascii="宋体" w:eastAsia="宋体"/>
          <w:color w:val="auto"/>
          <w:highlight w:val="none"/>
          <w:lang w:val="en-US" w:eastAsia="zh-CN"/>
        </w:rPr>
        <w:t>6.2．外文专用术语应附有中文注释。招投标文件及相关往来文件中有外文资料的（如质疑函、进口产品厂商授权书等），资料提供方应当将其翻译为中文，注明翻译人员姓名、工作单位、联系方式等信息，并对译</w:t>
      </w:r>
      <w:r>
        <w:rPr>
          <w:rFonts w:hint="eastAsia" w:ascii="宋体" w:eastAsia="宋体"/>
          <w:color w:val="auto"/>
          <w:highlight w:val="none"/>
          <w:lang w:val="en-US" w:eastAsia="zh-CN"/>
        </w:rPr>
        <w:t>文的完整性、客观性、真实性负责。</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7．计量单位</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除招标文件中另有规定外，计量均应采用中华人民共和国法定计量单位；所有报价一律使用人民币，货币单位为“元”。</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8．保密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参与招标活动的当事人应对招标文件和投标文件中的商业和技术等秘密保密，违者应对由此造成的后果承担法律责任。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9．投标费用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不论投标的结果如何，投标人均自行承担所有与参加本次投标有关的费用。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10．投标有效期</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10.1．在投标人须知前附表规定的投标有效期内，投标文件以及其补充、承诺等部分均保持有效。</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10.2．在招标文件规定的投标文件有效期满之前，如果出现特殊情况，采购人或者采购代理机构可在投标有效期内要求投标人延长有效期，要求与答复均以书面通知为准并作为招标文件和投标文件的组成部分。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11．现场勘察</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11.1.投标人须知前附表规定组织踏勘现场的，采购人必须按照规定时间、地点组织投标人踏勘项目现场，以便投标人获取有关编制投标文件和签署合同所涉及现场的资料。投标人承担踏勘现场所发生的自身费用。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11.2．采购人向投标人提供的有关现场的资料和数据，是采购人现有的能使投标人利用的资料，采购人对投标人由此而做出的推论、理解和结论不负责任。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11.3.投标人经过采购人允许，可以进入项目现场踏勘，但不得因此使采购人承担有关责任和蒙受损失。除采购人原因外，投标人应对踏勘现场而造成的死亡、人身伤害、财产损失、损害以及其它任何损失、损害和引起的费用和开支承担责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12．知识产权</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12.1．投标人应保证在本项目使用的任何产品和服务（包括部分使用）时，不会产生因第三方提出侵犯其专利权、商标权或其它知识产权而引起的法律和经济纠纷，否则，由投标人承担所有相关责任。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12.2．除非招标文件特别规定，采购人享有本项目实施过程中产生的知识成果及知识产权。</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12.3．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default" w:ascii="宋体" w:eastAsia="宋体"/>
          <w:color w:val="auto"/>
          <w:highlight w:val="none"/>
          <w:lang w:val="en-US" w:eastAsia="zh-CN"/>
        </w:rPr>
        <w:t>12.4．如采用投标人所不拥有的知识产权，则在投标报价中必须包括合法获取该知识产权的相关费用。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3</w:t>
      </w:r>
      <w:r>
        <w:rPr>
          <w:rFonts w:hint="default" w:ascii="宋体" w:eastAsia="宋体"/>
          <w:color w:val="auto"/>
          <w:highlight w:val="none"/>
          <w:lang w:val="en-US" w:eastAsia="zh-CN"/>
        </w:rPr>
        <w:t>．采购代理费用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3</w:t>
      </w:r>
      <w:r>
        <w:rPr>
          <w:rFonts w:hint="default" w:ascii="宋体" w:eastAsia="宋体"/>
          <w:color w:val="auto"/>
          <w:highlight w:val="none"/>
          <w:lang w:val="en-US" w:eastAsia="zh-CN"/>
        </w:rPr>
        <w:t>.1．采购代理费参照原国家计委计价格［2002]1980号文件和国家发展改革委发改价格［2011]534号文件规定计取，由中标供应商承担。</w:t>
      </w:r>
    </w:p>
    <w:tbl>
      <w:tblPr>
        <w:tblStyle w:val="26"/>
        <w:tblW w:w="95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7"/>
        <w:gridCol w:w="2421"/>
        <w:gridCol w:w="1933"/>
        <w:gridCol w:w="2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57" w:type="dxa"/>
            <w:noWrap w:val="0"/>
            <w:vAlign w:val="top"/>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中标金额（万元）</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货物招标</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服务招标</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100以下</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1.5%</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1.5%</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100-500</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1.1%</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0.8%</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500-1000</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0.8%</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0.45%</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1000-5000</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0.5%</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0.25%</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5000-10000</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0.25%</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0.1%</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10000-100000</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0.05%</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0.05%</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1000000以上</w:t>
            </w:r>
          </w:p>
        </w:tc>
        <w:tc>
          <w:tcPr>
            <w:tcW w:w="2421"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0.01%</w:t>
            </w:r>
          </w:p>
        </w:tc>
        <w:tc>
          <w:tcPr>
            <w:tcW w:w="1933"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0.01%</w:t>
            </w:r>
          </w:p>
        </w:tc>
        <w:tc>
          <w:tcPr>
            <w:tcW w:w="2259" w:type="dxa"/>
            <w:noWrap w:val="0"/>
            <w:vAlign w:val="center"/>
          </w:tcPr>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0.01%</w:t>
            </w:r>
          </w:p>
        </w:tc>
      </w:tr>
    </w:tbl>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若出现</w:t>
      </w:r>
      <w:r>
        <w:rPr>
          <w:rFonts w:hint="eastAsia" w:ascii="宋体" w:eastAsia="宋体"/>
          <w:color w:val="auto"/>
          <w:highlight w:val="none"/>
          <w:lang w:val="en-US" w:eastAsia="zh-CN"/>
        </w:rPr>
        <w:t>流标或</w:t>
      </w:r>
      <w:r>
        <w:rPr>
          <w:rFonts w:hint="default" w:ascii="宋体" w:eastAsia="宋体"/>
          <w:color w:val="auto"/>
          <w:highlight w:val="none"/>
          <w:lang w:val="en-US" w:eastAsia="zh-CN"/>
        </w:rPr>
        <w:t>终止采购情形的，采购代理服务费</w:t>
      </w:r>
      <w:r>
        <w:rPr>
          <w:rFonts w:hint="eastAsia" w:ascii="宋体" w:eastAsia="宋体"/>
          <w:color w:val="auto"/>
          <w:highlight w:val="none"/>
          <w:lang w:val="en-US" w:eastAsia="zh-CN"/>
        </w:rPr>
        <w:t>及评审费</w:t>
      </w:r>
      <w:r>
        <w:rPr>
          <w:rFonts w:hint="default" w:ascii="宋体" w:eastAsia="宋体"/>
          <w:color w:val="auto"/>
          <w:highlight w:val="none"/>
          <w:lang w:val="en-US" w:eastAsia="zh-CN"/>
        </w:rPr>
        <w:t>由采购人支付。</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三、招标文件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．招标文件的构成</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.1．招标公告</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.2．采购需求</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.3．投标人须知</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.4．评审办法</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.5．合同签订与合同范本</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.6．投标文件格式</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4</w:t>
      </w:r>
      <w:r>
        <w:rPr>
          <w:rFonts w:hint="default" w:ascii="宋体" w:eastAsia="宋体"/>
          <w:color w:val="auto"/>
          <w:highlight w:val="none"/>
          <w:lang w:val="en-US" w:eastAsia="zh-CN"/>
        </w:rPr>
        <w:t>.7．本项目招标文件的澄清、答复、修改、补充的内容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5</w:t>
      </w:r>
      <w:r>
        <w:rPr>
          <w:rFonts w:hint="default" w:ascii="宋体" w:eastAsia="宋体"/>
          <w:color w:val="auto"/>
          <w:highlight w:val="none"/>
          <w:lang w:val="en-US" w:eastAsia="zh-CN"/>
        </w:rPr>
        <w:t>．招标文件的澄清或修改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5</w:t>
      </w:r>
      <w:r>
        <w:rPr>
          <w:rFonts w:hint="default" w:ascii="宋体" w:eastAsia="宋体"/>
          <w:color w:val="auto"/>
          <w:highlight w:val="none"/>
          <w:lang w:val="en-US" w:eastAsia="zh-CN"/>
        </w:rPr>
        <w:t>.1．招标文件的澄清和修改及确认，详见投标人须知前附表。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5</w:t>
      </w:r>
      <w:r>
        <w:rPr>
          <w:rFonts w:hint="default" w:ascii="宋体" w:eastAsia="宋体"/>
          <w:color w:val="auto"/>
          <w:highlight w:val="none"/>
          <w:lang w:val="en-US" w:eastAsia="zh-CN"/>
        </w:rPr>
        <w:t>.2．在提交投标文件截止时间前，采购人、采购代理机构可以对招标文件进行澄清或者修改。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5</w:t>
      </w:r>
      <w:r>
        <w:rPr>
          <w:rFonts w:hint="default" w:ascii="宋体" w:eastAsia="宋体"/>
          <w:color w:val="auto"/>
          <w:highlight w:val="none"/>
          <w:lang w:val="en-US" w:eastAsia="zh-CN"/>
        </w:rPr>
        <w:t>.3．投标人认为采购人、采购代理机构需要对招标文件进行澄清或者修改的，可以在招标公告截止前向采购人、采购代理机构提出申请，由采购人、采购代理机构决定是否采纳投标人的申请事项。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5</w:t>
      </w:r>
      <w:r>
        <w:rPr>
          <w:rFonts w:hint="default" w:ascii="宋体" w:eastAsia="宋体"/>
          <w:color w:val="auto"/>
          <w:highlight w:val="none"/>
          <w:lang w:val="en-US" w:eastAsia="zh-CN"/>
        </w:rPr>
        <w:t>.4．招标文件的澄清或修改内容作为招标文件的组成部分。当招标文件与澄清或修改的就同一内容的表述不一致时，以最后发出的文件为准。</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四、投标文件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6</w:t>
      </w:r>
      <w:r>
        <w:rPr>
          <w:rFonts w:hint="default" w:ascii="宋体" w:eastAsia="宋体"/>
          <w:color w:val="auto"/>
          <w:highlight w:val="none"/>
          <w:lang w:val="en-US" w:eastAsia="zh-CN"/>
        </w:rPr>
        <w:t>．投标文件的组成</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6</w:t>
      </w:r>
      <w:r>
        <w:rPr>
          <w:rFonts w:hint="default" w:ascii="宋体" w:eastAsia="宋体"/>
          <w:color w:val="auto"/>
          <w:highlight w:val="none"/>
          <w:lang w:val="en-US" w:eastAsia="zh-CN"/>
        </w:rPr>
        <w:t>.1．投标人应按照招标文件的要求以及格式编制投标文件并做出实质性响应，保证其合法性、真实性、准确性和完整性。</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6</w:t>
      </w:r>
      <w:r>
        <w:rPr>
          <w:rFonts w:hint="default" w:ascii="宋体" w:eastAsia="宋体"/>
          <w:color w:val="auto"/>
          <w:highlight w:val="none"/>
          <w:lang w:val="en-US" w:eastAsia="zh-CN"/>
        </w:rPr>
        <w:t>.2．投标文件由</w:t>
      </w:r>
      <w:r>
        <w:rPr>
          <w:rFonts w:hint="default" w:ascii="宋体" w:eastAsia="宋体"/>
          <w:b/>
          <w:bCs/>
          <w:color w:val="auto"/>
          <w:highlight w:val="none"/>
          <w:lang w:val="en-US" w:eastAsia="zh-CN"/>
        </w:rPr>
        <w:t>【资格审查文件】【商务技术文件】【价格文件】三部分内容组成（下称投标文件），</w:t>
      </w:r>
      <w:r>
        <w:rPr>
          <w:rFonts w:hint="default" w:ascii="宋体" w:eastAsia="宋体"/>
          <w:color w:val="auto"/>
          <w:highlight w:val="none"/>
          <w:lang w:val="en-US" w:eastAsia="zh-CN"/>
        </w:rPr>
        <w:t>其中</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b/>
          <w:bCs/>
          <w:color w:val="auto"/>
          <w:highlight w:val="none"/>
          <w:lang w:val="en-US" w:eastAsia="zh-CN"/>
        </w:rPr>
        <w:t>1</w:t>
      </w:r>
      <w:r>
        <w:rPr>
          <w:rFonts w:hint="eastAsia" w:ascii="宋体" w:eastAsia="宋体"/>
          <w:b/>
          <w:bCs/>
          <w:color w:val="auto"/>
          <w:highlight w:val="none"/>
          <w:lang w:val="en-US" w:eastAsia="zh-CN"/>
        </w:rPr>
        <w:t>6</w:t>
      </w:r>
      <w:r>
        <w:rPr>
          <w:rFonts w:hint="default" w:ascii="宋体" w:eastAsia="宋体"/>
          <w:b/>
          <w:bCs/>
          <w:color w:val="auto"/>
          <w:highlight w:val="none"/>
          <w:lang w:val="en-US" w:eastAsia="zh-CN"/>
        </w:rPr>
        <w:t>.2.1．资格审查文件，包括但不限于下列内容：</w:t>
      </w:r>
    </w:p>
    <w:p>
      <w:pPr>
        <w:pStyle w:val="7"/>
        <w:pageBreakBefore w:val="0"/>
        <w:kinsoku/>
        <w:overflowPunct/>
        <w:topLinePunct w:val="0"/>
        <w:bidi w:val="0"/>
        <w:ind w:left="0" w:leftChars="0"/>
        <w:rPr>
          <w:rFonts w:hint="default" w:ascii="宋体" w:hAnsi="Times New Roman" w:eastAsia="宋体" w:cs="Times New Roman"/>
          <w:color w:val="auto"/>
          <w:highlight w:val="none"/>
          <w:lang w:val="en-US" w:eastAsia="zh-CN"/>
        </w:rPr>
      </w:pPr>
      <w:r>
        <w:rPr>
          <w:rFonts w:hint="eastAsia" w:hAnsi="宋体" w:cs="宋体"/>
          <w:color w:val="auto"/>
          <w:highlight w:val="none"/>
          <w:lang w:val="en-US" w:eastAsia="zh-CN"/>
        </w:rPr>
        <w:t>（1）▲投标声明书</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hAnsi="宋体" w:cs="宋体"/>
          <w:color w:val="auto"/>
          <w:highlight w:val="none"/>
          <w:lang w:val="en-US" w:eastAsia="zh-CN"/>
        </w:rPr>
        <w:t>；</w:t>
      </w:r>
    </w:p>
    <w:p>
      <w:pPr>
        <w:pStyle w:val="7"/>
        <w:pageBreakBefore w:val="0"/>
        <w:kinsoku/>
        <w:overflowPunct/>
        <w:topLinePunct w:val="0"/>
        <w:bidi w:val="0"/>
        <w:ind w:left="0" w:leftChars="0"/>
        <w:rPr>
          <w:rFonts w:hint="eastAsia" w:ascii="宋体" w:hAnsi="Times New Roman" w:eastAsia="宋体" w:cs="Times New Roman"/>
          <w:color w:val="auto"/>
          <w:highlight w:val="none"/>
          <w:lang w:val="en-US" w:eastAsia="zh-CN"/>
        </w:rPr>
      </w:pPr>
      <w:r>
        <w:rPr>
          <w:rFonts w:hint="eastAsia" w:ascii="宋体" w:hAnsi="Times New Roman" w:eastAsia="宋体" w:cs="Times New Roman"/>
          <w:color w:val="auto"/>
          <w:highlight w:val="none"/>
          <w:lang w:val="zh-CN" w:eastAsia="zh-CN"/>
        </w:rPr>
        <w:t>（</w:t>
      </w:r>
      <w:r>
        <w:rPr>
          <w:rFonts w:hint="eastAsia" w:ascii="宋体" w:hAnsi="Times New Roman" w:eastAsia="宋体" w:cs="Times New Roman"/>
          <w:color w:val="auto"/>
          <w:highlight w:val="none"/>
          <w:lang w:val="en-US" w:eastAsia="zh-CN"/>
        </w:rPr>
        <w:t>2</w:t>
      </w:r>
      <w:r>
        <w:rPr>
          <w:rFonts w:hint="eastAsia" w:ascii="宋体" w:hAnsi="Times New Roman" w:eastAsia="宋体" w:cs="Times New Roman"/>
          <w:color w:val="auto"/>
          <w:highlight w:val="none"/>
          <w:lang w:val="zh-CN" w:eastAsia="zh-CN"/>
        </w:rPr>
        <w:t>）▲</w:t>
      </w:r>
      <w:r>
        <w:rPr>
          <w:rFonts w:hint="eastAsia" w:ascii="微软雅黑" w:hAnsi="微软雅黑"/>
          <w:bCs/>
          <w:color w:val="auto"/>
          <w:highlight w:val="none"/>
        </w:rPr>
        <w:t>供应商资格声明</w:t>
      </w:r>
      <w:r>
        <w:rPr>
          <w:rFonts w:hint="eastAsia" w:ascii="微软雅黑" w:hAnsi="微软雅黑"/>
          <w:color w:val="auto"/>
          <w:highlight w:val="none"/>
        </w:rPr>
        <w:t>函</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olor w:val="auto"/>
          <w:szCs w:val="24"/>
          <w:highlight w:val="none"/>
        </w:rPr>
        <w:t>；</w:t>
      </w:r>
    </w:p>
    <w:p>
      <w:pPr>
        <w:pStyle w:val="7"/>
        <w:pageBreakBefore w:val="0"/>
        <w:kinsoku/>
        <w:overflowPunct/>
        <w:topLinePunct w:val="0"/>
        <w:bidi w:val="0"/>
        <w:ind w:left="0" w:leftChars="0"/>
        <w:rPr>
          <w:rFonts w:hint="eastAsia" w:ascii="微软雅黑" w:hAnsi="微软雅黑"/>
          <w:color w:val="auto"/>
          <w:szCs w:val="24"/>
          <w:highlight w:val="none"/>
        </w:rPr>
      </w:pPr>
      <w:r>
        <w:rPr>
          <w:rFonts w:hint="eastAsia" w:ascii="宋体" w:hAnsi="Times New Roman" w:eastAsia="宋体" w:cs="Times New Roman"/>
          <w:color w:val="auto"/>
          <w:highlight w:val="none"/>
          <w:lang w:val="zh-CN" w:eastAsia="zh-CN"/>
        </w:rPr>
        <w:t>（</w:t>
      </w:r>
      <w:r>
        <w:rPr>
          <w:rFonts w:hint="eastAsia" w:ascii="宋体" w:hAnsi="Times New Roman" w:eastAsia="宋体" w:cs="Times New Roman"/>
          <w:color w:val="auto"/>
          <w:highlight w:val="none"/>
          <w:lang w:val="en-US" w:eastAsia="zh-CN"/>
        </w:rPr>
        <w:t>3</w:t>
      </w:r>
      <w:r>
        <w:rPr>
          <w:rFonts w:hint="eastAsia" w:ascii="宋体" w:hAnsi="Times New Roman" w:eastAsia="宋体" w:cs="Times New Roman"/>
          <w:color w:val="auto"/>
          <w:highlight w:val="none"/>
          <w:lang w:val="zh-CN" w:eastAsia="zh-CN"/>
        </w:rPr>
        <w:t>）▲</w:t>
      </w:r>
      <w:r>
        <w:rPr>
          <w:rFonts w:hint="eastAsia" w:ascii="微软雅黑" w:hAnsi="微软雅黑"/>
          <w:color w:val="auto"/>
          <w:szCs w:val="24"/>
          <w:highlight w:val="none"/>
        </w:rPr>
        <w:t>所有资质文件</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olor w:val="auto"/>
          <w:szCs w:val="24"/>
          <w:highlight w:val="none"/>
        </w:rPr>
        <w:t>；</w:t>
      </w:r>
    </w:p>
    <w:p>
      <w:pPr>
        <w:pStyle w:val="7"/>
        <w:pageBreakBefore w:val="0"/>
        <w:kinsoku/>
        <w:overflowPunct/>
        <w:topLinePunct w:val="0"/>
        <w:bidi w:val="0"/>
        <w:ind w:left="0" w:leftChars="0" w:firstLine="1080" w:firstLineChars="450"/>
        <w:rPr>
          <w:rFonts w:hint="eastAsia" w:ascii="宋体" w:hAnsi="Times New Roman" w:eastAsia="宋体" w:cs="Times New Roman"/>
          <w:color w:val="auto"/>
          <w:highlight w:val="none"/>
          <w:lang w:val="en-US" w:eastAsia="zh-CN"/>
        </w:rPr>
      </w:pPr>
      <w:r>
        <w:rPr>
          <w:rFonts w:hint="eastAsia" w:ascii="微软雅黑" w:hAnsi="微软雅黑"/>
          <w:color w:val="auto"/>
          <w:szCs w:val="24"/>
          <w:highlight w:val="none"/>
        </w:rPr>
        <w:t>投标人基本情况表、法人营业执照、税务登记证、组织机构代码（如营业执照为五证合一上述3项仅需提供营业执照）；</w:t>
      </w:r>
    </w:p>
    <w:p>
      <w:pPr>
        <w:pStyle w:val="7"/>
        <w:pageBreakBefore w:val="0"/>
        <w:kinsoku/>
        <w:overflowPunct/>
        <w:topLinePunct w:val="0"/>
        <w:bidi w:val="0"/>
        <w:ind w:left="0" w:leftChars="0"/>
        <w:rPr>
          <w:rFonts w:hint="eastAsia" w:ascii="宋体" w:hAnsi="Times New Roman" w:eastAsia="宋体" w:cs="Times New Roman"/>
          <w:color w:val="auto"/>
          <w:highlight w:val="none"/>
          <w:lang w:val="zh-CN" w:eastAsia="zh-CN"/>
        </w:rPr>
      </w:pPr>
      <w:r>
        <w:rPr>
          <w:rFonts w:hint="eastAsia" w:ascii="宋体" w:hAnsi="Times New Roman" w:eastAsia="宋体" w:cs="Times New Roman"/>
          <w:color w:val="auto"/>
          <w:highlight w:val="none"/>
          <w:lang w:val="zh-CN" w:eastAsia="zh-CN"/>
        </w:rPr>
        <w:t>（</w:t>
      </w:r>
      <w:r>
        <w:rPr>
          <w:rFonts w:hint="eastAsia" w:ascii="宋体" w:hAnsi="Times New Roman" w:eastAsia="宋体" w:cs="Times New Roman"/>
          <w:color w:val="auto"/>
          <w:highlight w:val="none"/>
          <w:lang w:val="en-US" w:eastAsia="zh-CN"/>
        </w:rPr>
        <w:t>4</w:t>
      </w:r>
      <w:r>
        <w:rPr>
          <w:rFonts w:hint="eastAsia" w:ascii="宋体" w:hAnsi="Times New Roman" w:eastAsia="宋体" w:cs="Times New Roman"/>
          <w:color w:val="auto"/>
          <w:highlight w:val="none"/>
          <w:lang w:val="zh-CN" w:eastAsia="zh-CN"/>
        </w:rPr>
        <w:t>）▲法定代表人身份证明或法定代表人授权委托书</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宋体" w:hAnsi="Times New Roman" w:eastAsia="宋体" w:cs="Times New Roman"/>
          <w:color w:val="auto"/>
          <w:highlight w:val="none"/>
          <w:lang w:val="zh-CN" w:eastAsia="zh-CN"/>
        </w:rPr>
        <w:t>；</w:t>
      </w:r>
    </w:p>
    <w:p>
      <w:pPr>
        <w:pStyle w:val="7"/>
        <w:pageBreakBefore w:val="0"/>
        <w:kinsoku/>
        <w:overflowPunct/>
        <w:topLinePunct w:val="0"/>
        <w:bidi w:val="0"/>
        <w:ind w:left="0" w:leftChars="0"/>
        <w:rPr>
          <w:rFonts w:hint="eastAsia" w:ascii="微软雅黑" w:hAnsi="微软雅黑"/>
          <w:color w:val="auto"/>
          <w:highlight w:val="none"/>
        </w:rPr>
      </w:pPr>
      <w:r>
        <w:rPr>
          <w:rFonts w:hint="eastAsia" w:cs="Times New Roman"/>
          <w:color w:val="auto"/>
          <w:highlight w:val="none"/>
          <w:lang w:val="en-US" w:eastAsia="zh-CN"/>
        </w:rPr>
        <w:t>（5）</w:t>
      </w:r>
      <w:r>
        <w:rPr>
          <w:rFonts w:hint="eastAsia" w:ascii="宋体" w:hAnsi="Times New Roman" w:eastAsia="宋体" w:cs="Times New Roman"/>
          <w:color w:val="auto"/>
          <w:highlight w:val="none"/>
          <w:lang w:val="en-US" w:eastAsia="en-US"/>
        </w:rPr>
        <w:t>▲</w:t>
      </w:r>
      <w:r>
        <w:rPr>
          <w:rFonts w:hint="eastAsia" w:ascii="微软雅黑" w:hAnsi="微软雅黑"/>
          <w:color w:val="auto"/>
          <w:highlight w:val="none"/>
        </w:rPr>
        <w:t>参加政府采购活动前3年内在经营活动中没有重大违法记录的声明扫描件</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olor w:val="auto"/>
          <w:highlight w:val="none"/>
        </w:rPr>
        <w:t>；</w:t>
      </w:r>
    </w:p>
    <w:p>
      <w:pPr>
        <w:widowControl/>
        <w:snapToGrid w:val="0"/>
        <w:spacing w:line="480" w:lineRule="exact"/>
        <w:ind w:firstLine="480"/>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Times New Roman" w:eastAsia="宋体" w:cs="Times New Roman"/>
          <w:color w:val="auto"/>
          <w:kern w:val="2"/>
          <w:sz w:val="24"/>
          <w:szCs w:val="24"/>
          <w:highlight w:val="none"/>
          <w:lang w:val="en-US" w:eastAsia="zh-CN" w:bidi="ar-SA"/>
        </w:rPr>
        <w:t>（6）</w:t>
      </w:r>
      <w:r>
        <w:rPr>
          <w:rFonts w:hint="eastAsia" w:ascii="宋体" w:hAnsi="Times New Roman" w:eastAsia="宋体" w:cs="Times New Roman"/>
          <w:color w:val="auto"/>
          <w:kern w:val="2"/>
          <w:sz w:val="24"/>
          <w:szCs w:val="24"/>
          <w:highlight w:val="none"/>
          <w:lang w:val="en-US" w:eastAsia="en-US" w:bidi="ar-SA"/>
        </w:rPr>
        <w:t>▲</w:t>
      </w:r>
      <w:r>
        <w:rPr>
          <w:rFonts w:hint="eastAsia" w:ascii="宋体" w:hAnsi="Times New Roman" w:eastAsia="宋体" w:cs="Times New Roman"/>
          <w:color w:val="auto"/>
          <w:kern w:val="2"/>
          <w:sz w:val="24"/>
          <w:szCs w:val="24"/>
          <w:highlight w:val="none"/>
          <w:lang w:val="en-US" w:eastAsia="zh-CN" w:bidi="ar-SA"/>
        </w:rPr>
        <w:t>信用中国查询截图；</w:t>
      </w:r>
    </w:p>
    <w:p>
      <w:pPr>
        <w:widowControl/>
        <w:snapToGrid w:val="0"/>
        <w:spacing w:line="480" w:lineRule="exact"/>
        <w:ind w:firstLine="480"/>
        <w:jc w:val="left"/>
        <w:rPr>
          <w:rFonts w:hint="eastAsia" w:ascii="宋体" w:hAnsi="宋体"/>
          <w:color w:val="auto"/>
          <w:sz w:val="24"/>
          <w:highlight w:val="none"/>
          <w:lang w:val="en-US" w:eastAsia="zh-CN"/>
        </w:rPr>
      </w:pPr>
      <w:r>
        <w:rPr>
          <w:rFonts w:hint="eastAsia" w:ascii="宋体" w:hAnsi="宋体"/>
          <w:color w:val="auto"/>
          <w:sz w:val="24"/>
          <w:highlight w:val="none"/>
          <w:lang w:val="en-US" w:eastAsia="zh-CN"/>
        </w:rPr>
        <w:t>（7）供应商为医疗器械生产企业的：第二类、第三类医疗器械生产企业提供《医疗器械生产许可证》；供应商为医疗器械经营企业的：第二类医疗器械经营企业提供第二类医疗器械经营备案凭证，第三类医疗器械经营企业提供《医疗器械经营许可证》</w:t>
      </w:r>
    </w:p>
    <w:p>
      <w:pPr>
        <w:widowControl/>
        <w:snapToGrid w:val="0"/>
        <w:spacing w:line="480" w:lineRule="exact"/>
        <w:ind w:firstLine="480"/>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olor w:val="auto"/>
          <w:sz w:val="24"/>
          <w:highlight w:val="none"/>
          <w:lang w:val="en-US" w:eastAsia="zh-CN"/>
        </w:rPr>
        <w:t>（适用于按医疗器械管理的货物）；</w:t>
      </w:r>
    </w:p>
    <w:p>
      <w:pPr>
        <w:widowControl/>
        <w:snapToGrid w:val="0"/>
        <w:spacing w:line="480" w:lineRule="exact"/>
        <w:ind w:firstLine="480"/>
        <w:jc w:val="left"/>
        <w:rPr>
          <w:rFonts w:hint="eastAsia" w:ascii="微软雅黑" w:hAnsi="微软雅黑" w:cs="Times New Roman"/>
          <w:color w:val="auto"/>
          <w:kern w:val="2"/>
          <w:sz w:val="24"/>
          <w:szCs w:val="24"/>
          <w:highlight w:val="none"/>
          <w:lang w:val="en-US" w:eastAsia="zh-CN" w:bidi="ar-SA"/>
        </w:rPr>
      </w:pPr>
      <w:r>
        <w:rPr>
          <w:rFonts w:hint="eastAsia" w:ascii="微软雅黑" w:hAnsi="微软雅黑" w:cs="Times New Roman"/>
          <w:color w:val="auto"/>
          <w:kern w:val="2"/>
          <w:sz w:val="24"/>
          <w:szCs w:val="24"/>
          <w:highlight w:val="none"/>
          <w:lang w:val="en-US" w:eastAsia="zh-CN" w:bidi="ar-SA"/>
        </w:rPr>
        <w:t>（</w:t>
      </w:r>
      <w:r>
        <w:rPr>
          <w:rFonts w:hint="eastAsia" w:ascii="宋体" w:hAnsi="宋体" w:cs="Times New Roman"/>
          <w:color w:val="auto"/>
          <w:sz w:val="24"/>
          <w:highlight w:val="none"/>
          <w:lang w:val="en-US" w:eastAsia="zh-CN"/>
        </w:rPr>
        <w:t>8）</w:t>
      </w:r>
      <w:r>
        <w:rPr>
          <w:rFonts w:hint="eastAsia" w:ascii="微软雅黑" w:hAnsi="微软雅黑" w:cs="Times New Roman"/>
          <w:color w:val="auto"/>
          <w:kern w:val="2"/>
          <w:sz w:val="24"/>
          <w:szCs w:val="24"/>
          <w:highlight w:val="none"/>
          <w:lang w:val="en-US" w:eastAsia="zh-CN" w:bidi="ar-SA"/>
        </w:rPr>
        <w:t>中小企业声明函</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s="Times New Roman"/>
          <w:color w:val="auto"/>
          <w:kern w:val="2"/>
          <w:sz w:val="24"/>
          <w:szCs w:val="24"/>
          <w:highlight w:val="none"/>
          <w:lang w:val="en-US" w:eastAsia="zh-CN" w:bidi="ar-SA"/>
        </w:rPr>
        <w:t>；</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1</w:t>
      </w:r>
      <w:r>
        <w:rPr>
          <w:rFonts w:hint="eastAsia" w:ascii="宋体" w:eastAsia="宋体"/>
          <w:b/>
          <w:bCs/>
          <w:color w:val="auto"/>
          <w:highlight w:val="none"/>
          <w:lang w:val="en-US" w:eastAsia="zh-CN"/>
        </w:rPr>
        <w:t>6</w:t>
      </w:r>
      <w:r>
        <w:rPr>
          <w:rFonts w:hint="default" w:ascii="宋体" w:eastAsia="宋体"/>
          <w:b/>
          <w:bCs/>
          <w:color w:val="auto"/>
          <w:highlight w:val="none"/>
          <w:lang w:val="en-US" w:eastAsia="zh-CN"/>
        </w:rPr>
        <w:t>.2.2．商务技术文件，包括但不限于下列内容：</w:t>
      </w:r>
    </w:p>
    <w:p>
      <w:pPr>
        <w:widowControl/>
        <w:snapToGrid w:val="0"/>
        <w:spacing w:line="480" w:lineRule="exact"/>
        <w:ind w:firstLine="480"/>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Times New Roman" w:eastAsia="宋体" w:cs="Times New Roman"/>
          <w:color w:val="auto"/>
          <w:kern w:val="2"/>
          <w:sz w:val="24"/>
          <w:szCs w:val="24"/>
          <w:highlight w:val="none"/>
          <w:lang w:val="en-US" w:eastAsia="zh-CN" w:bidi="ar-SA"/>
        </w:rPr>
        <w:t>（1）▲</w:t>
      </w:r>
      <w:r>
        <w:rPr>
          <w:rFonts w:hint="default" w:ascii="宋体" w:hAnsi="Times New Roman" w:eastAsia="宋体" w:cs="Times New Roman"/>
          <w:color w:val="auto"/>
          <w:kern w:val="2"/>
          <w:sz w:val="24"/>
          <w:szCs w:val="24"/>
          <w:highlight w:val="none"/>
          <w:lang w:val="en-US" w:eastAsia="zh-CN" w:bidi="ar-SA"/>
        </w:rPr>
        <w:t>投标声明</w:t>
      </w:r>
      <w:r>
        <w:rPr>
          <w:rFonts w:hint="eastAsia" w:ascii="宋体" w:hAnsi="Times New Roman" w:eastAsia="宋体" w:cs="Times New Roman"/>
          <w:color w:val="auto"/>
          <w:kern w:val="2"/>
          <w:sz w:val="24"/>
          <w:szCs w:val="24"/>
          <w:highlight w:val="none"/>
          <w:lang w:val="en-US" w:eastAsia="zh-CN" w:bidi="ar-SA"/>
        </w:rPr>
        <w:t>书（格式见附件）；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hAnsi="Times New Roman" w:eastAsia="宋体" w:cs="Times New Roman"/>
          <w:color w:val="auto"/>
          <w:kern w:val="2"/>
          <w:sz w:val="24"/>
          <w:szCs w:val="24"/>
          <w:highlight w:val="none"/>
          <w:lang w:val="en-US" w:eastAsia="zh-CN" w:bidi="ar-SA"/>
        </w:rPr>
        <w:t>（2）</w:t>
      </w:r>
      <w:r>
        <w:rPr>
          <w:rFonts w:hint="default" w:ascii="宋体" w:hAnsi="Times New Roman" w:eastAsia="宋体" w:cs="Times New Roman"/>
          <w:color w:val="auto"/>
          <w:kern w:val="2"/>
          <w:sz w:val="24"/>
          <w:szCs w:val="24"/>
          <w:highlight w:val="none"/>
          <w:lang w:val="en-US" w:eastAsia="zh-CN" w:bidi="ar-SA"/>
        </w:rPr>
        <w:t>投标人</w:t>
      </w:r>
      <w:r>
        <w:rPr>
          <w:rFonts w:hint="eastAsia" w:ascii="宋体" w:hAnsi="Times New Roman" w:eastAsia="宋体" w:cs="Times New Roman"/>
          <w:color w:val="auto"/>
          <w:kern w:val="2"/>
          <w:sz w:val="24"/>
          <w:szCs w:val="24"/>
          <w:highlight w:val="none"/>
          <w:lang w:val="en-US" w:eastAsia="zh-CN" w:bidi="ar-SA"/>
        </w:rPr>
        <w:t>业绩</w:t>
      </w:r>
      <w:r>
        <w:rPr>
          <w:rFonts w:hint="default" w:ascii="宋体" w:hAnsi="Times New Roman" w:eastAsia="宋体" w:cs="Times New Roman"/>
          <w:color w:val="auto"/>
          <w:kern w:val="2"/>
          <w:sz w:val="24"/>
          <w:szCs w:val="24"/>
          <w:highlight w:val="none"/>
          <w:lang w:val="en-US" w:eastAsia="zh-CN" w:bidi="ar-SA"/>
        </w:rPr>
        <w:t>一览表</w:t>
      </w:r>
      <w:r>
        <w:rPr>
          <w:rFonts w:hint="eastAsia" w:ascii="宋体" w:hAnsi="Times New Roman" w:eastAsia="宋体" w:cs="Times New Roman"/>
          <w:color w:val="auto"/>
          <w:kern w:val="2"/>
          <w:sz w:val="24"/>
          <w:szCs w:val="24"/>
          <w:highlight w:val="none"/>
          <w:lang w:val="en-US" w:eastAsia="zh-CN" w:bidi="ar-SA"/>
        </w:rPr>
        <w:t>（格式见附件</w:t>
      </w:r>
      <w:r>
        <w:rPr>
          <w:rFonts w:hint="eastAsia" w:ascii="微软雅黑" w:hAnsi="微软雅黑"/>
          <w:color w:val="auto"/>
          <w:szCs w:val="24"/>
          <w:highlight w:val="none"/>
          <w:lang w:val="en-US" w:eastAsia="zh-CN"/>
        </w:rPr>
        <w:t>）</w:t>
      </w:r>
      <w:r>
        <w:rPr>
          <w:rFonts w:hint="eastAsia" w:ascii="宋体" w:eastAsia="宋体"/>
          <w:color w:val="auto"/>
          <w:highlight w:val="none"/>
          <w:lang w:val="en-US" w:eastAsia="zh-CN"/>
        </w:rPr>
        <w:t>；</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w:t>
      </w:r>
      <w:r>
        <w:rPr>
          <w:rFonts w:hint="eastAsia"/>
          <w:color w:val="auto"/>
          <w:highlight w:val="none"/>
          <w:lang w:val="en-US" w:eastAsia="zh-CN"/>
        </w:rPr>
        <w:t>3</w:t>
      </w:r>
      <w:r>
        <w:rPr>
          <w:rFonts w:hint="eastAsia" w:ascii="宋体" w:eastAsia="宋体"/>
          <w:color w:val="auto"/>
          <w:highlight w:val="none"/>
          <w:lang w:val="en-US" w:eastAsia="zh-CN"/>
        </w:rPr>
        <w:t>）服务承诺书；</w:t>
      </w:r>
    </w:p>
    <w:p>
      <w:pPr>
        <w:pStyle w:val="7"/>
        <w:pageBreakBefore w:val="0"/>
        <w:kinsoku/>
        <w:overflowPunct/>
        <w:topLinePunct w:val="0"/>
        <w:bidi w:val="0"/>
        <w:ind w:left="0" w:leftChars="0"/>
        <w:rPr>
          <w:rFonts w:hint="eastAsia" w:hAnsi="宋体" w:cs="宋体"/>
          <w:color w:val="auto"/>
          <w:sz w:val="24"/>
          <w:szCs w:val="24"/>
          <w:highlight w:val="none"/>
          <w:lang w:val="en-US" w:eastAsia="zh-CN"/>
        </w:rPr>
      </w:pPr>
      <w:r>
        <w:rPr>
          <w:rFonts w:hint="eastAsia" w:cs="Times New Roman"/>
          <w:color w:val="auto"/>
          <w:highlight w:val="none"/>
          <w:lang w:val="en-US" w:eastAsia="zh-CN"/>
        </w:rPr>
        <w:t>（4）投标人基本情况表</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hAnsi="宋体" w:cs="宋体"/>
          <w:color w:val="auto"/>
          <w:sz w:val="24"/>
          <w:szCs w:val="24"/>
          <w:highlight w:val="none"/>
          <w:lang w:val="en-US" w:eastAsia="zh-CN"/>
        </w:rPr>
        <w:t>；</w:t>
      </w:r>
    </w:p>
    <w:p>
      <w:pPr>
        <w:pStyle w:val="7"/>
        <w:pageBreakBefore w:val="0"/>
        <w:tabs>
          <w:tab w:val="left" w:pos="7922"/>
        </w:tabs>
        <w:kinsoku/>
        <w:overflowPunct/>
        <w:topLinePunct w:val="0"/>
        <w:bidi w:val="0"/>
        <w:ind w:left="0" w:leftChars="0"/>
        <w:rPr>
          <w:rFonts w:hint="default" w:cs="Times New Roman"/>
          <w:color w:val="auto"/>
          <w:highlight w:val="none"/>
          <w:lang w:val="en-US" w:eastAsia="zh-CN"/>
        </w:rPr>
      </w:pPr>
      <w:r>
        <w:rPr>
          <w:rFonts w:hint="eastAsia" w:cs="Times New Roman"/>
          <w:color w:val="auto"/>
          <w:highlight w:val="none"/>
          <w:lang w:val="en-US" w:eastAsia="zh-CN"/>
        </w:rPr>
        <w:t>（5）项目团队人员情况表</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cs="Times New Roman"/>
          <w:color w:val="auto"/>
          <w:highlight w:val="none"/>
          <w:lang w:val="en-US" w:eastAsia="zh-CN"/>
        </w:rPr>
        <w:t>；</w:t>
      </w:r>
      <w:r>
        <w:rPr>
          <w:rFonts w:hint="eastAsia" w:cs="Times New Roman"/>
          <w:color w:val="auto"/>
          <w:highlight w:val="none"/>
          <w:lang w:val="en-US" w:eastAsia="zh-CN"/>
        </w:rPr>
        <w:tab/>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cs="Times New Roman"/>
          <w:color w:val="auto"/>
          <w:highlight w:val="none"/>
          <w:lang w:val="en-US" w:eastAsia="zh-CN"/>
        </w:rPr>
        <w:t>（6）项目实施方案；</w:t>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ascii="宋体" w:hAnsi="Times New Roman" w:eastAsia="宋体" w:cs="Times New Roman"/>
          <w:color w:val="auto"/>
          <w:highlight w:val="none"/>
          <w:lang w:val="en-US" w:eastAsia="zh-CN"/>
        </w:rPr>
        <w:t>（</w:t>
      </w:r>
      <w:r>
        <w:rPr>
          <w:rFonts w:hint="eastAsia" w:cs="Times New Roman"/>
          <w:color w:val="auto"/>
          <w:highlight w:val="none"/>
          <w:lang w:val="en-US" w:eastAsia="zh-CN"/>
        </w:rPr>
        <w:t>7</w:t>
      </w:r>
      <w:r>
        <w:rPr>
          <w:rFonts w:hint="eastAsia" w:ascii="宋体" w:hAnsi="Times New Roman" w:eastAsia="宋体" w:cs="Times New Roman"/>
          <w:color w:val="auto"/>
          <w:highlight w:val="none"/>
          <w:lang w:val="en-US" w:eastAsia="zh-CN"/>
        </w:rPr>
        <w:t>）工作进度安排</w:t>
      </w:r>
      <w:r>
        <w:rPr>
          <w:rFonts w:hint="eastAsia" w:cs="Times New Roman"/>
          <w:color w:val="auto"/>
          <w:highlight w:val="none"/>
          <w:lang w:val="en-US" w:eastAsia="zh-CN"/>
        </w:rPr>
        <w:t>；</w:t>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cs="Times New Roman"/>
          <w:color w:val="auto"/>
          <w:highlight w:val="none"/>
          <w:lang w:val="en-US" w:eastAsia="zh-CN"/>
        </w:rPr>
        <w:t>（8）从业人员人身安全保险证明材料扫描件（如有）；</w:t>
      </w:r>
    </w:p>
    <w:p>
      <w:pPr>
        <w:pStyle w:val="7"/>
        <w:pageBreakBefore w:val="0"/>
        <w:kinsoku/>
        <w:overflowPunct/>
        <w:topLinePunct w:val="0"/>
        <w:bidi w:val="0"/>
        <w:ind w:left="0" w:leftChars="0"/>
        <w:rPr>
          <w:rFonts w:hint="default" w:cs="Times New Roman"/>
          <w:color w:val="auto"/>
          <w:highlight w:val="none"/>
          <w:lang w:val="en-US" w:eastAsia="zh-CN"/>
        </w:rPr>
      </w:pPr>
      <w:r>
        <w:rPr>
          <w:rFonts w:hint="eastAsia" w:cs="Times New Roman"/>
          <w:color w:val="auto"/>
          <w:highlight w:val="none"/>
          <w:lang w:val="en-US" w:eastAsia="zh-CN"/>
        </w:rPr>
        <w:t>（9）</w:t>
      </w:r>
      <w:r>
        <w:rPr>
          <w:rFonts w:hint="default" w:cs="Times New Roman"/>
          <w:color w:val="auto"/>
          <w:highlight w:val="none"/>
          <w:lang w:val="en-US" w:eastAsia="zh-CN"/>
        </w:rPr>
        <w:t>节能环保产品声明函（如有）</w:t>
      </w:r>
    </w:p>
    <w:p>
      <w:pPr>
        <w:pStyle w:val="7"/>
        <w:pageBreakBefore w:val="0"/>
        <w:kinsoku/>
        <w:overflowPunct/>
        <w:topLinePunct w:val="0"/>
        <w:bidi w:val="0"/>
        <w:ind w:left="0" w:leftChars="0"/>
        <w:rPr>
          <w:rFonts w:hint="default" w:cs="Times New Roman"/>
          <w:color w:val="auto"/>
          <w:highlight w:val="none"/>
          <w:lang w:val="en-US" w:eastAsia="zh-CN"/>
        </w:rPr>
      </w:pPr>
      <w:r>
        <w:rPr>
          <w:rFonts w:hint="eastAsia" w:cs="Times New Roman"/>
          <w:color w:val="auto"/>
          <w:highlight w:val="none"/>
          <w:lang w:val="en-US" w:eastAsia="zh-CN"/>
        </w:rPr>
        <w:t>（10）</w:t>
      </w:r>
      <w:r>
        <w:rPr>
          <w:rFonts w:hint="default" w:cs="Times New Roman"/>
          <w:color w:val="auto"/>
          <w:highlight w:val="none"/>
          <w:lang w:val="en-US" w:eastAsia="zh-CN"/>
        </w:rPr>
        <w:t>节能环保产品清单（如有）</w:t>
      </w:r>
    </w:p>
    <w:p>
      <w:pPr>
        <w:pStyle w:val="7"/>
        <w:pageBreakBefore w:val="0"/>
        <w:kinsoku/>
        <w:overflowPunct/>
        <w:topLinePunct w:val="0"/>
        <w:bidi w:val="0"/>
        <w:ind w:left="0" w:leftChars="0"/>
        <w:rPr>
          <w:rFonts w:hint="default" w:ascii="宋体" w:hAnsi="Times New Roman" w:eastAsia="宋体" w:cs="Times New Roman"/>
          <w:color w:val="auto"/>
          <w:highlight w:val="none"/>
          <w:lang w:val="en-US" w:eastAsia="zh-CN"/>
        </w:rPr>
      </w:pPr>
      <w:r>
        <w:rPr>
          <w:rFonts w:hint="eastAsia" w:cs="Times New Roman"/>
          <w:color w:val="auto"/>
          <w:highlight w:val="none"/>
          <w:lang w:val="en-US" w:eastAsia="zh-CN"/>
        </w:rPr>
        <w:t>（11）</w:t>
      </w:r>
      <w:r>
        <w:rPr>
          <w:rFonts w:hint="eastAsia" w:ascii="宋体" w:hAnsi="Times New Roman" w:eastAsia="宋体" w:cs="Times New Roman"/>
          <w:color w:val="auto"/>
          <w:highlight w:val="none"/>
          <w:lang w:val="en-US" w:eastAsia="zh-CN"/>
        </w:rPr>
        <w:t>根据招标文件要求</w:t>
      </w:r>
      <w:r>
        <w:rPr>
          <w:rFonts w:hint="eastAsia" w:ascii="宋体" w:hAnsi="Times New Roman" w:eastAsia="宋体" w:cs="Times New Roman"/>
          <w:color w:val="auto"/>
          <w:highlight w:val="none"/>
          <w:lang w:val="zh-CN" w:eastAsia="zh-CN"/>
        </w:rPr>
        <w:t>认为需要的其他资料。</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1</w:t>
      </w:r>
      <w:r>
        <w:rPr>
          <w:rFonts w:hint="eastAsia" w:ascii="宋体" w:eastAsia="宋体"/>
          <w:b/>
          <w:bCs/>
          <w:color w:val="auto"/>
          <w:highlight w:val="none"/>
          <w:lang w:val="en-US" w:eastAsia="zh-CN"/>
        </w:rPr>
        <w:t>6</w:t>
      </w:r>
      <w:r>
        <w:rPr>
          <w:rFonts w:hint="default" w:ascii="宋体" w:eastAsia="宋体"/>
          <w:b/>
          <w:bCs/>
          <w:color w:val="auto"/>
          <w:highlight w:val="none"/>
          <w:lang w:val="en-US" w:eastAsia="zh-CN"/>
        </w:rPr>
        <w:t>.2.3．价格文件，包括但不限于下列内容：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微软雅黑" w:hAnsi="微软雅黑"/>
          <w:color w:val="auto"/>
          <w:szCs w:val="24"/>
          <w:highlight w:val="none"/>
        </w:rPr>
        <w:t>投标函</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olor w:val="auto"/>
          <w:szCs w:val="24"/>
          <w:highlight w:val="none"/>
        </w:rPr>
        <w:t>；</w:t>
      </w:r>
    </w:p>
    <w:p>
      <w:pPr>
        <w:pStyle w:val="7"/>
        <w:pageBreakBefore w:val="0"/>
        <w:kinsoku/>
        <w:overflowPunct/>
        <w:topLinePunct w:val="0"/>
        <w:bidi w:val="0"/>
        <w:ind w:left="0" w:leftChars="0" w:firstLine="480" w:firstLineChars="200"/>
        <w:rPr>
          <w:rFonts w:hint="eastAsia" w:ascii="宋体" w:hAnsi="宋体" w:eastAsia="宋体" w:cs="宋体"/>
          <w:color w:val="auto"/>
          <w:highlight w:val="none"/>
          <w:lang w:val="en-US" w:eastAsia="zh-CN"/>
        </w:rPr>
      </w:pPr>
      <w:r>
        <w:rPr>
          <w:rFonts w:hint="eastAsia" w:hAnsi="宋体" w:cs="宋体"/>
          <w:color w:val="auto"/>
          <w:highlight w:val="none"/>
          <w:lang w:val="en-US" w:eastAsia="zh-CN"/>
        </w:rPr>
        <w:t>（2）</w:t>
      </w:r>
      <w:r>
        <w:rPr>
          <w:rFonts w:hint="eastAsia" w:ascii="宋体" w:hAnsi="宋体" w:eastAsia="宋体" w:cs="宋体"/>
          <w:color w:val="auto"/>
          <w:highlight w:val="none"/>
          <w:lang w:val="en-US" w:eastAsia="zh-CN"/>
        </w:rPr>
        <w:t>▲报价一览表</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宋体" w:hAnsi="宋体" w:eastAsia="宋体" w:cs="宋体"/>
          <w:color w:val="auto"/>
          <w:highlight w:val="none"/>
          <w:lang w:val="en-US" w:eastAsia="zh-CN"/>
        </w:rPr>
        <w:t>；</w:t>
      </w:r>
    </w:p>
    <w:p>
      <w:pPr>
        <w:pStyle w:val="7"/>
        <w:pageBreakBefore w:val="0"/>
        <w:kinsoku/>
        <w:overflowPunct/>
        <w:topLinePunct w:val="0"/>
        <w:bidi w:val="0"/>
        <w:ind w:left="0" w:leftChars="0" w:firstLine="480" w:firstLineChars="200"/>
        <w:rPr>
          <w:rFonts w:hint="eastAsia" w:ascii="宋体" w:eastAsia="宋体"/>
          <w:color w:val="auto"/>
          <w:highlight w:val="none"/>
          <w:lang w:val="en-US" w:eastAsia="zh-CN"/>
        </w:rPr>
      </w:pPr>
      <w:r>
        <w:rPr>
          <w:rFonts w:hint="eastAsia" w:hAnsi="宋体" w:cs="宋体"/>
          <w:color w:val="auto"/>
          <w:highlight w:val="none"/>
          <w:lang w:val="en-US" w:eastAsia="zh-CN"/>
        </w:rPr>
        <w:t>（3）</w:t>
      </w:r>
      <w:r>
        <w:rPr>
          <w:rFonts w:hint="eastAsia" w:ascii="宋体" w:hAnsi="宋体" w:eastAsia="宋体" w:cs="宋体"/>
          <w:color w:val="auto"/>
          <w:highlight w:val="none"/>
          <w:lang w:val="en-US" w:eastAsia="zh-CN"/>
        </w:rPr>
        <w:t>▲</w:t>
      </w:r>
      <w:r>
        <w:rPr>
          <w:rFonts w:hint="eastAsia" w:ascii="微软雅黑" w:hAnsi="微软雅黑"/>
          <w:color w:val="auto"/>
          <w:highlight w:val="none"/>
        </w:rPr>
        <w:t>中小企业声明函</w:t>
      </w:r>
      <w:r>
        <w:rPr>
          <w:rFonts w:hint="eastAsia" w:ascii="微软雅黑" w:hAnsi="微软雅黑"/>
          <w:color w:val="auto"/>
          <w:szCs w:val="24"/>
          <w:highlight w:val="none"/>
          <w:lang w:eastAsia="zh-CN"/>
        </w:rPr>
        <w:t>（</w:t>
      </w:r>
      <w:r>
        <w:rPr>
          <w:rFonts w:hint="eastAsia" w:ascii="微软雅黑" w:hAnsi="微软雅黑"/>
          <w:color w:val="auto"/>
          <w:szCs w:val="24"/>
          <w:highlight w:val="none"/>
          <w:lang w:val="en-US" w:eastAsia="zh-CN"/>
        </w:rPr>
        <w:t>格式见附件）</w:t>
      </w:r>
      <w:r>
        <w:rPr>
          <w:rFonts w:hint="eastAsia" w:ascii="微软雅黑" w:hAnsi="微软雅黑"/>
          <w:color w:val="auto"/>
          <w:highlight w:val="none"/>
          <w:lang w:eastAsia="zh-CN"/>
        </w:rPr>
        <w:t>；</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w:t>
      </w:r>
      <w:r>
        <w:rPr>
          <w:rFonts w:hint="eastAsia"/>
          <w:color w:val="auto"/>
          <w:highlight w:val="none"/>
          <w:lang w:val="en-US" w:eastAsia="zh-CN"/>
        </w:rPr>
        <w:t>3</w:t>
      </w:r>
      <w:r>
        <w:rPr>
          <w:rFonts w:hint="eastAsia" w:ascii="宋体" w:eastAsia="宋体"/>
          <w:color w:val="auto"/>
          <w:highlight w:val="none"/>
          <w:lang w:val="en-US" w:eastAsia="zh-CN"/>
        </w:rPr>
        <w:t>）</w:t>
      </w:r>
      <w:r>
        <w:rPr>
          <w:rFonts w:hint="default" w:ascii="宋体" w:eastAsia="宋体"/>
          <w:color w:val="auto"/>
          <w:highlight w:val="none"/>
          <w:lang w:val="en-US" w:eastAsia="zh-CN"/>
        </w:rPr>
        <w:t>监狱企业声明函</w:t>
      </w:r>
      <w:r>
        <w:rPr>
          <w:rFonts w:hint="eastAsia" w:ascii="宋体" w:eastAsia="宋体"/>
          <w:color w:val="auto"/>
          <w:highlight w:val="none"/>
          <w:lang w:val="en-US" w:eastAsia="zh-CN"/>
        </w:rPr>
        <w:t>；</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w:t>
      </w:r>
      <w:r>
        <w:rPr>
          <w:rFonts w:hint="eastAsia"/>
          <w:color w:val="auto"/>
          <w:highlight w:val="none"/>
          <w:lang w:val="en-US" w:eastAsia="zh-CN"/>
        </w:rPr>
        <w:t>4</w:t>
      </w:r>
      <w:r>
        <w:rPr>
          <w:rFonts w:hint="eastAsia" w:ascii="宋体" w:eastAsia="宋体"/>
          <w:color w:val="auto"/>
          <w:highlight w:val="none"/>
          <w:lang w:val="en-US" w:eastAsia="zh-CN"/>
        </w:rPr>
        <w:t>）</w:t>
      </w:r>
      <w:r>
        <w:rPr>
          <w:rFonts w:hint="default" w:ascii="宋体" w:eastAsia="宋体"/>
          <w:color w:val="auto"/>
          <w:highlight w:val="none"/>
          <w:lang w:val="en-US" w:eastAsia="zh-CN"/>
        </w:rPr>
        <w:t>残疾人福利性单位声明函</w:t>
      </w:r>
      <w:r>
        <w:rPr>
          <w:rFonts w:hint="eastAsia" w:ascii="宋体" w:eastAsia="宋体"/>
          <w:color w:val="auto"/>
          <w:highlight w:val="none"/>
          <w:lang w:val="en-US" w:eastAsia="zh-CN"/>
        </w:rPr>
        <w:t>；</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w:t>
      </w:r>
      <w:r>
        <w:rPr>
          <w:rFonts w:hint="eastAsia"/>
          <w:color w:val="auto"/>
          <w:highlight w:val="none"/>
          <w:lang w:val="en-US" w:eastAsia="zh-CN"/>
        </w:rPr>
        <w:t>5</w:t>
      </w:r>
      <w:r>
        <w:rPr>
          <w:rFonts w:hint="eastAsia" w:ascii="宋体" w:eastAsia="宋体"/>
          <w:color w:val="auto"/>
          <w:highlight w:val="none"/>
          <w:lang w:val="en-US" w:eastAsia="zh-CN"/>
        </w:rPr>
        <w:t>）</w:t>
      </w:r>
      <w:r>
        <w:rPr>
          <w:rFonts w:hint="default" w:ascii="宋体" w:eastAsia="宋体"/>
          <w:color w:val="auto"/>
          <w:highlight w:val="none"/>
          <w:lang w:val="en-US" w:eastAsia="zh-CN"/>
        </w:rPr>
        <w:t>投标人根据采购文件要求认为需提供的其他资料。</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7</w:t>
      </w:r>
      <w:r>
        <w:rPr>
          <w:rFonts w:hint="default" w:ascii="宋体" w:eastAsia="宋体"/>
          <w:color w:val="auto"/>
          <w:highlight w:val="none"/>
          <w:lang w:val="en-US" w:eastAsia="zh-CN"/>
        </w:rPr>
        <w:t>．投标报价</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1</w:t>
      </w:r>
      <w:r>
        <w:rPr>
          <w:rFonts w:hint="eastAsia" w:ascii="宋体" w:eastAsia="宋体"/>
          <w:b/>
          <w:bCs/>
          <w:color w:val="auto"/>
          <w:highlight w:val="none"/>
          <w:lang w:val="en-US" w:eastAsia="zh-CN"/>
        </w:rPr>
        <w:t>7</w:t>
      </w:r>
      <w:r>
        <w:rPr>
          <w:rFonts w:hint="default" w:ascii="宋体" w:eastAsia="宋体"/>
          <w:b/>
          <w:bCs/>
          <w:color w:val="auto"/>
          <w:highlight w:val="none"/>
          <w:lang w:val="en-US" w:eastAsia="zh-CN"/>
        </w:rPr>
        <w:t>.1．最高限价：详见投标人须知前附表，投标报价高于最高限价的为无效报价。</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7</w:t>
      </w:r>
      <w:r>
        <w:rPr>
          <w:rFonts w:hint="default" w:ascii="宋体" w:eastAsia="宋体"/>
          <w:color w:val="auto"/>
          <w:highlight w:val="none"/>
          <w:lang w:val="en-US" w:eastAsia="zh-CN"/>
        </w:rPr>
        <w:t>.2．投标报价范围：见投标人须知前附表。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7</w:t>
      </w:r>
      <w:r>
        <w:rPr>
          <w:rFonts w:hint="default" w:ascii="宋体" w:eastAsia="宋体"/>
          <w:color w:val="auto"/>
          <w:highlight w:val="none"/>
          <w:lang w:val="en-US" w:eastAsia="zh-CN"/>
        </w:rPr>
        <w:t>.4．投标报价只允许有一个报价，有选择的或有条件的报价均不</w:t>
      </w:r>
      <w:r>
        <w:rPr>
          <w:rFonts w:hint="eastAsia"/>
          <w:color w:val="auto"/>
          <w:highlight w:val="none"/>
          <w:lang w:val="en-US" w:eastAsia="zh-CN"/>
        </w:rPr>
        <w:t>予</w:t>
      </w:r>
      <w:r>
        <w:rPr>
          <w:rFonts w:hint="default" w:ascii="宋体" w:eastAsia="宋体"/>
          <w:color w:val="auto"/>
          <w:highlight w:val="none"/>
          <w:lang w:val="en-US" w:eastAsia="zh-CN"/>
        </w:rPr>
        <w:t>接受。</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8</w:t>
      </w:r>
      <w:r>
        <w:rPr>
          <w:rFonts w:hint="default" w:ascii="宋体" w:eastAsia="宋体"/>
          <w:color w:val="auto"/>
          <w:highlight w:val="none"/>
          <w:lang w:val="en-US" w:eastAsia="zh-CN"/>
        </w:rPr>
        <w:t>．投标文件编制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8</w:t>
      </w:r>
      <w:r>
        <w:rPr>
          <w:rFonts w:hint="default" w:ascii="宋体" w:eastAsia="宋体"/>
          <w:color w:val="auto"/>
          <w:highlight w:val="none"/>
          <w:lang w:val="en-US" w:eastAsia="zh-CN"/>
        </w:rPr>
        <w:t>.1．投标文件形式、制作、组成：详见投标人须知前附表：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(1）按本招标文件采购需求、投标文件组成等要求进行编写，如有必要，可以增加附页。</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(2）应当内容完整、条理清晰、字迹工整、格式规范、编排有序，逐页编目编码，否则导致投标文件被误读、漏读或者查找不到相关内容的，后果由投标人自负。</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(3）招标文件提供固定格式的，投标人须按照固定格式制作投标文件（详见本招标文件），招标文件没有格式要求的由投标人自行编写。</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w:t>
      </w:r>
      <w:r>
        <w:rPr>
          <w:rFonts w:hint="eastAsia" w:ascii="宋体" w:eastAsia="宋体"/>
          <w:color w:val="auto"/>
          <w:highlight w:val="none"/>
          <w:lang w:val="en-US" w:eastAsia="zh-CN"/>
        </w:rPr>
        <w:t>8</w:t>
      </w:r>
      <w:r>
        <w:rPr>
          <w:rFonts w:hint="default" w:ascii="宋体" w:eastAsia="宋体"/>
          <w:color w:val="auto"/>
          <w:highlight w:val="none"/>
          <w:lang w:val="en-US" w:eastAsia="zh-CN"/>
        </w:rPr>
        <w:t>.2.</w:t>
      </w:r>
      <w:r>
        <w:rPr>
          <w:rFonts w:hint="eastAsia" w:ascii="宋体" w:hAnsi="宋体" w:eastAsia="宋体" w:cs="宋体"/>
          <w:color w:val="auto"/>
          <w:highlight w:val="none"/>
          <w:lang w:val="en-US" w:eastAsia="zh-CN"/>
        </w:rPr>
        <w:t>▲</w:t>
      </w:r>
      <w:r>
        <w:rPr>
          <w:rFonts w:hint="default" w:ascii="宋体" w:eastAsia="宋体"/>
          <w:color w:val="auto"/>
          <w:highlight w:val="none"/>
          <w:lang w:val="en-US" w:eastAsia="zh-CN"/>
        </w:rPr>
        <w:t>签章：招标文件注明需签字盖章部位、资格、商务证明材料原件扫描件，以及任何行间插字、涂改或增删位置和澄清说明函等均须采用 CA 电子签章。</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19</w:t>
      </w:r>
      <w:r>
        <w:rPr>
          <w:rFonts w:hint="default" w:ascii="宋体" w:eastAsia="宋体"/>
          <w:color w:val="auto"/>
          <w:highlight w:val="none"/>
          <w:lang w:val="en-US" w:eastAsia="zh-CN"/>
        </w:rPr>
        <w:t>．投标文件加密和提交</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19</w:t>
      </w:r>
      <w:r>
        <w:rPr>
          <w:rFonts w:hint="default" w:ascii="宋体" w:eastAsia="宋体"/>
          <w:color w:val="auto"/>
          <w:highlight w:val="none"/>
          <w:lang w:val="en-US" w:eastAsia="zh-CN"/>
        </w:rPr>
        <w:t>.1．详见投标人须知前附表。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19</w:t>
      </w:r>
      <w:r>
        <w:rPr>
          <w:rFonts w:hint="default" w:ascii="宋体" w:eastAsia="宋体"/>
          <w:color w:val="auto"/>
          <w:highlight w:val="none"/>
          <w:lang w:val="en-US" w:eastAsia="zh-CN"/>
        </w:rPr>
        <w:t>.2．提交：详见本项目招标公告。投标人须在提交投标文件截止时间前完成上传提交，否则，视为撤回投标文件。</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0</w:t>
      </w:r>
      <w:r>
        <w:rPr>
          <w:rFonts w:hint="default" w:ascii="宋体" w:eastAsia="宋体"/>
          <w:color w:val="auto"/>
          <w:highlight w:val="none"/>
          <w:lang w:val="en-US" w:eastAsia="zh-CN"/>
        </w:rPr>
        <w:t>．投标文件修改或撤回</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0</w:t>
      </w:r>
      <w:r>
        <w:rPr>
          <w:rFonts w:hint="default" w:ascii="宋体" w:eastAsia="宋体"/>
          <w:color w:val="auto"/>
          <w:highlight w:val="none"/>
          <w:lang w:val="en-US" w:eastAsia="zh-CN"/>
        </w:rPr>
        <w:t>.1．在投标截止时间前投标人可以对已提交投标文件进行补充、修改或撤回，需补充或者修改投标文件时，应当先行撤回原文件。经补充、修改后的投标文件须在投标截止时间前完成重新传输提交，且符合规定。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0</w:t>
      </w:r>
      <w:r>
        <w:rPr>
          <w:rFonts w:hint="default" w:ascii="宋体" w:eastAsia="宋体"/>
          <w:color w:val="auto"/>
          <w:highlight w:val="none"/>
          <w:lang w:val="en-US" w:eastAsia="zh-CN"/>
        </w:rPr>
        <w:t>.2．投标截止时间后，投标人不得撤回、修改投标文件。</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五、开标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1</w:t>
      </w:r>
      <w:r>
        <w:rPr>
          <w:rFonts w:hint="default" w:ascii="宋体" w:eastAsia="宋体"/>
          <w:color w:val="auto"/>
          <w:highlight w:val="none"/>
          <w:lang w:val="en-US" w:eastAsia="zh-CN"/>
        </w:rPr>
        <w:t>．开标时间及地点</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1</w:t>
      </w:r>
      <w:r>
        <w:rPr>
          <w:rFonts w:hint="default" w:ascii="宋体" w:eastAsia="宋体"/>
          <w:color w:val="auto"/>
          <w:highlight w:val="none"/>
          <w:lang w:val="en-US" w:eastAsia="zh-CN"/>
        </w:rPr>
        <w:t>.1．详见本项目招标公告。</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1</w:t>
      </w:r>
      <w:r>
        <w:rPr>
          <w:rFonts w:hint="default" w:ascii="宋体" w:eastAsia="宋体"/>
          <w:color w:val="auto"/>
          <w:highlight w:val="none"/>
          <w:lang w:val="en-US" w:eastAsia="zh-CN"/>
        </w:rPr>
        <w:t>.2．支持网上远程开启投标文件，投标人无需到现场参加开启会议，投标人应由法定代表人或委托代理人准时在线参加。随时关注评审进度，如在评审过程中有电子询标，应在规定的时间内对电子询标函进行澄清、答复。否则视同认可评审结果，不得对评审过程及评审结果提出质疑。</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2</w:t>
      </w:r>
      <w:r>
        <w:rPr>
          <w:rFonts w:hint="default" w:ascii="宋体" w:eastAsia="宋体"/>
          <w:color w:val="auto"/>
          <w:highlight w:val="none"/>
          <w:lang w:val="en-US" w:eastAsia="zh-CN"/>
        </w:rPr>
        <w:t>．开评标程序</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2</w:t>
      </w:r>
      <w:r>
        <w:rPr>
          <w:rFonts w:hint="default" w:ascii="宋体" w:eastAsia="宋体"/>
          <w:color w:val="auto"/>
          <w:highlight w:val="none"/>
          <w:lang w:val="en-US" w:eastAsia="zh-CN"/>
        </w:rPr>
        <w:t>.1．本项目原则上采用政采云电子招投标、开标及评审程序。因非投标人自身原因导致投标文件在规定时间内无法解密或解密失败的，工作人员将开启该投标人提交的备份投标文件，以完成开标工作。</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2</w:t>
      </w:r>
      <w:r>
        <w:rPr>
          <w:rFonts w:hint="default" w:ascii="宋体" w:eastAsia="宋体"/>
          <w:color w:val="auto"/>
          <w:highlight w:val="none"/>
          <w:lang w:val="en-US" w:eastAsia="zh-CN"/>
        </w:rPr>
        <w:t>.2．电子投标开标及评审程序</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(1）开标时间后，投标人登录政采云平台，用“项目采购﹣开标评标”功能对电子投标文件进行在线解密。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(2）由评标委员会对投标人资格进行审查，在系统上公开资格审查结果。</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default" w:ascii="宋体" w:eastAsia="宋体"/>
          <w:color w:val="auto"/>
          <w:highlight w:val="none"/>
          <w:lang w:val="en-US" w:eastAsia="zh-CN"/>
        </w:rPr>
        <w:t>(3）对有效投标文件的商务技术部分进行评审，在系统上</w:t>
      </w:r>
      <w:r>
        <w:rPr>
          <w:rFonts w:hint="eastAsia" w:ascii="宋体" w:eastAsia="宋体"/>
          <w:color w:val="auto"/>
          <w:highlight w:val="none"/>
          <w:lang w:val="en-US" w:eastAsia="zh-CN"/>
        </w:rPr>
        <w:t>公开商务技术评审及得分结果。</w:t>
      </w:r>
    </w:p>
    <w:p>
      <w:pPr>
        <w:pStyle w:val="7"/>
        <w:pageBreakBefore w:val="0"/>
        <w:kinsoku/>
        <w:overflowPunct/>
        <w:topLinePunct w:val="0"/>
        <w:bidi w:val="0"/>
        <w:ind w:left="0" w:leftChars="0" w:firstLine="0" w:firstLineChars="0"/>
        <w:rPr>
          <w:rFonts w:hint="eastAsia" w:ascii="宋体" w:eastAsia="宋体"/>
          <w:color w:val="auto"/>
          <w:highlight w:val="none"/>
          <w:lang w:val="en-US" w:eastAsia="zh-CN"/>
        </w:rPr>
      </w:pPr>
      <w:r>
        <w:rPr>
          <w:rFonts w:hint="default"/>
          <w:color w:val="auto"/>
          <w:highlight w:val="none"/>
          <w:lang w:eastAsia="zh-CN"/>
        </w:rPr>
        <w:t xml:space="preserve">   </w:t>
      </w:r>
      <w:r>
        <w:rPr>
          <w:rFonts w:hint="eastAsia" w:ascii="宋体" w:eastAsia="宋体"/>
          <w:color w:val="auto"/>
          <w:highlight w:val="none"/>
          <w:lang w:val="en-US" w:eastAsia="zh-CN"/>
        </w:rPr>
        <w:t>（4）在系统上开启投标人报价。</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(5）由评标委员会对报价文件进行评审。</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(6）在系统上公开最终得分。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注：政采云公司如对电子化开标及评审程序有调整的，按调整后的程序操作。</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22.3．开标会结束。</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六、评标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3</w:t>
      </w:r>
      <w:r>
        <w:rPr>
          <w:rFonts w:hint="default" w:ascii="宋体" w:eastAsia="宋体"/>
          <w:color w:val="auto"/>
          <w:highlight w:val="none"/>
          <w:lang w:val="en-US" w:eastAsia="zh-CN"/>
        </w:rPr>
        <w:t>．评标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投标文件评审按照有关法律制度和本文件第四章的规定进行。</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七、定标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4</w:t>
      </w:r>
      <w:r>
        <w:rPr>
          <w:rFonts w:hint="default" w:ascii="宋体" w:eastAsia="宋体"/>
          <w:color w:val="auto"/>
          <w:highlight w:val="none"/>
          <w:lang w:val="en-US" w:eastAsia="zh-CN"/>
        </w:rPr>
        <w:t>．确定中标供应商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4</w:t>
      </w:r>
      <w:r>
        <w:rPr>
          <w:rFonts w:hint="default" w:ascii="宋体" w:eastAsia="宋体"/>
          <w:color w:val="auto"/>
          <w:highlight w:val="none"/>
          <w:lang w:val="en-US" w:eastAsia="zh-CN"/>
        </w:rPr>
        <w:t>.1．中标供应商数量见投标人须知前附表。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4</w:t>
      </w:r>
      <w:r>
        <w:rPr>
          <w:rFonts w:hint="default" w:ascii="宋体" w:eastAsia="宋体"/>
          <w:color w:val="auto"/>
          <w:highlight w:val="none"/>
          <w:lang w:val="en-US" w:eastAsia="zh-CN"/>
        </w:rPr>
        <w:t>.2．采购代理机构自评审结束后2个工作日内将评标报告及有关资料送交采购人。</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4</w:t>
      </w:r>
      <w:r>
        <w:rPr>
          <w:rFonts w:hint="default" w:ascii="宋体" w:eastAsia="宋体"/>
          <w:color w:val="auto"/>
          <w:highlight w:val="none"/>
          <w:lang w:val="en-US" w:eastAsia="zh-CN"/>
        </w:rPr>
        <w:t>.3．采购人在收到评标报告后5个工作日内，按照评标报告中推荐的中标候选供应商顺序确定中标供应商。采购人逾期未确定中标供应商且不提出异议的，视为按照评标报告中推荐的中标候选供应商顺序确定中标供应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4</w:t>
      </w:r>
      <w:r>
        <w:rPr>
          <w:rFonts w:hint="default" w:ascii="宋体" w:eastAsia="宋体"/>
          <w:color w:val="auto"/>
          <w:highlight w:val="none"/>
          <w:lang w:val="en-US" w:eastAsia="zh-CN"/>
        </w:rPr>
        <w:t>.4．采购人确定中标供应商过程中，发现中标候选供应商有下列情形之一的，应当不予确定其为中标供应商：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(1）发现中标候选供应商存在禁止参加本项目采购活动的违法行为的；</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(2）中标候选供应商因不可抗力，不能继续开展采购活动；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(3）中标候选供应商提供虚假材料的；</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(4）中标候选供应商恶意串通的。</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default" w:ascii="宋体" w:eastAsia="宋体"/>
          <w:color w:val="auto"/>
          <w:highlight w:val="none"/>
          <w:lang w:val="en-US" w:eastAsia="zh-CN"/>
        </w:rPr>
        <w:t>中标候选供应商有本条情形之一的，在符合法律前提下，采购人可以确定后一位中标候选供应商为中标供应商，依次类推。无法确定中标供应商的，应</w:t>
      </w:r>
      <w:r>
        <w:rPr>
          <w:rFonts w:hint="eastAsia" w:ascii="宋体" w:eastAsia="宋体"/>
          <w:color w:val="auto"/>
          <w:highlight w:val="none"/>
          <w:lang w:val="en-US" w:eastAsia="zh-CN"/>
        </w:rPr>
        <w:t>当重新组织招标。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5</w:t>
      </w:r>
      <w:r>
        <w:rPr>
          <w:rFonts w:hint="default" w:ascii="宋体" w:eastAsia="宋体"/>
          <w:color w:val="auto"/>
          <w:highlight w:val="none"/>
          <w:lang w:val="en-US" w:eastAsia="zh-CN"/>
        </w:rPr>
        <w:t>．中标通知书</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5</w:t>
      </w:r>
      <w:r>
        <w:rPr>
          <w:rFonts w:hint="default" w:ascii="宋体" w:eastAsia="宋体"/>
          <w:color w:val="auto"/>
          <w:highlight w:val="none"/>
          <w:lang w:val="en-US" w:eastAsia="zh-CN"/>
        </w:rPr>
        <w:t>.1．采购代理机构应当自中标供应商确定之日起2个工作日内，并发出中标通知书，并在浙江政府采购网公告中标结果。</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5</w:t>
      </w:r>
      <w:r>
        <w:rPr>
          <w:rFonts w:hint="default" w:ascii="宋体" w:eastAsia="宋体"/>
          <w:color w:val="auto"/>
          <w:highlight w:val="none"/>
          <w:lang w:val="en-US" w:eastAsia="zh-CN"/>
        </w:rPr>
        <w:t>.2．中标通知书发出后，中标供应商须于2个工作日内到采购代理机构领取中标通知书，拒绝领取中标通知书的，将视为放弃中标，取消其中标资格。采购人不得违法改变中标结果，中标供应商无正当理由不得放弃中标，否则将承担相应的法律责任。</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5</w:t>
      </w:r>
      <w:r>
        <w:rPr>
          <w:rFonts w:hint="default" w:ascii="宋体" w:eastAsia="宋体"/>
          <w:color w:val="auto"/>
          <w:highlight w:val="none"/>
          <w:lang w:val="en-US" w:eastAsia="zh-CN"/>
        </w:rPr>
        <w:t>.3．中标供应商的投标文件本应作为无效处理或者有政府采购法律法规、规章规定的中标无效情形的，经查实，取消其中标资格，收回发出的中标通知书（中标供应商应当缴回）,由排名之后的中标候选供应商替补，或者重新开展采购活动。</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5</w:t>
      </w:r>
      <w:r>
        <w:rPr>
          <w:rFonts w:hint="default" w:ascii="宋体" w:eastAsia="宋体"/>
          <w:color w:val="auto"/>
          <w:highlight w:val="none"/>
          <w:lang w:val="en-US" w:eastAsia="zh-CN"/>
        </w:rPr>
        <w:t>.4．中标通知书为签订采购合同的依据之一，是合同的有效组成部分。</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八、询问、质疑、投诉</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6</w:t>
      </w:r>
      <w:r>
        <w:rPr>
          <w:rFonts w:hint="default" w:ascii="宋体" w:eastAsia="宋体"/>
          <w:color w:val="auto"/>
          <w:highlight w:val="none"/>
          <w:lang w:val="en-US" w:eastAsia="zh-CN"/>
        </w:rPr>
        <w:t>．询问</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6</w:t>
      </w:r>
      <w:r>
        <w:rPr>
          <w:rFonts w:hint="default" w:ascii="宋体" w:eastAsia="宋体"/>
          <w:color w:val="auto"/>
          <w:highlight w:val="none"/>
          <w:lang w:val="en-US" w:eastAsia="zh-CN"/>
        </w:rPr>
        <w:t>.1．投标人对招标文件、招标过程、招标结果事项有疑问的，可以向采购人或采购代理机构提出询问；采购人或采购代理机构应当在3个工作日内作出答复，但答复的内容不得涉及商业秘密。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．质疑</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.1．符合《中华人民共和国政府采购法》《中华人民共和国政府采购法实施条例》《政府采购质疑和投诉办法》（财政部令第94号）等有关法律法规规定。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.2．潜在供应商已依法获取采购文件，可以对该文件提出质疑。采购人拒绝受理未提交投标文件的投标人对采购过程和中标结果提出质疑。</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.3．供应商在法定质疑期内一次性提出针对同一采购程序环节的质疑。</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.4．质疑提出起算日期</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(1）对采购文件提出质疑的，自投标人获取招标文件之日起或者公告届满之日起开始计算，且应当在开标时间前24小时前提出，否则，被质疑人可不予受理。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(2）对采购过程提出质疑的，质疑期限自各采购程序环节结束之日起计算。</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(3）对采购结果提出质疑的，质疑期限自采购结果公告（包括公示、预公告、结果变更公告等之日起计算。</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(4）投标人逾期提出质疑的，采购人或采购代理机构均不</w:t>
      </w:r>
      <w:r>
        <w:rPr>
          <w:rFonts w:hint="eastAsia"/>
          <w:color w:val="auto"/>
          <w:highlight w:val="none"/>
          <w:lang w:val="en-US" w:eastAsia="zh-CN"/>
        </w:rPr>
        <w:t>予</w:t>
      </w:r>
      <w:r>
        <w:rPr>
          <w:rFonts w:hint="default" w:ascii="宋体" w:eastAsia="宋体"/>
          <w:color w:val="auto"/>
          <w:highlight w:val="none"/>
          <w:lang w:val="en-US" w:eastAsia="zh-CN"/>
        </w:rPr>
        <w:t>受理和答复。</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7</w:t>
      </w:r>
      <w:r>
        <w:rPr>
          <w:rFonts w:hint="default" w:ascii="宋体" w:eastAsia="宋体"/>
          <w:color w:val="auto"/>
          <w:highlight w:val="none"/>
          <w:lang w:val="en-US" w:eastAsia="zh-CN"/>
        </w:rPr>
        <w:t>.5．采购人应当在收到投标人的书面质疑后7个工作日内作出答复，但答复的内容不得涉及商业秘密。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w:t>
      </w:r>
      <w:r>
        <w:rPr>
          <w:rFonts w:hint="eastAsia" w:ascii="宋体" w:eastAsia="宋体"/>
          <w:color w:val="auto"/>
          <w:highlight w:val="none"/>
          <w:lang w:val="en-US" w:eastAsia="zh-CN"/>
        </w:rPr>
        <w:t>8</w:t>
      </w:r>
      <w:r>
        <w:rPr>
          <w:rFonts w:hint="default" w:ascii="宋体" w:eastAsia="宋体"/>
          <w:color w:val="auto"/>
          <w:highlight w:val="none"/>
          <w:lang w:val="en-US" w:eastAsia="zh-CN"/>
        </w:rPr>
        <w:t>．投诉</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质疑供应商对采购人未在规定时间内作出答复或者质疑答复不满意的，可以在答复期满后15个工作日内向政府采购监管部门投诉。</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九、投标纪律要求</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．投标人参加本项目投标不得有下列情形</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.1．提供虛假材料谋取中标；</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.2．采取不正当手段诋毁、排挤其他投标人；</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.3．与采购人、其他投标人恶意串通；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.4．向采购人、评标委员会成员行贿或者提供其他不正当利益；</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.5．在招标过程中与采购人进行协商谈判；</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.6．中标供应商无正当理由拖延或者不与采购人采购合同；</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.7．未按照采购文件确定的事项签订采购合同；</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.8．将采购合同转包或者违规分包；</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.9.</w:t>
      </w:r>
      <w:r>
        <w:rPr>
          <w:rFonts w:hint="eastAsia" w:ascii="宋体" w:eastAsia="宋体"/>
          <w:color w:val="auto"/>
          <w:highlight w:val="none"/>
          <w:lang w:val="en-US" w:eastAsia="zh-CN"/>
        </w:rPr>
        <w:t xml:space="preserve"> </w:t>
      </w:r>
      <w:r>
        <w:rPr>
          <w:rFonts w:hint="default" w:ascii="宋体" w:eastAsia="宋体"/>
          <w:color w:val="auto"/>
          <w:highlight w:val="none"/>
          <w:lang w:val="en-US" w:eastAsia="zh-CN"/>
        </w:rPr>
        <w:t>提供假冒伪劣产品；</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.10．擅自变更、中止或者终止采购合同；</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.11．拒绝有关部门的监督检查或者向监督检查部门提供虚假情况；</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29</w:t>
      </w:r>
      <w:r>
        <w:rPr>
          <w:rFonts w:hint="default" w:ascii="宋体" w:eastAsia="宋体"/>
          <w:color w:val="auto"/>
          <w:highlight w:val="none"/>
          <w:lang w:val="en-US" w:eastAsia="zh-CN"/>
        </w:rPr>
        <w:t>.12．法律法规规定的其他情形。</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投标人有上述情形的，将按照有关规定处理。情节严重的，由市场监管部门门吊销营业执照，构成犯罪的，依法追究刑事责任。同时将取消中标资格或者认定中标无效。</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eastAsia" w:ascii="宋体" w:eastAsia="宋体"/>
          <w:b/>
          <w:bCs/>
          <w:color w:val="auto"/>
          <w:highlight w:val="none"/>
          <w:lang w:val="en-US" w:eastAsia="zh-CN"/>
        </w:rPr>
        <w:t>十、</w:t>
      </w:r>
      <w:r>
        <w:rPr>
          <w:rFonts w:hint="default" w:ascii="宋体" w:eastAsia="宋体"/>
          <w:b/>
          <w:bCs/>
          <w:color w:val="auto"/>
          <w:highlight w:val="none"/>
          <w:lang w:val="en-US" w:eastAsia="zh-CN"/>
        </w:rPr>
        <w:t>落实政府采购政策需满足的要求</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w:t>
      </w:r>
      <w:r>
        <w:rPr>
          <w:rFonts w:hint="eastAsia" w:ascii="宋体" w:eastAsia="宋体"/>
          <w:color w:val="auto"/>
          <w:highlight w:val="none"/>
          <w:lang w:val="en-US" w:eastAsia="zh-CN"/>
        </w:rPr>
        <w:t>0</w:t>
      </w:r>
      <w:r>
        <w:rPr>
          <w:rFonts w:hint="default" w:ascii="宋体" w:eastAsia="宋体"/>
          <w:color w:val="auto"/>
          <w:highlight w:val="none"/>
          <w:lang w:val="en-US" w:eastAsia="zh-CN"/>
        </w:rPr>
        <w:t>．小微企业</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30.1．可享受中小企业扶持政策的条件</w:t>
      </w:r>
    </w:p>
    <w:p>
      <w:pPr>
        <w:pageBreakBefore w:val="0"/>
        <w:kinsoku/>
        <w:overflowPunct/>
        <w:topLinePunct w:val="0"/>
        <w:bidi w:val="0"/>
        <w:adjustRightInd w:val="0"/>
        <w:snapToGrid w:val="0"/>
        <w:spacing w:line="312" w:lineRule="auto"/>
        <w:ind w:left="0" w:leftChars="0" w:firstLine="480" w:firstLineChars="200"/>
        <w:rPr>
          <w:rFonts w:hint="default" w:ascii="宋体" w:eastAsia="宋体"/>
          <w:color w:val="auto"/>
          <w:highlight w:val="none"/>
          <w:lang w:val="en-US" w:eastAsia="zh-CN"/>
        </w:rPr>
      </w:pPr>
      <w:r>
        <w:rPr>
          <w:rFonts w:hint="eastAsia" w:hAnsi="宋体" w:cs="Times New Roman"/>
          <w:color w:val="auto"/>
          <w:kern w:val="2"/>
          <w:sz w:val="24"/>
          <w:szCs w:val="24"/>
          <w:highlight w:val="none"/>
          <w:lang w:val="en-US" w:eastAsia="zh-CN" w:bidi="ar-SA"/>
        </w:rPr>
        <w:t>经采购人确认，本项目为本项目为专门面向中小企业采购招标，小微企业不享受价格折扣优惠</w:t>
      </w:r>
      <w:r>
        <w:rPr>
          <w:rFonts w:hint="eastAsia" w:ascii="宋体" w:hAnsi="宋体" w:eastAsia="宋体" w:cs="Times New Roman"/>
          <w:color w:val="auto"/>
          <w:kern w:val="2"/>
          <w:sz w:val="24"/>
          <w:szCs w:val="24"/>
          <w:highlight w:val="none"/>
          <w:lang w:val="en-US" w:eastAsia="zh-CN" w:bidi="ar-SA"/>
        </w:rPr>
        <w:t>。</w:t>
      </w:r>
      <w:r>
        <w:rPr>
          <w:rFonts w:hint="default" w:hAnsi="宋体" w:cs="Times New Roman"/>
          <w:color w:val="auto"/>
          <w:kern w:val="2"/>
          <w:sz w:val="24"/>
          <w:szCs w:val="24"/>
          <w:highlight w:val="none"/>
          <w:lang w:val="en-US" w:eastAsia="zh-CN" w:bidi="ar-SA"/>
        </w:rPr>
        <w:t>依照财政部</w:t>
      </w:r>
      <w:r>
        <w:rPr>
          <w:rFonts w:hint="eastAsia" w:hAnsi="宋体" w:cs="Times New Roman"/>
          <w:color w:val="auto"/>
          <w:kern w:val="2"/>
          <w:sz w:val="24"/>
          <w:szCs w:val="24"/>
          <w:highlight w:val="none"/>
          <w:lang w:val="en-US" w:eastAsia="zh-CN" w:bidi="ar-SA"/>
        </w:rPr>
        <w:t>其他未列明行业</w:t>
      </w:r>
      <w:r>
        <w:rPr>
          <w:rFonts w:hint="default" w:hAnsi="宋体" w:cs="Times New Roman"/>
          <w:color w:val="auto"/>
          <w:kern w:val="2"/>
          <w:sz w:val="24"/>
          <w:szCs w:val="24"/>
          <w:highlight w:val="none"/>
          <w:lang w:val="en-US" w:eastAsia="zh-CN" w:bidi="ar-SA"/>
        </w:rPr>
        <w:t>和信息化部《政府采购促进中小企业发展管理办法》（财库（2020)46号）规定，中型、小型和微型企业参加政府采购活动的须提供《中小企业声明函》（格式见附件），否则不得享受相关中小企业扶持政策。</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在货物采购项目中，货物应当由中小企业制造，不对其中涉及的服务的承接商作出要求。货物由中小企业生产且使用该中小企业商号或者注册商标；供应商提供的货物既有中小企业制造货物，也有大型企业制造货物的，不享受本办法规定的中小企业扶持政策。</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(2）在工程采购项目中，工程应当由中小企业承建，不对其中涉及的货物的制造商和服务的承接商作出要求。</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(3）在服务采购项目中，服务的承接商应当为中小企业，不对其中涉及的货物的制造商作出要求。</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30.2．中小企业划型标准</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中小企业，是指在中华人民共和国境内依法设立，依据《关于印发中小企业划型标准规定的通知》（工信部联企业（2011)300号）确定的中型企业、小型企业和微型企业，但与大企业的负责人为同一人，或者与大企业存在直接控股、管理关系的除外。</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符合中小企业划分标准的个体工商户，在政府采购活动中视同中小企业。</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30.3．中小企业行划分标准和对应所属行业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详见供应商须知前附表。</w:t>
      </w:r>
    </w:p>
    <w:p>
      <w:pPr>
        <w:pStyle w:val="7"/>
        <w:pageBreakBefore w:val="0"/>
        <w:kinsoku/>
        <w:overflowPunct/>
        <w:topLinePunct w:val="0"/>
        <w:bidi w:val="0"/>
        <w:ind w:left="0" w:leftChars="0"/>
        <w:rPr>
          <w:rFonts w:hint="default" w:ascii="宋体" w:eastAsia="宋体"/>
          <w:b/>
          <w:bCs/>
          <w:color w:val="auto"/>
          <w:highlight w:val="none"/>
          <w:lang w:val="en-US" w:eastAsia="zh-CN"/>
        </w:rPr>
      </w:pPr>
      <w:r>
        <w:rPr>
          <w:rFonts w:hint="default" w:ascii="宋体" w:eastAsia="宋体"/>
          <w:b/>
          <w:bCs/>
          <w:color w:val="auto"/>
          <w:highlight w:val="none"/>
          <w:lang w:val="en-US" w:eastAsia="zh-CN"/>
        </w:rPr>
        <w:t>30.4．不可享受中小企业扶持政策的情形</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(1）监狱企业、残疾人福利性单位属于小型微型企业的，不重复享受小微企业优惠政策。</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(2）事业单位和社会团体不属于企业。参加货物采购项目，其提供的货物属于中小企业制造的，可以享受该办法规定的中小企业扶持政策。参加工程、服务采购项目不享受小微企业扶持政策。</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31．监狱企业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31.1．根据财政部司法部《关于政府采购支持监狱企业发展有关问题的通知》（财库(2014)68号）文件精神，监狱企业视同小微企业。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31.2．监狱企业应当提供《监狱企业声明函》及由省级以上监狱管理局、戒毒管理局（含新疆生产建设兵团）出具的属于监狱企业的证明文件，否则不予认可。</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32．残疾人福利性单位</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32.1．根据财政部民政部中国残疾人联合会《关于促进残疾人就业政府采购政策的通知》（财库（2017)141号）文件精神，残疾人福利性单位视同小</w:t>
      </w:r>
      <w:r>
        <w:rPr>
          <w:rFonts w:hint="eastAsia" w:ascii="宋体" w:eastAsia="宋体"/>
          <w:color w:val="auto"/>
          <w:highlight w:val="none"/>
          <w:lang w:val="en-US" w:eastAsia="zh-CN"/>
        </w:rPr>
        <w:t>微</w:t>
      </w:r>
      <w:r>
        <w:rPr>
          <w:rFonts w:hint="default" w:ascii="宋体" w:eastAsia="宋体"/>
          <w:color w:val="auto"/>
          <w:highlight w:val="none"/>
          <w:lang w:val="en-US" w:eastAsia="zh-CN"/>
        </w:rPr>
        <w:t>企业。</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32.2．残疾人福利性单位应当提供《残疾人福利性单位声明函》，否则不予认可。</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33.节能产品、环境标志产品、</w:t>
      </w:r>
      <w:r>
        <w:rPr>
          <w:rFonts w:hint="default" w:ascii="宋体" w:eastAsia="宋体"/>
          <w:color w:val="auto"/>
          <w:highlight w:val="none"/>
          <w:lang w:val="en-US" w:eastAsia="zh-CN"/>
        </w:rPr>
        <w:t>采购强制性认证产品</w:t>
      </w:r>
      <w:r>
        <w:rPr>
          <w:rFonts w:hint="eastAsia" w:ascii="宋体" w:eastAsia="宋体"/>
          <w:color w:val="auto"/>
          <w:highlight w:val="none"/>
          <w:lang w:val="en-US" w:eastAsia="zh-CN"/>
        </w:rPr>
        <w:t>强制性采购政策</w:t>
      </w:r>
      <w:r>
        <w:rPr>
          <w:rFonts w:hint="default" w:ascii="宋体" w:eastAsia="宋体"/>
          <w:color w:val="auto"/>
          <w:highlight w:val="none"/>
          <w:lang w:val="en-US" w:eastAsia="zh-CN"/>
        </w:rPr>
        <w:t xml:space="preserve"> </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 xml:space="preserve">33.1.节能产品的强制采购政策 </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根据财政部、国家发展改革委、生态环境部、国家市场监管总局《关于调整优化节能产品、环</w:t>
      </w:r>
      <w:r>
        <w:rPr>
          <w:rFonts w:hint="default" w:ascii="宋体" w:eastAsia="宋体"/>
          <w:color w:val="auto"/>
          <w:highlight w:val="none"/>
          <w:lang w:val="en-US" w:eastAsia="zh-CN"/>
        </w:rPr>
        <w:t>境标志产品政府采购执行机制的通知》财库〔2019〕9 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投标文件中提供该产品节能产品认证证书或“政府强制采购的节能产品用于本项目的承诺书”，否则无效。</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本项目执行：</w:t>
      </w:r>
    </w:p>
    <w:p>
      <w:pPr>
        <w:pStyle w:val="7"/>
        <w:pageBreakBefore w:val="0"/>
        <w:kinsoku/>
        <w:overflowPunct/>
        <w:topLinePunct w:val="0"/>
        <w:bidi w:val="0"/>
        <w:ind w:left="0" w:leftChars="0"/>
        <w:jc w:val="left"/>
        <w:rPr>
          <w:rFonts w:hint="eastAsia" w:ascii="宋体" w:eastAsia="宋体"/>
          <w:color w:val="auto"/>
          <w:highlight w:val="none"/>
          <w:lang w:val="en-US" w:eastAsia="zh-CN"/>
        </w:rPr>
      </w:pPr>
      <w:r>
        <w:rPr>
          <w:rFonts w:hint="eastAsia" w:ascii="宋体" w:eastAsia="宋体"/>
          <w:color w:val="auto"/>
          <w:highlight w:val="none"/>
          <w:lang w:val="en-US" w:eastAsia="zh-CN"/>
        </w:rPr>
        <w:t xml:space="preserve">【节能产品品目清单详见财政部、国家发展和改革委员会关于印发节能产品政府采购品目清单的通知 </w:t>
      </w:r>
      <w:r>
        <w:rPr>
          <w:rFonts w:hint="default" w:ascii="宋体" w:eastAsia="宋体"/>
          <w:color w:val="auto"/>
          <w:highlight w:val="none"/>
          <w:lang w:val="en-US" w:eastAsia="zh-CN"/>
        </w:rPr>
        <w:t>（财库〔2019〕19 号），</w:t>
      </w:r>
      <w:r>
        <w:rPr>
          <w:rFonts w:hint="default" w:ascii="宋体" w:eastAsia="宋体"/>
          <w:color w:val="auto"/>
          <w:highlight w:val="none"/>
          <w:lang w:val="en-US" w:eastAsia="zh-CN"/>
        </w:rPr>
        <w:fldChar w:fldCharType="begin"/>
      </w:r>
      <w:r>
        <w:rPr>
          <w:rFonts w:hint="default" w:ascii="宋体" w:eastAsia="宋体"/>
          <w:color w:val="auto"/>
          <w:highlight w:val="none"/>
          <w:lang w:val="en-US" w:eastAsia="zh-CN"/>
        </w:rPr>
        <w:instrText xml:space="preserve"> HYPERLINK "http://www.ccgp.gov.cn/zcfg/mof/201902/t20190213_11628855.htm】、" </w:instrText>
      </w:r>
      <w:r>
        <w:rPr>
          <w:rFonts w:hint="default" w:ascii="宋体" w:eastAsia="宋体"/>
          <w:color w:val="auto"/>
          <w:highlight w:val="none"/>
          <w:lang w:val="en-US" w:eastAsia="zh-CN"/>
        </w:rPr>
        <w:fldChar w:fldCharType="separate"/>
      </w:r>
      <w:r>
        <w:rPr>
          <w:rFonts w:hint="default" w:ascii="宋体" w:eastAsia="宋体"/>
          <w:color w:val="auto"/>
          <w:highlight w:val="none"/>
          <w:lang w:val="en-US" w:eastAsia="zh-CN"/>
        </w:rPr>
        <w:t>http://www.ccgp.gov.cn/zcfg/mof/201902/t20190213_11628855.htm】、</w:t>
      </w:r>
      <w:r>
        <w:rPr>
          <w:rFonts w:hint="default" w:ascii="宋体" w:eastAsia="宋体"/>
          <w:color w:val="auto"/>
          <w:highlight w:val="none"/>
          <w:lang w:val="en-US" w:eastAsia="zh-CN"/>
        </w:rPr>
        <w:fldChar w:fldCharType="end"/>
      </w:r>
      <w:r>
        <w:rPr>
          <w:rFonts w:hint="default" w:ascii="宋体" w:eastAsia="宋体"/>
          <w:color w:val="auto"/>
          <w:highlight w:val="none"/>
          <w:lang w:val="en-US" w:eastAsia="zh-CN"/>
        </w:rPr>
        <w:t xml:space="preserve">【产品认证机构详见市场监管总局关于发布参与实施政府采购节能产品、环境标志产品认证机构 名录的公告（2019 年第 16 号），http://www.ccgp.gov.cn/zcfg/bwfile/201904/t20190403_11853998.htm】 </w:t>
      </w:r>
    </w:p>
    <w:p>
      <w:pPr>
        <w:pStyle w:val="7"/>
        <w:pageBreakBefore w:val="0"/>
        <w:kinsoku/>
        <w:overflowPunct/>
        <w:topLinePunct w:val="0"/>
        <w:bidi w:val="0"/>
        <w:ind w:left="0" w:leftChars="0"/>
        <w:rPr>
          <w:rFonts w:hint="eastAsia" w:ascii="宋体" w:eastAsia="宋体"/>
          <w:color w:val="auto"/>
          <w:highlight w:val="none"/>
          <w:lang w:val="en-US" w:eastAsia="zh-CN"/>
        </w:rPr>
      </w:pPr>
      <w:r>
        <w:rPr>
          <w:rFonts w:hint="eastAsia" w:ascii="宋体" w:eastAsia="宋体"/>
          <w:color w:val="auto"/>
          <w:highlight w:val="none"/>
          <w:lang w:val="en-US" w:eastAsia="zh-CN"/>
        </w:rPr>
        <w:t xml:space="preserve">33.2.节能产品、环境标志产品的优先采购政策 </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根据财政部、国家发展改革委、生态环境部、国家市场监管总局《关于调整优化节能产品、环境标志产品政府采购执行机制的通知》财库〔2019〕9 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default" w:ascii="宋体" w:eastAsia="宋体"/>
          <w:color w:val="auto"/>
          <w:highlight w:val="none"/>
          <w:lang w:val="en-US" w:eastAsia="zh-CN"/>
        </w:rPr>
        <w:t xml:space="preserve">本项目执行： </w:t>
      </w:r>
    </w:p>
    <w:p>
      <w:pPr>
        <w:pStyle w:val="7"/>
        <w:pageBreakBefore w:val="0"/>
        <w:kinsoku/>
        <w:overflowPunct/>
        <w:topLinePunct w:val="0"/>
        <w:bidi w:val="0"/>
        <w:ind w:left="0" w:leftChars="0"/>
        <w:jc w:val="left"/>
        <w:rPr>
          <w:rFonts w:hint="default" w:ascii="宋体" w:eastAsia="宋体"/>
          <w:color w:val="auto"/>
          <w:highlight w:val="none"/>
          <w:lang w:val="en-US" w:eastAsia="zh-CN"/>
        </w:rPr>
      </w:pPr>
      <w:r>
        <w:rPr>
          <w:rFonts w:hint="default" w:ascii="宋体" w:eastAsia="宋体"/>
          <w:color w:val="auto"/>
          <w:highlight w:val="none"/>
          <w:lang w:val="en-US" w:eastAsia="zh-CN"/>
        </w:rPr>
        <w:t xml:space="preserve">【节能产品品目清单财政部、国家发展和改革委员会关于印发节能产品政府采购品目清单的通知（财 库〔2019〕19 号）http://www.ccgp.gov.cn/zcfg/mof/201902/t20190213_11628855.htm】 【环境标志产品品目清单财政部、生态环境部关于印发环境标志产品政府采购品目清单的通知（财库 〔2019〕18 号），http://www.ccgp.gov.cn/zcfg/mof/201903/t20190330_11833800.htm】 </w:t>
      </w:r>
    </w:p>
    <w:p>
      <w:pPr>
        <w:pStyle w:val="7"/>
        <w:pageBreakBefore w:val="0"/>
        <w:kinsoku/>
        <w:overflowPunct/>
        <w:topLinePunct w:val="0"/>
        <w:bidi w:val="0"/>
        <w:ind w:left="0" w:leftChars="0"/>
        <w:jc w:val="left"/>
        <w:rPr>
          <w:rFonts w:hint="default" w:ascii="宋体" w:eastAsia="宋体"/>
          <w:color w:val="auto"/>
          <w:highlight w:val="none"/>
          <w:lang w:val="en-US" w:eastAsia="zh-CN"/>
        </w:rPr>
      </w:pPr>
      <w:r>
        <w:rPr>
          <w:rFonts w:hint="default" w:ascii="宋体" w:eastAsia="宋体"/>
          <w:color w:val="auto"/>
          <w:highlight w:val="none"/>
          <w:lang w:val="en-US" w:eastAsia="zh-CN"/>
        </w:rPr>
        <w:t>【产品认证机构详见市场监管总局关于发布参与实施政府采购节能产品、环境标志产品认证机构名录的公告（2019 年第 16 号），http://www.ccgp.gov.cn/zcfg/bwfile/201904/t20190403_11853998.htm】</w:t>
      </w:r>
    </w:p>
    <w:p>
      <w:pPr>
        <w:pStyle w:val="7"/>
        <w:pageBreakBefore w:val="0"/>
        <w:kinsoku/>
        <w:overflowPunct/>
        <w:topLinePunct w:val="0"/>
        <w:bidi w:val="0"/>
        <w:ind w:left="0" w:leftChars="0"/>
        <w:rPr>
          <w:rFonts w:hint="default" w:ascii="宋体" w:eastAsia="宋体"/>
          <w:color w:val="auto"/>
          <w:highlight w:val="none"/>
          <w:lang w:val="en-US" w:eastAsia="zh-CN"/>
        </w:rPr>
      </w:pPr>
      <w:r>
        <w:rPr>
          <w:rFonts w:hint="eastAsia" w:ascii="宋体" w:eastAsia="宋体"/>
          <w:color w:val="auto"/>
          <w:highlight w:val="none"/>
          <w:lang w:val="en-US" w:eastAsia="zh-CN"/>
        </w:rPr>
        <w:t>33.3.</w:t>
      </w:r>
      <w:r>
        <w:rPr>
          <w:rFonts w:hint="default" w:ascii="宋体" w:eastAsia="宋体"/>
          <w:color w:val="auto"/>
          <w:highlight w:val="none"/>
          <w:lang w:val="en-US" w:eastAsia="zh-CN"/>
        </w:rPr>
        <w:t xml:space="preserve">采购强制性认证产品 </w:t>
      </w:r>
    </w:p>
    <w:p>
      <w:pPr>
        <w:pStyle w:val="7"/>
        <w:pageBreakBefore w:val="0"/>
        <w:kinsoku/>
        <w:overflowPunct/>
        <w:topLinePunct w:val="0"/>
        <w:bidi w:val="0"/>
        <w:ind w:left="0" w:leftChars="0"/>
        <w:rPr>
          <w:rFonts w:hint="default" w:ascii="宋体" w:hAnsi="Times New Roman" w:eastAsia="宋体" w:cs="Times New Roman"/>
          <w:color w:val="auto"/>
          <w:highlight w:val="none"/>
          <w:lang w:val="en-US" w:eastAsia="zh-CN"/>
        </w:rPr>
      </w:pPr>
      <w:r>
        <w:rPr>
          <w:rFonts w:hint="default" w:ascii="宋体" w:eastAsia="宋体"/>
          <w:color w:val="auto"/>
          <w:highlight w:val="none"/>
          <w:lang w:val="en-US" w:eastAsia="zh-CN"/>
        </w:rPr>
        <w:t>采购人拟采购的产品如有列入强制性产品认证目录内的产品，供应商提供的产品应具有国家确定的认证机构出具的</w:t>
      </w:r>
      <w:r>
        <w:rPr>
          <w:rFonts w:hint="default" w:ascii="宋体" w:hAnsi="Times New Roman" w:eastAsia="宋体" w:cs="Times New Roman"/>
          <w:color w:val="auto"/>
          <w:highlight w:val="none"/>
          <w:lang w:val="en-US" w:eastAsia="zh-CN"/>
        </w:rPr>
        <w:t>、处于有效期之内的强制性产品认证证书，并在投标文件中提供该产品强制性产品认证证书或“具有强制性产品认证的产品用于本项目的承诺书”，否则无效。</w:t>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cs="Times New Roman"/>
          <w:color w:val="auto"/>
          <w:highlight w:val="none"/>
          <w:lang w:val="en-US" w:eastAsia="zh-CN"/>
        </w:rPr>
        <w:t>34.签订合同</w:t>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cs="Times New Roman"/>
          <w:color w:val="auto"/>
          <w:highlight w:val="none"/>
          <w:lang w:val="en-US" w:eastAsia="zh-CN"/>
        </w:rPr>
        <w:t>34..1 招标人和中标人应当在中标通知书发出之日起 30 日内，根据招标文件和中 标人的投标文件订立书面合同。中标人无正当理由拒签合同，或者不按照招标文件要 求提交履约担保的，招标人有权取消其中标资格，其投标保证金不予退还；给招标人造成的损失超过投标保证金数额的，中标人还应当对超过部分予以赔偿。</w:t>
      </w:r>
    </w:p>
    <w:p>
      <w:pPr>
        <w:pStyle w:val="7"/>
        <w:pageBreakBefore w:val="0"/>
        <w:kinsoku/>
        <w:overflowPunct/>
        <w:topLinePunct w:val="0"/>
        <w:bidi w:val="0"/>
        <w:ind w:left="0" w:leftChars="0"/>
        <w:rPr>
          <w:rFonts w:hint="eastAsia" w:cs="Times New Roman"/>
          <w:color w:val="auto"/>
          <w:highlight w:val="none"/>
          <w:lang w:val="en-US" w:eastAsia="zh-CN"/>
        </w:rPr>
      </w:pPr>
      <w:r>
        <w:rPr>
          <w:rFonts w:hint="eastAsia" w:cs="Times New Roman"/>
          <w:color w:val="auto"/>
          <w:highlight w:val="none"/>
          <w:lang w:val="en-US" w:eastAsia="zh-CN"/>
        </w:rPr>
        <w:t>34.2 发出中标通知书后，招标人无正当理由拒签合同，招标人向中标人退还投标保证金；给中标人造成损失的，还应当赔偿损失。</w:t>
      </w:r>
    </w:p>
    <w:p>
      <w:pPr>
        <w:pStyle w:val="7"/>
        <w:pageBreakBefore w:val="0"/>
        <w:kinsoku/>
        <w:overflowPunct/>
        <w:topLinePunct w:val="0"/>
        <w:bidi w:val="0"/>
        <w:ind w:left="0" w:leftChars="0"/>
        <w:rPr>
          <w:rFonts w:hint="default"/>
          <w:color w:val="auto"/>
          <w:highlight w:val="none"/>
          <w:lang w:val="en-US" w:eastAsia="zh-CN"/>
        </w:rPr>
      </w:pPr>
      <w:r>
        <w:rPr>
          <w:rFonts w:hint="eastAsia" w:cs="Times New Roman"/>
          <w:color w:val="auto"/>
          <w:highlight w:val="none"/>
          <w:lang w:val="en-US" w:eastAsia="zh-CN"/>
        </w:rPr>
        <w:t>34.3 联合体中标的，联合体各方应当共同与招标人签订合同，就中标项目向招标人承担连带责任。</w:t>
      </w:r>
    </w:p>
    <w:p>
      <w:pPr>
        <w:pStyle w:val="7"/>
        <w:pageBreakBefore w:val="0"/>
        <w:kinsoku/>
        <w:overflowPunct/>
        <w:topLinePunct w:val="0"/>
        <w:bidi w:val="0"/>
        <w:ind w:left="0" w:leftChars="0"/>
        <w:rPr>
          <w:rFonts w:hint="default" w:ascii="宋体" w:hAnsi="Times New Roman" w:eastAsia="宋体" w:cs="Times New Roman"/>
          <w:b/>
          <w:bCs/>
          <w:color w:val="auto"/>
          <w:highlight w:val="none"/>
          <w:lang w:val="en-US" w:eastAsia="zh-CN"/>
        </w:rPr>
      </w:pPr>
      <w:r>
        <w:rPr>
          <w:rFonts w:hint="default" w:ascii="宋体" w:hAnsi="Times New Roman" w:eastAsia="宋体" w:cs="Times New Roman"/>
          <w:b/>
          <w:bCs/>
          <w:color w:val="auto"/>
          <w:highlight w:val="none"/>
          <w:lang w:val="en-US" w:eastAsia="zh-CN"/>
        </w:rPr>
        <w:t>十</w:t>
      </w:r>
      <w:r>
        <w:rPr>
          <w:rFonts w:hint="eastAsia" w:cs="Times New Roman"/>
          <w:b/>
          <w:bCs/>
          <w:color w:val="auto"/>
          <w:highlight w:val="none"/>
          <w:lang w:val="en-US" w:eastAsia="zh-CN"/>
        </w:rPr>
        <w:t>一</w:t>
      </w:r>
      <w:r>
        <w:rPr>
          <w:rFonts w:hint="default" w:ascii="宋体" w:hAnsi="Times New Roman" w:eastAsia="宋体" w:cs="Times New Roman"/>
          <w:b/>
          <w:bCs/>
          <w:color w:val="auto"/>
          <w:highlight w:val="none"/>
          <w:lang w:val="en-US" w:eastAsia="zh-CN"/>
        </w:rPr>
        <w:t>、其他需补充的内容</w:t>
      </w:r>
    </w:p>
    <w:p>
      <w:pPr>
        <w:pStyle w:val="7"/>
        <w:pageBreakBefore w:val="0"/>
        <w:kinsoku/>
        <w:overflowPunct/>
        <w:topLinePunct w:val="0"/>
        <w:bidi w:val="0"/>
        <w:ind w:left="0" w:leftChars="0"/>
        <w:rPr>
          <w:rFonts w:hint="default" w:ascii="宋体" w:hAnsi="Times New Roman" w:eastAsia="宋体" w:cs="Times New Roman"/>
          <w:color w:val="auto"/>
          <w:highlight w:val="none"/>
          <w:lang w:val="en-US" w:eastAsia="zh-CN"/>
        </w:rPr>
      </w:pPr>
      <w:r>
        <w:rPr>
          <w:rFonts w:hint="default" w:ascii="宋体" w:hAnsi="Times New Roman" w:eastAsia="宋体" w:cs="Times New Roman"/>
          <w:color w:val="auto"/>
          <w:highlight w:val="none"/>
          <w:lang w:val="en-US" w:eastAsia="zh-CN"/>
        </w:rPr>
        <w:t>详见投标人须知前附表。</w:t>
      </w:r>
    </w:p>
    <w:p>
      <w:pPr>
        <w:pStyle w:val="7"/>
        <w:pageBreakBefore w:val="0"/>
        <w:kinsoku/>
        <w:overflowPunct/>
        <w:topLinePunct w:val="0"/>
        <w:bidi w:val="0"/>
        <w:ind w:left="0" w:leftChars="0"/>
        <w:jc w:val="center"/>
        <w:rPr>
          <w:rFonts w:hint="eastAsia" w:ascii="宋体" w:hAnsi="宋体" w:eastAsia="宋体" w:cs="宋体"/>
          <w:b/>
          <w:bCs/>
          <w:color w:val="auto"/>
          <w:sz w:val="24"/>
          <w:highlight w:val="none"/>
          <w:lang w:val="en-US" w:eastAsia="zh-CN"/>
        </w:rPr>
      </w:pPr>
      <w:r>
        <w:rPr>
          <w:rFonts w:hint="default" w:ascii="宋体" w:hAnsi="Times New Roman" w:eastAsia="宋体" w:cs="Times New Roman"/>
          <w:color w:val="auto"/>
          <w:highlight w:val="none"/>
          <w:lang w:val="en-US" w:eastAsia="zh-CN"/>
        </w:rPr>
        <w:br w:type="page"/>
      </w:r>
      <w:bookmarkStart w:id="4" w:name="_Toc12177"/>
      <w:bookmarkStart w:id="5" w:name="_Toc10469"/>
      <w:r>
        <w:rPr>
          <w:rFonts w:hint="eastAsia" w:ascii="宋体" w:hAnsi="Times New Roman" w:eastAsia="宋体" w:cs="Times New Roman"/>
          <w:b/>
          <w:bCs/>
          <w:color w:val="auto"/>
          <w:sz w:val="32"/>
          <w:szCs w:val="32"/>
          <w:highlight w:val="none"/>
          <w:lang w:val="en-US" w:eastAsia="zh-CN"/>
        </w:rPr>
        <w:t>第三章 采购内容及要求</w:t>
      </w:r>
      <w:bookmarkEnd w:id="4"/>
      <w:bookmarkEnd w:id="5"/>
      <w:bookmarkStart w:id="6" w:name="_Toc29285"/>
      <w:bookmarkStart w:id="7" w:name="_Toc30932"/>
    </w:p>
    <w:p>
      <w:pPr>
        <w:pStyle w:val="13"/>
        <w:rPr>
          <w:rFonts w:hint="eastAsia" w:ascii="华文中宋" w:eastAsia="华文中宋" w:cs="华文中宋"/>
          <w:b/>
          <w:bCs/>
          <w:color w:val="auto"/>
          <w:sz w:val="24"/>
          <w:highlight w:val="none"/>
          <w:lang w:val="en-US" w:eastAsia="zh-CN" w:bidi="ar-SA"/>
        </w:rPr>
      </w:pPr>
      <w:r>
        <w:rPr>
          <w:rFonts w:hint="eastAsia" w:ascii="华文中宋" w:eastAsia="华文中宋" w:cs="华文中宋"/>
          <w:b/>
          <w:bCs/>
          <w:color w:val="auto"/>
          <w:sz w:val="24"/>
          <w:highlight w:val="none"/>
          <w:lang w:val="en-US" w:eastAsia="zh-CN" w:bidi="ar-SA"/>
        </w:rPr>
        <w:t>一、项目概况</w:t>
      </w:r>
    </w:p>
    <w:p>
      <w:pPr>
        <w:pStyle w:val="13"/>
        <w:ind w:firstLine="480" w:firstLineChars="200"/>
        <w:rPr>
          <w:rFonts w:hint="eastAsia" w:ascii="华文中宋" w:eastAsia="华文中宋" w:cs="华文中宋"/>
          <w:color w:val="auto"/>
          <w:sz w:val="24"/>
          <w:highlight w:val="none"/>
          <w:lang w:val="en-US" w:eastAsia="zh-CN" w:bidi="ar-SA"/>
        </w:rPr>
      </w:pPr>
      <w:r>
        <w:rPr>
          <w:rFonts w:hint="eastAsia" w:ascii="华文中宋" w:eastAsia="华文中宋" w:cs="华文中宋"/>
          <w:color w:val="auto"/>
          <w:sz w:val="24"/>
          <w:highlight w:val="none"/>
          <w:lang w:val="en-US" w:eastAsia="zh-CN" w:bidi="ar-SA"/>
        </w:rPr>
        <w:t>本次招标采购货物为龙游县重度残疾人康养一体化康复设备采购项目（重招），投标人应根据招标文件所提出的货物技术规格、产品、产量和服务要求，综合考虑货物的适应性，选择具有最佳性能和价格比的货物前来投标。希望投标人以精良的货物、优良的服务和优惠的价格，充分显示贵公司的竞争实力。</w:t>
      </w:r>
    </w:p>
    <w:p>
      <w:pPr>
        <w:pStyle w:val="13"/>
        <w:rPr>
          <w:rFonts w:hint="eastAsia"/>
          <w:lang w:val="en-US" w:eastAsia="zh-CN"/>
        </w:rPr>
      </w:pPr>
      <w:r>
        <w:rPr>
          <w:rFonts w:hint="eastAsia" w:ascii="华文中宋" w:eastAsia="华文中宋" w:cs="华文中宋"/>
          <w:b/>
          <w:bCs/>
          <w:color w:val="auto"/>
          <w:sz w:val="24"/>
          <w:highlight w:val="none"/>
          <w:lang w:val="en-US" w:eastAsia="zh-CN" w:bidi="ar-SA"/>
        </w:rPr>
        <w:t>二、采购内容及要求</w:t>
      </w:r>
    </w:p>
    <w:tbl>
      <w:tblPr>
        <w:tblStyle w:val="27"/>
        <w:tblW w:w="98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30"/>
        <w:gridCol w:w="765"/>
        <w:gridCol w:w="6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i w:val="0"/>
                <w:iCs w:val="0"/>
                <w:color w:val="auto"/>
                <w:kern w:val="0"/>
                <w:sz w:val="21"/>
                <w:szCs w:val="21"/>
                <w:u w:val="none"/>
                <w:lang w:val="en-US" w:eastAsia="zh-CN" w:bidi="ar"/>
              </w:rPr>
              <w:t>序号</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产品名称</w:t>
            </w:r>
          </w:p>
        </w:tc>
        <w:tc>
          <w:tcPr>
            <w:tcW w:w="765" w:type="dxa"/>
          </w:tcPr>
          <w:p>
            <w:pPr>
              <w:keepNext w:val="0"/>
              <w:keepLines w:val="0"/>
              <w:pageBreakBefore w:val="0"/>
              <w:kinsoku/>
              <w:wordWrap/>
              <w:overflowPunct/>
              <w:topLinePunct w:val="0"/>
              <w:autoSpaceDE/>
              <w:autoSpaceDN/>
              <w:bidi w:val="0"/>
              <w:adjustRightInd/>
              <w:snapToGrid/>
              <w:spacing w:line="312" w:lineRule="auto"/>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数量</w:t>
            </w:r>
          </w:p>
        </w:tc>
        <w:tc>
          <w:tcPr>
            <w:tcW w:w="6780" w:type="dxa"/>
          </w:tcPr>
          <w:p>
            <w:pPr>
              <w:keepNext w:val="0"/>
              <w:keepLines w:val="0"/>
              <w:pageBreakBefore w:val="0"/>
              <w:kinsoku/>
              <w:wordWrap/>
              <w:overflowPunct/>
              <w:topLinePunct w:val="0"/>
              <w:autoSpaceDE/>
              <w:autoSpaceDN/>
              <w:bidi w:val="0"/>
              <w:adjustRightInd/>
              <w:snapToGrid/>
              <w:spacing w:line="312" w:lineRule="auto"/>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上下肢主被动康复训练器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提供</w:t>
            </w:r>
            <w:r>
              <w:rPr>
                <w:rFonts w:hint="eastAsia" w:ascii="宋体" w:hAnsi="宋体" w:eastAsia="宋体" w:cs="宋体"/>
                <w:color w:val="auto"/>
                <w:sz w:val="21"/>
                <w:szCs w:val="21"/>
              </w:rPr>
              <w:t>国家医疗器械注册证。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一台设备可提供上肢与下肢的运动康复训练；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阻力设定范围：0-20Nm,档间距1Nm,允许误差±1Nm；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上、下肢被动训练转数：0-60rmp,步距1rmp,允许误差±10%；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被动训练上肢电机动力最大输出9.2Nm，允许误差±20%；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被动训练下肢电机动力最大输出16Nm，允许误差±20%；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定时设置范围：0-120min,步进可调，步距1min，允许误差±10%；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痉挛等级：高、中、低三档，根据使用者情况进行设定；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电机等级：高、中、低三档；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康复机上肢训练盘旋转面垂直调整角度90°；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上肢训练臂可进行水平方向180°旋转，为上、下肢训练提供舒适与便捷；</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显示屏：可进行180°旋转，</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7寸彩色液晶触摸显示操作；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上肢训练方式：上肢训练臂可进行垂直方向90度旋转，具有上肢垂直圆周运动与水平圆周运动变换功能；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机身高度调节范围：不低于10CM；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患者管理系统：具有训练方案、病例档案存储查询管理功能；可利用智能卡或U盘进行训练方案、病例档案管理，联机打印训练结果；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16、</w:t>
            </w:r>
            <w:r>
              <w:rPr>
                <w:rFonts w:hint="eastAsia" w:ascii="宋体" w:hAnsi="宋体" w:eastAsia="宋体" w:cs="宋体"/>
                <w:color w:val="auto"/>
                <w:sz w:val="21"/>
                <w:szCs w:val="21"/>
              </w:rPr>
              <w:t>对称性训练：具有左下肢和右下肢、左上肢和右上肢的对称性训练功能，实时显示两侧肢体运动百分比；</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17、</w:t>
            </w:r>
            <w:r>
              <w:rPr>
                <w:rFonts w:hint="eastAsia" w:ascii="宋体" w:hAnsi="宋体" w:eastAsia="宋体" w:cs="宋体"/>
                <w:color w:val="auto"/>
                <w:sz w:val="21"/>
                <w:szCs w:val="21"/>
              </w:rPr>
              <w:t>具有训练时间、训练速度、训练阻力及训练模式的设定功能；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18、</w:t>
            </w:r>
            <w:r>
              <w:rPr>
                <w:rFonts w:hint="eastAsia" w:ascii="宋体" w:hAnsi="宋体" w:eastAsia="宋体" w:cs="宋体"/>
                <w:color w:val="auto"/>
                <w:sz w:val="21"/>
                <w:szCs w:val="21"/>
              </w:rPr>
              <w:t>具有语音提示功能，实时播报患者当前运动状态；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19、</w:t>
            </w:r>
            <w:r>
              <w:rPr>
                <w:rFonts w:hint="eastAsia" w:ascii="宋体" w:hAnsi="宋体" w:eastAsia="宋体" w:cs="宋体"/>
                <w:color w:val="auto"/>
                <w:sz w:val="21"/>
                <w:szCs w:val="21"/>
              </w:rPr>
              <w:t>具有智能探测痉挛、缓解痉挛的功能，痉挛探测可进行关闭或开启设置；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训练期间显示：运动时间、运动阻力、运动速度、对称性、主被动及痉挛显示；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训练结束后显示运动里程、运动时间、能量消耗、训练的主动被动速度、痉挛次数、肌肉张力、对称性；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rPr>
              <w:t>安全防护：异常声音控制、急停按钮、超速急停；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w:t>
            </w:r>
            <w:r>
              <w:rPr>
                <w:rFonts w:hint="eastAsia" w:ascii="宋体" w:hAnsi="宋体" w:eastAsia="宋体" w:cs="宋体"/>
                <w:color w:val="auto"/>
                <w:sz w:val="21"/>
                <w:szCs w:val="21"/>
              </w:rPr>
              <w:t>主、被动训练模式可自由转换或可手动选择；</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24、</w:t>
            </w:r>
            <w:r>
              <w:rPr>
                <w:rFonts w:hint="eastAsia" w:ascii="宋体" w:hAnsi="宋体" w:eastAsia="宋体" w:cs="宋体"/>
                <w:color w:val="auto"/>
                <w:sz w:val="21"/>
                <w:szCs w:val="21"/>
              </w:rPr>
              <w:t>训练方向：正转与反转，通过方向键可改变转动方向或可定时改变方向；</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25、</w:t>
            </w:r>
            <w:r>
              <w:rPr>
                <w:rFonts w:hint="eastAsia" w:ascii="宋体" w:hAnsi="宋体" w:eastAsia="宋体" w:cs="宋体"/>
                <w:color w:val="auto"/>
                <w:sz w:val="21"/>
                <w:szCs w:val="21"/>
              </w:rPr>
              <w:t>训练模式：被动模式、助力模式、主被动模式、主动模式、抗痉挛模式、对称性模式、自动模式；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26、</w:t>
            </w:r>
            <w:r>
              <w:rPr>
                <w:rFonts w:hint="eastAsia" w:ascii="宋体" w:hAnsi="宋体" w:eastAsia="宋体" w:cs="宋体"/>
                <w:color w:val="auto"/>
                <w:sz w:val="21"/>
                <w:szCs w:val="21"/>
              </w:rPr>
              <w:t>上肢训练把手：上肢直手柄、上肢拐臂手柄、上肢托架，一键式更换，便捷高效；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27、</w:t>
            </w:r>
            <w:r>
              <w:rPr>
                <w:rFonts w:hint="eastAsia" w:ascii="宋体" w:hAnsi="宋体" w:eastAsia="宋体" w:cs="宋体"/>
                <w:color w:val="auto"/>
                <w:sz w:val="21"/>
                <w:szCs w:val="21"/>
              </w:rPr>
              <w:t>护腿板高度可调节，适用于不同身高患者使用；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28、</w:t>
            </w:r>
            <w:r>
              <w:rPr>
                <w:rFonts w:hint="eastAsia" w:ascii="宋体" w:hAnsi="宋体" w:eastAsia="宋体" w:cs="宋体"/>
                <w:color w:val="auto"/>
                <w:sz w:val="21"/>
                <w:szCs w:val="21"/>
              </w:rPr>
              <w:t>设备自检功能：开机时，设备自动检测运行；</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29、</w:t>
            </w:r>
            <w:r>
              <w:rPr>
                <w:rFonts w:hint="eastAsia" w:ascii="宋体" w:hAnsi="宋体" w:eastAsia="宋体" w:cs="宋体"/>
                <w:color w:val="auto"/>
                <w:sz w:val="21"/>
                <w:szCs w:val="21"/>
              </w:rPr>
              <w:t>电源：220V50Hz；输入功率：400VA；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30、</w:t>
            </w:r>
            <w:r>
              <w:rPr>
                <w:rFonts w:hint="eastAsia" w:ascii="宋体" w:hAnsi="宋体" w:eastAsia="宋体" w:cs="宋体"/>
                <w:color w:val="auto"/>
                <w:sz w:val="21"/>
                <w:szCs w:val="21"/>
              </w:rPr>
              <w:t>规格：</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750mm×740mm×1100mm；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31、</w:t>
            </w:r>
            <w:r>
              <w:rPr>
                <w:rFonts w:hint="eastAsia" w:ascii="宋体" w:hAnsi="宋体" w:eastAsia="宋体" w:cs="宋体"/>
                <w:color w:val="auto"/>
                <w:sz w:val="21"/>
                <w:szCs w:val="21"/>
              </w:rPr>
              <w:t>净重：</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90KG。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床边上肢主被动训练系统</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2、床旁设计，移动便捷，用于卧床患者上肢的运动康复训练；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3、阻力设定范围：0-20Nm,档间距1Nm,允许误差±1Nm；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4、被动训练转数：0-60rmp,步距1rmp,允许误差±10%；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5、被动训练上肢电机动力最大输出9.2Nm，允许误差±20%；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6、训练时间：0-120min,步进可调，步距1min，允许误差±10%；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7、痉挛等级：高、中、低三档，根据使用者情况进行设定；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8、电机等级：高、中、低三档；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9、上肢训练臂可进行0-235度旋转，横向0-10cm可伸缩,纵向0-10cm可伸缩，减少卧床患者的移动；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10、显示屏：可进行180度旋转，≥7寸彩色液晶触摸显示操作；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11、机身高度调节范围：不低于10CM；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12、机身底部采用4轮支撑，一踏式控制开关，便于设备的推行移动与固定；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13、底座支撑架角度范围可调节，便于进入护理床下方；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14、患者管理系统：具有训练方案、病例档案存储查询管理功能；可利用智能卡或U盘进行17.训练方案、病例档案管理，联机打印训练结果；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15、对称性训练：左上肢和右上肢的对称性训练功能，实时显示两侧肢体运动百分比；</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16、具有训练时间、训练速度、训练阻力及训练模式的设定功能；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17、具有语音提示功能，实时播报患者当前运动状态；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18、具有智能探测痉挛、缓解痉挛的功能，痉挛探测可进行关闭或开启设置；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19、训练期间显示：运动时间、运动阻力、运动速度、对称性、主被动及痉挛显示；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20、训练结束后显示运动里程、运动时间、能量消耗、训练的主动被动速度、痉挛次数、肌肉张力、对称性；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21、安全防护：异常声音控制、急停按钮；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22、主、被动训练模式可自由转换或可手动选择；</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23、训练方向：正转与反转，通过方向键可改变转动方向或可定时改变24、训练模式：被动模式、助力模式、主被动模式、主动模式、抗痉挛25、上肢训练把手：上肢直手柄、上肢拐臂手柄、上肢托架，一键式更26、设备自检功能：开机时，设备自动检测运行；</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27、电源：220V50Hz；输入功率：400VA；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28、规格：≥900mm×740mm×1300mm；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29、净重：≥90KG。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床边下肢主被动训练系统</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eastAsia="宋体" w:cs="宋体"/>
                <w:color w:val="auto"/>
                <w:sz w:val="21"/>
                <w:szCs w:val="21"/>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床旁设计，移动便捷，用于卧床患者下肢的运动康复训练；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阻力设定范围：0-20Nm,档间距1Nm,允许误差±1Nm；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被动训练转数：0-60rmp,步距1rmp,允许误差±10%；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被动训练下肢电机动力最大输出16Nm，允许误差±20%；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训练时间：0-120min,步进可调，步距1min，允许误差±10%；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痉挛等级：高、中、低三档，根据使用者情况进行设定；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电机等级：高、中、低三档；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下肢训练臂纵向0-10cm可伸缩，减少卧床患者的移动；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显示屏：可进行180度旋转，</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7寸彩色液晶触摸显示操作；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电动驱动机身高度调节，调节范围不低于10CM；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机身底部采用4轮支撑，一踏式控制开关，便于设备的推行移动与固定；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脚踏部位，护腿板高度可调节，腿围可伸缩调节，悬吊绳长可根据需要进行收放；</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患者管理系统：具有训练方案、病例档案存储查询管理功能；可利用智能卡或U盘进行训练方案、病例档案管理，联机打印训练结果；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对称性训练：具有左下肢和右下肢的对称性训练功能，实时显示两侧肢体运动百分比；</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16、</w:t>
            </w:r>
            <w:r>
              <w:rPr>
                <w:rFonts w:hint="eastAsia" w:ascii="宋体" w:hAnsi="宋体" w:eastAsia="宋体" w:cs="宋体"/>
                <w:color w:val="auto"/>
                <w:sz w:val="21"/>
                <w:szCs w:val="21"/>
              </w:rPr>
              <w:t>具有训练时间、训练速度、训练阻力及训练模式的设定功能；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17、</w:t>
            </w:r>
            <w:r>
              <w:rPr>
                <w:rFonts w:hint="eastAsia" w:ascii="宋体" w:hAnsi="宋体" w:eastAsia="宋体" w:cs="宋体"/>
                <w:color w:val="auto"/>
                <w:sz w:val="21"/>
                <w:szCs w:val="21"/>
              </w:rPr>
              <w:t>具有语音提示功能，实时播报患者当前运动状态；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18、</w:t>
            </w:r>
            <w:r>
              <w:rPr>
                <w:rFonts w:hint="eastAsia" w:ascii="宋体" w:hAnsi="宋体" w:eastAsia="宋体" w:cs="宋体"/>
                <w:color w:val="auto"/>
                <w:sz w:val="21"/>
                <w:szCs w:val="21"/>
              </w:rPr>
              <w:t>具有智能探测痉挛、缓解痉挛的功能，痉挛探测可进行关闭或开启设置；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19、</w:t>
            </w:r>
            <w:r>
              <w:rPr>
                <w:rFonts w:hint="eastAsia" w:ascii="宋体" w:hAnsi="宋体" w:eastAsia="宋体" w:cs="宋体"/>
                <w:color w:val="auto"/>
                <w:sz w:val="21"/>
                <w:szCs w:val="21"/>
              </w:rPr>
              <w:t>训练期间显示：运动时间、运动阻力、运动速度、对称性、主被动及痉挛显示；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训练结束后显示运动里程、运动时间、能量消耗、训练的主动被动速度、痉挛次数、肌肉张力、对称性；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安全防护：异常声音控制、按键控制的急停功能、急停按钮；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rPr>
              <w:t>主、被动训练模式可自由转换或可手动选择；</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w:t>
            </w:r>
            <w:r>
              <w:rPr>
                <w:rFonts w:hint="eastAsia" w:ascii="宋体" w:hAnsi="宋体" w:eastAsia="宋体" w:cs="宋体"/>
                <w:color w:val="auto"/>
                <w:sz w:val="21"/>
                <w:szCs w:val="21"/>
              </w:rPr>
              <w:t>训练方向：正转与反转，通过方向键可改变转动方向或可定时改变方向；</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24、</w:t>
            </w:r>
            <w:r>
              <w:rPr>
                <w:rFonts w:hint="eastAsia" w:ascii="宋体" w:hAnsi="宋体" w:eastAsia="宋体" w:cs="宋体"/>
                <w:color w:val="auto"/>
                <w:sz w:val="21"/>
                <w:szCs w:val="21"/>
              </w:rPr>
              <w:t>训练模式：被动模式、助力模式、主被动模式、主动模式、抗痉挛模式、对称性模式、自动模式；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25、</w:t>
            </w:r>
            <w:r>
              <w:rPr>
                <w:rFonts w:hint="eastAsia" w:ascii="宋体" w:hAnsi="宋体" w:eastAsia="宋体" w:cs="宋体"/>
                <w:color w:val="auto"/>
                <w:sz w:val="21"/>
                <w:szCs w:val="21"/>
              </w:rPr>
              <w:t>设备自检功能：开机时，设备自动检测运行；</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26、</w:t>
            </w:r>
            <w:r>
              <w:rPr>
                <w:rFonts w:hint="eastAsia" w:ascii="宋体" w:hAnsi="宋体" w:eastAsia="宋体" w:cs="宋体"/>
                <w:color w:val="auto"/>
                <w:sz w:val="21"/>
                <w:szCs w:val="21"/>
              </w:rPr>
              <w:t>电源：220V50Hz；输入功率：400VA；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w:t>
            </w:r>
            <w:r>
              <w:rPr>
                <w:rFonts w:hint="eastAsia" w:ascii="宋体" w:hAnsi="宋体" w:eastAsia="宋体" w:cs="宋体"/>
                <w:color w:val="auto"/>
                <w:sz w:val="21"/>
                <w:szCs w:val="21"/>
              </w:rPr>
              <w:t>规格：</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900mm×740mm×1300mm；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上肢康复训练系统</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vertAlign w:val="baseline"/>
                <w:lang w:val="en-US" w:eastAsia="zh-CN"/>
              </w:rPr>
              <w:t>1、提供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通过提供动力及用户交互界面进行上肢功能康复训练,设备包含主控系统与训练系统</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3</w:t>
            </w:r>
            <w:r>
              <w:rPr>
                <w:rFonts w:hint="eastAsia" w:ascii="宋体" w:hAnsi="宋体" w:eastAsia="宋体" w:cs="宋体"/>
                <w:color w:val="auto"/>
                <w:sz w:val="21"/>
                <w:szCs w:val="21"/>
                <w:lang w:val="en-US" w:eastAsia="zh-CN"/>
              </w:rPr>
              <w:t>、通过力反馈技术进行上肢功能训练，至少包含被动、助力、主动和抗阻模式；</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en-US" w:eastAsia="zh-CN"/>
              </w:rPr>
              <w:t>、具有多种交互反馈，包括视、听觉；训练过程中实时反馈病人参与度及拟合度等运动参数；</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、支持平面内任意轨迹训练，并包含直线与圆形轨迹。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具备康复训练计划管理功能。</w:t>
            </w:r>
            <w:r>
              <w:rPr>
                <w:rFonts w:hint="eastAsia" w:ascii="宋体" w:hAnsi="宋体" w:eastAsia="宋体" w:cs="宋体"/>
                <w:color w:val="auto"/>
                <w:sz w:val="21"/>
                <w:szCs w:val="21"/>
                <w:lang w:val="en-US" w:eastAsia="zh-CN"/>
              </w:rPr>
              <w:t>应至少</w:t>
            </w:r>
            <w:r>
              <w:rPr>
                <w:rFonts w:hint="eastAsia" w:ascii="宋体" w:hAnsi="宋体" w:eastAsia="宋体" w:cs="宋体"/>
                <w:color w:val="auto"/>
                <w:sz w:val="21"/>
                <w:szCs w:val="21"/>
              </w:rPr>
              <w:t>包括患者姓名、治疗师姓名和训练时间等内容</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cs="宋体"/>
                <w:color w:val="auto"/>
                <w:sz w:val="21"/>
                <w:szCs w:val="21"/>
                <w:lang w:val="en-US" w:eastAsia="zh-CN"/>
              </w:rPr>
              <w:t>7</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包含无线键鼠和遥控器</w:t>
            </w:r>
            <w:r>
              <w:rPr>
                <w:rFonts w:hint="eastAsia" w:ascii="宋体" w:hAnsi="宋体" w:eastAsia="宋体" w:cs="宋体"/>
                <w:color w:val="auto"/>
                <w:sz w:val="21"/>
                <w:szCs w:val="21"/>
                <w:lang w:val="en-US" w:eastAsia="zh-CN"/>
              </w:rPr>
              <w:t>进行操作；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8</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高度电动可调</w:t>
            </w:r>
            <w:r>
              <w:rPr>
                <w:rFonts w:hint="default" w:ascii="宋体" w:hAnsi="宋体" w:eastAsia="宋体" w:cs="宋体"/>
                <w:color w:val="auto"/>
                <w:sz w:val="21"/>
                <w:szCs w:val="21"/>
              </w:rPr>
              <w:t>，高度连续可调</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9</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控制方式：结合电机控制和电脑控制，训练时间、运动范围，运动速度均可调节</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、该系统的软件功能包含患者管理、用户管理等。其用户管理包含医师管理、治疗师管理等，并可提供新增、修改、删除等功能</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1</w:t>
            </w:r>
            <w:r>
              <w:rPr>
                <w:rFonts w:hint="eastAsia" w:ascii="宋体" w:hAnsi="宋体" w:eastAsia="宋体" w:cs="宋体"/>
                <w:color w:val="auto"/>
                <w:sz w:val="21"/>
                <w:szCs w:val="21"/>
              </w:rPr>
              <w:t>、提供多款情景互动游戏训练：认知训练包括训练注意力、记忆、计算的游戏；ADL训练场景≥2种；互动游戏</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10款</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、具备快速启动功能：可直接查看该患者上一次训练计划处方，方便临床快速使用；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配备专用分指板套件，可分别适配左右手。分指板应配备粘扣，适合手的放置并能将手固定</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该系统</w:t>
            </w:r>
            <w:r>
              <w:rPr>
                <w:rFonts w:hint="eastAsia" w:ascii="宋体" w:hAnsi="宋体" w:eastAsia="宋体" w:cs="宋体"/>
                <w:color w:val="auto"/>
                <w:sz w:val="21"/>
                <w:szCs w:val="21"/>
              </w:rPr>
              <w:t>具备轨迹异常监测功能。当操作连杆偏离设定轨迹时，设备立即停止运动，并在操作界面弹出警告提示信息</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5</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3种安全保护设计；</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val="en-US" w:eastAsia="zh-CN"/>
              </w:rPr>
              <w:t>、该训练设备的训练范围边界应≥800mm*350mm。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7</w:t>
            </w:r>
            <w:r>
              <w:rPr>
                <w:rFonts w:hint="eastAsia" w:ascii="宋体" w:hAnsi="宋体" w:eastAsia="宋体" w:cs="宋体"/>
                <w:color w:val="auto"/>
                <w:sz w:val="21"/>
                <w:szCs w:val="21"/>
                <w:lang w:val="en-US" w:eastAsia="zh-CN"/>
              </w:rPr>
              <w:t>、该系统可满足0-5级肌力患者使用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手功能康复训练仪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一、总体要求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1、训练器可适应全周期手功能康复训练需求，训练可横跨手功能康复的软瘫期、痉挛期、恢复期；</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2、训练器驱动方式为气动，以保护患者，不至于造成患手二次伤害；</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3、末端执行器方式具备硅胶软体，最大程度保护患者手指，柔性传导力的作用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二、分指镜像训练器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1、训练器具备被动训练、分指训练、对指训练模式，以适应不同患者的被动训练需求；训练器具备镜像训练模式，且可在镜像中进行主动分指选指训练；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2、训练器必须配备柔性高分子硅胶及塑料波纹管两种不同材质的训练手套，在训练时可按需选择柔性高分子硅胶手套或波纹手套，从而便于对不同时期患者进行针对性的训练；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3、训练器需具备实用方便的一键选指物理按键，可在各模式中进行训练和不训练手指的选择，且不必暂停设备实时即可进行选指功能，便于医生结合患者具体情况，制定针对性的训练方案；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4、训练时间范围：5-40分钟，步进5分钟；</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5、训练力度：10档可调；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6、主机电源：AC100-240V,50/60Hz;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7、重量轻，主机重量不大于6KG；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8、主机尺寸小，整机便于移动，可放置在患者床旁，尺寸范围:长小于370mm，宽小于410mm，高小于175mm；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9、压力范围：正压120±5KPa至150±5KPa，负压-65±5kPa至-70±5kPa；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10、训练器须配备手部辅助固定带和手套-前臂联合固定带帮助患者加固手套与手部的贴合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11、训练器需配备训练台车，台车配有储物抽屉，便于训练手套的存储，并配有具备锁止结构的万向轮，以便于训练器从康复大厅到床旁的移动；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12、标准配置包含：主机一台；左右手训练手套及镜像训练手套S、M、L各一对，左右手高分子柔性硅胶软体手套一对，共7对，万向训练台车1个。</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13、提供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default" w:ascii="宋体" w:hAnsi="宋体" w:cs="宋体"/>
                <w:i w:val="0"/>
                <w:iCs w:val="0"/>
                <w:color w:val="auto"/>
                <w:kern w:val="0"/>
                <w:sz w:val="21"/>
                <w:szCs w:val="21"/>
                <w:highlight w:val="none"/>
                <w:u w:val="none"/>
                <w:lang w:eastAsia="zh-CN" w:bidi="ar"/>
              </w:rPr>
              <w:t>双侧</w:t>
            </w:r>
            <w:r>
              <w:rPr>
                <w:rFonts w:hint="eastAsia" w:ascii="宋体" w:hAnsi="宋体" w:eastAsia="宋体" w:cs="宋体"/>
                <w:i w:val="0"/>
                <w:iCs w:val="0"/>
                <w:color w:val="auto"/>
                <w:kern w:val="0"/>
                <w:sz w:val="21"/>
                <w:szCs w:val="21"/>
                <w:highlight w:val="none"/>
                <w:u w:val="none"/>
                <w:lang w:val="en-US" w:eastAsia="zh-CN" w:bidi="ar"/>
              </w:rPr>
              <w:t>踝关节训练仪</w:t>
            </w:r>
          </w:p>
        </w:tc>
        <w:tc>
          <w:tcPr>
            <w:tcW w:w="765" w:type="dxa"/>
            <w:vAlign w:val="center"/>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default" w:ascii="宋体" w:hAnsi="宋体" w:eastAsia="宋体" w:cs="宋体"/>
                <w:color w:val="auto"/>
                <w:sz w:val="21"/>
                <w:szCs w:val="21"/>
                <w:vertAlign w:val="baseline"/>
                <w:lang w:val="en-US" w:eastAsia="zh-CN"/>
              </w:rPr>
              <w:t>1</w:t>
            </w:r>
            <w:r>
              <w:rPr>
                <w:rFonts w:hint="eastAsia" w:ascii="宋体" w:hAnsi="宋体" w:eastAsia="宋体" w:cs="宋体"/>
                <w:color w:val="auto"/>
                <w:sz w:val="21"/>
                <w:szCs w:val="21"/>
                <w:vertAlign w:val="baseline"/>
                <w:lang w:val="en-US" w:eastAsia="zh-CN"/>
              </w:rPr>
              <w:t>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1、能够提供被动、主动两种基本训练功能，提供6种快捷训练模式；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2、▲支持患侧左脚或右脚，进行情景互动式训练，游戏模式≥4种；</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3、★运动训练方向：无需更换足底装置</w:t>
            </w:r>
            <w:r>
              <w:rPr>
                <w:rFonts w:hint="eastAsia" w:ascii="宋体" w:hAnsi="宋体" w:cs="宋体"/>
                <w:color w:val="auto"/>
                <w:sz w:val="21"/>
                <w:szCs w:val="21"/>
                <w:vertAlign w:val="baseline"/>
                <w:lang w:val="en-US" w:eastAsia="zh-CN"/>
              </w:rPr>
              <w:t>，运动训练方向</w:t>
            </w:r>
            <w:r>
              <w:rPr>
                <w:rFonts w:hint="eastAsia" w:ascii="宋体" w:hAnsi="宋体" w:eastAsia="宋体" w:cs="宋体"/>
                <w:color w:val="auto"/>
                <w:sz w:val="21"/>
                <w:szCs w:val="21"/>
                <w:vertAlign w:val="baseline"/>
                <w:lang w:val="en-US" w:eastAsia="zh-CN"/>
              </w:rPr>
              <w:t>≥2种，含跖屈和背屈；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4、运动方向及范围：跖屈运动角度≥40°，背屈运动角度≥30°；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5、训练时间可调节，范围1-60min可调，步进1min；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6、训练的阻力大小可调节：至少含跖屈背屈阻力可调；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7、训练的助力大小可调节：至少含跖屈背屈助力可调；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★8、关节活动范围ROM测量：至少含跖屈、背屈测量范围；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9、关节</w:t>
            </w:r>
            <w:r>
              <w:rPr>
                <w:rFonts w:hint="eastAsia" w:ascii="宋体" w:hAnsi="宋体" w:cs="宋体"/>
                <w:color w:val="auto"/>
                <w:sz w:val="21"/>
                <w:szCs w:val="21"/>
                <w:vertAlign w:val="baseline"/>
                <w:lang w:val="en-US" w:eastAsia="zh-CN"/>
              </w:rPr>
              <w:t>活动</w:t>
            </w:r>
            <w:r>
              <w:rPr>
                <w:rFonts w:hint="eastAsia" w:ascii="宋体" w:hAnsi="宋体" w:eastAsia="宋体" w:cs="宋体"/>
                <w:color w:val="auto"/>
                <w:sz w:val="21"/>
                <w:szCs w:val="21"/>
                <w:vertAlign w:val="baseline"/>
                <w:lang w:val="en-US" w:eastAsia="zh-CN"/>
              </w:rPr>
              <w:t>的力矩测量：至少含跖屈和背屈测量；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10、安全保护：能提供：紧急停止开关、疑似痉挛保护、意外断电后恢复供电设备不会自行运行保护；</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11、痉挛保护可调等级≥三档；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12、患者管理：用户可进行患者管理，包括新增、查找、编辑、删除功能；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13、具有训练速度、训练时间、训练角度、阻力值、助力值的显示和调节功能；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w:t>
            </w:r>
            <w:r>
              <w:rPr>
                <w:rFonts w:hint="eastAsia" w:ascii="宋体" w:hAnsi="宋体" w:eastAsia="宋体" w:cs="宋体"/>
                <w:color w:val="auto"/>
                <w:sz w:val="21"/>
                <w:szCs w:val="21"/>
                <w:vertAlign w:val="baseline"/>
                <w:lang w:val="en-US" w:eastAsia="zh-CN"/>
              </w:rPr>
              <w:t>4、可以进行单侧患脚独立训练或患侧学习健侧</w:t>
            </w:r>
            <w:r>
              <w:rPr>
                <w:rFonts w:hint="eastAsia" w:ascii="宋体" w:hAnsi="宋体" w:cs="宋体"/>
                <w:color w:val="auto"/>
                <w:sz w:val="21"/>
                <w:szCs w:val="21"/>
                <w:vertAlign w:val="baseline"/>
                <w:lang w:val="en-US" w:eastAsia="zh-CN"/>
              </w:rPr>
              <w:t>被动</w:t>
            </w:r>
            <w:r>
              <w:rPr>
                <w:rFonts w:hint="eastAsia" w:ascii="宋体" w:hAnsi="宋体" w:eastAsia="宋体" w:cs="宋体"/>
                <w:color w:val="auto"/>
                <w:sz w:val="21"/>
                <w:szCs w:val="21"/>
                <w:vertAlign w:val="baseline"/>
                <w:lang w:val="en-US" w:eastAsia="zh-CN"/>
              </w:rPr>
              <w:t>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15、提供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牵引床</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一</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技术参数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电源：AC220V/50Hz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输入功率：2000VA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腰椎牵引力：0-900N任意可调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颈椎牵引力：0-300N任意可调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牵引总时间：0-60min可调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牵引时间：0-9min任意可调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间歇时间：0-90s任意可调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腰椎牵引行程：</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0-200mm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颈椎牵引行程：</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0-300mm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牵引床做成角运动时，上床面上下摆动，当上床面向上摆动时，上床面与水平面夹角为20°±2°；当上床面向下摆动时，上床面与水平面夹角为10°±2°；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牵引床做旋转运动时，上床面左右旋转，上床面与水平面夹角为25°±2°；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二</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性能描述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LED数码管或LCD液晶屏显示牵引力、牵引时间，间歇时间等治疗参数，直观、清晰。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采用低噪音直线电机，使用寿命长，性能更稳定。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微电脑控制牵引力、牵引时间。牵引力的调节系统为闭环系统，牵引力能自动补偿。</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系统提供八种牵引模式,既可持续牵引,也可间歇牵引。</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具有纵向牵引、上下成角牵引、左右旋转牵引；既可单一牵引，也可三维组合牵引。</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设备可供一名患者进行颈椎牵引治疗的同时，另一名患者进行腰椎牵引治疗，缩短了病患的等候时间，提高了医院的经济效益。</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系统可储存二十个病历档案，每个病例治疗参数可随时读取，方便临床工作的开展与研究。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设备既有供患者操作的手持式急退开关，又有供医师操作的急退键，确保使用安全。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牵引床脚轮具有制动功能，保障患者安全。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vertAlign w:val="baseline"/>
                <w:lang w:val="en-US" w:eastAsia="zh-CN"/>
              </w:rPr>
              <w:t>10、提供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经颅磁治疗仪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cs="宋体"/>
                <w:color w:val="auto"/>
                <w:sz w:val="21"/>
                <w:szCs w:val="21"/>
                <w:lang w:val="en-US" w:eastAsia="zh-CN"/>
              </w:rPr>
              <w:t>1、</w:t>
            </w:r>
            <w:r>
              <w:rPr>
                <w:rFonts w:hint="eastAsia" w:ascii="宋体" w:hAnsi="宋体" w:eastAsia="宋体" w:cs="宋体"/>
                <w:color w:val="auto"/>
                <w:sz w:val="21"/>
                <w:szCs w:val="21"/>
              </w:rPr>
              <w:t>刺激人体中枢神经和外周神经，用于人体中枢神经和外周神经功能的检测、评定与改善。</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对脑神经及神经损伤性疾病提供辅助治疗。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、主机要求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结构设计</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2.1.1</w:t>
            </w:r>
            <w:r>
              <w:rPr>
                <w:rFonts w:hint="eastAsia" w:ascii="宋体" w:hAnsi="宋体" w:eastAsia="宋体" w:cs="宋体"/>
                <w:color w:val="auto"/>
                <w:sz w:val="21"/>
                <w:szCs w:val="21"/>
              </w:rPr>
              <w:t>整机结构：一体式可推移设计，方便移动及布局。</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2.1.2</w:t>
            </w:r>
            <w:r>
              <w:rPr>
                <w:rFonts w:hint="eastAsia" w:ascii="宋体" w:hAnsi="宋体" w:eastAsia="宋体" w:cs="宋体"/>
                <w:color w:val="auto"/>
                <w:sz w:val="21"/>
                <w:szCs w:val="21"/>
              </w:rPr>
              <w:t>脚轮：配备静音脚轮，确保运行过程低噪音。</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2.1.3</w:t>
            </w:r>
            <w:r>
              <w:rPr>
                <w:rFonts w:hint="eastAsia" w:ascii="宋体" w:hAnsi="宋体" w:eastAsia="宋体" w:cs="宋体"/>
                <w:color w:val="auto"/>
                <w:sz w:val="21"/>
                <w:szCs w:val="21"/>
              </w:rPr>
              <w:t>线圈支架：具备可固定线圈支架，保证刺激线圈在使用时的稳定性。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rPr>
              <w:t>冷却系统</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采用恒温线圈，内部设置液态内循环冷却系统，区别于风冷和静态液冷方式，保障高效散热及稳定工作。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w:t>
            </w:r>
            <w:r>
              <w:rPr>
                <w:rFonts w:hint="eastAsia" w:ascii="宋体" w:hAnsi="宋体" w:eastAsia="宋体" w:cs="宋体"/>
                <w:color w:val="auto"/>
                <w:sz w:val="21"/>
                <w:szCs w:val="21"/>
              </w:rPr>
              <w:t>操作系统</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2.3.1</w:t>
            </w:r>
            <w:r>
              <w:rPr>
                <w:rFonts w:hint="eastAsia" w:ascii="宋体" w:hAnsi="宋体" w:eastAsia="宋体" w:cs="宋体"/>
                <w:color w:val="auto"/>
                <w:sz w:val="21"/>
                <w:szCs w:val="21"/>
              </w:rPr>
              <w:t>控制方式：人机交互系统由便携 PC 机控制操作，非触摸屏形式。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2.3.2</w:t>
            </w:r>
            <w:r>
              <w:rPr>
                <w:rFonts w:hint="eastAsia" w:ascii="宋体" w:hAnsi="宋体" w:eastAsia="宋体" w:cs="宋体"/>
                <w:color w:val="auto"/>
                <w:sz w:val="21"/>
                <w:szCs w:val="21"/>
              </w:rPr>
              <w:t>界面语言：中文操作界面，方便操作人员使用。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2.3.3</w:t>
            </w:r>
            <w:r>
              <w:rPr>
                <w:rFonts w:hint="eastAsia" w:ascii="宋体" w:hAnsi="宋体" w:eastAsia="宋体" w:cs="宋体"/>
                <w:color w:val="auto"/>
                <w:sz w:val="21"/>
                <w:szCs w:val="21"/>
              </w:rPr>
              <w:t>功能特性：具备开机自检功能，可快速检测设备故障；故障报警与自锁功能，确保设备及人员安全。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2.4</w:t>
            </w:r>
            <w:r>
              <w:rPr>
                <w:rFonts w:hint="eastAsia" w:ascii="宋体" w:hAnsi="宋体" w:eastAsia="宋体" w:cs="宋体"/>
                <w:color w:val="auto"/>
                <w:sz w:val="21"/>
                <w:szCs w:val="21"/>
              </w:rPr>
              <w:t>刺激强度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刺激强度范围为 1.0 - 6Tesla，可连续调节，满足不同治疗及检测场景需求。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2.5磁感应强度最大变化率：至少包括40KT-70KT；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2.6磁感应强度最大变化率允差：±5%；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2.7脉冲上升时间：至少包括60μs±10μs；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2.8输出脉冲宽度：至少包括340μs±20μs（若脉冲宽度表述为双向波单边输出脉冲宽度，则应≧260μs）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lang w:val="en-US" w:eastAsia="zh-CN"/>
              </w:rPr>
              <w:t>2.9刺激频率：0.1-100Hz可调;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2.10脉冲频率≥1Hz，步进为 1Hz；脉冲频率＜1Hz，步进为 0.1Hz；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★2.11脉冲频率允差值：±3%</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2.12</w:t>
            </w:r>
            <w:r>
              <w:rPr>
                <w:rFonts w:hint="eastAsia" w:ascii="宋体" w:hAnsi="宋体" w:eastAsia="宋体" w:cs="宋体"/>
                <w:color w:val="auto"/>
                <w:sz w:val="21"/>
                <w:szCs w:val="21"/>
              </w:rPr>
              <w:t>电介质强度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主机内部高压储能电容安全可靠，电介质强度达到 4000VAC，保障电气安全。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、安全预警功能要求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3.1</w:t>
            </w:r>
            <w:r>
              <w:rPr>
                <w:rFonts w:hint="eastAsia" w:ascii="宋体" w:hAnsi="宋体" w:eastAsia="宋体" w:cs="宋体"/>
                <w:color w:val="auto"/>
                <w:sz w:val="21"/>
                <w:szCs w:val="21"/>
              </w:rPr>
              <w:t>冷却系统故障提示：冷却系统发生故障时，设备应发出提示并停止磁场输出。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3.2</w:t>
            </w:r>
            <w:r>
              <w:rPr>
                <w:rFonts w:hint="eastAsia" w:ascii="宋体" w:hAnsi="宋体" w:eastAsia="宋体" w:cs="宋体"/>
                <w:color w:val="auto"/>
                <w:sz w:val="21"/>
                <w:szCs w:val="21"/>
              </w:rPr>
              <w:t>紧急停止功能：设备连续工作中，按下设备面板停止开关，仪器能立即停止输出。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3.3</w:t>
            </w:r>
            <w:r>
              <w:rPr>
                <w:rFonts w:hint="eastAsia" w:ascii="宋体" w:hAnsi="宋体" w:eastAsia="宋体" w:cs="宋体"/>
                <w:color w:val="auto"/>
                <w:sz w:val="21"/>
                <w:szCs w:val="21"/>
              </w:rPr>
              <w:t>温度监测：磁刺激线圈表面温度需实时监测，确保≤40℃。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3.4</w:t>
            </w:r>
            <w:r>
              <w:rPr>
                <w:rFonts w:hint="eastAsia" w:ascii="宋体" w:hAnsi="宋体" w:eastAsia="宋体" w:cs="宋体"/>
                <w:color w:val="auto"/>
                <w:sz w:val="21"/>
                <w:szCs w:val="21"/>
              </w:rPr>
              <w:t>电容计数：具备电容计数功能，计数达 10,000,000 次后弹出提示框，设备停止工作，且可在 100% 设备强度下使用模式化脉冲 (TBS)。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、刺激线圈要求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4.1</w:t>
            </w:r>
            <w:r>
              <w:rPr>
                <w:rFonts w:hint="eastAsia" w:ascii="宋体" w:hAnsi="宋体" w:eastAsia="宋体" w:cs="宋体"/>
                <w:color w:val="auto"/>
                <w:sz w:val="21"/>
                <w:szCs w:val="21"/>
              </w:rPr>
              <w:t>线圈选型</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刺激线圈提供多种选配，包括成人八字形线圈、成人圆形线圈、儿童八字形线圈、儿童圆形线圈、动物线圈拍，满足不同用户及实验需求。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、软件功能要求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5.1</w:t>
            </w:r>
            <w:r>
              <w:rPr>
                <w:rFonts w:hint="eastAsia" w:ascii="宋体" w:hAnsi="宋体" w:eastAsia="宋体" w:cs="宋体"/>
                <w:color w:val="auto"/>
                <w:sz w:val="21"/>
                <w:szCs w:val="21"/>
              </w:rPr>
              <w:t>数据存储与管理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5.1.1</w:t>
            </w:r>
            <w:r>
              <w:rPr>
                <w:rFonts w:hint="eastAsia" w:ascii="宋体" w:hAnsi="宋体" w:eastAsia="宋体" w:cs="宋体"/>
                <w:color w:val="auto"/>
                <w:sz w:val="21"/>
                <w:szCs w:val="21"/>
              </w:rPr>
              <w:t>存储方式：支持硬盘储存和 USB 储存，方便数据备份及传输。</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5.1.2</w:t>
            </w:r>
            <w:r>
              <w:rPr>
                <w:rFonts w:hint="eastAsia" w:ascii="宋体" w:hAnsi="宋体" w:eastAsia="宋体" w:cs="宋体"/>
                <w:color w:val="auto"/>
                <w:sz w:val="21"/>
                <w:szCs w:val="21"/>
              </w:rPr>
              <w:t>功能模块：具备专家方案、病历管理功能，可进行病历打印输出，便于临床记录与分析。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5.2</w:t>
            </w:r>
            <w:r>
              <w:rPr>
                <w:rFonts w:hint="eastAsia" w:ascii="宋体" w:hAnsi="宋体" w:eastAsia="宋体" w:cs="宋体"/>
                <w:color w:val="auto"/>
                <w:sz w:val="21"/>
                <w:szCs w:val="21"/>
              </w:rPr>
              <w:t>刺激模式与温度管理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5.2.1</w:t>
            </w:r>
            <w:r>
              <w:rPr>
                <w:rFonts w:hint="eastAsia" w:ascii="宋体" w:hAnsi="宋体" w:eastAsia="宋体" w:cs="宋体"/>
                <w:color w:val="auto"/>
                <w:sz w:val="21"/>
                <w:szCs w:val="21"/>
              </w:rPr>
              <w:t>刺激模式仿真：可对刺激模式进行图形（数字）仿真，直观展示刺激效果。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5.2.2</w:t>
            </w:r>
            <w:r>
              <w:rPr>
                <w:rFonts w:hint="eastAsia" w:ascii="宋体" w:hAnsi="宋体" w:eastAsia="宋体" w:cs="宋体"/>
                <w:color w:val="auto"/>
                <w:sz w:val="21"/>
                <w:szCs w:val="21"/>
              </w:rPr>
              <w:t>温度控制：具备温度显示与控制保护功能，确保设备运行在合适温度范围。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、检测模式要求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6.1</w:t>
            </w:r>
            <w:r>
              <w:rPr>
                <w:rFonts w:hint="eastAsia" w:ascii="宋体" w:hAnsi="宋体" w:eastAsia="宋体" w:cs="宋体"/>
                <w:color w:val="auto"/>
                <w:sz w:val="21"/>
                <w:szCs w:val="21"/>
              </w:rPr>
              <w:t>检测项目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6.1.1</w:t>
            </w:r>
            <w:r>
              <w:rPr>
                <w:rFonts w:hint="eastAsia" w:ascii="宋体" w:hAnsi="宋体" w:eastAsia="宋体" w:cs="宋体"/>
                <w:color w:val="auto"/>
                <w:sz w:val="21"/>
                <w:szCs w:val="21"/>
              </w:rPr>
              <w:t>支持运动阈值（MT）、运动诱发电位（MEP）、中枢神经传导时间（CMCT）、静息期检测等检测功能，全面评估神经功能。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6.2</w:t>
            </w:r>
            <w:r>
              <w:rPr>
                <w:rFonts w:hint="eastAsia" w:ascii="宋体" w:hAnsi="宋体" w:eastAsia="宋体" w:cs="宋体"/>
                <w:color w:val="auto"/>
                <w:sz w:val="21"/>
                <w:szCs w:val="21"/>
              </w:rPr>
              <w:t>检测记录功能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6.2.1</w:t>
            </w:r>
            <w:r>
              <w:rPr>
                <w:rFonts w:hint="eastAsia" w:ascii="宋体" w:hAnsi="宋体" w:eastAsia="宋体" w:cs="宋体"/>
                <w:color w:val="auto"/>
                <w:sz w:val="21"/>
                <w:szCs w:val="21"/>
              </w:rPr>
              <w:t>记忆功能：具备运动阈值与治疗方案自动记忆功能，可复现保存文档中的波形与数据。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6.2.2</w:t>
            </w:r>
            <w:r>
              <w:rPr>
                <w:rFonts w:hint="eastAsia" w:ascii="宋体" w:hAnsi="宋体" w:eastAsia="宋体" w:cs="宋体"/>
                <w:color w:val="auto"/>
                <w:sz w:val="21"/>
                <w:szCs w:val="21"/>
              </w:rPr>
              <w:t>计算功能：能自动计算神经传导时间，提高检测效率与准确性。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6.3、实时MEP（EMG）信息显示；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6.3.1双通道MEP检测功能，采样率不低于100KHz。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6.3.2传输方式：有线传输，非无线传输，确保信号稳定。</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6.3.3最小分辨率：≤0.2μV；</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6.3.4频率测量范围：1Hz~25KHz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、刺激模式要求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7.1</w:t>
            </w:r>
            <w:r>
              <w:rPr>
                <w:rFonts w:hint="eastAsia" w:ascii="宋体" w:hAnsi="宋体" w:eastAsia="宋体" w:cs="宋体"/>
                <w:color w:val="auto"/>
                <w:sz w:val="21"/>
                <w:szCs w:val="21"/>
              </w:rPr>
              <w:t>模式选择</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7.1.1</w:t>
            </w:r>
            <w:r>
              <w:rPr>
                <w:rFonts w:hint="eastAsia" w:ascii="宋体" w:hAnsi="宋体" w:eastAsia="宋体" w:cs="宋体"/>
                <w:color w:val="auto"/>
                <w:sz w:val="21"/>
                <w:szCs w:val="21"/>
              </w:rPr>
              <w:t>支持单脉冲、重复脉冲、BURST 多种刺激模式自由调整，满足不同治疗方案。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7.2</w:t>
            </w:r>
            <w:r>
              <w:rPr>
                <w:rFonts w:hint="eastAsia" w:ascii="宋体" w:hAnsi="宋体" w:eastAsia="宋体" w:cs="宋体"/>
                <w:color w:val="auto"/>
                <w:sz w:val="21"/>
                <w:szCs w:val="21"/>
              </w:rPr>
              <w:t>定时功能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7.2.1</w:t>
            </w:r>
            <w:r>
              <w:rPr>
                <w:rFonts w:hint="eastAsia" w:ascii="宋体" w:hAnsi="宋体" w:eastAsia="宋体" w:cs="宋体"/>
                <w:color w:val="auto"/>
                <w:sz w:val="21"/>
                <w:szCs w:val="21"/>
              </w:rPr>
              <w:t>时间设置：定时时间可根据方案需要设置。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7.2.2</w:t>
            </w:r>
            <w:r>
              <w:rPr>
                <w:rFonts w:hint="eastAsia" w:ascii="宋体" w:hAnsi="宋体" w:eastAsia="宋体" w:cs="宋体"/>
                <w:color w:val="auto"/>
                <w:sz w:val="21"/>
                <w:szCs w:val="21"/>
              </w:rPr>
              <w:t>自动停止：预定时间（方案总时间）到达后，设备自动终止磁场输出，允差 ±10%。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7.3</w:t>
            </w:r>
            <w:r>
              <w:rPr>
                <w:rFonts w:hint="eastAsia" w:ascii="宋体" w:hAnsi="宋体" w:eastAsia="宋体" w:cs="宋体"/>
                <w:color w:val="auto"/>
                <w:sz w:val="21"/>
                <w:szCs w:val="21"/>
              </w:rPr>
              <w:t>方案定制与显示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7.3.1</w:t>
            </w:r>
            <w:r>
              <w:rPr>
                <w:rFonts w:hint="eastAsia" w:ascii="宋体" w:hAnsi="宋体" w:eastAsia="宋体" w:cs="宋体"/>
                <w:color w:val="auto"/>
                <w:sz w:val="21"/>
                <w:szCs w:val="21"/>
              </w:rPr>
              <w:t>方案库：内置多种专家方案，供临床选择，同时支持刺激方案自定义，可设置刺激时间、输出频率、刺激间歇、刺激强度、刺激数量等参数。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7.3.2</w:t>
            </w:r>
            <w:r>
              <w:rPr>
                <w:rFonts w:hint="eastAsia" w:ascii="宋体" w:hAnsi="宋体" w:eastAsia="宋体" w:cs="宋体"/>
                <w:color w:val="auto"/>
                <w:sz w:val="21"/>
                <w:szCs w:val="21"/>
              </w:rPr>
              <w:t>参数显示：能显示阈值强度、以百分比表示相对输出强度，显示刺激序列、刺激时间、刺激数量。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、接口要求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具备触发输入输出通用接口，便于与其他设备连接协同工作。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、兼容性要求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采用开放式技术平台，可与国内外主流的肌电诱发电位仪、脑电图等设备兼容，拓展设备应用范围。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cs="宋体"/>
                <w:color w:val="auto"/>
                <w:sz w:val="21"/>
                <w:szCs w:val="21"/>
                <w:vertAlign w:val="baseline"/>
                <w:lang w:val="en-US" w:eastAsia="zh-CN"/>
              </w:rPr>
              <w:t>10、提供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firstLine="0" w:firstLineChars="0"/>
              <w:textAlignment w:val="auto"/>
              <w:rPr>
                <w:rFonts w:hint="eastAsia" w:ascii="宋体" w:hAnsi="宋体" w:eastAsia="宋体" w:cs="宋体"/>
                <w:color w:val="auto"/>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超声波治疗仪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1、操作：配有全数字≥7寸高响应度、高亮度、高对比度的中文彩色触摸显示屏，无任何按钮和旋钮，操作非常简单；</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2、显示：大屏幕高清彩色液晶显示屏，中文显示屏，幕显示分辨率（像素）：≥1024*600；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3、输出模式：连续输出和脉冲输出；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4、脉冲频率：16Hz，48Hz和100Hz；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5、声工作频率：单头可实现双频输出（1MHz/3MHz）；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6、有效声强：最大有效声强不超过3W/cm2；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7、治疗时间：0-30min可调，步进1；</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8、处方功能：内含25个临床常见疾病的标准处方；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9、存储功能：可以保存≥50个机器的设置和处方；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10、治疗信息：内设的固定处方带有治疗信息，包含文字信息，人体彩图部位信息，人体解剖图信息，方便治疗人员学习和找准治疗部位；</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11、接触控制功能：当超声头表面与患者接触不充分时，治疗就会中断，同时提示灯亮起，设备无输出；当超声头恢复接触时，设备也会自动恢复治疗；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12、手持式超声头：配备≥5cm²超声头和≥1cm²超声头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13、波束不均匀系数RBN：≤8</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en-US" w:eastAsia="zh-CN"/>
              </w:rPr>
              <w:t>、脉冲模式占空比：10％、20％、30％、40％、50％、60%、70%、80％、90%；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、主机尺寸：≥268x250x166mm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val="en-US" w:eastAsia="zh-CN"/>
              </w:rPr>
              <w:t>、电源电压：AC220V、50Hz；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7</w:t>
            </w:r>
            <w:r>
              <w:rPr>
                <w:rFonts w:hint="eastAsia" w:ascii="宋体" w:hAnsi="宋体" w:eastAsia="宋体" w:cs="宋体"/>
                <w:color w:val="auto"/>
                <w:sz w:val="21"/>
                <w:szCs w:val="21"/>
                <w:lang w:val="en-US" w:eastAsia="zh-CN"/>
              </w:rPr>
              <w:t>、输入功率：50VA。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vertAlign w:val="baseline"/>
                <w:lang w:val="en-US" w:eastAsia="zh-CN"/>
              </w:rPr>
              <w:t>18、提供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超短波治疗仪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振荡频率：40.68MHz±1.5%。</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eastAsia="zh-CN"/>
              </w:rPr>
              <w:t>结构及组成：电疗机主要由柜式主机、连接电缆、电极板组成。</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输出功率连续可调：无须换挡，无极调量，连续输出60-250mA，任意点均在谐振点上。</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输出功率：200W±20%。</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输出模式：三种输出模式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连续输出模式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断续输出模式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脉冲输出模式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，根据不同病症治疗的需要进行选择。</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断续频率：10～200Hz，步进10Hz。</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脉冲脉宽：200～1000μs，步进50Hz。</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电源条件：220V/50Hz。</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电子定时：定时精准，0-99分钟（结束治疗自动停机，并发出声音提示）</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输出电缆：防辐射、耐高温、损耗小，两线交叉不打火。</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输入功率：≤1000VA。</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机器类别：I类BF型。</w:t>
            </w:r>
          </w:p>
          <w:p>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外形尺寸：</w:t>
            </w:r>
            <w:r>
              <w:rPr>
                <w:rFonts w:hint="eastAsia" w:ascii="宋体" w:hAnsi="宋体" w:eastAsia="宋体" w:cs="宋体"/>
                <w:b w:val="0"/>
                <w:bCs w:val="0"/>
                <w:color w:val="auto"/>
                <w:sz w:val="21"/>
                <w:szCs w:val="21"/>
              </w:rPr>
              <w:t>≥</w:t>
            </w:r>
            <w:r>
              <w:rPr>
                <w:rFonts w:hint="eastAsia" w:ascii="宋体" w:hAnsi="宋体" w:eastAsia="宋体" w:cs="宋体"/>
                <w:color w:val="auto"/>
                <w:sz w:val="21"/>
                <w:szCs w:val="21"/>
              </w:rPr>
              <w:t>460mm×380mm×900mm。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重量：</w:t>
            </w:r>
            <w:r>
              <w:rPr>
                <w:rFonts w:hint="eastAsia" w:ascii="宋体" w:hAnsi="宋体" w:eastAsia="宋体" w:cs="宋体"/>
                <w:b w:val="0"/>
                <w:bCs w:val="0"/>
                <w:color w:val="auto"/>
                <w:sz w:val="21"/>
                <w:szCs w:val="21"/>
              </w:rPr>
              <w:t>≥</w:t>
            </w:r>
            <w:r>
              <w:rPr>
                <w:rFonts w:hint="eastAsia" w:ascii="宋体" w:hAnsi="宋体" w:eastAsia="宋体" w:cs="宋体"/>
                <w:color w:val="auto"/>
                <w:sz w:val="21"/>
                <w:szCs w:val="21"/>
              </w:rPr>
              <w:t>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vertAlign w:val="baseline"/>
                <w:lang w:val="en-US" w:eastAsia="zh-CN"/>
              </w:rPr>
              <w:t>15、提供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磁振热治疗仪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1、温度控制：40℃～55℃连续无间断可调（</w:t>
            </w:r>
            <w:r>
              <w:rPr>
                <w:rFonts w:hint="eastAsia" w:ascii="宋体" w:hAnsi="宋体" w:eastAsia="宋体" w:cs="宋体"/>
                <w:b w:val="0"/>
                <w:bCs w:val="0"/>
                <w:color w:val="auto"/>
                <w:sz w:val="21"/>
                <w:szCs w:val="21"/>
              </w:rPr>
              <w:t>≥</w:t>
            </w:r>
            <w:r>
              <w:rPr>
                <w:rFonts w:hint="eastAsia" w:ascii="宋体" w:hAnsi="宋体" w:eastAsia="宋体" w:cs="宋体"/>
                <w:color w:val="auto"/>
                <w:sz w:val="21"/>
                <w:szCs w:val="21"/>
                <w:vertAlign w:val="baseline"/>
                <w:lang w:val="en-US" w:eastAsia="zh-CN"/>
              </w:rPr>
              <w:t>16档模式可选），误差不大于±3℃，</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2、超温保护：具有独立恒温器非自动复位超温保护装置，超温保护时停止输出，应用部分的温度不高于60℃。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3、磁场强度：8mT，误差不大于±3mT。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4、振动频率：仪器连续输出时振动频率为50Hz，误差不大于±2Hz。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5、振动模式：M1模式为磁振热，M2模式为磁振，M3模式为磁热。 </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6、定时：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vertAlign w:val="baseline"/>
                <w:lang w:val="en-US" w:eastAsia="zh-CN"/>
              </w:rPr>
              <w:t>1min～60min，误差不大于±1% 。</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7、磁场强度分布：由治疗垫上每个热磁振子中心向周边递减，距离治疗垫周边15cm以外磁场强度应小于0.5mT。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8、输出指示：彩色电脑触摸屏控制，有20个以上处方记忆功能，实时温度准确显示。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9、断电恢复：仪器在断电再恢复时，保护输出功能。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10、输出通道：两路独立输出通道。</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11、提供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中药熏蒸仪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一、技术参数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定时时间：1-99min任意可调，连续工作时间≥8h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温度显示范围：0℃-150℃，显示精度±1℃。</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压力调节范围：20-35KPa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输入功率：2000VA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熏蒸锅容积：5L</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正常工作加药量V：2.2L≤V≤3L</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二、性能描述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双路输出中药蒸汽,既可为一个患者提供两个部位治疗,也可同时治疗两个患者,互不影响、效益倍增。</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两种工作模式可任意设定（即常规模式、强弱模式）。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采用广视角液晶屏显示仪器的工作参数，并具有实时状态提示功能。如“液体缺少，请加液体”、“正在预热”、“正在治疗”、“压力超高，正在减压”等。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熏蒸容器具有六重安全防护装置，如达到压力自动泄压、限压阀失效后安全阀自动泄气</w:t>
            </w:r>
            <w:bookmarkStart w:id="8" w:name="_Hlk40966017"/>
            <w:r>
              <w:rPr>
                <w:rFonts w:hint="eastAsia" w:ascii="宋体" w:hAnsi="宋体" w:eastAsia="宋体" w:cs="宋体"/>
                <w:color w:val="auto"/>
                <w:sz w:val="21"/>
                <w:szCs w:val="21"/>
              </w:rPr>
              <w:t>等多重安全保护装置。</w:t>
            </w:r>
          </w:p>
          <w:bookmarkEnd w:id="8"/>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具有超温、超压、缺水保护并具有声响提示，多重保护措施，使仪器工作过程更加安全。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设有两个独立的熏蒸容器，并在熏蒸容器内设置具有过滤功能的蒸汽输出装置，防止药渣进入，堵塞蒸汽管道；蒸汽输出装置可拆卸，方便清洗药垢。</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配备冷凝水收集系统，熏蒸过程中产生的冷凝水自动汇集至冷凝水收集器，保证喷出的蒸汽中没有凝聚的水珠，从而避免烫伤患者。</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翻盖0～90°范围内任意悬停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喷头配有嵌入式吸水海绵隔离罩，吸附多余水珠，使病人和喷嘴之间保持安全距离，防止烫伤。</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配置自动、手动两种排废液方式，互不干扰，方便医护人员使用。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熏蒸容器采用外置式一体成型加热器，有效防止药液对加热装置的腐蚀，延长使用寿命。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仪器采用大功率加热盘，能快速的将药液提升到沸点。出蒸汽的时间为9分钟（初始水温25℃，水量2.2L），缩短病人的守候时间，大大的提高了设备的工作效率。</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多角度治疗：三维万向旋转臂杆，360°旋转喷头，针对于某个部位的熏蒸灵活性大，无须患者脱衣治疗，只须露出熏蒸部位熏蒸治疗，方便灵活。</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具有浓度检测功能，通过数值大小指示运行时药物的浓度，清晰直观。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仪器整体体积小，移动方便灵活。适用于住院部病区的床前移动治疗，对于术前治疗和手术后的康复治疗等不便移动的病人提供了便利。</w:t>
            </w:r>
            <w:r>
              <w:rPr>
                <w:rFonts w:hint="eastAsia" w:ascii="宋体" w:hAnsi="宋体" w:cs="宋体"/>
                <w:color w:val="auto"/>
                <w:sz w:val="21"/>
                <w:szCs w:val="21"/>
                <w:vertAlign w:val="baseline"/>
                <w:lang w:val="en-US" w:eastAsia="zh-CN"/>
              </w:rPr>
              <w:t>16、提供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威伐光治疗仪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一、基本要求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eastAsia="zh-CN"/>
              </w:rPr>
              <w:t>、</w:t>
            </w:r>
            <w:r>
              <w:rPr>
                <w:rFonts w:hint="eastAsia" w:ascii="宋体" w:hAnsi="宋体" w:eastAsia="宋体" w:cs="宋体"/>
                <w:color w:val="auto"/>
              </w:rPr>
              <w:t>产品适用范围：用于对疼痛和炎症的治疗，改善血液循环，消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除肿胀，消炎止痛、促进伤口愈合。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eastAsia="zh-CN"/>
              </w:rPr>
              <w:t>、</w:t>
            </w:r>
            <w:r>
              <w:rPr>
                <w:rFonts w:hint="eastAsia" w:ascii="宋体" w:hAnsi="宋体" w:eastAsia="宋体" w:cs="宋体"/>
                <w:color w:val="auto"/>
              </w:rPr>
              <w:t>治疗源：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2.1治疗光源：进口卤素光源；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eastAsia="zh-CN"/>
              </w:rPr>
            </w:pPr>
            <w:r>
              <w:rPr>
                <w:rFonts w:hint="eastAsia" w:ascii="宋体" w:hAnsi="宋体" w:eastAsia="宋体" w:cs="宋体"/>
                <w:color w:val="auto"/>
              </w:rPr>
              <w:t>2.2输出功率≥375W</w:t>
            </w:r>
            <w:r>
              <w:rPr>
                <w:rFonts w:hint="eastAsia" w:ascii="宋体" w:hAnsi="宋体" w:eastAsia="宋体" w:cs="宋体"/>
                <w:color w:val="auto"/>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2.3输出方式：连续输出；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2.4有效光谱波长范围：590-1400nm;峰值波长范围：900-1100nm。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2.5照射光斑直径：&gt;55cm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2.6照射面积直径：326cm²</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2.7出光口面积：水滤镜有效口径≥95mm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2.8光功率密度：在出光口光功率密度&gt;1900mw/cm²</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2.9在出光口16cm处辐照强度光功率密度经检测&gt;225mw/cm²</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2.10可照射头面部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2.11治疗深度：≥20CM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2.1</w:t>
            </w:r>
            <w:r>
              <w:rPr>
                <w:rFonts w:hint="eastAsia" w:ascii="宋体" w:hAnsi="宋体" w:cs="宋体"/>
                <w:color w:val="auto"/>
                <w:lang w:val="en-US" w:eastAsia="zh-CN"/>
              </w:rPr>
              <w:t>2</w:t>
            </w:r>
            <w:r>
              <w:rPr>
                <w:rFonts w:hint="eastAsia" w:ascii="宋体" w:hAnsi="宋体" w:eastAsia="宋体" w:cs="宋体"/>
                <w:color w:val="auto"/>
              </w:rPr>
              <w:t>设备治疗过程皮肤表面温度可达39-42℃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2.1</w:t>
            </w:r>
            <w:r>
              <w:rPr>
                <w:rFonts w:hint="eastAsia" w:ascii="宋体" w:hAnsi="宋体" w:cs="宋体"/>
                <w:color w:val="auto"/>
                <w:lang w:val="en-US" w:eastAsia="zh-CN"/>
              </w:rPr>
              <w:t>3</w:t>
            </w:r>
            <w:r>
              <w:rPr>
                <w:rFonts w:hint="eastAsia" w:ascii="宋体" w:hAnsi="宋体" w:eastAsia="宋体" w:cs="宋体"/>
                <w:color w:val="auto"/>
              </w:rPr>
              <w:t>工作面表面温度：不超过42℃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eastAsia="zh-CN"/>
              </w:rPr>
            </w:pPr>
            <w:r>
              <w:rPr>
                <w:rFonts w:hint="eastAsia" w:ascii="宋体" w:hAnsi="宋体" w:eastAsia="宋体" w:cs="宋体"/>
                <w:color w:val="auto"/>
              </w:rPr>
              <w:t>2.1</w:t>
            </w:r>
            <w:r>
              <w:rPr>
                <w:rFonts w:hint="eastAsia" w:ascii="宋体" w:hAnsi="宋体" w:cs="宋体"/>
                <w:color w:val="auto"/>
                <w:lang w:val="en-US" w:eastAsia="zh-CN"/>
              </w:rPr>
              <w:t>4</w:t>
            </w:r>
            <w:r>
              <w:rPr>
                <w:rFonts w:hint="eastAsia" w:ascii="宋体" w:hAnsi="宋体" w:eastAsia="宋体" w:cs="宋体"/>
                <w:color w:val="auto"/>
              </w:rPr>
              <w:t>设备使用期限</w:t>
            </w:r>
            <w:r>
              <w:rPr>
                <w:rFonts w:hint="eastAsia" w:ascii="宋体" w:hAnsi="宋体" w:eastAsia="宋体" w:cs="宋体"/>
                <w:color w:val="auto"/>
                <w:lang w:val="en-US" w:eastAsia="zh-CN"/>
              </w:rPr>
              <w:t>≥</w:t>
            </w:r>
            <w:r>
              <w:rPr>
                <w:rFonts w:hint="eastAsia" w:ascii="宋体" w:hAnsi="宋体" w:eastAsia="宋体" w:cs="宋体"/>
                <w:color w:val="auto"/>
              </w:rPr>
              <w:t>10年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3</w:t>
            </w:r>
            <w:r>
              <w:rPr>
                <w:rFonts w:hint="eastAsia" w:ascii="宋体" w:hAnsi="宋体" w:eastAsia="宋体" w:cs="宋体"/>
                <w:color w:val="auto"/>
                <w:lang w:eastAsia="zh-CN"/>
              </w:rPr>
              <w:t>、</w:t>
            </w:r>
            <w:r>
              <w:rPr>
                <w:rFonts w:hint="eastAsia" w:ascii="宋体" w:hAnsi="宋体" w:eastAsia="宋体" w:cs="宋体"/>
                <w:color w:val="auto"/>
              </w:rPr>
              <w:t>治疗时间：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3.1液晶计时器，时间设定可自由调整。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3.2照射时间设备范围：可0-10小时连续照射。</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3.3可按步进1min连续可调设置总的治疗时间，治疗时间结束时自动关机。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3.4连续照射时间：开机可连续照射≥8小时，无需停机散热。</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w:t>
            </w:r>
            <w:r>
              <w:rPr>
                <w:rFonts w:hint="eastAsia" w:ascii="宋体" w:hAnsi="宋体" w:eastAsia="宋体" w:cs="宋体"/>
                <w:color w:val="auto"/>
                <w:lang w:eastAsia="zh-CN"/>
              </w:rPr>
              <w:t>、</w:t>
            </w:r>
            <w:r>
              <w:rPr>
                <w:rFonts w:hint="eastAsia" w:ascii="宋体" w:hAnsi="宋体" w:eastAsia="宋体" w:cs="宋体"/>
                <w:color w:val="auto"/>
              </w:rPr>
              <w:t>设备功能：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4.1定时模式：有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4.2过热模式：有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4.3过热保护：有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4.4防倾倒功能：有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4.5定距装置：有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4.6断电治疗时长记忆功能：有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4.7停机设置时长默认功能：有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5</w:t>
            </w:r>
            <w:r>
              <w:rPr>
                <w:rFonts w:hint="eastAsia" w:ascii="宋体" w:hAnsi="宋体" w:eastAsia="宋体" w:cs="宋体"/>
                <w:color w:val="auto"/>
                <w:lang w:eastAsia="zh-CN"/>
              </w:rPr>
              <w:t>、</w:t>
            </w:r>
            <w:r>
              <w:rPr>
                <w:rFonts w:hint="eastAsia" w:ascii="宋体" w:hAnsi="宋体" w:eastAsia="宋体" w:cs="宋体"/>
                <w:color w:val="auto"/>
              </w:rPr>
              <w:t>散热装置：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5.1风冷散热、噪声分贝小于80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5.2散热装置适用时限≥8000H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二、支撑系统：</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eastAsia="zh-CN"/>
              </w:rPr>
              <w:t>、</w:t>
            </w:r>
            <w:r>
              <w:rPr>
                <w:rFonts w:hint="eastAsia" w:ascii="宋体" w:hAnsi="宋体" w:eastAsia="宋体" w:cs="宋体"/>
                <w:color w:val="auto"/>
              </w:rPr>
              <w:t>万向轮移动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eastAsia="zh-CN"/>
              </w:rPr>
              <w:t>、</w:t>
            </w:r>
            <w:r>
              <w:rPr>
                <w:rFonts w:hint="eastAsia" w:ascii="宋体" w:hAnsi="宋体" w:eastAsia="宋体" w:cs="宋体"/>
                <w:color w:val="auto"/>
              </w:rPr>
              <w:t>立式支架可液压升降，水平360°,垂直移动距离90cm-150cm3.U型支架可345°转动</w:t>
            </w:r>
          </w:p>
          <w:p>
            <w:pPr>
              <w:keepNext w:val="0"/>
              <w:keepLines w:val="0"/>
              <w:pageBreakBefore w:val="0"/>
              <w:kinsoku/>
              <w:wordWrap/>
              <w:overflowPunct/>
              <w:topLinePunct w:val="0"/>
              <w:autoSpaceDE/>
              <w:autoSpaceDN/>
              <w:bidi w:val="0"/>
              <w:adjustRightInd/>
              <w:snapToGrid/>
              <w:spacing w:line="312" w:lineRule="auto"/>
              <w:ind w:firstLine="210" w:firstLineChars="100"/>
              <w:rPr>
                <w:rFonts w:hint="eastAsia" w:ascii="宋体" w:hAnsi="宋体" w:eastAsia="宋体" w:cs="宋体"/>
                <w:color w:val="auto"/>
                <w:lang w:val="en-US" w:eastAsia="zh-CN"/>
              </w:rPr>
            </w:pP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直流电治疗仪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输出负载阻抗：250Q</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连续波脉冲频率：0.8Hz、1Hz、1.5Hz、2Hz、5HZ20Hz分六档</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val="en-US" w:eastAsia="zh-CN"/>
              </w:rPr>
              <w:t>断续波中续波：0.8HZ、1Hz、1.5HZ、2Hz、5HZ20Hz分六档，断续周期为6s</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4、</w:t>
            </w:r>
            <w:r>
              <w:rPr>
                <w:rFonts w:hint="eastAsia" w:ascii="宋体" w:hAnsi="宋体" w:eastAsia="宋体" w:cs="宋体"/>
                <w:color w:val="auto"/>
                <w:sz w:val="21"/>
                <w:szCs w:val="21"/>
                <w:vertAlign w:val="baseline"/>
                <w:lang w:val="en-US" w:eastAsia="zh-CN"/>
              </w:rPr>
              <w:t>疏密波中疏波：中疏波为4Hz，密波为20HZ疏密周期为6s</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5、</w:t>
            </w:r>
            <w:r>
              <w:rPr>
                <w:rFonts w:hint="eastAsia" w:ascii="宋体" w:hAnsi="宋体" w:eastAsia="宋体" w:cs="宋体"/>
                <w:color w:val="auto"/>
                <w:sz w:val="21"/>
                <w:szCs w:val="21"/>
                <w:vertAlign w:val="baseline"/>
                <w:lang w:val="en-US" w:eastAsia="zh-CN"/>
              </w:rPr>
              <w:t>前置脉冲宽度：当脉冲频率为0.8HZ、1Hz、1.5HZ2Hz时为250us；当脉冲频率为5HZ、20HZ、4HZ、20Hz时为70uS</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6、</w:t>
            </w:r>
            <w:r>
              <w:rPr>
                <w:rFonts w:hint="eastAsia" w:ascii="宋体" w:hAnsi="宋体" w:eastAsia="宋体" w:cs="宋体"/>
                <w:color w:val="auto"/>
                <w:sz w:val="21"/>
                <w:szCs w:val="21"/>
                <w:vertAlign w:val="baseline"/>
                <w:lang w:val="en-US" w:eastAsia="zh-CN"/>
              </w:rPr>
              <w:t>输出电流：输出电流有效值为0~0.9mA</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7、</w:t>
            </w:r>
            <w:r>
              <w:rPr>
                <w:rFonts w:hint="eastAsia" w:ascii="宋体" w:hAnsi="宋体" w:eastAsia="宋体" w:cs="宋体"/>
                <w:color w:val="auto"/>
                <w:sz w:val="21"/>
                <w:szCs w:val="21"/>
                <w:vertAlign w:val="baseline"/>
                <w:lang w:val="en-US" w:eastAsia="zh-CN"/>
              </w:rPr>
              <w:t>脉冲能量：不超过5mJ</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8、</w:t>
            </w:r>
            <w:r>
              <w:rPr>
                <w:rFonts w:hint="eastAsia" w:ascii="宋体" w:hAnsi="宋体" w:eastAsia="宋体" w:cs="宋体"/>
                <w:color w:val="auto"/>
                <w:sz w:val="21"/>
                <w:szCs w:val="21"/>
                <w:vertAlign w:val="baseline"/>
                <w:lang w:val="en-US" w:eastAsia="zh-CN"/>
              </w:rPr>
              <w:t>定时时间：10min、15min、20min、25min、30min五档</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9、</w:t>
            </w:r>
            <w:r>
              <w:rPr>
                <w:rFonts w:hint="eastAsia" w:ascii="宋体" w:hAnsi="宋体" w:eastAsia="宋体" w:cs="宋体"/>
                <w:color w:val="auto"/>
                <w:sz w:val="21"/>
                <w:szCs w:val="21"/>
                <w:vertAlign w:val="baseline"/>
                <w:lang w:val="en-US" w:eastAsia="zh-CN"/>
              </w:rPr>
              <w:t>电源额定电压频率：220V50Hz，输入功率6VA</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10、</w:t>
            </w:r>
            <w:r>
              <w:rPr>
                <w:rFonts w:hint="eastAsia" w:ascii="宋体" w:hAnsi="宋体" w:eastAsia="宋体" w:cs="宋体"/>
                <w:color w:val="auto"/>
                <w:sz w:val="21"/>
                <w:szCs w:val="21"/>
                <w:vertAlign w:val="baseline"/>
                <w:lang w:val="en-US" w:eastAsia="zh-CN"/>
              </w:rPr>
              <w:t>外形尺寸：</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vertAlign w:val="baseline"/>
                <w:lang w:val="en-US" w:eastAsia="zh-CN"/>
              </w:rPr>
              <w:t>260mmx200mmx90mm</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11、</w:t>
            </w:r>
            <w:r>
              <w:rPr>
                <w:rFonts w:hint="eastAsia" w:ascii="宋体" w:hAnsi="宋体" w:eastAsia="宋体" w:cs="宋体"/>
                <w:color w:val="auto"/>
                <w:sz w:val="21"/>
                <w:szCs w:val="21"/>
                <w:vertAlign w:val="baseline"/>
                <w:lang w:val="en-US" w:eastAsia="zh-CN"/>
              </w:rPr>
              <w:t>重量：</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vertAlign w:val="baseline"/>
                <w:lang w:val="en-US" w:eastAsia="zh-CN"/>
              </w:rPr>
              <w:t>1.5kg</w:t>
            </w:r>
          </w:p>
          <w:p>
            <w:pPr>
              <w:keepNext w:val="0"/>
              <w:keepLines w:val="0"/>
              <w:pageBreakBefore w:val="0"/>
              <w:numPr>
                <w:ilvl w:val="0"/>
                <w:numId w:val="0"/>
              </w:numPr>
              <w:kinsoku/>
              <w:wordWrap/>
              <w:overflowPunct/>
              <w:topLinePunct w:val="0"/>
              <w:autoSpaceDE/>
              <w:autoSpaceDN/>
              <w:bidi w:val="0"/>
              <w:adjustRightInd/>
              <w:snapToGrid/>
              <w:spacing w:line="312" w:lineRule="auto"/>
              <w:ind w:left="0" w:leftChars="0" w:firstLine="0" w:firstLineChars="0"/>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12、提供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低频电子脉冲治疗仪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1、采用</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vertAlign w:val="baseline"/>
                <w:lang w:val="en-US" w:eastAsia="zh-CN"/>
              </w:rPr>
              <w:t>5寸彩色液晶显示屏，中文菜单，操作更方便，并附有电子说明书；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2、实时动态显示各通道的治疗波形、治疗剂量、治疗模式、治疗时间等，各种治疗数据一目了然；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3、输出波形刺激仪输出波形为双向不对称方波；</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4、输出电流：刺激仪各组独立输出，在1KΩ负载阻抗时，每组输出电流的峰值Ip从0mA～100mA连续可调；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5、脉冲宽度：刺激仪输出脉冲宽度为20us～500us,步长1us，允差为±20%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6、脉冲频率：刺激仪输出脉冲频率在：2Hz～160Hz范围连续可调,步长1Hz，允差为±10%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7、时间设置：定时装置为5min～30min分档可调，步长1min，允差±5%；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8、输入功率：60VA；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9、输出通道：二组输出；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10、提供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脑电生物反馈治疗仪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1套</w:t>
            </w:r>
          </w:p>
        </w:tc>
        <w:tc>
          <w:tcPr>
            <w:tcW w:w="6780" w:type="dxa"/>
          </w:tcPr>
          <w:p>
            <w:pPr>
              <w:pStyle w:val="91"/>
              <w:keepNext w:val="0"/>
              <w:keepLines w:val="0"/>
              <w:pageBreakBefore w:val="0"/>
              <w:widowControl w:val="0"/>
              <w:kinsoku/>
              <w:wordWrap/>
              <w:overflowPunct/>
              <w:topLinePunct w:val="0"/>
              <w:bidi w:val="0"/>
              <w:adjustRightInd/>
              <w:snapToGrid/>
              <w:spacing w:beforeLines="0" w:afterLines="0" w:line="312" w:lineRule="auto"/>
              <w:ind w:firstLine="0" w:firstLineChars="0"/>
              <w:textAlignment w:val="auto"/>
              <w:rPr>
                <w:rFonts w:hint="eastAsia" w:hAnsi="宋体"/>
                <w:b w:val="0"/>
                <w:bCs/>
                <w:color w:val="000000"/>
                <w:sz w:val="21"/>
                <w:szCs w:val="21"/>
              </w:rPr>
            </w:pPr>
            <w:r>
              <w:rPr>
                <w:rFonts w:hint="eastAsia" w:hAnsi="宋体"/>
                <w:b w:val="0"/>
                <w:bCs/>
                <w:sz w:val="21"/>
                <w:szCs w:val="21"/>
              </w:rPr>
              <w:t xml:space="preserve">一、软件配置： </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可根据原始脑电（或肌电或皮电等）采集进行实时反馈，针对不同症状调整相应波形进行治疗/训练；</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脑电波形可自定义调节（如α、β、δ等）；</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支持</w:t>
            </w:r>
            <w:r>
              <w:rPr>
                <w:rFonts w:hint="eastAsia" w:ascii="宋体" w:hAnsi="宋体" w:eastAsia="宋体"/>
                <w:b w:val="0"/>
                <w:bCs/>
                <w:color w:val="000000"/>
                <w:sz w:val="21"/>
                <w:szCs w:val="21"/>
                <w:lang w:val="en-GB"/>
              </w:rPr>
              <w:t>视频</w:t>
            </w:r>
            <w:r>
              <w:rPr>
                <w:rFonts w:hint="eastAsia" w:ascii="宋体" w:hAnsi="宋体" w:eastAsia="宋体"/>
                <w:b w:val="0"/>
                <w:bCs/>
                <w:color w:val="000000"/>
                <w:sz w:val="21"/>
                <w:szCs w:val="21"/>
              </w:rPr>
              <w:t>/动画/图片</w:t>
            </w:r>
            <w:r>
              <w:rPr>
                <w:rFonts w:hint="eastAsia" w:ascii="宋体" w:hAnsi="宋体" w:eastAsia="宋体"/>
                <w:b w:val="0"/>
                <w:bCs/>
                <w:color w:val="000000"/>
                <w:sz w:val="21"/>
                <w:szCs w:val="21"/>
                <w:lang w:val="en-GB"/>
              </w:rPr>
              <w:t>连续播放生物反馈软件；</w:t>
            </w:r>
          </w:p>
          <w:p>
            <w:pPr>
              <w:keepNext w:val="0"/>
              <w:keepLines w:val="0"/>
              <w:pageBreakBefore w:val="0"/>
              <w:numPr>
                <w:ilvl w:val="0"/>
                <w:numId w:val="3"/>
              </w:numPr>
              <w:kinsoku/>
              <w:wordWrap/>
              <w:overflowPunct/>
              <w:topLinePunct w:val="0"/>
              <w:bidi w:val="0"/>
              <w:adjustRightInd/>
              <w:snapToGrid/>
              <w:spacing w:beforeLines="0" w:afterLines="0" w:line="312" w:lineRule="auto"/>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一台主机/服务器可操控多台分机/终端机，操作者通过主机/服务器完成多人团体治疗/训练；</w:t>
            </w:r>
          </w:p>
          <w:p>
            <w:pPr>
              <w:keepNext w:val="0"/>
              <w:keepLines w:val="0"/>
              <w:pageBreakBefore w:val="0"/>
              <w:numPr>
                <w:ilvl w:val="0"/>
                <w:numId w:val="3"/>
              </w:numPr>
              <w:kinsoku/>
              <w:wordWrap/>
              <w:overflowPunct/>
              <w:topLinePunct w:val="0"/>
              <w:bidi w:val="0"/>
              <w:adjustRightInd/>
              <w:snapToGrid/>
              <w:spacing w:beforeLines="0" w:afterLines="0" w:line="312" w:lineRule="auto"/>
              <w:textAlignment w:val="auto"/>
              <w:rPr>
                <w:rFonts w:hint="eastAsia" w:ascii="宋体" w:hAnsi="宋体" w:eastAsia="宋体"/>
                <w:b w:val="0"/>
                <w:bCs/>
                <w:color w:val="000000"/>
                <w:sz w:val="21"/>
                <w:szCs w:val="21"/>
              </w:rPr>
            </w:pPr>
            <w:r>
              <w:rPr>
                <w:rFonts w:hint="eastAsia" w:ascii="宋体" w:hAnsi="宋体" w:eastAsia="宋体"/>
                <w:b w:val="0"/>
                <w:bCs/>
                <w:color w:val="000000"/>
                <w:sz w:val="21"/>
                <w:szCs w:val="21"/>
              </w:rPr>
              <w:t>主机/服务器配备数据库，可以新建、修改、删除患者信息；</w:t>
            </w:r>
          </w:p>
          <w:p>
            <w:pPr>
              <w:keepNext w:val="0"/>
              <w:keepLines w:val="0"/>
              <w:pageBreakBefore w:val="0"/>
              <w:numPr>
                <w:ilvl w:val="0"/>
                <w:numId w:val="3"/>
              </w:numPr>
              <w:kinsoku/>
              <w:wordWrap/>
              <w:overflowPunct/>
              <w:topLinePunct w:val="0"/>
              <w:bidi w:val="0"/>
              <w:adjustRightInd/>
              <w:snapToGrid/>
              <w:spacing w:beforeLines="0" w:afterLines="0" w:line="312" w:lineRule="auto"/>
              <w:textAlignment w:val="auto"/>
              <w:rPr>
                <w:rFonts w:hint="eastAsia" w:ascii="宋体" w:hAnsi="宋体" w:eastAsia="宋体"/>
                <w:b w:val="0"/>
                <w:bCs/>
                <w:color w:val="000000"/>
                <w:sz w:val="21"/>
                <w:szCs w:val="21"/>
                <w:lang w:val="en-GB"/>
              </w:rPr>
            </w:pPr>
            <w:r>
              <w:rPr>
                <w:rFonts w:hint="eastAsia" w:ascii="宋体" w:hAnsi="宋体" w:eastAsia="宋体"/>
                <w:b w:val="0"/>
                <w:bCs/>
                <w:sz w:val="21"/>
                <w:szCs w:val="21"/>
              </w:rPr>
              <w:t>每台</w:t>
            </w:r>
            <w:r>
              <w:rPr>
                <w:rFonts w:hint="eastAsia" w:ascii="宋体" w:hAnsi="宋体" w:eastAsia="宋体"/>
                <w:b w:val="0"/>
                <w:bCs/>
                <w:color w:val="000000"/>
                <w:sz w:val="21"/>
                <w:szCs w:val="21"/>
              </w:rPr>
              <w:t>分机/终端机，可根据用户需求单独使用；</w:t>
            </w:r>
          </w:p>
          <w:p>
            <w:pPr>
              <w:keepNext w:val="0"/>
              <w:keepLines w:val="0"/>
              <w:pageBreakBefore w:val="0"/>
              <w:numPr>
                <w:ilvl w:val="0"/>
                <w:numId w:val="3"/>
              </w:numPr>
              <w:kinsoku/>
              <w:wordWrap/>
              <w:overflowPunct/>
              <w:topLinePunct w:val="0"/>
              <w:bidi w:val="0"/>
              <w:adjustRightInd/>
              <w:snapToGrid/>
              <w:spacing w:beforeLines="0" w:afterLines="0" w:line="312" w:lineRule="auto"/>
              <w:textAlignment w:val="auto"/>
              <w:rPr>
                <w:rFonts w:hint="eastAsia" w:ascii="宋体" w:hAnsi="宋体" w:eastAsia="宋体"/>
                <w:b w:val="0"/>
                <w:bCs/>
                <w:color w:val="000000"/>
                <w:sz w:val="21"/>
                <w:szCs w:val="21"/>
                <w:lang w:val="en-GB"/>
              </w:rPr>
            </w:pPr>
            <w:r>
              <w:rPr>
                <w:rFonts w:hint="eastAsia" w:ascii="宋体" w:hAnsi="宋体" w:eastAsia="宋体"/>
                <w:b w:val="0"/>
                <w:bCs/>
                <w:color w:val="000000"/>
                <w:sz w:val="21"/>
                <w:szCs w:val="21"/>
              </w:rPr>
              <w:t>具备数据分析功能，治疗过程中的原始数据具备保存、导出功能；</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可根据用户需求生成治疗/训练报告，并具备多种报告形式（如疗效报告、波形分离、时域分析、趋势分析等）；</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提供不少于40种视频/动画/图片反馈素材，根据患者状态选择适合的素材；</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具备数据采集过程的干扰识别功能，保证治疗/训练效果；</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color w:val="FF0000"/>
                <w:sz w:val="21"/>
                <w:szCs w:val="21"/>
              </w:rPr>
            </w:pPr>
            <w:r>
              <w:rPr>
                <w:rFonts w:hint="eastAsia" w:ascii="宋体" w:hAnsi="宋体" w:eastAsia="宋体"/>
                <w:b w:val="0"/>
                <w:bCs/>
                <w:color w:val="000000"/>
                <w:sz w:val="21"/>
                <w:szCs w:val="21"/>
              </w:rPr>
              <w:t>符合国家医药行业标准YY0903-2013脑电生物反馈强制性行业标准；</w:t>
            </w:r>
          </w:p>
          <w:p>
            <w:pPr>
              <w:pStyle w:val="61"/>
              <w:keepNext w:val="0"/>
              <w:keepLines w:val="0"/>
              <w:pageBreakBefore w:val="0"/>
              <w:numPr>
                <w:ilvl w:val="0"/>
                <w:numId w:val="3"/>
              </w:numPr>
              <w:kinsoku/>
              <w:wordWrap/>
              <w:overflowPunct/>
              <w:topLinePunct w:val="0"/>
              <w:bidi w:val="0"/>
              <w:adjustRightInd/>
              <w:snapToGrid/>
              <w:spacing w:beforeLines="0" w:afterLines="0" w:line="312" w:lineRule="auto"/>
              <w:ind w:firstLineChars="0"/>
              <w:textAlignment w:val="auto"/>
              <w:rPr>
                <w:rFonts w:hint="eastAsia" w:ascii="宋体" w:hAnsi="宋体" w:eastAsia="宋体"/>
                <w:b w:val="0"/>
                <w:bCs/>
                <w:sz w:val="21"/>
                <w:szCs w:val="21"/>
                <w:lang w:val="en-GB"/>
              </w:rPr>
            </w:pPr>
            <w:r>
              <w:rPr>
                <w:rFonts w:hint="eastAsia" w:ascii="宋体" w:hAnsi="宋体" w:eastAsia="宋体"/>
                <w:b w:val="0"/>
                <w:bCs/>
                <w:color w:val="000000"/>
                <w:sz w:val="21"/>
                <w:szCs w:val="21"/>
              </w:rPr>
              <w:t>设备使用年限≥5年。</w:t>
            </w:r>
          </w:p>
          <w:p>
            <w:pPr>
              <w:pStyle w:val="16"/>
              <w:keepNext w:val="0"/>
              <w:keepLines w:val="0"/>
              <w:pageBreakBefore w:val="0"/>
              <w:kinsoku/>
              <w:wordWrap/>
              <w:overflowPunct/>
              <w:topLinePunct w:val="0"/>
              <w:bidi w:val="0"/>
              <w:adjustRightInd/>
              <w:snapToGrid/>
              <w:spacing w:beforeLines="0" w:afterLines="0" w:line="312" w:lineRule="auto"/>
              <w:ind w:right="600"/>
              <w:textAlignment w:val="auto"/>
              <w:rPr>
                <w:rFonts w:hint="eastAsia"/>
                <w:b w:val="0"/>
                <w:bCs/>
                <w:sz w:val="21"/>
                <w:szCs w:val="21"/>
              </w:rPr>
            </w:pPr>
            <w:r>
              <w:rPr>
                <w:rFonts w:hint="eastAsia"/>
                <w:b w:val="0"/>
                <w:bCs/>
                <w:sz w:val="21"/>
                <w:szCs w:val="21"/>
              </w:rPr>
              <w:t>二、硬件参数：</w:t>
            </w:r>
          </w:p>
          <w:p>
            <w:pPr>
              <w:keepNext w:val="0"/>
              <w:keepLines w:val="0"/>
              <w:pageBreakBefore w:val="0"/>
              <w:kinsoku/>
              <w:wordWrap/>
              <w:overflowPunct/>
              <w:topLinePunct w:val="0"/>
              <w:bidi w:val="0"/>
              <w:adjustRightInd/>
              <w:snapToGrid/>
              <w:spacing w:beforeLines="0" w:afterLines="0" w:line="312" w:lineRule="auto"/>
              <w:textAlignment w:val="auto"/>
              <w:rPr>
                <w:rFonts w:hint="eastAsia" w:ascii="宋体" w:hAnsi="宋体" w:eastAsia="宋体"/>
                <w:b w:val="0"/>
                <w:bCs/>
                <w:sz w:val="21"/>
                <w:szCs w:val="21"/>
              </w:rPr>
            </w:pPr>
            <w:r>
              <w:rPr>
                <w:rFonts w:hint="eastAsia" w:ascii="宋体" w:hAnsi="宋体" w:eastAsia="宋体"/>
                <w:b w:val="0"/>
                <w:bCs/>
                <w:sz w:val="21"/>
                <w:szCs w:val="21"/>
              </w:rPr>
              <w:t>1、脑电(EEG):</w:t>
            </w:r>
          </w:p>
          <w:p>
            <w:pPr>
              <w:keepNext w:val="0"/>
              <w:keepLines w:val="0"/>
              <w:pageBreakBefore w:val="0"/>
              <w:kinsoku/>
              <w:wordWrap/>
              <w:overflowPunct/>
              <w:topLinePunct w:val="0"/>
              <w:bidi w:val="0"/>
              <w:adjustRightInd/>
              <w:snapToGrid/>
              <w:spacing w:beforeLines="0" w:afterLines="0" w:line="312" w:lineRule="auto"/>
              <w:textAlignment w:val="auto"/>
              <w:rPr>
                <w:rFonts w:hint="eastAsia" w:ascii="宋体" w:hAnsi="宋体" w:eastAsia="宋体"/>
                <w:b w:val="0"/>
                <w:bCs/>
                <w:sz w:val="21"/>
                <w:szCs w:val="21"/>
              </w:rPr>
            </w:pPr>
            <w:r>
              <w:rPr>
                <w:rFonts w:hint="eastAsia" w:ascii="宋体" w:hAnsi="宋体" w:eastAsia="宋体"/>
                <w:b w:val="0"/>
                <w:bCs/>
                <w:sz w:val="21"/>
                <w:szCs w:val="21"/>
              </w:rPr>
              <w:t xml:space="preserve">    噪声电平：≤3uV；      </w:t>
            </w:r>
          </w:p>
          <w:p>
            <w:pPr>
              <w:keepNext w:val="0"/>
              <w:keepLines w:val="0"/>
              <w:pageBreakBefore w:val="0"/>
              <w:kinsoku/>
              <w:wordWrap/>
              <w:overflowPunct/>
              <w:topLinePunct w:val="0"/>
              <w:bidi w:val="0"/>
              <w:adjustRightInd/>
              <w:snapToGrid/>
              <w:spacing w:beforeLines="0" w:afterLines="0" w:line="312" w:lineRule="auto"/>
              <w:textAlignment w:val="auto"/>
              <w:outlineLvl w:val="0"/>
              <w:rPr>
                <w:rFonts w:hint="eastAsia" w:ascii="宋体" w:hAnsi="宋体" w:eastAsia="宋体"/>
                <w:b w:val="0"/>
                <w:bCs/>
                <w:sz w:val="21"/>
                <w:szCs w:val="21"/>
              </w:rPr>
            </w:pPr>
            <w:r>
              <w:rPr>
                <w:rFonts w:hint="eastAsia" w:ascii="宋体" w:hAnsi="宋体" w:eastAsia="宋体"/>
                <w:b w:val="0"/>
                <w:bCs/>
                <w:sz w:val="21"/>
                <w:szCs w:val="21"/>
              </w:rPr>
              <w:t xml:space="preserve">    共模抑制比：≥80dB；</w:t>
            </w:r>
          </w:p>
          <w:p>
            <w:pPr>
              <w:keepNext w:val="0"/>
              <w:keepLines w:val="0"/>
              <w:pageBreakBefore w:val="0"/>
              <w:tabs>
                <w:tab w:val="left" w:pos="2925"/>
              </w:tabs>
              <w:kinsoku/>
              <w:wordWrap/>
              <w:overflowPunct/>
              <w:topLinePunct w:val="0"/>
              <w:bidi w:val="0"/>
              <w:adjustRightInd/>
              <w:snapToGrid/>
              <w:spacing w:beforeLines="0" w:afterLines="0" w:line="312" w:lineRule="auto"/>
              <w:ind w:firstLine="420" w:firstLineChars="200"/>
              <w:textAlignment w:val="auto"/>
              <w:rPr>
                <w:rFonts w:hint="eastAsia" w:ascii="宋体" w:hAnsi="宋体" w:eastAsia="宋体"/>
                <w:b w:val="0"/>
                <w:bCs/>
                <w:sz w:val="21"/>
                <w:szCs w:val="21"/>
              </w:rPr>
            </w:pPr>
            <w:r>
              <w:rPr>
                <w:rFonts w:hint="eastAsia" w:ascii="宋体" w:hAnsi="宋体" w:eastAsia="宋体"/>
                <w:b w:val="0"/>
                <w:bCs/>
                <w:sz w:val="21"/>
                <w:szCs w:val="21"/>
              </w:rPr>
              <w:t>高频截止频率：30Hz，符合A0.9Fc≥0.7 A10≥A1.1 Fc要求；</w:t>
            </w:r>
          </w:p>
          <w:p>
            <w:pPr>
              <w:keepNext w:val="0"/>
              <w:keepLines w:val="0"/>
              <w:pageBreakBefore w:val="0"/>
              <w:tabs>
                <w:tab w:val="left" w:pos="2925"/>
              </w:tabs>
              <w:kinsoku/>
              <w:wordWrap/>
              <w:overflowPunct/>
              <w:topLinePunct w:val="0"/>
              <w:bidi w:val="0"/>
              <w:adjustRightInd/>
              <w:snapToGrid/>
              <w:spacing w:beforeLines="0" w:afterLines="0" w:line="312" w:lineRule="auto"/>
              <w:ind w:firstLine="420" w:firstLineChars="200"/>
              <w:textAlignment w:val="auto"/>
              <w:rPr>
                <w:rFonts w:hint="eastAsia" w:ascii="宋体" w:hAnsi="宋体" w:eastAsia="宋体"/>
                <w:b w:val="0"/>
                <w:bCs/>
                <w:sz w:val="21"/>
                <w:szCs w:val="21"/>
              </w:rPr>
            </w:pPr>
            <w:r>
              <w:rPr>
                <w:rFonts w:hint="eastAsia" w:ascii="宋体" w:hAnsi="宋体" w:eastAsia="宋体"/>
                <w:b w:val="0"/>
                <w:bCs/>
                <w:sz w:val="21"/>
                <w:szCs w:val="21"/>
              </w:rPr>
              <w:t>耐极化电压：加±300mV的直流极化电压，偏差为±5%。</w:t>
            </w:r>
          </w:p>
          <w:p>
            <w:pPr>
              <w:keepNext w:val="0"/>
              <w:keepLines w:val="0"/>
              <w:pageBreakBefore w:val="0"/>
              <w:tabs>
                <w:tab w:val="left" w:pos="2925"/>
              </w:tabs>
              <w:kinsoku/>
              <w:wordWrap/>
              <w:overflowPunct/>
              <w:topLinePunct w:val="0"/>
              <w:bidi w:val="0"/>
              <w:adjustRightInd/>
              <w:snapToGrid/>
              <w:spacing w:beforeLines="0" w:afterLines="0" w:line="312" w:lineRule="auto"/>
              <w:textAlignment w:val="auto"/>
              <w:rPr>
                <w:rFonts w:hint="default" w:ascii="Calibri" w:hAnsi="宋体" w:eastAsia="宋体"/>
                <w:b w:val="0"/>
                <w:bCs/>
                <w:sz w:val="21"/>
                <w:szCs w:val="21"/>
              </w:rPr>
            </w:pPr>
            <w:r>
              <w:rPr>
                <w:rFonts w:hint="eastAsia" w:ascii="Calibri" w:hAnsi="宋体" w:eastAsia="宋体"/>
                <w:b w:val="0"/>
                <w:bCs/>
                <w:sz w:val="21"/>
                <w:szCs w:val="21"/>
              </w:rPr>
              <w:t>2、主机/服务器与分机/终端机采用无线连接技术，实现远程操控；</w:t>
            </w:r>
          </w:p>
          <w:p>
            <w:pPr>
              <w:pStyle w:val="91"/>
              <w:keepNext w:val="0"/>
              <w:keepLines w:val="0"/>
              <w:pageBreakBefore w:val="0"/>
              <w:widowControl w:val="0"/>
              <w:kinsoku/>
              <w:wordWrap/>
              <w:overflowPunct/>
              <w:topLinePunct w:val="0"/>
              <w:bidi w:val="0"/>
              <w:adjustRightInd/>
              <w:snapToGrid/>
              <w:spacing w:beforeLines="0" w:afterLines="0" w:line="312" w:lineRule="auto"/>
              <w:ind w:firstLine="0" w:firstLineChars="0"/>
              <w:textAlignment w:val="auto"/>
              <w:rPr>
                <w:rFonts w:hint="eastAsia" w:hAnsi="宋体"/>
                <w:b w:val="0"/>
                <w:bCs/>
                <w:color w:val="FF0000"/>
                <w:kern w:val="2"/>
                <w:sz w:val="21"/>
                <w:szCs w:val="21"/>
              </w:rPr>
            </w:pPr>
            <w:r>
              <w:rPr>
                <w:rFonts w:hint="eastAsia" w:hAnsi="宋体"/>
                <w:b w:val="0"/>
                <w:bCs/>
                <w:kern w:val="2"/>
                <w:sz w:val="21"/>
                <w:szCs w:val="21"/>
              </w:rPr>
              <w:t>3、脑电采集头戴2套，且需符合国际10-20脑电采集系统；</w:t>
            </w:r>
          </w:p>
          <w:p>
            <w:pPr>
              <w:pStyle w:val="91"/>
              <w:keepNext w:val="0"/>
              <w:keepLines w:val="0"/>
              <w:pageBreakBefore w:val="0"/>
              <w:widowControl w:val="0"/>
              <w:kinsoku/>
              <w:wordWrap/>
              <w:overflowPunct/>
              <w:topLinePunct w:val="0"/>
              <w:bidi w:val="0"/>
              <w:adjustRightInd/>
              <w:snapToGrid/>
              <w:spacing w:beforeLines="0" w:afterLines="0" w:line="312" w:lineRule="auto"/>
              <w:ind w:firstLine="0" w:firstLineChars="0"/>
              <w:textAlignment w:val="auto"/>
              <w:rPr>
                <w:rFonts w:hint="eastAsia" w:hAnsi="宋体"/>
                <w:b w:val="0"/>
                <w:bCs/>
                <w:color w:val="000000"/>
                <w:sz w:val="21"/>
                <w:szCs w:val="21"/>
              </w:rPr>
            </w:pPr>
            <w:r>
              <w:rPr>
                <w:rFonts w:hint="eastAsia" w:hAnsi="宋体"/>
                <w:b w:val="0"/>
                <w:bCs/>
                <w:kern w:val="2"/>
                <w:sz w:val="21"/>
                <w:szCs w:val="21"/>
              </w:rPr>
              <w:t>4、</w:t>
            </w:r>
            <w:r>
              <w:rPr>
                <w:rFonts w:hint="eastAsia" w:hAnsi="宋体"/>
                <w:b w:val="0"/>
                <w:bCs/>
                <w:color w:val="000000"/>
                <w:sz w:val="21"/>
                <w:szCs w:val="21"/>
              </w:rPr>
              <w:t>脑电电极的生物相容性：与患者接触的材料无细胞毒性、迟发型超敏反应和皮内反应。该材料必须进行生物相容性的试验或评价。</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5</w:t>
            </w:r>
            <w:r>
              <w:rPr>
                <w:rFonts w:hint="eastAsia" w:ascii="宋体" w:hAnsi="宋体" w:eastAsia="宋体" w:cs="宋体"/>
                <w:color w:val="auto"/>
                <w:sz w:val="21"/>
                <w:szCs w:val="21"/>
                <w:vertAlign w:val="baseline"/>
                <w:lang w:val="en-US" w:eastAsia="zh-CN"/>
              </w:rPr>
              <w:t>、配置及全套附件：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1系统软件：1套</w:t>
            </w:r>
            <w:r>
              <w:rPr>
                <w:rFonts w:hint="eastAsia" w:ascii="宋体" w:hAnsi="宋体" w:cs="宋体"/>
                <w:color w:val="auto"/>
                <w:sz w:val="21"/>
                <w:szCs w:val="21"/>
                <w:vertAlign w:val="baseline"/>
                <w:lang w:val="en-US" w:eastAsia="zh-CN"/>
              </w:rPr>
              <w:t>，</w:t>
            </w:r>
            <w:r>
              <w:rPr>
                <w:rFonts w:hint="eastAsia" w:ascii="宋体" w:hAnsi="宋体" w:eastAsia="宋体" w:cs="宋体"/>
                <w:color w:val="auto"/>
                <w:sz w:val="21"/>
                <w:szCs w:val="21"/>
                <w:vertAlign w:val="baseline"/>
                <w:lang w:val="en-US" w:eastAsia="zh-CN"/>
              </w:rPr>
              <w:t>服务器或主机：1台</w:t>
            </w:r>
            <w:r>
              <w:rPr>
                <w:rFonts w:hint="eastAsia" w:ascii="宋体" w:hAnsi="宋体" w:cs="宋体"/>
                <w:color w:val="auto"/>
                <w:sz w:val="21"/>
                <w:szCs w:val="21"/>
                <w:vertAlign w:val="baseline"/>
                <w:lang w:val="en-US" w:eastAsia="zh-CN"/>
              </w:rPr>
              <w:t>，</w:t>
            </w:r>
            <w:r>
              <w:rPr>
                <w:rFonts w:hint="eastAsia" w:ascii="宋体" w:hAnsi="宋体" w:eastAsia="宋体" w:cs="宋体"/>
                <w:color w:val="auto"/>
                <w:sz w:val="21"/>
                <w:szCs w:val="21"/>
                <w:vertAlign w:val="baseline"/>
                <w:lang w:val="en-US" w:eastAsia="zh-CN"/>
              </w:rPr>
              <w:t>治疗终端机：1台</w:t>
            </w:r>
            <w:r>
              <w:rPr>
                <w:rFonts w:hint="eastAsia" w:ascii="宋体" w:hAnsi="宋体" w:cs="宋体"/>
                <w:color w:val="auto"/>
                <w:sz w:val="21"/>
                <w:szCs w:val="21"/>
                <w:vertAlign w:val="baseline"/>
                <w:lang w:val="en-US" w:eastAsia="zh-CN"/>
              </w:rPr>
              <w:t>，</w:t>
            </w:r>
            <w:r>
              <w:rPr>
                <w:rFonts w:hint="eastAsia" w:ascii="宋体" w:hAnsi="宋体" w:eastAsia="宋体" w:cs="宋体"/>
                <w:color w:val="auto"/>
                <w:sz w:val="21"/>
                <w:szCs w:val="21"/>
                <w:vertAlign w:val="baseline"/>
                <w:lang w:val="en-US" w:eastAsia="zh-CN"/>
              </w:rPr>
              <w:t>终端机显示器：1台</w:t>
            </w:r>
          </w:p>
          <w:p>
            <w:pPr>
              <w:pStyle w:val="91"/>
              <w:keepNext w:val="0"/>
              <w:keepLines w:val="0"/>
              <w:pageBreakBefore w:val="0"/>
              <w:widowControl w:val="0"/>
              <w:kinsoku/>
              <w:wordWrap/>
              <w:overflowPunct/>
              <w:topLinePunct w:val="0"/>
              <w:bidi w:val="0"/>
              <w:adjustRightInd/>
              <w:snapToGrid/>
              <w:spacing w:beforeLines="0" w:afterLines="0" w:line="312" w:lineRule="auto"/>
              <w:ind w:firstLine="0" w:firstLineChars="0"/>
              <w:textAlignment w:val="auto"/>
              <w:rPr>
                <w:rFonts w:hint="default" w:hAnsi="宋体"/>
                <w:b w:val="0"/>
                <w:bCs/>
                <w:color w:val="000000"/>
                <w:sz w:val="21"/>
                <w:szCs w:val="21"/>
                <w:lang w:val="en-US" w:eastAsia="zh-CN"/>
              </w:rPr>
            </w:pPr>
            <w:r>
              <w:rPr>
                <w:rFonts w:hint="eastAsia" w:hAnsi="宋体"/>
                <w:b w:val="0"/>
                <w:bCs/>
                <w:color w:val="000000"/>
                <w:sz w:val="21"/>
                <w:szCs w:val="21"/>
                <w:lang w:val="en-US" w:eastAsia="zh-CN"/>
              </w:rPr>
              <w:t xml:space="preserve"> 三</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DMS深层肌肉放松器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采用低压供电方式，保证使用过程中的安全性；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最低频率:</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20Hz</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最高频率：</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60Hz</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每分钟最高振动次数：</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3600次/min</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振动频率：20-60Hz之间可调，5档，10Hz步进调整，允许误差±2HZ；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振动幅度：6mm，允许误差±1mm</w:t>
            </w:r>
            <w:r>
              <w:rPr>
                <w:rFonts w:hint="eastAsia" w:ascii="宋体" w:hAnsi="宋体" w:eastAsia="宋体" w:cs="宋体"/>
                <w:color w:val="auto"/>
                <w:sz w:val="21"/>
                <w:szCs w:val="21"/>
                <w:lang w:val="en-US"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种治疗头可选，根据临床需求结合部位及强度进行选择；</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调频控制器：ABS亚克力材质，经久耐用；数码屏显示，操作便捷直观；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治疗时振动连续输出，治疗头可伸缩，可有效降低患者的疼痛感和肌肉紧张；</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治疗深度：20-60mm，直击病灶</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2.5KG大重量机身有利于振动刺激传导至人体皮下深层组织</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内置超静音马达，免噪音干扰</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规格（长×宽×高）：</w:t>
            </w:r>
            <w:r>
              <w:rPr>
                <w:rFonts w:hint="eastAsia" w:ascii="宋体" w:hAnsi="宋体" w:eastAsia="宋体" w:cs="宋体"/>
                <w:color w:val="auto"/>
                <w:sz w:val="21"/>
                <w:szCs w:val="21"/>
                <w:lang w:val="en-US" w:eastAsia="zh-CN"/>
              </w:rPr>
              <w:t>≥22.6</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14.6cm；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材质：钛合金、不锈钢、铝合金</w:t>
            </w:r>
            <w:r>
              <w:rPr>
                <w:rFonts w:hint="eastAsia" w:ascii="宋体" w:hAnsi="宋体" w:eastAsia="宋体" w:cs="宋体"/>
                <w:color w:val="auto"/>
                <w:sz w:val="21"/>
                <w:szCs w:val="21"/>
                <w:lang w:val="en-US"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操作模式：20-60Hz连续振动模式</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16、</w:t>
            </w:r>
            <w:r>
              <w:rPr>
                <w:rFonts w:hint="eastAsia" w:ascii="宋体" w:hAnsi="宋体" w:eastAsia="宋体" w:cs="宋体"/>
                <w:color w:val="auto"/>
                <w:sz w:val="21"/>
                <w:szCs w:val="21"/>
              </w:rPr>
              <w:t>治疗头规格：35mm、25mm、20mm</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17、</w:t>
            </w:r>
            <w:r>
              <w:rPr>
                <w:rFonts w:hint="eastAsia" w:ascii="宋体" w:hAnsi="宋体" w:eastAsia="宋体" w:cs="宋体"/>
                <w:color w:val="auto"/>
                <w:sz w:val="21"/>
                <w:szCs w:val="21"/>
              </w:rPr>
              <w:t>电源输入电压：220V</w:t>
            </w:r>
            <w:r>
              <w:rPr>
                <w:rFonts w:hint="eastAsia" w:ascii="宋体" w:hAnsi="宋体" w:eastAsia="宋体" w:cs="宋体"/>
                <w:color w:val="auto"/>
                <w:sz w:val="21"/>
                <w:szCs w:val="21"/>
                <w:lang w:val="en-US" w:eastAsia="zh-CN"/>
              </w:rPr>
              <w:t>±22V；</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18、</w:t>
            </w:r>
            <w:r>
              <w:rPr>
                <w:rFonts w:hint="eastAsia" w:ascii="宋体" w:hAnsi="宋体" w:eastAsia="宋体" w:cs="宋体"/>
                <w:color w:val="auto"/>
                <w:sz w:val="21"/>
                <w:szCs w:val="21"/>
              </w:rPr>
              <w:t>内部电源电压：DC24V/12V</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19、</w:t>
            </w:r>
            <w:r>
              <w:rPr>
                <w:rFonts w:hint="eastAsia" w:ascii="宋体" w:hAnsi="宋体" w:eastAsia="宋体" w:cs="宋体"/>
                <w:color w:val="auto"/>
                <w:sz w:val="21"/>
                <w:szCs w:val="21"/>
              </w:rPr>
              <w:t>电源保险丝：放电单位每次为4A</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辅助插座：100-240VAC/5A</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辅助设备消耗功率：最大为200VA</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rPr>
              <w:t>操作过程中的环境温度：10°C～40°C</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23、</w:t>
            </w:r>
            <w:r>
              <w:rPr>
                <w:rFonts w:hint="eastAsia" w:ascii="宋体" w:hAnsi="宋体" w:eastAsia="宋体" w:cs="宋体"/>
                <w:color w:val="auto"/>
                <w:sz w:val="21"/>
                <w:szCs w:val="21"/>
              </w:rPr>
              <w:t>储存和运输的环境温度：-10°C～</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55°C</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24、相对</w:t>
            </w:r>
            <w:r>
              <w:rPr>
                <w:rFonts w:hint="eastAsia" w:ascii="宋体" w:hAnsi="宋体" w:eastAsia="宋体" w:cs="宋体"/>
                <w:color w:val="auto"/>
                <w:sz w:val="21"/>
                <w:szCs w:val="21"/>
              </w:rPr>
              <w:t>湿度：30%–85%</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冲击波治疗仪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w:t>
            </w:r>
            <w:r>
              <w:rPr>
                <w:rFonts w:hint="eastAsia" w:ascii="宋体" w:hAnsi="宋体" w:eastAsia="宋体" w:cs="宋体"/>
                <w:color w:val="auto"/>
                <w:sz w:val="21"/>
                <w:szCs w:val="21"/>
                <w:vertAlign w:val="baseline"/>
                <w:lang w:val="en-US" w:eastAsia="zh-CN"/>
              </w:rPr>
              <w:t>1、冲击强度：治疗使用压力0.8 Bar--6Bar任意可调，步长0.1bra可调治疗模式</w:t>
            </w:r>
            <w:r>
              <w:rPr>
                <w:rFonts w:hint="eastAsia" w:ascii="宋体" w:hAnsi="宋体" w:cs="宋体"/>
                <w:color w:val="auto"/>
                <w:sz w:val="21"/>
                <w:szCs w:val="21"/>
                <w:vertAlign w:val="baseline"/>
                <w:lang w:val="en-US"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2、调频模式：1 HZ-22 HZ，步长1HZ可调。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3、冲击频率：冲击频率任意调节1HZ-22HZ 频率段组成，输出时每种频率段可自由切换输出。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4、冲击模式：具有单次冲击模式，方便调整治疗强度及定位，设备自动初始设定2000次，手动设定500次-10000次之间任意设定，冲击次数累计自动停止。</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5、治疗把柄及配置：治疗枪标配有6mm、9mm、15mm(发散)、15mm（聚焦）、20mm、25mm六种规格治疗头。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6、控制方式：冲击波由≥13.3英寸触摸屏操作系统控制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7、显示方式：全中文彩色≥13.3英寸液晶屏显示各种操作方案治疗信息在治疗枪使用到一定次数后提示治疗枪保需养的信息。</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8、治疗枪寿命：冲击次数≥120万次（自动保养提示）功能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9、主机：推车式主机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10、工作条件及工作电源：工作电源相对温度：≤80℃。电源要求：AC 220V   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11、供气装置：超静音免维护空气压缩机，内置减震装置。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12、适应症：缓解身体各部位近骨端肌腱组织疼痛性疾病中肱二头肌长头肌腱炎和跟痛症病种引起的疼痛。</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13、提供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19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痉挛肌电刺激治疗仪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1、采用≥5寸彩色液晶显示屏，中文菜单，操作更方便，并附有电子说明书；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2、动态实时显示各通道的治疗波形、治疗剂量、治疗模式、治疗时间等，各种治疗数据一目了然；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3、治疗仪输出脉冲宽度从0.1ms～0.5ms连续可调，允差±15%；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4、治疗仪输出脉冲周期从1s～2s连续可调,允差±10%；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5、一组输出脉冲比另一组输出脉冲延时出现，延时时间从0.1s～1.5s连续可调，允差±10%；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6、输出脉冲电流峰值Ip从0～99mA连续可调，最大输出值允差±15%；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7、治疗仪定时时间为5min～30min分档连续可调，允差±5%；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8、输出通道：两组输出；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9、交流电压220V±10%，频率50Hz±1Hz；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10、输入功率：45VA；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11、提供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吞咽障碍治疗仪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通道数量：四通道，八个电极，治疗强度可单独调节</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电流类型：TENS经皮神经电刺激、NMES神经肌肉电刺激</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电流</w:t>
            </w:r>
            <w:r>
              <w:rPr>
                <w:rFonts w:hint="eastAsia" w:ascii="宋体" w:hAnsi="宋体" w:eastAsia="宋体" w:cs="宋体"/>
                <w:color w:val="auto"/>
                <w:sz w:val="21"/>
                <w:szCs w:val="21"/>
                <w:lang w:val="en-US" w:eastAsia="zh-CN"/>
              </w:rPr>
              <w:t>波</w:t>
            </w:r>
            <w:r>
              <w:rPr>
                <w:rFonts w:hint="eastAsia" w:ascii="宋体" w:hAnsi="宋体" w:eastAsia="宋体" w:cs="宋体"/>
                <w:color w:val="auto"/>
                <w:sz w:val="21"/>
                <w:szCs w:val="21"/>
              </w:rPr>
              <w:t>型：双相对称脉冲</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输出及调制模式：连续输出，间歇输出、脉宽调制、频率调制</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提供产品说明书佐证。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电流强度：0-120mA，步进1mA</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输出频率：</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-150Hz，步进1Hz</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输出脉宽：</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0-450μs，步进10μs</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8、脉冲周期</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6.67-</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000ms</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9、可调时间：1-99min。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便携手持式主机，</w:t>
            </w:r>
            <w:r>
              <w:rPr>
                <w:rFonts w:hint="eastAsia" w:ascii="宋体" w:hAnsi="宋体" w:eastAsia="宋体" w:cs="宋体"/>
                <w:color w:val="auto"/>
                <w:sz w:val="21"/>
                <w:szCs w:val="21"/>
                <w:lang w:eastAsia="zh-CN"/>
              </w:rPr>
              <w:t>使用交流电电源或者可重复充电电池供电</w:t>
            </w:r>
            <w:r>
              <w:rPr>
                <w:rFonts w:hint="eastAsia" w:ascii="宋体" w:hAnsi="宋体" w:eastAsia="宋体" w:cs="宋体"/>
                <w:color w:val="auto"/>
                <w:sz w:val="21"/>
                <w:szCs w:val="21"/>
              </w:rPr>
              <w:t>，中文操作界面，操作简单便捷</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2+2模式，四通道可独立控制并两两输出不同的电流。能同时治疗多个不同病症的患者，提高使用率及治疗效率</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四段式处方编程，提高治疗效果，丰富患者治疗体验</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治疗处方：</w:t>
            </w:r>
            <w:r>
              <w:rPr>
                <w:rFonts w:hint="eastAsia" w:ascii="宋体" w:hAnsi="宋体" w:eastAsia="宋体" w:cs="宋体"/>
                <w:color w:val="auto"/>
                <w:sz w:val="21"/>
                <w:szCs w:val="21"/>
                <w:lang w:val="en-US" w:eastAsia="zh-CN"/>
              </w:rPr>
              <w:t>≥31</w:t>
            </w:r>
            <w:r>
              <w:rPr>
                <w:rFonts w:hint="eastAsia" w:ascii="宋体" w:hAnsi="宋体" w:eastAsia="宋体" w:cs="宋体"/>
                <w:color w:val="auto"/>
                <w:sz w:val="21"/>
                <w:szCs w:val="21"/>
              </w:rPr>
              <w:t>个临床处方</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自定义</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个个人处方</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所有处方均可在治疗时调节频率、脉宽、治疗时间等参数均可进行针对性调节</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16、</w:t>
            </w:r>
            <w:r>
              <w:rPr>
                <w:rFonts w:hint="eastAsia" w:ascii="宋体" w:hAnsi="宋体" w:eastAsia="宋体" w:cs="宋体"/>
                <w:color w:val="auto"/>
                <w:sz w:val="21"/>
                <w:szCs w:val="21"/>
              </w:rPr>
              <w:t>近期使用的</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10个处方可便捷调用，且自动记录上次治疗强度大小，可直接使用</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17、</w:t>
            </w:r>
            <w:r>
              <w:rPr>
                <w:rFonts w:hint="eastAsia" w:ascii="宋体" w:hAnsi="宋体" w:eastAsia="宋体" w:cs="宋体"/>
                <w:color w:val="auto"/>
                <w:sz w:val="21"/>
                <w:szCs w:val="21"/>
                <w:lang w:eastAsia="zh-CN"/>
              </w:rPr>
              <w:t>可锁定治疗列表，</w:t>
            </w:r>
            <w:r>
              <w:rPr>
                <w:rFonts w:hint="eastAsia" w:ascii="宋体" w:hAnsi="宋体" w:eastAsia="宋体" w:cs="宋体"/>
                <w:color w:val="auto"/>
                <w:sz w:val="21"/>
                <w:szCs w:val="21"/>
                <w:lang w:val="en-US" w:eastAsia="zh-CN"/>
              </w:rPr>
              <w:t>防止</w:t>
            </w:r>
            <w:r>
              <w:rPr>
                <w:rFonts w:hint="eastAsia" w:ascii="宋体" w:hAnsi="宋体" w:eastAsia="宋体" w:cs="宋体"/>
                <w:color w:val="auto"/>
                <w:sz w:val="21"/>
                <w:szCs w:val="21"/>
                <w:lang w:eastAsia="zh-CN"/>
              </w:rPr>
              <w:t>患者误操作界面，也可提供出租服务，规定使用者只能执行专业人员确定的程序。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18、</w:t>
            </w:r>
            <w:r>
              <w:rPr>
                <w:rFonts w:hint="eastAsia" w:ascii="宋体" w:hAnsi="宋体" w:eastAsia="宋体" w:cs="宋体"/>
                <w:color w:val="auto"/>
                <w:sz w:val="21"/>
                <w:szCs w:val="21"/>
              </w:rPr>
              <w:t>尺寸：</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16</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x</w:t>
            </w:r>
            <w:r>
              <w:rPr>
                <w:rFonts w:hint="eastAsia" w:ascii="宋体" w:hAnsi="宋体" w:eastAsia="宋体" w:cs="宋体"/>
                <w:color w:val="auto"/>
                <w:sz w:val="21"/>
                <w:szCs w:val="21"/>
                <w:lang w:val="en-US" w:eastAsia="zh-CN"/>
              </w:rPr>
              <w:t>100</w:t>
            </w:r>
            <w:r>
              <w:rPr>
                <w:rFonts w:hint="eastAsia" w:ascii="宋体" w:hAnsi="宋体" w:eastAsia="宋体" w:cs="宋体"/>
                <w:color w:val="auto"/>
                <w:sz w:val="21"/>
                <w:szCs w:val="21"/>
              </w:rPr>
              <w:t>x35</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rPr>
              <w:t>m</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19、主机</w:t>
            </w:r>
            <w:r>
              <w:rPr>
                <w:rFonts w:hint="eastAsia" w:ascii="宋体" w:hAnsi="宋体" w:eastAsia="宋体" w:cs="宋体"/>
                <w:color w:val="auto"/>
                <w:sz w:val="21"/>
                <w:szCs w:val="21"/>
              </w:rPr>
              <w:t>重量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含电池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≥440.5</w:t>
            </w:r>
            <w:r>
              <w:rPr>
                <w:rFonts w:hint="eastAsia" w:ascii="宋体" w:hAnsi="宋体" w:eastAsia="宋体" w:cs="宋体"/>
                <w:color w:val="auto"/>
                <w:sz w:val="21"/>
                <w:szCs w:val="21"/>
              </w:rPr>
              <w:t>g</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lang w:eastAsia="zh-CN"/>
              </w:rPr>
              <w:t>屏幕：显示屏面积</w:t>
            </w:r>
            <w:r>
              <w:rPr>
                <w:rFonts w:hint="eastAsia" w:ascii="宋体" w:hAnsi="宋体" w:eastAsia="宋体" w:cs="宋体"/>
                <w:color w:val="auto"/>
                <w:sz w:val="21"/>
                <w:szCs w:val="21"/>
                <w:lang w:val="en-US" w:eastAsia="zh-CN"/>
              </w:rPr>
              <w:t>≤2.6寸。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可进行分段式治疗：在一次治疗过程中，可以分多段时间设定不同的治疗强度，以此来避免人体对电刺激的适应性及耐受性，从而达到更好的治疗效果</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rPr>
              <w:t>设备可以进行充电反复使用</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vertAlign w:val="baseline"/>
                <w:lang w:val="en-US" w:eastAsia="zh-CN"/>
              </w:rPr>
              <w:t>23、提供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空气压力波循环治疗仪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4台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1、采用大屏彩色液晶中文显示，操作更方便；</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2、独有的智能控制系统可以快速的选择参数及操作；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3、特制充气泵，噪声低，充气速度快</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4、独特套筒设计，压力均匀，无体液滞流，每腔压力可自由关闭，每腔压力可调；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5、压力设置范围在10mmHg～200mmHg内可调，精度±22.5mmHg；且超过2kPa的持续时间应不大于3min。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6、定时范围0～99min内（以1min为单位的设置），误差应不大于±20s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7、具有紧急停止产品能够卸压，输入的压力下降到30mmHg以下的时间应在4秒钟内。</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8、输出模式：模式≥4种,模式间可任意组合,比如模式1+2，模式1+3，模式1+4，模式2+3，模式2+4，模式3+4，模式1+2+3，模式1+2+4，模式2+3+4等；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9工作时，其噪声应不大于60dB(A)；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10、具有过压保护措施，以保证在单一故障状态下能够在气囊（或压力舱）的连接管路中产生的最大压强，不大于设备标称最大输出压强的1.2倍；</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11、可提供在各种状态下手动解除患者压强的措施。该措施应只需一个动作就能完成，且患者压强由最大压强降至2kPa（负压降至-1kPa）的时间应不大于10s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12、气囊和连接管路具有良好的气密性，在设备标称最大输出压强保持1min，压降应不大于10%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13、气囊和连接管路能承受设备标志最大输出压强1.5倍的压强，保持1min，应不破裂，也不永久（塑型）变型；</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14、连接管路具有防止接错的装置和标识；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15、连续工作时间：治疗仪连续工作时间应能≥4h；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16、额定电压和频率：AC220V50Hz；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17、输入功率：180VA。</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18、提供</w:t>
            </w:r>
            <w:r>
              <w:rPr>
                <w:rFonts w:hint="eastAsia" w:ascii="宋体" w:hAnsi="宋体" w:eastAsia="宋体" w:cs="宋体"/>
                <w:color w:val="auto"/>
                <w:sz w:val="21"/>
                <w:szCs w:val="21"/>
                <w:vertAlign w:val="baseline"/>
                <w:lang w:val="en-US" w:eastAsia="zh-CN"/>
              </w:rPr>
              <w:t>国家医疗器械注册证</w:t>
            </w:r>
            <w:r>
              <w:rPr>
                <w:rFonts w:hint="eastAsia" w:ascii="宋体" w:hAnsi="宋体" w:cs="宋体"/>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上肢推举运动控制</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蝴蝶机训练器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推胸训练器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3、最大阻力：≥4000N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伸腿训练器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背肌训练器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摆腿训练器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上斜训练器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29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蹬腿训练器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1、阻力方式：可调节阻力液压液压缸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2、档位调节：无极旋钮调节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3、最大阻力：4000N（单向阻力）</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4、坐靠垫:PU发泡棉+双色PVC表皮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5、材料：主管材≥50x120mm,≥T2.0平椭管，≥φ50xT2.0圆管，喷漆：银灰+闪银（5%）+罩光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6、底管：底管外六角调节轮+可移动滚轮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减重步行训练跑台</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无刷AC1.5HP,马达峰值3.0HP</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速度范围：—3~6km/h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3、跑台尺寸：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480x1200mm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、跑带厚度：T1.6mm钻石纹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、预置程序：</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6种模式（心肺、登山、间歇、燃脂、健步走、耐力跑）+倒走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、跑板：T18中纤维板</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、滚筒：∮46</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、心率测试：手握心率监测、无线心率监测（5.3K）</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、减震系统：6位硅胶减震</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、最大承重：</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126KG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olor w:val="auto"/>
                <w:kern w:val="0"/>
                <w:sz w:val="22"/>
                <w:szCs w:val="22"/>
                <w:highlight w:val="none"/>
                <w:u w:val="none"/>
                <w:lang w:val="en-US" w:eastAsia="zh-CN" w:bidi="ar"/>
              </w:rPr>
              <w:t>31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电动升降PT床</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1、产品尺寸规格：≥190x120x(49-93)cm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2、净重：≥101kg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3、框架材质：铁框架加表面喷塑处理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4、承重：≥250kg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5、电压：220V~50HZ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6、升降高度：≥49-93cm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7、调节需要时间：约30秒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8、第一段长度≥65cm可调节角度：0度到65度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9、第二段长度≥121cm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10、头部气杆控制角度的调整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11、5cm36密度海绵</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12、专业医用5852阻燃标准PVC</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13、3个透气孔加孔塞设计</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14、伸缩脚轮设计，方便床身移动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15、电机8000N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16、360度环形碰触式升降调节开关</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17、专业≥7.5cm直径医用承压轮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18、四调节螺杆设计，提升床体对于地面的适应性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19、</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olor w:val="auto"/>
                <w:kern w:val="0"/>
                <w:sz w:val="22"/>
                <w:szCs w:val="22"/>
                <w:u w:val="none"/>
                <w:lang w:val="en-US" w:eastAsia="zh-CN" w:bidi="ar"/>
              </w:rPr>
              <w:t>32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PT凳</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6张</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结构型式：主架、凳面；材质：座垫聚氨脂一次发泡、铝钢结合；外形尺寸≥58×58.5×40～50cm；带液压油缸，360°旋转；额定承载：≥2000N；2、产品用途：康复师进行手法治疗时可移动的坐具。</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3、特点和功能：凳面高度可调，方便康复师使用。凳体底部设计有万向滑轮，可以自由移动。凳面可以360°旋转。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多体位治疗床</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1、产品尺寸规格：≥195x66x(49-92)cm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2、净重：≥85kg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3、框架材质：铁框架加表面喷塑处理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4、承重：≥250kg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5、电压：220V~50HZ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6、升降高度：≥49-92cm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7、调节需要时间：约30秒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8、第一段长度≥43cm，可调节角度：-40度到45度；扶手调节距离15cm；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9、第二段长度≥51cm，可调节角度：25度；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10、第三段长度≥96cm，可调节角度：0度到70度；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11、头部气杆控制角度的调整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12、≥5cm36密度海绵</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13、专业医用5852阻燃标准PVC</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14、透气孔加孔塞设计</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15、伸缩脚轮设计，方便床身移动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16、电机6000N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17、360度环形碰触式升降调节开关</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18、专业≥7.5cm直径医用承压轮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19、螺杆设计，提升床体对于地面的适应性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20、</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电动起立床</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外形尺寸: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2080mm×885mm×1000mm～2230mm；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床面尺寸: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1960×600mm；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桌面尺寸：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780×470mm；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重量：</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89Kg；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安全工作载荷：</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1700N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起立角度范围：0-82°任意可调；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踝关节矫正板内/外翻角度：-28°～28°；</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踝关节矫正板上/下翻角度：-10°～15°；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操作速度和时间：从水平位置至最大起立位置运行时间≥30S；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lang w:val="en-GB"/>
              </w:rPr>
              <w:t>脚托板安全载荷</w:t>
            </w:r>
            <w:r>
              <w:rPr>
                <w:rFonts w:hint="eastAsia" w:ascii="宋体" w:hAnsi="宋体" w:eastAsia="宋体" w:cs="宋体"/>
                <w:color w:val="auto"/>
                <w:sz w:val="21"/>
                <w:szCs w:val="21"/>
              </w:rPr>
              <w:t>≥1500N；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扶手垂直安全载荷≥750N；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床体起立至最大角度时，脚托板位于水平位置时垂直地面距离≤300</w:t>
            </w:r>
            <w:r>
              <w:rPr>
                <w:rFonts w:hint="eastAsia" w:ascii="宋体" w:hAnsi="宋体" w:eastAsia="宋体" w:cs="宋体"/>
                <w:color w:val="auto"/>
                <w:sz w:val="21"/>
                <w:szCs w:val="21"/>
                <w:lang w:val="en-GB"/>
              </w:rPr>
              <w:t>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电压：220V±22V，50Hz±1Hz；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功率：400VA。</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r>
              <w:rPr>
                <w:rFonts w:hint="eastAsia" w:ascii="宋体" w:hAnsi="宋体" w:cs="宋体"/>
                <w:color w:val="auto"/>
                <w:sz w:val="21"/>
                <w:szCs w:val="21"/>
                <w:vertAlign w:val="baseline"/>
                <w:lang w:val="en-US" w:eastAsia="zh-CN"/>
              </w:rPr>
              <w:t>提供</w:t>
            </w:r>
            <w:r>
              <w:rPr>
                <w:rFonts w:hint="eastAsia" w:ascii="宋体" w:hAnsi="宋体" w:eastAsia="宋体" w:cs="宋体"/>
                <w:color w:val="auto"/>
                <w:sz w:val="21"/>
                <w:szCs w:val="21"/>
                <w:vertAlign w:val="baseline"/>
                <w:lang w:val="en-US" w:eastAsia="zh-CN"/>
              </w:rPr>
              <w:t>国家医疗器械注册证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污物清洗消毒机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用途：适用于对医院内使用的尿壶、大便盆，引流瓶等物品容器进行自动倒空、冲洗、高温蒸汽消毒。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 基本要求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1.1.有效完成病区整体污物间的设计、安装要求，达到现代化整体污物间的消毒规范要求；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1.2.设备用途：适用于对医院内使用的尿壶、大便盆，引流瓶等物品容器进行自动倒空、冲洗、高温蒸汽消毒；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1.3.符合院感对污洗间的规范要求：洁污分区，干湿分离等污物间整体规范要求；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1.4. </w:t>
            </w:r>
            <w:r>
              <w:rPr>
                <w:rFonts w:hint="eastAsia" w:ascii="宋体" w:hAnsi="宋体" w:cs="宋体"/>
                <w:color w:val="auto"/>
                <w:sz w:val="21"/>
                <w:szCs w:val="21"/>
                <w:lang w:val="en-US" w:eastAsia="zh-CN"/>
              </w:rPr>
              <w:t>提供</w:t>
            </w:r>
            <w:r>
              <w:rPr>
                <w:rFonts w:hint="eastAsia" w:ascii="宋体" w:hAnsi="宋体" w:eastAsia="宋体" w:cs="宋体"/>
                <w:color w:val="auto"/>
                <w:sz w:val="21"/>
                <w:szCs w:val="21"/>
              </w:rPr>
              <w:t>消毒备案证及消毒检验报告</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2.具体技术参数：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2.1. 台式结构；机器尺寸：宽≤600mm*深≤600mm*高≤900mm；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2.2．清洗舱材质：内腔AISI 性能不低于316耐酸防腐蚀不锈钢，一体冲压成型 ；</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2.3．舱体保温：消毒室腔体包裹≥12mm橡塑海绵隔热隔音层，设定温度和实际温度误差≤±1℃；</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2.4．开门控制方式：柜式前开门方式；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highlight w:val="yellow"/>
              </w:rPr>
            </w:pPr>
            <w:r>
              <w:rPr>
                <w:rFonts w:hint="eastAsia" w:ascii="宋体" w:hAnsi="宋体" w:eastAsia="宋体" w:cs="宋体"/>
                <w:color w:val="auto"/>
                <w:sz w:val="21"/>
                <w:szCs w:val="21"/>
              </w:rPr>
              <w:t>2.5. 门封设计：</w:t>
            </w:r>
            <w:r>
              <w:rPr>
                <w:rFonts w:hint="eastAsia" w:ascii="宋体" w:hAnsi="宋体" w:eastAsia="宋体" w:cs="宋体"/>
                <w:color w:val="auto"/>
                <w:sz w:val="21"/>
                <w:szCs w:val="21"/>
                <w:lang w:val="en-US" w:eastAsia="zh-CN"/>
              </w:rPr>
              <w:t>采用</w:t>
            </w:r>
            <w:r>
              <w:rPr>
                <w:rFonts w:hint="eastAsia" w:ascii="宋体" w:hAnsi="宋体" w:eastAsia="宋体" w:cs="宋体"/>
                <w:color w:val="auto"/>
                <w:sz w:val="21"/>
                <w:szCs w:val="21"/>
                <w:lang w:val="zh-TW" w:eastAsia="zh-TW"/>
              </w:rPr>
              <w:t>硅胶条耗材蒸汽密封</w:t>
            </w:r>
            <w:r>
              <w:rPr>
                <w:rFonts w:hint="eastAsia" w:ascii="宋体" w:hAnsi="宋体" w:eastAsia="宋体" w:cs="宋体"/>
                <w:color w:val="auto"/>
                <w:sz w:val="21"/>
                <w:szCs w:val="21"/>
                <w:lang w:val="en-US" w:eastAsia="zh-CN"/>
              </w:rPr>
              <w:t>技术，或迷宫式门封技术，腔体和门通过狭长的窄缝技术</w:t>
            </w:r>
            <w:r>
              <w:rPr>
                <w:rFonts w:hint="eastAsia" w:ascii="宋体" w:hAnsi="宋体" w:cs="宋体"/>
                <w:color w:val="auto"/>
                <w:sz w:val="21"/>
                <w:szCs w:val="21"/>
                <w:lang w:val="en-US" w:eastAsia="zh-CN"/>
              </w:rPr>
              <w:t>，</w:t>
            </w:r>
            <w:r>
              <w:rPr>
                <w:rFonts w:hint="eastAsia" w:ascii="宋体" w:hAnsi="宋体" w:eastAsia="宋体" w:cs="宋体"/>
                <w:color w:val="auto"/>
                <w:sz w:val="21"/>
                <w:szCs w:val="21"/>
                <w:lang w:val="en-US" w:eastAsia="zh-CN"/>
              </w:rPr>
              <w:t xml:space="preserve">百分百防止水蒸气泄露，无需硅胶条耗材。 </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2.6. 核心配件包含循环泵、喷头、电磁阀、计量泵；喷嘴数量≥13个，1个主喷头，球型旋转喷嘴≥3个，辅助喷嘴≥3个，固定喷嘴≥7个，多喷式设计同时清洗器具内外表面，清洗后符合消毒标准；</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2.7．计量泵数量≥2个，包含清洗液泵 1个，预留1个；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2.8．循环泵最大流量≥230L/分钟；口径≥30mm；功率≥450W；</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2.9. 采用热力消毒技术，产品符合ISO15883热力消毒标准，消毒能力A0值≥60（根据用户需求，A0值出厂可调 60～3000）。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2.10．控制方式：采用按键面板操作；具有故障自动检测功能；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2.11．界面显示达到：液晶显示屏，可显示≥2行文字，每行≥20个字符，滚动显示温度，运行阶段、A0值等参数；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2.12. 流程控制：冲洗、清洗、消毒、冷却；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2.13. 温度指示器精确度≤0.1℃；</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2.14. 具有超温自动保护装置：超过设定温度，系统自动切断加热电源；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2.15. 具有防干烧保护装置：水位低造成加热管干烧时，系统自动切断加热电源；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2.16. 具有电机过流保护装置：电机电流过载时，过流保护开关动作，电机停止工作；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2.17. 全过程能精密监控温度，清洗舱设有≥1个温度传感器和≥1个液位传感器，确保最低温度达到设定温度的要求；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2.18. 洗涤时间可根据消毒物品污染程度可调，内置程序≥3个，分别是：轻度洗、中度洗、重度洗；全过程使用时间4～15分钟，程序时间可按分钟调整；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2.19. 具有程序暂停功能，如遇突发情况，需要取出器械、器皿时，程序可以点击操作暂停键，程序暂停后，可开门取出物品；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2.20. 配备清洗剂加注系统，具有自动添加功能。标配除垢、催干、清洁三合一清洗剂，具有软化水质、帮助清洗、等性能；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2.21. 单次装载量：同时放置2个尿壶1个便盆或3个尿壶；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2.22. 消毒温度：80℃～95℃可调；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2.23. 加热方式：电加热；</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2.24. 运行噪音≤60分贝。</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2.25. 电压：380V（220V）</w:t>
            </w:r>
          </w:p>
          <w:p>
            <w:pPr>
              <w:keepNext w:val="0"/>
              <w:keepLines w:val="0"/>
              <w:pageBreakBefore w:val="0"/>
              <w:kinsoku/>
              <w:wordWrap/>
              <w:overflowPunct/>
              <w:topLinePunct w:val="0"/>
              <w:bidi w:val="0"/>
              <w:snapToGrid/>
              <w:spacing w:line="312" w:lineRule="auto"/>
              <w:rPr>
                <w:rFonts w:hint="eastAsia" w:ascii="宋体" w:hAnsi="宋体" w:eastAsia="宋体" w:cs="宋体"/>
                <w:color w:val="auto"/>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硅胶移位转盘</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5个</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硅胶</w:t>
            </w:r>
            <w:r>
              <w:rPr>
                <w:rFonts w:hint="eastAsia" w:ascii="宋体" w:hAnsi="宋体" w:eastAsia="宋体" w:cs="宋体"/>
                <w:color w:val="auto"/>
                <w:sz w:val="21"/>
                <w:szCs w:val="21"/>
                <w:lang w:val="en-US" w:eastAsia="zh-CN"/>
              </w:rPr>
              <w:t>材质</w:t>
            </w:r>
            <w:r>
              <w:rPr>
                <w:rFonts w:hint="eastAsia" w:ascii="宋体" w:hAnsi="宋体" w:eastAsia="宋体" w:cs="宋体"/>
                <w:color w:val="auto"/>
                <w:sz w:val="21"/>
                <w:szCs w:val="21"/>
              </w:rPr>
              <w:t>，柔软且耐用。直径</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20-30厘米，盘面有防滑纹理。旋转顺滑，可360度灵活转动，耐受温度范围广，常用于康复训练或益智游戏等场景，安全又实用。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静态防褥疮床垫</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20张</w:t>
            </w:r>
          </w:p>
        </w:tc>
        <w:tc>
          <w:tcPr>
            <w:tcW w:w="6780" w:type="dxa"/>
          </w:tcPr>
          <w:p>
            <w:pPr>
              <w:keepNext w:val="0"/>
              <w:keepLines w:val="0"/>
              <w:pageBreakBefore w:val="0"/>
              <w:numPr>
                <w:ilvl w:val="0"/>
                <w:numId w:val="4"/>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由20条≥9.5cm管径气条组成，分为A、B两组气道，周期性交替充泄气，形成一种模仿波浪轻微起伏的缓慢波动状态。可拆卸气条组合式床席设计搭配充气主机的波动功能，可分散和降低卧床者身体与气垫床接触受压部位的压力，达到预防和缓解褥疮的效果。</w:t>
            </w:r>
          </w:p>
          <w:p>
            <w:pPr>
              <w:keepNext w:val="0"/>
              <w:keepLines w:val="0"/>
              <w:pageBreakBefore w:val="0"/>
              <w:numPr>
                <w:ilvl w:val="0"/>
                <w:numId w:val="4"/>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床垫充气尺寸(长x宽x高):≥200x86x9.5cm标准医用床尺寸，最大承重≥135公斤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病人转移板</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尼龙丝+纳米丝+背面涂蜡工艺制成，伤员躺卧更舒适，操作更顺滑。</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聚丙烯材料制成，具有高韧性，不易损坏。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3、可拆卸，易于清洗。</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4、尺寸：≥85*50cm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39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过床器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尼龙丝+纳米丝+背面涂蜡工艺制成，伤员躺卧更舒适，操作更顺滑。</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耐弯折材料连接，轻便可折叠。</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val="en-US" w:eastAsia="zh-CN"/>
              </w:rPr>
              <w:t>聚丙烯材料制成，具有高韧性，不易损坏。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4、可拆卸，易于清洗。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5、尺寸：≥172cm*48cm*2cm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移位垫</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产品材料：PP板、珍珠棉、尼龙布、涤纶布</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default"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尺寸：≥85*50cm</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3、净重：≥2.5kg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站立助行器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采用高强度铝合金材质，轻便且坚固。高度可调节，范围在80-110厘米左右，扶手舒适防滑。配有稳固的脚轮，转向灵活，刹车可靠。承重达100-150千克，能辅助行动不便者站立、行走，保障使用安全。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多功能移位机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6台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1、产品尺寸（长*宽*高）：≥726mm×545mm×1140mm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2、座板高度调节行程：≥180mm（共九档，每档20mm）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3、头枕高度调节行程：≥120mm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4、底座间隙：≥116mm，底座高度：≥136mm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5、便盆容积：≥5L</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6、最大承重：≥135KG，总重量：≤30KG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7、脚刹操作力：＜300N，插销操作力：＜105N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8、底架可插入的最低高度：≥150mm，基本适用于各场景内相关设施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9、便携且拆卸安装简单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多功能护理机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1、外形尺寸:≥354*212*248(H)mm。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2、材质:ABS复合材料。</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3、设备使用锂离子电池供电，电池容量:≥6000mAh。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4、开机状态:控制台LED显示，设备电池的实际电量在0-100%之间，能显示实时电量。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5、充电时间从空电到充满共≤4小时。充满自动停止充电，防止过充。</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6、设备满电可工作≥120分钟。</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7、清水箱容积为≥6升，污水箱容积为≥6升。</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8、装有高速无刷风机运行系统，风机噪音65dB内。</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9、先进的水流回吸技术:洗澡机可提供充足的清水量以满足洗浴需求，同时快速回吸产生的洗涤污水，保证使用过程中无水外漏。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10、感应器可监测污水箱是否已满并通过LED屏显示,若已满,可自动关闭清水。</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11、一键泡沫:快速出沐浴泡沫，省时省力。</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12、水流量:≥0-700L/H。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13、安装便捷:任何地方都能开启专业洗浴，快速安装，傻瓜式操作。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14、电压:12V、功率:100W。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系列哑铃</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1、规格：≥120×80×60cm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2、质量：≥37.0kg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3、结构型式：哑铃、哑铃架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4、材质：静电喷塑架、钢</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5、哑铃规格：质量，5LB，4个。4LB，4个。3LB，4个。2LB，4个。1LB，2个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系列沙袋</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尺寸：≥65.5×36×73cm</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沙袋重量（kg）及个数：1kg2个、1.5kg2个、2kg2个、2.5kg2个、3kg2个共10个。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站立架</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1、规格：≥130×130×105cm；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2、结构形式：台面、肘部垫、臀部垫和绑带、膝部垫、支架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3、钢件表面喷塑，颜色为白色；支撑台面板为多层板，厚度≥18mm。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4、肘部垫宽度：≥50mm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5、肘部垫额定承载质量：≥80kg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6、臀部垫和绑带额定承载质量：≥135kg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7、桌面为木制，木件表面油漆5º；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8、绑带最大负载重量≥135kg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平行杠</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1、规格：320×84cm～108×78cm～105cm，矫正板坡度15°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2、质量：≥138.0kg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3、结构型式：杠杆、宽度调节支架、升降管柱、固定管柱、矫正板、底座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4、材质：不锈钢扶手、静电喷塑架、木板、地毯</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5、杠杆直径：≥Φ3.8cm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6、杠杆宽度调节范围：84～108cm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7、额定载荷：≥135kg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8、矫正板坡度：15°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训练用阶梯</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1、材质：不锈钢管扶手、密度板、地毯、静电喷塑架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2、结构型式：扶手杠、固定管柱、阶梯</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3、扶手杠调节范围：0～20cm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4、扶手杠侧向额定载荷：≥70kg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5、相邻台阶距离：10cm，28cm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6、阶梯额定载荷：≥135kg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7、规格：≥337×83×135～160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49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磨砂板</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1、规格：≥101×80×87-138cm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2、质量：≥60.0kg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3、沙磨板面积：≥93.5×72.5cm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4、沙磨板厚度：≥0.5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5、沙磨板角度调节范围：0～50°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6、附件品种和件数4个品种，各1件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7、材质：木质、PVC沙磨板、静电喷塑架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木棍插板</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1、规格：≥36×29×10cm，直径≥2.5×10cm，数量≥20个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2、规格≥22×18×9cm，直径≥1.8×0.9cm，数量≥20个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3、规格≥18×14×8cm，直径≥1.3×0.8cm，数量≥20个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上螺丝</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1、尺寸≥33×25×10cm，各种螺丝20个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2、材质：密度板，不锈钢螺丝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上螺母</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1、尺寸：≥34×19×21cm，各种螺母24个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2、材质：密度板，不锈钢螺丝、螺母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手功能组合训练箱</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1、用途：锻炼和提高手指灵活和协调性。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2、规格：≥55×40×14㎝</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3、参数：优质木料表面清漆整体是便携式手提木箱，箱子高≥14cm，内配不锈钢铁棍、木插棒、上螺丝、上螺母、ADL训练器具和玻璃球。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复式墙拉力器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结构型式：固定支架、转向滑轮、绳索、导向管、手柄、滑轮、配重、插、配重块、脚用拉力带</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材质：静电喷塑架、钢管、尼龙绳，拉力器套数：</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val="en-US" w:eastAsia="zh-CN"/>
              </w:rPr>
              <w:t>行程范围：≥0～115cm</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4、</w:t>
            </w:r>
            <w:r>
              <w:rPr>
                <w:rFonts w:hint="eastAsia" w:ascii="宋体" w:hAnsi="宋体" w:eastAsia="宋体" w:cs="宋体"/>
                <w:color w:val="auto"/>
                <w:sz w:val="21"/>
                <w:szCs w:val="21"/>
                <w:vertAlign w:val="baseline"/>
                <w:lang w:val="en-US" w:eastAsia="zh-CN"/>
              </w:rPr>
              <w:t>配重块质量(kg)：配重块数量：≥5块，绳索额定载荷：≥720N，手柄额定载荷：≥480N</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5、</w:t>
            </w:r>
            <w:r>
              <w:rPr>
                <w:rFonts w:hint="eastAsia" w:ascii="宋体" w:hAnsi="宋体" w:eastAsia="宋体" w:cs="宋体"/>
                <w:color w:val="auto"/>
                <w:sz w:val="21"/>
                <w:szCs w:val="21"/>
                <w:vertAlign w:val="baseline"/>
                <w:lang w:val="en-US" w:eastAsia="zh-CN"/>
              </w:rPr>
              <w:t>用途：进行四肢抗阻力运动，训练肌肉力量，也可进行关节活动度训练。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偏瘫康复器（立式）</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1、结构型式：滑轮、绳、立环、立架、脚踏板、底架组合</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2、材质：静电喷塑架、尼龙绳</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3、绳索、拉环额定负载：≥50kg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4、滑轮额定负载：≥100kg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5、拉环最大行程：≥35cm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6、规格：≥89×49×178cm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7、质量：≥14.0Kg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偏瘫康复器(坐式)</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1、绳索、拉环额定负载：≥50kg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2、滑轮额定负载：≥100kg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3、拉环最大行程：不小于35cm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4、外形尺寸（长×宽×高）：≥89×49×177cm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姿势矫正镜</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≥88×66×186cm，镜面玻璃厚度≥0.5cm。架体为优质钢结构，钢件表面喷塑，镜面带有网格，底座四角配有脚轮。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四轮辅助器（带刹、带座）</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1、规格：≥78×100×（98～130）cm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2、质量：≥29.0kg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3、材质：橡胶手柄、静电喷塑架、PU面料内置高回弹海绵、橡胶脚轮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结构型式：刹车手柄、台面垫、靠背、坐垫、坐垫前后调节螺栓、坐垫上下调节杆、高低伸缩杆、手柄调节螺栓</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4、座垫宽度：≥42cm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5、座垫前后调节范围：≥10cm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6、座垫高度调节范围：63～74cm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7、台面垫高度调节范围：83～113cm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8、手柄间距离调节范围：0～55cm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9、台面垫额定载荷质量：≥80kg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10、座垫额定载荷质量：≥135kg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59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液压式踏步器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结构型式：电子表、扶手、油缸、脚踏板、机架；</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材质：主架优质型钢表面喷塑，海绵扶手套；</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val="en-US" w:eastAsia="zh-CN"/>
              </w:rPr>
              <w:t>规格：≥82×75×110cm，扶手杆宽≥66cm，扶手杆高≥100cm，额定负载≥135kg，油缸阻力≥12档可调，线速度位≥5cm/s，力值调节范围：200～1500N。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肩关节旋转训练器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规格：≥38×35×100cm，高度调节范围0～64cm，转动臂长调节范围45～70cm，由滑动杆、阻尼件、连接旋转臂、可调节组件构成。</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滑动杆是提供器械主体上下移动的轨道是由金属管材制成。阻尼件是该器械核心部件，可调节阻尼。而可调节组件是实现主体器械上下移动和锁定组成部分，器械整体主要由金属构成。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前臂旋转训练器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规格：≥50×67×100cm，高度调节范围0～50cm，托架前后调节范围40～68cm。</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由滑动杆、阻尼件、连接旋转臂、可调节组件构成。滑动杆是提供器械主体上下移动的轨道是由金属管材制成。阻尼件是该器械核心部件，提供可调节阻尼，可调节组件是实现主体器械上下移动和锁定组成部分，器械整体主要由金属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腕关节屈伸训练器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1、规格：≥53×20×100cm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2、质量：≥13.0kg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3、结构型式：手柄、阻尼装置、阻尼调节手柄、平台、导向管、固定装置、平台升降手柄</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4、材质：不锈钢圈、管，镀铬件、静电喷塑、木质手柄</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5、平台升降调节范围：0～50cm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6、最大阻力≥35kg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前臂与腕关节运动器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1、尺寸：≥68×20×26cm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2、阻尼件是该器械核心部件，提供可调节阻尼</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3、用途：改善前臂旋转功能，也可做腕部关节训练及肌力训练。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4、配置：底座1块；手柄2个；阻尼件1套；握杆1套；连接板2块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腕关节旋转训练器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numPr>
                <w:ilvl w:val="0"/>
                <w:numId w:val="5"/>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结构型式：固定座、导向管、升降装置、升降手柄、把手、阻尼装置、阻尼调节手柄；材质：主架优质型钢，静电喷塑、握把不锈钢、底座实木材；</w:t>
            </w:r>
          </w:p>
          <w:p>
            <w:pPr>
              <w:keepNext w:val="0"/>
              <w:keepLines w:val="0"/>
              <w:pageBreakBefore w:val="0"/>
              <w:numPr>
                <w:ilvl w:val="0"/>
                <w:numId w:val="5"/>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外形尺寸：≥62×22×25cm；手柄至转动轴距离调节范围：0～11cm；前臂垫移动范围：0～7cm；最大阻力：≥980N•cm。适用于腕关节的康复训练，改善腕部关节活动范围及肌力训练。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上肢推举训练器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1、结构形式：电子表、推块运动轨道、升降支架、固定支架、手柄、推块、底座板</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2、材质：静电喷塑架、不锈钢管、镀铬件、海绵扶手</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3、规格：≥80×51.5×52～72cm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4、推拉范围：≥36cm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5、底盘与底座板角度调节范围：30°～55°</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6、用途：上肢肌力协调活动能力和关节活动度的作业训练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手指功能训练器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1、外形尺寸：≥40×25×10.5cm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2、配置小锥体（直径×长度）及数量/cm：≥Φ4.5×12/3个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3、大锥体（直径×长度）及数量/cm：≥Φ9×20/1个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4、齿圈直径及数量：≥Φ15cm/1个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5、握力圈直径及数量：≥Φ7cm/1个。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6、提高手指的作业活动能力。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腕部功能训练器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1、参考规格：≥43×23×12cm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2、训练用工具5个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3、材质：木制品</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4、参考质量：≥2.3kg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重锤式手指训练桌</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vAlign w:val="center"/>
          </w:tcPr>
          <w:p>
            <w:pPr>
              <w:keepNext w:val="0"/>
              <w:keepLines w:val="0"/>
              <w:pageBreakBefore w:val="0"/>
              <w:numPr>
                <w:ilvl w:val="0"/>
                <w:numId w:val="0"/>
              </w:numPr>
              <w:kinsoku/>
              <w:wordWrap/>
              <w:overflowPunct/>
              <w:topLinePunct w:val="0"/>
              <w:autoSpaceDE/>
              <w:autoSpaceDN/>
              <w:bidi w:val="0"/>
              <w:adjustRightInd/>
              <w:snapToGrid/>
              <w:spacing w:line="312" w:lineRule="auto"/>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尺寸：≥80×60×80cm</w:t>
            </w:r>
          </w:p>
          <w:p>
            <w:pPr>
              <w:keepNext w:val="0"/>
              <w:keepLines w:val="0"/>
              <w:pageBreakBefore w:val="0"/>
              <w:numPr>
                <w:ilvl w:val="0"/>
                <w:numId w:val="0"/>
              </w:numPr>
              <w:kinsoku/>
              <w:wordWrap/>
              <w:overflowPunct/>
              <w:topLinePunct w:val="0"/>
              <w:autoSpaceDE/>
              <w:autoSpaceDN/>
              <w:bidi w:val="0"/>
              <w:adjustRightInd/>
              <w:snapToGrid/>
              <w:spacing w:line="312" w:lineRule="auto"/>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木制桌面，喷塑钢架;（四组）</w:t>
            </w:r>
          </w:p>
          <w:p>
            <w:pPr>
              <w:keepNext w:val="0"/>
              <w:keepLines w:val="0"/>
              <w:pageBreakBefore w:val="0"/>
              <w:numPr>
                <w:ilvl w:val="0"/>
                <w:numId w:val="0"/>
              </w:numPr>
              <w:kinsoku/>
              <w:wordWrap/>
              <w:overflowPunct/>
              <w:topLinePunct w:val="0"/>
              <w:autoSpaceDE/>
              <w:autoSpaceDN/>
              <w:bidi w:val="0"/>
              <w:adjustRightInd/>
              <w:snapToGrid/>
              <w:spacing w:line="312" w:lineRule="auto"/>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3、可通过砝码重量调节阻力。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69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穿衣板</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1、尺寸：≥30×25×2cm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2、配有不同系扣8块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3、通过模拟日常生活的各种穿衣系扣的训练，提高患者的穿衣能力。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可调式OT桌</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1、结构型式：脚横杆、脚间挺杆、不锈钢内心</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2、升降支架、传动机构、桌面及框架、手柄</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3、材质：静电喷塑架、密度板</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4、桌面升架范围：≥610～810mm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5、手柄转动力距：≥10mm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6、桌面额定载荷：≥50mm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7、桌面参考尺寸（长×宽）：≥1200×700mm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8、参考质量：≥41.0kg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简易上肢功能评估器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1、规格：44×44×10cm，检测工具一套，秒表一个，大小木块若干，弹性球5个，小木球若干，各种小器具若干。</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2、对上肢能力、运动速度进行客观的检测，判断上肢功能受限程度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角度尺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val="en-US" w:eastAsia="zh-CN"/>
              </w:rPr>
              <w:t>结构型式：脊椎角度尺、肢体角度尺（大）、肢体角度尺（中）、肢体角度尺（小）、手指角度尺、箱体；</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val="en-US" w:eastAsia="zh-CN"/>
              </w:rPr>
              <w:t>材质：ABS；</w:t>
            </w:r>
          </w:p>
          <w:p>
            <w:pPr>
              <w:keepNext w:val="0"/>
              <w:keepLines w:val="0"/>
              <w:pageBreakBefore w:val="0"/>
              <w:numPr>
                <w:ilvl w:val="0"/>
                <w:numId w:val="0"/>
              </w:numPr>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val="en-US" w:eastAsia="zh-CN"/>
              </w:rPr>
              <w:t>外形尺寸/㎝：35×17×5；测量器具共5件适用于脊椎、上肢、下肢、手指等关节活动度测量。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背力计（电子显示）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1、测量范围：0～400kg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2、分度值：≥1kg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3、示值误差：≤1/400F.S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4、功能：背力峰值保持，开关/清零，定时关机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5、规格：≥19×16×5cm，≥35×35×22cm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6、参考质量：≥8.0kg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7、配置：电源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握力计（电子显示）</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1件</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1、测量范围：0～99.9kg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2、分度值：≥0.1kg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3、示值误差：≤1﹪F.S</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4、功能：握力峰值保持，开关∕清零定时关机，过载指示。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5、电源：一节9V叠式电池（自备）或外接式AC(220)∕DC∕(9V)稳压器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5功能：握力峰值保持，开关∕清零定时关机，过载指示。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参考规：≥18×14×2cm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参考质量：≥1.1kg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配置：电源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移动监护仪</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4台</w:t>
            </w:r>
          </w:p>
        </w:tc>
        <w:tc>
          <w:tcPr>
            <w:tcW w:w="6780" w:type="dxa"/>
          </w:tcPr>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kern w:val="2"/>
                <w:sz w:val="21"/>
                <w:szCs w:val="21"/>
                <w:lang w:val="en-US" w:eastAsia="zh-CN"/>
              </w:rPr>
            </w:pPr>
            <w:bookmarkStart w:id="9" w:name="_Toc139280022"/>
            <w:r>
              <w:rPr>
                <w:rFonts w:hint="eastAsia" w:ascii="宋体" w:hAnsi="宋体" w:eastAsia="宋体" w:cs="Times New Roman"/>
                <w:b/>
                <w:kern w:val="2"/>
                <w:sz w:val="21"/>
                <w:szCs w:val="21"/>
                <w:lang w:val="en-US" w:eastAsia="zh-CN"/>
              </w:rPr>
              <w:t>一、结构：</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kern w:val="2"/>
                <w:sz w:val="21"/>
                <w:szCs w:val="21"/>
                <w:lang w:val="en-US" w:eastAsia="zh-CN"/>
              </w:rPr>
            </w:pPr>
            <w:r>
              <w:rPr>
                <w:rFonts w:hint="eastAsia" w:ascii="宋体" w:hAnsi="宋体" w:eastAsia="宋体" w:cs="Times New Roman"/>
                <w:b w:val="0"/>
                <w:bCs/>
                <w:kern w:val="2"/>
                <w:sz w:val="21"/>
                <w:szCs w:val="21"/>
                <w:lang w:val="en-US" w:eastAsia="zh-CN"/>
              </w:rPr>
              <w:t>由配备专用软件的计算机主机、显示器、打印机、串行隔离通讯接口、网络连接电缆以及床边监护仪组成。</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ascii="宋体" w:hAnsi="宋体" w:eastAsia="宋体" w:cs="Times New Roman"/>
                <w:b/>
                <w:kern w:val="2"/>
                <w:sz w:val="21"/>
                <w:szCs w:val="21"/>
              </w:rPr>
            </w:pPr>
            <w:r>
              <w:rPr>
                <w:rFonts w:hint="eastAsia" w:ascii="宋体" w:hAnsi="宋体" w:eastAsia="宋体" w:cs="Times New Roman"/>
                <w:b/>
                <w:kern w:val="2"/>
                <w:sz w:val="21"/>
                <w:szCs w:val="21"/>
                <w:lang w:val="en-US" w:eastAsia="zh-CN"/>
              </w:rPr>
              <w:t>二、</w:t>
            </w:r>
            <w:r>
              <w:rPr>
                <w:rFonts w:hint="eastAsia" w:ascii="宋体" w:hAnsi="宋体" w:eastAsia="宋体" w:cs="Times New Roman"/>
                <w:b/>
                <w:kern w:val="2"/>
                <w:sz w:val="21"/>
                <w:szCs w:val="21"/>
              </w:rPr>
              <w:t xml:space="preserve">产品特点： </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1.采用windows中文界面多床位同时显示，界面美观，具有统一存盘、回放、打印、管理功能。</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2.曲线超限自动声光报警。所有的检测参数都可以设置报警范围，并可单独对某一参数的报警进行设置。</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3.具有强大的病案管理系统，所有监护数据可进行统一管理、分析、归类。</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4.具有</w:t>
            </w:r>
            <w:r>
              <w:rPr>
                <w:rFonts w:hint="eastAsia" w:ascii="宋体" w:hAnsi="宋体" w:eastAsia="宋体" w:cs="Times New Roman"/>
                <w:b w:val="0"/>
                <w:kern w:val="2"/>
                <w:sz w:val="21"/>
                <w:szCs w:val="21"/>
                <w:lang w:val="en-US" w:eastAsia="zh-CN"/>
              </w:rPr>
              <w:t>NIBP</w:t>
            </w:r>
            <w:r>
              <w:rPr>
                <w:rFonts w:hint="eastAsia" w:ascii="宋体" w:hAnsi="宋体" w:eastAsia="宋体" w:cs="Times New Roman"/>
                <w:b w:val="0"/>
                <w:kern w:val="2"/>
                <w:sz w:val="21"/>
                <w:szCs w:val="21"/>
              </w:rPr>
              <w:t>分析功能，帮助医生进行诊断。</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5.中央机具有多用户多任务功能，即在监护多床位的同时，还可以做其它工作不影响整个监护过程，为使用其它应用软件提供技术保证。</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6.多样化打印，可用A4、B5普通纸，可横向与纵向，打印可带诊断报告也可不带，并可在打印先预览打印效果，避免纸张浪费，有效节约耗材。</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7.全部监护结果可压缩到一页纸上，单页最多可打印至少60分钟曲线</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8.网络扩展功能强，任意监护多个床位信息，实时监护患者信息，联网可达</w:t>
            </w:r>
            <w:r>
              <w:rPr>
                <w:rFonts w:hint="eastAsia" w:ascii="宋体" w:hAnsi="宋体" w:eastAsia="宋体" w:cs="Times New Roman"/>
                <w:b w:val="0"/>
                <w:kern w:val="2"/>
                <w:sz w:val="21"/>
                <w:szCs w:val="21"/>
                <w:lang w:val="en-US" w:eastAsia="zh-CN"/>
              </w:rPr>
              <w:t>32</w:t>
            </w:r>
            <w:r>
              <w:rPr>
                <w:rFonts w:hint="eastAsia" w:ascii="宋体" w:hAnsi="宋体" w:eastAsia="宋体" w:cs="Times New Roman"/>
                <w:b w:val="0"/>
                <w:kern w:val="2"/>
                <w:sz w:val="21"/>
                <w:szCs w:val="21"/>
              </w:rPr>
              <w:t>床位。</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9.同时显示多床位的波形和数据信息，可观察任意床位所有波形、数据。</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10.可升级到更多床位中央(远程)监护系统，用户无后顾之忧</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11.</w:t>
            </w:r>
            <w:r>
              <w:rPr>
                <w:rFonts w:hint="eastAsia"/>
              </w:rPr>
              <w:t>中央机可以接收和存储来自床边机所发来的全部数据，</w:t>
            </w:r>
            <w:r>
              <w:rPr>
                <w:rFonts w:hint="eastAsia" w:ascii="宋体" w:hAnsi="宋体" w:eastAsia="宋体" w:cs="Times New Roman"/>
                <w:b w:val="0"/>
                <w:kern w:val="2"/>
                <w:sz w:val="21"/>
                <w:szCs w:val="21"/>
              </w:rPr>
              <w:t>进入单床全面观察界面后可以详细浏览某一床边机全部信息，包括监护波形及参数</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12．突破时间概念，无限时监护病人的实时信息。</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13.可对病人进行档案输入，方便档案查询。</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14.采用三级声光双重报警，自动存储和打印报警通道波形</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15.配置激光打印机，可进行各种信息打印</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rPr>
              <w:t>16.可选择串行口数据传送成网络数据传送方式</w:t>
            </w:r>
            <w:r>
              <w:rPr>
                <w:rFonts w:hint="eastAsia" w:ascii="宋体" w:hAnsi="宋体" w:eastAsia="宋体" w:cs="Times New Roman"/>
                <w:b w:val="0"/>
                <w:kern w:val="2"/>
                <w:sz w:val="21"/>
                <w:szCs w:val="21"/>
                <w:lang w:eastAsia="zh-CN"/>
              </w:rPr>
              <w:t>。</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kern w:val="2"/>
                <w:sz w:val="21"/>
                <w:szCs w:val="21"/>
              </w:rPr>
            </w:pPr>
            <w:r>
              <w:rPr>
                <w:rFonts w:hint="eastAsia" w:ascii="宋体" w:hAnsi="宋体" w:eastAsia="宋体" w:cs="Times New Roman"/>
                <w:b/>
                <w:kern w:val="2"/>
                <w:sz w:val="21"/>
                <w:szCs w:val="21"/>
                <w:lang w:val="en-US" w:eastAsia="zh-CN"/>
              </w:rPr>
              <w:t>三、</w:t>
            </w:r>
            <w:r>
              <w:rPr>
                <w:rFonts w:hint="eastAsia" w:ascii="宋体" w:hAnsi="宋体" w:eastAsia="宋体" w:cs="Times New Roman"/>
                <w:b/>
                <w:kern w:val="2"/>
                <w:sz w:val="21"/>
                <w:szCs w:val="21"/>
              </w:rPr>
              <w:t>数据导入及导出</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rPr>
              <w:t>支持光盘、USB串口导入导出数据，支持网络传输</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kern w:val="2"/>
                <w:sz w:val="21"/>
                <w:szCs w:val="21"/>
              </w:rPr>
            </w:pPr>
            <w:r>
              <w:rPr>
                <w:rFonts w:hint="eastAsia" w:ascii="宋体" w:hAnsi="宋体" w:eastAsia="宋体" w:cs="Times New Roman"/>
                <w:b/>
                <w:kern w:val="2"/>
                <w:sz w:val="21"/>
                <w:szCs w:val="21"/>
                <w:lang w:val="en-US" w:eastAsia="zh-CN"/>
              </w:rPr>
              <w:t>四、</w:t>
            </w:r>
            <w:r>
              <w:rPr>
                <w:rFonts w:hint="eastAsia" w:ascii="宋体" w:hAnsi="宋体" w:eastAsia="宋体" w:cs="Times New Roman"/>
                <w:b/>
                <w:kern w:val="2"/>
                <w:sz w:val="21"/>
                <w:szCs w:val="21"/>
              </w:rPr>
              <w:t>数据储存和回顾</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1.</w:t>
            </w:r>
            <w:r>
              <w:rPr>
                <w:rFonts w:hint="eastAsia" w:ascii="宋体" w:hAnsi="宋体" w:eastAsia="宋体" w:cs="Times New Roman"/>
                <w:b w:val="0"/>
                <w:kern w:val="2"/>
                <w:sz w:val="21"/>
                <w:szCs w:val="21"/>
              </w:rPr>
              <w:t>报警的储存和回顾：每个病人储存≥50条报警记录，不短于30秒的报警信息，存储波形≥4条。</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2.</w:t>
            </w:r>
            <w:r>
              <w:rPr>
                <w:rFonts w:hint="eastAsia" w:ascii="宋体" w:hAnsi="宋体" w:eastAsia="宋体" w:cs="Times New Roman"/>
                <w:b w:val="0"/>
                <w:kern w:val="2"/>
                <w:sz w:val="21"/>
                <w:szCs w:val="21"/>
              </w:rPr>
              <w:t>波形储存回顾：可选贮存≥</w:t>
            </w:r>
            <w:r>
              <w:rPr>
                <w:rFonts w:hint="eastAsia" w:ascii="宋体" w:hAnsi="宋体" w:eastAsia="宋体" w:cs="Times New Roman"/>
                <w:b w:val="0"/>
                <w:kern w:val="2"/>
                <w:sz w:val="21"/>
                <w:szCs w:val="21"/>
                <w:lang w:val="en-US" w:eastAsia="zh-CN"/>
              </w:rPr>
              <w:t>12</w:t>
            </w:r>
            <w:r>
              <w:rPr>
                <w:rFonts w:hint="eastAsia" w:ascii="宋体" w:hAnsi="宋体" w:eastAsia="宋体" w:cs="Times New Roman"/>
                <w:b w:val="0"/>
                <w:kern w:val="2"/>
                <w:sz w:val="21"/>
                <w:szCs w:val="21"/>
              </w:rPr>
              <w:t>小时的全息波形，存储波形≥4条。</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3.</w:t>
            </w:r>
            <w:r>
              <w:rPr>
                <w:rFonts w:hint="eastAsia" w:ascii="宋体" w:hAnsi="宋体" w:eastAsia="宋体" w:cs="Times New Roman"/>
                <w:b w:val="0"/>
                <w:kern w:val="2"/>
                <w:sz w:val="21"/>
                <w:szCs w:val="21"/>
              </w:rPr>
              <w:t>趋势回顾：≥24小时图形趋势回顾和≥24小时表格趋势回顾并同屏显示。</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4.</w:t>
            </w:r>
            <w:r>
              <w:rPr>
                <w:rFonts w:hint="eastAsia" w:ascii="宋体" w:hAnsi="宋体" w:eastAsia="宋体" w:cs="Times New Roman"/>
                <w:b w:val="0"/>
                <w:kern w:val="2"/>
                <w:sz w:val="21"/>
                <w:szCs w:val="21"/>
              </w:rPr>
              <w:t>临床事件回顾：用户可自己设置≥10个事件组，每个事件组最多≥5个参数触发一个事件。所有事件都应该能够保存至少24小时。</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5.</w:t>
            </w:r>
            <w:r>
              <w:rPr>
                <w:rFonts w:hint="eastAsia" w:ascii="宋体" w:hAnsi="宋体" w:eastAsia="宋体" w:cs="Times New Roman"/>
                <w:b w:val="0"/>
                <w:kern w:val="2"/>
                <w:sz w:val="21"/>
                <w:szCs w:val="21"/>
              </w:rPr>
              <w:t>标配ST段分析和趋势：储存≥24小时ST段和变化趋势，拓扑图。</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6.</w:t>
            </w:r>
            <w:r>
              <w:rPr>
                <w:rFonts w:hint="eastAsia" w:ascii="宋体" w:hAnsi="宋体" w:eastAsia="宋体" w:cs="Times New Roman"/>
                <w:b w:val="0"/>
                <w:kern w:val="2"/>
                <w:sz w:val="21"/>
                <w:szCs w:val="21"/>
              </w:rPr>
              <w:t>ST测量点可任意调节（J点后加0，20，40，60，80ms）</w:t>
            </w:r>
          </w:p>
          <w:p>
            <w:pPr>
              <w:keepNext w:val="0"/>
              <w:keepLines w:val="0"/>
              <w:pageBreakBefore w:val="0"/>
              <w:widowControl w:val="0"/>
              <w:kinsoku/>
              <w:wordWrap/>
              <w:overflowPunct/>
              <w:topLinePunct w:val="0"/>
              <w:autoSpaceDE/>
              <w:autoSpaceDN/>
              <w:bidi w:val="0"/>
              <w:adjustRightInd/>
              <w:spacing w:line="240" w:lineRule="auto"/>
              <w:ind w:right="0" w:rightChars="0"/>
              <w:jc w:val="both"/>
              <w:textAlignment w:val="auto"/>
              <w:rPr>
                <w:rFonts w:ascii="宋体" w:hAnsi="宋体" w:eastAsia="宋体" w:cs="Times New Roman"/>
                <w:b/>
                <w:kern w:val="2"/>
                <w:sz w:val="21"/>
                <w:szCs w:val="21"/>
              </w:rPr>
            </w:pPr>
            <w:r>
              <w:rPr>
                <w:rFonts w:hint="eastAsia" w:ascii="宋体" w:hAnsi="宋体" w:eastAsia="宋体" w:cs="Times New Roman"/>
                <w:b/>
                <w:kern w:val="2"/>
                <w:sz w:val="21"/>
                <w:szCs w:val="21"/>
                <w:lang w:val="en-US" w:eastAsia="zh-CN"/>
              </w:rPr>
              <w:t>六、</w:t>
            </w:r>
            <w:r>
              <w:rPr>
                <w:rFonts w:hint="eastAsia" w:ascii="宋体" w:hAnsi="宋体" w:eastAsia="宋体" w:cs="Times New Roman"/>
                <w:b/>
                <w:kern w:val="2"/>
                <w:sz w:val="21"/>
                <w:szCs w:val="21"/>
              </w:rPr>
              <w:t>网络性能指标</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1.</w:t>
            </w:r>
            <w:r>
              <w:rPr>
                <w:rFonts w:hint="eastAsia" w:ascii="宋体" w:hAnsi="宋体" w:eastAsia="宋体" w:cs="Times New Roman"/>
                <w:b w:val="0"/>
                <w:kern w:val="2"/>
                <w:sz w:val="21"/>
                <w:szCs w:val="21"/>
              </w:rPr>
              <w:t>结构：</w:t>
            </w:r>
            <w:r>
              <w:rPr>
                <w:rFonts w:ascii="宋体" w:hAnsi="宋体" w:eastAsia="宋体" w:cs="Times New Roman"/>
                <w:b w:val="0"/>
                <w:kern w:val="2"/>
                <w:sz w:val="21"/>
                <w:szCs w:val="21"/>
              </w:rPr>
              <w:t>Ethernet 802.3</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2.</w:t>
            </w:r>
            <w:r>
              <w:rPr>
                <w:rFonts w:hint="eastAsia" w:ascii="宋体" w:hAnsi="宋体" w:eastAsia="宋体" w:cs="Times New Roman"/>
                <w:b w:val="0"/>
                <w:kern w:val="2"/>
                <w:sz w:val="21"/>
                <w:szCs w:val="21"/>
              </w:rPr>
              <w:t>传输速度：≥</w:t>
            </w:r>
            <w:r>
              <w:rPr>
                <w:rFonts w:ascii="宋体" w:hAnsi="宋体" w:eastAsia="宋体" w:cs="Times New Roman"/>
                <w:b w:val="0"/>
                <w:kern w:val="2"/>
                <w:sz w:val="21"/>
                <w:szCs w:val="21"/>
              </w:rPr>
              <w:t>10M</w:t>
            </w:r>
            <w:r>
              <w:rPr>
                <w:rFonts w:hint="eastAsia" w:ascii="宋体" w:hAnsi="宋体" w:eastAsia="宋体" w:cs="Times New Roman"/>
                <w:b w:val="0"/>
                <w:kern w:val="2"/>
                <w:sz w:val="21"/>
                <w:szCs w:val="21"/>
              </w:rPr>
              <w:t>，</w:t>
            </w:r>
            <w:r>
              <w:rPr>
                <w:rFonts w:ascii="宋体" w:hAnsi="宋体" w:eastAsia="宋体" w:cs="Times New Roman"/>
                <w:b w:val="0"/>
                <w:kern w:val="2"/>
                <w:sz w:val="21"/>
                <w:szCs w:val="21"/>
              </w:rPr>
              <w:t>100M</w:t>
            </w:r>
            <w:r>
              <w:rPr>
                <w:rFonts w:hint="eastAsia" w:ascii="宋体" w:hAnsi="宋体"/>
              </w:rPr>
              <w:t>自适应</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hint="eastAsia"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3.</w:t>
            </w:r>
            <w:r>
              <w:rPr>
                <w:rFonts w:hint="eastAsia" w:ascii="宋体" w:hAnsi="宋体" w:eastAsia="宋体" w:cs="Times New Roman"/>
                <w:b w:val="0"/>
                <w:kern w:val="2"/>
                <w:sz w:val="21"/>
                <w:szCs w:val="21"/>
              </w:rPr>
              <w:t>接口：</w:t>
            </w:r>
            <w:r>
              <w:rPr>
                <w:rFonts w:ascii="宋体" w:hAnsi="宋体" w:eastAsia="宋体" w:cs="Times New Roman"/>
                <w:b w:val="0"/>
                <w:kern w:val="2"/>
                <w:sz w:val="21"/>
                <w:szCs w:val="21"/>
              </w:rPr>
              <w:t>RJ-45</w:t>
            </w:r>
            <w:r>
              <w:rPr>
                <w:rFonts w:hint="eastAsia" w:ascii="宋体" w:hAnsi="宋体" w:eastAsia="宋体" w:cs="Times New Roman"/>
                <w:b w:val="0"/>
                <w:kern w:val="2"/>
                <w:sz w:val="21"/>
                <w:szCs w:val="21"/>
              </w:rPr>
              <w:t xml:space="preserve">  USB</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ascii="宋体" w:hAnsi="宋体" w:eastAsia="宋体" w:cs="Times New Roman"/>
                <w:b w:val="0"/>
                <w:kern w:val="2"/>
                <w:sz w:val="21"/>
                <w:szCs w:val="21"/>
              </w:rPr>
            </w:pPr>
            <w:r>
              <w:rPr>
                <w:rFonts w:hint="eastAsia" w:ascii="宋体" w:hAnsi="宋体" w:eastAsia="宋体" w:cs="Times New Roman"/>
                <w:b w:val="0"/>
                <w:kern w:val="2"/>
                <w:sz w:val="21"/>
                <w:szCs w:val="21"/>
                <w:lang w:val="en-US" w:eastAsia="zh-CN"/>
              </w:rPr>
              <w:t>4.</w:t>
            </w:r>
            <w:r>
              <w:rPr>
                <w:rFonts w:hint="eastAsia" w:ascii="宋体" w:hAnsi="宋体" w:eastAsia="宋体" w:cs="Times New Roman"/>
                <w:b w:val="0"/>
                <w:kern w:val="2"/>
                <w:sz w:val="21"/>
                <w:szCs w:val="21"/>
              </w:rPr>
              <w:t>传输内容：所有联网床边的波形、参数、报警</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hint="eastAsia" w:ascii="宋体" w:hAnsi="宋体" w:eastAsia="宋体" w:cs="Times New Roman"/>
                <w:b w:val="0"/>
                <w:kern w:val="2"/>
                <w:sz w:val="21"/>
                <w:szCs w:val="21"/>
                <w:lang w:eastAsia="zh-CN"/>
              </w:rPr>
            </w:pPr>
            <w:r>
              <w:rPr>
                <w:rFonts w:hint="eastAsia" w:ascii="宋体" w:hAnsi="宋体" w:eastAsia="宋体" w:cs="Times New Roman"/>
                <w:b w:val="0"/>
                <w:kern w:val="2"/>
                <w:sz w:val="21"/>
                <w:szCs w:val="21"/>
                <w:lang w:val="en-US" w:eastAsia="zh-CN"/>
              </w:rPr>
              <w:t>5.</w:t>
            </w:r>
            <w:r>
              <w:rPr>
                <w:rFonts w:hint="eastAsia" w:ascii="宋体" w:hAnsi="宋体" w:cs="宋体"/>
                <w:kern w:val="0"/>
                <w:sz w:val="21"/>
                <w:szCs w:val="21"/>
                <w:lang w:val="en-US" w:eastAsia="zh-CN"/>
              </w:rPr>
              <w:t>▲</w:t>
            </w:r>
            <w:r>
              <w:rPr>
                <w:rFonts w:hint="eastAsia" w:ascii="宋体" w:hAnsi="宋体" w:eastAsia="宋体" w:cs="Times New Roman"/>
                <w:b w:val="0"/>
                <w:kern w:val="2"/>
                <w:sz w:val="21"/>
                <w:szCs w:val="21"/>
              </w:rPr>
              <w:t>联网床边机数量：</w:t>
            </w:r>
            <w:r>
              <w:rPr>
                <w:rFonts w:hint="eastAsia" w:ascii="宋体" w:hAnsi="宋体" w:eastAsia="宋体" w:cs="Times New Roman"/>
                <w:b w:val="0"/>
                <w:kern w:val="2"/>
                <w:sz w:val="21"/>
                <w:szCs w:val="21"/>
                <w:lang w:val="en-US" w:eastAsia="zh-CN"/>
              </w:rPr>
              <w:t>4台</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hint="default" w:ascii="宋体" w:hAnsi="宋体" w:eastAsia="宋体" w:cs="Times New Roman"/>
                <w:b w:val="0"/>
                <w:kern w:val="2"/>
                <w:sz w:val="21"/>
                <w:szCs w:val="21"/>
                <w:lang w:val="en-US" w:eastAsia="zh-CN"/>
              </w:rPr>
            </w:pPr>
            <w:r>
              <w:rPr>
                <w:rFonts w:hint="eastAsia" w:ascii="宋体" w:hAnsi="宋体" w:eastAsia="宋体" w:cs="Times New Roman"/>
                <w:b w:val="0"/>
                <w:kern w:val="2"/>
                <w:sz w:val="21"/>
                <w:szCs w:val="21"/>
                <w:lang w:val="en-US" w:eastAsia="zh-CN"/>
              </w:rPr>
              <w:t>6.电脑配置要求：主机: CPU：i3-13100/8GB或以上,内存：1GHz或以上, 硬盘：512GB或以上，独立显卡</w:t>
            </w:r>
          </w:p>
          <w:p>
            <w:pPr>
              <w:keepNext w:val="0"/>
              <w:keepLines w:val="0"/>
              <w:pageBreakBefore w:val="0"/>
              <w:widowControl w:val="0"/>
              <w:kinsoku/>
              <w:wordWrap/>
              <w:overflowPunct/>
              <w:topLinePunct w:val="0"/>
              <w:autoSpaceDE/>
              <w:autoSpaceDN/>
              <w:bidi w:val="0"/>
              <w:adjustRightInd/>
              <w:spacing w:line="240" w:lineRule="auto"/>
              <w:ind w:right="0" w:rightChars="0" w:firstLine="315" w:firstLineChars="150"/>
              <w:jc w:val="both"/>
              <w:textAlignment w:val="auto"/>
              <w:rPr>
                <w:rFonts w:hint="default" w:ascii="宋体" w:hAnsi="宋体" w:eastAsia="宋体" w:cs="Times New Roman"/>
                <w:b w:val="0"/>
                <w:kern w:val="2"/>
                <w:sz w:val="21"/>
                <w:szCs w:val="21"/>
                <w:lang w:val="en-US" w:eastAsia="zh-CN"/>
              </w:rPr>
            </w:pPr>
          </w:p>
          <w:p>
            <w:pPr>
              <w:keepNext w:val="0"/>
              <w:keepLines w:val="0"/>
              <w:pageBreakBefore w:val="0"/>
              <w:widowControl w:val="0"/>
              <w:tabs>
                <w:tab w:val="center" w:pos="5400"/>
              </w:tabs>
              <w:kinsoku/>
              <w:wordWrap/>
              <w:overflowPunct/>
              <w:topLinePunct w:val="0"/>
              <w:autoSpaceDE/>
              <w:autoSpaceDN/>
              <w:bidi w:val="0"/>
              <w:adjustRightInd/>
              <w:spacing w:line="240" w:lineRule="auto"/>
              <w:ind w:right="0" w:rightChars="0"/>
              <w:jc w:val="both"/>
              <w:textAlignment w:val="auto"/>
              <w:rPr>
                <w:rFonts w:hint="eastAsia" w:ascii="宋体" w:hAnsi="宋体" w:eastAsia="宋体" w:cs="Times New Roman"/>
                <w:b/>
                <w:kern w:val="2"/>
                <w:sz w:val="21"/>
                <w:szCs w:val="21"/>
                <w:lang w:eastAsia="zh-CN"/>
              </w:rPr>
            </w:pPr>
            <w:r>
              <w:rPr>
                <w:rFonts w:hint="eastAsia" w:ascii="宋体" w:hAnsi="宋体" w:eastAsia="宋体" w:cs="Times New Roman"/>
                <w:b/>
                <w:kern w:val="2"/>
                <w:sz w:val="21"/>
                <w:szCs w:val="21"/>
                <w:lang w:val="en-US" w:eastAsia="zh-CN"/>
              </w:rPr>
              <w:t>七、</w:t>
            </w:r>
            <w:r>
              <w:rPr>
                <w:rFonts w:hint="eastAsia" w:ascii="宋体" w:hAnsi="宋体" w:eastAsia="宋体" w:cs="Times New Roman"/>
                <w:b/>
                <w:kern w:val="2"/>
                <w:sz w:val="21"/>
                <w:szCs w:val="21"/>
              </w:rPr>
              <w:t>药物浓度计算</w:t>
            </w:r>
            <w:r>
              <w:rPr>
                <w:rFonts w:hint="eastAsia" w:ascii="宋体" w:hAnsi="宋体" w:eastAsia="宋体" w:cs="Times New Roman"/>
                <w:b/>
                <w:kern w:val="2"/>
                <w:sz w:val="21"/>
                <w:szCs w:val="21"/>
                <w:lang w:eastAsia="zh-CN"/>
              </w:rPr>
              <w:tab/>
            </w:r>
          </w:p>
          <w:p>
            <w:pPr>
              <w:keepNext w:val="0"/>
              <w:keepLines w:val="0"/>
              <w:pageBreakBefore w:val="0"/>
              <w:widowControl w:val="0"/>
              <w:kinsoku/>
              <w:wordWrap/>
              <w:overflowPunct/>
              <w:topLinePunct w:val="0"/>
              <w:autoSpaceDE/>
              <w:autoSpaceDN/>
              <w:bidi w:val="0"/>
              <w:adjustRightInd/>
              <w:spacing w:after="156" w:afterLines="50" w:line="240" w:lineRule="auto"/>
              <w:ind w:right="0" w:rightChars="0" w:firstLine="315" w:firstLineChars="150"/>
              <w:jc w:val="both"/>
              <w:textAlignment w:val="auto"/>
              <w:rPr>
                <w:rFonts w:hint="eastAsia" w:ascii="宋体" w:hAnsi="宋体"/>
                <w:sz w:val="21"/>
                <w:szCs w:val="21"/>
              </w:rPr>
            </w:pPr>
            <w:r>
              <w:rPr>
                <w:rFonts w:hint="eastAsia" w:ascii="宋体" w:hAnsi="宋体" w:eastAsia="宋体" w:cs="Times New Roman"/>
                <w:b w:val="0"/>
                <w:kern w:val="2"/>
                <w:sz w:val="21"/>
                <w:szCs w:val="21"/>
              </w:rPr>
              <w:t>五种</w:t>
            </w:r>
            <w:r>
              <w:rPr>
                <w:rFonts w:hint="eastAsia" w:ascii="宋体" w:hAnsi="宋体" w:eastAsia="宋体" w:cs="Times New Roman"/>
                <w:b w:val="0"/>
                <w:kern w:val="2"/>
                <w:sz w:val="21"/>
                <w:szCs w:val="21"/>
                <w:lang w:val="en-US" w:eastAsia="zh-CN"/>
              </w:rPr>
              <w:t>以上</w:t>
            </w:r>
            <w:r>
              <w:rPr>
                <w:rFonts w:hint="eastAsia" w:ascii="宋体" w:hAnsi="宋体" w:eastAsia="宋体" w:cs="Times New Roman"/>
                <w:b w:val="0"/>
                <w:kern w:val="2"/>
                <w:sz w:val="21"/>
                <w:szCs w:val="21"/>
              </w:rPr>
              <w:t>药物（自定义）浓度计算功能</w:t>
            </w:r>
            <w:r>
              <w:rPr>
                <w:rFonts w:hint="eastAsia" w:ascii="宋体" w:hAnsi="宋体" w:eastAsia="宋体" w:cs="Times New Roman"/>
                <w:b w:val="0"/>
                <w:kern w:val="2"/>
                <w:sz w:val="21"/>
                <w:szCs w:val="21"/>
                <w:lang w:eastAsia="zh-CN"/>
              </w:rPr>
              <w:t>，</w:t>
            </w:r>
            <w:r>
              <w:rPr>
                <w:rFonts w:hint="eastAsia" w:ascii="宋体" w:hAnsi="宋体" w:eastAsia="宋体" w:cs="Times New Roman"/>
                <w:b w:val="0"/>
                <w:kern w:val="2"/>
                <w:sz w:val="21"/>
                <w:szCs w:val="21"/>
                <w:lang w:val="en-US" w:eastAsia="zh-CN"/>
              </w:rPr>
              <w:t>具有</w:t>
            </w:r>
            <w:r>
              <w:rPr>
                <w:rFonts w:hint="eastAsia" w:ascii="宋体" w:hAnsi="宋体" w:eastAsia="宋体" w:cs="Times New Roman"/>
                <w:b w:val="0"/>
                <w:kern w:val="2"/>
                <w:sz w:val="21"/>
                <w:szCs w:val="21"/>
              </w:rPr>
              <w:t>滴定表计算功能</w:t>
            </w:r>
          </w:p>
          <w:p>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outlineLvl w:val="9"/>
              <w:rPr>
                <w:rFonts w:hint="eastAsia"/>
                <w:b/>
                <w:sz w:val="21"/>
                <w:szCs w:val="21"/>
              </w:rPr>
            </w:pPr>
            <w:r>
              <w:rPr>
                <w:rFonts w:hint="eastAsia"/>
                <w:b/>
                <w:sz w:val="21"/>
                <w:szCs w:val="21"/>
                <w:lang w:val="en-US" w:eastAsia="zh-CN"/>
              </w:rPr>
              <w:t>八、</w:t>
            </w:r>
            <w:r>
              <w:rPr>
                <w:rFonts w:hint="eastAsia"/>
                <w:b/>
                <w:sz w:val="21"/>
                <w:szCs w:val="21"/>
              </w:rPr>
              <w:t>床边机参数：</w:t>
            </w:r>
          </w:p>
          <w:bookmarkEnd w:id="9"/>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1、具有提手，便携式设计,设备应适合院前、院内急救及病人转运需求。</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1.1、适用手术室、小儿、急诊、救护车等急救场合，无特殊使用环境限制。</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1.2、▲可监测参数：心电(ECG)、呼吸(RESP)、无创血压(NIBP)、血氧饱和度(SpO2)、脉率(PR)、体温(TEMP)</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2．显示</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2.1 具有</w:t>
            </w:r>
            <w:r>
              <w:rPr>
                <w:rFonts w:hint="eastAsia" w:ascii="宋体" w:hAnsi="宋体" w:eastAsia="宋体" w:cs="Times New Roman"/>
                <w:b w:val="0"/>
                <w:kern w:val="2"/>
                <w:sz w:val="21"/>
                <w:szCs w:val="21"/>
              </w:rPr>
              <w:t>≥</w:t>
            </w:r>
            <w:r>
              <w:rPr>
                <w:rFonts w:hint="eastAsia" w:ascii="宋体" w:hAnsi="宋体" w:cs="宋体"/>
                <w:kern w:val="0"/>
                <w:sz w:val="21"/>
                <w:szCs w:val="21"/>
                <w:lang w:val="en-US" w:eastAsia="zh-CN"/>
              </w:rPr>
              <w:t>12.1寸以上高性能防眩真彩、高亮度、高分辨率彩显，分辨率为</w:t>
            </w:r>
            <w:r>
              <w:rPr>
                <w:rFonts w:hint="eastAsia" w:ascii="宋体" w:hAnsi="宋体" w:eastAsia="宋体" w:cs="Times New Roman"/>
                <w:b w:val="0"/>
                <w:kern w:val="2"/>
                <w:sz w:val="21"/>
                <w:szCs w:val="21"/>
              </w:rPr>
              <w:t>≥</w:t>
            </w:r>
            <w:r>
              <w:rPr>
                <w:rFonts w:hint="eastAsia" w:ascii="宋体" w:hAnsi="宋体" w:cs="宋体"/>
                <w:kern w:val="0"/>
                <w:sz w:val="21"/>
                <w:szCs w:val="21"/>
                <w:lang w:val="en-US" w:eastAsia="zh-CN"/>
              </w:rPr>
              <w:t>1024×768，标配触摸屏</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2.2具有心电全导显示、呼吸氧合图动态观察、趋势共存，大字体显示界面并可根据需要进行参数转换，最多可显示12道波形。</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2.3 具有大字体显示功能；具有七导心电波同屏显示，更直观判断病人心脏活动情况；</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2.4 具有USB和RJ45接口，可外接显示器，可选配HDMI高清输出</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3．心电</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3.1 导联输入：3导或5导可选</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3.2 心电模式：诊断、监护或手术可选</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3.3 具有4通道心电显示，支持同屏心电7导联显示，需同屏显示肢体导联Ⅰ、Ⅱ、Ⅲ，肢体加压导联AVR、AVL、AVF，及任意一个胸导联V1～V6。</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3.4 心率测量范围、误差：成人10～300 bpm，新生儿10～350bpm、±1bpm</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3.5 具有4通道ST段测量通道，具备心电多导同步分析，可进行多个同时分析。</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3.6具有</w:t>
            </w:r>
            <w:r>
              <w:rPr>
                <w:rFonts w:hint="eastAsia" w:ascii="宋体" w:hAnsi="宋体" w:eastAsia="宋体" w:cs="Times New Roman"/>
                <w:b w:val="0"/>
                <w:kern w:val="2"/>
                <w:sz w:val="21"/>
                <w:szCs w:val="21"/>
              </w:rPr>
              <w:t>≥</w:t>
            </w:r>
            <w:r>
              <w:rPr>
                <w:rFonts w:hint="eastAsia" w:ascii="宋体" w:hAnsi="宋体" w:cs="宋体"/>
                <w:kern w:val="0"/>
                <w:sz w:val="21"/>
                <w:szCs w:val="21"/>
                <w:lang w:val="en-US" w:eastAsia="zh-CN"/>
              </w:rPr>
              <w:t xml:space="preserve">13种心率失常分析，200条心律失常事件存储；具有心率变异分析功能；具有15种药物浓度分析，方便临床对麻醉药物剂量掌握。 </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3.7 具有起博检测功能以及除颤保护功能</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 xml:space="preserve">3.8具备电外科干扰抑制功能，ECG信号轨迹线不会从显示器上消失，心率变化不会超过±10%(参见YY1079: 2005 4.2.8.14)，除颤后3秒钟基线恢复 </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4．呼吸</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4.1 具有4导呼吸导联（RA-LA、RA-LL、LA-RL、LL-RL可选择）</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4.2 呼吸率测量范围：0rpm ～150 rpm；误差：±2rpm</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5．血氧饱和度</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5.1 血氧采用直接光频转换的数字血氧技术，连续、无创伤脉动血氧定量法保证测量的准确性，支持PI灌注指数显示，有效反映外周血管灌注情况；并在0.2低灌注下同样卓越，对弱灌注和手指抖动测量更准确，能有效反馈末梢循环的功能状态，弱灌注测量范围0.05-20%、±0.10%，分辨率0.01%。</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5.2 SpO2测量范围、精度：0%～100%、在70%～100%范围内为±2%、在35%～69%范围内为±3%</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5.3 脉率测量范围、精度：20bpm～300bpm、±1bpm</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5.4具有脉搏调制音功能，具有自动调光：多级调光，适应能力强。</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5.5具有强抗弱灌注能力：有血氧值显示时，脉搏振幅AMP可达0.1%。</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5.6具有极强抗运动干扰(Shiver&amp;Tap)能力。</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5.7具有极强抗电刀干扰能力。</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6．无创血压</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6.1 测量参数：收缩压、舒张压、平均压、脉搏</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6.2 测量模式：手动、自动、快速、周期可选；</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6.3测量间隔时间：自动模式；1,2,3,4,5,10,15,30,60,90,120,180,240,480分钟；连续模式：5分钟</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6.4 血压适应范围：成人、儿童和新生儿，具备分段式过压保护功能。</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6.5自动袖带放气，当断电、测量时间超过120s(婴儿90s)、或袖带压力超过软硬件过压保护设置点，袖带自动放气。</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6.6具有NIBP双重过压保护、温漂控制等多项技术措施降低风险，确保在恶劣环境下测量数据的准确性，保证患者的安全，防止单一故障引起的危害.</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6.7具有高血压测量模式</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7．具有体温差显示和报警功能，体温测量范围、精度0℃～50℃、±0.1℃。</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eastAsia="宋体" w:cs="宋体"/>
                <w:b w:val="0"/>
                <w:bCs w:val="0"/>
                <w:sz w:val="21"/>
                <w:szCs w:val="21"/>
                <w:vertAlign w:val="baseline"/>
                <w:lang w:val="en-US" w:eastAsia="zh-CN"/>
              </w:rPr>
              <w:t>★</w:t>
            </w:r>
            <w:r>
              <w:rPr>
                <w:rFonts w:hint="eastAsia" w:ascii="宋体" w:hAnsi="宋体" w:cs="宋体"/>
                <w:kern w:val="0"/>
                <w:sz w:val="21"/>
                <w:szCs w:val="21"/>
                <w:lang w:val="en-US" w:eastAsia="zh-CN"/>
              </w:rPr>
              <w:t>8．支持掉电存储功能：支持不小于1900小时趋势数据的存储与回顾功能，不小于5小时短趋势数据存储时间；不小于1900条报警事件以及每条报警事件至少能够存储32秒三道相关波形和报警触发时所有测量参数值；不小于1900组NIBP数据列表。</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9．其他性能</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9.1 具有图标化快键操作，可一键式完成界面切换、报警设置等所有操作，菜单集中化管理让使用更快捷简单；支持外接鼠标、键盘操作；并具有可缩进式快键菜单，让显示空间更大。</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 xml:space="preserve">9.2 能显示动态刷新的呼吸氧合图界面；能提供多种药物的计算和滴定表显示功能 </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9.3 采用A5主芯片，开机时间小于10秒，系统运行更高效，具有专用的文件管理系，让系统运行更稳定可靠。</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9.4 具有人声语音报警功能，让告警更高效易懂。具有声、光两重三级报警,各参数报警限可设置,可实现报警集中设置，报警范围与各参数显示范围一致</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9.5 采用了全隔离浮地，心电抗除颤保护(360J)，抗高频电刀干扰（300W），抗肌电，数字滤波,满足手术、病房、转运等各种恶劣环境中使用。</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9.6 可升级内置三通道热阵记录仪，具有实时记录，报警触发打印，拷屏打印的功能。</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9.7 高效的电源、无风扇设计、避免了交叉污染，内置可充电电池，单电池可连续工作4小时以上，具有交、直流两用电源，不间断监护</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9.8 可与中央监护仪连接构成中央监护系统</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9.9 可以配合除颤仪使用，具有心脏除颤复律功能</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9.10主机集成附件收纳槽，支持将心电、血氧和无创血压等导联线附件进行收纳放置，方便监护仪设备的高效管理和转移，方便探头及附件的存放和携带，减少附件的拔插和丢失，让床旁附件管理更有序、更高效。</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cs="宋体"/>
                <w:kern w:val="0"/>
                <w:sz w:val="21"/>
                <w:szCs w:val="21"/>
                <w:lang w:val="en-US" w:eastAsia="zh-CN"/>
              </w:rPr>
            </w:pPr>
            <w:r>
              <w:rPr>
                <w:rFonts w:hint="eastAsia" w:ascii="宋体" w:hAnsi="宋体" w:cs="宋体"/>
                <w:kern w:val="0"/>
                <w:sz w:val="21"/>
                <w:szCs w:val="21"/>
                <w:lang w:val="en-US" w:eastAsia="zh-CN"/>
              </w:rPr>
              <w:t>9.11 主机小巧、轻便、抗2米裸机跌落、轻松适用于野外、车载、移动转运、挂床等各种复杂情况；并具有监护仪车载固定装置，并且方便拆卸使用。</w:t>
            </w:r>
          </w:p>
          <w:p>
            <w:pPr>
              <w:pStyle w:val="82"/>
              <w:keepNext w:val="0"/>
              <w:keepLines w:val="0"/>
              <w:pageBreakBefore w:val="0"/>
              <w:widowControl/>
              <w:kinsoku/>
              <w:wordWrap/>
              <w:overflowPunct/>
              <w:topLinePunct w:val="0"/>
              <w:autoSpaceDE/>
              <w:autoSpaceDN/>
              <w:bidi w:val="0"/>
              <w:adjustRightInd/>
              <w:spacing w:before="75" w:beforeLines="0" w:after="75" w:afterLines="0" w:line="240" w:lineRule="auto"/>
              <w:ind w:right="0" w:rightChars="0" w:firstLine="105" w:firstLineChars="50"/>
              <w:jc w:val="both"/>
              <w:textAlignment w:val="auto"/>
              <w:rPr>
                <w:rFonts w:hint="eastAsia" w:ascii="宋体" w:hAnsi="宋体" w:eastAsia="宋体" w:cs="宋体"/>
                <w:color w:val="auto"/>
                <w:sz w:val="21"/>
                <w:szCs w:val="21"/>
                <w:vertAlign w:val="baseline"/>
                <w:lang w:val="en-US" w:eastAsia="zh-CN"/>
              </w:rPr>
            </w:pPr>
            <w:r>
              <w:rPr>
                <w:rFonts w:hint="eastAsia" w:ascii="宋体" w:hAnsi="宋体" w:cs="宋体"/>
                <w:kern w:val="0"/>
                <w:sz w:val="21"/>
                <w:szCs w:val="21"/>
                <w:lang w:val="en-US" w:eastAsia="zh-CN"/>
              </w:rPr>
              <w:t>9.12 可直接插拔呼末二氧化碳探头实现呼末二氧化碳监测功能，方便机器升级使用。插上探头后机器能够自动感应呼末二氧化碳模块，自动弹出呼末二氧化碳监测界面；拔出探头后机器自动切换成标准界面。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体感音乐反馈催眠床</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产品简介：由多个体感音乐振子组成，振子内置音乐放松里面，外置体感控制面板，内置心理音乐，体感控制面板可以实现无线蓝牙输入功能，可以与手机、平板等实现无线连接，震感强度、音量等可以根据用户喜好自行调节</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2、PU皮+实木框架+高密度海绵+品牌运行主机+高环保工作台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3、床平台尺寸：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lang w:val="en-US" w:eastAsia="zh-CN"/>
              </w:rPr>
              <w:t>227cm*110cm*55cm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4、产品净重：</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lang w:val="en-US" w:eastAsia="zh-CN"/>
              </w:rPr>
              <w:t>50KG最大承载量：</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lang w:val="en-US" w:eastAsia="zh-CN"/>
              </w:rPr>
              <w:t>150KG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电源：220V（50HZ）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输出功率：20W</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5、产品材质：床身由优质钢材焊接而成，床面采用进口PU材料，外形大气、柔软适中、功能结构完善，没有多余的部分，整体上大方得体，能够展示独有个性特点。</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6、产品配置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（1）体感音乐催眠床1张（2）体感控制器1个</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（3）催眠眼罩4个（4）音乐治疗导论1本</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（5）心理挂图4张（6）平板电脑1台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简易生活轮椅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1、车架材料:高碳钢</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2、轮椅宽度:≥68cm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3、轮椅高度:≥92cm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4、轮椅长度:≥120cm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5、扶手离地:≥72cm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6、前轮尺寸:≥17cm/7寸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7、轮椅座位宽度:≥43cm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8、座位离地:≥47cm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9、座垫宽度:≥45cm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10、靠背高度:≥46cm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11、后轮尺寸:≥60cm/24寸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12、轮椅承重:≥100kg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13、净重:≥13.5kg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14、折叠尺寸:≥92*90*28cm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普通铝合金轮椅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20张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1、车架及结构材质：轮椅车车架为铝合金材质，车架应可折叠，主架管直径(mm)≥22；主架管壁厚(mm)≥2.0。</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2、靠背轮椅车座靠垫为牛津布(600d)高强度阻燃材料，座面平整，没有皱褶、跳线和破损等缺陷。</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3、座垫轮椅车座靠垫为牛津布(600d)高强度阻燃材料材料，座面平整，没有皱褶、跳线和破损等缺陷，轮椅车座位配有可调安全带。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4、刹车轮椅车驻车制动器为冷薄板金属材质，硬度适中，具有良好的塑性、韧性。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5、前轮轮椅车小脚为≥7英寸PVC万向小轮。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6、后轮后轮为≥24英寸轮；材质为钢丝轮辋和免充气橡胶轮胎。</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7、扶手及脚踏轮椅车扶手材质为聚氯乙烯（PU）扶手垫,内置优质海绵,手感更舒适。脚踏配有绑带。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8、产品重量≥12.5kg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9、承重≥100kg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10、尺寸总长:≥1050mm；总宽:≥650mm；总高:≥900mm；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79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高靠背轮椅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1、车架及结构材质：轮椅车车架为高强度碳钢材质，车架应可折叠。</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2、靠背靠背高度：</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775mm。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3、座垫座位宽度：</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460mm；座位深度：</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470mm。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4、刹车轮椅车驻车制动器为冷薄板金属材质，硬度适中，具有良好的塑性、韧性。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5、前轮轮椅车小脚为</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8英寸PVC万向小轮。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6、后轮后轮为</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24英寸轮；材质为钢丝轮辋和免充气橡胶轮胎。</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7、扶手皮革软扶手，乘坐使用舒适，内有海绵。</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8、产品重量</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29.6kg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9、承重</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lang w:val="en-US" w:eastAsia="zh-CN"/>
              </w:rPr>
            </w:pPr>
            <w:r>
              <w:rPr>
                <w:rFonts w:hint="eastAsia" w:ascii="宋体" w:hAnsi="宋体" w:eastAsia="宋体" w:cs="宋体"/>
                <w:color w:val="auto"/>
                <w:lang w:val="en-US" w:eastAsia="zh-CN"/>
              </w:rPr>
              <w:t>10、尺寸总长:</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1270mm；总宽:</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680mm；总高:</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lang w:val="en-US" w:eastAsia="zh-CN"/>
              </w:rPr>
              <w:t>1300mm；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电动轮椅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w:t>
            </w:r>
            <w:r>
              <w:rPr>
                <w:rFonts w:hint="default" w:ascii="宋体" w:hAnsi="宋体" w:cs="宋体"/>
                <w:i w:val="0"/>
                <w:iCs w:val="0"/>
                <w:color w:val="auto"/>
                <w:kern w:val="0"/>
                <w:sz w:val="21"/>
                <w:szCs w:val="21"/>
                <w:u w:val="none"/>
                <w:lang w:eastAsia="zh-CN" w:bidi="ar"/>
              </w:rPr>
              <w:t>5</w:t>
            </w:r>
            <w:r>
              <w:rPr>
                <w:rFonts w:hint="eastAsia" w:ascii="宋体" w:hAnsi="宋体" w:eastAsia="宋体" w:cs="宋体"/>
                <w:i w:val="0"/>
                <w:iCs w:val="0"/>
                <w:color w:val="auto"/>
                <w:kern w:val="0"/>
                <w:sz w:val="21"/>
                <w:szCs w:val="21"/>
                <w:u w:val="none"/>
                <w:lang w:val="en-US" w:eastAsia="zh-CN" w:bidi="ar"/>
              </w:rPr>
              <w:t>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1、车架及结构：轮椅车车架为航空铝材质。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2、靠背：护身安全带根据自己的腰围自由调节长短。</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3、座垫：尺寸≥450*440*460mm。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4、刹车：智能刹车，松手即停，快速刹车减少反应时间稳定爬坡，安全保障。</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5、前轮：轮椅车小脚为≥6寸免充气PU轮。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6、后轮：后轮为≥12寸免充气PU轮。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7、防后倾轮：上坡途中防止后倾</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8、扶手：扶手可抬方便上下车</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9、产品重量：≥19KG(配锂电池)/25.5KG(配铅酸电池)</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10、承重：≥100kg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1、尺寸：总长:≥1030mm；总宽:≥570mm；总高:≥850mm；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2、续航能力：≥18km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3、最大时速：≤6Km/H</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4、爬坡越障：≥6°4cm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5、功率：250W*2双电机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腋杖</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10副</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1）高强度≥Ф19*1.2铝合金管，表面阳极氧化处理，具有不掉色，抗老化、不生锈的功能；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2）扶肩、握把：高档橡胶材质，脚垫：橡胶耐磨防滑脚垫，提供良好的地面摩擦力，内藏金属垫片，更加强其耐用性。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3）高度调节范围：≥114-133.8cm，调节高度为：≥9档，腋托最小长度：≥19cm，握把最小长度：≥10cm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4）加强型中心管，提供良好的支撑力，特殊设计的伸缩管，提供更加的安全负荷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四脚拐</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10个</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1、高度调节范围≥73.5～96.5cm，承重90KG；</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2、高档铝合金材质，壁厚：≥1.5mm，表面古铜氧化处理，永不生锈；底座钢管喷塑处理，更牢固；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3、高度十档调节，并配有金属顶扣；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4、四个支脚和固定板为钢质材料，更平稳、更安全；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5、拐杖四脚上配有防滑橡胶脚垫，内径≥13mm，提供良好的地面摩擦能力，内藏金属垫片，更加强其耐用性；</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6、PVC拐杖头环保无毒、不吸汗、不易破损、变形，使用寿命长。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阶梯式助行器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5台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1、外形尺寸：≥60×33×40cm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2、相邻台阶距离：≥10cm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3、阶梯踏板额定承载：≥2000N</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4、用途：除可作为不同高度坐具外，也可当简易的训练阶梯用。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5、材质：多层板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框式助行器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1、规格：≥77×77×（110～140）cm，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2、台面垫高度调节范围≥83～113cm，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3、手柄间距调节范围≥0～55cm，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4、台面垫额定承载质量≥80kg。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台式电子助视器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2台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1、产品由助视器、显示器两部分组成；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2、助视器通过USB视频连接线连接显示器，通过助视器获取文字图像，在显示器放大显示输出；</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3、显示器尺寸：≥23.8英寸；</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4、显示器规格：分辨率≥1920*1080，比例≥16:9，频率≥60HZ;</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5、助视器由显示器USB供电，无需连接其他电源；</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6、助视器可放入口袋，可被单独外出携带，可支持电脑、电视、显示器、监视器等输出图像，随时随地都可使用；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7、产品支持多媒体播放功能，可以播放音乐、视频、图片;</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8、显示器接口：VGA接口/HDMI接口/AV接口/USB接口/；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9、助视器接口：USB接口；</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10、助视器输出模式：显示器、电脑、电视、监视器；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11、放大倍数：32级放大倍数，最大放大倍率达到200倍以上；</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12、色彩模式：≥16种色彩模式；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13、助视器有图像冻结（定格）、解除冻结的功能；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14、助视器有3个功能按键，电源键（复用色彩模式功能），放大键，缩小键（复用定格功能）。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电子助视器</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5台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1、≥5寸彩色液晶显示屏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2、无极变倍，放大倍数：4--50倍。</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3、配备高像素近焦摄像头，适合看书阅读写字。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4、有≥10种色彩模式，适合低视力、弱视、色盲等人群使用；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5、操作有按键音提醒。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6、图像有亮度调节功能；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7、有放大缩小，以及变色功能；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8、内置手写支架，方便书写签名，手写支架可以打开关闭；</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9、视频输出功能，可以通过视频线连接电视或者监视器等；</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10、屏幕亮度：在屏幕最大亮度条件下，屏幕亮度为300cd/m2；</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11、省电模式：设备三分钟无移动，自动关机省电。</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12、按键具有声音提示功能：按键音可以打开、关闭。</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13、记忆功能，关机后自动保存本次色彩模式，放大倍数，视频输出格式，按键音状态，亮度值设置；</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14、外接视频制式选择，可以通过菜单选择NTSC或者PAL制式；</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15、外置电池，可拆卸锂电池便于更换，持续工作时间4-6小时；</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16、特别为低视力人群设计的按键：按键表面凸出有触摸感，非常适合弱视人群使用；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17、通用的MINIUSB接口充电，且在外壳表面显眼位置有充电指示灯提示，充电时为红灯，充满绿灯；</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18、产品表面有镜头位置标识，提示用户镜头位置及阅读定位。</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19、整机重量≥170g。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highlight w:val="none"/>
                <w:vertAlign w:val="baseline"/>
                <w:lang w:val="en-US" w:eastAsia="zh-CN"/>
              </w:rPr>
            </w:pPr>
            <w:r>
              <w:rPr>
                <w:rFonts w:hint="default" w:ascii="宋体" w:hAnsi="宋体" w:cs="宋体"/>
                <w:i w:val="0"/>
                <w:iCs w:val="0"/>
                <w:color w:val="auto"/>
                <w:kern w:val="0"/>
                <w:sz w:val="21"/>
                <w:szCs w:val="21"/>
                <w:highlight w:val="none"/>
                <w:u w:val="none"/>
                <w:lang w:eastAsia="zh-CN" w:bidi="ar"/>
              </w:rPr>
              <w:t>放松按摩</w:t>
            </w:r>
            <w:r>
              <w:rPr>
                <w:rFonts w:hint="eastAsia" w:ascii="宋体" w:hAnsi="宋体" w:eastAsia="宋体" w:cs="宋体"/>
                <w:i w:val="0"/>
                <w:iCs w:val="0"/>
                <w:color w:val="auto"/>
                <w:kern w:val="0"/>
                <w:sz w:val="21"/>
                <w:szCs w:val="21"/>
                <w:highlight w:val="none"/>
                <w:u w:val="none"/>
                <w:lang w:val="en-US" w:eastAsia="zh-CN" w:bidi="ar"/>
              </w:rPr>
              <w:t>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highlight w:val="none"/>
                <w:vertAlign w:val="baseline"/>
                <w:lang w:val="en-US" w:eastAsia="zh-CN"/>
              </w:rPr>
            </w:pPr>
            <w:r>
              <w:rPr>
                <w:rFonts w:hint="default" w:ascii="宋体" w:hAnsi="宋体" w:cs="宋体"/>
                <w:i w:val="0"/>
                <w:iCs w:val="0"/>
                <w:color w:val="auto"/>
                <w:kern w:val="0"/>
                <w:sz w:val="21"/>
                <w:szCs w:val="21"/>
                <w:highlight w:val="none"/>
                <w:u w:val="none"/>
                <w:lang w:eastAsia="zh-CN" w:bidi="ar"/>
              </w:rPr>
              <w:t>6</w:t>
            </w:r>
            <w:r>
              <w:rPr>
                <w:rFonts w:hint="eastAsia" w:ascii="宋体" w:hAnsi="宋体" w:eastAsia="宋体" w:cs="宋体"/>
                <w:i w:val="0"/>
                <w:iCs w:val="0"/>
                <w:color w:val="auto"/>
                <w:kern w:val="0"/>
                <w:sz w:val="21"/>
                <w:szCs w:val="21"/>
                <w:highlight w:val="none"/>
                <w:u w:val="none"/>
                <w:lang w:val="en-US" w:eastAsia="zh-CN" w:bidi="ar"/>
              </w:rPr>
              <w:t>张</w:t>
            </w:r>
          </w:p>
        </w:tc>
        <w:tc>
          <w:tcPr>
            <w:tcW w:w="6780" w:type="dxa"/>
          </w:tcPr>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1、≥126 厘米SL长导轨：采用先进的人体工程学设计，贴合人体脊柱自然曲线，从颈部延伸至臀部，覆盖人体主要穴位。SL 型导轨的独特弧线，使按摩头能够精准作用于各个部位，实现全方位、深层次的按摩，相比传统直导轨，按摩体验更舒适、更全面。</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2、腿部气囊包裹，腿部配备多个气囊，可根据个人需求调节充气力度，对腿部进行环抱式挤压按摩，有效缓解腿部肌肉疲劳。</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3、3D 多维智能机芯：搭载先进的3D智能按摩机芯，能够在上下、左右、前后三个维度灵活移动，实现更立体、更精准的按摩。它可以模拟人手的推、拿、按、揉、敲等多种按摩手法，力度和速度可根据用户喜好自由调节，为用户带来个性化的按摩体验。</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4、腰部气囊：腰部设置≥4 组气囊，在按摩时可对腰部进行有力支撑和轻柔包裹，帮助纠正不良坐姿，缓解腰部压力。</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足底滚轮按摩：足底按摩区域设有多组滚轮，可对足底穴位进行针对性的滚动按摩，刺激足底反射区，促进全身血液循环，增强身体机能。滚轮的设计符合人体足底结构，按摩力度适中，能够有效放松足底肌肉，缓解脚部疲劳。</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6种按摩程序：内置多种专业按摩程序，包括舒缓放松、深度按摩、活力恢复、睡眠模式等，满足不同用户在不同场景下的按摩需求。无论是工作后的疲惫、运动后的肌肉酸痛，还是睡前的放松助眠，都能找到适合自己的按摩程序，享受专业级的按摩服务。</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7、零靠墙设计：采用创新的零靠墙技术，按摩椅在使用过程中无需预留大量靠墙空间，即使紧贴墙面摆放，也能自由展开和收缩，不占用过多室内空间。</w:t>
            </w:r>
          </w:p>
          <w:p>
            <w:pPr>
              <w:keepNext w:val="0"/>
              <w:keepLines w:val="0"/>
              <w:pageBreakBefore w:val="0"/>
              <w:kinsoku/>
              <w:wordWrap/>
              <w:overflowPunct/>
              <w:topLinePunct w:val="0"/>
              <w:autoSpaceDE/>
              <w:autoSpaceDN/>
              <w:bidi w:val="0"/>
              <w:adjustRightInd/>
              <w:snapToGrid/>
              <w:spacing w:line="312" w:lineRule="auto"/>
              <w:jc w:val="left"/>
              <w:rPr>
                <w:rFonts w:hint="eastAsia" w:ascii="宋体" w:hAnsi="宋体" w:eastAsia="宋体" w:cs="宋体"/>
                <w:color w:val="auto"/>
                <w:sz w:val="22"/>
                <w:szCs w:val="22"/>
                <w:lang w:val="en-US" w:eastAsia="zh-CN"/>
              </w:rPr>
            </w:pPr>
            <w:r>
              <w:rPr>
                <w:rFonts w:hint="eastAsia" w:ascii="宋体" w:hAnsi="宋体" w:eastAsia="宋体" w:cs="宋体"/>
                <w:color w:val="auto"/>
                <w:sz w:val="21"/>
                <w:szCs w:val="21"/>
                <w:vertAlign w:val="baseline"/>
                <w:lang w:val="en-US" w:eastAsia="zh-CN"/>
              </w:rPr>
              <w:t>8、科技零重力：通过调节按摩椅的角度，使人体处于接近太空失重的状态，减少身体各部位的压力，尤其是减轻脊柱和关节的负担。在零重力状态下，配合按摩功能，能让用户感受到全身心的放松，仿佛漂浮在云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2"/>
                <w:szCs w:val="22"/>
                <w:u w:val="none"/>
                <w:lang w:val="en-US" w:eastAsia="zh-CN" w:bidi="ar"/>
              </w:rPr>
              <w:t>88</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棋牌桌</w:t>
            </w:r>
            <w:r>
              <w:rPr>
                <w:rFonts w:hint="eastAsia" w:ascii="宋体" w:hAnsi="宋体" w:eastAsia="宋体" w:cs="宋体"/>
                <w:i w:val="0"/>
                <w:iCs w:val="0"/>
                <w:color w:val="auto"/>
                <w:kern w:val="0"/>
                <w:sz w:val="21"/>
                <w:szCs w:val="21"/>
                <w:u w:val="none"/>
                <w:lang w:val="en-US" w:eastAsia="zh-CN" w:bidi="ar"/>
              </w:rPr>
              <w:br w:type="textWrapping"/>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4套</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1、尺寸:≥900*900*750cm;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2、材质：实木橡胶木；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3、桌边设计适老化扶手和拐杖凹槽；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4、桌板下设计田字格储物盒；</w:t>
            </w:r>
          </w:p>
          <w:p>
            <w:pPr>
              <w:keepNext w:val="0"/>
              <w:keepLines w:val="0"/>
              <w:pageBreakBefore w:val="0"/>
              <w:kinsoku/>
              <w:wordWrap/>
              <w:overflowPunct/>
              <w:topLinePunct w:val="0"/>
              <w:autoSpaceDE/>
              <w:autoSpaceDN/>
              <w:bidi w:val="0"/>
              <w:adjustRightInd/>
              <w:snapToGrid/>
              <w:spacing w:line="312" w:lineRule="auto"/>
              <w:rPr>
                <w:rFonts w:hint="default"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5、4椅2茶几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89</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游戏桌</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1、尺寸:≥900*900*750cm;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2、材质：实木橡胶木；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3、桌边设计适老化扶手和拐杖凹槽；</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4、桌板下设计田字格储物盒；</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5、作用：配合策略类游戏，提高老年人的动手能力和动脑能力，增加闲暇时间的乐趣。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90</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弹射棋桌游</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1、尺寸:≥1100*500*780cm;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2、包含：实木橡胶木；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3、配件：四色球各四色原木块各5颗，共计20颗.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91</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台球桌游</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1、尺寸:≥1100*1100*780cm;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2、材质：实木橡胶木；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3、包含：四色球各10颗，一共40颗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4、作用：锻炼老年人对手臂力量的控制，团队协作能力，同时，对于长期坐轮椅的老人，同样也可以参与其中，提升老年人的参与感、荣誉感、价值感，在竞技中，丰富老年人的生活乐趣。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92</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溜溜球桌游</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1、尺寸:≥1100*1100*780cm;</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2、材质：实木橡胶木；</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3、包含：四色球各10颗，一共40颗；</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作用：老年人通过手指在发球区向目标球洞内弹射，球面分为4层，由外向内分别为1分、2分、5分、10分，球桌可1-4人同时操作，每人10颗球，通过手指发力将球弹射至不同分数的球洞中，最终得分最高的为获胜一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93</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生活自助具</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30套</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auto"/>
                <w:spacing w:val="0"/>
                <w:sz w:val="21"/>
                <w:szCs w:val="21"/>
                <w:shd w:val="clear" w:fill="FFFFFF"/>
              </w:rPr>
              <w:t>材质安全环保，设计贴合实际需求，种类多样，能在诸多生活场景中发挥重要作用。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94</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沐浴椅</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40张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功能：浴室淋浴椅，带靠背，带扶手，可以调节高低，免工具安装</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基本参数：</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1）总高：73-83cm可调，总宽：</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50cm，坐宽：</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42cm，坐高：</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43-53cm，坐深：</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33cm，靠背高度：</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32cm，坐板尺寸：</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33*40*4.5cm</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2）主架：由高强度铝合金管材组成，管的厚度是</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1.2mm，</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rPr>
              <w:t>2.0mm，表面阳极氧化处理。采用交叉</w:t>
            </w:r>
            <w:r>
              <w:rPr>
                <w:rFonts w:hint="eastAsia" w:ascii="宋体" w:hAnsi="宋体" w:eastAsia="宋体" w:cs="宋体"/>
                <w:color w:val="auto"/>
                <w:sz w:val="21"/>
                <w:szCs w:val="21"/>
                <w:lang w:eastAsia="zh-CN"/>
              </w:rPr>
              <w:t>免</w:t>
            </w:r>
            <w:r>
              <w:rPr>
                <w:rFonts w:hint="eastAsia" w:ascii="宋体" w:hAnsi="宋体" w:eastAsia="宋体" w:cs="宋体"/>
                <w:color w:val="auto"/>
                <w:sz w:val="21"/>
                <w:szCs w:val="21"/>
              </w:rPr>
              <w:t>螺丝安装方式设计</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3）座靠板：坐板和靠背板是采用的PE吹塑成型，坐板表面设计有漏水孔和防滑纹</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4）扶手：扶手采用的是焊接拆装，扶手表面安装有泡沫棉，防滑耐用</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5）脚腿：四只脚腿高度5档可调节，可以根据不同的身高来调节舒适度，脚底配用大底斜形橡胶防滑脚垫，脚垫内有钢片经久耐用。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95</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马桶增高垫</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10张</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采用优质塑料或环保橡胶材质制作，结实耐用且易清洁。高度可调节，范围在5-15厘米左右，适配多种马桶。表面有防滑纹理，坐感舒适，承重能达150千克以上，为起身不便者使用马桶提供便利与安全保障。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96</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电动升降坐便架</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4台</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合金材质，坚固且耐腐蚀。高度可电动调节，范围约40-70厘米，座圈舒适，有缓降功能。带有防滑脚垫与稳定结构，承重达150千克左右，方便不同需求人群使用。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51" w:type="dxa"/>
            <w:vAlign w:val="center"/>
          </w:tcPr>
          <w:p>
            <w:pPr>
              <w:keepNext w:val="0"/>
              <w:keepLines w:val="0"/>
              <w:pageBreakBefore w:val="0"/>
              <w:widowControl/>
              <w:suppressLineNumbers w:val="0"/>
              <w:kinsoku/>
              <w:wordWrap/>
              <w:overflowPunct/>
              <w:topLinePunct w:val="0"/>
              <w:bidi w:val="0"/>
              <w:snapToGrid/>
              <w:spacing w:line="312" w:lineRule="auto"/>
              <w:jc w:val="center"/>
              <w:textAlignment w:val="center"/>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2"/>
                <w:szCs w:val="22"/>
                <w:u w:val="none"/>
                <w:lang w:val="en-US" w:eastAsia="zh-CN" w:bidi="ar"/>
              </w:rPr>
              <w:t>97</w:t>
            </w:r>
          </w:p>
        </w:tc>
        <w:tc>
          <w:tcPr>
            <w:tcW w:w="1530"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辅助起身腰带</w:t>
            </w:r>
          </w:p>
        </w:tc>
        <w:tc>
          <w:tcPr>
            <w:tcW w:w="765"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auto"/>
                <w:kern w:val="0"/>
                <w:sz w:val="21"/>
                <w:szCs w:val="21"/>
                <w:u w:val="none"/>
                <w:lang w:val="en-US" w:eastAsia="zh-CN" w:bidi="ar"/>
              </w:rPr>
              <w:t>10条</w:t>
            </w:r>
          </w:p>
        </w:tc>
        <w:tc>
          <w:tcPr>
            <w:tcW w:w="6780" w:type="dxa"/>
          </w:tcPr>
          <w:p>
            <w:pPr>
              <w:keepNext w:val="0"/>
              <w:keepLines w:val="0"/>
              <w:pageBreakBefore w:val="0"/>
              <w:kinsoku/>
              <w:wordWrap/>
              <w:overflowPunct/>
              <w:topLinePunct w:val="0"/>
              <w:autoSpaceDE/>
              <w:autoSpaceDN/>
              <w:bidi w:val="0"/>
              <w:adjustRightInd/>
              <w:snapToGrid/>
              <w:spacing w:line="312" w:lineRule="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辅助起身腰带，材质耐磨尼龙，长度60-120厘米可调节。配牢固金属或塑料拉手，符合人体力学，拉手处防滑。承重100-150千克，宽度5-8厘米，穿戴舒适，助力起身，适用于行动不便者及康复护理场景。</w:t>
            </w:r>
          </w:p>
        </w:tc>
      </w:tr>
    </w:tbl>
    <w:p>
      <w:pPr>
        <w:spacing w:line="360" w:lineRule="auto"/>
        <w:outlineLvl w:val="0"/>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三</w:t>
      </w:r>
      <w:r>
        <w:rPr>
          <w:rFonts w:hint="eastAsia" w:ascii="宋体" w:hAnsi="宋体" w:cs="宋体"/>
          <w:b/>
          <w:bCs/>
          <w:color w:val="auto"/>
          <w:sz w:val="24"/>
          <w:highlight w:val="none"/>
        </w:rPr>
        <w:t>、实施要求</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投标人应在项目实施前向采购人提交详尽的项目实施方案和实施计划，采购人审核同意后方可进行项目实施工作。投标人应在系统实施方案中描述具体的实施团队的组成、工作的内容、投入人员、项目实施计划、项目进程表及采购人的配合等内容。投标人能够针对本项目提供完整、详细、准确、可行的整体解决方案并负责工程实施，包括但不仅限于系统方案设计、软件开发、用例测试、硬件设备配置、系统联调、系统对接、业务开通及割接等工作。</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项目实施所需的交付环境及基础设施在采购人和中标人协商确认后，由采购人负责提供。投标人在实施过程中应严格执行相关的安全实施规范，在实施过程中和质保期间所产生的一切因投标人原因造成的安全责任均由投标人自行承担。</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（3）若在项目实施过程中发现招标文件中遗漏或缺少系统正常运行必要的软件模块、接口或服务等配套产品，投标人有义务在投标文件中指出，并提出解决方案供采购人、采购代理机构参考。</w:t>
      </w:r>
    </w:p>
    <w:p>
      <w:pPr>
        <w:spacing w:line="360" w:lineRule="auto"/>
        <w:outlineLvl w:val="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四、培训要求</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人员培训是本项目实施的一个重要环节，中标人必须根据项目的内容，提出详细的系统培训方案。确保系统的顺利实施，保证系统建设稳步推进，建成后安全、稳定、高效的运行，针对系统特点、人员状况、关键项目实施计划等，制订可行的培训计划、提供全方位多层次的免费培训服务，同时提供特色培训，在不同时期，针对不同种类的需求提供一系列行之有效的培训实施方案。</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技术培训应包括但不仅限于下列内容：</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（1）培训对象：中标人需根据项目实际需求、使用对象，对管理人员、业务人员、系统维护人员等进行培训。</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（2）培训内容：中标人需根据项目实际需求、使用对象，制定不同的培训内容。</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（3）培训方式：中标人需根据项目实际情况，进行培训，培训方式主要包括但不限于项目理论培训和项目现场培训，项目理论培训分为不同的专题采取集中方式进行，需贯穿整个项目实施过程。</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（4）中标人有义务在培训完成后进行考核，根据考核的结果，对部分未达到培训效果或培训中忽略的内容，进行相应的补充培训，以帮助系统的管理人员及用户能够更好的了解、掌握系统。</w:t>
      </w:r>
    </w:p>
    <w:p>
      <w:pPr>
        <w:pStyle w:val="4"/>
        <w:rPr>
          <w:rFonts w:hint="eastAsia" w:ascii="宋体" w:hAnsi="宋体"/>
          <w:color w:val="auto"/>
          <w:sz w:val="24"/>
          <w:szCs w:val="24"/>
          <w:highlight w:val="none"/>
        </w:rPr>
      </w:pPr>
    </w:p>
    <w:p>
      <w:pPr>
        <w:spacing w:line="360" w:lineRule="auto"/>
        <w:outlineLvl w:val="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五、商务要求</w:t>
      </w:r>
    </w:p>
    <w:tbl>
      <w:tblPr>
        <w:tblStyle w:val="26"/>
        <w:tblpPr w:leftFromText="180" w:rightFromText="180" w:vertAnchor="text" w:horzAnchor="page" w:tblpX="1685" w:tblpY="405"/>
        <w:tblOverlap w:val="never"/>
        <w:tblW w:w="8609" w:type="dxa"/>
        <w:tblInd w:w="0" w:type="dxa"/>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1527"/>
        <w:gridCol w:w="7082"/>
      </w:tblGrid>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527" w:type="dxa"/>
            <w:noWrap w:val="0"/>
            <w:vAlign w:val="center"/>
          </w:tcPr>
          <w:p>
            <w:pPr>
              <w:spacing w:line="360" w:lineRule="auto"/>
              <w:jc w:val="center"/>
              <w:rPr>
                <w:rFonts w:hint="eastAsia" w:ascii="宋体" w:hAnsi="宋体" w:cs="宋体"/>
                <w:color w:val="auto"/>
                <w:sz w:val="24"/>
                <w:highlight w:val="none"/>
              </w:rPr>
            </w:pPr>
            <w:bookmarkStart w:id="10" w:name="_Toc14517038"/>
            <w:bookmarkStart w:id="11" w:name="_Toc21955467"/>
            <w:r>
              <w:rPr>
                <w:rFonts w:hint="eastAsia" w:ascii="宋体" w:hAnsi="宋体" w:cs="宋体"/>
                <w:color w:val="auto"/>
                <w:sz w:val="24"/>
                <w:highlight w:val="none"/>
              </w:rPr>
              <w:t>服务期限</w:t>
            </w:r>
          </w:p>
        </w:tc>
        <w:tc>
          <w:tcPr>
            <w:tcW w:w="7082" w:type="dxa"/>
            <w:noWrap w:val="0"/>
            <w:vAlign w:val="center"/>
          </w:tcPr>
          <w:p>
            <w:pPr>
              <w:pageBreakBefore w:val="0"/>
              <w:kinsoku/>
              <w:overflowPunct/>
              <w:topLinePunct w:val="0"/>
              <w:bidi w:val="0"/>
              <w:adjustRightInd w:val="0"/>
              <w:snapToGrid w:val="0"/>
              <w:spacing w:line="312" w:lineRule="auto"/>
              <w:jc w:val="both"/>
              <w:rPr>
                <w:rFonts w:hint="default" w:ascii="宋体" w:hAnsi="宋体" w:cs="宋体"/>
                <w:color w:val="auto"/>
                <w:sz w:val="24"/>
                <w:highlight w:val="none"/>
                <w:lang w:val="en-US"/>
              </w:rPr>
            </w:pPr>
            <w:r>
              <w:rPr>
                <w:rFonts w:hint="eastAsia" w:ascii="宋体" w:hAnsi="宋体" w:cs="宋体"/>
                <w:color w:val="auto"/>
                <w:sz w:val="24"/>
                <w:szCs w:val="24"/>
                <w:highlight w:val="none"/>
                <w:lang w:val="en-US" w:eastAsia="zh-CN"/>
              </w:rPr>
              <w:t>接甲方通知装修完工后，60天内完成项目所有内容</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1527" w:type="dxa"/>
            <w:noWrap w:val="0"/>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付款方式</w:t>
            </w:r>
          </w:p>
        </w:tc>
        <w:tc>
          <w:tcPr>
            <w:tcW w:w="7082" w:type="dxa"/>
            <w:noWrap w:val="0"/>
            <w:vAlign w:val="center"/>
          </w:tcPr>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合同签订后7个工作日内支付合同价的40%，成交供应商按要求完成项目所有工作并通过验收合格后无质量问题的支付合同价的30%，待审计结束后支付合同价的30%，发票应随付款进度及时提供</w:t>
            </w:r>
            <w:r>
              <w:rPr>
                <w:rFonts w:hint="eastAsia" w:ascii="宋体" w:hAnsi="宋体" w:cs="宋体"/>
                <w:color w:val="auto"/>
                <w:sz w:val="24"/>
                <w:highlight w:val="none"/>
                <w:lang w:eastAsia="zh-CN"/>
              </w:rPr>
              <w: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1527" w:type="dxa"/>
            <w:noWrap w:val="0"/>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服务标准</w:t>
            </w:r>
          </w:p>
        </w:tc>
        <w:tc>
          <w:tcPr>
            <w:tcW w:w="7082" w:type="dxa"/>
            <w:noWrap w:val="0"/>
            <w:vAlign w:val="center"/>
          </w:tcPr>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符合我国国家有关技术规范要求和技术标准。</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1527" w:type="dxa"/>
            <w:noWrap w:val="0"/>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履约保证金的缴纳及退还</w:t>
            </w:r>
          </w:p>
        </w:tc>
        <w:tc>
          <w:tcPr>
            <w:tcW w:w="7082" w:type="dxa"/>
            <w:noWrap w:val="0"/>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本项目无需缴纳履约保证金。</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1527" w:type="dxa"/>
            <w:noWrap w:val="0"/>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质保期</w:t>
            </w:r>
          </w:p>
        </w:tc>
        <w:tc>
          <w:tcPr>
            <w:tcW w:w="7082" w:type="dxa"/>
            <w:noWrap w:val="0"/>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不少于</w:t>
            </w:r>
            <w:r>
              <w:rPr>
                <w:rFonts w:hint="eastAsia" w:ascii="宋体" w:hAnsi="宋体" w:cs="宋体"/>
                <w:color w:val="auto"/>
                <w:sz w:val="24"/>
                <w:highlight w:val="none"/>
                <w:lang w:val="en-US" w:eastAsia="zh-CN"/>
              </w:rPr>
              <w:t>一</w:t>
            </w:r>
            <w:r>
              <w:rPr>
                <w:rFonts w:hint="eastAsia" w:ascii="宋体" w:hAnsi="宋体" w:cs="宋体"/>
                <w:color w:val="auto"/>
                <w:sz w:val="24"/>
                <w:highlight w:val="none"/>
              </w:rPr>
              <w:t>年</w:t>
            </w:r>
          </w:p>
        </w:tc>
      </w:tr>
      <w:bookmarkEnd w:id="10"/>
      <w:bookmarkEnd w:id="11"/>
    </w:tbl>
    <w:p>
      <w:pPr>
        <w:pStyle w:val="16"/>
        <w:spacing w:line="440" w:lineRule="exact"/>
        <w:jc w:val="center"/>
        <w:rPr>
          <w:rFonts w:hint="eastAsia" w:ascii="宋体" w:hAnsi="宋体" w:eastAsia="宋体" w:cs="仿宋_GB2312"/>
          <w:color w:val="auto"/>
          <w:kern w:val="2"/>
          <w:sz w:val="24"/>
          <w:szCs w:val="24"/>
          <w:highlight w:val="none"/>
          <w:lang w:val="en-US" w:eastAsia="zh-CN" w:bidi="ar-SA"/>
        </w:rPr>
      </w:pPr>
      <w:r>
        <w:rPr>
          <w:rFonts w:hint="eastAsia" w:ascii="宋体" w:hAnsi="宋体" w:cs="宋体"/>
          <w:b/>
          <w:color w:val="auto"/>
          <w:sz w:val="32"/>
          <w:szCs w:val="32"/>
          <w:highlight w:val="none"/>
        </w:rPr>
        <w:br w:type="page"/>
      </w:r>
      <w:r>
        <w:rPr>
          <w:rFonts w:hint="eastAsia" w:ascii="宋体" w:hAnsi="宋体" w:eastAsia="宋体" w:cs="仿宋_GB2312"/>
          <w:b/>
          <w:bCs/>
          <w:color w:val="auto"/>
          <w:kern w:val="2"/>
          <w:sz w:val="32"/>
          <w:szCs w:val="32"/>
          <w:highlight w:val="none"/>
          <w:lang w:val="en-US" w:eastAsia="zh-CN" w:bidi="ar-SA"/>
        </w:rPr>
        <w:t>第四章</w:t>
      </w:r>
      <w:r>
        <w:rPr>
          <w:rFonts w:hint="eastAsia" w:ascii="宋体" w:hAnsi="宋体" w:cs="仿宋_GB2312"/>
          <w:b/>
          <w:bCs/>
          <w:color w:val="auto"/>
          <w:kern w:val="2"/>
          <w:sz w:val="32"/>
          <w:szCs w:val="32"/>
          <w:highlight w:val="none"/>
          <w:lang w:val="en-US" w:eastAsia="zh-CN" w:bidi="ar-SA"/>
        </w:rPr>
        <w:t xml:space="preserve"> </w:t>
      </w:r>
      <w:r>
        <w:rPr>
          <w:rFonts w:hint="eastAsia" w:ascii="宋体" w:hAnsi="宋体" w:eastAsia="宋体" w:cs="仿宋_GB2312"/>
          <w:b/>
          <w:bCs/>
          <w:color w:val="auto"/>
          <w:kern w:val="2"/>
          <w:sz w:val="32"/>
          <w:szCs w:val="32"/>
          <w:highlight w:val="none"/>
          <w:lang w:val="en-US" w:eastAsia="zh-CN" w:bidi="ar-SA"/>
        </w:rPr>
        <w:t>合同的通用条款</w:t>
      </w:r>
      <w:bookmarkEnd w:id="6"/>
      <w:bookmarkEnd w:id="7"/>
    </w:p>
    <w:p>
      <w:pPr>
        <w:keepNext w:val="0"/>
        <w:keepLines w:val="0"/>
        <w:pageBreakBefore w:val="0"/>
        <w:widowControl w:val="0"/>
        <w:kinsoku/>
        <w:wordWrap/>
        <w:overflowPunct/>
        <w:topLinePunct w:val="0"/>
        <w:autoSpaceDE/>
        <w:autoSpaceDN/>
        <w:bidi w:val="0"/>
        <w:adjustRightInd w:val="0"/>
        <w:snapToGrid w:val="0"/>
        <w:spacing w:line="408" w:lineRule="auto"/>
        <w:ind w:left="0" w:leftChars="0" w:firstLine="480" w:firstLineChars="200"/>
        <w:jc w:val="both"/>
        <w:textAlignment w:val="auto"/>
        <w:rPr>
          <w:rFonts w:hint="eastAsia" w:ascii="宋体" w:hAnsi="宋体" w:cs="Times New Roman"/>
          <w:color w:val="auto"/>
          <w:sz w:val="24"/>
          <w:szCs w:val="24"/>
          <w:highlight w:val="none"/>
          <w:lang w:val="en-US" w:eastAsia="zh-CN"/>
        </w:rPr>
      </w:pPr>
    </w:p>
    <w:p>
      <w:pPr>
        <w:pStyle w:val="16"/>
        <w:spacing w:line="440" w:lineRule="exact"/>
        <w:jc w:val="center"/>
        <w:rPr>
          <w:rFonts w:ascii="华文中宋" w:hAnsi="华文中宋" w:eastAsia="华文中宋"/>
          <w:color w:val="auto"/>
          <w:sz w:val="24"/>
          <w:highlight w:val="none"/>
        </w:rPr>
      </w:pPr>
      <w:bookmarkStart w:id="12" w:name="_Toc26467"/>
      <w:r>
        <w:rPr>
          <w:rFonts w:hint="eastAsia" w:ascii="华文中宋" w:hAnsi="华文中宋" w:eastAsia="华文中宋" w:cs="华文中宋"/>
          <w:color w:val="auto"/>
          <w:sz w:val="24"/>
          <w:highlight w:val="none"/>
        </w:rPr>
        <w:t xml:space="preserve"> 浙江省政府采购合同指引</w:t>
      </w:r>
    </w:p>
    <w:p>
      <w:pPr>
        <w:pStyle w:val="16"/>
        <w:spacing w:line="440" w:lineRule="exact"/>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项目名称：</w:t>
      </w:r>
      <w:r>
        <w:rPr>
          <w:rFonts w:hint="eastAsia" w:ascii="华文中宋" w:hAnsi="华文中宋" w:eastAsia="华文中宋" w:cs="华文中宋"/>
          <w:color w:val="auto"/>
          <w:sz w:val="24"/>
          <w:highlight w:val="none"/>
          <w:lang w:eastAsia="zh-CN"/>
        </w:rPr>
        <w:t>龙游县重度残疾人康养一体化康复设备采购项目（重招）</w:t>
      </w:r>
    </w:p>
    <w:p>
      <w:pPr>
        <w:pStyle w:val="16"/>
        <w:spacing w:line="440" w:lineRule="exact"/>
        <w:jc w:val="left"/>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项目编号：</w:t>
      </w:r>
      <w:r>
        <w:rPr>
          <w:rFonts w:hint="eastAsia" w:ascii="华文中宋" w:hAnsi="华文中宋" w:eastAsia="华文中宋" w:cs="华文中宋"/>
          <w:color w:val="auto"/>
          <w:sz w:val="24"/>
          <w:highlight w:val="none"/>
          <w:lang w:val="zh-CN"/>
        </w:rPr>
        <w:t>QZCHZFCG2025-005</w:t>
      </w:r>
    </w:p>
    <w:p>
      <w:pPr>
        <w:spacing w:line="440" w:lineRule="exact"/>
        <w:jc w:val="left"/>
        <w:rPr>
          <w:rFonts w:hint="eastAsia" w:ascii="华文中宋" w:hAnsi="华文中宋" w:eastAsia="华文中宋"/>
          <w:color w:val="auto"/>
          <w:sz w:val="24"/>
          <w:highlight w:val="none"/>
          <w:lang w:eastAsia="zh-CN"/>
        </w:rPr>
      </w:pPr>
      <w:r>
        <w:rPr>
          <w:rFonts w:hint="eastAsia" w:ascii="华文中宋" w:hAnsi="华文中宋" w:eastAsia="华文中宋" w:cs="华文中宋"/>
          <w:color w:val="auto"/>
          <w:sz w:val="24"/>
          <w:highlight w:val="none"/>
        </w:rPr>
        <w:t>甲方：</w:t>
      </w:r>
      <w:r>
        <w:rPr>
          <w:rFonts w:hint="eastAsia" w:ascii="华文中宋" w:hAnsi="华文中宋" w:eastAsia="华文中宋" w:cs="华文中宋"/>
          <w:color w:val="auto"/>
          <w:sz w:val="24"/>
          <w:highlight w:val="none"/>
          <w:lang w:eastAsia="zh-CN"/>
        </w:rPr>
        <w:t>龙游县残疾人联合会</w:t>
      </w:r>
    </w:p>
    <w:p>
      <w:pPr>
        <w:spacing w:line="440" w:lineRule="exact"/>
        <w:jc w:val="left"/>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乙方：</w:t>
      </w:r>
    </w:p>
    <w:p>
      <w:pPr>
        <w:spacing w:line="440" w:lineRule="exact"/>
        <w:rPr>
          <w:rFonts w:ascii="华文中宋" w:hAnsi="华文中宋" w:eastAsia="华文中宋"/>
          <w:b/>
          <w:bCs/>
          <w:color w:val="auto"/>
          <w:sz w:val="24"/>
          <w:highlight w:val="none"/>
        </w:rPr>
      </w:pPr>
      <w:bookmarkStart w:id="13" w:name="_Toc457974255"/>
      <w:bookmarkStart w:id="14" w:name="_Toc485881249"/>
      <w:bookmarkStart w:id="15" w:name="_Toc1907"/>
      <w:r>
        <w:rPr>
          <w:rFonts w:hint="eastAsia" w:ascii="华文中宋" w:hAnsi="华文中宋" w:eastAsia="华文中宋" w:cs="华文中宋"/>
          <w:b/>
          <w:bCs/>
          <w:color w:val="auto"/>
          <w:sz w:val="24"/>
          <w:highlight w:val="none"/>
        </w:rPr>
        <w:t>一、总则</w:t>
      </w:r>
    </w:p>
    <w:p>
      <w:pPr>
        <w:spacing w:line="440" w:lineRule="exact"/>
        <w:ind w:firstLine="480"/>
        <w:rPr>
          <w:rFonts w:ascii="华文中宋" w:hAnsi="华文中宋" w:eastAsia="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、合同基本条款是指采购人（以下简称甲方）和成交供应商（以下简称乙方）应共同遵守的基本原则，并作为双方签约的依据。对于合同的其他条款，双方应本着互谅互让的精神协商解决。</w:t>
      </w:r>
    </w:p>
    <w:p>
      <w:pPr>
        <w:spacing w:line="440" w:lineRule="exact"/>
        <w:ind w:firstLine="480"/>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、制定“合同主要条款”的依据是《民法典》。</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 xml:space="preserve">二、合同金额                                                    </w:t>
      </w:r>
    </w:p>
    <w:p>
      <w:pPr>
        <w:spacing w:line="440" w:lineRule="exact"/>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、合同总价为人民币￥</w:t>
      </w:r>
      <w:r>
        <w:rPr>
          <w:rFonts w:ascii="华文中宋" w:hAnsi="华文中宋" w:eastAsia="华文中宋" w:cs="华文中宋"/>
          <w:color w:val="auto"/>
          <w:sz w:val="24"/>
          <w:highlight w:val="none"/>
          <w:u w:val="single"/>
        </w:rPr>
        <w:t xml:space="preserve">         </w:t>
      </w:r>
      <w:r>
        <w:rPr>
          <w:rFonts w:ascii="华文中宋" w:hAnsi="华文中宋" w:eastAsia="华文中宋" w:cs="华文中宋"/>
          <w:color w:val="auto"/>
          <w:sz w:val="24"/>
          <w:highlight w:val="none"/>
        </w:rPr>
        <w:t xml:space="preserve"> </w:t>
      </w:r>
      <w:r>
        <w:rPr>
          <w:rFonts w:hint="eastAsia" w:ascii="华文中宋" w:hAnsi="华文中宋" w:eastAsia="华文中宋" w:cs="华文中宋"/>
          <w:color w:val="auto"/>
          <w:sz w:val="24"/>
          <w:highlight w:val="none"/>
        </w:rPr>
        <w:t>元（大写：</w:t>
      </w:r>
      <w:r>
        <w:rPr>
          <w:rFonts w:ascii="华文中宋" w:hAnsi="华文中宋" w:eastAsia="华文中宋" w:cs="华文中宋"/>
          <w:color w:val="auto"/>
          <w:sz w:val="24"/>
          <w:highlight w:val="none"/>
          <w:u w:val="single"/>
        </w:rPr>
        <w:t xml:space="preserve">                 </w:t>
      </w:r>
      <w:r>
        <w:rPr>
          <w:rFonts w:hint="eastAsia" w:ascii="华文中宋" w:hAnsi="华文中宋" w:eastAsia="华文中宋" w:cs="华文中宋"/>
          <w:color w:val="auto"/>
          <w:sz w:val="24"/>
          <w:highlight w:val="none"/>
        </w:rPr>
        <w:t>）。</w:t>
      </w:r>
    </w:p>
    <w:p>
      <w:pPr>
        <w:spacing w:line="360" w:lineRule="auto"/>
        <w:outlineLvl w:val="0"/>
        <w:rPr>
          <w:rFonts w:hint="eastAsia" w:ascii="宋体" w:hAnsi="宋体" w:cs="宋体"/>
          <w:b/>
          <w:bCs/>
          <w:color w:val="auto"/>
          <w:sz w:val="24"/>
          <w:highlight w:val="none"/>
        </w:rPr>
      </w:pPr>
      <w:r>
        <w:rPr>
          <w:rFonts w:hint="eastAsia" w:ascii="华文中宋" w:hAnsi="华文中宋" w:eastAsia="华文中宋" w:cs="华文中宋"/>
          <w:b/>
          <w:color w:val="auto"/>
          <w:sz w:val="24"/>
          <w:highlight w:val="none"/>
        </w:rPr>
        <w:t>三、实施要求：</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乙方应在项目实施前向采购人提交详尽的项目实施方案和实施计划，甲方审核同意后方可进行项目实施工作。乙方应在系统实施方案中描述具体的实施团队的组成、工作的内容、投入人员、项目实施计划、项目进程表及甲方的配合等内容。乙方能够针对本项目提供完整、详细、准确、可行的整体解决方案并负责工程实施，包括但不仅限于系统方案设计、软件开发、用例测试、硬件设备配置、系统联调、系统对接、业务开通及割接等工作。</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项目实施所需的交付环境及基础设施在甲方和乙方协商确认后，由甲方负责提供。乙方在实施过程中应严格执行相关的安全实施规范，在实施过程中和质保期间所产生的一切因投标人原因造成的安全责任均由乙方自行承担。</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（3）若在项目实施过程中发现招标文件中遗漏或缺少系统正常运行必要的软件模块、接口或服务等配套产品，乙方有义务在投标文件中指出，并提出解决方案供甲方、采购代理机构参考。</w:t>
      </w:r>
    </w:p>
    <w:p>
      <w:pPr>
        <w:spacing w:line="440" w:lineRule="exact"/>
        <w:rPr>
          <w:rFonts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rPr>
        <w:t>四、技术资料</w:t>
      </w:r>
    </w:p>
    <w:p>
      <w:pPr>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、乙方应按采购文件规定的时间向甲方提供有关技术资料。</w:t>
      </w:r>
    </w:p>
    <w:p>
      <w:pPr>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zh-CN"/>
        </w:rPr>
        <w:t>双方对工作涉及内容均有保密的义务，未经双方书面同意，任何一方不得泄露相关技术资料，不论以何种形式或载于何种载体给第三方。</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五、知识产权</w:t>
      </w:r>
    </w:p>
    <w:p>
      <w:pPr>
        <w:tabs>
          <w:tab w:val="left" w:pos="900"/>
          <w:tab w:val="left" w:pos="1080"/>
        </w:tabs>
        <w:snapToGrid w:val="0"/>
        <w:spacing w:line="440" w:lineRule="exact"/>
        <w:ind w:firstLine="480" w:firstLineChars="200"/>
        <w:rPr>
          <w:rFonts w:ascii="华文中宋" w:hAnsi="华文中宋" w:eastAsia="华文中宋"/>
          <w:b/>
          <w:bCs/>
          <w:color w:val="auto"/>
          <w:sz w:val="24"/>
          <w:highlight w:val="none"/>
        </w:rPr>
      </w:pPr>
      <w:r>
        <w:rPr>
          <w:rFonts w:hint="eastAsia" w:ascii="华文中宋" w:hAnsi="华文中宋" w:eastAsia="华文中宋" w:cs="华文中宋"/>
          <w:color w:val="auto"/>
          <w:sz w:val="24"/>
          <w:highlight w:val="none"/>
        </w:rPr>
        <w:t>乙方应保证提供服务过程中不会侵犯任何第三方的知识产权。</w:t>
      </w:r>
    </w:p>
    <w:p>
      <w:pPr>
        <w:spacing w:line="440" w:lineRule="exact"/>
        <w:rPr>
          <w:rFonts w:ascii="华文中宋" w:hAnsi="华文中宋" w:eastAsia="华文中宋" w:cs="华文中宋"/>
          <w:bCs/>
          <w:color w:val="auto"/>
          <w:sz w:val="24"/>
          <w:highlight w:val="none"/>
        </w:rPr>
      </w:pPr>
      <w:r>
        <w:rPr>
          <w:rFonts w:hint="eastAsia" w:ascii="华文中宋" w:hAnsi="华文中宋" w:eastAsia="华文中宋" w:cs="华文中宋"/>
          <w:b/>
          <w:bCs/>
          <w:color w:val="auto"/>
          <w:sz w:val="24"/>
          <w:highlight w:val="none"/>
        </w:rPr>
        <w:t>六、质保期:</w:t>
      </w:r>
      <w:r>
        <w:rPr>
          <w:rFonts w:hint="eastAsia" w:ascii="华文中宋" w:hAnsi="华文中宋" w:eastAsia="华文中宋" w:cs="华文中宋"/>
          <w:b/>
          <w:bCs/>
          <w:color w:val="auto"/>
          <w:sz w:val="24"/>
          <w:highlight w:val="none"/>
          <w:u w:val="single"/>
        </w:rPr>
        <w:t xml:space="preserve">      </w:t>
      </w:r>
      <w:r>
        <w:rPr>
          <w:rFonts w:hint="eastAsia" w:ascii="华文中宋" w:hAnsi="华文中宋" w:eastAsia="华文中宋" w:cs="华文中宋"/>
          <w:b/>
          <w:bCs/>
          <w:color w:val="auto"/>
          <w:sz w:val="24"/>
          <w:highlight w:val="none"/>
        </w:rPr>
        <w:t>年</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七、转包或分包</w:t>
      </w:r>
    </w:p>
    <w:p>
      <w:pPr>
        <w:tabs>
          <w:tab w:val="left" w:pos="900"/>
          <w:tab w:val="left" w:pos="1080"/>
        </w:tabs>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、本合同范围的服务，应由乙方直接供应，不得转让他人供应；</w:t>
      </w:r>
    </w:p>
    <w:p>
      <w:pPr>
        <w:tabs>
          <w:tab w:val="left" w:pos="900"/>
          <w:tab w:val="left" w:pos="1080"/>
        </w:tabs>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、除非得到甲方的书面同意，乙方不得将本合同范围的服务全部或部分分包给他人供应；</w:t>
      </w:r>
    </w:p>
    <w:p>
      <w:pPr>
        <w:tabs>
          <w:tab w:val="left" w:pos="900"/>
          <w:tab w:val="left" w:pos="1080"/>
        </w:tabs>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、如有转让和未经甲方同意的分包行为，甲方有权解除合同，没收履约保证金并追究乙方的违约责任。</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八、建设内容和主要标准</w:t>
      </w:r>
    </w:p>
    <w:p>
      <w:pPr>
        <w:spacing w:line="440" w:lineRule="exact"/>
        <w:rPr>
          <w:rFonts w:ascii="华文中宋" w:hAnsi="华文中宋" w:eastAsia="华文中宋" w:cs="华文中宋"/>
          <w:bCs/>
          <w:color w:val="auto"/>
          <w:sz w:val="24"/>
          <w:highlight w:val="none"/>
        </w:rPr>
      </w:pPr>
      <w:r>
        <w:rPr>
          <w:rFonts w:hint="eastAsia" w:ascii="华文中宋" w:hAnsi="华文中宋" w:eastAsia="华文中宋" w:cs="华文中宋"/>
          <w:b/>
          <w:bCs/>
          <w:color w:val="auto"/>
          <w:sz w:val="24"/>
          <w:highlight w:val="none"/>
        </w:rPr>
        <w:t xml:space="preserve">   </w:t>
      </w:r>
      <w:r>
        <w:rPr>
          <w:rFonts w:hint="eastAsia" w:ascii="华文中宋" w:hAnsi="华文中宋" w:eastAsia="华文中宋" w:cs="华文中宋"/>
          <w:bCs/>
          <w:color w:val="auto"/>
          <w:sz w:val="24"/>
          <w:highlight w:val="none"/>
        </w:rPr>
        <w:t>（详见招标文件第四章内容）</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九、合同履行时间、履行方式及履行地点</w:t>
      </w:r>
    </w:p>
    <w:p>
      <w:pPr>
        <w:snapToGrid w:val="0"/>
        <w:spacing w:line="440" w:lineRule="exact"/>
        <w:ind w:firstLine="480" w:firstLineChars="200"/>
        <w:rPr>
          <w:rFonts w:ascii="华文中宋" w:hAnsi="华文中宋" w:eastAsia="华文中宋" w:cs="宋体"/>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、履行时间：</w:t>
      </w:r>
      <w:r>
        <w:rPr>
          <w:rFonts w:hint="eastAsia" w:ascii="华文中宋" w:hAnsi="华文中宋" w:eastAsia="华文中宋" w:cs="华文中宋"/>
          <w:color w:val="auto"/>
          <w:sz w:val="24"/>
          <w:highlight w:val="none"/>
          <w:lang w:bidi="en-US"/>
        </w:rPr>
        <w:t>乙方</w:t>
      </w:r>
      <w:r>
        <w:rPr>
          <w:rFonts w:ascii="华文中宋" w:hAnsi="华文中宋" w:eastAsia="华文中宋" w:cs="华文中宋"/>
          <w:color w:val="auto"/>
          <w:sz w:val="24"/>
          <w:highlight w:val="none"/>
          <w:lang w:bidi="en-US"/>
        </w:rPr>
        <w:t>应在</w:t>
      </w:r>
      <w:r>
        <w:rPr>
          <w:rFonts w:hint="eastAsia" w:ascii="华文中宋" w:hAnsi="华文中宋" w:eastAsia="华文中宋" w:cs="华文中宋"/>
          <w:color w:val="auto"/>
          <w:sz w:val="24"/>
          <w:highlight w:val="none"/>
          <w:lang w:val="en-US" w:eastAsia="zh-CN" w:bidi="en-US"/>
        </w:rPr>
        <w:t>接甲方通知装修完工后，60天内完成项目所有内容</w:t>
      </w:r>
      <w:r>
        <w:rPr>
          <w:rFonts w:hint="eastAsia" w:ascii="华文中宋" w:hAnsi="华文中宋" w:eastAsia="华文中宋" w:cs="华文中宋"/>
          <w:color w:val="auto"/>
          <w:sz w:val="24"/>
          <w:highlight w:val="none"/>
          <w:lang w:bidi="en-US"/>
        </w:rPr>
        <w:t>。</w:t>
      </w:r>
    </w:p>
    <w:p>
      <w:pPr>
        <w:tabs>
          <w:tab w:val="left" w:pos="900"/>
          <w:tab w:val="left" w:pos="1080"/>
        </w:tabs>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、履行方式：直接服务</w:t>
      </w:r>
    </w:p>
    <w:p>
      <w:pPr>
        <w:snapToGrid w:val="0"/>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、履行地点：按甲方的要求。</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十、款项支付</w:t>
      </w:r>
    </w:p>
    <w:p>
      <w:pPr>
        <w:tabs>
          <w:tab w:val="left" w:pos="900"/>
          <w:tab w:val="left" w:pos="1080"/>
        </w:tabs>
        <w:spacing w:line="440" w:lineRule="exact"/>
        <w:ind w:firstLine="480" w:firstLineChars="200"/>
        <w:rPr>
          <w:rFonts w:hint="eastAsia" w:ascii="华文中宋" w:eastAsia="华文中宋" w:cs="华文中宋"/>
          <w:color w:val="auto"/>
          <w:sz w:val="24"/>
          <w:highlight w:val="none"/>
          <w:lang w:bidi="ar-SA"/>
        </w:rPr>
      </w:pPr>
      <w:r>
        <w:rPr>
          <w:rFonts w:hint="eastAsia" w:ascii="华文中宋" w:eastAsia="华文中宋" w:cs="华文中宋"/>
          <w:color w:val="auto"/>
          <w:sz w:val="24"/>
          <w:highlight w:val="none"/>
          <w:lang w:bidi="ar-SA"/>
        </w:rPr>
        <w:t>合同签订后7个工作日内支付合同价的40%，成交供应商按要求完成项目所有工作并通过验收合格后无质量问题的支付合同价的30%，待审计结束后支付合同价的30%，发票应随付款进度及时提供</w:t>
      </w:r>
    </w:p>
    <w:p>
      <w:pPr>
        <w:tabs>
          <w:tab w:val="left" w:pos="900"/>
          <w:tab w:val="left" w:pos="1080"/>
        </w:tabs>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十一、税费</w:t>
      </w:r>
    </w:p>
    <w:p>
      <w:pPr>
        <w:tabs>
          <w:tab w:val="left" w:pos="1080"/>
        </w:tabs>
        <w:snapToGrid w:val="0"/>
        <w:spacing w:line="440" w:lineRule="exact"/>
        <w:ind w:firstLine="480" w:firstLineChars="200"/>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本合同执行中相关的一切税费均由乙方负担。</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十二、后续服务</w:t>
      </w:r>
    </w:p>
    <w:p>
      <w:pPr>
        <w:tabs>
          <w:tab w:val="left" w:pos="480"/>
          <w:tab w:val="left" w:pos="1080"/>
        </w:tabs>
        <w:snapToGrid w:val="0"/>
        <w:spacing w:line="440" w:lineRule="exact"/>
        <w:ind w:firstLine="480" w:firstLineChars="200"/>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1、乙方应按招标文件规定向甲方提供服务。</w:t>
      </w:r>
    </w:p>
    <w:p>
      <w:pPr>
        <w:tabs>
          <w:tab w:val="left" w:pos="480"/>
          <w:tab w:val="left" w:pos="1080"/>
        </w:tabs>
        <w:snapToGrid w:val="0"/>
        <w:spacing w:line="440" w:lineRule="exact"/>
        <w:ind w:firstLine="480" w:firstLineChars="200"/>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2、乙方提供的服务成果在服务质量保证期内发生问题，乙方应负全责。</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十三、甲方的权利和义务</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、甲方有权监督和参与维保的有关活动。</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、甲方有权要求乙方及时提供工作阶段性的进展情况。</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、甲方有权要求乙方更换不称职的人员。</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4</w:t>
      </w:r>
      <w:r>
        <w:rPr>
          <w:rFonts w:hint="eastAsia" w:ascii="华文中宋" w:hAnsi="华文中宋" w:eastAsia="华文中宋" w:cs="华文中宋"/>
          <w:color w:val="auto"/>
          <w:sz w:val="24"/>
          <w:highlight w:val="none"/>
        </w:rPr>
        <w:t>、甲方提供正常运行开通条件，设施设备资料，并对其完整性、准确性负责，使运行、维护具备条件。</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5</w:t>
      </w:r>
      <w:r>
        <w:rPr>
          <w:rFonts w:hint="eastAsia" w:ascii="华文中宋" w:hAnsi="华文中宋" w:eastAsia="华文中宋" w:cs="华文中宋"/>
          <w:color w:val="auto"/>
          <w:sz w:val="24"/>
          <w:highlight w:val="none"/>
        </w:rPr>
        <w:t>、甲方协助乙方，尽可能向乙方提供便利条件，以保证运行、维护工作的完成。</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6</w:t>
      </w:r>
      <w:r>
        <w:rPr>
          <w:rFonts w:hint="eastAsia" w:ascii="华文中宋" w:hAnsi="华文中宋" w:eastAsia="华文中宋" w:cs="华文中宋"/>
          <w:color w:val="auto"/>
          <w:sz w:val="24"/>
          <w:highlight w:val="none"/>
        </w:rPr>
        <w:t>、依据合同和法律应履行的其他义务。</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十四、乙方的权利和义务</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、有权拒绝违反国家法律、法规和规章以及行政主管部门有关规定的人为干预。</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、依据国家有关法律法规的规定，在授权范围内完成工作，出具真实、合格报告。</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、乙方在委托授权范围内为甲方提供服务，不得将本合同所确定的服务转让给第三方。</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4</w:t>
      </w:r>
      <w:r>
        <w:rPr>
          <w:rFonts w:hint="eastAsia" w:ascii="华文中宋" w:hAnsi="华文中宋" w:eastAsia="华文中宋" w:cs="华文中宋"/>
          <w:color w:val="auto"/>
          <w:sz w:val="24"/>
          <w:highlight w:val="none"/>
        </w:rPr>
        <w:t>、乙方认真制定设备维保的进度计划，认真完成各项服务事项。</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5</w:t>
      </w:r>
      <w:r>
        <w:rPr>
          <w:rFonts w:hint="eastAsia" w:ascii="华文中宋" w:hAnsi="华文中宋" w:eastAsia="华文中宋" w:cs="华文中宋"/>
          <w:color w:val="auto"/>
          <w:sz w:val="24"/>
          <w:highlight w:val="none"/>
        </w:rPr>
        <w:t>、乙方提供设备维保的技术支持服务。</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6</w:t>
      </w:r>
      <w:r>
        <w:rPr>
          <w:rFonts w:hint="eastAsia" w:ascii="华文中宋" w:hAnsi="华文中宋" w:eastAsia="华文中宋" w:cs="华文中宋"/>
          <w:color w:val="auto"/>
          <w:sz w:val="24"/>
          <w:highlight w:val="none"/>
        </w:rPr>
        <w:t>、如甲方出现技术问题，乙方应及时查明原因并及时解决，保证工作的正常进行。</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7</w:t>
      </w:r>
      <w:r>
        <w:rPr>
          <w:rFonts w:hint="eastAsia" w:ascii="华文中宋" w:hAnsi="华文中宋" w:eastAsia="华文中宋" w:cs="华文中宋"/>
          <w:color w:val="auto"/>
          <w:sz w:val="24"/>
          <w:highlight w:val="none"/>
        </w:rPr>
        <w:t>、乙方将设备的维修费计入合同总价。</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8</w:t>
      </w:r>
      <w:r>
        <w:rPr>
          <w:rFonts w:hint="eastAsia" w:ascii="华文中宋" w:hAnsi="华文中宋" w:eastAsia="华文中宋" w:cs="华文中宋"/>
          <w:color w:val="auto"/>
          <w:sz w:val="24"/>
          <w:highlight w:val="none"/>
        </w:rPr>
        <w:t>、如甲乙双方合同约定以外的设备损坏无法修复，需重新更换，乙方负责提供相应配件的技术参数及价格，在不高于市场价的情况下经甲方同意后另行收取。</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9</w:t>
      </w:r>
      <w:r>
        <w:rPr>
          <w:rFonts w:hint="eastAsia" w:ascii="华文中宋" w:hAnsi="华文中宋" w:eastAsia="华文中宋" w:cs="华文中宋"/>
          <w:color w:val="auto"/>
          <w:sz w:val="24"/>
          <w:highlight w:val="none"/>
        </w:rPr>
        <w:t>、乙方巡检所需的人力、交通、食宿、材料等相关资源，费用计入本合同总价中。</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10</w:t>
      </w:r>
      <w:r>
        <w:rPr>
          <w:rFonts w:hint="eastAsia" w:ascii="华文中宋" w:hAnsi="华文中宋" w:eastAsia="华文中宋" w:cs="华文中宋"/>
          <w:color w:val="auto"/>
          <w:sz w:val="24"/>
          <w:highlight w:val="none"/>
        </w:rPr>
        <w:t>、驻场工程师一名。重大故障修复，服务工程师在采购人现场提供技术服务。</w:t>
      </w:r>
      <w:r>
        <w:rPr>
          <w:rFonts w:ascii="华文中宋" w:hAnsi="华文中宋" w:eastAsia="华文中宋" w:cs="华文中宋"/>
          <w:color w:val="auto"/>
          <w:sz w:val="24"/>
          <w:highlight w:val="none"/>
        </w:rPr>
        <w:t>7</w:t>
      </w:r>
      <w:r>
        <w:rPr>
          <w:rFonts w:hint="eastAsia" w:ascii="华文中宋" w:hAnsi="华文中宋" w:eastAsia="华文中宋" w:cs="华文中宋"/>
          <w:color w:val="auto"/>
          <w:sz w:val="24"/>
          <w:highlight w:val="none"/>
        </w:rPr>
        <w:t>×</w:t>
      </w:r>
      <w:r>
        <w:rPr>
          <w:rFonts w:ascii="华文中宋" w:hAnsi="华文中宋" w:eastAsia="华文中宋" w:cs="华文中宋"/>
          <w:color w:val="auto"/>
          <w:sz w:val="24"/>
          <w:highlight w:val="none"/>
        </w:rPr>
        <w:t>24</w:t>
      </w:r>
      <w:r>
        <w:rPr>
          <w:rFonts w:hint="eastAsia" w:ascii="华文中宋" w:hAnsi="华文中宋" w:eastAsia="华文中宋" w:cs="华文中宋"/>
          <w:color w:val="auto"/>
          <w:sz w:val="24"/>
          <w:highlight w:val="none"/>
        </w:rPr>
        <w:t>小时支持；即时响应，</w:t>
      </w: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小时到场。提供工程师资料原件备查。</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11</w:t>
      </w:r>
      <w:r>
        <w:rPr>
          <w:rFonts w:hint="eastAsia" w:ascii="华文中宋" w:hAnsi="华文中宋" w:eastAsia="华文中宋" w:cs="华文中宋"/>
          <w:color w:val="auto"/>
          <w:sz w:val="24"/>
          <w:highlight w:val="none"/>
        </w:rPr>
        <w:t>、乙方设备维保响应时间要求：基本故障在</w:t>
      </w:r>
      <w:r>
        <w:rPr>
          <w:rFonts w:ascii="华文中宋" w:hAnsi="华文中宋" w:eastAsia="华文中宋" w:cs="华文中宋"/>
          <w:color w:val="auto"/>
          <w:sz w:val="24"/>
          <w:highlight w:val="none"/>
        </w:rPr>
        <w:t xml:space="preserve">  </w:t>
      </w:r>
      <w:r>
        <w:rPr>
          <w:rFonts w:hint="eastAsia" w:ascii="华文中宋" w:hAnsi="华文中宋" w:eastAsia="华文中宋" w:cs="华文中宋"/>
          <w:color w:val="auto"/>
          <w:sz w:val="24"/>
          <w:highlight w:val="none"/>
        </w:rPr>
        <w:t>个工作日内解决，如无法解决，按合同价的</w:t>
      </w:r>
      <w:r>
        <w:rPr>
          <w:rFonts w:ascii="华文中宋" w:hAnsi="华文中宋" w:eastAsia="华文中宋" w:cs="华文中宋"/>
          <w:color w:val="auto"/>
          <w:sz w:val="24"/>
          <w:highlight w:val="none"/>
        </w:rPr>
        <w:t>5</w:t>
      </w:r>
      <w:r>
        <w:rPr>
          <w:rFonts w:hint="eastAsia" w:ascii="华文中宋" w:hAnsi="华文中宋" w:eastAsia="华文中宋" w:cs="华文中宋"/>
          <w:color w:val="auto"/>
          <w:sz w:val="24"/>
          <w:highlight w:val="none"/>
        </w:rPr>
        <w:t>％</w:t>
      </w:r>
      <w:r>
        <w:rPr>
          <w:rFonts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rPr>
        <w:t>次作为赔偿。</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12</w:t>
      </w:r>
      <w:r>
        <w:rPr>
          <w:rFonts w:hint="eastAsia" w:ascii="华文中宋" w:hAnsi="华文中宋" w:eastAsia="华文中宋" w:cs="华文中宋"/>
          <w:color w:val="auto"/>
          <w:sz w:val="24"/>
          <w:highlight w:val="none"/>
        </w:rPr>
        <w:t>、甲方如有重要事情，如领导检查工作等，乙方必须提前对设备进行调试，发现问题立刻解决以确保设备正常运转，并且到现场进行技术支持。</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13</w:t>
      </w:r>
      <w:r>
        <w:rPr>
          <w:rFonts w:hint="eastAsia" w:ascii="华文中宋" w:hAnsi="华文中宋" w:eastAsia="华文中宋" w:cs="华文中宋"/>
          <w:color w:val="auto"/>
          <w:sz w:val="24"/>
          <w:highlight w:val="none"/>
        </w:rPr>
        <w:t>、乙方依据委托合同维护甲方的合法权益，对服务事项内容保守秘密，不的对外公开、外泄。</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14</w:t>
      </w:r>
      <w:r>
        <w:rPr>
          <w:rFonts w:hint="eastAsia" w:ascii="华文中宋" w:hAnsi="华文中宋" w:eastAsia="华文中宋" w:cs="华文中宋"/>
          <w:color w:val="auto"/>
          <w:sz w:val="24"/>
          <w:highlight w:val="none"/>
        </w:rPr>
        <w:t>、乙方对甲方提供的所有财产须采取保护措施，严禁遭到人为破坏，并预防不可抗力损坏。</w:t>
      </w:r>
    </w:p>
    <w:p>
      <w:pPr>
        <w:tabs>
          <w:tab w:val="left" w:pos="480"/>
          <w:tab w:val="left" w:pos="1080"/>
        </w:tabs>
        <w:snapToGrid w:val="0"/>
        <w:spacing w:line="440" w:lineRule="exact"/>
        <w:ind w:firstLine="480" w:firstLineChars="200"/>
        <w:rPr>
          <w:rFonts w:ascii="华文中宋" w:hAnsi="华文中宋" w:eastAsia="华文中宋" w:cs="华文中宋"/>
          <w:color w:val="auto"/>
          <w:sz w:val="24"/>
          <w:highlight w:val="none"/>
        </w:rPr>
      </w:pPr>
      <w:r>
        <w:rPr>
          <w:rFonts w:ascii="华文中宋" w:hAnsi="华文中宋" w:eastAsia="华文中宋" w:cs="华文中宋"/>
          <w:color w:val="auto"/>
          <w:sz w:val="24"/>
          <w:highlight w:val="none"/>
        </w:rPr>
        <w:t>15</w:t>
      </w:r>
      <w:r>
        <w:rPr>
          <w:rFonts w:hint="eastAsia" w:ascii="华文中宋" w:hAnsi="华文中宋" w:eastAsia="华文中宋" w:cs="华文中宋"/>
          <w:color w:val="auto"/>
          <w:sz w:val="24"/>
          <w:highlight w:val="none"/>
        </w:rPr>
        <w:t>、依法应承担的其他义务。</w:t>
      </w:r>
    </w:p>
    <w:p>
      <w:pPr>
        <w:spacing w:line="440" w:lineRule="exact"/>
        <w:rPr>
          <w:rFonts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十五、违约责任</w:t>
      </w:r>
    </w:p>
    <w:p>
      <w:pPr>
        <w:tabs>
          <w:tab w:val="left" w:pos="360"/>
        </w:tabs>
        <w:spacing w:line="440" w:lineRule="exact"/>
        <w:ind w:firstLine="480" w:firstLineChars="200"/>
        <w:rPr>
          <w:rFonts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 甲方无正当理由拒绝验收项目的，甲方向乙方偿付合同总价的百分之五违约金。</w:t>
      </w:r>
    </w:p>
    <w:p>
      <w:pPr>
        <w:tabs>
          <w:tab w:val="left" w:pos="360"/>
        </w:tabs>
        <w:spacing w:line="440" w:lineRule="exact"/>
        <w:ind w:firstLine="480" w:firstLineChars="200"/>
        <w:rPr>
          <w:rFonts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 甲方无故逾期验收和办理合同款项支付手续的,甲方应按逾期付款总额每日万分之五向乙方支付违约金。</w:t>
      </w:r>
    </w:p>
    <w:p>
      <w:pPr>
        <w:tabs>
          <w:tab w:val="left" w:pos="360"/>
        </w:tabs>
        <w:spacing w:line="440" w:lineRule="exact"/>
        <w:ind w:firstLine="480" w:firstLineChars="200"/>
        <w:rPr>
          <w:rFonts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3、 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项目总价5%的违约金，如造成甲方损失超过违约金的，超出部分由乙方继续承担赔偿责任。 </w:t>
      </w:r>
    </w:p>
    <w:p>
      <w:pPr>
        <w:tabs>
          <w:tab w:val="left" w:pos="360"/>
        </w:tabs>
        <w:spacing w:line="440" w:lineRule="exact"/>
        <w:ind w:firstLine="480" w:firstLineChars="200"/>
        <w:rPr>
          <w:rFonts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4、 乙方所交的货物品种、型号、规格、技术参数、质量不符合合同规定及招标文件规定标准的，甲方有权拒收该货物，乙方愿意更换货物但逾期交货的，按乙方逾期交货处理。乙方拒绝更换货物的，甲方可单方面解除合同。</w:t>
      </w:r>
    </w:p>
    <w:p>
      <w:pPr>
        <w:tabs>
          <w:tab w:val="left" w:pos="360"/>
        </w:tabs>
        <w:spacing w:line="440" w:lineRule="exact"/>
        <w:ind w:firstLine="480" w:firstLineChars="200"/>
        <w:rPr>
          <w:rFonts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5、解除合同应按《浙江省合同管理办法》向财政备案。</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十六、不可抗力事件处理</w:t>
      </w:r>
    </w:p>
    <w:p>
      <w:pPr>
        <w:tabs>
          <w:tab w:val="left" w:pos="360"/>
        </w:tabs>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、在合同有效期内，任何一方因不可抗力事件导致不能履行合同，则合同履行期可延长，其延长期与不可抗力影响期相同。</w:t>
      </w:r>
    </w:p>
    <w:p>
      <w:pPr>
        <w:tabs>
          <w:tab w:val="left" w:pos="360"/>
        </w:tabs>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、不可抗力事件发生后，应立即通知对方，并寄送有关权威机构出具的证明。</w:t>
      </w:r>
    </w:p>
    <w:p>
      <w:pPr>
        <w:tabs>
          <w:tab w:val="left" w:pos="360"/>
        </w:tabs>
        <w:spacing w:line="440" w:lineRule="exact"/>
        <w:ind w:firstLine="480" w:firstLineChars="200"/>
        <w:rPr>
          <w:rFonts w:ascii="华文中宋" w:hAnsi="华文中宋" w:eastAsia="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、不可抗力事件延续</w:t>
      </w:r>
      <w:r>
        <w:rPr>
          <w:rFonts w:ascii="华文中宋" w:hAnsi="华文中宋" w:eastAsia="华文中宋" w:cs="华文中宋"/>
          <w:color w:val="auto"/>
          <w:sz w:val="24"/>
          <w:highlight w:val="none"/>
        </w:rPr>
        <w:t>30</w:t>
      </w:r>
      <w:r>
        <w:rPr>
          <w:rFonts w:hint="eastAsia" w:ascii="华文中宋" w:hAnsi="华文中宋" w:eastAsia="华文中宋" w:cs="华文中宋"/>
          <w:color w:val="auto"/>
          <w:sz w:val="24"/>
          <w:highlight w:val="none"/>
        </w:rPr>
        <w:t>天以上，双方应通过友好协商，确定是否继续履行合同。</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十七、诉讼</w:t>
      </w:r>
    </w:p>
    <w:p>
      <w:pPr>
        <w:snapToGrid w:val="0"/>
        <w:spacing w:line="440" w:lineRule="exact"/>
        <w:ind w:firstLine="480" w:firstLineChars="200"/>
        <w:rPr>
          <w:rFonts w:ascii="华文中宋" w:hAnsi="华文中宋" w:eastAsia="华文中宋"/>
          <w:color w:val="auto"/>
          <w:sz w:val="24"/>
          <w:highlight w:val="none"/>
        </w:rPr>
      </w:pPr>
      <w:r>
        <w:rPr>
          <w:rFonts w:hint="eastAsia" w:ascii="华文中宋" w:hAnsi="华文中宋" w:eastAsia="华文中宋" w:cs="华文中宋"/>
          <w:color w:val="auto"/>
          <w:sz w:val="24"/>
          <w:highlight w:val="none"/>
        </w:rPr>
        <w:t>双方在执行合同中所发生的一切争议，应通过协商解决。如协商不成，可向甲方所在地法院起诉。</w:t>
      </w:r>
    </w:p>
    <w:p>
      <w:pPr>
        <w:spacing w:line="440" w:lineRule="exact"/>
        <w:rPr>
          <w:rFonts w:ascii="华文中宋" w:hAnsi="华文中宋" w:eastAsia="华文中宋"/>
          <w:b/>
          <w:bCs/>
          <w:color w:val="auto"/>
          <w:sz w:val="24"/>
          <w:highlight w:val="none"/>
        </w:rPr>
      </w:pPr>
      <w:r>
        <w:rPr>
          <w:rFonts w:hint="eastAsia" w:ascii="华文中宋" w:hAnsi="华文中宋" w:eastAsia="华文中宋" w:cs="华文中宋"/>
          <w:b/>
          <w:bCs/>
          <w:color w:val="auto"/>
          <w:sz w:val="24"/>
          <w:highlight w:val="none"/>
        </w:rPr>
        <w:t>十八、合同生效及其它</w:t>
      </w:r>
      <w:bookmarkEnd w:id="13"/>
      <w:bookmarkEnd w:id="14"/>
      <w:bookmarkEnd w:id="15"/>
    </w:p>
    <w:p>
      <w:pPr>
        <w:widowControl/>
        <w:snapToGrid w:val="0"/>
        <w:spacing w:line="440" w:lineRule="exact"/>
        <w:ind w:firstLine="480" w:firstLineChars="200"/>
        <w:jc w:val="left"/>
        <w:rPr>
          <w:rFonts w:ascii="华文中宋" w:hAnsi="华文中宋" w:eastAsia="华文中宋"/>
          <w:color w:val="auto"/>
          <w:sz w:val="24"/>
          <w:highlight w:val="none"/>
        </w:rPr>
      </w:pPr>
      <w:r>
        <w:rPr>
          <w:rFonts w:ascii="华文中宋" w:hAnsi="华文中宋" w:eastAsia="华文中宋" w:cs="华文中宋"/>
          <w:color w:val="auto"/>
          <w:sz w:val="24"/>
          <w:highlight w:val="none"/>
        </w:rPr>
        <w:t>1</w:t>
      </w:r>
      <w:r>
        <w:rPr>
          <w:rFonts w:hint="eastAsia" w:ascii="华文中宋" w:hAnsi="华文中宋" w:eastAsia="华文中宋" w:cs="华文中宋"/>
          <w:color w:val="auto"/>
          <w:sz w:val="24"/>
          <w:highlight w:val="none"/>
        </w:rPr>
        <w:t>、合同经双方法定代表人或授权代表签字并加盖单位公章，并经</w:t>
      </w:r>
      <w:r>
        <w:rPr>
          <w:rFonts w:hint="eastAsia" w:ascii="华文中宋" w:hAnsi="华文中宋" w:eastAsia="华文中宋" w:cs="华文中宋"/>
          <w:color w:val="auto"/>
          <w:sz w:val="24"/>
          <w:highlight w:val="none"/>
          <w:lang w:eastAsia="zh-CN"/>
        </w:rPr>
        <w:t>衢州创禾招标代理有限公司</w:t>
      </w:r>
      <w:r>
        <w:rPr>
          <w:rFonts w:hint="eastAsia" w:ascii="华文中宋" w:hAnsi="华文中宋" w:eastAsia="华文中宋" w:cs="华文中宋"/>
          <w:color w:val="auto"/>
          <w:sz w:val="24"/>
          <w:highlight w:val="none"/>
        </w:rPr>
        <w:t>加盖鉴证章后生效。</w:t>
      </w:r>
    </w:p>
    <w:p>
      <w:pPr>
        <w:widowControl/>
        <w:snapToGrid w:val="0"/>
        <w:spacing w:line="440" w:lineRule="exact"/>
        <w:ind w:firstLine="480" w:firstLineChars="200"/>
        <w:jc w:val="left"/>
        <w:rPr>
          <w:rFonts w:ascii="华文中宋" w:hAnsi="华文中宋" w:eastAsia="华文中宋"/>
          <w:color w:val="auto"/>
          <w:sz w:val="24"/>
          <w:highlight w:val="none"/>
        </w:rPr>
      </w:pPr>
      <w:r>
        <w:rPr>
          <w:rFonts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t>、合同执行中涉及采购资金和采购内容修改或补充的，须经龙游县财政局备案同意，方可作为主合同不可分割的一部分。</w:t>
      </w:r>
    </w:p>
    <w:p>
      <w:pPr>
        <w:widowControl/>
        <w:snapToGrid w:val="0"/>
        <w:spacing w:line="440" w:lineRule="exact"/>
        <w:ind w:firstLine="480" w:firstLineChars="200"/>
        <w:jc w:val="left"/>
        <w:rPr>
          <w:rFonts w:ascii="华文中宋" w:hAnsi="华文中宋" w:eastAsia="华文中宋"/>
          <w:color w:val="auto"/>
          <w:sz w:val="24"/>
          <w:highlight w:val="none"/>
        </w:rPr>
      </w:pPr>
      <w:r>
        <w:rPr>
          <w:rFonts w:ascii="华文中宋" w:hAnsi="华文中宋" w:eastAsia="华文中宋" w:cs="华文中宋"/>
          <w:color w:val="auto"/>
          <w:sz w:val="24"/>
          <w:highlight w:val="none"/>
        </w:rPr>
        <w:t>3</w:t>
      </w:r>
      <w:r>
        <w:rPr>
          <w:rFonts w:hint="eastAsia" w:ascii="华文中宋" w:hAnsi="华文中宋" w:eastAsia="华文中宋" w:cs="华文中宋"/>
          <w:color w:val="auto"/>
          <w:sz w:val="24"/>
          <w:highlight w:val="none"/>
        </w:rPr>
        <w:t>、本合同未尽事宜，遵照《民法典》有关条文执行。</w:t>
      </w:r>
    </w:p>
    <w:p>
      <w:pPr>
        <w:widowControl/>
        <w:snapToGrid w:val="0"/>
        <w:spacing w:line="440" w:lineRule="exact"/>
        <w:ind w:firstLine="480" w:firstLineChars="200"/>
        <w:jc w:val="left"/>
        <w:rPr>
          <w:rFonts w:ascii="华文中宋" w:hAnsi="华文中宋" w:eastAsia="华文中宋"/>
          <w:color w:val="auto"/>
          <w:sz w:val="24"/>
          <w:highlight w:val="none"/>
        </w:rPr>
      </w:pPr>
      <w:r>
        <w:rPr>
          <w:rFonts w:ascii="华文中宋" w:hAnsi="华文中宋" w:eastAsia="华文中宋" w:cs="华文中宋"/>
          <w:color w:val="auto"/>
          <w:sz w:val="24"/>
          <w:highlight w:val="none"/>
        </w:rPr>
        <w:t>4</w:t>
      </w:r>
      <w:r>
        <w:rPr>
          <w:rFonts w:hint="eastAsia" w:ascii="华文中宋" w:hAnsi="华文中宋" w:eastAsia="华文中宋" w:cs="华文中宋"/>
          <w:color w:val="auto"/>
          <w:sz w:val="24"/>
          <w:highlight w:val="none"/>
        </w:rPr>
        <w:t>、本合同一式五份，具有同等法律效力，甲乙双方各执二份，</w:t>
      </w:r>
      <w:r>
        <w:rPr>
          <w:rFonts w:hint="eastAsia" w:ascii="华文中宋" w:hAnsi="华文中宋" w:eastAsia="华文中宋" w:cs="华文中宋"/>
          <w:color w:val="auto"/>
          <w:sz w:val="24"/>
          <w:highlight w:val="none"/>
          <w:lang w:eastAsia="zh-CN"/>
        </w:rPr>
        <w:t>衢州创禾招标代理有限公司</w:t>
      </w:r>
      <w:r>
        <w:rPr>
          <w:rFonts w:hint="eastAsia" w:ascii="华文中宋" w:hAnsi="华文中宋" w:eastAsia="华文中宋" w:cs="华文中宋"/>
          <w:color w:val="auto"/>
          <w:sz w:val="24"/>
          <w:highlight w:val="none"/>
        </w:rPr>
        <w:t>留存一份。</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甲</w:t>
      </w:r>
      <w:r>
        <w:rPr>
          <w:rFonts w:hint="eastAsia" w:ascii="宋体" w:hAnsi="宋体" w:cs="宋体"/>
          <w:color w:val="auto"/>
          <w:sz w:val="24"/>
          <w:highlight w:val="none"/>
        </w:rPr>
        <w:t>方（盖章）：</w:t>
      </w:r>
      <w:r>
        <w:rPr>
          <w:rFonts w:hint="eastAsia" w:ascii="宋体" w:hAnsi="宋体" w:cs="宋体"/>
          <w:color w:val="auto"/>
          <w:sz w:val="24"/>
          <w:highlight w:val="none"/>
          <w:lang w:eastAsia="zh-CN"/>
        </w:rPr>
        <w:t>龙游县残疾人联合会</w:t>
      </w:r>
      <w:r>
        <w:rPr>
          <w:rFonts w:hint="eastAsia" w:ascii="宋体" w:hAnsi="宋体" w:cs="宋体"/>
          <w:color w:val="auto"/>
          <w:sz w:val="24"/>
          <w:highlight w:val="none"/>
          <w:lang w:val="zh-CN"/>
        </w:rPr>
        <w:t xml:space="preserve">                                                                       </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地址：</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法定（授权）代表人：                      </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签字日期：  年  月  日                    </w:t>
      </w:r>
    </w:p>
    <w:p>
      <w:pPr>
        <w:spacing w:line="360" w:lineRule="auto"/>
        <w:ind w:firstLine="480"/>
        <w:rPr>
          <w:rFonts w:hint="eastAsia" w:ascii="宋体" w:hAnsi="宋体" w:cs="宋体"/>
          <w:color w:val="auto"/>
          <w:sz w:val="24"/>
          <w:highlight w:val="none"/>
        </w:rPr>
      </w:pP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乙方（盖章）：</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地址：</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法定（授权）代表人：</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开户银行：</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账号：</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签字日期：  年  月  日</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 </w:t>
      </w:r>
    </w:p>
    <w:p>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合同鉴证方（</w:t>
      </w:r>
      <w:r>
        <w:rPr>
          <w:rFonts w:hint="eastAsia" w:ascii="宋体" w:hAnsi="宋体" w:cs="宋体"/>
          <w:color w:val="auto"/>
          <w:sz w:val="24"/>
          <w:highlight w:val="none"/>
        </w:rPr>
        <w:t>盖章</w:t>
      </w:r>
      <w:r>
        <w:rPr>
          <w:rFonts w:hint="eastAsia" w:ascii="宋体" w:hAnsi="宋体" w:cs="宋体"/>
          <w:color w:val="auto"/>
          <w:sz w:val="24"/>
          <w:highlight w:val="none"/>
          <w:lang w:val="zh-CN"/>
        </w:rPr>
        <w:t xml:space="preserve">）: 衢州创禾招标代理有限公司 </w:t>
      </w:r>
    </w:p>
    <w:p>
      <w:pPr>
        <w:spacing w:line="360" w:lineRule="auto"/>
        <w:ind w:firstLine="480"/>
        <w:rPr>
          <w:rFonts w:hint="eastAsia" w:ascii="宋体" w:hAnsi="宋体" w:cs="仿宋_GB2312"/>
          <w:b/>
          <w:bCs/>
          <w:color w:val="auto"/>
          <w:sz w:val="24"/>
          <w:highlight w:val="none"/>
        </w:rPr>
      </w:pPr>
      <w:r>
        <w:rPr>
          <w:rFonts w:hint="eastAsia" w:ascii="宋体" w:hAnsi="宋体" w:cs="宋体"/>
          <w:color w:val="auto"/>
          <w:sz w:val="24"/>
          <w:highlight w:val="none"/>
          <w:lang w:val="zh-CN"/>
        </w:rPr>
        <w:t>鉴证日期:    年  月  日</w:t>
      </w: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sectPr>
          <w:headerReference r:id="rId10" w:type="first"/>
          <w:footerReference r:id="rId12" w:type="first"/>
          <w:headerReference r:id="rId9" w:type="default"/>
          <w:footerReference r:id="rId11" w:type="default"/>
          <w:pgSz w:w="11906" w:h="16838"/>
          <w:pgMar w:top="1417" w:right="1134" w:bottom="1417"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第五章  投标文件格式</w:t>
      </w:r>
    </w:p>
    <w:p>
      <w:pPr>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Style w:val="6"/>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ageBreakBefore w:val="0"/>
        <w:kinsoku/>
        <w:overflowPunct/>
        <w:topLinePunct w:val="0"/>
        <w:bidi w:val="0"/>
        <w:ind w:left="0" w:leftChars="0"/>
        <w:jc w:val="center"/>
        <w:rPr>
          <w:rFonts w:hint="eastAsia" w:ascii="宋体" w:hAnsi="宋体" w:eastAsia="宋体" w:cs="宋体"/>
          <w:b/>
          <w:color w:val="auto"/>
          <w:kern w:val="2"/>
          <w:sz w:val="32"/>
          <w:szCs w:val="32"/>
          <w:highlight w:val="none"/>
          <w:lang w:val="en-US" w:eastAsia="zh-CN" w:bidi="ar-SA"/>
        </w:rPr>
      </w:pPr>
      <w:r>
        <w:rPr>
          <w:rFonts w:hint="eastAsia" w:ascii="宋体" w:hAnsi="宋体" w:cs="宋体"/>
          <w:b/>
          <w:color w:val="auto"/>
          <w:kern w:val="2"/>
          <w:sz w:val="32"/>
          <w:szCs w:val="32"/>
          <w:highlight w:val="none"/>
          <w:lang w:val="en-US" w:eastAsia="zh-CN" w:bidi="ar-SA"/>
        </w:rPr>
        <w:t>龙游县重度残疾人康养一体化康复设备采购项目（重招）</w:t>
      </w:r>
    </w:p>
    <w:p>
      <w:pPr>
        <w:pageBreakBefore w:val="0"/>
        <w:kinsoku/>
        <w:overflowPunct/>
        <w:topLinePunct w:val="0"/>
        <w:bidi w:val="0"/>
        <w:ind w:left="0" w:leftChars="0"/>
        <w:jc w:val="center"/>
        <w:rPr>
          <w:rFonts w:hint="eastAsia" w:ascii="宋体" w:hAnsi="宋体" w:eastAsia="宋体" w:cs="宋体"/>
          <w:b/>
          <w:color w:val="auto"/>
          <w:kern w:val="2"/>
          <w:sz w:val="32"/>
          <w:szCs w:val="32"/>
          <w:highlight w:val="none"/>
          <w:lang w:val="en-US" w:eastAsia="zh-CN" w:bidi="ar-SA"/>
        </w:rPr>
      </w:pPr>
    </w:p>
    <w:p>
      <w:pPr>
        <w:pageBreakBefore w:val="0"/>
        <w:kinsoku/>
        <w:overflowPunct/>
        <w:topLinePunct w:val="0"/>
        <w:bidi w:val="0"/>
        <w:ind w:left="0" w:leftChars="0"/>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资格审查文件/商务技术文件/价格文件</w:t>
      </w:r>
    </w:p>
    <w:p>
      <w:pPr>
        <w:pStyle w:val="6"/>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Style w:val="6"/>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Style w:val="7"/>
        <w:pageBreakBefore w:val="0"/>
        <w:kinsoku/>
        <w:overflowPunct/>
        <w:topLinePunct w:val="0"/>
        <w:bidi w:val="0"/>
        <w:ind w:left="0" w:leftChars="0"/>
        <w:rPr>
          <w:rFonts w:hint="eastAsia" w:ascii="宋体" w:hAnsi="宋体" w:eastAsia="宋体" w:cs="宋体"/>
          <w:b/>
          <w:color w:val="auto"/>
          <w:kern w:val="2"/>
          <w:sz w:val="32"/>
          <w:szCs w:val="32"/>
          <w:highlight w:val="none"/>
          <w:lang w:val="en-US" w:eastAsia="zh-CN" w:bidi="ar-SA"/>
        </w:rPr>
      </w:pPr>
    </w:p>
    <w:p>
      <w:pPr>
        <w:pageBreakBefore w:val="0"/>
        <w:kinsoku/>
        <w:overflowPunct/>
        <w:topLinePunct w:val="0"/>
        <w:bidi w:val="0"/>
        <w:spacing w:line="460" w:lineRule="exact"/>
        <w:ind w:left="0" w:leftChars="0"/>
        <w:rPr>
          <w:rFonts w:hint="eastAsia" w:ascii="宋体" w:hAnsi="宋体" w:eastAsia="宋体" w:cs="宋体"/>
          <w:b/>
          <w:bCs/>
          <w:color w:val="auto"/>
          <w:sz w:val="32"/>
          <w:szCs w:val="32"/>
          <w:highlight w:val="none"/>
          <w:lang w:val="zh-CN"/>
        </w:rPr>
      </w:pPr>
      <w:r>
        <w:rPr>
          <w:rFonts w:hint="eastAsia" w:ascii="宋体" w:hAnsi="宋体" w:eastAsia="宋体" w:cs="宋体"/>
          <w:b/>
          <w:color w:val="auto"/>
          <w:kern w:val="2"/>
          <w:sz w:val="32"/>
          <w:szCs w:val="32"/>
          <w:highlight w:val="none"/>
          <w:lang w:val="en-US" w:eastAsia="zh-CN" w:bidi="ar-SA"/>
        </w:rPr>
        <w:t>项目编号：</w:t>
      </w:r>
      <w:r>
        <w:rPr>
          <w:rFonts w:hint="eastAsia" w:ascii="宋体" w:hAnsi="宋体" w:cs="宋体"/>
          <w:b/>
          <w:bCs/>
          <w:color w:val="auto"/>
          <w:sz w:val="32"/>
          <w:szCs w:val="32"/>
          <w:highlight w:val="none"/>
          <w:lang w:val="zh-CN"/>
        </w:rPr>
        <w:t>QZCHZFCG2025-005</w:t>
      </w:r>
    </w:p>
    <w:p>
      <w:pPr>
        <w:pageBreakBefore w:val="0"/>
        <w:kinsoku/>
        <w:overflowPunct/>
        <w:topLinePunct w:val="0"/>
        <w:bidi w:val="0"/>
        <w:spacing w:line="460" w:lineRule="exact"/>
        <w:ind w:left="0" w:leftChars="0"/>
        <w:rPr>
          <w:rFonts w:hint="eastAsia" w:ascii="宋体" w:hAnsi="宋体" w:eastAsia="宋体" w:cs="宋体"/>
          <w:b/>
          <w:bCs/>
          <w:color w:val="auto"/>
          <w:sz w:val="32"/>
          <w:szCs w:val="32"/>
          <w:highlight w:val="none"/>
          <w:lang w:val="zh-CN"/>
        </w:rPr>
      </w:pPr>
    </w:p>
    <w:p>
      <w:pPr>
        <w:pageBreakBefore w:val="0"/>
        <w:kinsoku/>
        <w:overflowPunct/>
        <w:topLinePunct w:val="0"/>
        <w:bidi w:val="0"/>
        <w:spacing w:line="460" w:lineRule="exact"/>
        <w:ind w:left="0" w:leftChars="0"/>
        <w:rPr>
          <w:rFonts w:hint="default" w:ascii="宋体" w:hAnsi="宋体" w:eastAsia="宋体" w:cs="宋体"/>
          <w:b/>
          <w:bCs/>
          <w:color w:val="auto"/>
          <w:sz w:val="32"/>
          <w:szCs w:val="32"/>
          <w:highlight w:val="none"/>
          <w:u w:val="single"/>
          <w:lang w:val="en-US" w:eastAsia="zh-CN"/>
        </w:rPr>
      </w:pPr>
      <w:r>
        <w:rPr>
          <w:rFonts w:hint="eastAsia" w:ascii="宋体" w:hAnsi="宋体" w:eastAsia="宋体" w:cs="宋体"/>
          <w:b/>
          <w:bCs/>
          <w:color w:val="auto"/>
          <w:sz w:val="32"/>
          <w:szCs w:val="32"/>
          <w:highlight w:val="none"/>
          <w:lang w:val="en-US" w:eastAsia="zh-CN"/>
        </w:rPr>
        <w:t>投标人全称（盖章）：</w:t>
      </w:r>
      <w:r>
        <w:rPr>
          <w:rFonts w:hint="eastAsia" w:ascii="宋体" w:hAnsi="宋体" w:eastAsia="宋体" w:cs="宋体"/>
          <w:b/>
          <w:bCs/>
          <w:color w:val="auto"/>
          <w:sz w:val="32"/>
          <w:szCs w:val="32"/>
          <w:highlight w:val="none"/>
          <w:u w:val="single"/>
          <w:lang w:val="en-US" w:eastAsia="zh-CN"/>
        </w:rPr>
        <w:t xml:space="preserve">                                 </w:t>
      </w:r>
    </w:p>
    <w:p>
      <w:pPr>
        <w:pageBreakBefore w:val="0"/>
        <w:kinsoku/>
        <w:overflowPunct/>
        <w:topLinePunct w:val="0"/>
        <w:bidi w:val="0"/>
        <w:spacing w:line="460" w:lineRule="exact"/>
        <w:ind w:left="0" w:leftChars="0"/>
        <w:rPr>
          <w:rFonts w:hint="eastAsia" w:ascii="宋体" w:hAnsi="宋体" w:eastAsia="宋体" w:cs="宋体"/>
          <w:b/>
          <w:bCs/>
          <w:color w:val="auto"/>
          <w:sz w:val="32"/>
          <w:szCs w:val="32"/>
          <w:highlight w:val="none"/>
          <w:lang w:val="en-US" w:eastAsia="zh-CN"/>
        </w:rPr>
      </w:pPr>
    </w:p>
    <w:p>
      <w:pPr>
        <w:pageBreakBefore w:val="0"/>
        <w:kinsoku/>
        <w:overflowPunct/>
        <w:topLinePunct w:val="0"/>
        <w:bidi w:val="0"/>
        <w:spacing w:line="460" w:lineRule="exact"/>
        <w:ind w:left="0" w:leftChars="0"/>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法定代表人或授权代理人（签字或盖章）：</w:t>
      </w:r>
      <w:r>
        <w:rPr>
          <w:rFonts w:hint="eastAsia" w:ascii="宋体" w:hAnsi="宋体" w:eastAsia="宋体" w:cs="宋体"/>
          <w:b/>
          <w:bCs/>
          <w:color w:val="auto"/>
          <w:sz w:val="32"/>
          <w:szCs w:val="32"/>
          <w:highlight w:val="none"/>
          <w:u w:val="single"/>
          <w:lang w:val="en-US" w:eastAsia="zh-CN"/>
        </w:rPr>
        <w:t xml:space="preserve">               </w:t>
      </w:r>
      <w:r>
        <w:rPr>
          <w:rFonts w:hint="eastAsia" w:ascii="宋体" w:hAnsi="宋体" w:eastAsia="宋体" w:cs="宋体"/>
          <w:b/>
          <w:bCs/>
          <w:color w:val="auto"/>
          <w:sz w:val="32"/>
          <w:szCs w:val="32"/>
          <w:highlight w:val="none"/>
          <w:lang w:val="en-US" w:eastAsia="zh-CN"/>
        </w:rPr>
        <w:t xml:space="preserve">   </w:t>
      </w:r>
    </w:p>
    <w:p>
      <w:pPr>
        <w:pageBreakBefore w:val="0"/>
        <w:kinsoku/>
        <w:overflowPunct/>
        <w:topLinePunct w:val="0"/>
        <w:bidi w:val="0"/>
        <w:spacing w:line="460" w:lineRule="exact"/>
        <w:ind w:left="0" w:leftChars="0"/>
        <w:rPr>
          <w:rFonts w:hint="eastAsia" w:ascii="宋体" w:hAnsi="宋体" w:eastAsia="宋体" w:cs="宋体"/>
          <w:b/>
          <w:bCs/>
          <w:color w:val="auto"/>
          <w:sz w:val="32"/>
          <w:szCs w:val="32"/>
          <w:highlight w:val="none"/>
          <w:lang w:val="en-US" w:eastAsia="zh-CN"/>
        </w:rPr>
      </w:pPr>
    </w:p>
    <w:p>
      <w:pPr>
        <w:pageBreakBefore w:val="0"/>
        <w:kinsoku/>
        <w:overflowPunct/>
        <w:topLinePunct w:val="0"/>
        <w:bidi w:val="0"/>
        <w:spacing w:line="460" w:lineRule="exact"/>
        <w:ind w:left="0" w:leftChars="0"/>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投标人地址：</w:t>
      </w:r>
      <w:r>
        <w:rPr>
          <w:rFonts w:hint="eastAsia" w:ascii="宋体" w:hAnsi="宋体" w:eastAsia="宋体" w:cs="宋体"/>
          <w:b/>
          <w:bCs/>
          <w:color w:val="auto"/>
          <w:sz w:val="32"/>
          <w:szCs w:val="32"/>
          <w:highlight w:val="none"/>
          <w:u w:val="single"/>
          <w:lang w:val="en-US" w:eastAsia="zh-CN"/>
        </w:rPr>
        <w:t xml:space="preserve">                                         </w:t>
      </w:r>
    </w:p>
    <w:p>
      <w:pPr>
        <w:pageBreakBefore w:val="0"/>
        <w:kinsoku/>
        <w:overflowPunct/>
        <w:topLinePunct w:val="0"/>
        <w:bidi w:val="0"/>
        <w:spacing w:line="460" w:lineRule="exact"/>
        <w:ind w:left="0" w:leftChars="0"/>
        <w:rPr>
          <w:rFonts w:hint="eastAsia" w:ascii="宋体" w:hAnsi="宋体" w:eastAsia="宋体" w:cs="宋体"/>
          <w:b/>
          <w:bCs/>
          <w:color w:val="auto"/>
          <w:sz w:val="32"/>
          <w:szCs w:val="32"/>
          <w:highlight w:val="none"/>
          <w:lang w:val="en-US" w:eastAsia="zh-CN"/>
        </w:rPr>
      </w:pPr>
    </w:p>
    <w:p>
      <w:pPr>
        <w:pageBreakBefore w:val="0"/>
        <w:kinsoku/>
        <w:overflowPunct/>
        <w:topLinePunct w:val="0"/>
        <w:bidi w:val="0"/>
        <w:spacing w:line="460" w:lineRule="exact"/>
        <w:ind w:left="0" w:leftChars="0"/>
        <w:jc w:val="right"/>
        <w:rPr>
          <w:rFonts w:hint="eastAsia" w:ascii="宋体" w:hAnsi="宋体" w:eastAsia="宋体" w:cs="宋体"/>
          <w:b/>
          <w:bCs/>
          <w:color w:val="auto"/>
          <w:sz w:val="32"/>
          <w:szCs w:val="32"/>
          <w:highlight w:val="none"/>
          <w:lang w:val="en-US" w:eastAsia="zh-CN"/>
        </w:rPr>
      </w:pPr>
    </w:p>
    <w:p>
      <w:pPr>
        <w:pageBreakBefore w:val="0"/>
        <w:kinsoku/>
        <w:overflowPunct/>
        <w:topLinePunct w:val="0"/>
        <w:bidi w:val="0"/>
        <w:spacing w:line="460" w:lineRule="exact"/>
        <w:ind w:left="0" w:leftChars="0"/>
        <w:jc w:val="right"/>
        <w:rPr>
          <w:rFonts w:hint="eastAsia" w:ascii="宋体" w:hAnsi="宋体" w:eastAsia="宋体" w:cs="宋体"/>
          <w:b/>
          <w:bCs/>
          <w:color w:val="auto"/>
          <w:sz w:val="32"/>
          <w:szCs w:val="32"/>
          <w:highlight w:val="none"/>
          <w:lang w:val="en-US" w:eastAsia="zh-CN"/>
        </w:rPr>
      </w:pPr>
    </w:p>
    <w:p>
      <w:pPr>
        <w:pageBreakBefore w:val="0"/>
        <w:kinsoku/>
        <w:overflowPunct/>
        <w:topLinePunct w:val="0"/>
        <w:bidi w:val="0"/>
        <w:spacing w:line="460" w:lineRule="exact"/>
        <w:ind w:left="0" w:leftChars="0"/>
        <w:jc w:val="right"/>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日期：  年  月  日</w:t>
      </w:r>
    </w:p>
    <w:p>
      <w:pPr>
        <w:pStyle w:val="7"/>
        <w:pageBreakBefore w:val="0"/>
        <w:kinsoku/>
        <w:overflowPunct/>
        <w:topLinePunct w:val="0"/>
        <w:bidi w:val="0"/>
        <w:ind w:left="0" w:leftChars="0"/>
        <w:jc w:val="center"/>
        <w:outlineLvl w:val="0"/>
        <w:rPr>
          <w:rFonts w:hint="eastAsia" w:ascii="宋体" w:hAnsi="宋体" w:eastAsia="宋体" w:cs="宋体"/>
          <w:b/>
          <w:color w:val="auto"/>
          <w:kern w:val="2"/>
          <w:sz w:val="32"/>
          <w:szCs w:val="32"/>
          <w:highlight w:val="none"/>
          <w:lang w:val="en-US" w:eastAsia="zh-CN" w:bidi="ar-SA"/>
        </w:rPr>
        <w:sectPr>
          <w:pgSz w:w="11906" w:h="16838"/>
          <w:pgMar w:top="1417" w:right="1134" w:bottom="1417" w:left="1134" w:header="851" w:footer="850"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eastAsia="宋体" w:cs="宋体"/>
          <w:b/>
          <w:bCs/>
          <w:color w:val="auto"/>
          <w:sz w:val="32"/>
          <w:szCs w:val="32"/>
          <w:highlight w:val="none"/>
          <w:lang w:val="en-US" w:eastAsia="zh-CN"/>
        </w:rPr>
        <w:br w:type="page"/>
      </w:r>
    </w:p>
    <w:bookmarkEnd w:id="12"/>
    <w:p>
      <w:pPr>
        <w:snapToGrid w:val="0"/>
        <w:spacing w:after="50" w:line="48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附件1</w:t>
      </w:r>
    </w:p>
    <w:p>
      <w:pPr>
        <w:pageBreakBefore w:val="0"/>
        <w:kinsoku/>
        <w:overflowPunct/>
        <w:topLinePunct w:val="0"/>
        <w:bidi w:val="0"/>
        <w:ind w:left="0" w:leftChars="0"/>
        <w:jc w:val="center"/>
        <w:rPr>
          <w:rFonts w:hint="eastAsia" w:ascii="宋体" w:hAnsi="宋体" w:cs="宋体"/>
          <w:b/>
          <w:color w:val="auto"/>
          <w:kern w:val="2"/>
          <w:sz w:val="32"/>
          <w:szCs w:val="32"/>
          <w:highlight w:val="none"/>
          <w:lang w:val="en-US" w:eastAsia="zh-CN" w:bidi="ar-SA"/>
        </w:rPr>
      </w:pPr>
      <w:r>
        <w:rPr>
          <w:rFonts w:hint="eastAsia" w:ascii="宋体" w:hAnsi="宋体" w:cs="宋体"/>
          <w:b/>
          <w:color w:val="auto"/>
          <w:kern w:val="2"/>
          <w:sz w:val="32"/>
          <w:szCs w:val="32"/>
          <w:highlight w:val="none"/>
          <w:lang w:val="en-US" w:eastAsia="zh-CN" w:bidi="ar-SA"/>
        </w:rPr>
        <w:t>投标声明书</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 xml:space="preserve"> ：</w:t>
      </w:r>
    </w:p>
    <w:p>
      <w:pPr>
        <w:pageBreakBefore w:val="0"/>
        <w:kinsoku/>
        <w:overflowPunct/>
        <w:topLinePunct w:val="0"/>
        <w:autoSpaceDE/>
        <w:autoSpaceDN/>
        <w:bidi w:val="0"/>
        <w:snapToGrid w:val="0"/>
        <w:spacing w:before="0" w:after="0" w:line="480" w:lineRule="auto"/>
        <w:ind w:left="0" w:leftChars="0" w:firstLine="720" w:firstLineChars="300"/>
        <w:jc w:val="both"/>
        <w:rPr>
          <w:rFonts w:hint="eastAsia" w:ascii="宋体" w:hAnsi="宋体" w:eastAsia="宋体" w:cs="宋体"/>
          <w:b w:val="0"/>
          <w:color w:val="auto"/>
          <w:w w:val="100"/>
          <w:sz w:val="24"/>
          <w:szCs w:val="24"/>
          <w:highlight w:val="none"/>
          <w:lang w:val="en-US" w:eastAsia="zh-CN"/>
        </w:rPr>
      </w:pP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（投标人名称）系中华人民共和国合法企业，经营地址。</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我</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（姓名）系</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（投标人名称）的法定代表人，我方愿意参加贵方组织的</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cs="宋体"/>
          <w:b w:val="0"/>
          <w:color w:val="auto"/>
          <w:w w:val="100"/>
          <w:sz w:val="24"/>
          <w:szCs w:val="24"/>
          <w:highlight w:val="none"/>
          <w:u w:val="none"/>
          <w:lang w:val="en-US" w:eastAsia="zh-CN"/>
        </w:rPr>
        <w:t>（项目名称）</w:t>
      </w:r>
      <w:r>
        <w:rPr>
          <w:rFonts w:hint="eastAsia" w:ascii="宋体" w:hAnsi="宋体" w:eastAsia="宋体" w:cs="宋体"/>
          <w:b w:val="0"/>
          <w:color w:val="auto"/>
          <w:w w:val="100"/>
          <w:sz w:val="24"/>
          <w:szCs w:val="24"/>
          <w:highlight w:val="none"/>
          <w:lang w:val="en-US" w:eastAsia="zh-CN"/>
        </w:rPr>
        <w:t>的投标，为便于贵方公正、择优地确定中标人及其投标项目的服务，我方就本次投标有关事项郑重声明如下：</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1、我方向贵方提交的所有投标文件、资料都是准确的和真实的；</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2、我方不是采购人的附属机构；</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3、我方此次向贵方提供的项目名称为：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4、我方最近三年内的被公开披露或查处的违法违规行为有：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5、以上事项如有虚假或隐瞒，我方愿意承担一切后果和责任。</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spacing w:line="360" w:lineRule="auto"/>
        <w:ind w:firstLine="640"/>
        <w:rPr>
          <w:rFonts w:ascii="微软雅黑" w:hAnsi="微软雅黑"/>
          <w:bCs/>
          <w:color w:val="auto"/>
          <w:sz w:val="32"/>
          <w:szCs w:val="32"/>
          <w:highlight w:val="none"/>
        </w:rPr>
      </w:pPr>
    </w:p>
    <w:p>
      <w:pPr>
        <w:tabs>
          <w:tab w:val="left" w:pos="605"/>
        </w:tabs>
        <w:spacing w:line="360" w:lineRule="auto"/>
        <w:ind w:firstLine="640"/>
        <w:jc w:val="left"/>
        <w:rPr>
          <w:rFonts w:hint="eastAsia" w:ascii="微软雅黑" w:hAnsi="微软雅黑" w:eastAsia="宋体"/>
          <w:bCs/>
          <w:color w:val="auto"/>
          <w:sz w:val="32"/>
          <w:szCs w:val="32"/>
          <w:highlight w:val="none"/>
          <w:lang w:eastAsia="zh-CN"/>
        </w:rPr>
      </w:pPr>
    </w:p>
    <w:p>
      <w:pPr>
        <w:pStyle w:val="78"/>
        <w:ind w:firstLine="720"/>
        <w:rPr>
          <w:rFonts w:hint="eastAsia" w:ascii="微软雅黑" w:hAnsi="微软雅黑" w:eastAsia="微软雅黑"/>
          <w:color w:val="auto"/>
          <w:szCs w:val="32"/>
          <w:highlight w:val="none"/>
        </w:rPr>
      </w:pPr>
    </w:p>
    <w:p>
      <w:pPr>
        <w:pStyle w:val="78"/>
        <w:ind w:firstLine="720"/>
        <w:rPr>
          <w:rFonts w:hint="eastAsia" w:ascii="微软雅黑" w:hAnsi="微软雅黑" w:eastAsia="微软雅黑"/>
          <w:color w:val="auto"/>
          <w:szCs w:val="32"/>
          <w:highlight w:val="none"/>
        </w:rPr>
      </w:pPr>
    </w:p>
    <w:p>
      <w:pPr>
        <w:ind w:firstLine="480"/>
        <w:rPr>
          <w:rFonts w:ascii="微软雅黑" w:hAnsi="微软雅黑"/>
          <w:bCs/>
          <w:color w:val="auto"/>
          <w:sz w:val="32"/>
          <w:szCs w:val="32"/>
          <w:highlight w:val="none"/>
        </w:rPr>
      </w:pPr>
      <w:r>
        <w:rPr>
          <w:rFonts w:hint="eastAsia" w:ascii="微软雅黑" w:hAnsi="微软雅黑"/>
          <w:color w:val="auto"/>
          <w:highlight w:val="none"/>
        </w:rPr>
        <w:t>附件2</w:t>
      </w:r>
    </w:p>
    <w:p>
      <w:pPr>
        <w:pStyle w:val="2"/>
        <w:numPr>
          <w:ilvl w:val="0"/>
          <w:numId w:val="0"/>
        </w:numPr>
        <w:spacing w:line="240" w:lineRule="auto"/>
        <w:ind w:left="880" w:leftChars="0"/>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所有资质文件</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 xml:space="preserve">致 </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关于贵方招标项目，本签字人愿意参加投标，提供龙游县政府采购一览表中规定的要求及服务，并证实提交的下列文件和说明是准确的和真实的：</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1.投标人基本情况表。</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2.营业执照副本。（扫描件盖章）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3.税务登记证副本。（扫描件盖章）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4.组织机构代码证。（扫描件盖章）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N.投标人认为有必要提供的声明及文件资料。</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p>
    <w:p>
      <w:pPr>
        <w:pageBreakBefore w:val="0"/>
        <w:kinsoku/>
        <w:overflowPunct/>
        <w:topLinePunct w:val="0"/>
        <w:autoSpaceDE/>
        <w:autoSpaceDN/>
        <w:bidi w:val="0"/>
        <w:snapToGrid w:val="0"/>
        <w:spacing w:before="0" w:after="0" w:line="480" w:lineRule="auto"/>
        <w:ind w:left="0" w:leftChars="0" w:firstLine="482" w:firstLineChars="200"/>
        <w:jc w:val="both"/>
        <w:rPr>
          <w:rFonts w:hint="eastAsia" w:ascii="宋体" w:hAnsi="宋体" w:eastAsia="宋体" w:cs="宋体"/>
          <w:b/>
          <w:bCs/>
          <w:color w:val="auto"/>
          <w:w w:val="100"/>
          <w:sz w:val="24"/>
          <w:szCs w:val="24"/>
          <w:highlight w:val="none"/>
          <w:lang w:val="en-US" w:eastAsia="zh-CN"/>
        </w:rPr>
      </w:pPr>
      <w:r>
        <w:rPr>
          <w:rFonts w:hint="eastAsia" w:ascii="宋体" w:hAnsi="宋体" w:eastAsia="宋体" w:cs="宋体"/>
          <w:b/>
          <w:bCs/>
          <w:color w:val="auto"/>
          <w:w w:val="100"/>
          <w:sz w:val="24"/>
          <w:szCs w:val="24"/>
          <w:highlight w:val="none"/>
          <w:lang w:val="en-US" w:eastAsia="zh-CN"/>
        </w:rPr>
        <w:t>如营业执照为五证合一上述2-4项仅需提供加盖公章的营业执照扫描件。</w:t>
      </w:r>
    </w:p>
    <w:p>
      <w:pPr>
        <w:pStyle w:val="80"/>
        <w:ind w:left="0" w:leftChars="0" w:firstLine="0" w:firstLineChars="0"/>
        <w:rPr>
          <w:rFonts w:ascii="微软雅黑" w:hAnsi="微软雅黑" w:eastAsia="微软雅黑"/>
          <w:color w:val="auto"/>
          <w:highlight w:val="none"/>
        </w:rPr>
      </w:pPr>
    </w:p>
    <w:p>
      <w:pPr>
        <w:spacing w:line="360" w:lineRule="auto"/>
        <w:ind w:firstLine="0" w:firstLineChars="0"/>
        <w:rPr>
          <w:rFonts w:ascii="微软雅黑" w:hAnsi="微软雅黑"/>
          <w:bCs/>
          <w:color w:val="auto"/>
          <w:szCs w:val="24"/>
          <w:highlight w:val="none"/>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rPr>
          <w:color w:val="auto"/>
          <w:highlight w:val="none"/>
        </w:rPr>
      </w:pPr>
    </w:p>
    <w:p>
      <w:pPr>
        <w:bidi w:val="0"/>
        <w:rPr>
          <w:rFonts w:ascii="Times New Roman" w:hAnsi="Times New Roman" w:eastAsia="宋体" w:cs="Times New Roman"/>
          <w:color w:val="auto"/>
          <w:kern w:val="2"/>
          <w:sz w:val="21"/>
          <w:szCs w:val="24"/>
          <w:highlight w:val="none"/>
          <w:lang w:val="en-US" w:eastAsia="zh-CN" w:bidi="ar-SA"/>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spacing w:after="120" w:afterLines="50" w:line="360" w:lineRule="exact"/>
        <w:rPr>
          <w:rFonts w:hint="eastAsia" w:ascii="仿宋_GB2312" w:eastAsia="仿宋_GB2312"/>
          <w:color w:val="auto"/>
          <w:sz w:val="28"/>
          <w:szCs w:val="28"/>
          <w:highlight w:val="none"/>
        </w:rPr>
      </w:pPr>
      <w:r>
        <w:rPr>
          <w:rFonts w:hint="eastAsia"/>
          <w:color w:val="auto"/>
          <w:highlight w:val="none"/>
          <w:lang w:val="en-US" w:eastAsia="zh-CN"/>
        </w:rPr>
        <w:tab/>
      </w:r>
    </w:p>
    <w:p>
      <w:pPr>
        <w:tabs>
          <w:tab w:val="left" w:pos="346"/>
        </w:tabs>
        <w:bidi w:val="0"/>
        <w:jc w:val="left"/>
        <w:rPr>
          <w:color w:val="auto"/>
          <w:highlight w:val="none"/>
          <w:lang w:val="en-US" w:eastAsia="zh-CN"/>
        </w:rPr>
        <w:sectPr>
          <w:pgSz w:w="11906" w:h="16838"/>
          <w:pgMar w:top="1417" w:right="1134" w:bottom="1417"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pStyle w:val="77"/>
        <w:ind w:firstLine="480"/>
        <w:rPr>
          <w:rFonts w:ascii="微软雅黑" w:hAnsi="微软雅黑"/>
          <w:color w:val="auto"/>
          <w:highlight w:val="none"/>
        </w:rPr>
      </w:pPr>
      <w:r>
        <w:rPr>
          <w:rFonts w:hint="eastAsia" w:ascii="微软雅黑" w:hAnsi="微软雅黑"/>
          <w:color w:val="auto"/>
          <w:highlight w:val="none"/>
        </w:rPr>
        <w:t>附件3</w:t>
      </w:r>
    </w:p>
    <w:p>
      <w:pPr>
        <w:spacing w:line="360" w:lineRule="auto"/>
        <w:ind w:firstLine="640"/>
        <w:jc w:val="center"/>
        <w:rPr>
          <w:rFonts w:hint="eastAsia" w:ascii="华文中宋" w:hAnsi="华文中宋" w:eastAsia="华文中宋" w:cs="Times New Roman"/>
          <w:bCs/>
          <w:color w:val="auto"/>
          <w:sz w:val="32"/>
          <w:szCs w:val="32"/>
          <w:highlight w:val="none"/>
        </w:rPr>
      </w:pPr>
      <w:r>
        <w:rPr>
          <w:rFonts w:hint="eastAsia" w:ascii="华文中宋" w:hAnsi="华文中宋" w:eastAsia="华文中宋" w:cs="Times New Roman"/>
          <w:bCs/>
          <w:color w:val="auto"/>
          <w:sz w:val="32"/>
          <w:szCs w:val="32"/>
          <w:highlight w:val="none"/>
        </w:rPr>
        <w:t>法定代表人身份证明</w:t>
      </w:r>
    </w:p>
    <w:p>
      <w:pPr>
        <w:spacing w:line="360" w:lineRule="auto"/>
        <w:ind w:firstLine="560" w:firstLineChars="200"/>
        <w:rPr>
          <w:rFonts w:hint="eastAsia" w:ascii="仿宋" w:hAnsi="仿宋" w:eastAsia="仿宋" w:cs="仿宋"/>
          <w:color w:val="auto"/>
          <w:sz w:val="28"/>
          <w:szCs w:val="28"/>
          <w:highlight w:val="none"/>
        </w:rPr>
      </w:pPr>
    </w:p>
    <w:p>
      <w:pPr>
        <w:pStyle w:val="16"/>
        <w:spacing w:line="360" w:lineRule="auto"/>
        <w:ind w:firstLine="700" w:firstLineChars="250"/>
        <w:rPr>
          <w:rFonts w:hint="eastAsia" w:ascii="仿宋" w:hAnsi="仿宋" w:eastAsia="仿宋" w:cs="仿宋"/>
          <w:color w:val="auto"/>
          <w:sz w:val="28"/>
          <w:szCs w:val="28"/>
          <w:highlight w:val="none"/>
        </w:rPr>
      </w:pP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投标人名称：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 </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单位性质：</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 </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u w:val="single"/>
        </w:rPr>
        <w:t xml:space="preserve">                                      </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成立时间：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经营期限：</w:t>
      </w:r>
      <w:r>
        <w:rPr>
          <w:rFonts w:hint="eastAsia" w:ascii="仿宋" w:hAnsi="仿宋" w:eastAsia="仿宋" w:cs="仿宋"/>
          <w:color w:val="auto"/>
          <w:sz w:val="28"/>
          <w:szCs w:val="28"/>
          <w:highlight w:val="none"/>
          <w:u w:val="single"/>
        </w:rPr>
        <w:t xml:space="preserve">                                 </w:t>
      </w:r>
    </w:p>
    <w:p>
      <w:pPr>
        <w:pStyle w:val="16"/>
        <w:spacing w:line="360" w:lineRule="auto"/>
        <w:ind w:firstLine="700" w:firstLineChars="25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姓名：</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性别：</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 年龄：</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职务：</w:t>
      </w:r>
      <w:r>
        <w:rPr>
          <w:rFonts w:hint="eastAsia" w:ascii="仿宋" w:hAnsi="仿宋" w:eastAsia="仿宋" w:cs="仿宋"/>
          <w:color w:val="auto"/>
          <w:sz w:val="28"/>
          <w:szCs w:val="28"/>
          <w:highlight w:val="none"/>
          <w:u w:val="single"/>
        </w:rPr>
        <w:t xml:space="preserve">        </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系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（投标人名称）的法定代表人。</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特此证明。</w:t>
      </w:r>
    </w:p>
    <w:p>
      <w:pPr>
        <w:pStyle w:val="16"/>
        <w:spacing w:line="360" w:lineRule="auto"/>
        <w:ind w:firstLine="700" w:firstLineChars="2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 法定代表人身份证扫描件：</w:t>
      </w:r>
    </w:p>
    <w:p>
      <w:pPr>
        <w:pStyle w:val="16"/>
        <w:spacing w:line="360" w:lineRule="auto"/>
        <w:ind w:firstLine="700" w:firstLineChars="250"/>
        <w:rPr>
          <w:rFonts w:hint="eastAsia" w:ascii="仿宋" w:hAnsi="仿宋" w:eastAsia="仿宋" w:cs="仿宋"/>
          <w:color w:val="auto"/>
          <w:sz w:val="28"/>
          <w:szCs w:val="28"/>
          <w:highlight w:val="none"/>
        </w:rPr>
      </w:pPr>
    </w:p>
    <w:p>
      <w:pPr>
        <w:spacing w:line="360" w:lineRule="auto"/>
        <w:rPr>
          <w:rFonts w:hint="eastAsia" w:ascii="仿宋" w:hAnsi="仿宋" w:eastAsia="仿宋" w:cs="仿宋"/>
          <w:color w:val="auto"/>
          <w:sz w:val="28"/>
          <w:szCs w:val="28"/>
          <w:highlight w:val="none"/>
        </w:rPr>
      </w:pPr>
    </w:p>
    <w:p>
      <w:pPr>
        <w:spacing w:line="360" w:lineRule="auto"/>
        <w:ind w:firstLine="560" w:firstLineChars="200"/>
        <w:rPr>
          <w:rFonts w:hint="eastAsia" w:ascii="仿宋" w:hAnsi="仿宋" w:eastAsia="仿宋" w:cs="仿宋"/>
          <w:color w:val="auto"/>
          <w:sz w:val="28"/>
          <w:szCs w:val="28"/>
          <w:highlight w:val="none"/>
        </w:rPr>
      </w:pPr>
    </w:p>
    <w:p>
      <w:pPr>
        <w:spacing w:line="360" w:lineRule="auto"/>
        <w:ind w:firstLine="2955"/>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 xml:space="preserve">    投标人全称：  </w:t>
      </w:r>
      <w:r>
        <w:rPr>
          <w:rFonts w:hint="eastAsia" w:ascii="仿宋" w:hAnsi="仿宋" w:eastAsia="仿宋" w:cs="仿宋"/>
          <w:color w:val="auto"/>
          <w:sz w:val="28"/>
          <w:szCs w:val="28"/>
          <w:highlight w:val="none"/>
          <w:u w:val="single"/>
        </w:rPr>
        <w:t xml:space="preserve">      （公章）               </w:t>
      </w:r>
    </w:p>
    <w:p>
      <w:pPr>
        <w:spacing w:line="360" w:lineRule="auto"/>
        <w:ind w:firstLine="6020" w:firstLineChars="2150"/>
        <w:rPr>
          <w:rFonts w:hint="eastAsia" w:ascii="仿宋" w:hAnsi="仿宋" w:eastAsia="仿宋" w:cs="仿宋"/>
          <w:color w:val="auto"/>
          <w:sz w:val="28"/>
          <w:szCs w:val="28"/>
          <w:highlight w:val="none"/>
        </w:rPr>
      </w:pPr>
    </w:p>
    <w:p>
      <w:pPr>
        <w:spacing w:line="360" w:lineRule="auto"/>
        <w:ind w:firstLine="6020" w:firstLineChars="2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年    月     日</w:t>
      </w:r>
    </w:p>
    <w:p>
      <w:pPr>
        <w:spacing w:line="360" w:lineRule="auto"/>
        <w:jc w:val="center"/>
        <w:rPr>
          <w:rFonts w:hint="eastAsia" w:ascii="仿宋" w:hAnsi="仿宋" w:eastAsia="仿宋" w:cs="仿宋"/>
          <w:color w:val="auto"/>
          <w:sz w:val="28"/>
          <w:szCs w:val="28"/>
          <w:highlight w:val="none"/>
        </w:rPr>
      </w:pPr>
    </w:p>
    <w:p>
      <w:pPr>
        <w:spacing w:line="360" w:lineRule="auto"/>
        <w:jc w:val="center"/>
        <w:rPr>
          <w:rFonts w:hint="eastAsia" w:ascii="仿宋" w:hAnsi="仿宋" w:eastAsia="仿宋" w:cs="仿宋"/>
          <w:color w:val="auto"/>
          <w:sz w:val="28"/>
          <w:szCs w:val="28"/>
          <w:highlight w:val="none"/>
        </w:rPr>
      </w:pPr>
    </w:p>
    <w:p>
      <w:pPr>
        <w:spacing w:line="360" w:lineRule="auto"/>
        <w:jc w:val="center"/>
        <w:rPr>
          <w:rFonts w:hint="eastAsia" w:ascii="仿宋" w:hAnsi="仿宋" w:eastAsia="仿宋" w:cs="仿宋"/>
          <w:color w:val="auto"/>
          <w:sz w:val="28"/>
          <w:szCs w:val="28"/>
          <w:highlight w:val="none"/>
        </w:rPr>
      </w:pPr>
    </w:p>
    <w:p>
      <w:pPr>
        <w:spacing w:line="360" w:lineRule="auto"/>
        <w:jc w:val="center"/>
        <w:rPr>
          <w:rFonts w:hint="eastAsia" w:ascii="仿宋" w:hAnsi="仿宋" w:eastAsia="仿宋" w:cs="仿宋"/>
          <w:color w:val="auto"/>
          <w:sz w:val="28"/>
          <w:szCs w:val="28"/>
          <w:highlight w:val="none"/>
        </w:rPr>
      </w:pPr>
    </w:p>
    <w:p>
      <w:pPr>
        <w:spacing w:line="360" w:lineRule="auto"/>
        <w:ind w:firstLine="640"/>
        <w:jc w:val="center"/>
        <w:rPr>
          <w:rFonts w:hint="eastAsia" w:ascii="华文中宋" w:hAnsi="华文中宋" w:eastAsia="华文中宋"/>
          <w:bCs/>
          <w:color w:val="auto"/>
          <w:sz w:val="32"/>
          <w:szCs w:val="32"/>
          <w:highlight w:val="none"/>
        </w:rPr>
      </w:pPr>
    </w:p>
    <w:p>
      <w:pPr>
        <w:pStyle w:val="8"/>
        <w:rPr>
          <w:rFonts w:hint="eastAsia"/>
        </w:rPr>
      </w:pPr>
    </w:p>
    <w:p>
      <w:pPr>
        <w:spacing w:line="360" w:lineRule="auto"/>
        <w:ind w:firstLine="640"/>
        <w:jc w:val="center"/>
        <w:rPr>
          <w:rFonts w:ascii="华文中宋" w:hAnsi="华文中宋" w:eastAsia="华文中宋"/>
          <w:bCs/>
          <w:color w:val="auto"/>
          <w:sz w:val="32"/>
          <w:szCs w:val="32"/>
          <w:highlight w:val="none"/>
        </w:rPr>
      </w:pPr>
      <w:r>
        <w:rPr>
          <w:rFonts w:hint="eastAsia" w:ascii="华文中宋" w:hAnsi="华文中宋" w:eastAsia="华文中宋"/>
          <w:bCs/>
          <w:color w:val="auto"/>
          <w:sz w:val="32"/>
          <w:szCs w:val="32"/>
          <w:highlight w:val="none"/>
        </w:rPr>
        <w:t>法定代表人授权委托书</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本人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（姓名）系 </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（投标人名称）的法定代表人，现授权</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（姓名）  （身份证号码</w:t>
      </w:r>
      <w:r>
        <w:rPr>
          <w:rFonts w:hint="eastAsia" w:ascii="宋体" w:hAnsi="宋体" w:cs="宋体"/>
          <w:b w:val="0"/>
          <w:color w:val="auto"/>
          <w:w w:val="100"/>
          <w:sz w:val="24"/>
          <w:szCs w:val="24"/>
          <w:highlight w:val="none"/>
          <w:lang w:val="zh-CN" w:eastAsia="zh-CN"/>
        </w:rPr>
        <w:t>：</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）为我方代理人。授权代理人根据授权对 </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（项目名称）投标，以我方名义签署、澄清、说明、补正、提交、撤回、修改投标文件，签订合同和处理有关事宜，其法律后果由我方承担。</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委托期限：</w:t>
      </w:r>
      <w:r>
        <w:rPr>
          <w:rFonts w:hint="eastAsia" w:ascii="宋体" w:hAnsi="宋体" w:cs="宋体"/>
          <w:b w:val="0"/>
          <w:color w:val="auto"/>
          <w:w w:val="100"/>
          <w:sz w:val="24"/>
          <w:szCs w:val="24"/>
          <w:highlight w:val="none"/>
          <w:lang w:val="zh-CN" w:eastAsia="zh-CN"/>
        </w:rPr>
        <w:t>202</w:t>
      </w:r>
      <w:r>
        <w:rPr>
          <w:rFonts w:hint="eastAsia" w:ascii="宋体" w:hAnsi="宋体" w:cs="宋体"/>
          <w:b w:val="0"/>
          <w:color w:val="auto"/>
          <w:w w:val="100"/>
          <w:sz w:val="24"/>
          <w:szCs w:val="24"/>
          <w:highlight w:val="none"/>
          <w:lang w:val="en-US" w:eastAsia="zh-CN"/>
        </w:rPr>
        <w:t>5</w:t>
      </w:r>
      <w:r>
        <w:rPr>
          <w:rFonts w:hint="eastAsia" w:ascii="宋体" w:hAnsi="宋体" w:eastAsia="宋体" w:cs="宋体"/>
          <w:b w:val="0"/>
          <w:color w:val="auto"/>
          <w:w w:val="100"/>
          <w:sz w:val="24"/>
          <w:szCs w:val="24"/>
          <w:highlight w:val="none"/>
          <w:lang w:val="zh-CN" w:eastAsia="zh-CN"/>
        </w:rPr>
        <w:t>年  月  日-</w:t>
      </w:r>
      <w:r>
        <w:rPr>
          <w:rFonts w:hint="eastAsia" w:ascii="宋体" w:hAnsi="宋体" w:cs="宋体"/>
          <w:b w:val="0"/>
          <w:color w:val="auto"/>
          <w:w w:val="100"/>
          <w:sz w:val="24"/>
          <w:szCs w:val="24"/>
          <w:highlight w:val="none"/>
          <w:lang w:val="zh-CN" w:eastAsia="zh-CN"/>
        </w:rPr>
        <w:t>202</w:t>
      </w:r>
      <w:r>
        <w:rPr>
          <w:rFonts w:hint="eastAsia" w:ascii="宋体" w:hAnsi="宋体" w:cs="宋体"/>
          <w:b w:val="0"/>
          <w:color w:val="auto"/>
          <w:w w:val="100"/>
          <w:sz w:val="24"/>
          <w:szCs w:val="24"/>
          <w:highlight w:val="none"/>
          <w:lang w:val="en-US" w:eastAsia="zh-CN"/>
        </w:rPr>
        <w:t>5</w:t>
      </w:r>
      <w:r>
        <w:rPr>
          <w:rFonts w:hint="eastAsia" w:ascii="宋体" w:hAnsi="宋体" w:eastAsia="宋体" w:cs="宋体"/>
          <w:b w:val="0"/>
          <w:color w:val="auto"/>
          <w:w w:val="100"/>
          <w:sz w:val="24"/>
          <w:szCs w:val="24"/>
          <w:highlight w:val="none"/>
          <w:lang w:val="zh-CN" w:eastAsia="zh-CN"/>
        </w:rPr>
        <w:t>年  月  日止</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授权代理人无转委托权。</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 xml:space="preserve">投标人（盖章）：                </w:t>
      </w:r>
      <w:r>
        <w:rPr>
          <w:rFonts w:hint="eastAsia" w:ascii="宋体" w:hAnsi="宋体" w:cs="宋体"/>
          <w:b w:val="0"/>
          <w:color w:val="auto"/>
          <w:w w:val="100"/>
          <w:sz w:val="24"/>
          <w:szCs w:val="24"/>
          <w:highlight w:val="none"/>
          <w:lang w:val="en-US" w:eastAsia="zh-CN"/>
        </w:rPr>
        <w:t xml:space="preserve">          </w:t>
      </w:r>
      <w:r>
        <w:rPr>
          <w:rFonts w:hint="eastAsia" w:ascii="宋体" w:hAnsi="宋体" w:eastAsia="宋体" w:cs="宋体"/>
          <w:b w:val="0"/>
          <w:color w:val="auto"/>
          <w:w w:val="100"/>
          <w:sz w:val="24"/>
          <w:szCs w:val="24"/>
          <w:highlight w:val="none"/>
          <w:lang w:val="en-US" w:eastAsia="zh-CN"/>
        </w:rPr>
        <w:t>法定代表人移动电话：</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法定代表人（签字或盖章）：                授权代理人移动电话：</w:t>
      </w:r>
    </w:p>
    <w:p>
      <w:pPr>
        <w:pageBreakBefore w:val="0"/>
        <w:kinsoku/>
        <w:overflowPunct/>
        <w:topLinePunct w:val="0"/>
        <w:autoSpaceDE/>
        <w:autoSpaceDN/>
        <w:bidi w:val="0"/>
        <w:snapToGrid w:val="0"/>
        <w:spacing w:before="0" w:after="0" w:line="480" w:lineRule="auto"/>
        <w:ind w:left="0" w:leftChars="0" w:firstLine="1440" w:firstLineChars="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年  月  日</w:t>
      </w:r>
    </w:p>
    <w:tbl>
      <w:tblPr>
        <w:tblStyle w:val="26"/>
        <w:tblW w:w="7946" w:type="dxa"/>
        <w:tblInd w:w="8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835"/>
        <w:gridCol w:w="283"/>
        <w:gridCol w:w="38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58" w:hRule="atLeast"/>
        </w:trPr>
        <w:tc>
          <w:tcPr>
            <w:tcW w:w="3835" w:type="dxa"/>
            <w:noWrap w:val="0"/>
            <w:vAlign w:val="center"/>
          </w:tcPr>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法定代表人身份证影印件/复印件</w:t>
            </w:r>
          </w:p>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（国徽面）</w:t>
            </w:r>
          </w:p>
        </w:tc>
        <w:tc>
          <w:tcPr>
            <w:tcW w:w="283" w:type="dxa"/>
            <w:noWrap w:val="0"/>
            <w:vAlign w:val="top"/>
          </w:tcPr>
          <w:p>
            <w:pPr>
              <w:widowControl/>
              <w:tabs>
                <w:tab w:val="left" w:pos="426"/>
              </w:tabs>
              <w:ind w:firstLine="480"/>
              <w:jc w:val="left"/>
              <w:rPr>
                <w:rFonts w:ascii="华文中宋" w:hAnsi="华文中宋" w:eastAsia="华文中宋"/>
                <w:color w:val="auto"/>
                <w:highlight w:val="none"/>
                <w:lang w:val="zh-CN"/>
              </w:rPr>
            </w:pPr>
          </w:p>
        </w:tc>
        <w:tc>
          <w:tcPr>
            <w:tcW w:w="3828" w:type="dxa"/>
            <w:noWrap w:val="0"/>
            <w:vAlign w:val="center"/>
          </w:tcPr>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法定代表人身份证影印件/复印件</w:t>
            </w:r>
          </w:p>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（人像面）</w:t>
            </w:r>
          </w:p>
        </w:tc>
      </w:tr>
    </w:tbl>
    <w:p>
      <w:pPr>
        <w:tabs>
          <w:tab w:val="left" w:pos="426"/>
          <w:tab w:val="left" w:pos="1575"/>
        </w:tabs>
        <w:snapToGrid w:val="0"/>
        <w:ind w:firstLine="480"/>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 xml:space="preserve">   </w:t>
      </w:r>
    </w:p>
    <w:tbl>
      <w:tblPr>
        <w:tblStyle w:val="26"/>
        <w:tblW w:w="7938" w:type="dxa"/>
        <w:tblInd w:w="88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827"/>
        <w:gridCol w:w="283"/>
        <w:gridCol w:w="38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56" w:hRule="atLeast"/>
        </w:trPr>
        <w:tc>
          <w:tcPr>
            <w:tcW w:w="3827" w:type="dxa"/>
            <w:noWrap w:val="0"/>
            <w:vAlign w:val="center"/>
          </w:tcPr>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授权代理人身份证影印件/复印件</w:t>
            </w:r>
          </w:p>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（国徽面）</w:t>
            </w:r>
          </w:p>
        </w:tc>
        <w:tc>
          <w:tcPr>
            <w:tcW w:w="283" w:type="dxa"/>
            <w:noWrap w:val="0"/>
            <w:vAlign w:val="top"/>
          </w:tcPr>
          <w:p>
            <w:pPr>
              <w:widowControl/>
              <w:tabs>
                <w:tab w:val="left" w:pos="426"/>
              </w:tabs>
              <w:ind w:firstLine="480"/>
              <w:jc w:val="left"/>
              <w:rPr>
                <w:rFonts w:ascii="华文中宋" w:hAnsi="华文中宋" w:eastAsia="华文中宋"/>
                <w:color w:val="auto"/>
                <w:highlight w:val="none"/>
                <w:lang w:val="zh-CN"/>
              </w:rPr>
            </w:pPr>
          </w:p>
        </w:tc>
        <w:tc>
          <w:tcPr>
            <w:tcW w:w="3828" w:type="dxa"/>
            <w:noWrap w:val="0"/>
            <w:vAlign w:val="center"/>
          </w:tcPr>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授权代理人身份证影印件/复印件</w:t>
            </w:r>
          </w:p>
          <w:p>
            <w:pPr>
              <w:tabs>
                <w:tab w:val="left" w:pos="426"/>
              </w:tabs>
              <w:snapToGrid w:val="0"/>
              <w:spacing w:line="340" w:lineRule="exact"/>
              <w:ind w:firstLine="480"/>
              <w:jc w:val="center"/>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（人像面）</w:t>
            </w:r>
          </w:p>
        </w:tc>
      </w:tr>
    </w:tbl>
    <w:p>
      <w:pPr>
        <w:tabs>
          <w:tab w:val="left" w:pos="426"/>
          <w:tab w:val="left" w:pos="1575"/>
        </w:tabs>
        <w:snapToGrid w:val="0"/>
        <w:ind w:firstLine="480"/>
        <w:rPr>
          <w:rFonts w:ascii="华文中宋" w:hAnsi="华文中宋" w:eastAsia="华文中宋"/>
          <w:color w:val="auto"/>
          <w:highlight w:val="none"/>
          <w:lang w:val="zh-CN"/>
        </w:rPr>
      </w:pPr>
      <w:r>
        <w:rPr>
          <w:rFonts w:hint="eastAsia" w:ascii="华文中宋" w:hAnsi="华文中宋" w:eastAsia="华文中宋"/>
          <w:color w:val="auto"/>
          <w:highlight w:val="none"/>
          <w:lang w:val="zh-CN"/>
        </w:rPr>
        <w:t xml:space="preserve"> </w:t>
      </w:r>
    </w:p>
    <w:p>
      <w:pPr>
        <w:tabs>
          <w:tab w:val="left" w:pos="426"/>
        </w:tabs>
        <w:snapToGrid w:val="0"/>
        <w:spacing w:line="312" w:lineRule="auto"/>
        <w:ind w:firstLine="480"/>
        <w:rPr>
          <w:rFonts w:ascii="华文中宋" w:hAnsi="华文中宋" w:eastAsia="华文中宋"/>
          <w:b/>
          <w:color w:val="auto"/>
          <w:highlight w:val="none"/>
          <w:lang w:val="zh-CN"/>
        </w:rPr>
      </w:pPr>
      <w:r>
        <w:rPr>
          <w:rFonts w:hint="eastAsia" w:ascii="华文中宋" w:hAnsi="华文中宋" w:eastAsia="华文中宋"/>
          <w:b/>
          <w:color w:val="auto"/>
          <w:highlight w:val="none"/>
          <w:lang w:val="zh-CN"/>
        </w:rPr>
        <w:t>注：法定代表人参加投标的及签署投标文件的则不需提供该授权书</w:t>
      </w:r>
    </w:p>
    <w:p>
      <w:pPr>
        <w:snapToGrid w:val="0"/>
        <w:spacing w:line="360" w:lineRule="auto"/>
        <w:ind w:firstLine="0" w:firstLineChars="0"/>
        <w:rPr>
          <w:rFonts w:ascii="微软雅黑" w:hAnsi="微软雅黑"/>
          <w:bCs/>
          <w:color w:val="auto"/>
          <w:szCs w:val="24"/>
          <w:highlight w:val="none"/>
        </w:rPr>
      </w:pPr>
    </w:p>
    <w:p>
      <w:pPr>
        <w:pStyle w:val="13"/>
        <w:rPr>
          <w:color w:val="auto"/>
          <w:highlight w:val="none"/>
        </w:rPr>
        <w:sectPr>
          <w:pgSz w:w="11906" w:h="16838"/>
          <w:pgMar w:top="1417" w:right="1134" w:bottom="1417"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snapToGrid w:val="0"/>
        <w:spacing w:line="36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附件4</w:t>
      </w:r>
    </w:p>
    <w:p>
      <w:pPr>
        <w:snapToGrid w:val="0"/>
        <w:spacing w:line="480" w:lineRule="auto"/>
        <w:ind w:firstLine="0" w:firstLineChars="0"/>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近三年内，在经营活动中没有重大违法记录的承诺书</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致：</w:t>
      </w:r>
      <w:r>
        <w:rPr>
          <w:rFonts w:hint="eastAsia" w:ascii="宋体" w:hAnsi="宋体" w:cs="宋体"/>
          <w:b w:val="0"/>
          <w:color w:val="auto"/>
          <w:w w:val="100"/>
          <w:sz w:val="24"/>
          <w:szCs w:val="24"/>
          <w:highlight w:val="none"/>
          <w:lang w:val="zh-CN" w:eastAsia="zh-CN"/>
        </w:rPr>
        <w:t>龙游县残疾人联合会</w:t>
      </w:r>
      <w:r>
        <w:rPr>
          <w:rFonts w:hint="eastAsia" w:ascii="宋体" w:hAnsi="宋体" w:eastAsia="宋体" w:cs="宋体"/>
          <w:b w:val="0"/>
          <w:color w:val="auto"/>
          <w:w w:val="100"/>
          <w:sz w:val="24"/>
          <w:szCs w:val="24"/>
          <w:highlight w:val="none"/>
          <w:lang w:val="zh-CN" w:eastAsia="zh-CN"/>
        </w:rPr>
        <w:t>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我单位近三年内，在经营活动中没有重大违法记录，特此承诺。</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若采购单位在本项目</w:t>
      </w:r>
      <w:r>
        <w:rPr>
          <w:rFonts w:hint="eastAsia" w:ascii="宋体" w:hAnsi="宋体" w:cs="宋体"/>
          <w:b w:val="0"/>
          <w:color w:val="auto"/>
          <w:w w:val="100"/>
          <w:sz w:val="24"/>
          <w:szCs w:val="24"/>
          <w:highlight w:val="none"/>
          <w:u w:val="single"/>
          <w:lang w:val="zh-CN" w:eastAsia="zh-CN"/>
        </w:rPr>
        <w:t>龙游县重度残疾人康养一体化康复设备采购项目（重招）</w:t>
      </w:r>
      <w:r>
        <w:rPr>
          <w:rFonts w:hint="eastAsia" w:ascii="宋体" w:hAnsi="宋体" w:cs="宋体"/>
          <w:b w:val="0"/>
          <w:color w:val="auto"/>
          <w:w w:val="100"/>
          <w:sz w:val="24"/>
          <w:szCs w:val="24"/>
          <w:highlight w:val="none"/>
          <w:lang w:val="zh-CN" w:eastAsia="zh-CN"/>
        </w:rPr>
        <w:t>（</w:t>
      </w:r>
      <w:r>
        <w:rPr>
          <w:rFonts w:hint="eastAsia" w:ascii="宋体" w:hAnsi="宋体" w:eastAsia="宋体" w:cs="宋体"/>
          <w:b w:val="0"/>
          <w:color w:val="auto"/>
          <w:w w:val="100"/>
          <w:sz w:val="24"/>
          <w:szCs w:val="24"/>
          <w:highlight w:val="none"/>
          <w:lang w:val="zh-CN" w:eastAsia="zh-CN"/>
        </w:rPr>
        <w:t>项目编号：</w:t>
      </w:r>
      <w:r>
        <w:rPr>
          <w:rFonts w:hint="eastAsia" w:ascii="宋体" w:hAnsi="宋体" w:cs="宋体"/>
          <w:b w:val="0"/>
          <w:color w:val="auto"/>
          <w:w w:val="100"/>
          <w:sz w:val="24"/>
          <w:szCs w:val="24"/>
          <w:highlight w:val="none"/>
          <w:u w:val="single"/>
          <w:lang w:val="zh-CN" w:eastAsia="zh-CN"/>
        </w:rPr>
        <w:t>QZCHZFCG2025-005</w:t>
      </w:r>
      <w:r>
        <w:rPr>
          <w:rFonts w:hint="eastAsia" w:ascii="宋体" w:hAnsi="宋体" w:eastAsia="宋体" w:cs="宋体"/>
          <w:b w:val="0"/>
          <w:color w:val="auto"/>
          <w:w w:val="100"/>
          <w:sz w:val="24"/>
          <w:szCs w:val="24"/>
          <w:highlight w:val="none"/>
          <w:u w:val="single"/>
          <w:lang w:val="zh-CN" w:eastAsia="zh-CN"/>
        </w:rPr>
        <w:t>号</w:t>
      </w:r>
      <w:r>
        <w:rPr>
          <w:rFonts w:hint="eastAsia" w:ascii="宋体" w:hAnsi="宋体" w:eastAsia="宋体" w:cs="宋体"/>
          <w:b w:val="0"/>
          <w:color w:val="auto"/>
          <w:w w:val="100"/>
          <w:sz w:val="24"/>
          <w:szCs w:val="24"/>
          <w:highlight w:val="none"/>
          <w:lang w:val="zh-CN" w:eastAsia="zh-CN"/>
        </w:rPr>
        <w:t>） 采购过程中发现我单位近三年内在经营活动中有重大违法记录，我单位将无条件地退出本项目的采购活动，并承担因此引起的一切后果。时间为开标之日起往前推三年。</w:t>
      </w:r>
    </w:p>
    <w:p>
      <w:pPr>
        <w:snapToGrid w:val="0"/>
        <w:spacing w:line="312" w:lineRule="auto"/>
        <w:ind w:firstLine="480"/>
        <w:rPr>
          <w:rFonts w:ascii="微软雅黑" w:hAnsi="微软雅黑"/>
          <w:color w:val="auto"/>
          <w:highlight w:val="none"/>
          <w:lang w:val="zh-CN"/>
        </w:rPr>
      </w:pPr>
    </w:p>
    <w:p>
      <w:pPr>
        <w:snapToGrid w:val="0"/>
        <w:spacing w:line="312" w:lineRule="auto"/>
        <w:ind w:firstLine="480"/>
        <w:rPr>
          <w:rFonts w:ascii="微软雅黑" w:hAnsi="微软雅黑"/>
          <w:color w:val="auto"/>
          <w:highlight w:val="none"/>
          <w:lang w:val="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spacing w:line="360" w:lineRule="auto"/>
        <w:ind w:firstLine="0" w:firstLineChars="0"/>
        <w:rPr>
          <w:rFonts w:ascii="微软雅黑" w:hAnsi="微软雅黑"/>
          <w:bCs/>
          <w:color w:val="auto"/>
          <w:szCs w:val="24"/>
          <w:highlight w:val="none"/>
        </w:rPr>
      </w:pPr>
    </w:p>
    <w:p>
      <w:pPr>
        <w:bidi w:val="0"/>
        <w:rPr>
          <w:rFonts w:ascii="Times New Roman" w:hAnsi="Times New Roman" w:eastAsia="宋体" w:cs="Times New Roman"/>
          <w:color w:val="auto"/>
          <w:kern w:val="2"/>
          <w:sz w:val="21"/>
          <w:szCs w:val="24"/>
          <w:highlight w:val="none"/>
          <w:lang w:val="en-US" w:eastAsia="zh-CN" w:bidi="ar-SA"/>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bidi w:val="0"/>
        <w:rPr>
          <w:color w:val="auto"/>
          <w:highlight w:val="none"/>
          <w:lang w:val="en-US" w:eastAsia="zh-CN"/>
        </w:rPr>
      </w:pPr>
    </w:p>
    <w:p>
      <w:pPr>
        <w:snapToGrid w:val="0"/>
        <w:spacing w:line="360" w:lineRule="auto"/>
        <w:ind w:firstLine="0" w:firstLineChars="0"/>
        <w:rPr>
          <w:rFonts w:hint="eastAsia"/>
          <w:color w:val="auto"/>
          <w:highlight w:val="none"/>
          <w:lang w:val="en-US" w:eastAsia="zh-CN"/>
        </w:rPr>
      </w:pPr>
      <w:r>
        <w:rPr>
          <w:rFonts w:hint="eastAsia"/>
          <w:color w:val="auto"/>
          <w:highlight w:val="none"/>
          <w:lang w:val="en-US" w:eastAsia="zh-CN"/>
        </w:rPr>
        <w:tab/>
      </w:r>
    </w:p>
    <w:p>
      <w:pPr>
        <w:snapToGrid w:val="0"/>
        <w:spacing w:line="360" w:lineRule="auto"/>
        <w:ind w:firstLine="0" w:firstLineChars="0"/>
        <w:rPr>
          <w:rFonts w:hint="eastAsia"/>
          <w:color w:val="auto"/>
          <w:highlight w:val="none"/>
          <w:lang w:val="en-US" w:eastAsia="zh-CN"/>
        </w:rPr>
      </w:pPr>
    </w:p>
    <w:p>
      <w:pPr>
        <w:snapToGrid w:val="0"/>
        <w:spacing w:line="360" w:lineRule="auto"/>
        <w:ind w:firstLine="0" w:firstLineChars="0"/>
        <w:rPr>
          <w:rFonts w:hint="eastAsia"/>
          <w:color w:val="auto"/>
          <w:highlight w:val="none"/>
          <w:lang w:val="en-US" w:eastAsia="zh-CN"/>
        </w:rPr>
      </w:pPr>
    </w:p>
    <w:p>
      <w:pPr>
        <w:snapToGrid w:val="0"/>
        <w:spacing w:line="360" w:lineRule="auto"/>
        <w:ind w:firstLine="0" w:firstLineChars="0"/>
        <w:rPr>
          <w:rFonts w:hint="eastAsia"/>
          <w:color w:val="auto"/>
          <w:highlight w:val="none"/>
          <w:lang w:val="en-US" w:eastAsia="zh-CN"/>
        </w:rPr>
      </w:pPr>
    </w:p>
    <w:p>
      <w:pPr>
        <w:snapToGrid w:val="0"/>
        <w:spacing w:line="360" w:lineRule="auto"/>
        <w:ind w:firstLine="0" w:firstLineChars="0"/>
        <w:rPr>
          <w:rFonts w:hint="eastAsia"/>
          <w:color w:val="auto"/>
          <w:highlight w:val="none"/>
          <w:lang w:val="en-US" w:eastAsia="zh-CN"/>
        </w:rPr>
      </w:pPr>
    </w:p>
    <w:p>
      <w:pPr>
        <w:snapToGrid w:val="0"/>
        <w:spacing w:line="360" w:lineRule="auto"/>
        <w:ind w:firstLine="0" w:firstLineChars="0"/>
        <w:rPr>
          <w:rFonts w:hint="eastAsia"/>
          <w:color w:val="auto"/>
          <w:highlight w:val="none"/>
          <w:lang w:val="en-US" w:eastAsia="zh-CN"/>
        </w:rPr>
      </w:pPr>
    </w:p>
    <w:p>
      <w:pPr>
        <w:snapToGrid w:val="0"/>
        <w:spacing w:line="36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附件5</w:t>
      </w:r>
    </w:p>
    <w:p>
      <w:pPr>
        <w:snapToGrid w:val="0"/>
        <w:spacing w:line="480" w:lineRule="auto"/>
        <w:ind w:firstLine="0" w:firstLineChars="0"/>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类似案例业绩一览表</w:t>
      </w:r>
    </w:p>
    <w:tbl>
      <w:tblPr>
        <w:tblStyle w:val="26"/>
        <w:tblpPr w:leftFromText="180" w:rightFromText="180" w:vertAnchor="text" w:horzAnchor="page" w:tblpXSpec="center" w:tblpY="303"/>
        <w:tblOverlap w:val="never"/>
        <w:tblW w:w="99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5"/>
        <w:gridCol w:w="2640"/>
        <w:gridCol w:w="1580"/>
        <w:gridCol w:w="1580"/>
        <w:gridCol w:w="1760"/>
        <w:gridCol w:w="15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7" w:hRule="atLeast"/>
          <w:jc w:val="center"/>
        </w:trPr>
        <w:tc>
          <w:tcPr>
            <w:tcW w:w="865"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序号</w:t>
            </w:r>
          </w:p>
        </w:tc>
        <w:tc>
          <w:tcPr>
            <w:tcW w:w="2640"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项目名称</w:t>
            </w:r>
          </w:p>
        </w:tc>
        <w:tc>
          <w:tcPr>
            <w:tcW w:w="1580"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项目类型</w:t>
            </w:r>
          </w:p>
        </w:tc>
        <w:tc>
          <w:tcPr>
            <w:tcW w:w="1580"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实施时间</w:t>
            </w:r>
          </w:p>
        </w:tc>
        <w:tc>
          <w:tcPr>
            <w:tcW w:w="1760"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项目单位、联系人及电话</w:t>
            </w:r>
          </w:p>
        </w:tc>
        <w:tc>
          <w:tcPr>
            <w:tcW w:w="1537"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中标通知书及合同对应页码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1</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2</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3</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4</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5</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6</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autoSpaceDE w:val="0"/>
              <w:autoSpaceDN w:val="0"/>
              <w:snapToGrid w:val="0"/>
              <w:ind w:firstLine="0" w:firstLineChars="0"/>
              <w:jc w:val="center"/>
              <w:rPr>
                <w:rFonts w:ascii="微软雅黑" w:hAnsi="微软雅黑"/>
                <w:color w:val="auto"/>
                <w:highlight w:val="none"/>
              </w:rPr>
            </w:pPr>
            <w:r>
              <w:rPr>
                <w:rFonts w:hint="eastAsia" w:ascii="微软雅黑" w:hAnsi="微软雅黑"/>
                <w:color w:val="auto"/>
                <w:highlight w:val="none"/>
              </w:rPr>
              <w:t>7</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865" w:type="dxa"/>
            <w:noWrap w:val="0"/>
            <w:vAlign w:val="center"/>
          </w:tcPr>
          <w:p>
            <w:pPr>
              <w:snapToGrid w:val="0"/>
              <w:ind w:firstLine="0" w:firstLineChars="0"/>
              <w:jc w:val="center"/>
              <w:rPr>
                <w:rFonts w:ascii="微软雅黑" w:hAnsi="微软雅黑"/>
                <w:color w:val="auto"/>
                <w:kern w:val="0"/>
                <w:szCs w:val="24"/>
                <w:highlight w:val="none"/>
              </w:rPr>
            </w:pPr>
            <w:r>
              <w:rPr>
                <w:rFonts w:hint="eastAsia" w:ascii="微软雅黑" w:hAnsi="微软雅黑"/>
                <w:color w:val="auto"/>
                <w:kern w:val="0"/>
                <w:szCs w:val="24"/>
                <w:highlight w:val="none"/>
              </w:rPr>
              <w:t>……</w:t>
            </w:r>
          </w:p>
        </w:tc>
        <w:tc>
          <w:tcPr>
            <w:tcW w:w="264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580" w:type="dxa"/>
            <w:noWrap w:val="0"/>
            <w:vAlign w:val="center"/>
          </w:tcPr>
          <w:p>
            <w:pPr>
              <w:autoSpaceDE w:val="0"/>
              <w:autoSpaceDN w:val="0"/>
              <w:snapToGrid w:val="0"/>
              <w:ind w:firstLine="480"/>
              <w:jc w:val="center"/>
              <w:rPr>
                <w:rFonts w:ascii="微软雅黑" w:hAnsi="微软雅黑"/>
                <w:color w:val="auto"/>
                <w:highlight w:val="none"/>
              </w:rPr>
            </w:pPr>
          </w:p>
        </w:tc>
        <w:tc>
          <w:tcPr>
            <w:tcW w:w="1760" w:type="dxa"/>
            <w:noWrap w:val="0"/>
            <w:vAlign w:val="center"/>
          </w:tcPr>
          <w:p>
            <w:pPr>
              <w:autoSpaceDE w:val="0"/>
              <w:autoSpaceDN w:val="0"/>
              <w:snapToGrid w:val="0"/>
              <w:ind w:firstLine="480"/>
              <w:jc w:val="center"/>
              <w:rPr>
                <w:rFonts w:ascii="微软雅黑" w:hAnsi="微软雅黑"/>
                <w:color w:val="auto"/>
                <w:highlight w:val="none"/>
              </w:rPr>
            </w:pPr>
          </w:p>
        </w:tc>
        <w:tc>
          <w:tcPr>
            <w:tcW w:w="1537" w:type="dxa"/>
            <w:noWrap w:val="0"/>
            <w:vAlign w:val="center"/>
          </w:tcPr>
          <w:p>
            <w:pPr>
              <w:autoSpaceDE w:val="0"/>
              <w:autoSpaceDN w:val="0"/>
              <w:snapToGrid w:val="0"/>
              <w:ind w:firstLine="480"/>
              <w:jc w:val="center"/>
              <w:rPr>
                <w:rFonts w:ascii="微软雅黑" w:hAnsi="微软雅黑"/>
                <w:color w:val="auto"/>
                <w:highlight w:val="none"/>
              </w:rPr>
            </w:pPr>
          </w:p>
        </w:tc>
      </w:tr>
    </w:tbl>
    <w:p>
      <w:pPr>
        <w:pStyle w:val="80"/>
        <w:ind w:left="480" w:firstLine="344"/>
        <w:rPr>
          <w:rFonts w:ascii="微软雅黑" w:hAnsi="微软雅黑" w:eastAsia="微软雅黑"/>
          <w:color w:val="auto"/>
          <w:highlight w:val="none"/>
        </w:rPr>
      </w:pPr>
    </w:p>
    <w:p>
      <w:pPr>
        <w:autoSpaceDE w:val="0"/>
        <w:autoSpaceDN w:val="0"/>
        <w:ind w:firstLine="480"/>
        <w:rPr>
          <w:rFonts w:ascii="微软雅黑" w:hAnsi="微软雅黑"/>
          <w:color w:val="auto"/>
          <w:highlight w:val="none"/>
        </w:rPr>
      </w:pPr>
      <w:r>
        <w:rPr>
          <w:rFonts w:hint="eastAsia" w:ascii="微软雅黑" w:hAnsi="微软雅黑"/>
          <w:color w:val="auto"/>
          <w:highlight w:val="none"/>
        </w:rPr>
        <w:t>注：投标人可按上述的格式自行编制，后附项目合同复印件，此表不够可自行添加。（加盖单位公章）。</w:t>
      </w:r>
    </w:p>
    <w:p>
      <w:pPr>
        <w:snapToGrid w:val="0"/>
        <w:spacing w:line="312" w:lineRule="auto"/>
        <w:ind w:firstLine="480"/>
        <w:rPr>
          <w:rFonts w:ascii="微软雅黑" w:hAnsi="微软雅黑"/>
          <w:color w:val="auto"/>
          <w:highlight w:val="none"/>
          <w:lang w:val="zh-CN"/>
        </w:rPr>
      </w:pPr>
    </w:p>
    <w:p>
      <w:pPr>
        <w:snapToGrid w:val="0"/>
        <w:spacing w:line="312" w:lineRule="auto"/>
        <w:ind w:firstLine="480"/>
        <w:rPr>
          <w:rFonts w:ascii="微软雅黑" w:hAnsi="微软雅黑"/>
          <w:color w:val="auto"/>
          <w:highlight w:val="none"/>
          <w:lang w:val="zh-CN"/>
        </w:rPr>
      </w:pPr>
    </w:p>
    <w:p>
      <w:pPr>
        <w:snapToGrid w:val="0"/>
        <w:spacing w:line="312" w:lineRule="auto"/>
        <w:ind w:firstLine="480"/>
        <w:rPr>
          <w:rFonts w:ascii="微软雅黑" w:hAnsi="微软雅黑"/>
          <w:color w:val="auto"/>
          <w:highlight w:val="none"/>
          <w:lang w:val="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Style w:val="80"/>
        <w:ind w:left="0" w:leftChars="0" w:firstLine="0" w:firstLineChars="0"/>
        <w:rPr>
          <w:rFonts w:ascii="微软雅黑" w:hAnsi="微软雅黑" w:eastAsia="微软雅黑"/>
          <w:color w:val="auto"/>
          <w:highlight w:val="none"/>
        </w:rPr>
      </w:pPr>
    </w:p>
    <w:p>
      <w:pPr>
        <w:snapToGrid w:val="0"/>
        <w:spacing w:line="360" w:lineRule="auto"/>
        <w:ind w:firstLine="0" w:firstLineChars="0"/>
        <w:rPr>
          <w:rFonts w:ascii="微软雅黑" w:hAnsi="微软雅黑"/>
          <w:bCs/>
          <w:color w:val="auto"/>
          <w:szCs w:val="24"/>
          <w:highlight w:val="none"/>
        </w:rPr>
      </w:pPr>
    </w:p>
    <w:p>
      <w:pPr>
        <w:snapToGrid w:val="0"/>
        <w:spacing w:line="360" w:lineRule="auto"/>
        <w:ind w:firstLine="0" w:firstLineChars="0"/>
        <w:rPr>
          <w:rFonts w:ascii="微软雅黑" w:hAnsi="微软雅黑"/>
          <w:bCs/>
          <w:color w:val="auto"/>
          <w:szCs w:val="24"/>
          <w:highlight w:val="none"/>
        </w:rPr>
        <w:sectPr>
          <w:headerReference r:id="rId13" w:type="first"/>
          <w:pgSz w:w="11906" w:h="16838"/>
          <w:pgMar w:top="1440" w:right="1080" w:bottom="1440" w:left="1080" w:header="851" w:footer="850" w:gutter="0"/>
          <w:pgBorders>
            <w:top w:val="none" w:sz="0" w:space="0"/>
            <w:left w:val="none" w:sz="0" w:space="0"/>
            <w:bottom w:val="none" w:sz="0" w:space="0"/>
            <w:right w:val="none" w:sz="0" w:space="0"/>
          </w:pgBorders>
          <w:pgNumType w:fmt="decimal"/>
          <w:cols w:space="720" w:num="1"/>
          <w:docGrid w:linePitch="312" w:charSpace="0"/>
        </w:sectPr>
      </w:pPr>
    </w:p>
    <w:p>
      <w:pPr>
        <w:snapToGrid w:val="0"/>
        <w:spacing w:line="36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附件6</w:t>
      </w:r>
    </w:p>
    <w:p>
      <w:pPr>
        <w:ind w:firstLine="640"/>
        <w:jc w:val="center"/>
        <w:rPr>
          <w:rFonts w:ascii="微软雅黑" w:hAnsi="微软雅黑"/>
          <w:b/>
          <w:bCs w:val="0"/>
          <w:color w:val="auto"/>
          <w:sz w:val="32"/>
          <w:szCs w:val="32"/>
          <w:highlight w:val="none"/>
        </w:rPr>
      </w:pPr>
      <w:r>
        <w:rPr>
          <w:rFonts w:hint="eastAsia" w:ascii="微软雅黑" w:hAnsi="微软雅黑"/>
          <w:b/>
          <w:bCs w:val="0"/>
          <w:color w:val="auto"/>
          <w:sz w:val="32"/>
          <w:szCs w:val="32"/>
          <w:highlight w:val="none"/>
        </w:rPr>
        <w:t>服务承诺书</w:t>
      </w:r>
    </w:p>
    <w:p>
      <w:pPr>
        <w:snapToGrid w:val="0"/>
        <w:ind w:firstLine="480"/>
        <w:jc w:val="center"/>
        <w:rPr>
          <w:rFonts w:ascii="微软雅黑" w:hAnsi="微软雅黑"/>
          <w:bCs/>
          <w:color w:val="auto"/>
          <w:highlight w:val="none"/>
        </w:rPr>
      </w:pPr>
      <w:r>
        <w:rPr>
          <w:rFonts w:hint="eastAsia" w:ascii="微软雅黑" w:hAnsi="微软雅黑"/>
          <w:bCs/>
          <w:color w:val="auto"/>
          <w:highlight w:val="none"/>
        </w:rPr>
        <w:t>（格式自拟）</w:t>
      </w:r>
    </w:p>
    <w:p>
      <w:pPr>
        <w:snapToGrid w:val="0"/>
        <w:spacing w:line="312" w:lineRule="auto"/>
        <w:ind w:firstLine="480"/>
        <w:rPr>
          <w:rFonts w:ascii="微软雅黑" w:hAnsi="微软雅黑"/>
          <w:color w:val="auto"/>
          <w:highlight w:val="none"/>
          <w:lang w:val="zh-CN"/>
        </w:rPr>
      </w:pPr>
    </w:p>
    <w:p>
      <w:pPr>
        <w:pStyle w:val="79"/>
        <w:ind w:firstLine="1200"/>
        <w:rPr>
          <w:rFonts w:ascii="微软雅黑" w:hAnsi="微软雅黑" w:eastAsia="微软雅黑"/>
          <w:color w:val="auto"/>
          <w:highlight w:val="none"/>
          <w:lang w:val="zh-CN"/>
        </w:rPr>
      </w:pPr>
    </w:p>
    <w:p>
      <w:pPr>
        <w:pStyle w:val="30"/>
        <w:ind w:firstLine="480"/>
        <w:rPr>
          <w:rFonts w:ascii="微软雅黑" w:hAnsi="微软雅黑"/>
          <w:color w:val="auto"/>
          <w:highlight w:val="none"/>
          <w:lang w:val="zh-CN"/>
        </w:rPr>
      </w:pPr>
    </w:p>
    <w:p>
      <w:pPr>
        <w:pStyle w:val="31"/>
        <w:ind w:left="960" w:firstLine="420"/>
        <w:rPr>
          <w:rFonts w:ascii="微软雅黑" w:hAnsi="微软雅黑" w:eastAsia="微软雅黑"/>
          <w:color w:val="auto"/>
          <w:highlight w:val="none"/>
          <w:lang w:val="zh-CN"/>
        </w:rPr>
      </w:pPr>
    </w:p>
    <w:p>
      <w:pPr>
        <w:pStyle w:val="34"/>
        <w:rPr>
          <w:rFonts w:ascii="微软雅黑" w:hAnsi="微软雅黑" w:eastAsia="微软雅黑"/>
          <w:color w:val="auto"/>
          <w:highlight w:val="none"/>
          <w:lang w:val="zh-CN"/>
        </w:rPr>
      </w:pPr>
    </w:p>
    <w:p>
      <w:pPr>
        <w:ind w:firstLine="480"/>
        <w:rPr>
          <w:rFonts w:ascii="微软雅黑" w:hAnsi="微软雅黑"/>
          <w:color w:val="auto"/>
          <w:highlight w:val="none"/>
          <w:lang w:val="zh-CN"/>
        </w:rPr>
      </w:pPr>
    </w:p>
    <w:p>
      <w:pPr>
        <w:pStyle w:val="79"/>
        <w:ind w:firstLine="1200"/>
        <w:rPr>
          <w:rFonts w:ascii="微软雅黑" w:hAnsi="微软雅黑" w:eastAsia="微软雅黑"/>
          <w:color w:val="auto"/>
          <w:highlight w:val="none"/>
          <w:lang w:val="zh-CN"/>
        </w:rPr>
      </w:pPr>
    </w:p>
    <w:p>
      <w:pPr>
        <w:pStyle w:val="30"/>
        <w:ind w:firstLine="480"/>
        <w:rPr>
          <w:rFonts w:ascii="微软雅黑" w:hAnsi="微软雅黑"/>
          <w:color w:val="auto"/>
          <w:highlight w:val="none"/>
          <w:lang w:val="zh-CN"/>
        </w:rPr>
      </w:pPr>
    </w:p>
    <w:p>
      <w:pPr>
        <w:pStyle w:val="79"/>
        <w:rPr>
          <w:rFonts w:ascii="微软雅黑" w:hAnsi="微软雅黑" w:eastAsia="微软雅黑"/>
          <w:color w:val="auto"/>
          <w:highlight w:val="none"/>
          <w:lang w:val="zh-CN"/>
        </w:rPr>
      </w:pPr>
    </w:p>
    <w:p>
      <w:pPr>
        <w:pStyle w:val="30"/>
        <w:ind w:firstLine="480"/>
        <w:rPr>
          <w:color w:val="auto"/>
          <w:highlight w:val="none"/>
          <w:lang w:val="zh-CN"/>
        </w:rPr>
      </w:pPr>
    </w:p>
    <w:p>
      <w:pPr>
        <w:pStyle w:val="79"/>
        <w:ind w:firstLine="1204"/>
        <w:rPr>
          <w:color w:val="auto"/>
          <w:highlight w:val="none"/>
          <w:lang w:val="zh-CN"/>
        </w:rPr>
      </w:pPr>
    </w:p>
    <w:p>
      <w:pPr>
        <w:pStyle w:val="79"/>
        <w:ind w:firstLine="1204"/>
        <w:rPr>
          <w:color w:val="auto"/>
          <w:highlight w:val="none"/>
          <w:lang w:val="zh-CN"/>
        </w:rPr>
      </w:pPr>
    </w:p>
    <w:p>
      <w:pPr>
        <w:pStyle w:val="79"/>
        <w:ind w:firstLine="1204"/>
        <w:rPr>
          <w:color w:val="auto"/>
          <w:highlight w:val="none"/>
          <w:lang w:val="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Style w:val="3"/>
        <w:numPr>
          <w:ilvl w:val="0"/>
          <w:numId w:val="0"/>
        </w:numPr>
        <w:rPr>
          <w:color w:val="auto"/>
          <w:highlight w:val="none"/>
        </w:rPr>
      </w:pPr>
    </w:p>
    <w:p>
      <w:pPr>
        <w:rPr>
          <w:color w:val="auto"/>
          <w:highlight w:val="none"/>
        </w:rPr>
      </w:pPr>
    </w:p>
    <w:p>
      <w:pPr>
        <w:pStyle w:val="3"/>
        <w:numPr>
          <w:ilvl w:val="0"/>
          <w:numId w:val="0"/>
        </w:numPr>
        <w:ind w:left="630" w:leftChars="0"/>
        <w:rPr>
          <w:color w:val="auto"/>
          <w:highlight w:val="none"/>
        </w:rPr>
      </w:pPr>
    </w:p>
    <w:p>
      <w:pPr>
        <w:snapToGrid w:val="0"/>
        <w:spacing w:after="50" w:line="480" w:lineRule="auto"/>
        <w:ind w:firstLine="0" w:firstLineChars="0"/>
        <w:rPr>
          <w:rFonts w:hint="eastAsia" w:ascii="微软雅黑" w:hAnsi="微软雅黑"/>
          <w:bCs/>
          <w:color w:val="auto"/>
          <w:szCs w:val="24"/>
          <w:highlight w:val="none"/>
        </w:rPr>
      </w:pPr>
    </w:p>
    <w:p>
      <w:pPr>
        <w:snapToGrid w:val="0"/>
        <w:spacing w:after="50" w:line="48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附件7</w:t>
      </w:r>
    </w:p>
    <w:p>
      <w:pPr>
        <w:spacing w:line="360" w:lineRule="auto"/>
        <w:ind w:firstLine="640"/>
        <w:jc w:val="center"/>
        <w:rPr>
          <w:rFonts w:ascii="微软雅黑" w:hAnsi="微软雅黑"/>
          <w:b/>
          <w:bCs w:val="0"/>
          <w:color w:val="auto"/>
          <w:sz w:val="32"/>
          <w:szCs w:val="32"/>
          <w:highlight w:val="none"/>
        </w:rPr>
      </w:pPr>
      <w:r>
        <w:rPr>
          <w:rFonts w:hint="eastAsia" w:ascii="微软雅黑" w:hAnsi="微软雅黑"/>
          <w:b/>
          <w:bCs w:val="0"/>
          <w:color w:val="auto"/>
          <w:sz w:val="32"/>
          <w:szCs w:val="32"/>
          <w:highlight w:val="none"/>
        </w:rPr>
        <w:t>投标人基本情况表</w:t>
      </w:r>
    </w:p>
    <w:tbl>
      <w:tblPr>
        <w:tblStyle w:val="26"/>
        <w:tblW w:w="9962" w:type="dxa"/>
        <w:jc w:val="center"/>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775"/>
        <w:gridCol w:w="1656"/>
        <w:gridCol w:w="155"/>
        <w:gridCol w:w="2333"/>
        <w:gridCol w:w="2255"/>
        <w:gridCol w:w="2788"/>
      </w:tblGrid>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01" w:hRule="atLeast"/>
          <w:jc w:val="center"/>
        </w:trPr>
        <w:tc>
          <w:tcPr>
            <w:tcW w:w="775" w:type="dxa"/>
            <w:vMerge w:val="restart"/>
            <w:noWrap w:val="0"/>
            <w:vAlign w:val="center"/>
          </w:tcPr>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投</w:t>
            </w:r>
          </w:p>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标</w:t>
            </w:r>
          </w:p>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人</w:t>
            </w:r>
          </w:p>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概</w:t>
            </w:r>
          </w:p>
          <w:p>
            <w:pPr>
              <w:ind w:firstLine="0" w:firstLineChars="0"/>
              <w:jc w:val="center"/>
              <w:rPr>
                <w:rFonts w:ascii="微软雅黑" w:hAnsi="微软雅黑"/>
                <w:color w:val="auto"/>
                <w:szCs w:val="24"/>
                <w:highlight w:val="none"/>
              </w:rPr>
            </w:pP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况</w:t>
            </w: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公司名称</w:t>
            </w:r>
          </w:p>
        </w:tc>
        <w:tc>
          <w:tcPr>
            <w:tcW w:w="7376" w:type="dxa"/>
            <w:gridSpan w:val="3"/>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565"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地址</w:t>
            </w:r>
          </w:p>
        </w:tc>
        <w:tc>
          <w:tcPr>
            <w:tcW w:w="7376" w:type="dxa"/>
            <w:gridSpan w:val="3"/>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50"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经营范围</w:t>
            </w:r>
          </w:p>
        </w:tc>
        <w:tc>
          <w:tcPr>
            <w:tcW w:w="7376" w:type="dxa"/>
            <w:gridSpan w:val="3"/>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50"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成立时间</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经济性质</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51"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法定代表人</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联系电话</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50"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注册资金</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技术人员数</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483"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资产总额</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净资产</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工商登记号</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税务登记号</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624"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是否依法纳税</w:t>
            </w:r>
          </w:p>
        </w:tc>
        <w:tc>
          <w:tcPr>
            <w:tcW w:w="2333" w:type="dxa"/>
            <w:noWrap w:val="0"/>
            <w:vAlign w:val="center"/>
          </w:tcPr>
          <w:p>
            <w:pPr>
              <w:ind w:firstLine="0" w:firstLineChars="0"/>
              <w:jc w:val="center"/>
              <w:rPr>
                <w:rFonts w:ascii="微软雅黑" w:hAnsi="微软雅黑"/>
                <w:color w:val="auto"/>
                <w:szCs w:val="24"/>
                <w:highlight w:val="none"/>
              </w:rPr>
            </w:pPr>
          </w:p>
        </w:tc>
        <w:tc>
          <w:tcPr>
            <w:tcW w:w="2255" w:type="dxa"/>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是否参加社保</w:t>
            </w:r>
          </w:p>
        </w:tc>
        <w:tc>
          <w:tcPr>
            <w:tcW w:w="2788" w:type="dxa"/>
            <w:noWrap w:val="0"/>
            <w:vAlign w:val="center"/>
          </w:tcPr>
          <w:p>
            <w:pPr>
              <w:ind w:firstLine="0" w:firstLineChars="0"/>
              <w:jc w:val="center"/>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1071"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181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近三年业绩、</w:t>
            </w:r>
          </w:p>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信誉</w:t>
            </w:r>
          </w:p>
        </w:tc>
        <w:tc>
          <w:tcPr>
            <w:tcW w:w="7376" w:type="dxa"/>
            <w:gridSpan w:val="3"/>
            <w:noWrap w:val="0"/>
            <w:vAlign w:val="center"/>
          </w:tcPr>
          <w:p>
            <w:pPr>
              <w:ind w:firstLine="0" w:firstLineChars="0"/>
              <w:rPr>
                <w:rFonts w:ascii="微软雅黑" w:hAnsi="微软雅黑"/>
                <w:color w:val="auto"/>
                <w:szCs w:val="24"/>
                <w:highlight w:val="none"/>
              </w:rPr>
            </w:pPr>
            <w:r>
              <w:rPr>
                <w:rFonts w:hint="eastAsia" w:ascii="微软雅黑" w:hAnsi="微软雅黑"/>
                <w:color w:val="auto"/>
                <w:szCs w:val="24"/>
                <w:highlight w:val="none"/>
              </w:rPr>
              <w:t>合同总额：     万元，合同履行情况：</w:t>
            </w:r>
          </w:p>
          <w:p>
            <w:pPr>
              <w:ind w:firstLine="0" w:firstLineChars="0"/>
              <w:rPr>
                <w:rFonts w:ascii="微软雅黑" w:hAnsi="微软雅黑"/>
                <w:color w:val="auto"/>
                <w:szCs w:val="24"/>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cantSplit/>
          <w:trHeight w:val="2179" w:hRule="atLeast"/>
          <w:jc w:val="center"/>
        </w:trPr>
        <w:tc>
          <w:tcPr>
            <w:tcW w:w="775" w:type="dxa"/>
            <w:vMerge w:val="continue"/>
            <w:noWrap w:val="0"/>
            <w:vAlign w:val="center"/>
          </w:tcPr>
          <w:p>
            <w:pPr>
              <w:ind w:firstLine="0" w:firstLineChars="0"/>
              <w:jc w:val="center"/>
              <w:rPr>
                <w:rFonts w:ascii="微软雅黑" w:hAnsi="微软雅黑"/>
                <w:color w:val="auto"/>
                <w:szCs w:val="24"/>
                <w:highlight w:val="none"/>
              </w:rPr>
            </w:pPr>
          </w:p>
        </w:tc>
        <w:tc>
          <w:tcPr>
            <w:tcW w:w="9187" w:type="dxa"/>
            <w:gridSpan w:val="5"/>
            <w:noWrap w:val="0"/>
            <w:vAlign w:val="top"/>
          </w:tcPr>
          <w:p>
            <w:pPr>
              <w:ind w:firstLine="0" w:firstLineChars="0"/>
              <w:rPr>
                <w:rFonts w:ascii="微软雅黑" w:hAnsi="微软雅黑"/>
                <w:color w:val="auto"/>
                <w:szCs w:val="24"/>
                <w:highlight w:val="none"/>
              </w:rPr>
            </w:pPr>
            <w:r>
              <w:rPr>
                <w:rFonts w:hint="eastAsia" w:ascii="微软雅黑" w:hAnsi="微软雅黑"/>
                <w:color w:val="auto"/>
                <w:szCs w:val="24"/>
                <w:highlight w:val="none"/>
              </w:rPr>
              <w:t>单位优势及特点：</w:t>
            </w: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1100" w:hRule="atLeast"/>
          <w:jc w:val="center"/>
        </w:trPr>
        <w:tc>
          <w:tcPr>
            <w:tcW w:w="2431" w:type="dxa"/>
            <w:gridSpan w:val="2"/>
            <w:noWrap w:val="0"/>
            <w:vAlign w:val="center"/>
          </w:tcPr>
          <w:p>
            <w:pPr>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法定代表人签字</w:t>
            </w:r>
          </w:p>
        </w:tc>
        <w:tc>
          <w:tcPr>
            <w:tcW w:w="7531" w:type="dxa"/>
            <w:gridSpan w:val="4"/>
            <w:noWrap w:val="0"/>
            <w:vAlign w:val="center"/>
          </w:tcPr>
          <w:p>
            <w:pPr>
              <w:spacing w:line="360" w:lineRule="auto"/>
              <w:ind w:firstLine="0" w:firstLineChars="0"/>
              <w:jc w:val="center"/>
              <w:rPr>
                <w:rFonts w:ascii="微软雅黑" w:hAnsi="微软雅黑"/>
                <w:color w:val="auto"/>
                <w:szCs w:val="24"/>
                <w:highlight w:val="none"/>
              </w:rPr>
            </w:pPr>
            <w:r>
              <w:rPr>
                <w:rFonts w:hint="eastAsia" w:ascii="微软雅黑" w:hAnsi="微软雅黑"/>
                <w:color w:val="auto"/>
                <w:szCs w:val="24"/>
                <w:highlight w:val="none"/>
              </w:rPr>
              <w:t>（单位公章）</w:t>
            </w:r>
          </w:p>
          <w:p>
            <w:pPr>
              <w:spacing w:line="360" w:lineRule="auto"/>
              <w:ind w:firstLine="0" w:firstLineChars="0"/>
              <w:jc w:val="right"/>
              <w:rPr>
                <w:rFonts w:ascii="微软雅黑" w:hAnsi="微软雅黑"/>
                <w:color w:val="auto"/>
                <w:szCs w:val="24"/>
                <w:highlight w:val="none"/>
              </w:rPr>
            </w:pPr>
            <w:r>
              <w:rPr>
                <w:rFonts w:hint="eastAsia" w:ascii="微软雅黑" w:hAnsi="微软雅黑"/>
                <w:color w:val="auto"/>
                <w:szCs w:val="24"/>
                <w:highlight w:val="none"/>
              </w:rPr>
              <w:t>年   月   日</w:t>
            </w:r>
          </w:p>
        </w:tc>
      </w:tr>
    </w:tbl>
    <w:p>
      <w:pPr>
        <w:snapToGrid w:val="0"/>
        <w:spacing w:line="312" w:lineRule="auto"/>
        <w:ind w:firstLine="480"/>
        <w:rPr>
          <w:rFonts w:ascii="微软雅黑" w:hAnsi="微软雅黑"/>
          <w:color w:val="auto"/>
          <w:highlight w:val="none"/>
          <w:lang w:val="zh-CN"/>
        </w:rPr>
      </w:pPr>
    </w:p>
    <w:p>
      <w:pPr>
        <w:snapToGrid w:val="0"/>
        <w:spacing w:line="312" w:lineRule="auto"/>
        <w:ind w:firstLine="480"/>
        <w:rPr>
          <w:rFonts w:ascii="微软雅黑" w:hAnsi="微软雅黑"/>
          <w:color w:val="auto"/>
          <w:highlight w:val="none"/>
          <w:lang w:val="zh-CN"/>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snapToGrid w:val="0"/>
        <w:spacing w:after="50" w:line="480" w:lineRule="auto"/>
        <w:ind w:firstLine="0" w:firstLineChars="0"/>
        <w:rPr>
          <w:rFonts w:hint="eastAsia" w:ascii="微软雅黑" w:hAnsi="微软雅黑"/>
          <w:bCs/>
          <w:color w:val="auto"/>
          <w:szCs w:val="24"/>
          <w:highlight w:val="none"/>
        </w:rPr>
      </w:pPr>
    </w:p>
    <w:p>
      <w:pPr>
        <w:snapToGrid w:val="0"/>
        <w:spacing w:after="50" w:line="48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附件8</w:t>
      </w:r>
    </w:p>
    <w:p>
      <w:pPr>
        <w:snapToGrid w:val="0"/>
        <w:ind w:firstLine="720"/>
        <w:jc w:val="center"/>
        <w:rPr>
          <w:rFonts w:ascii="微软雅黑" w:hAnsi="微软雅黑"/>
          <w:b/>
          <w:bCs/>
          <w:color w:val="auto"/>
          <w:sz w:val="36"/>
          <w:szCs w:val="36"/>
          <w:highlight w:val="none"/>
        </w:rPr>
      </w:pPr>
      <w:r>
        <w:rPr>
          <w:rFonts w:hint="eastAsia" w:ascii="微软雅黑" w:hAnsi="微软雅黑"/>
          <w:b/>
          <w:bCs/>
          <w:color w:val="auto"/>
          <w:sz w:val="36"/>
          <w:szCs w:val="36"/>
          <w:highlight w:val="none"/>
        </w:rPr>
        <w:t>项目团队人员情况表</w:t>
      </w:r>
    </w:p>
    <w:p>
      <w:pPr>
        <w:snapToGrid w:val="0"/>
        <w:ind w:firstLine="480"/>
        <w:rPr>
          <w:rFonts w:ascii="微软雅黑" w:hAnsi="微软雅黑"/>
          <w:color w:val="auto"/>
          <w:highlight w:val="none"/>
        </w:rPr>
      </w:pPr>
    </w:p>
    <w:p>
      <w:pPr>
        <w:snapToGrid w:val="0"/>
        <w:ind w:firstLine="0" w:firstLineChars="0"/>
        <w:rPr>
          <w:rFonts w:hint="eastAsia" w:ascii="微软雅黑" w:hAnsi="微软雅黑" w:eastAsia="宋体"/>
          <w:color w:val="auto"/>
          <w:highlight w:val="none"/>
          <w:lang w:eastAsia="zh-CN"/>
        </w:rPr>
      </w:pPr>
      <w:r>
        <w:rPr>
          <w:rFonts w:hint="eastAsia" w:ascii="微软雅黑" w:hAnsi="微软雅黑"/>
          <w:color w:val="auto"/>
          <w:highlight w:val="none"/>
        </w:rPr>
        <w:t>项目名称：</w:t>
      </w:r>
      <w:r>
        <w:rPr>
          <w:rFonts w:hint="eastAsia" w:ascii="微软雅黑" w:hAnsi="微软雅黑"/>
          <w:bCs/>
          <w:color w:val="auto"/>
          <w:highlight w:val="none"/>
          <w:lang w:eastAsia="zh-CN"/>
        </w:rPr>
        <w:t>龙游县重度残疾人康养一体化康复设备采购项目（重招）</w:t>
      </w:r>
    </w:p>
    <w:p>
      <w:pPr>
        <w:snapToGrid w:val="0"/>
        <w:ind w:firstLine="0" w:firstLineChars="0"/>
        <w:rPr>
          <w:rFonts w:hint="eastAsia" w:ascii="微软雅黑" w:hAnsi="微软雅黑" w:eastAsia="宋体"/>
          <w:color w:val="auto"/>
          <w:highlight w:val="none"/>
          <w:lang w:eastAsia="zh-CN"/>
        </w:rPr>
      </w:pPr>
      <w:r>
        <w:rPr>
          <w:rFonts w:hint="eastAsia" w:ascii="微软雅黑" w:hAnsi="微软雅黑"/>
          <w:color w:val="auto"/>
          <w:highlight w:val="none"/>
        </w:rPr>
        <w:t>项目编号：</w:t>
      </w:r>
      <w:r>
        <w:rPr>
          <w:rFonts w:hint="eastAsia" w:ascii="微软雅黑" w:hAnsi="微软雅黑"/>
          <w:color w:val="auto"/>
          <w:highlight w:val="none"/>
          <w:lang w:eastAsia="zh-CN"/>
        </w:rPr>
        <w:t>QZCHZFCG2025-005</w:t>
      </w:r>
    </w:p>
    <w:tbl>
      <w:tblPr>
        <w:tblStyle w:val="26"/>
        <w:tblW w:w="9860" w:type="dxa"/>
        <w:jc w:val="center"/>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Layout w:type="fixed"/>
        <w:tblCellMar>
          <w:top w:w="57" w:type="dxa"/>
          <w:left w:w="57" w:type="dxa"/>
          <w:bottom w:w="57" w:type="dxa"/>
          <w:right w:w="57" w:type="dxa"/>
        </w:tblCellMar>
      </w:tblPr>
      <w:tblGrid>
        <w:gridCol w:w="993"/>
        <w:gridCol w:w="1285"/>
        <w:gridCol w:w="1125"/>
        <w:gridCol w:w="1293"/>
        <w:gridCol w:w="1843"/>
        <w:gridCol w:w="1847"/>
        <w:gridCol w:w="1474"/>
      </w:tblGrid>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1011"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序号</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职务</w:t>
            </w:r>
          </w:p>
        </w:tc>
        <w:tc>
          <w:tcPr>
            <w:tcW w:w="1125"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证书</w:t>
            </w:r>
          </w:p>
        </w:tc>
        <w:tc>
          <w:tcPr>
            <w:tcW w:w="12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证书编号</w:t>
            </w:r>
          </w:p>
        </w:tc>
        <w:tc>
          <w:tcPr>
            <w:tcW w:w="184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参加本单位工作时间</w:t>
            </w:r>
          </w:p>
        </w:tc>
        <w:tc>
          <w:tcPr>
            <w:tcW w:w="1847"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主要职责范围</w:t>
            </w:r>
          </w:p>
        </w:tc>
        <w:tc>
          <w:tcPr>
            <w:tcW w:w="1474"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备注</w:t>
            </w: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924"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1</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项目负责人</w:t>
            </w:r>
          </w:p>
        </w:tc>
        <w:tc>
          <w:tcPr>
            <w:tcW w:w="1125" w:type="dxa"/>
            <w:noWrap w:val="0"/>
            <w:vAlign w:val="center"/>
          </w:tcPr>
          <w:p>
            <w:pPr>
              <w:spacing w:line="600" w:lineRule="auto"/>
              <w:ind w:firstLine="420"/>
              <w:jc w:val="center"/>
              <w:rPr>
                <w:rFonts w:ascii="微软雅黑" w:hAnsi="微软雅黑"/>
                <w:color w:val="auto"/>
                <w:sz w:val="21"/>
                <w:szCs w:val="21"/>
                <w:highlight w:val="none"/>
              </w:rPr>
            </w:pPr>
          </w:p>
        </w:tc>
        <w:tc>
          <w:tcPr>
            <w:tcW w:w="1293" w:type="dxa"/>
            <w:noWrap w:val="0"/>
            <w:vAlign w:val="center"/>
          </w:tcPr>
          <w:p>
            <w:pPr>
              <w:spacing w:line="600" w:lineRule="auto"/>
              <w:ind w:firstLine="420"/>
              <w:jc w:val="center"/>
              <w:rPr>
                <w:rFonts w:ascii="微软雅黑" w:hAnsi="微软雅黑"/>
                <w:color w:val="auto"/>
                <w:sz w:val="21"/>
                <w:szCs w:val="21"/>
                <w:highlight w:val="none"/>
              </w:rPr>
            </w:pPr>
          </w:p>
        </w:tc>
        <w:tc>
          <w:tcPr>
            <w:tcW w:w="1843" w:type="dxa"/>
            <w:noWrap w:val="0"/>
            <w:vAlign w:val="top"/>
          </w:tcPr>
          <w:p>
            <w:pPr>
              <w:spacing w:line="600" w:lineRule="auto"/>
              <w:ind w:firstLine="420"/>
              <w:jc w:val="center"/>
              <w:rPr>
                <w:rFonts w:ascii="微软雅黑" w:hAnsi="微软雅黑"/>
                <w:color w:val="auto"/>
                <w:sz w:val="21"/>
                <w:szCs w:val="21"/>
                <w:highlight w:val="none"/>
              </w:rPr>
            </w:pPr>
          </w:p>
        </w:tc>
        <w:tc>
          <w:tcPr>
            <w:tcW w:w="1847" w:type="dxa"/>
            <w:noWrap w:val="0"/>
            <w:vAlign w:val="center"/>
          </w:tcPr>
          <w:p>
            <w:pPr>
              <w:spacing w:line="600" w:lineRule="auto"/>
              <w:ind w:firstLine="420"/>
              <w:jc w:val="center"/>
              <w:rPr>
                <w:rFonts w:ascii="微软雅黑" w:hAnsi="微软雅黑"/>
                <w:color w:val="auto"/>
                <w:sz w:val="21"/>
                <w:szCs w:val="21"/>
                <w:highlight w:val="none"/>
              </w:rPr>
            </w:pPr>
          </w:p>
        </w:tc>
        <w:tc>
          <w:tcPr>
            <w:tcW w:w="1474" w:type="dxa"/>
            <w:noWrap w:val="0"/>
            <w:vAlign w:val="center"/>
          </w:tcPr>
          <w:p>
            <w:pPr>
              <w:ind w:firstLine="0" w:firstLineChars="0"/>
              <w:jc w:val="center"/>
              <w:rPr>
                <w:rFonts w:ascii="微软雅黑" w:hAnsi="微软雅黑"/>
                <w:color w:val="auto"/>
                <w:sz w:val="21"/>
                <w:szCs w:val="21"/>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924"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2</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p>
        </w:tc>
        <w:tc>
          <w:tcPr>
            <w:tcW w:w="1125" w:type="dxa"/>
            <w:noWrap w:val="0"/>
            <w:vAlign w:val="center"/>
          </w:tcPr>
          <w:p>
            <w:pPr>
              <w:spacing w:line="600" w:lineRule="auto"/>
              <w:ind w:firstLine="420"/>
              <w:jc w:val="center"/>
              <w:rPr>
                <w:rFonts w:ascii="微软雅黑" w:hAnsi="微软雅黑"/>
                <w:color w:val="auto"/>
                <w:sz w:val="21"/>
                <w:szCs w:val="21"/>
                <w:highlight w:val="none"/>
              </w:rPr>
            </w:pPr>
          </w:p>
        </w:tc>
        <w:tc>
          <w:tcPr>
            <w:tcW w:w="1293" w:type="dxa"/>
            <w:noWrap w:val="0"/>
            <w:vAlign w:val="center"/>
          </w:tcPr>
          <w:p>
            <w:pPr>
              <w:spacing w:line="600" w:lineRule="auto"/>
              <w:ind w:firstLine="420"/>
              <w:jc w:val="center"/>
              <w:rPr>
                <w:rFonts w:ascii="微软雅黑" w:hAnsi="微软雅黑"/>
                <w:color w:val="auto"/>
                <w:sz w:val="21"/>
                <w:szCs w:val="21"/>
                <w:highlight w:val="none"/>
              </w:rPr>
            </w:pPr>
          </w:p>
        </w:tc>
        <w:tc>
          <w:tcPr>
            <w:tcW w:w="1843" w:type="dxa"/>
            <w:noWrap w:val="0"/>
            <w:vAlign w:val="top"/>
          </w:tcPr>
          <w:p>
            <w:pPr>
              <w:spacing w:line="600" w:lineRule="auto"/>
              <w:ind w:firstLine="420"/>
              <w:jc w:val="center"/>
              <w:rPr>
                <w:rFonts w:ascii="微软雅黑" w:hAnsi="微软雅黑"/>
                <w:color w:val="auto"/>
                <w:sz w:val="21"/>
                <w:szCs w:val="21"/>
                <w:highlight w:val="none"/>
              </w:rPr>
            </w:pPr>
          </w:p>
        </w:tc>
        <w:tc>
          <w:tcPr>
            <w:tcW w:w="1847" w:type="dxa"/>
            <w:noWrap w:val="0"/>
            <w:vAlign w:val="center"/>
          </w:tcPr>
          <w:p>
            <w:pPr>
              <w:spacing w:line="600" w:lineRule="auto"/>
              <w:ind w:firstLine="420"/>
              <w:jc w:val="center"/>
              <w:rPr>
                <w:rFonts w:ascii="微软雅黑" w:hAnsi="微软雅黑"/>
                <w:color w:val="auto"/>
                <w:sz w:val="21"/>
                <w:szCs w:val="21"/>
                <w:highlight w:val="none"/>
              </w:rPr>
            </w:pPr>
          </w:p>
        </w:tc>
        <w:tc>
          <w:tcPr>
            <w:tcW w:w="1474" w:type="dxa"/>
            <w:noWrap w:val="0"/>
            <w:vAlign w:val="center"/>
          </w:tcPr>
          <w:p>
            <w:pPr>
              <w:ind w:firstLine="0" w:firstLineChars="0"/>
              <w:jc w:val="center"/>
              <w:rPr>
                <w:rFonts w:ascii="微软雅黑" w:hAnsi="微软雅黑"/>
                <w:color w:val="auto"/>
                <w:sz w:val="21"/>
                <w:szCs w:val="21"/>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924"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3</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p>
        </w:tc>
        <w:tc>
          <w:tcPr>
            <w:tcW w:w="1125" w:type="dxa"/>
            <w:noWrap w:val="0"/>
            <w:vAlign w:val="center"/>
          </w:tcPr>
          <w:p>
            <w:pPr>
              <w:spacing w:line="600" w:lineRule="auto"/>
              <w:ind w:firstLine="420"/>
              <w:jc w:val="center"/>
              <w:rPr>
                <w:rFonts w:ascii="微软雅黑" w:hAnsi="微软雅黑"/>
                <w:color w:val="auto"/>
                <w:sz w:val="21"/>
                <w:szCs w:val="21"/>
                <w:highlight w:val="none"/>
              </w:rPr>
            </w:pPr>
          </w:p>
        </w:tc>
        <w:tc>
          <w:tcPr>
            <w:tcW w:w="1293" w:type="dxa"/>
            <w:noWrap w:val="0"/>
            <w:vAlign w:val="center"/>
          </w:tcPr>
          <w:p>
            <w:pPr>
              <w:spacing w:line="600" w:lineRule="auto"/>
              <w:ind w:firstLine="420"/>
              <w:jc w:val="center"/>
              <w:rPr>
                <w:rFonts w:ascii="微软雅黑" w:hAnsi="微软雅黑"/>
                <w:color w:val="auto"/>
                <w:sz w:val="21"/>
                <w:szCs w:val="21"/>
                <w:highlight w:val="none"/>
              </w:rPr>
            </w:pPr>
          </w:p>
        </w:tc>
        <w:tc>
          <w:tcPr>
            <w:tcW w:w="1843" w:type="dxa"/>
            <w:noWrap w:val="0"/>
            <w:vAlign w:val="top"/>
          </w:tcPr>
          <w:p>
            <w:pPr>
              <w:spacing w:line="600" w:lineRule="auto"/>
              <w:ind w:firstLine="420"/>
              <w:jc w:val="center"/>
              <w:rPr>
                <w:rFonts w:ascii="微软雅黑" w:hAnsi="微软雅黑"/>
                <w:color w:val="auto"/>
                <w:sz w:val="21"/>
                <w:szCs w:val="21"/>
                <w:highlight w:val="none"/>
              </w:rPr>
            </w:pPr>
          </w:p>
        </w:tc>
        <w:tc>
          <w:tcPr>
            <w:tcW w:w="1847" w:type="dxa"/>
            <w:noWrap w:val="0"/>
            <w:vAlign w:val="center"/>
          </w:tcPr>
          <w:p>
            <w:pPr>
              <w:spacing w:line="600" w:lineRule="auto"/>
              <w:ind w:firstLine="420"/>
              <w:jc w:val="center"/>
              <w:rPr>
                <w:rFonts w:ascii="微软雅黑" w:hAnsi="微软雅黑"/>
                <w:color w:val="auto"/>
                <w:sz w:val="21"/>
                <w:szCs w:val="21"/>
                <w:highlight w:val="none"/>
              </w:rPr>
            </w:pPr>
          </w:p>
        </w:tc>
        <w:tc>
          <w:tcPr>
            <w:tcW w:w="1474" w:type="dxa"/>
            <w:noWrap w:val="0"/>
            <w:vAlign w:val="center"/>
          </w:tcPr>
          <w:p>
            <w:pPr>
              <w:ind w:firstLine="420"/>
              <w:jc w:val="center"/>
              <w:rPr>
                <w:rFonts w:ascii="微软雅黑" w:hAnsi="微软雅黑"/>
                <w:color w:val="auto"/>
                <w:sz w:val="21"/>
                <w:szCs w:val="21"/>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924"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4</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p>
        </w:tc>
        <w:tc>
          <w:tcPr>
            <w:tcW w:w="1125" w:type="dxa"/>
            <w:noWrap w:val="0"/>
            <w:vAlign w:val="center"/>
          </w:tcPr>
          <w:p>
            <w:pPr>
              <w:spacing w:line="600" w:lineRule="auto"/>
              <w:ind w:firstLine="420"/>
              <w:jc w:val="center"/>
              <w:rPr>
                <w:rFonts w:ascii="微软雅黑" w:hAnsi="微软雅黑"/>
                <w:color w:val="auto"/>
                <w:sz w:val="21"/>
                <w:szCs w:val="21"/>
                <w:highlight w:val="none"/>
              </w:rPr>
            </w:pPr>
          </w:p>
        </w:tc>
        <w:tc>
          <w:tcPr>
            <w:tcW w:w="1293" w:type="dxa"/>
            <w:noWrap w:val="0"/>
            <w:vAlign w:val="center"/>
          </w:tcPr>
          <w:p>
            <w:pPr>
              <w:spacing w:line="600" w:lineRule="auto"/>
              <w:ind w:firstLine="420"/>
              <w:jc w:val="center"/>
              <w:rPr>
                <w:rFonts w:ascii="微软雅黑" w:hAnsi="微软雅黑"/>
                <w:color w:val="auto"/>
                <w:sz w:val="21"/>
                <w:szCs w:val="21"/>
                <w:highlight w:val="none"/>
              </w:rPr>
            </w:pPr>
          </w:p>
        </w:tc>
        <w:tc>
          <w:tcPr>
            <w:tcW w:w="1843" w:type="dxa"/>
            <w:noWrap w:val="0"/>
            <w:vAlign w:val="top"/>
          </w:tcPr>
          <w:p>
            <w:pPr>
              <w:spacing w:line="600" w:lineRule="auto"/>
              <w:ind w:firstLine="420"/>
              <w:jc w:val="center"/>
              <w:rPr>
                <w:rFonts w:ascii="微软雅黑" w:hAnsi="微软雅黑"/>
                <w:color w:val="auto"/>
                <w:sz w:val="21"/>
                <w:szCs w:val="21"/>
                <w:highlight w:val="none"/>
              </w:rPr>
            </w:pPr>
          </w:p>
        </w:tc>
        <w:tc>
          <w:tcPr>
            <w:tcW w:w="1847" w:type="dxa"/>
            <w:noWrap w:val="0"/>
            <w:vAlign w:val="center"/>
          </w:tcPr>
          <w:p>
            <w:pPr>
              <w:spacing w:line="600" w:lineRule="auto"/>
              <w:ind w:firstLine="420"/>
              <w:jc w:val="center"/>
              <w:rPr>
                <w:rFonts w:ascii="微软雅黑" w:hAnsi="微软雅黑"/>
                <w:color w:val="auto"/>
                <w:sz w:val="21"/>
                <w:szCs w:val="21"/>
                <w:highlight w:val="none"/>
              </w:rPr>
            </w:pPr>
          </w:p>
        </w:tc>
        <w:tc>
          <w:tcPr>
            <w:tcW w:w="1474" w:type="dxa"/>
            <w:noWrap w:val="0"/>
            <w:vAlign w:val="center"/>
          </w:tcPr>
          <w:p>
            <w:pPr>
              <w:ind w:firstLine="420"/>
              <w:jc w:val="center"/>
              <w:rPr>
                <w:rFonts w:ascii="微软雅黑" w:hAnsi="微软雅黑"/>
                <w:color w:val="auto"/>
                <w:sz w:val="21"/>
                <w:szCs w:val="21"/>
                <w:highlight w:val="none"/>
              </w:rPr>
            </w:pPr>
          </w:p>
        </w:tc>
      </w:tr>
      <w:tr>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57" w:type="dxa"/>
            <w:left w:w="57" w:type="dxa"/>
            <w:bottom w:w="57" w:type="dxa"/>
            <w:right w:w="57" w:type="dxa"/>
          </w:tblCellMar>
        </w:tblPrEx>
        <w:trPr>
          <w:cantSplit/>
          <w:trHeight w:val="924" w:hRule="atLeast"/>
          <w:jc w:val="center"/>
        </w:trPr>
        <w:tc>
          <w:tcPr>
            <w:tcW w:w="993" w:type="dxa"/>
            <w:noWrap w:val="0"/>
            <w:vAlign w:val="center"/>
          </w:tcPr>
          <w:p>
            <w:pPr>
              <w:spacing w:line="400" w:lineRule="exact"/>
              <w:ind w:firstLine="0" w:firstLineChars="0"/>
              <w:jc w:val="center"/>
              <w:rPr>
                <w:rFonts w:ascii="微软雅黑" w:hAnsi="微软雅黑"/>
                <w:color w:val="auto"/>
                <w:sz w:val="21"/>
                <w:szCs w:val="21"/>
                <w:highlight w:val="none"/>
              </w:rPr>
            </w:pPr>
            <w:r>
              <w:rPr>
                <w:rFonts w:hint="eastAsia" w:ascii="微软雅黑" w:hAnsi="微软雅黑"/>
                <w:color w:val="auto"/>
                <w:sz w:val="21"/>
                <w:szCs w:val="21"/>
                <w:highlight w:val="none"/>
              </w:rPr>
              <w:t>.....</w:t>
            </w:r>
          </w:p>
        </w:tc>
        <w:tc>
          <w:tcPr>
            <w:tcW w:w="1285" w:type="dxa"/>
            <w:noWrap w:val="0"/>
            <w:vAlign w:val="center"/>
          </w:tcPr>
          <w:p>
            <w:pPr>
              <w:spacing w:line="400" w:lineRule="exact"/>
              <w:ind w:firstLine="0" w:firstLineChars="0"/>
              <w:jc w:val="center"/>
              <w:rPr>
                <w:rFonts w:ascii="微软雅黑" w:hAnsi="微软雅黑"/>
                <w:color w:val="auto"/>
                <w:sz w:val="21"/>
                <w:szCs w:val="21"/>
                <w:highlight w:val="none"/>
              </w:rPr>
            </w:pPr>
          </w:p>
        </w:tc>
        <w:tc>
          <w:tcPr>
            <w:tcW w:w="1125" w:type="dxa"/>
            <w:noWrap w:val="0"/>
            <w:vAlign w:val="center"/>
          </w:tcPr>
          <w:p>
            <w:pPr>
              <w:spacing w:line="600" w:lineRule="auto"/>
              <w:ind w:firstLine="420"/>
              <w:jc w:val="center"/>
              <w:rPr>
                <w:rFonts w:ascii="微软雅黑" w:hAnsi="微软雅黑"/>
                <w:color w:val="auto"/>
                <w:sz w:val="21"/>
                <w:szCs w:val="21"/>
                <w:highlight w:val="none"/>
              </w:rPr>
            </w:pPr>
          </w:p>
        </w:tc>
        <w:tc>
          <w:tcPr>
            <w:tcW w:w="1293" w:type="dxa"/>
            <w:noWrap w:val="0"/>
            <w:vAlign w:val="center"/>
          </w:tcPr>
          <w:p>
            <w:pPr>
              <w:spacing w:line="600" w:lineRule="auto"/>
              <w:ind w:firstLine="420"/>
              <w:jc w:val="center"/>
              <w:rPr>
                <w:rFonts w:ascii="微软雅黑" w:hAnsi="微软雅黑"/>
                <w:color w:val="auto"/>
                <w:sz w:val="21"/>
                <w:szCs w:val="21"/>
                <w:highlight w:val="none"/>
              </w:rPr>
            </w:pPr>
          </w:p>
        </w:tc>
        <w:tc>
          <w:tcPr>
            <w:tcW w:w="1843" w:type="dxa"/>
            <w:noWrap w:val="0"/>
            <w:vAlign w:val="top"/>
          </w:tcPr>
          <w:p>
            <w:pPr>
              <w:spacing w:line="600" w:lineRule="auto"/>
              <w:ind w:firstLine="420"/>
              <w:jc w:val="center"/>
              <w:rPr>
                <w:rFonts w:ascii="微软雅黑" w:hAnsi="微软雅黑"/>
                <w:color w:val="auto"/>
                <w:sz w:val="21"/>
                <w:szCs w:val="21"/>
                <w:highlight w:val="none"/>
              </w:rPr>
            </w:pPr>
          </w:p>
        </w:tc>
        <w:tc>
          <w:tcPr>
            <w:tcW w:w="1847" w:type="dxa"/>
            <w:noWrap w:val="0"/>
            <w:vAlign w:val="center"/>
          </w:tcPr>
          <w:p>
            <w:pPr>
              <w:spacing w:line="600" w:lineRule="auto"/>
              <w:ind w:firstLine="420"/>
              <w:jc w:val="center"/>
              <w:rPr>
                <w:rFonts w:ascii="微软雅黑" w:hAnsi="微软雅黑"/>
                <w:color w:val="auto"/>
                <w:sz w:val="21"/>
                <w:szCs w:val="21"/>
                <w:highlight w:val="none"/>
              </w:rPr>
            </w:pPr>
          </w:p>
        </w:tc>
        <w:tc>
          <w:tcPr>
            <w:tcW w:w="1474" w:type="dxa"/>
            <w:noWrap w:val="0"/>
            <w:vAlign w:val="center"/>
          </w:tcPr>
          <w:p>
            <w:pPr>
              <w:ind w:firstLine="420"/>
              <w:jc w:val="center"/>
              <w:rPr>
                <w:rFonts w:ascii="微软雅黑" w:hAnsi="微软雅黑"/>
                <w:color w:val="auto"/>
                <w:sz w:val="21"/>
                <w:szCs w:val="21"/>
                <w:highlight w:val="none"/>
              </w:rPr>
            </w:pPr>
          </w:p>
        </w:tc>
      </w:tr>
    </w:tbl>
    <w:p>
      <w:pPr>
        <w:snapToGrid w:val="0"/>
        <w:spacing w:line="360" w:lineRule="auto"/>
        <w:ind w:firstLine="480"/>
        <w:rPr>
          <w:rFonts w:ascii="微软雅黑" w:hAnsi="微软雅黑"/>
          <w:color w:val="auto"/>
          <w:highlight w:val="none"/>
        </w:rPr>
      </w:pPr>
      <w:r>
        <w:rPr>
          <w:rFonts w:hint="eastAsia" w:ascii="微软雅黑" w:hAnsi="微软雅黑"/>
          <w:color w:val="auto"/>
          <w:highlight w:val="none"/>
        </w:rPr>
        <w:t>注：1、提供相关证书及证明材料详见评分标准表，否则不得分；</w:t>
      </w:r>
    </w:p>
    <w:p>
      <w:pPr>
        <w:snapToGrid w:val="0"/>
        <w:spacing w:line="360" w:lineRule="auto"/>
        <w:ind w:firstLine="480"/>
        <w:rPr>
          <w:rFonts w:ascii="微软雅黑" w:hAnsi="微软雅黑"/>
          <w:color w:val="auto"/>
          <w:highlight w:val="none"/>
        </w:rPr>
      </w:pPr>
      <w:r>
        <w:rPr>
          <w:rFonts w:hint="eastAsia" w:ascii="微软雅黑" w:hAnsi="微软雅黑"/>
          <w:color w:val="auto"/>
          <w:highlight w:val="none"/>
        </w:rPr>
        <w:t>2、在填写时，如本表格不适合响应方的实际情况，可根据本表格式自行划表填写。</w:t>
      </w:r>
    </w:p>
    <w:p>
      <w:pPr>
        <w:pStyle w:val="79"/>
        <w:ind w:firstLine="1200"/>
        <w:rPr>
          <w:rFonts w:ascii="微软雅黑" w:hAnsi="微软雅黑" w:eastAsia="微软雅黑"/>
          <w:color w:val="auto"/>
          <w:highlight w:val="none"/>
        </w:rPr>
      </w:pPr>
    </w:p>
    <w:p>
      <w:pPr>
        <w:snapToGrid w:val="0"/>
        <w:spacing w:line="360" w:lineRule="auto"/>
        <w:ind w:firstLine="2940" w:firstLineChars="1400"/>
        <w:rPr>
          <w:rFonts w:ascii="微软雅黑" w:hAnsi="微软雅黑"/>
          <w:color w:val="auto"/>
          <w:highlight w:val="none"/>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snapToGrid w:val="0"/>
        <w:jc w:val="left"/>
        <w:rPr>
          <w:rFonts w:hint="eastAsia" w:ascii="微软雅黑" w:hAnsi="微软雅黑"/>
          <w:color w:val="auto"/>
          <w:highlight w:val="none"/>
        </w:rPr>
      </w:pPr>
    </w:p>
    <w:p>
      <w:pPr>
        <w:snapToGrid w:val="0"/>
        <w:ind w:firstLine="105" w:firstLineChars="50"/>
        <w:jc w:val="left"/>
        <w:rPr>
          <w:rFonts w:ascii="微软雅黑" w:hAnsi="微软雅黑"/>
          <w:color w:val="auto"/>
          <w:highlight w:val="none"/>
        </w:rPr>
      </w:pPr>
      <w:r>
        <w:rPr>
          <w:rFonts w:hint="eastAsia" w:ascii="微软雅黑" w:hAnsi="微软雅黑"/>
          <w:color w:val="auto"/>
          <w:highlight w:val="none"/>
        </w:rPr>
        <w:t>附件9</w:t>
      </w:r>
    </w:p>
    <w:p>
      <w:pPr>
        <w:snapToGrid w:val="0"/>
        <w:ind w:firstLine="720"/>
        <w:jc w:val="center"/>
        <w:rPr>
          <w:rFonts w:ascii="微软雅黑" w:hAnsi="微软雅黑"/>
          <w:color w:val="auto"/>
          <w:sz w:val="36"/>
          <w:szCs w:val="36"/>
          <w:highlight w:val="none"/>
        </w:rPr>
      </w:pPr>
    </w:p>
    <w:p>
      <w:pPr>
        <w:snapToGrid w:val="0"/>
        <w:ind w:firstLine="720"/>
        <w:jc w:val="center"/>
        <w:rPr>
          <w:rFonts w:ascii="微软雅黑" w:hAnsi="微软雅黑"/>
          <w:b/>
          <w:bCs/>
          <w:color w:val="auto"/>
          <w:sz w:val="36"/>
          <w:szCs w:val="36"/>
          <w:highlight w:val="none"/>
        </w:rPr>
      </w:pPr>
      <w:r>
        <w:rPr>
          <w:rFonts w:hint="eastAsia" w:ascii="微软雅黑" w:hAnsi="微软雅黑"/>
          <w:b/>
          <w:bCs/>
          <w:color w:val="auto"/>
          <w:sz w:val="36"/>
          <w:szCs w:val="36"/>
          <w:highlight w:val="none"/>
        </w:rPr>
        <w:t>项目实施方案</w:t>
      </w:r>
    </w:p>
    <w:p>
      <w:pPr>
        <w:snapToGrid w:val="0"/>
        <w:ind w:firstLine="600"/>
        <w:jc w:val="center"/>
        <w:rPr>
          <w:rFonts w:ascii="微软雅黑" w:hAnsi="微软雅黑"/>
          <w:bCs/>
          <w:color w:val="auto"/>
          <w:sz w:val="30"/>
          <w:szCs w:val="30"/>
          <w:highlight w:val="none"/>
        </w:rPr>
      </w:pPr>
      <w:r>
        <w:rPr>
          <w:rFonts w:hint="eastAsia" w:ascii="微软雅黑" w:hAnsi="微软雅黑"/>
          <w:bCs/>
          <w:color w:val="auto"/>
          <w:sz w:val="30"/>
          <w:szCs w:val="30"/>
          <w:highlight w:val="none"/>
        </w:rPr>
        <w:t>（格式自拟）</w:t>
      </w:r>
    </w:p>
    <w:p>
      <w:pPr>
        <w:snapToGrid w:val="0"/>
        <w:ind w:firstLine="480"/>
        <w:jc w:val="left"/>
        <w:rPr>
          <w:rFonts w:ascii="微软雅黑" w:hAnsi="微软雅黑"/>
          <w:color w:val="auto"/>
          <w:highlight w:val="none"/>
        </w:rPr>
      </w:pPr>
    </w:p>
    <w:p>
      <w:pPr>
        <w:spacing w:line="600" w:lineRule="exact"/>
        <w:ind w:firstLine="0" w:firstLineChars="0"/>
        <w:jc w:val="left"/>
        <w:rPr>
          <w:rFonts w:ascii="微软雅黑" w:hAnsi="微软雅黑"/>
          <w:color w:val="auto"/>
          <w:highlight w:val="none"/>
          <w:lang w:val="zh-CN"/>
        </w:rPr>
      </w:pPr>
    </w:p>
    <w:p>
      <w:pPr>
        <w:spacing w:line="600" w:lineRule="exact"/>
        <w:ind w:firstLine="0" w:firstLineChars="0"/>
        <w:jc w:val="left"/>
        <w:rPr>
          <w:rFonts w:ascii="微软雅黑" w:hAnsi="微软雅黑"/>
          <w:color w:val="auto"/>
          <w:highlight w:val="none"/>
          <w:lang w:val="zh-CN"/>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0" w:firstLineChars="0"/>
        <w:jc w:val="left"/>
        <w:rPr>
          <w:rFonts w:ascii="微软雅黑" w:hAnsi="微软雅黑"/>
          <w:color w:val="auto"/>
          <w:highlight w:val="none"/>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ind w:firstLine="480"/>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snapToGrid w:val="0"/>
        <w:ind w:firstLine="105" w:firstLineChars="50"/>
        <w:jc w:val="left"/>
        <w:rPr>
          <w:rFonts w:ascii="微软雅黑" w:hAnsi="微软雅黑"/>
          <w:color w:val="auto"/>
          <w:highlight w:val="none"/>
        </w:rPr>
      </w:pPr>
    </w:p>
    <w:p>
      <w:pPr>
        <w:ind w:firstLine="0" w:firstLineChars="0"/>
        <w:rPr>
          <w:rFonts w:ascii="微软雅黑" w:hAnsi="微软雅黑"/>
          <w:color w:val="auto"/>
          <w:highlight w:val="none"/>
        </w:rPr>
      </w:pPr>
    </w:p>
    <w:p>
      <w:pPr>
        <w:snapToGrid w:val="0"/>
        <w:ind w:firstLine="105" w:firstLineChars="50"/>
        <w:jc w:val="left"/>
        <w:rPr>
          <w:rFonts w:hint="eastAsia" w:ascii="微软雅黑" w:hAnsi="微软雅黑"/>
          <w:color w:val="auto"/>
          <w:highlight w:val="none"/>
        </w:rPr>
      </w:pPr>
    </w:p>
    <w:p>
      <w:pPr>
        <w:snapToGrid w:val="0"/>
        <w:ind w:firstLine="105" w:firstLineChars="50"/>
        <w:jc w:val="left"/>
        <w:rPr>
          <w:rFonts w:hint="eastAsia" w:ascii="微软雅黑" w:hAnsi="微软雅黑"/>
          <w:color w:val="auto"/>
          <w:highlight w:val="none"/>
        </w:rPr>
      </w:pPr>
    </w:p>
    <w:p>
      <w:pPr>
        <w:snapToGrid w:val="0"/>
        <w:ind w:firstLine="105" w:firstLineChars="50"/>
        <w:jc w:val="left"/>
        <w:rPr>
          <w:rFonts w:hint="eastAsia" w:ascii="微软雅黑" w:hAnsi="微软雅黑"/>
          <w:color w:val="auto"/>
          <w:highlight w:val="none"/>
        </w:rPr>
      </w:pPr>
    </w:p>
    <w:p>
      <w:pPr>
        <w:snapToGrid w:val="0"/>
        <w:jc w:val="left"/>
        <w:rPr>
          <w:rFonts w:hint="eastAsia" w:ascii="微软雅黑" w:hAnsi="微软雅黑"/>
          <w:color w:val="auto"/>
          <w:highlight w:val="none"/>
        </w:rPr>
      </w:pPr>
    </w:p>
    <w:p>
      <w:pPr>
        <w:snapToGrid w:val="0"/>
        <w:ind w:firstLine="105" w:firstLineChars="50"/>
        <w:jc w:val="left"/>
        <w:rPr>
          <w:rFonts w:ascii="微软雅黑" w:hAnsi="微软雅黑"/>
          <w:color w:val="auto"/>
          <w:highlight w:val="none"/>
        </w:rPr>
      </w:pPr>
      <w:r>
        <w:rPr>
          <w:rFonts w:hint="eastAsia" w:ascii="微软雅黑" w:hAnsi="微软雅黑"/>
          <w:color w:val="auto"/>
          <w:highlight w:val="none"/>
        </w:rPr>
        <w:t>附件10</w:t>
      </w:r>
    </w:p>
    <w:p>
      <w:pPr>
        <w:spacing w:line="360" w:lineRule="auto"/>
        <w:ind w:firstLine="720"/>
        <w:jc w:val="center"/>
        <w:rPr>
          <w:rFonts w:ascii="微软雅黑" w:hAnsi="微软雅黑"/>
          <w:b/>
          <w:bCs w:val="0"/>
          <w:color w:val="auto"/>
          <w:sz w:val="36"/>
          <w:szCs w:val="36"/>
          <w:highlight w:val="none"/>
        </w:rPr>
      </w:pPr>
      <w:r>
        <w:rPr>
          <w:rFonts w:hint="eastAsia" w:ascii="微软雅黑" w:hAnsi="微软雅黑"/>
          <w:b/>
          <w:bCs w:val="0"/>
          <w:color w:val="auto"/>
          <w:sz w:val="36"/>
          <w:szCs w:val="36"/>
          <w:highlight w:val="none"/>
        </w:rPr>
        <w:t>工作进度安排</w:t>
      </w:r>
    </w:p>
    <w:tbl>
      <w:tblPr>
        <w:tblStyle w:val="26"/>
        <w:tblW w:w="9962" w:type="dxa"/>
        <w:tblInd w:w="-2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40"/>
        <w:gridCol w:w="1739"/>
        <w:gridCol w:w="2943"/>
        <w:gridCol w:w="35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序号</w:t>
            </w:r>
          </w:p>
        </w:tc>
        <w:tc>
          <w:tcPr>
            <w:tcW w:w="1739"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时间</w:t>
            </w:r>
          </w:p>
        </w:tc>
        <w:tc>
          <w:tcPr>
            <w:tcW w:w="2943"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工作内容</w:t>
            </w:r>
          </w:p>
        </w:tc>
        <w:tc>
          <w:tcPr>
            <w:tcW w:w="35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拟派项目组成员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1</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2</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3</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4</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5</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6</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7</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8</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9</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10</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40" w:type="dxa"/>
            <w:noWrap w:val="0"/>
            <w:vAlign w:val="center"/>
          </w:tcPr>
          <w:p>
            <w:pPr>
              <w:snapToGrid w:val="0"/>
              <w:ind w:firstLine="480"/>
              <w:jc w:val="center"/>
              <w:rPr>
                <w:rFonts w:ascii="微软雅黑" w:hAnsi="微软雅黑"/>
                <w:color w:val="auto"/>
                <w:kern w:val="0"/>
                <w:highlight w:val="none"/>
              </w:rPr>
            </w:pPr>
            <w:r>
              <w:rPr>
                <w:rFonts w:hint="eastAsia" w:ascii="微软雅黑" w:hAnsi="微软雅黑"/>
                <w:color w:val="auto"/>
                <w:kern w:val="0"/>
                <w:highlight w:val="none"/>
              </w:rPr>
              <w:t>……</w:t>
            </w:r>
          </w:p>
        </w:tc>
        <w:tc>
          <w:tcPr>
            <w:tcW w:w="1739" w:type="dxa"/>
            <w:noWrap w:val="0"/>
            <w:vAlign w:val="center"/>
          </w:tcPr>
          <w:p>
            <w:pPr>
              <w:snapToGrid w:val="0"/>
              <w:ind w:firstLine="480"/>
              <w:jc w:val="center"/>
              <w:rPr>
                <w:rFonts w:ascii="微软雅黑" w:hAnsi="微软雅黑"/>
                <w:color w:val="auto"/>
                <w:kern w:val="0"/>
                <w:highlight w:val="none"/>
              </w:rPr>
            </w:pPr>
          </w:p>
        </w:tc>
        <w:tc>
          <w:tcPr>
            <w:tcW w:w="2943" w:type="dxa"/>
            <w:noWrap w:val="0"/>
            <w:vAlign w:val="center"/>
          </w:tcPr>
          <w:p>
            <w:pPr>
              <w:snapToGrid w:val="0"/>
              <w:ind w:firstLine="480"/>
              <w:jc w:val="center"/>
              <w:rPr>
                <w:rFonts w:ascii="微软雅黑" w:hAnsi="微软雅黑"/>
                <w:color w:val="auto"/>
                <w:kern w:val="0"/>
                <w:highlight w:val="none"/>
              </w:rPr>
            </w:pPr>
          </w:p>
        </w:tc>
        <w:tc>
          <w:tcPr>
            <w:tcW w:w="3540" w:type="dxa"/>
            <w:noWrap w:val="0"/>
            <w:vAlign w:val="center"/>
          </w:tcPr>
          <w:p>
            <w:pPr>
              <w:snapToGrid w:val="0"/>
              <w:ind w:firstLine="480"/>
              <w:jc w:val="center"/>
              <w:rPr>
                <w:rFonts w:ascii="微软雅黑" w:hAnsi="微软雅黑"/>
                <w:color w:val="auto"/>
                <w:kern w:val="0"/>
                <w:highlight w:val="none"/>
              </w:rPr>
            </w:pPr>
          </w:p>
        </w:tc>
      </w:tr>
    </w:tbl>
    <w:p>
      <w:pPr>
        <w:pStyle w:val="79"/>
        <w:ind w:firstLine="560"/>
        <w:rPr>
          <w:rFonts w:ascii="微软雅黑" w:hAnsi="微软雅黑" w:eastAsia="微软雅黑"/>
          <w:color w:val="auto"/>
          <w:sz w:val="24"/>
          <w:highlight w:val="none"/>
        </w:rPr>
      </w:pPr>
      <w:r>
        <w:rPr>
          <w:rFonts w:hint="eastAsia" w:ascii="微软雅黑" w:hAnsi="微软雅黑" w:eastAsia="微软雅黑"/>
          <w:color w:val="auto"/>
          <w:sz w:val="24"/>
          <w:highlight w:val="none"/>
        </w:rPr>
        <w:t>注：投标人可按上述的格式自行编制。</w:t>
      </w:r>
    </w:p>
    <w:p>
      <w:pPr>
        <w:snapToGrid w:val="0"/>
        <w:ind w:firstLine="480"/>
        <w:jc w:val="left"/>
        <w:rPr>
          <w:rFonts w:ascii="微软雅黑" w:hAnsi="微软雅黑"/>
          <w:color w:val="auto"/>
          <w:highlight w:val="none"/>
        </w:rPr>
      </w:pPr>
    </w:p>
    <w:p>
      <w:pPr>
        <w:snapToGrid w:val="0"/>
        <w:ind w:firstLine="480"/>
        <w:jc w:val="left"/>
        <w:rPr>
          <w:rFonts w:ascii="微软雅黑" w:hAnsi="微软雅黑"/>
          <w:color w:val="auto"/>
          <w:highlight w:val="none"/>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snapToGrid w:val="0"/>
        <w:spacing w:line="360" w:lineRule="auto"/>
        <w:ind w:firstLine="0" w:firstLineChars="0"/>
        <w:rPr>
          <w:rFonts w:hint="eastAsia" w:ascii="微软雅黑" w:hAnsi="微软雅黑"/>
          <w:bCs/>
          <w:color w:val="auto"/>
          <w:szCs w:val="24"/>
          <w:highlight w:val="none"/>
        </w:rPr>
      </w:pPr>
    </w:p>
    <w:p>
      <w:pPr>
        <w:snapToGrid w:val="0"/>
        <w:spacing w:line="360" w:lineRule="auto"/>
        <w:ind w:firstLine="0" w:firstLineChars="0"/>
        <w:rPr>
          <w:rFonts w:ascii="微软雅黑" w:hAnsi="微软雅黑"/>
          <w:bCs/>
          <w:color w:val="auto"/>
          <w:szCs w:val="24"/>
          <w:highlight w:val="none"/>
        </w:rPr>
      </w:pPr>
    </w:p>
    <w:p>
      <w:pPr>
        <w:snapToGrid w:val="0"/>
        <w:spacing w:line="360" w:lineRule="auto"/>
        <w:ind w:firstLine="0" w:firstLineChars="0"/>
        <w:rPr>
          <w:rFonts w:ascii="微软雅黑" w:hAnsi="微软雅黑"/>
          <w:bCs/>
          <w:color w:val="auto"/>
          <w:szCs w:val="24"/>
          <w:highlight w:val="none"/>
        </w:rPr>
      </w:pPr>
    </w:p>
    <w:p>
      <w:pPr>
        <w:snapToGrid w:val="0"/>
        <w:spacing w:line="360" w:lineRule="auto"/>
        <w:ind w:firstLine="0" w:firstLineChars="0"/>
        <w:rPr>
          <w:rFonts w:hint="eastAsia" w:ascii="微软雅黑" w:hAnsi="微软雅黑"/>
          <w:bCs/>
          <w:color w:val="auto"/>
          <w:szCs w:val="24"/>
          <w:highlight w:val="none"/>
        </w:rPr>
      </w:pPr>
    </w:p>
    <w:p>
      <w:pPr>
        <w:snapToGrid w:val="0"/>
        <w:spacing w:line="36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附件11</w:t>
      </w:r>
    </w:p>
    <w:p>
      <w:pPr>
        <w:snapToGrid w:val="0"/>
        <w:spacing w:line="480" w:lineRule="auto"/>
        <w:ind w:firstLine="640"/>
        <w:jc w:val="center"/>
        <w:rPr>
          <w:rFonts w:ascii="微软雅黑" w:hAnsi="微软雅黑"/>
          <w:bCs/>
          <w:color w:val="auto"/>
          <w:sz w:val="32"/>
          <w:szCs w:val="32"/>
          <w:highlight w:val="none"/>
        </w:rPr>
      </w:pPr>
      <w:r>
        <w:rPr>
          <w:rFonts w:hint="eastAsia" w:ascii="微软雅黑" w:hAnsi="微软雅黑"/>
          <w:bCs/>
          <w:color w:val="auto"/>
          <w:sz w:val="32"/>
          <w:szCs w:val="32"/>
          <w:highlight w:val="none"/>
        </w:rPr>
        <w:t>投标函</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致：</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（招标人名称）</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 xml:space="preserve">1、根据贵方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项目的采购公告（项目编号：</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），签字代表</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（全名）经正式授权并代表供应商</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（投标人名称）提交响应文件资信证明部分、技术商务部分、报价部分各正本一份。</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2、我方已详细审核全部招标文件，包括修改文件（如有时）及有关附件。</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3、我方承认投标书附录是我方投标书的组成部分。</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4、如果我方中标，我方将派出以</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为负责人的项目班组进行项目实施。</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5、我方同意所提交的投标文件在招标文件的前附表中规定的投标有效期内有效，在此期间内如果中标，我方将受此约束。</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6、除非另外达成协议并生效，你方的中标通知书和本投标文件将成为约束双方的合同文件的组成部分。</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投标人：</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（盖章）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单位地址：</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法定代表人或其委托代理人：</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（签字或盖章）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邮政编码：</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电话：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传真：</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开户银行名称：</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开户银行帐号：</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开户银行地址：</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开户银行电话：</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微软雅黑" w:hAnsi="微软雅黑" w:eastAsia="微软雅黑"/>
          <w:b w:val="0"/>
          <w:bCs w:val="0"/>
          <w:color w:val="auto"/>
          <w:kern w:val="2"/>
          <w:sz w:val="21"/>
          <w:szCs w:val="21"/>
          <w:highlight w:val="none"/>
        </w:rPr>
      </w:pPr>
      <w:r>
        <w:rPr>
          <w:rFonts w:hint="eastAsia" w:ascii="宋体" w:hAnsi="宋体" w:eastAsia="宋体" w:cs="宋体"/>
          <w:b w:val="0"/>
          <w:color w:val="auto"/>
          <w:w w:val="100"/>
          <w:sz w:val="24"/>
          <w:szCs w:val="24"/>
          <w:highlight w:val="none"/>
          <w:lang w:val="zh-CN" w:eastAsia="zh-CN"/>
        </w:rPr>
        <w:t>日期：</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年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月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日 </w:t>
      </w:r>
    </w:p>
    <w:p>
      <w:pPr>
        <w:pStyle w:val="78"/>
        <w:ind w:firstLine="0" w:firstLineChars="0"/>
        <w:rPr>
          <w:rFonts w:ascii="微软雅黑" w:hAnsi="微软雅黑" w:eastAsia="微软雅黑"/>
          <w:b w:val="0"/>
          <w:bCs w:val="0"/>
          <w:color w:val="auto"/>
          <w:kern w:val="2"/>
          <w:sz w:val="21"/>
          <w:szCs w:val="21"/>
          <w:highlight w:val="none"/>
        </w:rPr>
      </w:pPr>
      <w:r>
        <w:rPr>
          <w:rFonts w:hint="eastAsia" w:ascii="微软雅黑" w:hAnsi="微软雅黑" w:eastAsia="微软雅黑"/>
          <w:b w:val="0"/>
          <w:bCs w:val="0"/>
          <w:color w:val="auto"/>
          <w:kern w:val="2"/>
          <w:sz w:val="21"/>
          <w:szCs w:val="21"/>
          <w:highlight w:val="none"/>
        </w:rPr>
        <w:t>附件12</w:t>
      </w:r>
    </w:p>
    <w:p>
      <w:pPr>
        <w:snapToGrid w:val="0"/>
        <w:ind w:firstLine="720"/>
        <w:jc w:val="center"/>
        <w:rPr>
          <w:rFonts w:ascii="华文中宋" w:hAnsi="华文中宋" w:eastAsia="华文中宋"/>
          <w:b/>
          <w:bCs/>
          <w:color w:val="auto"/>
          <w:sz w:val="36"/>
          <w:szCs w:val="36"/>
          <w:highlight w:val="none"/>
        </w:rPr>
      </w:pPr>
      <w:r>
        <w:rPr>
          <w:rFonts w:hint="eastAsia" w:ascii="华文中宋" w:hAnsi="华文中宋" w:eastAsia="华文中宋"/>
          <w:b/>
          <w:bCs/>
          <w:color w:val="auto"/>
          <w:sz w:val="36"/>
          <w:szCs w:val="36"/>
          <w:highlight w:val="none"/>
        </w:rPr>
        <w:t>供应商资格声明函</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1、基本情况</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供应商名称：</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地 址：</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电 话：</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成立和注册日期：</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主管部门：</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公司性质：</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主要负责人：</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u w:val="single"/>
          <w:lang w:val="zh-CN"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职工人数：</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(其中:技术人员</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最近公司(企业)的主要财务情况（到2022年12月31日止）</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注册资金：</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固定资产：</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 xml:space="preserve">原值：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 xml:space="preserve">净值：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流动资产：</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长期负债：</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短期负债：</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营业收入/主营业务收入：</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利润：</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 xml:space="preserve">  2、最近二年的年度总营业额：</w:t>
      </w:r>
      <w:r>
        <w:rPr>
          <w:rFonts w:hint="eastAsia" w:ascii="宋体" w:hAnsi="宋体" w:cs="宋体"/>
          <w:b w:val="0"/>
          <w:color w:val="auto"/>
          <w:w w:val="100"/>
          <w:sz w:val="24"/>
          <w:szCs w:val="24"/>
          <w:highlight w:val="none"/>
          <w:u w:val="single"/>
          <w:lang w:val="en-US"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 xml:space="preserve">    年份总额</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20</w:t>
      </w:r>
      <w:r>
        <w:rPr>
          <w:rFonts w:hint="eastAsia" w:ascii="宋体" w:hAnsi="宋体" w:cs="宋体"/>
          <w:b w:val="0"/>
          <w:color w:val="auto"/>
          <w:w w:val="100"/>
          <w:sz w:val="24"/>
          <w:szCs w:val="24"/>
          <w:highlight w:val="none"/>
          <w:lang w:val="en-US" w:eastAsia="zh-CN"/>
        </w:rPr>
        <w:t>21</w:t>
      </w:r>
      <w:r>
        <w:rPr>
          <w:rFonts w:hint="eastAsia" w:ascii="宋体" w:hAnsi="宋体" w:eastAsia="宋体" w:cs="宋体"/>
          <w:b w:val="0"/>
          <w:color w:val="auto"/>
          <w:w w:val="100"/>
          <w:sz w:val="24"/>
          <w:szCs w:val="24"/>
          <w:highlight w:val="none"/>
          <w:lang w:val="zh-CN" w:eastAsia="zh-CN"/>
        </w:rPr>
        <w:t xml:space="preserve">年: </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2022年:</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3、最近二年与其他客户签订的较大项目合同：</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项目名称：</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地址：</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时间：</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金额(人民币/元)：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4、供应商最近二年法律纠纷情况</w:t>
      </w:r>
      <w:r>
        <w:rPr>
          <w:rFonts w:hint="eastAsia" w:ascii="宋体" w:hAnsi="宋体" w:eastAsia="宋体" w:cs="宋体"/>
          <w:b w:val="0"/>
          <w:color w:val="auto"/>
          <w:w w:val="100"/>
          <w:sz w:val="24"/>
          <w:szCs w:val="24"/>
          <w:highlight w:val="none"/>
          <w:lang w:val="zh-CN" w:eastAsia="zh-CN"/>
        </w:rPr>
        <w:br w:type="textWrapping"/>
      </w:r>
      <w:r>
        <w:rPr>
          <w:rFonts w:hint="eastAsia" w:ascii="宋体" w:hAnsi="宋体" w:eastAsia="宋体" w:cs="宋体"/>
          <w:b w:val="0"/>
          <w:color w:val="auto"/>
          <w:w w:val="100"/>
          <w:sz w:val="24"/>
          <w:szCs w:val="24"/>
          <w:highlight w:val="none"/>
          <w:lang w:val="zh-CN" w:eastAsia="zh-CN"/>
        </w:rPr>
        <w:t>时间     案由    涉及金额     目前办理情况</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5、有关银行的名称和地址：</w:t>
      </w:r>
      <w:r>
        <w:rPr>
          <w:rFonts w:hint="eastAsia" w:ascii="宋体" w:hAnsi="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zh-CN"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6、其他情况：</w:t>
      </w:r>
      <w:r>
        <w:rPr>
          <w:rFonts w:hint="eastAsia" w:ascii="宋体" w:hAnsi="宋体" w:cs="宋体"/>
          <w:b w:val="0"/>
          <w:color w:val="auto"/>
          <w:w w:val="100"/>
          <w:sz w:val="24"/>
          <w:szCs w:val="24"/>
          <w:highlight w:val="none"/>
          <w:u w:val="single"/>
          <w:lang w:val="en-US" w:eastAsia="zh-CN"/>
        </w:rPr>
        <w:t xml:space="preserve">       </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zh-CN" w:eastAsia="zh-CN"/>
        </w:rPr>
      </w:pPr>
      <w:r>
        <w:rPr>
          <w:rFonts w:hint="eastAsia" w:ascii="宋体" w:hAnsi="宋体" w:eastAsia="宋体" w:cs="宋体"/>
          <w:b w:val="0"/>
          <w:color w:val="auto"/>
          <w:w w:val="100"/>
          <w:sz w:val="24"/>
          <w:szCs w:val="24"/>
          <w:highlight w:val="none"/>
          <w:lang w:val="zh-CN" w:eastAsia="zh-CN"/>
        </w:rPr>
        <w:t>就我们所知，兹证明上述声明是真实的、正确的，并提供了全部能提供资料和数据，我们同意遵照贵方要求出示此证明文件。</w:t>
      </w:r>
    </w:p>
    <w:p>
      <w:pPr>
        <w:autoSpaceDE w:val="0"/>
        <w:autoSpaceDN w:val="0"/>
        <w:spacing w:line="460" w:lineRule="exact"/>
        <w:ind w:firstLine="480"/>
        <w:rPr>
          <w:rFonts w:ascii="华文中宋" w:hAnsi="华文中宋" w:eastAsia="华文中宋"/>
          <w:color w:val="auto"/>
          <w:highlight w:val="none"/>
        </w:rPr>
      </w:pPr>
    </w:p>
    <w:p>
      <w:pPr>
        <w:snapToGrid w:val="0"/>
        <w:spacing w:line="360" w:lineRule="auto"/>
        <w:ind w:firstLine="3780" w:firstLineChars="1800"/>
        <w:rPr>
          <w:rFonts w:ascii="华文中宋" w:hAnsi="华文中宋" w:eastAsia="华文中宋"/>
          <w:color w:val="auto"/>
          <w:highlight w:val="none"/>
        </w:rPr>
      </w:pPr>
    </w:p>
    <w:p>
      <w:pPr>
        <w:snapToGrid w:val="0"/>
        <w:spacing w:line="360" w:lineRule="auto"/>
        <w:ind w:firstLine="3780" w:firstLineChars="1800"/>
        <w:rPr>
          <w:rFonts w:ascii="华文中宋" w:hAnsi="华文中宋" w:eastAsia="华文中宋"/>
          <w:color w:val="auto"/>
          <w:highlight w:val="none"/>
        </w:rPr>
      </w:pPr>
    </w:p>
    <w:p>
      <w:pPr>
        <w:snapToGrid w:val="0"/>
        <w:spacing w:line="360" w:lineRule="auto"/>
        <w:ind w:firstLine="3780" w:firstLineChars="1800"/>
        <w:rPr>
          <w:rFonts w:ascii="华文中宋" w:hAnsi="华文中宋" w:eastAsia="华文中宋"/>
          <w:color w:val="auto"/>
          <w:highlight w:val="none"/>
        </w:rPr>
      </w:pP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480" w:firstLineChars="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Style w:val="78"/>
        <w:ind w:firstLine="0" w:firstLineChars="0"/>
        <w:rPr>
          <w:rFonts w:ascii="微软雅黑" w:hAnsi="微软雅黑" w:eastAsia="微软雅黑"/>
          <w:color w:val="auto"/>
          <w:szCs w:val="24"/>
          <w:highlight w:val="none"/>
        </w:rPr>
      </w:pPr>
    </w:p>
    <w:p>
      <w:pPr>
        <w:bidi w:val="0"/>
        <w:rPr>
          <w:color w:val="auto"/>
          <w:highlight w:val="none"/>
        </w:rPr>
      </w:pPr>
    </w:p>
    <w:p>
      <w:pPr>
        <w:bidi w:val="0"/>
        <w:rPr>
          <w:color w:val="auto"/>
          <w:highlight w:val="none"/>
        </w:rPr>
      </w:pPr>
    </w:p>
    <w:p>
      <w:pPr>
        <w:bidi w:val="0"/>
        <w:rPr>
          <w:color w:val="auto"/>
          <w:highlight w:val="none"/>
        </w:rPr>
      </w:pPr>
    </w:p>
    <w:p>
      <w:pPr>
        <w:bidi w:val="0"/>
        <w:rPr>
          <w:color w:val="auto"/>
          <w:highlight w:val="none"/>
        </w:rPr>
      </w:pPr>
    </w:p>
    <w:p>
      <w:pPr>
        <w:bidi w:val="0"/>
        <w:rPr>
          <w:color w:val="auto"/>
          <w:highlight w:val="none"/>
        </w:rPr>
      </w:pPr>
    </w:p>
    <w:p>
      <w:pPr>
        <w:bidi w:val="0"/>
        <w:rPr>
          <w:color w:val="auto"/>
          <w:highlight w:val="none"/>
        </w:rPr>
      </w:pPr>
    </w:p>
    <w:p>
      <w:pPr>
        <w:bidi w:val="0"/>
        <w:rPr>
          <w:color w:val="auto"/>
          <w:highlight w:val="none"/>
        </w:rPr>
      </w:pPr>
    </w:p>
    <w:p>
      <w:pPr>
        <w:bidi w:val="0"/>
        <w:rPr>
          <w:color w:val="auto"/>
          <w:highlight w:val="none"/>
        </w:rPr>
      </w:pPr>
    </w:p>
    <w:p>
      <w:pPr>
        <w:bidi w:val="0"/>
        <w:jc w:val="left"/>
        <w:rPr>
          <w:color w:val="auto"/>
          <w:highlight w:val="none"/>
        </w:rPr>
      </w:pPr>
    </w:p>
    <w:p>
      <w:pPr>
        <w:pStyle w:val="8"/>
        <w:rPr>
          <w:color w:val="auto"/>
          <w:highlight w:val="none"/>
        </w:rPr>
        <w:sectPr>
          <w:pgSz w:w="11906" w:h="16838"/>
          <w:pgMar w:top="1440" w:right="1080" w:bottom="1440" w:left="1080" w:header="851" w:footer="850" w:gutter="0"/>
          <w:pgBorders>
            <w:top w:val="none" w:sz="0" w:space="0"/>
            <w:left w:val="none" w:sz="0" w:space="0"/>
            <w:bottom w:val="none" w:sz="0" w:space="0"/>
            <w:right w:val="none" w:sz="0" w:space="0"/>
          </w:pgBorders>
          <w:pgNumType w:fmt="decimal"/>
          <w:cols w:space="720" w:num="1"/>
          <w:docGrid w:linePitch="312" w:charSpace="0"/>
        </w:sectPr>
      </w:pPr>
    </w:p>
    <w:p>
      <w:pPr>
        <w:snapToGrid w:val="0"/>
        <w:spacing w:line="360" w:lineRule="auto"/>
        <w:ind w:firstLine="0" w:firstLineChars="0"/>
        <w:rPr>
          <w:rFonts w:ascii="微软雅黑" w:hAnsi="微软雅黑"/>
          <w:bCs/>
          <w:color w:val="auto"/>
          <w:szCs w:val="24"/>
          <w:highlight w:val="none"/>
        </w:rPr>
      </w:pPr>
      <w:r>
        <w:rPr>
          <w:rFonts w:hint="eastAsia" w:ascii="微软雅黑" w:hAnsi="微软雅黑"/>
          <w:bCs/>
          <w:color w:val="auto"/>
          <w:szCs w:val="24"/>
          <w:highlight w:val="none"/>
        </w:rPr>
        <w:t>附件13</w:t>
      </w:r>
    </w:p>
    <w:p>
      <w:pPr>
        <w:ind w:firstLine="640"/>
        <w:jc w:val="center"/>
        <w:rPr>
          <w:rFonts w:ascii="微软雅黑" w:hAnsi="微软雅黑"/>
          <w:b/>
          <w:bCs w:val="0"/>
          <w:color w:val="auto"/>
          <w:sz w:val="32"/>
          <w:szCs w:val="32"/>
          <w:highlight w:val="none"/>
        </w:rPr>
      </w:pPr>
      <w:r>
        <w:rPr>
          <w:rFonts w:hint="eastAsia" w:ascii="微软雅黑" w:hAnsi="微软雅黑"/>
          <w:b/>
          <w:bCs w:val="0"/>
          <w:color w:val="auto"/>
          <w:sz w:val="32"/>
          <w:szCs w:val="32"/>
          <w:highlight w:val="none"/>
        </w:rPr>
        <w:t>报价一览表</w:t>
      </w:r>
    </w:p>
    <w:p>
      <w:pPr>
        <w:snapToGrid w:val="0"/>
        <w:spacing w:line="480" w:lineRule="exact"/>
        <w:ind w:left="210" w:leftChars="100" w:firstLine="105" w:firstLineChars="50"/>
        <w:jc w:val="left"/>
        <w:rPr>
          <w:rFonts w:ascii="微软雅黑" w:hAnsi="微软雅黑"/>
          <w:color w:val="auto"/>
          <w:highlight w:val="none"/>
        </w:rPr>
      </w:pPr>
      <w:r>
        <w:rPr>
          <w:rFonts w:hint="eastAsia" w:ascii="微软雅黑" w:hAnsi="微软雅黑"/>
          <w:color w:val="auto"/>
          <w:highlight w:val="none"/>
        </w:rPr>
        <w:t xml:space="preserve">                                                                                </w:t>
      </w:r>
    </w:p>
    <w:tbl>
      <w:tblPr>
        <w:tblStyle w:val="26"/>
        <w:tblW w:w="9176" w:type="dxa"/>
        <w:jc w:val="center"/>
        <w:tblBorders>
          <w:top w:val="thinThickSmallGap" w:color="000000" w:sz="24" w:space="0"/>
          <w:left w:val="thinThickSmallGap" w:color="000000" w:sz="24" w:space="0"/>
          <w:bottom w:val="thinThickSmallGap" w:color="000000" w:sz="24" w:space="0"/>
          <w:right w:val="thinThickSmallGap" w:color="000000" w:sz="24" w:space="0"/>
          <w:insideH w:val="single" w:color="000000" w:sz="8" w:space="0"/>
          <w:insideV w:val="single" w:color="000000" w:sz="8" w:space="0"/>
        </w:tblBorders>
        <w:tblLayout w:type="fixed"/>
        <w:tblCellMar>
          <w:top w:w="0" w:type="dxa"/>
          <w:left w:w="108" w:type="dxa"/>
          <w:bottom w:w="0" w:type="dxa"/>
          <w:right w:w="108" w:type="dxa"/>
        </w:tblCellMar>
      </w:tblPr>
      <w:tblGrid>
        <w:gridCol w:w="1708"/>
        <w:gridCol w:w="7468"/>
      </w:tblGrid>
      <w:tr>
        <w:tblPrEx>
          <w:tblBorders>
            <w:top w:val="thinThickSmallGap" w:color="000000" w:sz="24" w:space="0"/>
            <w:left w:val="thinThickSmallGap" w:color="000000" w:sz="24" w:space="0"/>
            <w:bottom w:val="thinThickSmallGap" w:color="000000" w:sz="24" w:space="0"/>
            <w:right w:val="thinThickSmallGap" w:color="000000" w:sz="24" w:space="0"/>
            <w:insideH w:val="single" w:color="000000" w:sz="8" w:space="0"/>
            <w:insideV w:val="single" w:color="000000" w:sz="8" w:space="0"/>
          </w:tblBorders>
          <w:tblCellMar>
            <w:top w:w="0" w:type="dxa"/>
            <w:left w:w="108" w:type="dxa"/>
            <w:bottom w:w="0" w:type="dxa"/>
            <w:right w:w="108" w:type="dxa"/>
          </w:tblCellMar>
        </w:tblPrEx>
        <w:trPr>
          <w:trHeight w:val="808" w:hRule="atLeast"/>
          <w:jc w:val="center"/>
        </w:trPr>
        <w:tc>
          <w:tcPr>
            <w:tcW w:w="1708" w:type="dxa"/>
            <w:noWrap w:val="0"/>
            <w:vAlign w:val="center"/>
          </w:tcPr>
          <w:p>
            <w:pPr>
              <w:pStyle w:val="77"/>
              <w:snapToGrid w:val="0"/>
              <w:jc w:val="center"/>
              <w:rPr>
                <w:rFonts w:hint="eastAsia" w:ascii="微软雅黑" w:hAnsi="微软雅黑" w:eastAsia="宋体" w:cs="Times New Roman"/>
                <w:color w:val="auto"/>
                <w:szCs w:val="24"/>
                <w:highlight w:val="none"/>
              </w:rPr>
            </w:pPr>
            <w:r>
              <w:rPr>
                <w:rFonts w:hint="eastAsia" w:ascii="微软雅黑" w:hAnsi="微软雅黑" w:eastAsia="宋体" w:cs="Times New Roman"/>
                <w:color w:val="auto"/>
                <w:szCs w:val="24"/>
                <w:highlight w:val="none"/>
              </w:rPr>
              <w:t>项目名称</w:t>
            </w:r>
          </w:p>
        </w:tc>
        <w:tc>
          <w:tcPr>
            <w:tcW w:w="7468" w:type="dxa"/>
            <w:noWrap w:val="0"/>
            <w:vAlign w:val="center"/>
          </w:tcPr>
          <w:p>
            <w:pPr>
              <w:pStyle w:val="77"/>
              <w:snapToGrid w:val="0"/>
              <w:jc w:val="both"/>
              <w:rPr>
                <w:rFonts w:hint="eastAsia" w:ascii="微软雅黑" w:hAnsi="微软雅黑" w:eastAsia="宋体" w:cs="Times New Roman"/>
                <w:color w:val="auto"/>
                <w:szCs w:val="24"/>
                <w:highlight w:val="none"/>
                <w:lang w:eastAsia="zh-CN"/>
              </w:rPr>
            </w:pPr>
            <w:r>
              <w:rPr>
                <w:rFonts w:hint="eastAsia" w:ascii="微软雅黑" w:hAnsi="微软雅黑" w:cs="Times New Roman"/>
                <w:color w:val="auto"/>
                <w:szCs w:val="24"/>
                <w:highlight w:val="none"/>
                <w:lang w:eastAsia="zh-CN"/>
              </w:rPr>
              <w:t>龙游县重度残疾人康养一体化康复设备采购项目（重招）</w:t>
            </w:r>
          </w:p>
        </w:tc>
      </w:tr>
      <w:tr>
        <w:tblPrEx>
          <w:tblBorders>
            <w:top w:val="thinThickSmallGap" w:color="000000" w:sz="24" w:space="0"/>
            <w:left w:val="thinThickSmallGap" w:color="000000" w:sz="24" w:space="0"/>
            <w:bottom w:val="thinThickSmallGap" w:color="000000" w:sz="24" w:space="0"/>
            <w:right w:val="thinThickSmallGap" w:color="000000" w:sz="24" w:space="0"/>
            <w:insideH w:val="single" w:color="000000" w:sz="8" w:space="0"/>
            <w:insideV w:val="single" w:color="000000" w:sz="8" w:space="0"/>
          </w:tblBorders>
          <w:tblCellMar>
            <w:top w:w="0" w:type="dxa"/>
            <w:left w:w="108" w:type="dxa"/>
            <w:bottom w:w="0" w:type="dxa"/>
            <w:right w:w="108" w:type="dxa"/>
          </w:tblCellMar>
        </w:tblPrEx>
        <w:trPr>
          <w:trHeight w:val="820" w:hRule="atLeast"/>
          <w:jc w:val="center"/>
        </w:trPr>
        <w:tc>
          <w:tcPr>
            <w:tcW w:w="1708" w:type="dxa"/>
            <w:noWrap w:val="0"/>
            <w:vAlign w:val="center"/>
          </w:tcPr>
          <w:p>
            <w:pPr>
              <w:pStyle w:val="77"/>
              <w:snapToGrid w:val="0"/>
              <w:jc w:val="center"/>
              <w:rPr>
                <w:rFonts w:hint="eastAsia" w:ascii="微软雅黑" w:hAnsi="微软雅黑" w:eastAsia="宋体" w:cs="Times New Roman"/>
                <w:color w:val="auto"/>
                <w:szCs w:val="24"/>
                <w:highlight w:val="none"/>
              </w:rPr>
            </w:pPr>
            <w:r>
              <w:rPr>
                <w:rFonts w:hint="eastAsia" w:ascii="微软雅黑" w:hAnsi="微软雅黑" w:eastAsia="宋体" w:cs="Times New Roman"/>
                <w:color w:val="auto"/>
                <w:szCs w:val="24"/>
                <w:highlight w:val="none"/>
              </w:rPr>
              <w:t>项目编号</w:t>
            </w:r>
          </w:p>
        </w:tc>
        <w:tc>
          <w:tcPr>
            <w:tcW w:w="7468" w:type="dxa"/>
            <w:noWrap w:val="0"/>
            <w:vAlign w:val="center"/>
          </w:tcPr>
          <w:p>
            <w:pPr>
              <w:pStyle w:val="77"/>
              <w:snapToGrid w:val="0"/>
              <w:jc w:val="both"/>
              <w:rPr>
                <w:rFonts w:hint="eastAsia" w:ascii="微软雅黑" w:hAnsi="微软雅黑" w:eastAsia="宋体" w:cs="Times New Roman"/>
                <w:color w:val="auto"/>
                <w:szCs w:val="24"/>
                <w:highlight w:val="none"/>
              </w:rPr>
            </w:pPr>
            <w:r>
              <w:rPr>
                <w:rFonts w:hint="eastAsia" w:ascii="微软雅黑" w:hAnsi="微软雅黑" w:cs="Times New Roman"/>
                <w:color w:val="auto"/>
                <w:szCs w:val="24"/>
                <w:highlight w:val="none"/>
                <w:lang w:eastAsia="zh-CN"/>
              </w:rPr>
              <w:t>QZCHZFCG2025-005</w:t>
            </w:r>
            <w:r>
              <w:rPr>
                <w:rFonts w:hint="eastAsia" w:ascii="微软雅黑" w:hAnsi="微软雅黑" w:eastAsia="宋体" w:cs="Times New Roman"/>
                <w:color w:val="auto"/>
                <w:szCs w:val="24"/>
                <w:highlight w:val="none"/>
              </w:rPr>
              <w:tab/>
            </w:r>
            <w:r>
              <w:rPr>
                <w:rFonts w:hint="eastAsia" w:ascii="微软雅黑" w:hAnsi="微软雅黑" w:eastAsia="宋体" w:cs="Times New Roman"/>
                <w:color w:val="auto"/>
                <w:szCs w:val="24"/>
                <w:highlight w:val="none"/>
              </w:rPr>
              <w:tab/>
            </w:r>
          </w:p>
        </w:tc>
      </w:tr>
      <w:tr>
        <w:tblPrEx>
          <w:tblBorders>
            <w:top w:val="thinThickSmallGap" w:color="000000" w:sz="24" w:space="0"/>
            <w:left w:val="thinThickSmallGap" w:color="000000" w:sz="24" w:space="0"/>
            <w:bottom w:val="thinThickSmallGap" w:color="000000" w:sz="24" w:space="0"/>
            <w:right w:val="thinThickSmallGap" w:color="000000" w:sz="24" w:space="0"/>
            <w:insideH w:val="single" w:color="000000" w:sz="8" w:space="0"/>
            <w:insideV w:val="single" w:color="000000" w:sz="8" w:space="0"/>
          </w:tblBorders>
          <w:tblCellMar>
            <w:top w:w="0" w:type="dxa"/>
            <w:left w:w="108" w:type="dxa"/>
            <w:bottom w:w="0" w:type="dxa"/>
            <w:right w:w="108" w:type="dxa"/>
          </w:tblCellMar>
        </w:tblPrEx>
        <w:trPr>
          <w:trHeight w:val="973" w:hRule="atLeast"/>
          <w:jc w:val="center"/>
        </w:trPr>
        <w:tc>
          <w:tcPr>
            <w:tcW w:w="1708" w:type="dxa"/>
            <w:noWrap w:val="0"/>
            <w:vAlign w:val="center"/>
          </w:tcPr>
          <w:p>
            <w:pPr>
              <w:pStyle w:val="77"/>
              <w:snapToGrid w:val="0"/>
              <w:jc w:val="center"/>
              <w:rPr>
                <w:rFonts w:hint="eastAsia" w:ascii="微软雅黑" w:hAnsi="微软雅黑" w:eastAsia="宋体" w:cs="Times New Roman"/>
                <w:color w:val="auto"/>
                <w:szCs w:val="24"/>
                <w:highlight w:val="none"/>
              </w:rPr>
            </w:pPr>
            <w:r>
              <w:rPr>
                <w:rFonts w:hint="eastAsia" w:ascii="微软雅黑" w:hAnsi="微软雅黑" w:eastAsia="宋体" w:cs="Times New Roman"/>
                <w:color w:val="auto"/>
                <w:szCs w:val="24"/>
                <w:highlight w:val="none"/>
              </w:rPr>
              <w:t>报价</w:t>
            </w:r>
          </w:p>
        </w:tc>
        <w:tc>
          <w:tcPr>
            <w:tcW w:w="7468" w:type="dxa"/>
            <w:noWrap w:val="0"/>
            <w:vAlign w:val="center"/>
          </w:tcPr>
          <w:p>
            <w:pPr>
              <w:pStyle w:val="77"/>
              <w:snapToGrid w:val="0"/>
              <w:jc w:val="both"/>
              <w:rPr>
                <w:rFonts w:hint="default" w:ascii="微软雅黑" w:hAnsi="微软雅黑" w:eastAsia="宋体" w:cs="Times New Roman"/>
                <w:color w:val="auto"/>
                <w:szCs w:val="24"/>
                <w:highlight w:val="none"/>
                <w:lang w:val="en-US" w:eastAsia="zh-CN"/>
              </w:rPr>
            </w:pPr>
            <w:r>
              <w:rPr>
                <w:rFonts w:hint="eastAsia" w:ascii="微软雅黑" w:hAnsi="微软雅黑" w:eastAsia="宋体" w:cs="Times New Roman"/>
                <w:color w:val="auto"/>
                <w:szCs w:val="24"/>
                <w:highlight w:val="none"/>
              </w:rPr>
              <w:t xml:space="preserve"> </w:t>
            </w:r>
            <w:r>
              <w:rPr>
                <w:rFonts w:hint="eastAsia" w:ascii="微软雅黑" w:hAnsi="微软雅黑" w:eastAsia="宋体" w:cs="Times New Roman"/>
                <w:color w:val="auto"/>
                <w:szCs w:val="24"/>
                <w:highlight w:val="none"/>
                <w:lang w:val="en-US" w:eastAsia="zh-CN"/>
              </w:rPr>
              <w:t>大写</w:t>
            </w:r>
            <w:r>
              <w:rPr>
                <w:rFonts w:hint="eastAsia" w:ascii="微软雅黑" w:hAnsi="微软雅黑" w:eastAsia="宋体" w:cs="Times New Roman"/>
                <w:color w:val="auto"/>
                <w:szCs w:val="24"/>
                <w:highlight w:val="none"/>
                <w:u w:val="single"/>
                <w:lang w:val="en-US" w:eastAsia="zh-CN"/>
              </w:rPr>
              <w:t xml:space="preserve">        </w:t>
            </w:r>
            <w:r>
              <w:rPr>
                <w:rFonts w:hint="eastAsia" w:ascii="微软雅黑" w:hAnsi="微软雅黑" w:eastAsia="宋体" w:cs="Times New Roman"/>
                <w:color w:val="auto"/>
                <w:szCs w:val="24"/>
                <w:highlight w:val="none"/>
                <w:lang w:val="en-US" w:eastAsia="zh-CN"/>
              </w:rPr>
              <w:t>元整 （小写：</w:t>
            </w:r>
            <w:r>
              <w:rPr>
                <w:rFonts w:hint="eastAsia" w:ascii="微软雅黑" w:hAnsi="微软雅黑" w:eastAsia="宋体" w:cs="Times New Roman"/>
                <w:color w:val="auto"/>
                <w:szCs w:val="24"/>
                <w:highlight w:val="none"/>
                <w:u w:val="single"/>
                <w:lang w:val="en-US" w:eastAsia="zh-CN"/>
              </w:rPr>
              <w:t xml:space="preserve">     </w:t>
            </w:r>
            <w:r>
              <w:rPr>
                <w:rFonts w:hint="eastAsia" w:ascii="微软雅黑" w:hAnsi="微软雅黑" w:eastAsia="宋体" w:cs="Times New Roman"/>
                <w:color w:val="auto"/>
                <w:szCs w:val="24"/>
                <w:highlight w:val="none"/>
                <w:lang w:val="en-US" w:eastAsia="zh-CN"/>
              </w:rPr>
              <w:t>元）</w:t>
            </w:r>
          </w:p>
        </w:tc>
      </w:tr>
      <w:tr>
        <w:tblPrEx>
          <w:tblBorders>
            <w:top w:val="thinThickSmallGap" w:color="000000" w:sz="24" w:space="0"/>
            <w:left w:val="thinThickSmallGap" w:color="000000" w:sz="24" w:space="0"/>
            <w:bottom w:val="thinThickSmallGap" w:color="000000" w:sz="24" w:space="0"/>
            <w:right w:val="thinThickSmallGap" w:color="000000" w:sz="24" w:space="0"/>
            <w:insideH w:val="single" w:color="000000" w:sz="8" w:space="0"/>
            <w:insideV w:val="single" w:color="000000" w:sz="8" w:space="0"/>
          </w:tblBorders>
          <w:tblCellMar>
            <w:top w:w="0" w:type="dxa"/>
            <w:left w:w="108" w:type="dxa"/>
            <w:bottom w:w="0" w:type="dxa"/>
            <w:right w:w="108" w:type="dxa"/>
          </w:tblCellMar>
        </w:tblPrEx>
        <w:trPr>
          <w:trHeight w:val="792" w:hRule="atLeast"/>
          <w:jc w:val="center"/>
        </w:trPr>
        <w:tc>
          <w:tcPr>
            <w:tcW w:w="1708" w:type="dxa"/>
            <w:noWrap w:val="0"/>
            <w:vAlign w:val="center"/>
          </w:tcPr>
          <w:p>
            <w:pPr>
              <w:pStyle w:val="77"/>
              <w:snapToGrid w:val="0"/>
              <w:jc w:val="center"/>
              <w:rPr>
                <w:rFonts w:hint="eastAsia" w:ascii="微软雅黑" w:hAnsi="微软雅黑" w:eastAsia="宋体" w:cs="Times New Roman"/>
                <w:color w:val="auto"/>
                <w:szCs w:val="24"/>
                <w:highlight w:val="none"/>
              </w:rPr>
            </w:pPr>
            <w:r>
              <w:rPr>
                <w:rFonts w:hint="eastAsia" w:ascii="微软雅黑" w:hAnsi="微软雅黑" w:eastAsia="宋体" w:cs="Times New Roman"/>
                <w:color w:val="auto"/>
                <w:szCs w:val="24"/>
                <w:highlight w:val="none"/>
              </w:rPr>
              <w:t>项目负责人</w:t>
            </w:r>
          </w:p>
        </w:tc>
        <w:tc>
          <w:tcPr>
            <w:tcW w:w="7468" w:type="dxa"/>
            <w:noWrap w:val="0"/>
            <w:vAlign w:val="center"/>
          </w:tcPr>
          <w:p>
            <w:pPr>
              <w:pStyle w:val="77"/>
              <w:snapToGrid w:val="0"/>
              <w:jc w:val="both"/>
              <w:rPr>
                <w:rFonts w:hint="eastAsia" w:ascii="微软雅黑" w:hAnsi="微软雅黑" w:eastAsia="宋体" w:cs="Times New Roman"/>
                <w:color w:val="auto"/>
                <w:szCs w:val="24"/>
                <w:highlight w:val="none"/>
              </w:rPr>
            </w:pPr>
          </w:p>
        </w:tc>
      </w:tr>
    </w:tbl>
    <w:p>
      <w:pPr>
        <w:adjustRightInd w:val="0"/>
        <w:snapToGrid w:val="0"/>
        <w:spacing w:line="312" w:lineRule="auto"/>
        <w:ind w:firstLine="480" w:firstLineChars="200"/>
        <w:rPr>
          <w:rFonts w:hint="eastAsia" w:ascii="宋体" w:hAnsi="宋体" w:eastAsia="宋体" w:cs="宋体"/>
          <w:color w:val="auto"/>
          <w:kern w:val="2"/>
          <w:sz w:val="24"/>
          <w:szCs w:val="24"/>
          <w:highlight w:val="none"/>
          <w:lang w:val="en-US" w:eastAsia="zh-CN" w:bidi="ar-SA"/>
        </w:rPr>
      </w:pPr>
    </w:p>
    <w:p>
      <w:pPr>
        <w:adjustRightInd w:val="0"/>
        <w:snapToGrid w:val="0"/>
        <w:spacing w:line="312"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注：1、本表由响应供应商填写，供开标会议唱标所用。</w:t>
      </w:r>
    </w:p>
    <w:p>
      <w:pPr>
        <w:adjustRightInd w:val="0"/>
        <w:snapToGrid w:val="0"/>
        <w:spacing w:line="312" w:lineRule="auto"/>
        <w:ind w:firstLine="960" w:firstLineChars="4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2、不允许选择性的竞标，不允许选择性的报价。</w:t>
      </w:r>
    </w:p>
    <w:p>
      <w:pPr>
        <w:adjustRightInd w:val="0"/>
        <w:snapToGrid w:val="0"/>
        <w:spacing w:line="312" w:lineRule="auto"/>
        <w:ind w:firstLine="960" w:firstLineChars="4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3、报价仅做参考，不做成交依据。</w:t>
      </w:r>
    </w:p>
    <w:p>
      <w:pPr>
        <w:adjustRightInd w:val="0"/>
        <w:snapToGrid w:val="0"/>
        <w:spacing w:line="312" w:lineRule="auto"/>
        <w:ind w:left="420" w:leftChars="20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4、报价填写必须为印刷体打印，手写无效报价，不清楚或模糊等原因而导致小组无法确认，其报价无效。</w:t>
      </w:r>
    </w:p>
    <w:p>
      <w:pPr>
        <w:pageBreakBefore w:val="0"/>
        <w:kinsoku/>
        <w:overflowPunct/>
        <w:topLinePunct w:val="0"/>
        <w:autoSpaceDE/>
        <w:autoSpaceDN/>
        <w:bidi w:val="0"/>
        <w:snapToGrid w:val="0"/>
        <w:spacing w:before="0" w:after="0" w:line="480" w:lineRule="auto"/>
        <w:ind w:left="0" w:leftChars="0" w:firstLine="3855" w:firstLineChars="1600"/>
        <w:jc w:val="both"/>
        <w:rPr>
          <w:rFonts w:hint="eastAsia" w:ascii="宋体" w:hAnsi="宋体" w:eastAsia="宋体" w:cs="宋体"/>
          <w:b/>
          <w:bCs/>
          <w:color w:val="auto"/>
          <w:w w:val="100"/>
          <w:sz w:val="24"/>
          <w:szCs w:val="24"/>
          <w:highlight w:val="none"/>
          <w:lang w:val="en-US" w:eastAsia="zh-CN"/>
        </w:rPr>
      </w:pPr>
    </w:p>
    <w:p>
      <w:pPr>
        <w:pageBreakBefore w:val="0"/>
        <w:kinsoku/>
        <w:overflowPunct/>
        <w:topLinePunct w:val="0"/>
        <w:autoSpaceDE/>
        <w:autoSpaceDN/>
        <w:bidi w:val="0"/>
        <w:snapToGrid w:val="0"/>
        <w:spacing w:before="0" w:after="0" w:line="480" w:lineRule="auto"/>
        <w:ind w:left="0" w:leftChars="0" w:firstLine="3855" w:firstLineChars="1600"/>
        <w:jc w:val="both"/>
        <w:rPr>
          <w:rFonts w:hint="eastAsia" w:ascii="宋体" w:hAnsi="宋体" w:eastAsia="宋体" w:cs="宋体"/>
          <w:b/>
          <w:bCs/>
          <w:color w:val="auto"/>
          <w:w w:val="100"/>
          <w:sz w:val="24"/>
          <w:szCs w:val="24"/>
          <w:highlight w:val="none"/>
          <w:lang w:val="en-US" w:eastAsia="zh-CN"/>
        </w:rPr>
      </w:pPr>
    </w:p>
    <w:p>
      <w:pPr>
        <w:pageBreakBefore w:val="0"/>
        <w:kinsoku/>
        <w:overflowPunct/>
        <w:topLinePunct w:val="0"/>
        <w:autoSpaceDE/>
        <w:autoSpaceDN/>
        <w:bidi w:val="0"/>
        <w:snapToGrid w:val="0"/>
        <w:spacing w:before="0" w:after="0" w:line="480" w:lineRule="auto"/>
        <w:ind w:left="0" w:leftChars="0" w:firstLine="3855" w:firstLineChars="1600"/>
        <w:jc w:val="both"/>
        <w:rPr>
          <w:rFonts w:hint="eastAsia" w:ascii="宋体" w:hAnsi="宋体" w:eastAsia="宋体" w:cs="宋体"/>
          <w:b/>
          <w:bCs/>
          <w:color w:val="auto"/>
          <w:w w:val="100"/>
          <w:sz w:val="24"/>
          <w:szCs w:val="24"/>
          <w:highlight w:val="none"/>
          <w:lang w:val="en-US" w:eastAsia="zh-CN"/>
        </w:rPr>
      </w:pP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left="0" w:leftChars="0" w:firstLine="3120" w:firstLineChars="13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ageBreakBefore w:val="0"/>
        <w:kinsoku/>
        <w:overflowPunct/>
        <w:topLinePunct w:val="0"/>
        <w:bidi w:val="0"/>
        <w:snapToGrid w:val="0"/>
        <w:spacing w:before="50" w:after="50"/>
        <w:ind w:left="0" w:leftChars="0"/>
        <w:jc w:val="both"/>
        <w:rPr>
          <w:rFonts w:hint="eastAsia" w:ascii="宋体" w:hAnsi="宋体" w:eastAsia="宋体"/>
          <w:b/>
          <w:bCs/>
          <w:color w:val="auto"/>
          <w:sz w:val="28"/>
          <w:szCs w:val="28"/>
          <w:highlight w:val="none"/>
          <w:lang w:val="en-US" w:eastAsia="zh-CN"/>
        </w:rPr>
      </w:pPr>
    </w:p>
    <w:p>
      <w:pPr>
        <w:pStyle w:val="24"/>
        <w:rPr>
          <w:rFonts w:hint="eastAsia" w:ascii="宋体" w:hAnsi="宋体" w:eastAsia="宋体"/>
          <w:b/>
          <w:bCs/>
          <w:color w:val="auto"/>
          <w:sz w:val="28"/>
          <w:szCs w:val="28"/>
          <w:highlight w:val="none"/>
          <w:lang w:val="en-US" w:eastAsia="zh-CN"/>
        </w:rPr>
      </w:pPr>
    </w:p>
    <w:p>
      <w:pPr>
        <w:rPr>
          <w:rFonts w:hint="eastAsia" w:ascii="宋体" w:hAnsi="宋体" w:eastAsia="宋体"/>
          <w:b/>
          <w:bCs/>
          <w:color w:val="auto"/>
          <w:sz w:val="28"/>
          <w:szCs w:val="28"/>
          <w:highlight w:val="none"/>
          <w:lang w:val="en-US" w:eastAsia="zh-CN"/>
        </w:rPr>
      </w:pPr>
    </w:p>
    <w:p>
      <w:pPr>
        <w:pStyle w:val="24"/>
        <w:rPr>
          <w:rFonts w:hint="eastAsia" w:ascii="宋体" w:hAnsi="宋体" w:eastAsia="宋体"/>
          <w:b/>
          <w:bCs/>
          <w:color w:val="auto"/>
          <w:sz w:val="28"/>
          <w:szCs w:val="28"/>
          <w:highlight w:val="none"/>
          <w:lang w:val="en-US" w:eastAsia="zh-CN"/>
        </w:rPr>
      </w:pPr>
    </w:p>
    <w:p>
      <w:pPr>
        <w:rPr>
          <w:rFonts w:hint="eastAsia"/>
          <w:color w:val="auto"/>
          <w:highlight w:val="none"/>
          <w:lang w:val="en-US" w:eastAsia="zh-CN"/>
        </w:rPr>
      </w:pPr>
    </w:p>
    <w:p>
      <w:pPr>
        <w:snapToGrid w:val="0"/>
        <w:spacing w:line="360" w:lineRule="auto"/>
        <w:ind w:firstLine="0" w:firstLineChars="0"/>
        <w:rPr>
          <w:rFonts w:hint="eastAsia" w:ascii="微软雅黑" w:hAnsi="微软雅黑"/>
          <w:bCs/>
          <w:color w:val="auto"/>
          <w:szCs w:val="24"/>
          <w:highlight w:val="none"/>
          <w:lang w:val="en-US" w:eastAsia="zh-CN"/>
        </w:rPr>
        <w:sectPr>
          <w:headerReference r:id="rId14" w:type="default"/>
          <w:footerReference r:id="rId15" w:type="default"/>
          <w:footnotePr>
            <w:numFmt w:val="decimal"/>
          </w:footnotePr>
          <w:pgSz w:w="11900" w:h="16840"/>
          <w:pgMar w:top="1788" w:right="1840" w:bottom="714" w:left="1598" w:header="1417" w:footer="283" w:gutter="0"/>
          <w:pgBorders>
            <w:top w:val="none" w:sz="0" w:space="0"/>
            <w:left w:val="none" w:sz="0" w:space="0"/>
            <w:bottom w:val="none" w:sz="0" w:space="0"/>
            <w:right w:val="none" w:sz="0" w:space="0"/>
          </w:pgBorders>
          <w:pgNumType w:fmt="decimal"/>
          <w:cols w:space="720" w:num="1"/>
          <w:titlePg/>
          <w:rtlGutter w:val="0"/>
          <w:docGrid w:linePitch="360" w:charSpace="0"/>
        </w:sectPr>
      </w:pPr>
    </w:p>
    <w:p>
      <w:pPr>
        <w:jc w:val="center"/>
        <w:rPr>
          <w:rFonts w:hint="eastAsia" w:ascii="宋体" w:hAnsi="宋体"/>
          <w:b/>
          <w:bCs/>
          <w:color w:val="auto"/>
          <w:sz w:val="36"/>
          <w:szCs w:val="36"/>
          <w:highlight w:val="none"/>
          <w:lang w:val="en-US" w:eastAsia="zh-CN"/>
        </w:rPr>
      </w:pPr>
      <w:r>
        <w:rPr>
          <w:rFonts w:hint="eastAsia" w:ascii="宋体" w:hAnsi="宋体"/>
          <w:b/>
          <w:bCs/>
          <w:color w:val="auto"/>
          <w:sz w:val="36"/>
          <w:szCs w:val="36"/>
          <w:highlight w:val="none"/>
          <w:lang w:val="en-US" w:eastAsia="zh-CN"/>
        </w:rPr>
        <w:t>分项报价明细表</w:t>
      </w:r>
    </w:p>
    <w:p>
      <w:pPr>
        <w:jc w:val="center"/>
        <w:rPr>
          <w:rFonts w:hint="eastAsia" w:ascii="宋体" w:hAnsi="宋体"/>
          <w:b/>
          <w:bCs/>
          <w:color w:val="auto"/>
          <w:sz w:val="28"/>
          <w:szCs w:val="28"/>
          <w:highlight w:val="none"/>
          <w:lang w:val="en-US" w:eastAsia="zh-CN"/>
        </w:rPr>
      </w:pPr>
    </w:p>
    <w:p>
      <w:pPr>
        <w:jc w:val="center"/>
        <w:rPr>
          <w:rFonts w:hint="eastAsia"/>
          <w:color w:val="auto"/>
          <w:highlight w:val="none"/>
          <w:lang w:val="en-US" w:eastAsia="zh-CN"/>
        </w:rPr>
      </w:pPr>
    </w:p>
    <w:tbl>
      <w:tblPr>
        <w:tblStyle w:val="27"/>
        <w:tblW w:w="8573" w:type="dxa"/>
        <w:tblInd w:w="0" w:type="dxa"/>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2916"/>
        <w:gridCol w:w="1171"/>
        <w:gridCol w:w="1300"/>
        <w:gridCol w:w="1600"/>
        <w:gridCol w:w="1586"/>
      </w:tblGrid>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center"/>
          </w:tcPr>
          <w:p>
            <w:pPr>
              <w:jc w:val="center"/>
              <w:rPr>
                <w:rFonts w:ascii="华文中宋" w:hAnsi="华文中宋" w:eastAsia="华文中宋" w:cs="微软雅黑"/>
                <w:b/>
                <w:color w:val="auto"/>
                <w:szCs w:val="21"/>
                <w:highlight w:val="none"/>
              </w:rPr>
            </w:pPr>
            <w:r>
              <w:rPr>
                <w:rFonts w:hint="eastAsia" w:ascii="华文中宋" w:hAnsi="华文中宋" w:eastAsia="华文中宋" w:cs="微软雅黑"/>
                <w:b/>
                <w:color w:val="auto"/>
                <w:szCs w:val="21"/>
                <w:highlight w:val="none"/>
              </w:rPr>
              <w:t>名称</w:t>
            </w:r>
          </w:p>
        </w:tc>
        <w:tc>
          <w:tcPr>
            <w:tcW w:w="1171" w:type="dxa"/>
            <w:tcBorders>
              <w:tl2br w:val="nil"/>
              <w:tr2bl w:val="nil"/>
            </w:tcBorders>
            <w:noWrap w:val="0"/>
            <w:vAlign w:val="center"/>
          </w:tcPr>
          <w:p>
            <w:pPr>
              <w:jc w:val="center"/>
              <w:rPr>
                <w:rFonts w:ascii="华文中宋" w:hAnsi="华文中宋" w:eastAsia="华文中宋" w:cs="微软雅黑"/>
                <w:b/>
                <w:color w:val="auto"/>
                <w:szCs w:val="21"/>
                <w:highlight w:val="none"/>
              </w:rPr>
            </w:pPr>
            <w:r>
              <w:rPr>
                <w:rFonts w:hint="eastAsia" w:ascii="华文中宋" w:hAnsi="华文中宋" w:eastAsia="华文中宋" w:cs="微软雅黑"/>
                <w:b/>
                <w:color w:val="auto"/>
                <w:szCs w:val="21"/>
                <w:highlight w:val="none"/>
              </w:rPr>
              <w:t>单位</w:t>
            </w:r>
          </w:p>
        </w:tc>
        <w:tc>
          <w:tcPr>
            <w:tcW w:w="1300" w:type="dxa"/>
            <w:tcBorders>
              <w:tl2br w:val="nil"/>
              <w:tr2bl w:val="nil"/>
            </w:tcBorders>
            <w:noWrap w:val="0"/>
            <w:vAlign w:val="center"/>
          </w:tcPr>
          <w:p>
            <w:pPr>
              <w:jc w:val="center"/>
              <w:rPr>
                <w:rFonts w:ascii="华文中宋" w:hAnsi="华文中宋" w:eastAsia="华文中宋" w:cs="微软雅黑"/>
                <w:b/>
                <w:color w:val="auto"/>
                <w:szCs w:val="21"/>
                <w:highlight w:val="none"/>
              </w:rPr>
            </w:pPr>
            <w:r>
              <w:rPr>
                <w:rFonts w:hint="eastAsia" w:ascii="华文中宋" w:hAnsi="华文中宋" w:eastAsia="华文中宋" w:cs="微软雅黑"/>
                <w:b/>
                <w:color w:val="auto"/>
                <w:szCs w:val="21"/>
                <w:highlight w:val="none"/>
              </w:rPr>
              <w:t>数量</w:t>
            </w:r>
          </w:p>
        </w:tc>
        <w:tc>
          <w:tcPr>
            <w:tcW w:w="1600" w:type="dxa"/>
            <w:tcBorders>
              <w:tl2br w:val="nil"/>
              <w:tr2bl w:val="nil"/>
            </w:tcBorders>
            <w:noWrap w:val="0"/>
            <w:vAlign w:val="center"/>
          </w:tcPr>
          <w:p>
            <w:pPr>
              <w:jc w:val="center"/>
              <w:rPr>
                <w:rFonts w:hint="eastAsia" w:ascii="华文中宋" w:hAnsi="华文中宋" w:eastAsia="华文中宋" w:cs="微软雅黑"/>
                <w:b/>
                <w:color w:val="auto"/>
                <w:szCs w:val="21"/>
                <w:highlight w:val="none"/>
              </w:rPr>
            </w:pPr>
            <w:r>
              <w:rPr>
                <w:rFonts w:hint="eastAsia" w:ascii="华文中宋" w:hAnsi="华文中宋" w:eastAsia="华文中宋" w:cs="微软雅黑"/>
                <w:b/>
                <w:color w:val="auto"/>
                <w:szCs w:val="21"/>
                <w:highlight w:val="none"/>
              </w:rPr>
              <w:t>投标单价（元）</w:t>
            </w:r>
          </w:p>
        </w:tc>
        <w:tc>
          <w:tcPr>
            <w:tcW w:w="1586" w:type="dxa"/>
            <w:tcBorders>
              <w:tl2br w:val="nil"/>
              <w:tr2bl w:val="nil"/>
            </w:tcBorders>
            <w:noWrap w:val="0"/>
            <w:vAlign w:val="center"/>
          </w:tcPr>
          <w:p>
            <w:pPr>
              <w:jc w:val="center"/>
              <w:rPr>
                <w:rFonts w:ascii="华文中宋" w:hAnsi="华文中宋" w:eastAsia="华文中宋" w:cs="微软雅黑"/>
                <w:b/>
                <w:color w:val="auto"/>
                <w:szCs w:val="21"/>
                <w:highlight w:val="none"/>
              </w:rPr>
            </w:pPr>
            <w:r>
              <w:rPr>
                <w:rFonts w:hint="eastAsia" w:ascii="华文中宋" w:hAnsi="华文中宋" w:eastAsia="华文中宋" w:cs="微软雅黑"/>
                <w:b/>
                <w:color w:val="auto"/>
                <w:szCs w:val="21"/>
                <w:highlight w:val="none"/>
              </w:rPr>
              <w:t>合计（元）</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171"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300" w:type="dxa"/>
            <w:tcBorders>
              <w:tl2br w:val="nil"/>
              <w:tr2bl w:val="nil"/>
            </w:tcBorders>
            <w:noWrap w:val="0"/>
            <w:vAlign w:val="top"/>
          </w:tcPr>
          <w:p>
            <w:pPr>
              <w:widowControl/>
              <w:jc w:val="center"/>
              <w:textAlignment w:val="center"/>
              <w:rPr>
                <w:rFonts w:hint="eastAsia" w:ascii="华文中宋" w:hAnsi="华文中宋" w:eastAsia="华文中宋" w:cs="微软雅黑"/>
                <w:bCs/>
                <w:color w:val="auto"/>
                <w:szCs w:val="21"/>
                <w:highlight w:val="none"/>
              </w:rPr>
            </w:pPr>
          </w:p>
        </w:tc>
        <w:tc>
          <w:tcPr>
            <w:tcW w:w="1600" w:type="dxa"/>
            <w:tcBorders>
              <w:tl2br w:val="nil"/>
              <w:tr2bl w:val="nil"/>
            </w:tcBorders>
            <w:noWrap w:val="0"/>
            <w:vAlign w:val="top"/>
          </w:tcPr>
          <w:p>
            <w:pPr>
              <w:widowControl/>
              <w:jc w:val="center"/>
              <w:textAlignment w:val="center"/>
              <w:rPr>
                <w:rFonts w:ascii="宋体" w:hAnsi="宋体" w:cs="宋体"/>
                <w:color w:val="auto"/>
                <w:kern w:val="0"/>
                <w:sz w:val="24"/>
                <w:highlight w:val="none"/>
              </w:rPr>
            </w:pPr>
          </w:p>
        </w:tc>
        <w:tc>
          <w:tcPr>
            <w:tcW w:w="1586" w:type="dxa"/>
            <w:tcBorders>
              <w:tl2br w:val="nil"/>
              <w:tr2bl w:val="nil"/>
            </w:tcBorders>
            <w:noWrap w:val="0"/>
            <w:vAlign w:val="center"/>
          </w:tcPr>
          <w:p>
            <w:pPr>
              <w:widowControl/>
              <w:jc w:val="center"/>
              <w:textAlignment w:val="center"/>
              <w:rPr>
                <w:rFonts w:ascii="宋体" w:hAnsi="宋体" w:cs="宋体"/>
                <w:color w:val="auto"/>
                <w:kern w:val="0"/>
                <w:sz w:val="24"/>
                <w:highlight w:val="none"/>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16" w:type="dxa"/>
            <w:tcBorders>
              <w:tl2br w:val="nil"/>
              <w:tr2bl w:val="nil"/>
            </w:tcBorders>
            <w:noWrap w:val="0"/>
            <w:vAlign w:val="top"/>
          </w:tcPr>
          <w:p>
            <w:pPr>
              <w:widowControl/>
              <w:jc w:val="center"/>
              <w:textAlignment w:val="center"/>
              <w:rPr>
                <w:rFonts w:hint="default" w:ascii="华文中宋" w:hAnsi="华文中宋" w:eastAsia="华文中宋" w:cs="微软雅黑"/>
                <w:bCs/>
                <w:color w:val="auto"/>
                <w:szCs w:val="21"/>
                <w:highlight w:val="none"/>
                <w:lang w:val="en-US" w:eastAsia="zh-CN"/>
              </w:rPr>
            </w:pPr>
            <w:r>
              <w:rPr>
                <w:rFonts w:hint="eastAsia" w:ascii="华文中宋" w:hAnsi="华文中宋" w:eastAsia="华文中宋" w:cs="微软雅黑"/>
                <w:bCs/>
                <w:color w:val="auto"/>
                <w:szCs w:val="21"/>
                <w:highlight w:val="none"/>
                <w:lang w:val="en-US" w:eastAsia="zh-CN"/>
              </w:rPr>
              <w:t>...</w:t>
            </w:r>
          </w:p>
        </w:tc>
        <w:tc>
          <w:tcPr>
            <w:tcW w:w="1171" w:type="dxa"/>
            <w:tcBorders>
              <w:tl2br w:val="nil"/>
              <w:tr2bl w:val="nil"/>
            </w:tcBorders>
            <w:noWrap w:val="0"/>
            <w:vAlign w:val="top"/>
          </w:tcPr>
          <w:p>
            <w:pPr>
              <w:widowControl/>
              <w:jc w:val="center"/>
              <w:textAlignment w:val="center"/>
              <w:rPr>
                <w:rFonts w:hint="default" w:ascii="华文中宋" w:hAnsi="华文中宋" w:eastAsia="华文中宋" w:cs="微软雅黑"/>
                <w:bCs/>
                <w:color w:val="auto"/>
                <w:szCs w:val="21"/>
                <w:highlight w:val="none"/>
                <w:lang w:val="en-US" w:eastAsia="zh-CN"/>
              </w:rPr>
            </w:pPr>
            <w:r>
              <w:rPr>
                <w:rFonts w:hint="eastAsia" w:ascii="华文中宋" w:hAnsi="华文中宋" w:eastAsia="华文中宋" w:cs="微软雅黑"/>
                <w:bCs/>
                <w:color w:val="auto"/>
                <w:szCs w:val="21"/>
                <w:highlight w:val="none"/>
                <w:lang w:val="en-US" w:eastAsia="zh-CN"/>
              </w:rPr>
              <w:t>...</w:t>
            </w:r>
          </w:p>
        </w:tc>
        <w:tc>
          <w:tcPr>
            <w:tcW w:w="1300" w:type="dxa"/>
            <w:tcBorders>
              <w:tl2br w:val="nil"/>
              <w:tr2bl w:val="nil"/>
            </w:tcBorders>
            <w:noWrap w:val="0"/>
            <w:vAlign w:val="top"/>
          </w:tcPr>
          <w:p>
            <w:pPr>
              <w:widowControl/>
              <w:jc w:val="center"/>
              <w:textAlignment w:val="center"/>
              <w:rPr>
                <w:rFonts w:hint="default" w:ascii="华文中宋" w:hAnsi="华文中宋" w:eastAsia="华文中宋" w:cs="微软雅黑"/>
                <w:bCs/>
                <w:color w:val="auto"/>
                <w:szCs w:val="21"/>
                <w:highlight w:val="none"/>
                <w:lang w:val="en-US" w:eastAsia="zh-CN"/>
              </w:rPr>
            </w:pPr>
            <w:r>
              <w:rPr>
                <w:rFonts w:hint="eastAsia" w:ascii="华文中宋" w:hAnsi="华文中宋" w:eastAsia="华文中宋" w:cs="微软雅黑"/>
                <w:bCs/>
                <w:color w:val="auto"/>
                <w:szCs w:val="21"/>
                <w:highlight w:val="none"/>
                <w:lang w:val="en-US" w:eastAsia="zh-CN"/>
              </w:rPr>
              <w:t>...</w:t>
            </w:r>
          </w:p>
        </w:tc>
        <w:tc>
          <w:tcPr>
            <w:tcW w:w="1600" w:type="dxa"/>
            <w:tcBorders>
              <w:tl2br w:val="nil"/>
              <w:tr2bl w:val="nil"/>
            </w:tcBorders>
            <w:noWrap w:val="0"/>
            <w:vAlign w:val="top"/>
          </w:tcPr>
          <w:p>
            <w:pPr>
              <w:widowControl/>
              <w:jc w:val="center"/>
              <w:textAlignment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w:t>
            </w:r>
          </w:p>
        </w:tc>
        <w:tc>
          <w:tcPr>
            <w:tcW w:w="1586" w:type="dxa"/>
            <w:tcBorders>
              <w:tl2br w:val="nil"/>
              <w:tr2bl w:val="nil"/>
            </w:tcBorders>
            <w:noWrap w:val="0"/>
            <w:vAlign w:val="center"/>
          </w:tcPr>
          <w:p>
            <w:pPr>
              <w:widowControl/>
              <w:jc w:val="center"/>
              <w:textAlignment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73" w:type="dxa"/>
            <w:gridSpan w:val="5"/>
            <w:tcBorders>
              <w:tl2br w:val="nil"/>
              <w:tr2bl w:val="nil"/>
            </w:tcBorders>
            <w:noWrap w:val="0"/>
            <w:vAlign w:val="center"/>
          </w:tcPr>
          <w:p>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合计：大写：                元整（小写：         元）</w:t>
            </w:r>
          </w:p>
        </w:tc>
      </w:tr>
    </w:tbl>
    <w:p>
      <w:pPr>
        <w:snapToGrid w:val="0"/>
        <w:spacing w:line="360" w:lineRule="auto"/>
        <w:ind w:firstLine="0" w:firstLineChars="0"/>
        <w:rPr>
          <w:rFonts w:hint="eastAsia" w:ascii="微软雅黑" w:hAnsi="微软雅黑"/>
          <w:bCs/>
          <w:color w:val="auto"/>
          <w:szCs w:val="24"/>
          <w:highlight w:val="none"/>
          <w:lang w:val="en-US" w:eastAsia="zh-CN"/>
        </w:rPr>
        <w:sectPr>
          <w:footnotePr>
            <w:numFmt w:val="decimal"/>
          </w:footnotePr>
          <w:pgSz w:w="11900" w:h="16840"/>
          <w:pgMar w:top="1788" w:right="1840" w:bottom="714" w:left="1598" w:header="1417" w:footer="283" w:gutter="0"/>
          <w:pgBorders>
            <w:top w:val="none" w:sz="0" w:space="0"/>
            <w:left w:val="none" w:sz="0" w:space="0"/>
            <w:bottom w:val="none" w:sz="0" w:space="0"/>
            <w:right w:val="none" w:sz="0" w:space="0"/>
          </w:pgBorders>
          <w:pgNumType w:fmt="decimal"/>
          <w:cols w:space="720" w:num="1"/>
          <w:titlePg/>
          <w:rtlGutter w:val="0"/>
          <w:docGrid w:linePitch="360" w:charSpace="0"/>
        </w:sectPr>
      </w:pPr>
    </w:p>
    <w:p>
      <w:pPr>
        <w:snapToGrid w:val="0"/>
        <w:spacing w:line="360" w:lineRule="auto"/>
        <w:ind w:firstLine="0" w:firstLineChars="0"/>
        <w:rPr>
          <w:rFonts w:hint="default" w:ascii="微软雅黑" w:hAnsi="微软雅黑"/>
          <w:bCs/>
          <w:color w:val="auto"/>
          <w:szCs w:val="24"/>
          <w:highlight w:val="none"/>
          <w:lang w:val="en-US" w:eastAsia="zh-CN"/>
        </w:rPr>
      </w:pPr>
      <w:r>
        <w:rPr>
          <w:rFonts w:hint="eastAsia" w:ascii="微软雅黑" w:hAnsi="微软雅黑"/>
          <w:bCs/>
          <w:color w:val="auto"/>
          <w:szCs w:val="24"/>
          <w:highlight w:val="none"/>
          <w:lang w:val="en-US" w:eastAsia="zh-CN"/>
        </w:rPr>
        <w:t>附件14</w:t>
      </w:r>
    </w:p>
    <w:p>
      <w:pPr>
        <w:pageBreakBefore w:val="0"/>
        <w:kinsoku/>
        <w:overflowPunct/>
        <w:topLinePunct w:val="0"/>
        <w:bidi w:val="0"/>
        <w:snapToGrid w:val="0"/>
        <w:spacing w:before="50" w:after="50"/>
        <w:ind w:left="0" w:leftChars="0"/>
        <w:jc w:val="center"/>
        <w:rPr>
          <w:rFonts w:hint="default" w:ascii="宋体" w:hAnsi="宋体" w:eastAsia="宋体"/>
          <w:b/>
          <w:bCs/>
          <w:color w:val="auto"/>
          <w:sz w:val="28"/>
          <w:szCs w:val="28"/>
          <w:highlight w:val="none"/>
          <w:lang w:val="en-US" w:eastAsia="zh-CN"/>
        </w:rPr>
      </w:pPr>
      <w:r>
        <w:rPr>
          <w:rFonts w:hint="eastAsia" w:ascii="宋体" w:hAnsi="宋体"/>
          <w:b/>
          <w:bCs/>
          <w:color w:val="auto"/>
          <w:sz w:val="28"/>
          <w:szCs w:val="28"/>
          <w:highlight w:val="none"/>
        </w:rPr>
        <w:t>中小企业声明函</w:t>
      </w:r>
      <w:r>
        <w:rPr>
          <w:rFonts w:hint="eastAsia" w:ascii="宋体" w:hAnsi="宋体"/>
          <w:b/>
          <w:bCs/>
          <w:color w:val="auto"/>
          <w:sz w:val="28"/>
          <w:szCs w:val="28"/>
          <w:highlight w:val="none"/>
          <w:lang w:eastAsia="zh-CN"/>
        </w:rPr>
        <w:t>（</w:t>
      </w:r>
      <w:r>
        <w:rPr>
          <w:rFonts w:hint="eastAsia" w:ascii="宋体" w:hAnsi="宋体"/>
          <w:b/>
          <w:bCs/>
          <w:color w:val="auto"/>
          <w:sz w:val="28"/>
          <w:szCs w:val="28"/>
          <w:highlight w:val="none"/>
          <w:lang w:val="en-US" w:eastAsia="zh-CN"/>
        </w:rPr>
        <w:t>货物）</w:t>
      </w:r>
    </w:p>
    <w:p>
      <w:pPr>
        <w:pStyle w:val="13"/>
        <w:rPr>
          <w:rFonts w:hint="eastAsia"/>
        </w:rPr>
      </w:pPr>
    </w:p>
    <w:p>
      <w:pPr>
        <w:pStyle w:val="13"/>
        <w:autoSpaceDE w:val="0"/>
        <w:autoSpaceDN w:val="0"/>
        <w:spacing w:line="360" w:lineRule="auto"/>
        <w:ind w:right="-65" w:rightChars="-31"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本公司（联合体）郑重声明，根据《政府采购促进中小企业发展管理办法》（财库﹝2020﹞46 号）的规定，本公司（联合体）参加</w:t>
      </w:r>
      <w:r>
        <w:rPr>
          <w:rFonts w:hint="eastAsia" w:ascii="宋体" w:hAnsi="宋体" w:eastAsia="宋体" w:cs="宋体"/>
          <w:i w:val="0"/>
          <w:iCs/>
          <w:color w:val="000000" w:themeColor="text1"/>
          <w:sz w:val="24"/>
          <w:szCs w:val="24"/>
          <w:highlight w:val="none"/>
          <w:u w:val="single"/>
          <w14:textFill>
            <w14:solidFill>
              <w14:schemeClr w14:val="tx1"/>
            </w14:solidFill>
          </w14:textFill>
        </w:rPr>
        <w:t>（单位名称）</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i w:val="0"/>
          <w:iCs/>
          <w:color w:val="000000" w:themeColor="text1"/>
          <w:sz w:val="24"/>
          <w:szCs w:val="24"/>
          <w:highlight w:val="none"/>
          <w:u w:val="single"/>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采购活动，</w:t>
      </w:r>
      <w:r>
        <w:rPr>
          <w:rFonts w:hint="eastAsia" w:ascii="宋体" w:hAnsi="宋体" w:eastAsia="宋体" w:cs="宋体"/>
          <w:b/>
          <w:bCs/>
          <w:color w:val="000000" w:themeColor="text1"/>
          <w:sz w:val="24"/>
          <w:szCs w:val="24"/>
          <w:highlight w:val="none"/>
          <w14:textFill>
            <w14:solidFill>
              <w14:schemeClr w14:val="tx1"/>
            </w14:solidFill>
          </w14:textFill>
        </w:rPr>
        <w:t>提</w:t>
      </w:r>
      <w:r>
        <w:rPr>
          <w:rFonts w:hint="eastAsia" w:ascii="宋体" w:hAnsi="宋体" w:eastAsia="宋体" w:cs="宋体"/>
          <w:b/>
          <w:bCs/>
          <w:color w:val="000000" w:themeColor="text1"/>
          <w:w w:val="95"/>
          <w:sz w:val="24"/>
          <w:szCs w:val="24"/>
          <w:highlight w:val="none"/>
          <w14:textFill>
            <w14:solidFill>
              <w14:schemeClr w14:val="tx1"/>
            </w14:solidFill>
          </w14:textFill>
        </w:rPr>
        <w:t>供的货物全部由符合政策要求的</w:t>
      </w:r>
      <w:r>
        <w:rPr>
          <w:rFonts w:hint="eastAsia" w:ascii="宋体" w:hAnsi="宋体" w:eastAsia="宋体" w:cs="宋体"/>
          <w:b/>
          <w:bCs/>
          <w:color w:val="000000" w:themeColor="text1"/>
          <w:w w:val="95"/>
          <w:sz w:val="24"/>
          <w:szCs w:val="24"/>
          <w:highlight w:val="none"/>
          <w:lang w:val="en-US" w:eastAsia="zh-CN"/>
          <w14:textFill>
            <w14:solidFill>
              <w14:schemeClr w14:val="tx1"/>
            </w14:solidFill>
          </w14:textFill>
        </w:rPr>
        <w:t>中</w:t>
      </w:r>
      <w:r>
        <w:rPr>
          <w:rFonts w:hint="eastAsia" w:ascii="宋体" w:hAnsi="宋体" w:eastAsia="宋体" w:cs="宋体"/>
          <w:b/>
          <w:bCs/>
          <w:color w:val="000000" w:themeColor="text1"/>
          <w:w w:val="95"/>
          <w:sz w:val="24"/>
          <w:szCs w:val="24"/>
          <w:highlight w:val="none"/>
          <w14:textFill>
            <w14:solidFill>
              <w14:schemeClr w14:val="tx1"/>
            </w14:solidFill>
          </w14:textFill>
        </w:rPr>
        <w:t>小企业制造。</w:t>
      </w:r>
      <w:r>
        <w:rPr>
          <w:rFonts w:hint="eastAsia" w:ascii="宋体" w:hAnsi="宋体" w:eastAsia="宋体" w:cs="宋体"/>
          <w:color w:val="000000" w:themeColor="text1"/>
          <w:w w:val="95"/>
          <w:sz w:val="24"/>
          <w:szCs w:val="24"/>
          <w:highlight w:val="none"/>
          <w14:textFill>
            <w14:solidFill>
              <w14:schemeClr w14:val="tx1"/>
            </w14:solidFill>
          </w14:textFill>
        </w:rPr>
        <w:t>相关企业</w:t>
      </w:r>
      <w:r>
        <w:rPr>
          <w:rFonts w:hint="eastAsia" w:ascii="宋体" w:hAnsi="宋体" w:eastAsia="宋体" w:cs="宋体"/>
          <w:color w:val="000000" w:themeColor="text1"/>
          <w:sz w:val="24"/>
          <w:szCs w:val="24"/>
          <w:highlight w:val="none"/>
          <w14:textFill>
            <w14:solidFill>
              <w14:schemeClr w14:val="tx1"/>
            </w14:solidFill>
          </w14:textFill>
        </w:rPr>
        <w:t>（含联合体中的中小企业、签订分包意向协议的中小企业）的具体情况如下：</w:t>
      </w:r>
    </w:p>
    <w:p>
      <w:pPr>
        <w:pStyle w:val="61"/>
        <w:numPr>
          <w:ilvl w:val="0"/>
          <w:numId w:val="6"/>
        </w:numPr>
        <w:tabs>
          <w:tab w:val="left" w:pos="1183"/>
          <w:tab w:val="left" w:pos="1484"/>
          <w:tab w:val="left" w:pos="4662"/>
          <w:tab w:val="left" w:pos="6903"/>
        </w:tabs>
        <w:autoSpaceDE w:val="0"/>
        <w:autoSpaceDN w:val="0"/>
        <w:spacing w:line="360" w:lineRule="auto"/>
        <w:ind w:right="-65" w:rightChars="-31" w:firstLine="427" w:firstLineChars="178"/>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i w:val="0"/>
          <w:iCs/>
          <w:color w:val="000000" w:themeColor="text1"/>
          <w:sz w:val="24"/>
          <w:szCs w:val="24"/>
          <w:highlight w:val="none"/>
          <w14:textFill>
            <w14:solidFill>
              <w14:schemeClr w14:val="tx1"/>
            </w14:solidFill>
          </w14:textFill>
        </w:rPr>
        <w:t>（</w:t>
      </w:r>
      <w:r>
        <w:rPr>
          <w:rFonts w:hint="eastAsia" w:ascii="宋体" w:hAnsi="宋体" w:eastAsia="宋体" w:cs="宋体"/>
          <w:i w:val="0"/>
          <w:iCs/>
          <w:color w:val="000000" w:themeColor="text1"/>
          <w:sz w:val="24"/>
          <w:szCs w:val="24"/>
          <w:highlight w:val="none"/>
          <w:u w:val="single"/>
          <w14:textFill>
            <w14:solidFill>
              <w14:schemeClr w14:val="tx1"/>
            </w14:solidFill>
          </w14:textFill>
        </w:rPr>
        <w:t>采购文件中明确的所属行业）</w:t>
      </w:r>
      <w:r>
        <w:rPr>
          <w:rFonts w:hint="eastAsia" w:ascii="宋体" w:hAnsi="宋体" w:eastAsia="宋体" w:cs="宋体"/>
          <w:i/>
          <w:color w:val="000000" w:themeColor="text1"/>
          <w:w w:val="96"/>
          <w:sz w:val="24"/>
          <w:szCs w:val="24"/>
          <w:highlight w:val="none"/>
          <w:u w:val="single"/>
          <w14:textFill>
            <w14:solidFill>
              <w14:schemeClr w14:val="tx1"/>
            </w14:solidFill>
          </w14:textFill>
        </w:rPr>
        <w:t>行业</w:t>
      </w:r>
      <w:r>
        <w:rPr>
          <w:rFonts w:hint="eastAsia" w:ascii="宋体" w:hAnsi="宋体" w:eastAsia="宋体" w:cs="宋体"/>
          <w:color w:val="000000" w:themeColor="text1"/>
          <w:w w:val="99"/>
          <w:sz w:val="24"/>
          <w:szCs w:val="24"/>
          <w:highlight w:val="none"/>
          <w14:textFill>
            <w14:solidFill>
              <w14:schemeClr w14:val="tx1"/>
            </w14:solidFill>
          </w14:textFill>
        </w:rPr>
        <w:t>；制造商为</w:t>
      </w:r>
      <w:r>
        <w:rPr>
          <w:rFonts w:hint="eastAsia" w:ascii="宋体" w:hAnsi="宋体" w:eastAsia="宋体" w:cs="宋体"/>
          <w:i w:val="0"/>
          <w:iCs/>
          <w:color w:val="000000" w:themeColor="text1"/>
          <w:w w:val="96"/>
          <w:sz w:val="24"/>
          <w:szCs w:val="24"/>
          <w:highlight w:val="none"/>
          <w:u w:val="single"/>
          <w14:textFill>
            <w14:solidFill>
              <w14:schemeClr w14:val="tx1"/>
            </w14:solidFill>
          </w14:textFill>
        </w:rPr>
        <w:t>（企业名称）</w:t>
      </w:r>
      <w:r>
        <w:rPr>
          <w:rFonts w:hint="eastAsia" w:ascii="宋体" w:hAnsi="宋体" w:eastAsia="宋体" w:cs="宋体"/>
          <w:color w:val="000000" w:themeColor="text1"/>
          <w:w w:val="99"/>
          <w:sz w:val="24"/>
          <w:szCs w:val="24"/>
          <w:highlight w:val="none"/>
          <w14:textFill>
            <w14:solidFill>
              <w14:schemeClr w14:val="tx1"/>
            </w14:solidFill>
          </w14:textFill>
        </w:rPr>
        <w:t>，从业人员</w:t>
      </w:r>
      <w:r>
        <w:rPr>
          <w:rFonts w:hint="eastAsia" w:ascii="宋体" w:hAnsi="宋体" w:eastAsia="宋体" w:cs="宋体"/>
          <w:color w:val="000000" w:themeColor="text1"/>
          <w:w w:val="99"/>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w w:val="99"/>
          <w:sz w:val="24"/>
          <w:szCs w:val="24"/>
          <w:highlight w:val="none"/>
          <w14:textFill>
            <w14:solidFill>
              <w14:schemeClr w14:val="tx1"/>
            </w14:solidFill>
          </w14:textFill>
        </w:rPr>
        <w:t>人，营业收</w:t>
      </w:r>
      <w:r>
        <w:rPr>
          <w:rFonts w:hint="eastAsia" w:ascii="宋体" w:hAnsi="宋体" w:eastAsia="宋体" w:cs="宋体"/>
          <w:color w:val="000000" w:themeColor="text1"/>
          <w:sz w:val="24"/>
          <w:szCs w:val="24"/>
          <w:highlight w:val="none"/>
          <w14:textFill>
            <w14:solidFill>
              <w14:schemeClr w14:val="tx1"/>
            </w14:solidFill>
          </w14:textFill>
        </w:rPr>
        <w:t>入为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万元，资产总额为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ab/>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"_bookmark0"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vertAlign w:val="superscript"/>
          <w14:textFill>
            <w14:solidFill>
              <w14:schemeClr w14:val="tx1"/>
            </w14:solidFill>
          </w14:textFill>
        </w:rPr>
        <w:t>1</w:t>
      </w:r>
      <w:r>
        <w:rPr>
          <w:rFonts w:hint="eastAsia" w:ascii="宋体" w:hAnsi="宋体" w:eastAsia="宋体" w:cs="宋体"/>
          <w:color w:val="000000" w:themeColor="text1"/>
          <w:sz w:val="24"/>
          <w:szCs w:val="24"/>
          <w:highlight w:val="none"/>
          <w:vertAlign w:val="superscript"/>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i w:val="0"/>
          <w:iCs w:val="0"/>
          <w:color w:val="000000" w:themeColor="text1"/>
          <w:sz w:val="24"/>
          <w:szCs w:val="24"/>
          <w:highlight w:val="none"/>
          <w14:textFill>
            <w14:solidFill>
              <w14:schemeClr w14:val="tx1"/>
            </w14:solidFill>
          </w14:textFill>
        </w:rPr>
        <w:t>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（中型企业、小</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型企业、微型企业）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w:t>
      </w:r>
    </w:p>
    <w:p>
      <w:pPr>
        <w:pStyle w:val="61"/>
        <w:tabs>
          <w:tab w:val="left" w:pos="1183"/>
          <w:tab w:val="left" w:pos="4362"/>
          <w:tab w:val="left" w:pos="6577"/>
        </w:tabs>
        <w:autoSpaceDE w:val="0"/>
        <w:autoSpaceDN w:val="0"/>
        <w:spacing w:line="360" w:lineRule="auto"/>
        <w:ind w:right="-65" w:rightChars="-31" w:firstLine="427" w:firstLineChars="178"/>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2.</w:t>
      </w:r>
      <w:r>
        <w:rPr>
          <w:rFonts w:hint="eastAsia" w:ascii="宋体" w:hAnsi="宋体" w:eastAsia="宋体" w:cs="宋体"/>
          <w:i w:val="0"/>
          <w:iCs w:val="0"/>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采购文件中明确的所属行业）</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行业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；制造商为</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（企业名称）</w:t>
      </w:r>
      <w:r>
        <w:rPr>
          <w:rFonts w:hint="eastAsia" w:ascii="宋体" w:hAnsi="宋体" w:eastAsia="宋体" w:cs="宋体"/>
          <w:i w:val="0"/>
          <w:iCs w:val="0"/>
          <w:color w:val="000000" w:themeColor="text1"/>
          <w:w w:val="99"/>
          <w:sz w:val="24"/>
          <w:szCs w:val="24"/>
          <w:highlight w:val="none"/>
          <w14:textFill>
            <w14:solidFill>
              <w14:schemeClr w14:val="tx1"/>
            </w14:solidFill>
          </w14:textFill>
        </w:rPr>
        <w:t>，从业人员</w:t>
      </w:r>
      <w:r>
        <w:rPr>
          <w:rFonts w:hint="eastAsia" w:ascii="宋体" w:hAnsi="宋体" w:eastAsia="宋体" w:cs="宋体"/>
          <w:i w:val="0"/>
          <w:iCs w:val="0"/>
          <w:color w:val="000000" w:themeColor="text1"/>
          <w:w w:val="99"/>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w w:val="99"/>
          <w:sz w:val="24"/>
          <w:szCs w:val="24"/>
          <w:highlight w:val="none"/>
          <w14:textFill>
            <w14:solidFill>
              <w14:schemeClr w14:val="tx1"/>
            </w14:solidFill>
          </w14:textFill>
        </w:rPr>
        <w:t>人，营业收入</w:t>
      </w:r>
      <w:r>
        <w:rPr>
          <w:rFonts w:hint="eastAsia" w:ascii="宋体" w:hAnsi="宋体" w:eastAsia="宋体" w:cs="宋体"/>
          <w:i w:val="0"/>
          <w:iCs w:val="0"/>
          <w:color w:val="000000" w:themeColor="text1"/>
          <w:sz w:val="24"/>
          <w:szCs w:val="24"/>
          <w:highlight w:val="none"/>
          <w14:textFill>
            <w14:solidFill>
              <w14:schemeClr w14:val="tx1"/>
            </w14:solidFill>
          </w14:textFill>
        </w:rPr>
        <w:t>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万元，资产总额为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14:textFill>
            <w14:solidFill>
              <w14:schemeClr w14:val="tx1"/>
            </w14:solidFill>
          </w14:textFill>
        </w:rPr>
        <w:t>万元，属于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（中型企业、小型</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企业、微型企业）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w:t>
      </w:r>
    </w:p>
    <w:p>
      <w:pPr>
        <w:pStyle w:val="13"/>
        <w:autoSpaceDE w:val="0"/>
        <w:autoSpaceDN w:val="0"/>
        <w:spacing w:line="360" w:lineRule="auto"/>
        <w:ind w:right="-65" w:rightChars="-31" w:firstLine="547" w:firstLineChars="228"/>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i w:val="0"/>
          <w:iCs w:val="0"/>
          <w:color w:val="000000" w:themeColor="text1"/>
          <w:sz w:val="24"/>
          <w:szCs w:val="24"/>
          <w:highlight w:val="none"/>
          <w14:textFill>
            <w14:solidFill>
              <w14:schemeClr w14:val="tx1"/>
            </w14:solidFill>
          </w14:textFill>
        </w:rPr>
        <w:t>.</w:t>
      </w:r>
      <w:r>
        <w:rPr>
          <w:rFonts w:hint="eastAsia" w:ascii="宋体" w:hAnsi="宋体" w:eastAsia="宋体" w:cs="宋体"/>
          <w:i w:val="0"/>
          <w:iCs w:val="0"/>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采购文件中明确的所属行业）</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行业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；制造商为</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（企业名称）</w:t>
      </w:r>
      <w:r>
        <w:rPr>
          <w:rFonts w:hint="eastAsia" w:ascii="宋体" w:hAnsi="宋体" w:eastAsia="宋体" w:cs="宋体"/>
          <w:i w:val="0"/>
          <w:iCs w:val="0"/>
          <w:color w:val="000000" w:themeColor="text1"/>
          <w:w w:val="99"/>
          <w:sz w:val="24"/>
          <w:szCs w:val="24"/>
          <w:highlight w:val="none"/>
          <w14:textFill>
            <w14:solidFill>
              <w14:schemeClr w14:val="tx1"/>
            </w14:solidFill>
          </w14:textFill>
        </w:rPr>
        <w:t>，从业人员</w:t>
      </w:r>
      <w:r>
        <w:rPr>
          <w:rFonts w:hint="eastAsia" w:ascii="宋体" w:hAnsi="宋体" w:eastAsia="宋体" w:cs="宋体"/>
          <w:i w:val="0"/>
          <w:iCs w:val="0"/>
          <w:color w:val="000000" w:themeColor="text1"/>
          <w:w w:val="99"/>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w w:val="99"/>
          <w:sz w:val="24"/>
          <w:szCs w:val="24"/>
          <w:highlight w:val="none"/>
          <w14:textFill>
            <w14:solidFill>
              <w14:schemeClr w14:val="tx1"/>
            </w14:solidFill>
          </w14:textFill>
        </w:rPr>
        <w:t>人，营业收入</w:t>
      </w:r>
      <w:r>
        <w:rPr>
          <w:rFonts w:hint="eastAsia" w:ascii="宋体" w:hAnsi="宋体" w:eastAsia="宋体" w:cs="宋体"/>
          <w:i w:val="0"/>
          <w:iCs w:val="0"/>
          <w:color w:val="000000" w:themeColor="text1"/>
          <w:sz w:val="24"/>
          <w:szCs w:val="24"/>
          <w:highlight w:val="none"/>
          <w14:textFill>
            <w14:solidFill>
              <w14:schemeClr w14:val="tx1"/>
            </w14:solidFill>
          </w14:textFill>
        </w:rPr>
        <w:t>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万元，资产总额为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14:textFill>
            <w14:solidFill>
              <w14:schemeClr w14:val="tx1"/>
            </w14:solidFill>
          </w14:textFill>
        </w:rPr>
        <w:t>万元，属于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（中型企业、小型</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企业、微型企业）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pPr>
        <w:pStyle w:val="13"/>
        <w:autoSpaceDE w:val="0"/>
        <w:autoSpaceDN w:val="0"/>
        <w:spacing w:line="360" w:lineRule="auto"/>
        <w:ind w:right="-65" w:rightChars="-31" w:firstLine="547" w:firstLineChars="228"/>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w:t>
      </w:r>
      <w:r>
        <w:rPr>
          <w:rFonts w:hint="eastAsia" w:ascii="宋体" w:hAnsi="宋体" w:eastAsia="宋体" w:cs="宋体"/>
          <w:i w:val="0"/>
          <w:iCs w:val="0"/>
          <w:color w:val="000000" w:themeColor="text1"/>
          <w:sz w:val="24"/>
          <w:szCs w:val="24"/>
          <w:highlight w:val="none"/>
          <w14:textFill>
            <w14:solidFill>
              <w14:schemeClr w14:val="tx1"/>
            </w14:solidFill>
          </w14:textFill>
        </w:rPr>
        <w:t>.</w:t>
      </w:r>
      <w:r>
        <w:rPr>
          <w:rFonts w:hint="eastAsia" w:ascii="宋体" w:hAnsi="宋体" w:eastAsia="宋体" w:cs="宋体"/>
          <w:i w:val="0"/>
          <w:iCs w:val="0"/>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采购文件中明确的所属行业）</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行业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；制造商为</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（企业名称）</w:t>
      </w:r>
      <w:r>
        <w:rPr>
          <w:rFonts w:hint="eastAsia" w:ascii="宋体" w:hAnsi="宋体" w:eastAsia="宋体" w:cs="宋体"/>
          <w:i w:val="0"/>
          <w:iCs w:val="0"/>
          <w:color w:val="000000" w:themeColor="text1"/>
          <w:w w:val="99"/>
          <w:sz w:val="24"/>
          <w:szCs w:val="24"/>
          <w:highlight w:val="none"/>
          <w14:textFill>
            <w14:solidFill>
              <w14:schemeClr w14:val="tx1"/>
            </w14:solidFill>
          </w14:textFill>
        </w:rPr>
        <w:t>，从业人员</w:t>
      </w:r>
      <w:r>
        <w:rPr>
          <w:rFonts w:hint="eastAsia" w:ascii="宋体" w:hAnsi="宋体" w:eastAsia="宋体" w:cs="宋体"/>
          <w:i w:val="0"/>
          <w:iCs w:val="0"/>
          <w:color w:val="000000" w:themeColor="text1"/>
          <w:w w:val="99"/>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w w:val="99"/>
          <w:sz w:val="24"/>
          <w:szCs w:val="24"/>
          <w:highlight w:val="none"/>
          <w14:textFill>
            <w14:solidFill>
              <w14:schemeClr w14:val="tx1"/>
            </w14:solidFill>
          </w14:textFill>
        </w:rPr>
        <w:t>人，营业收入</w:t>
      </w:r>
      <w:r>
        <w:rPr>
          <w:rFonts w:hint="eastAsia" w:ascii="宋体" w:hAnsi="宋体" w:eastAsia="宋体" w:cs="宋体"/>
          <w:i w:val="0"/>
          <w:iCs w:val="0"/>
          <w:color w:val="000000" w:themeColor="text1"/>
          <w:sz w:val="24"/>
          <w:szCs w:val="24"/>
          <w:highlight w:val="none"/>
          <w14:textFill>
            <w14:solidFill>
              <w14:schemeClr w14:val="tx1"/>
            </w14:solidFill>
          </w14:textFill>
        </w:rPr>
        <w:t>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14:textFill>
            <w14:solidFill>
              <w14:schemeClr w14:val="tx1"/>
            </w14:solidFill>
          </w14:textFill>
        </w:rPr>
        <w:t>万元，资产总额为</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ab/>
      </w:r>
      <w:r>
        <w:rPr>
          <w:rFonts w:hint="eastAsia" w:ascii="宋体" w:hAnsi="宋体" w:eastAsia="宋体" w:cs="宋体"/>
          <w:i w:val="0"/>
          <w:iCs w:val="0"/>
          <w:color w:val="000000" w:themeColor="text1"/>
          <w:sz w:val="24"/>
          <w:szCs w:val="24"/>
          <w:highlight w:val="none"/>
          <w14:textFill>
            <w14:solidFill>
              <w14:schemeClr w14:val="tx1"/>
            </w14:solidFill>
          </w14:textFill>
        </w:rPr>
        <w:t>万元，属于</w:t>
      </w:r>
      <w:r>
        <w:rPr>
          <w:rFonts w:hint="eastAsia" w:ascii="宋体" w:hAnsi="宋体" w:eastAsia="宋体" w:cs="宋体"/>
          <w:i w:val="0"/>
          <w:iCs w:val="0"/>
          <w:color w:val="000000" w:themeColor="text1"/>
          <w:sz w:val="24"/>
          <w:szCs w:val="24"/>
          <w:highlight w:val="none"/>
          <w:u w:val="single"/>
          <w14:textFill>
            <w14:solidFill>
              <w14:schemeClr w14:val="tx1"/>
            </w14:solidFill>
          </w14:textFill>
        </w:rPr>
        <w:t>（中型企业、小型</w:t>
      </w:r>
      <w:r>
        <w:rPr>
          <w:rFonts w:hint="eastAsia" w:ascii="宋体" w:hAnsi="宋体" w:eastAsia="宋体" w:cs="宋体"/>
          <w:i w:val="0"/>
          <w:iCs w:val="0"/>
          <w:color w:val="000000" w:themeColor="text1"/>
          <w:w w:val="96"/>
          <w:sz w:val="24"/>
          <w:szCs w:val="24"/>
          <w:highlight w:val="none"/>
          <w:u w:val="single"/>
          <w14:textFill>
            <w14:solidFill>
              <w14:schemeClr w14:val="tx1"/>
            </w14:solidFill>
          </w14:textFill>
        </w:rPr>
        <w:t>企业、微型企业）</w:t>
      </w:r>
      <w:r>
        <w:rPr>
          <w:rFonts w:hint="eastAsia" w:ascii="宋体" w:hAnsi="宋体" w:eastAsia="宋体" w:cs="宋体"/>
          <w:i w:val="0"/>
          <w:iCs w:val="0"/>
          <w:color w:val="000000" w:themeColor="text1"/>
          <w:w w:val="99"/>
          <w:sz w:val="24"/>
          <w:szCs w:val="24"/>
          <w:highlight w:val="none"/>
          <w14:textFill>
            <w14:solidFill>
              <w14:schemeClr w14:val="tx1"/>
            </w14:solidFill>
          </w14:textFill>
        </w:rPr>
        <w:t>；</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pPr>
        <w:rPr>
          <w:rFonts w:hint="eastAsia" w:ascii="宋体" w:hAnsi="宋体" w:eastAsia="宋体" w:cs="宋体"/>
          <w:color w:val="000000" w:themeColor="text1"/>
          <w:sz w:val="24"/>
          <w:szCs w:val="24"/>
          <w:highlight w:val="none"/>
          <w14:textFill>
            <w14:solidFill>
              <w14:schemeClr w14:val="tx1"/>
            </w14:solidFill>
          </w14:textFill>
        </w:rPr>
      </w:pPr>
    </w:p>
    <w:p>
      <w:pPr>
        <w:pStyle w:val="13"/>
        <w:autoSpaceDE w:val="0"/>
        <w:autoSpaceDN w:val="0"/>
        <w:spacing w:line="360" w:lineRule="auto"/>
        <w:ind w:right="-65" w:rightChars="-31"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pPr>
        <w:pStyle w:val="13"/>
        <w:autoSpaceDE w:val="0"/>
        <w:autoSpaceDN w:val="0"/>
        <w:spacing w:line="360" w:lineRule="auto"/>
        <w:ind w:right="-65" w:rightChars="-31"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本企业对上述声明内容的真实性负责。如有虚假，将依法承担相应责任。</w:t>
      </w:r>
    </w:p>
    <w:p>
      <w:pPr>
        <w:pStyle w:val="13"/>
        <w:autoSpaceDE w:val="0"/>
        <w:autoSpaceDN w:val="0"/>
        <w:spacing w:line="360" w:lineRule="auto"/>
        <w:ind w:right="372"/>
        <w:rPr>
          <w:rFonts w:hint="eastAsia" w:ascii="宋体" w:hAnsi="宋体" w:eastAsia="宋体" w:cs="宋体"/>
          <w:color w:val="000000" w:themeColor="text1"/>
          <w:sz w:val="24"/>
          <w:szCs w:val="24"/>
          <w:highlight w:val="none"/>
          <w14:textFill>
            <w14:solidFill>
              <w14:schemeClr w14:val="tx1"/>
            </w14:solidFill>
          </w14:textFill>
        </w:rPr>
      </w:pPr>
    </w:p>
    <w:p>
      <w:pPr>
        <w:pStyle w:val="13"/>
        <w:autoSpaceDE w:val="0"/>
        <w:autoSpaceDN w:val="0"/>
        <w:spacing w:line="360" w:lineRule="auto"/>
        <w:ind w:left="4060" w:right="2166"/>
        <w:rPr>
          <w:rFonts w:hint="eastAsia" w:ascii="宋体" w:hAnsi="宋体" w:eastAsia="宋体" w:cs="宋体"/>
          <w:color w:val="000000" w:themeColor="text1"/>
          <w:w w:val="99"/>
          <w:sz w:val="24"/>
          <w:szCs w:val="24"/>
          <w:highlight w:val="none"/>
          <w14:textFill>
            <w14:solidFill>
              <w14:schemeClr w14:val="tx1"/>
            </w14:solidFill>
          </w14:textFill>
        </w:rPr>
      </w:pPr>
      <w:r>
        <w:rPr>
          <w:rFonts w:hint="eastAsia" w:ascii="宋体" w:hAnsi="宋体" w:eastAsia="宋体" w:cs="宋体"/>
          <w:color w:val="000000" w:themeColor="text1"/>
          <w:w w:val="99"/>
          <w:sz w:val="24"/>
          <w:szCs w:val="24"/>
          <w:highlight w:val="none"/>
          <w14:textFill>
            <w14:solidFill>
              <w14:schemeClr w14:val="tx1"/>
            </w14:solidFill>
          </w14:textFill>
        </w:rPr>
        <w:t>企业名称（盖章）：</w:t>
      </w:r>
    </w:p>
    <w:p>
      <w:pPr>
        <w:pStyle w:val="13"/>
        <w:autoSpaceDE w:val="0"/>
        <w:autoSpaceDN w:val="0"/>
        <w:spacing w:line="360" w:lineRule="auto"/>
        <w:ind w:left="4060" w:right="216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w:t>
      </w:r>
    </w:p>
    <w:p>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1、从业人员、营业收入、资产总额填报上一年度数据，无上一年度数据的新成立企业可不填报。</w:t>
      </w:r>
    </w:p>
    <w:p>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2、本项目所属行业见前附表。</w:t>
      </w:r>
    </w:p>
    <w:p>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3、中小企业划型标准规定（工信部联企业[2011]300号）附后。</w:t>
      </w:r>
    </w:p>
    <w:p>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4、《中小企业声明函》格式不得擅自调整，格式中划横线的部分需要各投标人按实际情况如实填写，括号中的内容是对拟填写内容的说明。</w:t>
      </w:r>
    </w:p>
    <w:p>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5、中小企业对其声明内容的真实性负责，声明函内容不实的，属于提供虚假材料谋取中标、成交，依照《中华人民共和国政府采购法》等国家有关规定追究相应责任。</w:t>
      </w:r>
    </w:p>
    <w:p>
      <w:pPr>
        <w:rPr>
          <w:rFonts w:hint="eastAsia" w:ascii="宋体" w:hAnsi="宋体" w:eastAsia="宋体" w:cs="宋体"/>
          <w:b/>
          <w:bCs/>
          <w:color w:val="000000" w:themeColor="text1"/>
          <w:sz w:val="24"/>
          <w:szCs w:val="24"/>
          <w:highlight w:val="none"/>
          <w14:textFill>
            <w14:solidFill>
              <w14:schemeClr w14:val="tx1"/>
            </w14:solidFill>
          </w14:textFill>
        </w:rPr>
        <w:sectPr>
          <w:footerReference r:id="rId16" w:type="default"/>
          <w:pgSz w:w="11906" w:h="16838"/>
          <w:pgMar w:top="1253" w:right="1701" w:bottom="1644" w:left="1701" w:header="851" w:footer="992" w:gutter="0"/>
          <w:pgNumType w:fmt="decimal"/>
          <w:cols w:space="720" w:num="1"/>
          <w:docGrid w:type="linesAndChars" w:linePitch="312" w:charSpace="0"/>
        </w:sectPr>
      </w:pPr>
    </w:p>
    <w:p>
      <w:pPr>
        <w:pageBreakBefore w:val="0"/>
        <w:kinsoku/>
        <w:overflowPunct/>
        <w:topLinePunct w:val="0"/>
        <w:bidi w:val="0"/>
        <w:ind w:left="0" w:leftChars="0"/>
        <w:rPr>
          <w:rFonts w:hint="eastAsia" w:ascii="宋体" w:hAnsi="宋体"/>
          <w:b/>
          <w:bCs/>
          <w:color w:val="auto"/>
          <w:sz w:val="28"/>
          <w:szCs w:val="28"/>
          <w:highlight w:val="none"/>
          <w:lang w:val="en-US" w:eastAsia="zh-CN"/>
        </w:rPr>
      </w:pPr>
      <w:r>
        <w:rPr>
          <w:rFonts w:hint="eastAsia" w:ascii="微软雅黑" w:hAnsi="微软雅黑"/>
          <w:bCs/>
          <w:color w:val="auto"/>
          <w:szCs w:val="24"/>
          <w:highlight w:val="none"/>
          <w:lang w:val="en-US" w:eastAsia="zh-CN"/>
        </w:rPr>
        <w:t xml:space="preserve">附件15  </w:t>
      </w:r>
      <w:r>
        <w:rPr>
          <w:rFonts w:hint="eastAsia" w:ascii="宋体" w:hAnsi="宋体"/>
          <w:b/>
          <w:bCs/>
          <w:color w:val="auto"/>
          <w:sz w:val="28"/>
          <w:szCs w:val="28"/>
          <w:highlight w:val="none"/>
          <w:lang w:val="en-US" w:eastAsia="zh-CN"/>
        </w:rPr>
        <w:t xml:space="preserve">                </w:t>
      </w:r>
    </w:p>
    <w:p>
      <w:pPr>
        <w:pageBreakBefore w:val="0"/>
        <w:kinsoku/>
        <w:overflowPunct/>
        <w:topLinePunct w:val="0"/>
        <w:bidi w:val="0"/>
        <w:ind w:left="0" w:leftChars="0"/>
        <w:jc w:val="center"/>
        <w:rPr>
          <w:rFonts w:ascii="宋体" w:hAnsi="宋体"/>
          <w:color w:val="auto"/>
          <w:sz w:val="28"/>
          <w:szCs w:val="28"/>
          <w:highlight w:val="none"/>
        </w:rPr>
      </w:pPr>
      <w:r>
        <w:rPr>
          <w:rFonts w:hint="eastAsia" w:ascii="宋体" w:hAnsi="宋体"/>
          <w:b/>
          <w:bCs/>
          <w:color w:val="auto"/>
          <w:sz w:val="28"/>
          <w:szCs w:val="28"/>
          <w:highlight w:val="none"/>
        </w:rPr>
        <w:t>监狱企业声明函</w:t>
      </w:r>
    </w:p>
    <w:p>
      <w:pPr>
        <w:pageBreakBefore w:val="0"/>
        <w:kinsoku/>
        <w:overflowPunct/>
        <w:topLinePunct w:val="0"/>
        <w:autoSpaceDE w:val="0"/>
        <w:autoSpaceDN w:val="0"/>
        <w:bidi w:val="0"/>
        <w:adjustRightInd w:val="0"/>
        <w:snapToGrid w:val="0"/>
        <w:spacing w:after="312" w:afterLines="100" w:line="500" w:lineRule="exact"/>
        <w:ind w:left="0" w:leftChars="0"/>
        <w:jc w:val="center"/>
        <w:rPr>
          <w:rFonts w:ascii="宋体" w:hAnsi="宋体"/>
          <w:color w:val="auto"/>
          <w:sz w:val="28"/>
          <w:szCs w:val="28"/>
          <w:highlight w:val="none"/>
        </w:rPr>
      </w:pPr>
      <w:r>
        <w:rPr>
          <w:rFonts w:hint="eastAsia" w:ascii="宋体" w:hAnsi="宋体"/>
          <w:color w:val="auto"/>
          <w:sz w:val="28"/>
          <w:szCs w:val="28"/>
          <w:highlight w:val="none"/>
        </w:rPr>
        <w:t>【非监狱企业不需提供】</w:t>
      </w:r>
    </w:p>
    <w:p>
      <w:pPr>
        <w:pageBreakBefore w:val="0"/>
        <w:widowControl/>
        <w:kinsoku/>
        <w:overflowPunct/>
        <w:topLinePunct w:val="0"/>
        <w:bidi w:val="0"/>
        <w:adjustRightInd w:val="0"/>
        <w:snapToGrid w:val="0"/>
        <w:spacing w:line="500" w:lineRule="exact"/>
        <w:ind w:left="0" w:leftChars="0" w:firstLine="480" w:firstLineChars="200"/>
        <w:jc w:val="left"/>
        <w:rPr>
          <w:rFonts w:ascii="宋体" w:hAnsi="宋体"/>
          <w:color w:val="auto"/>
          <w:sz w:val="24"/>
          <w:szCs w:val="24"/>
          <w:highlight w:val="none"/>
        </w:rPr>
      </w:pPr>
      <w:r>
        <w:rPr>
          <w:rFonts w:hint="eastAsia" w:ascii="宋体" w:hAnsi="宋体"/>
          <w:color w:val="auto"/>
          <w:sz w:val="24"/>
          <w:szCs w:val="24"/>
          <w:highlight w:val="none"/>
        </w:rPr>
        <w:t>本企业郑重声明，根据《关于政府采购支持监狱企业发展有关问题的通知》（财库[2014]68号）的规定，本企业为</w:t>
      </w:r>
      <w:r>
        <w:rPr>
          <w:rFonts w:hint="eastAsia" w:ascii="宋体" w:hAnsi="宋体"/>
          <w:color w:val="auto"/>
          <w:sz w:val="24"/>
          <w:szCs w:val="24"/>
          <w:highlight w:val="none"/>
          <w:u w:val="single"/>
        </w:rPr>
        <w:t>监狱企业</w:t>
      </w:r>
      <w:r>
        <w:rPr>
          <w:rFonts w:hint="eastAsia" w:ascii="宋体" w:hAnsi="宋体"/>
          <w:color w:val="auto"/>
          <w:sz w:val="24"/>
          <w:szCs w:val="24"/>
          <w:highlight w:val="none"/>
        </w:rPr>
        <w:t>。</w:t>
      </w:r>
    </w:p>
    <w:p>
      <w:pPr>
        <w:pageBreakBefore w:val="0"/>
        <w:widowControl/>
        <w:kinsoku/>
        <w:overflowPunct/>
        <w:topLinePunct w:val="0"/>
        <w:bidi w:val="0"/>
        <w:adjustRightInd w:val="0"/>
        <w:snapToGrid w:val="0"/>
        <w:spacing w:line="500" w:lineRule="exact"/>
        <w:ind w:left="0" w:leftChars="0" w:firstLine="480" w:firstLineChars="200"/>
        <w:jc w:val="left"/>
        <w:rPr>
          <w:rFonts w:ascii="宋体" w:hAnsi="宋体"/>
          <w:color w:val="auto"/>
          <w:sz w:val="24"/>
          <w:szCs w:val="24"/>
          <w:highlight w:val="none"/>
        </w:rPr>
      </w:pPr>
      <w:r>
        <w:rPr>
          <w:rFonts w:hint="eastAsia" w:ascii="宋体" w:hAnsi="宋体"/>
          <w:color w:val="auto"/>
          <w:sz w:val="24"/>
          <w:szCs w:val="24"/>
          <w:highlight w:val="none"/>
        </w:rPr>
        <w:t>根据上述标准，我企业属于</w:t>
      </w:r>
      <w:r>
        <w:rPr>
          <w:rFonts w:hint="eastAsia" w:ascii="宋体" w:hAnsi="宋体"/>
          <w:color w:val="auto"/>
          <w:sz w:val="24"/>
          <w:szCs w:val="24"/>
          <w:highlight w:val="none"/>
          <w:u w:val="single"/>
        </w:rPr>
        <w:t>监狱企业</w:t>
      </w:r>
      <w:r>
        <w:rPr>
          <w:rFonts w:hint="eastAsia" w:ascii="宋体" w:hAnsi="宋体"/>
          <w:color w:val="auto"/>
          <w:sz w:val="24"/>
          <w:szCs w:val="24"/>
          <w:highlight w:val="none"/>
        </w:rPr>
        <w:t>的理由为：</w:t>
      </w:r>
    </w:p>
    <w:p>
      <w:pPr>
        <w:pageBreakBefore w:val="0"/>
        <w:widowControl/>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本企业为参加（项目名称：）（项目编号：）采购活动提供本企业的产品。</w:t>
      </w:r>
    </w:p>
    <w:p>
      <w:pPr>
        <w:pageBreakBefore w:val="0"/>
        <w:widowControl/>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本企业对上述声明的真实性负责。如有虚假，将依法承担相应责任。</w:t>
      </w: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jc w:val="center"/>
        <w:rPr>
          <w:rFonts w:ascii="宋体" w:hAnsi="宋体"/>
          <w:color w:val="auto"/>
          <w:sz w:val="24"/>
          <w:szCs w:val="24"/>
          <w:highlight w:val="none"/>
        </w:rPr>
      </w:pP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firstLine="2880" w:firstLineChars="1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ageBreakBefore w:val="0"/>
        <w:widowControl/>
        <w:kinsoku/>
        <w:overflowPunct/>
        <w:topLinePunct w:val="0"/>
        <w:bidi w:val="0"/>
        <w:snapToGrid w:val="0"/>
        <w:spacing w:line="500" w:lineRule="exact"/>
        <w:ind w:left="0" w:leftChars="0" w:firstLine="480" w:firstLineChars="200"/>
        <w:rPr>
          <w:rFonts w:ascii="宋体" w:hAnsi="宋体"/>
          <w:color w:val="auto"/>
          <w:sz w:val="24"/>
          <w:szCs w:val="24"/>
          <w:highlight w:val="none"/>
        </w:rPr>
      </w:pPr>
    </w:p>
    <w:p>
      <w:pPr>
        <w:pageBreakBefore w:val="0"/>
        <w:widowControl/>
        <w:kinsoku/>
        <w:overflowPunct/>
        <w:topLinePunct w:val="0"/>
        <w:bidi w:val="0"/>
        <w:snapToGrid w:val="0"/>
        <w:spacing w:line="500" w:lineRule="exact"/>
        <w:ind w:left="0" w:leftChars="0" w:firstLine="480" w:firstLineChars="200"/>
        <w:rPr>
          <w:rFonts w:ascii="宋体" w:hAnsi="宋体"/>
          <w:color w:val="auto"/>
          <w:sz w:val="24"/>
          <w:szCs w:val="24"/>
          <w:highlight w:val="none"/>
        </w:rPr>
      </w:pPr>
    </w:p>
    <w:p>
      <w:pPr>
        <w:pageBreakBefore w:val="0"/>
        <w:widowControl/>
        <w:kinsoku/>
        <w:overflowPunct/>
        <w:topLinePunct w:val="0"/>
        <w:bidi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供应商为监狱企业的提供此函。</w:t>
      </w:r>
    </w:p>
    <w:p>
      <w:pPr>
        <w:pageBreakBefore w:val="0"/>
        <w:widowControl/>
        <w:kinsoku/>
        <w:overflowPunct/>
        <w:topLinePunct w:val="0"/>
        <w:bidi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监狱企业参加政府采购活动时，应当提供由省级以上监狱管理局、戒毒管理局（含新疆生产建设兵团）出具的属于监狱企业的证明文件。</w:t>
      </w:r>
    </w:p>
    <w:p>
      <w:pPr>
        <w:pageBreakBefore w:val="0"/>
        <w:kinsoku/>
        <w:overflowPunct/>
        <w:topLinePunct w:val="0"/>
        <w:bidi w:val="0"/>
        <w:adjustRightInd w:val="0"/>
        <w:snapToGrid w:val="0"/>
        <w:spacing w:line="500" w:lineRule="exact"/>
        <w:ind w:left="0" w:leftChars="0"/>
        <w:textAlignment w:val="baseline"/>
        <w:rPr>
          <w:rFonts w:ascii="宋体" w:hAnsi="宋体"/>
          <w:color w:val="auto"/>
          <w:sz w:val="24"/>
          <w:szCs w:val="24"/>
          <w:highlight w:val="none"/>
        </w:rPr>
      </w:pPr>
    </w:p>
    <w:p>
      <w:pPr>
        <w:pageBreakBefore w:val="0"/>
        <w:kinsoku/>
        <w:overflowPunct/>
        <w:topLinePunct w:val="0"/>
        <w:bidi w:val="0"/>
        <w:ind w:left="0" w:leftChars="0"/>
        <w:rPr>
          <w:rFonts w:hint="eastAsia" w:ascii="宋体" w:hAnsi="宋体"/>
          <w:b/>
          <w:bCs/>
          <w:color w:val="auto"/>
          <w:sz w:val="28"/>
          <w:szCs w:val="28"/>
          <w:highlight w:val="none"/>
          <w:lang w:val="en-US" w:eastAsia="zh-CN"/>
        </w:rPr>
      </w:pPr>
      <w:r>
        <w:rPr>
          <w:rFonts w:hint="eastAsia" w:ascii="宋体" w:hAnsi="宋体"/>
          <w:b/>
          <w:bCs/>
          <w:color w:val="auto"/>
          <w:sz w:val="28"/>
          <w:szCs w:val="28"/>
          <w:highlight w:val="none"/>
        </w:rPr>
        <w:br w:type="page"/>
      </w:r>
      <w:r>
        <w:rPr>
          <w:rFonts w:hint="eastAsia" w:ascii="微软雅黑" w:hAnsi="微软雅黑"/>
          <w:bCs/>
          <w:color w:val="auto"/>
          <w:szCs w:val="24"/>
          <w:highlight w:val="none"/>
          <w:lang w:val="en-US" w:eastAsia="zh-CN"/>
        </w:rPr>
        <w:t xml:space="preserve">附件16  </w:t>
      </w:r>
      <w:r>
        <w:rPr>
          <w:rFonts w:hint="eastAsia" w:ascii="宋体" w:hAnsi="宋体"/>
          <w:b/>
          <w:bCs/>
          <w:color w:val="auto"/>
          <w:sz w:val="28"/>
          <w:szCs w:val="28"/>
          <w:highlight w:val="none"/>
          <w:lang w:val="en-US" w:eastAsia="zh-CN"/>
        </w:rPr>
        <w:t xml:space="preserve">        </w:t>
      </w:r>
    </w:p>
    <w:p>
      <w:pPr>
        <w:pageBreakBefore w:val="0"/>
        <w:kinsoku/>
        <w:overflowPunct/>
        <w:topLinePunct w:val="0"/>
        <w:bidi w:val="0"/>
        <w:ind w:left="0" w:leftChars="0"/>
        <w:jc w:val="center"/>
        <w:rPr>
          <w:rFonts w:ascii="宋体" w:hAnsi="宋体"/>
          <w:color w:val="auto"/>
          <w:sz w:val="28"/>
          <w:szCs w:val="28"/>
          <w:highlight w:val="none"/>
        </w:rPr>
      </w:pPr>
      <w:r>
        <w:rPr>
          <w:rFonts w:hint="eastAsia" w:ascii="宋体" w:hAnsi="宋体"/>
          <w:b/>
          <w:bCs/>
          <w:color w:val="auto"/>
          <w:sz w:val="28"/>
          <w:szCs w:val="28"/>
          <w:highlight w:val="none"/>
        </w:rPr>
        <w:t>残疾人福利性单位声明函</w:t>
      </w:r>
    </w:p>
    <w:p>
      <w:pPr>
        <w:pageBreakBefore w:val="0"/>
        <w:kinsoku/>
        <w:overflowPunct/>
        <w:topLinePunct w:val="0"/>
        <w:autoSpaceDE w:val="0"/>
        <w:autoSpaceDN w:val="0"/>
        <w:bidi w:val="0"/>
        <w:adjustRightInd w:val="0"/>
        <w:snapToGrid w:val="0"/>
        <w:spacing w:after="312" w:afterLines="100" w:line="500" w:lineRule="exact"/>
        <w:ind w:left="0" w:leftChars="0"/>
        <w:jc w:val="center"/>
        <w:rPr>
          <w:rFonts w:ascii="宋体" w:hAnsi="宋体"/>
          <w:color w:val="auto"/>
          <w:sz w:val="28"/>
          <w:szCs w:val="28"/>
          <w:highlight w:val="none"/>
        </w:rPr>
      </w:pPr>
      <w:r>
        <w:rPr>
          <w:rFonts w:hint="eastAsia" w:ascii="宋体" w:hAnsi="宋体"/>
          <w:color w:val="auto"/>
          <w:sz w:val="28"/>
          <w:szCs w:val="28"/>
          <w:highlight w:val="none"/>
        </w:rPr>
        <w:t>【非残疾人福利性单位不需提供】</w:t>
      </w:r>
    </w:p>
    <w:p>
      <w:pPr>
        <w:pageBreakBefore w:val="0"/>
        <w:kinsoku/>
        <w:overflowPunct/>
        <w:topLinePunct w:val="0"/>
        <w:bidi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宋体" w:hAnsi="宋体"/>
          <w:color w:val="auto"/>
          <w:sz w:val="24"/>
          <w:szCs w:val="24"/>
          <w:highlight w:val="none"/>
          <w:u w:val="single"/>
        </w:rPr>
        <w:t>（采购人名称）</w:t>
      </w:r>
      <w:r>
        <w:rPr>
          <w:rFonts w:hint="eastAsia" w:ascii="宋体" w:hAnsi="宋体"/>
          <w:color w:val="auto"/>
          <w:sz w:val="24"/>
          <w:szCs w:val="24"/>
          <w:highlight w:val="none"/>
        </w:rPr>
        <w:t>单位的</w:t>
      </w:r>
      <w:r>
        <w:rPr>
          <w:rFonts w:hint="eastAsia" w:ascii="宋体" w:hAnsi="宋体"/>
          <w:color w:val="auto"/>
          <w:sz w:val="24"/>
          <w:szCs w:val="24"/>
          <w:highlight w:val="none"/>
          <w:u w:val="single"/>
        </w:rPr>
        <w:t>（项目名称）</w:t>
      </w:r>
      <w:r>
        <w:rPr>
          <w:rFonts w:hint="eastAsia" w:ascii="宋体" w:hAnsi="宋体"/>
          <w:color w:val="auto"/>
          <w:sz w:val="24"/>
          <w:szCs w:val="24"/>
          <w:highlight w:val="none"/>
        </w:rPr>
        <w:t>项目采购活动提供本单位制造的货物（由本单位承担工程/提供服务），或者提供其他残疾人福利性单位制造的货物（不包括使用非残疾人福利性单位注册商标的货物）。</w:t>
      </w:r>
    </w:p>
    <w:p>
      <w:pPr>
        <w:pageBreakBefore w:val="0"/>
        <w:kinsoku/>
        <w:overflowPunct/>
        <w:topLinePunct w:val="0"/>
        <w:bidi w:val="0"/>
        <w:snapToGrid w:val="0"/>
        <w:spacing w:line="500" w:lineRule="exact"/>
        <w:ind w:left="0" w:leftChars="0" w:firstLine="480" w:firstLineChars="200"/>
        <w:rPr>
          <w:rFonts w:ascii="宋体" w:hAnsi="宋体"/>
          <w:color w:val="auto"/>
          <w:sz w:val="24"/>
          <w:szCs w:val="24"/>
          <w:highlight w:val="none"/>
        </w:rPr>
      </w:pPr>
      <w:r>
        <w:rPr>
          <w:rFonts w:hint="eastAsia" w:ascii="宋体" w:hAnsi="宋体"/>
          <w:color w:val="auto"/>
          <w:sz w:val="24"/>
          <w:szCs w:val="24"/>
          <w:highlight w:val="none"/>
        </w:rPr>
        <w:t>本单位对上述声明的真实性负责。如有虚假，将依法承担相应责任。</w:t>
      </w:r>
    </w:p>
    <w:p>
      <w:pPr>
        <w:pageBreakBefore w:val="0"/>
        <w:kinsoku/>
        <w:overflowPunct/>
        <w:topLinePunct w:val="0"/>
        <w:bidi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firstLine="2880" w:firstLineChars="1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Style w:val="16"/>
        <w:pageBreakBefore w:val="0"/>
        <w:kinsoku/>
        <w:overflowPunct/>
        <w:topLinePunct w:val="0"/>
        <w:bidi w:val="0"/>
        <w:adjustRightInd w:val="0"/>
        <w:snapToGrid w:val="0"/>
        <w:spacing w:line="500" w:lineRule="exact"/>
        <w:ind w:left="0" w:leftChars="0" w:firstLine="480" w:firstLineChars="200"/>
        <w:rPr>
          <w:rFonts w:hAnsi="宋体"/>
          <w:color w:val="auto"/>
          <w:sz w:val="24"/>
          <w:szCs w:val="24"/>
          <w:highlight w:val="none"/>
        </w:rPr>
      </w:pPr>
      <w:r>
        <w:rPr>
          <w:rFonts w:hint="eastAsia" w:hAnsi="宋体"/>
          <w:color w:val="auto"/>
          <w:sz w:val="24"/>
          <w:szCs w:val="24"/>
          <w:highlight w:val="none"/>
        </w:rPr>
        <w:t>供应商为残疾人福利性单位的提供此函。</w:t>
      </w:r>
    </w:p>
    <w:p>
      <w:pPr>
        <w:pStyle w:val="13"/>
        <w:pageBreakBefore w:val="0"/>
        <w:kinsoku/>
        <w:overflowPunct/>
        <w:topLinePunct w:val="0"/>
        <w:bidi w:val="0"/>
        <w:spacing w:line="500" w:lineRule="exact"/>
        <w:ind w:left="0" w:leftChars="0" w:firstLine="480" w:firstLineChars="200"/>
      </w:pPr>
      <w:r>
        <w:rPr>
          <w:rFonts w:hint="eastAsia" w:ascii="宋体" w:hAnsi="宋体"/>
          <w:color w:val="auto"/>
          <w:sz w:val="24"/>
          <w:szCs w:val="24"/>
          <w:highlight w:val="none"/>
        </w:rPr>
        <w:t>备注：成交供应商为残疾人福利性单位的，应当随成交结果同时公告其《残疾人福利性单位声明函》，接受社会监督。</w:t>
      </w:r>
    </w:p>
    <w:p>
      <w:pPr>
        <w:pageBreakBefore w:val="0"/>
        <w:kinsoku/>
        <w:overflowPunct/>
        <w:topLinePunct w:val="0"/>
        <w:bidi w:val="0"/>
        <w:adjustRightInd w:val="0"/>
        <w:snapToGrid w:val="0"/>
        <w:spacing w:line="312" w:lineRule="auto"/>
        <w:ind w:left="0" w:leftChars="0"/>
        <w:jc w:val="center"/>
        <w:outlineLvl w:val="0"/>
        <w:rPr>
          <w:rFonts w:hint="eastAsia" w:ascii="宋体" w:hAnsi="宋体" w:cs="宋体"/>
          <w:b/>
          <w:color w:val="auto"/>
          <w:sz w:val="32"/>
          <w:szCs w:val="32"/>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bookmarkStart w:id="16" w:name="_Toc24816"/>
      <w:bookmarkStart w:id="17" w:name="_Toc5310"/>
    </w:p>
    <w:p>
      <w:pPr>
        <w:pageBreakBefore w:val="0"/>
        <w:kinsoku/>
        <w:overflowPunct/>
        <w:topLinePunct w:val="0"/>
        <w:bidi w:val="0"/>
        <w:adjustRightInd w:val="0"/>
        <w:snapToGrid w:val="0"/>
        <w:spacing w:line="312" w:lineRule="auto"/>
        <w:ind w:left="0" w:leftChars="0"/>
        <w:jc w:val="both"/>
        <w:outlineLvl w:val="0"/>
        <w:rPr>
          <w:rFonts w:hint="eastAsia" w:ascii="微软雅黑" w:hAnsi="微软雅黑"/>
          <w:bCs/>
          <w:color w:val="auto"/>
          <w:szCs w:val="24"/>
          <w:highlight w:val="none"/>
          <w:lang w:val="en-US" w:eastAsia="zh-CN"/>
        </w:rPr>
      </w:pPr>
      <w:r>
        <w:rPr>
          <w:rFonts w:hint="eastAsia" w:ascii="微软雅黑" w:hAnsi="微软雅黑"/>
          <w:bCs/>
          <w:color w:val="auto"/>
          <w:szCs w:val="24"/>
          <w:highlight w:val="none"/>
          <w:lang w:val="en-US" w:eastAsia="zh-CN"/>
        </w:rPr>
        <w:t>附件17</w:t>
      </w:r>
    </w:p>
    <w:p>
      <w:pPr>
        <w:pageBreakBefore w:val="0"/>
        <w:kinsoku/>
        <w:overflowPunct/>
        <w:topLinePunct w:val="0"/>
        <w:bidi w:val="0"/>
        <w:ind w:left="0" w:leftChars="0"/>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lang w:val="en-US" w:eastAsia="zh-CN"/>
        </w:rPr>
        <w:t>节能环保产品声明函</w:t>
      </w:r>
    </w:p>
    <w:p>
      <w:pPr>
        <w:pageBreakBefore w:val="0"/>
        <w:kinsoku/>
        <w:overflowPunct/>
        <w:topLinePunct w:val="0"/>
        <w:bidi w:val="0"/>
        <w:ind w:left="0" w:leftChars="0"/>
        <w:jc w:val="center"/>
        <w:rPr>
          <w:rFonts w:hint="eastAsia" w:ascii="宋体" w:hAnsi="宋体" w:eastAsia="宋体" w:cs="Times New Roman"/>
          <w:b/>
          <w:bCs/>
          <w:color w:val="auto"/>
          <w:sz w:val="28"/>
          <w:szCs w:val="28"/>
          <w:highlight w:val="none"/>
          <w:lang w:val="en-US" w:eastAsia="zh-CN"/>
        </w:rPr>
      </w:pPr>
      <w:r>
        <w:rPr>
          <w:rFonts w:hint="eastAsia" w:ascii="宋体" w:hAnsi="宋体" w:eastAsia="宋体" w:cs="Times New Roman"/>
          <w:b/>
          <w:bCs/>
          <w:color w:val="auto"/>
          <w:sz w:val="28"/>
          <w:szCs w:val="28"/>
          <w:highlight w:val="none"/>
          <w:lang w:val="en-US" w:eastAsia="zh-CN"/>
        </w:rPr>
        <w:t>(如有则提供)</w:t>
      </w:r>
    </w:p>
    <w:p>
      <w:pPr>
        <w:pageBreakBefore w:val="0"/>
        <w:kinsoku/>
        <w:overflowPunct/>
        <w:topLinePunct w:val="0"/>
        <w:bidi w:val="0"/>
        <w:snapToGrid w:val="0"/>
        <w:spacing w:line="500" w:lineRule="exact"/>
        <w:ind w:left="0" w:leftChars="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lang w:val="en-US" w:eastAsia="zh-CN"/>
        </w:rPr>
        <w:t xml:space="preserve">本公司郑重声明，根据《节能产品政府采购实施意见》（财库〔2004〕185 号，不含该期清单）、 《关于环境标志产品政府采购实施的意见》（财库〔2006〕90 号，不含该期清单）、《关于调整优 化节能产品、环境标志产品政府采购执行机制的通知》（财库〔2019〕9 号）、《关于印发节能产品 政府采购品目清单的通知》（财库〔2019〕19 号）、《关于印发环境标志产品政府采购品目清单的通知》（财库〔2019〕18 号）、《市场监管总局关于发布参与实施政府采购节能产品、环境标志产品认证机构名录的公告》（2019 年第 16 号）的规定，本公司声明如下： </w:t>
      </w:r>
    </w:p>
    <w:p>
      <w:pPr>
        <w:pageBreakBefore w:val="0"/>
        <w:kinsoku/>
        <w:overflowPunct/>
        <w:topLinePunct w:val="0"/>
        <w:bidi w:val="0"/>
        <w:snapToGrid w:val="0"/>
        <w:spacing w:line="500" w:lineRule="exact"/>
        <w:ind w:left="0" w:leftChars="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lang w:val="en-US" w:eastAsia="zh-CN"/>
        </w:rPr>
        <w:t>1.本公司参加</w:t>
      </w:r>
      <w:r>
        <w:rPr>
          <w:rFonts w:hint="eastAsia" w:ascii="宋体" w:hAnsi="宋体" w:eastAsia="宋体" w:cs="Times New Roman"/>
          <w:color w:val="auto"/>
          <w:sz w:val="24"/>
          <w:szCs w:val="24"/>
          <w:highlight w:val="none"/>
          <w:u w:val="single"/>
          <w:lang w:val="en-US" w:eastAsia="zh-CN"/>
        </w:rPr>
        <w:t>（招标项目名称，招标编号）</w:t>
      </w:r>
      <w:r>
        <w:rPr>
          <w:rFonts w:hint="eastAsia" w:ascii="宋体" w:hAnsi="宋体" w:eastAsia="宋体" w:cs="Times New Roman"/>
          <w:color w:val="auto"/>
          <w:sz w:val="24"/>
          <w:szCs w:val="24"/>
          <w:highlight w:val="none"/>
          <w:lang w:val="en-US" w:eastAsia="zh-CN"/>
        </w:rPr>
        <w:t>的采购活动提供的</w:t>
      </w:r>
      <w:r>
        <w:rPr>
          <w:rFonts w:hint="eastAsia" w:ascii="宋体" w:hAnsi="宋体" w:eastAsia="宋体" w:cs="Times New Roman"/>
          <w:color w:val="auto"/>
          <w:sz w:val="24"/>
          <w:szCs w:val="24"/>
          <w:highlight w:val="none"/>
          <w:u w:val="single"/>
          <w:lang w:val="en-US" w:eastAsia="zh-CN"/>
        </w:rPr>
        <w:t xml:space="preserve">     </w:t>
      </w:r>
      <w:r>
        <w:rPr>
          <w:rFonts w:hint="eastAsia" w:ascii="宋体" w:hAnsi="宋体" w:eastAsia="宋体" w:cs="Times New Roman"/>
          <w:color w:val="auto"/>
          <w:sz w:val="24"/>
          <w:szCs w:val="24"/>
          <w:highlight w:val="none"/>
          <w:lang w:val="en-US" w:eastAsia="zh-CN"/>
        </w:rPr>
        <w:t xml:space="preserve">产品已列入《节能产品政府采购品目清单》。 </w:t>
      </w:r>
    </w:p>
    <w:p>
      <w:pPr>
        <w:pageBreakBefore w:val="0"/>
        <w:kinsoku/>
        <w:overflowPunct/>
        <w:topLinePunct w:val="0"/>
        <w:bidi w:val="0"/>
        <w:snapToGrid w:val="0"/>
        <w:spacing w:line="500" w:lineRule="exact"/>
        <w:ind w:left="0" w:leftChars="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lang w:val="en-US" w:eastAsia="zh-CN"/>
        </w:rPr>
        <w:t>2.本公司参加</w:t>
      </w:r>
      <w:r>
        <w:rPr>
          <w:rFonts w:hint="eastAsia" w:ascii="宋体" w:hAnsi="宋体" w:eastAsia="宋体" w:cs="Times New Roman"/>
          <w:color w:val="auto"/>
          <w:sz w:val="24"/>
          <w:szCs w:val="24"/>
          <w:highlight w:val="none"/>
          <w:u w:val="single"/>
          <w:lang w:val="en-US" w:eastAsia="zh-CN"/>
        </w:rPr>
        <w:t>（招标项目名称，招标编号）</w:t>
      </w:r>
      <w:r>
        <w:rPr>
          <w:rFonts w:hint="eastAsia" w:ascii="宋体" w:hAnsi="宋体" w:eastAsia="宋体" w:cs="Times New Roman"/>
          <w:color w:val="auto"/>
          <w:sz w:val="24"/>
          <w:szCs w:val="24"/>
          <w:highlight w:val="none"/>
          <w:lang w:val="en-US" w:eastAsia="zh-CN"/>
        </w:rPr>
        <w:t>的采购活动提供的</w:t>
      </w:r>
      <w:r>
        <w:rPr>
          <w:rFonts w:hint="eastAsia" w:ascii="宋体" w:hAnsi="宋体" w:eastAsia="宋体" w:cs="Times New Roman"/>
          <w:color w:val="auto"/>
          <w:sz w:val="24"/>
          <w:szCs w:val="24"/>
          <w:highlight w:val="none"/>
          <w:u w:val="single"/>
          <w:lang w:val="en-US" w:eastAsia="zh-CN"/>
        </w:rPr>
        <w:t xml:space="preserve">     </w:t>
      </w:r>
      <w:r>
        <w:rPr>
          <w:rFonts w:hint="eastAsia" w:ascii="宋体" w:hAnsi="宋体" w:eastAsia="宋体" w:cs="Times New Roman"/>
          <w:color w:val="auto"/>
          <w:sz w:val="24"/>
          <w:szCs w:val="24"/>
          <w:highlight w:val="none"/>
          <w:lang w:val="en-US" w:eastAsia="zh-CN"/>
        </w:rPr>
        <w:t xml:space="preserve">产品已列入《环境标志产品政府采购品目清单》。 </w:t>
      </w:r>
    </w:p>
    <w:p>
      <w:pPr>
        <w:pageBreakBefore w:val="0"/>
        <w:kinsoku/>
        <w:overflowPunct/>
        <w:topLinePunct w:val="0"/>
        <w:bidi w:val="0"/>
        <w:snapToGrid w:val="0"/>
        <w:spacing w:line="500" w:lineRule="exact"/>
        <w:ind w:left="0" w:leftChars="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lang w:val="en-US" w:eastAsia="zh-CN"/>
        </w:rPr>
        <w:t xml:space="preserve">本公司对上述声明的真实性负责。如有虚假，将依法承担相应法律责任。 </w:t>
      </w:r>
    </w:p>
    <w:p>
      <w:pPr>
        <w:pageBreakBefore w:val="0"/>
        <w:kinsoku/>
        <w:overflowPunct/>
        <w:topLinePunct w:val="0"/>
        <w:bidi w:val="0"/>
        <w:adjustRightInd w:val="0"/>
        <w:snapToGrid w:val="0"/>
        <w:spacing w:line="500" w:lineRule="exact"/>
        <w:ind w:left="0" w:leftChars="0" w:firstLine="480" w:firstLineChars="200"/>
        <w:rPr>
          <w:rFonts w:ascii="宋体" w:hAnsi="宋体"/>
          <w:color w:val="auto"/>
          <w:sz w:val="24"/>
          <w:szCs w:val="24"/>
          <w:highlight w:val="none"/>
        </w:rPr>
      </w:pP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firstLine="2880" w:firstLineChars="1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ageBreakBefore w:val="0"/>
        <w:kinsoku/>
        <w:overflowPunct/>
        <w:topLinePunct w:val="0"/>
        <w:bidi w:val="0"/>
        <w:snapToGrid w:val="0"/>
        <w:spacing w:line="500" w:lineRule="exact"/>
        <w:ind w:left="0" w:leftChars="0" w:firstLine="480" w:firstLineChars="200"/>
        <w:rPr>
          <w:rFonts w:hint="default" w:ascii="宋体" w:hAnsi="宋体" w:eastAsia="宋体" w:cs="Times New Roman"/>
          <w:color w:val="auto"/>
          <w:sz w:val="24"/>
          <w:szCs w:val="24"/>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61"/>
        <w:ind w:left="0" w:leftChars="0" w:firstLine="0" w:firstLineChars="0"/>
        <w:rPr>
          <w:rFonts w:hint="eastAsia" w:ascii="微软雅黑" w:hAnsi="微软雅黑"/>
          <w:bCs/>
          <w:color w:val="auto"/>
          <w:szCs w:val="24"/>
          <w:highlight w:val="none"/>
          <w:lang w:val="en-US" w:eastAsia="zh-CN"/>
        </w:rPr>
      </w:pPr>
      <w:r>
        <w:rPr>
          <w:rFonts w:hint="eastAsia" w:ascii="微软雅黑" w:hAnsi="微软雅黑"/>
          <w:bCs/>
          <w:color w:val="auto"/>
          <w:szCs w:val="24"/>
          <w:highlight w:val="none"/>
          <w:lang w:val="en-US" w:eastAsia="zh-CN"/>
        </w:rPr>
        <w:t>附件18</w:t>
      </w:r>
    </w:p>
    <w:p>
      <w:pPr>
        <w:pageBreakBefore w:val="0"/>
        <w:kinsoku/>
        <w:overflowPunct/>
        <w:topLinePunct w:val="0"/>
        <w:bidi w:val="0"/>
        <w:ind w:left="0" w:leftChars="0"/>
        <w:jc w:val="center"/>
        <w:rPr>
          <w:rFonts w:hint="eastAsia" w:ascii="宋体" w:hAnsi="宋体" w:eastAsia="宋体" w:cs="Times New Roman"/>
          <w:b/>
          <w:bCs/>
          <w:color w:val="auto"/>
          <w:sz w:val="28"/>
          <w:szCs w:val="28"/>
          <w:highlight w:val="none"/>
          <w:lang w:val="en-US" w:eastAsia="zh-CN"/>
        </w:rPr>
      </w:pPr>
      <w:r>
        <w:rPr>
          <w:rFonts w:hint="eastAsia" w:ascii="宋体" w:hAnsi="宋体" w:eastAsia="宋体" w:cs="Times New Roman"/>
          <w:b/>
          <w:bCs/>
          <w:color w:val="auto"/>
          <w:sz w:val="28"/>
          <w:szCs w:val="28"/>
          <w:highlight w:val="none"/>
          <w:lang w:val="en-US" w:eastAsia="zh-CN"/>
        </w:rPr>
        <w:t>节能（环保）产品清单</w:t>
      </w:r>
    </w:p>
    <w:p>
      <w:pPr>
        <w:pageBreakBefore w:val="0"/>
        <w:kinsoku/>
        <w:overflowPunct/>
        <w:topLinePunct w:val="0"/>
        <w:bidi w:val="0"/>
        <w:ind w:left="0" w:leftChars="0"/>
        <w:jc w:val="center"/>
        <w:rPr>
          <w:rFonts w:hint="eastAsia" w:ascii="宋体" w:hAnsi="宋体" w:eastAsia="宋体" w:cs="Times New Roman"/>
          <w:b/>
          <w:bCs/>
          <w:color w:val="auto"/>
          <w:sz w:val="28"/>
          <w:szCs w:val="28"/>
          <w:highlight w:val="none"/>
          <w:lang w:val="en-US" w:eastAsia="zh-CN"/>
        </w:rPr>
      </w:pPr>
      <w:r>
        <w:rPr>
          <w:rFonts w:hint="eastAsia" w:ascii="宋体" w:hAnsi="宋体" w:eastAsia="宋体" w:cs="Times New Roman"/>
          <w:b/>
          <w:bCs/>
          <w:color w:val="auto"/>
          <w:sz w:val="28"/>
          <w:szCs w:val="28"/>
          <w:highlight w:val="none"/>
          <w:lang w:val="en-US" w:eastAsia="zh-CN"/>
        </w:rPr>
        <w:t>(如有则提供)</w:t>
      </w:r>
    </w:p>
    <w:p>
      <w:pPr>
        <w:keepNext w:val="0"/>
        <w:keepLines w:val="0"/>
        <w:widowControl/>
        <w:suppressLineNumbers w:val="0"/>
        <w:jc w:val="left"/>
      </w:pPr>
      <w:r>
        <w:rPr>
          <w:rFonts w:hint="eastAsia" w:ascii="宋体" w:hAnsi="宋体" w:eastAsia="宋体" w:cs="宋体"/>
          <w:color w:val="000000"/>
          <w:kern w:val="0"/>
          <w:sz w:val="22"/>
          <w:szCs w:val="22"/>
          <w:lang w:val="en-US" w:eastAsia="zh-CN" w:bidi="ar"/>
        </w:rPr>
        <w:t xml:space="preserve">（1）投标产品中已列入《节能产品政府采购品目清单》明细 </w:t>
      </w:r>
    </w:p>
    <w:tbl>
      <w:tblPr>
        <w:tblStyle w:val="2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1217"/>
        <w:gridCol w:w="1217"/>
        <w:gridCol w:w="1217"/>
        <w:gridCol w:w="1218"/>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制造商</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品牌</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产品名称、规格型号</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节字标志认证证书号</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认证证书有效截止日期</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依据的标准</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认证机构名称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bl>
    <w:p>
      <w:pPr>
        <w:keepNext w:val="0"/>
        <w:keepLines w:val="0"/>
        <w:widowControl/>
        <w:suppressLineNumbers w:val="0"/>
        <w:jc w:val="left"/>
        <w:rPr>
          <w:rFonts w:hint="eastAsia" w:ascii="宋体" w:hAnsi="宋体" w:eastAsia="宋体" w:cs="宋体"/>
          <w:color w:val="000000"/>
          <w:kern w:val="0"/>
          <w:sz w:val="22"/>
          <w:szCs w:val="22"/>
          <w:lang w:val="en-US" w:eastAsia="zh-CN" w:bidi="ar"/>
        </w:rPr>
      </w:pPr>
    </w:p>
    <w:p>
      <w:pPr>
        <w:keepNext w:val="0"/>
        <w:keepLines w:val="0"/>
        <w:widowControl/>
        <w:suppressLineNumbers w:val="0"/>
        <w:jc w:val="left"/>
      </w:pPr>
      <w:r>
        <w:rPr>
          <w:rFonts w:hint="eastAsia" w:ascii="宋体" w:hAnsi="宋体" w:eastAsia="宋体" w:cs="宋体"/>
          <w:color w:val="000000"/>
          <w:kern w:val="0"/>
          <w:sz w:val="22"/>
          <w:szCs w:val="22"/>
          <w:lang w:val="en-US" w:eastAsia="zh-CN" w:bidi="ar"/>
        </w:rPr>
        <w:t xml:space="preserve">（2）投标产品中已列入《环境标志产品政府采购品目清单》明细 </w:t>
      </w:r>
    </w:p>
    <w:tbl>
      <w:tblPr>
        <w:tblStyle w:val="2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1217"/>
        <w:gridCol w:w="1217"/>
        <w:gridCol w:w="1217"/>
        <w:gridCol w:w="1218"/>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制造商</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品牌</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产品名称、规格型号</w:t>
            </w:r>
          </w:p>
        </w:tc>
        <w:tc>
          <w:tcPr>
            <w:tcW w:w="1217"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中国环境标志认证证书编号</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认证证书有效截止日期</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依据的标准</w:t>
            </w:r>
          </w:p>
        </w:tc>
        <w:tc>
          <w:tcPr>
            <w:tcW w:w="1218" w:type="dxa"/>
          </w:tcPr>
          <w:p>
            <w:pPr>
              <w:keepNext w:val="0"/>
              <w:keepLines w:val="0"/>
              <w:widowControl/>
              <w:suppressLineNumbers w:val="0"/>
              <w:jc w:val="left"/>
              <w:rPr>
                <w:rFonts w:hint="default" w:ascii="宋体" w:hAnsi="宋体" w:eastAsia="宋体" w:cs="宋体"/>
                <w:color w:val="000000"/>
                <w:kern w:val="0"/>
                <w:sz w:val="22"/>
                <w:szCs w:val="22"/>
                <w:vertAlign w:val="baseline"/>
                <w:lang w:val="en-US" w:eastAsia="zh-CN" w:bidi="ar"/>
              </w:rPr>
            </w:pPr>
            <w:r>
              <w:rPr>
                <w:rFonts w:hint="eastAsia" w:ascii="宋体" w:hAnsi="宋体" w:cs="宋体"/>
                <w:color w:val="000000"/>
                <w:kern w:val="0"/>
                <w:sz w:val="22"/>
                <w:szCs w:val="22"/>
                <w:vertAlign w:val="baseline"/>
                <w:lang w:val="en-US" w:eastAsia="zh-CN" w:bidi="ar"/>
              </w:rPr>
              <w:t>认证机构名称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7"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c>
          <w:tcPr>
            <w:tcW w:w="1218" w:type="dxa"/>
          </w:tcPr>
          <w:p>
            <w:pPr>
              <w:keepNext w:val="0"/>
              <w:keepLines w:val="0"/>
              <w:widowControl/>
              <w:suppressLineNumbers w:val="0"/>
              <w:jc w:val="left"/>
              <w:rPr>
                <w:rFonts w:hint="eastAsia" w:ascii="宋体" w:hAnsi="宋体" w:eastAsia="宋体" w:cs="宋体"/>
                <w:color w:val="000000"/>
                <w:kern w:val="0"/>
                <w:sz w:val="22"/>
                <w:szCs w:val="22"/>
                <w:vertAlign w:val="baseline"/>
                <w:lang w:val="en-US" w:eastAsia="zh-CN" w:bidi="ar"/>
              </w:rPr>
            </w:pPr>
          </w:p>
        </w:tc>
      </w:tr>
    </w:tbl>
    <w:p>
      <w:pPr>
        <w:keepNext w:val="0"/>
        <w:keepLines w:val="0"/>
        <w:widowControl/>
        <w:suppressLineNumbers w:val="0"/>
        <w:jc w:val="left"/>
        <w:rPr>
          <w:rFonts w:hint="eastAsia" w:ascii="宋体" w:hAnsi="宋体" w:eastAsia="宋体" w:cs="宋体"/>
          <w:b/>
          <w:bCs/>
          <w:color w:val="000000"/>
          <w:kern w:val="0"/>
          <w:sz w:val="22"/>
          <w:szCs w:val="22"/>
          <w:lang w:val="en-US" w:eastAsia="zh-CN" w:bidi="ar"/>
        </w:rPr>
      </w:pPr>
    </w:p>
    <w:p>
      <w:pPr>
        <w:keepNext w:val="0"/>
        <w:keepLines w:val="0"/>
        <w:widowControl/>
        <w:suppressLineNumbers w:val="0"/>
        <w:jc w:val="left"/>
      </w:pPr>
      <w:r>
        <w:rPr>
          <w:rFonts w:hint="eastAsia" w:ascii="宋体" w:hAnsi="宋体" w:eastAsia="宋体" w:cs="宋体"/>
          <w:b/>
          <w:bCs/>
          <w:color w:val="000000"/>
          <w:kern w:val="0"/>
          <w:sz w:val="22"/>
          <w:szCs w:val="22"/>
          <w:lang w:val="en-US" w:eastAsia="zh-CN" w:bidi="ar"/>
        </w:rPr>
        <w:t>说明：1、供应商应提供所投产品具体型号，如因型号无法确认的，造成的后果由投标供应商自负</w:t>
      </w:r>
      <w:r>
        <w:rPr>
          <w:rFonts w:hint="eastAsia" w:ascii="宋体" w:hAnsi="宋体" w:eastAsia="宋体" w:cs="宋体"/>
          <w:color w:val="000000"/>
          <w:kern w:val="0"/>
          <w:sz w:val="22"/>
          <w:szCs w:val="22"/>
          <w:lang w:val="en-US" w:eastAsia="zh-CN" w:bidi="ar"/>
        </w:rPr>
        <w:t>。</w:t>
      </w:r>
      <w:r>
        <w:rPr>
          <w:rFonts w:hint="eastAsia" w:ascii="宋体" w:hAnsi="宋体" w:eastAsia="宋体" w:cs="宋体"/>
          <w:b/>
          <w:bCs/>
          <w:color w:val="000000"/>
          <w:kern w:val="0"/>
          <w:sz w:val="22"/>
          <w:szCs w:val="22"/>
          <w:lang w:val="en-US" w:eastAsia="zh-CN" w:bidi="ar"/>
        </w:rPr>
        <w:t>表后附所投相关产品对应的认证证书复印件；其中本次采购的产品属于政府强制采购节能产品范围的，投标供应商必须选用符合要求的产品并在投标文件中提供相关产品的认证证书复印件，具体品目见《关于印发节能产品政府采购品目清单的通知》（财库〔2019〕19 号）。投标文件中必须提供属于政府强制采购的节能产品的认证</w:t>
      </w:r>
      <w:r>
        <w:rPr>
          <w:rFonts w:hint="eastAsia" w:ascii="宋体" w:hAnsi="宋体" w:cs="宋体"/>
          <w:b/>
          <w:bCs/>
          <w:color w:val="000000"/>
          <w:kern w:val="0"/>
          <w:sz w:val="22"/>
          <w:szCs w:val="22"/>
          <w:lang w:val="en-US" w:eastAsia="zh-CN" w:bidi="ar"/>
        </w:rPr>
        <w:t>证</w:t>
      </w:r>
      <w:r>
        <w:rPr>
          <w:rFonts w:hint="eastAsia" w:ascii="宋体" w:hAnsi="宋体" w:eastAsia="宋体" w:cs="宋体"/>
          <w:b/>
          <w:bCs/>
          <w:color w:val="000000"/>
          <w:kern w:val="0"/>
          <w:sz w:val="22"/>
          <w:szCs w:val="22"/>
          <w:lang w:val="en-US" w:eastAsia="zh-CN" w:bidi="ar"/>
        </w:rPr>
        <w:t xml:space="preserve">书复印件。 </w:t>
      </w:r>
    </w:p>
    <w:p>
      <w:pPr>
        <w:keepNext w:val="0"/>
        <w:keepLines w:val="0"/>
        <w:widowControl/>
        <w:numPr>
          <w:ilvl w:val="0"/>
          <w:numId w:val="7"/>
        </w:numPr>
        <w:suppressLineNumbers w:val="0"/>
        <w:jc w:val="left"/>
        <w:rPr>
          <w:rFonts w:hint="eastAsia" w:ascii="宋体" w:hAnsi="宋体" w:eastAsia="宋体" w:cs="宋体"/>
          <w:b/>
          <w:bCs/>
          <w:color w:val="000000"/>
          <w:kern w:val="0"/>
          <w:sz w:val="22"/>
          <w:szCs w:val="22"/>
          <w:lang w:val="en-US" w:eastAsia="zh-CN" w:bidi="ar"/>
        </w:rPr>
      </w:pPr>
      <w:r>
        <w:rPr>
          <w:rFonts w:hint="eastAsia" w:ascii="宋体" w:hAnsi="宋体" w:eastAsia="宋体" w:cs="宋体"/>
          <w:b/>
          <w:bCs/>
          <w:color w:val="000000"/>
          <w:kern w:val="0"/>
          <w:sz w:val="22"/>
          <w:szCs w:val="22"/>
          <w:lang w:val="en-US" w:eastAsia="zh-CN" w:bidi="ar"/>
        </w:rPr>
        <w:t>表格可以延续。</w:t>
      </w:r>
    </w:p>
    <w:p>
      <w:pPr>
        <w:keepNext w:val="0"/>
        <w:keepLines w:val="0"/>
        <w:widowControl/>
        <w:numPr>
          <w:ilvl w:val="0"/>
          <w:numId w:val="0"/>
        </w:numPr>
        <w:suppressLineNumbers w:val="0"/>
        <w:jc w:val="left"/>
      </w:pPr>
      <w:r>
        <w:rPr>
          <w:rFonts w:hint="eastAsia" w:ascii="宋体" w:hAnsi="宋体" w:eastAsia="宋体" w:cs="宋体"/>
          <w:b/>
          <w:bCs/>
          <w:color w:val="000000"/>
          <w:kern w:val="0"/>
          <w:sz w:val="22"/>
          <w:szCs w:val="22"/>
          <w:lang w:val="en-US" w:eastAsia="zh-CN" w:bidi="ar"/>
        </w:rPr>
        <w:t xml:space="preserve"> </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供应商：</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（盖章）</w:t>
      </w:r>
    </w:p>
    <w:p>
      <w:pPr>
        <w:pageBreakBefore w:val="0"/>
        <w:kinsoku/>
        <w:overflowPunct/>
        <w:topLinePunct w:val="0"/>
        <w:autoSpaceDE/>
        <w:autoSpaceDN/>
        <w:bidi w:val="0"/>
        <w:snapToGrid w:val="0"/>
        <w:spacing w:before="0" w:after="0" w:line="480" w:lineRule="auto"/>
        <w:ind w:firstLine="2880" w:firstLineChars="12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法定代表人或授权委托人：</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（签字或盖章）</w:t>
      </w:r>
    </w:p>
    <w:p>
      <w:pPr>
        <w:pageBreakBefore w:val="0"/>
        <w:kinsoku/>
        <w:overflowPunct/>
        <w:topLinePunct w:val="0"/>
        <w:autoSpaceDE/>
        <w:autoSpaceDN/>
        <w:bidi w:val="0"/>
        <w:snapToGrid w:val="0"/>
        <w:spacing w:before="0" w:after="0" w:line="480" w:lineRule="auto"/>
        <w:ind w:left="0" w:leftChars="0" w:firstLine="3840" w:firstLineChars="1600"/>
        <w:jc w:val="both"/>
        <w:rPr>
          <w:rFonts w:hint="eastAsia" w:ascii="宋体" w:hAnsi="宋体" w:eastAsia="宋体" w:cs="宋体"/>
          <w:b w:val="0"/>
          <w:color w:val="auto"/>
          <w:w w:val="100"/>
          <w:sz w:val="24"/>
          <w:szCs w:val="24"/>
          <w:highlight w:val="none"/>
          <w:lang w:val="en-US" w:eastAsia="zh-CN"/>
        </w:rPr>
      </w:pPr>
      <w:r>
        <w:rPr>
          <w:rFonts w:hint="eastAsia" w:ascii="宋体" w:hAnsi="宋体" w:eastAsia="宋体" w:cs="宋体"/>
          <w:b w:val="0"/>
          <w:color w:val="auto"/>
          <w:w w:val="100"/>
          <w:sz w:val="24"/>
          <w:szCs w:val="24"/>
          <w:highlight w:val="none"/>
          <w:lang w:val="en-US" w:eastAsia="zh-CN"/>
        </w:rPr>
        <w:t>日期：</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年</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月</w:t>
      </w:r>
      <w:r>
        <w:rPr>
          <w:rFonts w:hint="eastAsia" w:ascii="宋体" w:hAnsi="宋体" w:eastAsia="宋体" w:cs="宋体"/>
          <w:b w:val="0"/>
          <w:color w:val="auto"/>
          <w:w w:val="100"/>
          <w:sz w:val="24"/>
          <w:szCs w:val="24"/>
          <w:highlight w:val="none"/>
          <w:u w:val="single"/>
          <w:lang w:val="en-US" w:eastAsia="zh-CN"/>
        </w:rPr>
        <w:t xml:space="preserve">   </w:t>
      </w:r>
      <w:r>
        <w:rPr>
          <w:rFonts w:hint="eastAsia" w:ascii="宋体" w:hAnsi="宋体" w:eastAsia="宋体" w:cs="宋体"/>
          <w:b w:val="0"/>
          <w:color w:val="auto"/>
          <w:w w:val="100"/>
          <w:sz w:val="24"/>
          <w:szCs w:val="24"/>
          <w:highlight w:val="none"/>
          <w:lang w:val="en-US" w:eastAsia="zh-CN"/>
        </w:rPr>
        <w:t>日</w:t>
      </w:r>
    </w:p>
    <w:p>
      <w:pPr>
        <w:pageBreakBefore w:val="0"/>
        <w:kinsoku/>
        <w:overflowPunct/>
        <w:topLinePunct w:val="0"/>
        <w:bidi w:val="0"/>
        <w:snapToGrid w:val="0"/>
        <w:spacing w:line="500" w:lineRule="exact"/>
        <w:ind w:left="0" w:leftChars="0" w:firstLine="480" w:firstLineChars="200"/>
        <w:rPr>
          <w:rFonts w:hint="default" w:ascii="宋体" w:hAnsi="宋体" w:eastAsia="宋体" w:cs="Times New Roman"/>
          <w:color w:val="auto"/>
          <w:sz w:val="24"/>
          <w:szCs w:val="24"/>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ageBreakBefore w:val="0"/>
        <w:kinsoku/>
        <w:overflowPunct/>
        <w:topLinePunct w:val="0"/>
        <w:bidi w:val="0"/>
        <w:adjustRightInd w:val="0"/>
        <w:snapToGrid w:val="0"/>
        <w:spacing w:line="312" w:lineRule="auto"/>
        <w:ind w:left="0" w:leftChars="0"/>
        <w:jc w:val="center"/>
        <w:outlineLvl w:val="0"/>
        <w:rPr>
          <w:rFonts w:hint="default" w:ascii="宋体" w:hAnsi="宋体" w:eastAsia="宋体"/>
          <w:color w:val="auto"/>
          <w:highlight w:val="none"/>
          <w:lang w:val="en-US" w:eastAsia="zh-CN"/>
        </w:rPr>
      </w:pPr>
      <w:r>
        <w:rPr>
          <w:rFonts w:hint="eastAsia" w:ascii="宋体" w:hAnsi="宋体" w:cs="宋体"/>
          <w:b/>
          <w:color w:val="auto"/>
          <w:sz w:val="32"/>
          <w:szCs w:val="32"/>
          <w:highlight w:val="none"/>
        </w:rPr>
        <w:t xml:space="preserve">第六章 </w:t>
      </w:r>
      <w:r>
        <w:rPr>
          <w:rFonts w:ascii="宋体" w:hAnsi="宋体" w:cs="宋体"/>
          <w:b/>
          <w:color w:val="auto"/>
          <w:sz w:val="32"/>
          <w:szCs w:val="32"/>
          <w:highlight w:val="none"/>
        </w:rPr>
        <w:t xml:space="preserve"> </w:t>
      </w:r>
      <w:bookmarkEnd w:id="16"/>
      <w:r>
        <w:rPr>
          <w:rFonts w:hint="eastAsia" w:ascii="宋体" w:hAnsi="宋体" w:cs="宋体"/>
          <w:b/>
          <w:color w:val="auto"/>
          <w:sz w:val="32"/>
          <w:szCs w:val="32"/>
          <w:highlight w:val="none"/>
          <w:lang w:val="en-US" w:eastAsia="zh-CN"/>
        </w:rPr>
        <w:t>评审办法和评分标准</w:t>
      </w:r>
      <w:bookmarkEnd w:id="17"/>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一、总则</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1．遵循公平、公正、科学及择优的原则，并以相同的评审程序和标准对待所有的投标人。</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2．评审过程独立、保密。投标人非法干预评审过程的，其投标文件作无效处理。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评标委员会评价投标文件的响应性，对于投标人而言，除评标委员会要求其澄清、说明或者更正而提供的资料外，仅依据投标文件本身的内容，不寻求其他外部证据。如投标人提交的资质证明或其他内容不齐全，由此造成的后果由投标人自己负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4．评标工作由采购组织机构负责组织，具体评标事务由评标委员会负责。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5．本项目评审采用不公开方式进行。</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二、评标委员会组成</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采购人将根据相关规定和采购项目的特点由采购人代表和技术、经济等方面专家组成评标委员会，在政采云专家库随机抽取，人数见投标人须知前附表。除依法组建的评标委员会成员以外，其他任何人不得参加或者替代评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参加评审专家抽取的有关人员对被抽取的专家的姓名、单位和联系方式等内容负有保密的义务。评标委员会成员的名单在评审结果确定前必须严格保密。3．评标委员会成员不得参加与自己利害关系的评审活动，与自己有利害关系的应当回避，已经进入的必须更换。</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评标委员会具有依据招标文件进行独立评审的权力，且不受外界任何因素的干扰。评标委员会成员必须独立、负责地提出评审意见，并对自己的评审意见承担责任。对评审结果有不同意见的评标委员会成员应当以书面形式说明其不同意见和理由，评审报告应当注明不同意见。评标委员会成员拒绝评审或者拒绝在评审报告上签字并且又不书面说明其不同意见和理由的，视为同意评审结果。</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三、评标委员会职责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1．熟悉和理解招标文件，确定招标文件内容是否违反国家有关强制性规定或者招标文件存在歧义、重大缺陷，根据需要书面要求采购人、采购代理机构对招标文件作出解释；</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2．审查投标文件是否符合招标文件要求，进行资格性审查和符合性审查，并作出评价；</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3．要求投标人对投标文件有关事项做出解释或者澄清：</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4．推荐中标候选供应商名单，或者受采购人委托按照事先确定的办法直接确定中标供应商：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5．向采购人、采购代理机构或者有关部门报告非法干预评审工作的行为。</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6．法律、法规和规章规定的其他职责。</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四、评标委员会义务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1．遵纪守法，客观、公正、廉洁地履行职责；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2．提出真实、可靠的评审意见；</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3．严格遵守评审纪律，不得向外界泄露评审情况；</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4．发现投标人在采购活动中有不正当竞争或者恶意串通等违规行为，应及时向监督部门报告并加以制止；</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5．按照招标文件规定的评审方法和评审标准进行评审，对评审意见承担个人责任：</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6．编写评审报告：</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7．配合采购人或者采购代理机构答复投标人提出的质疑；</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8．对评审过程和结果，以及采购人、投标人的商业秘密保密：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9．配合监管部门处理投诉。</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五、评标工作纪律</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1．不得参加与自己有《中华人民共和国政府采购法实施条例》第九条规定的利害关系的政府采购项目的评标活动。发现参加了与自己有利害关系的评审活动，须主动提出回避，退出评审；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2．评审前，应当将通讯工具或者相关电子设备交由采购代理机构统一保管：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3．评审过程中，不得与外界联系，因发生不可预见情况，确实需要与外界联系的，应当在监督人员监督之下办理：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评审过程中，不得发表影响评审公正的倾向性、歧视性言论，不得征询或者接受采购人的倾向性意见，不得明示或暗示投标人在澄清时表达与其投标文件原义不同的意见，不得以招标文件没有规定的评审方法和标准作为评审的依据，不得修改或者细化评审程序、评审方法、评审因素和评审标准，不得违规撰写评审意见，不得拒绝对自己的评审意见签字确认；</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5．在评审过程中和评审结束后，不得记录、复制或带走任何评审资料，不得向外界透露评审内容；</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6．评审现场服从采购代理机构工作人员的管理，接受现场监督人员的合法监督；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7．遵守有关廉洁自律规定，不得私下接触投标人，不得收受投标人及有关业务单位和个人的财物或好处，不得接受采购代理机构的请托。</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六、评标程序</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1.推选评标委员会组长，优先资深专家担任组长，采购人代表不得担任组长。</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2评标委员会式评审前，应当对采购文件进行熟悉和理解，内容主要包括采购文件中投标人资格资质性要求、采购项目技术、服务和商务要求、评审方法以及可能涉及签订采购合同的内容等。</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3．评标程序：资格性审查一符合性审查一商务评审一报价评审一得分汇总一编写评审报告。</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4．资格性审查</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4.1．评标委员会应依据法律法规和本招标文件的规定对投标人资格进行审查。审查内容包括：</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(1）是否属于限制参加投标的投标人；</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(2）是否按照规定要求提供资格性证明材料</w:t>
      </w:r>
      <w:r>
        <w:rPr>
          <w:rFonts w:hint="eastAsia" w:ascii="宋体" w:hAnsi="宋体" w:eastAsia="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(3）法律法规规定的其他资格条件。</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4.2．经资格审查不符合招标文件要求的投标文件，即终止其参与投标资格。不符合的理由由投标人在线确认，投标人拒绝确认的不影响评标委员会作出的不合格裁定。</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5.符合性审查</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5.1．评标委员会根据本招标文件的规定，对资格符合投标人的投标文件进行审查，以认定其是否满足本招标文件的实质性要求。符合性审查事项仅限于本招标文件的明确规定，评标委员会不得臆测符合性审查事项。经符合性审查未实质性响应招标文件要求，以投标无效处理。未实质性响应的理由由投标人在线确认。投标人拒绝确认的不影响评标委员会作出的不合格裁定。评标委员会不再进行后续评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5.2．如果确定投标人无资格履行合同，其投标将被拒绝。</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6.投标文件评审</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评标委员会应当按照本招标文件中规定的评标办法，对有效的投标文件商务技术部分等方面进行综合比较与评价。详见本章第十条。</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七、澄清或说明</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在评审过程中，投标文件实质性符合招标文件要求的前提下，评标委员会对投标文件中含义不明确、同类问题表述不一致或者有明显文字和计算错误的内容，评标委员会可以要求相关投标人作出必要的澄清、说明或修正。但不得超出招标文件的范围，不得以此让投标人实质改变投标文件的内容，不得影响公平竞争和投标文件的效力。澄清、说明或修正内容是投标文件的组成部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评标委员会认为投标人的报价明显低于其他通过符合性审查投标人的报价，有可能影响产品质量或者不能诚信履约的，应当要求其在政采云平台上20分钟内提供书面说明，必要时提交相关证明材料：投标人不能证明其报价合理性的，评标委员会应当将其作为无效投标处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3．投标文件报价出现前后不一致的，按照下列规定修正：</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3.1．开标时，投标文件中开标一览表（报价表）内容与投标文件中明细表内容不一致的，以开标一览表（报价表）为准；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3.2．大写金额与小写金额不一致的，以大写金额为准。但大写金额出现文字错误，导致金额无法判断的除外</w:t>
      </w:r>
      <w:r>
        <w:rPr>
          <w:rFonts w:hint="eastAsia" w:ascii="宋体" w:hAnsi="宋体" w:eastAsia="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3.3．总价金额与按单价汇总金额不一致的，以单价汇总金额计算结果为准。但单价金额出现计算错误、明显人为工作失误的除外；单价汇总金额高于总价金额，且超过最高限价的，其投标文件应作为无效报价处理；单价汇总金额未高于总价金额，但未超过采购预算或者本项目最高限价的，应以单价汇总金额作为价格评分依据</w:t>
      </w:r>
      <w:r>
        <w:rPr>
          <w:rFonts w:hint="eastAsia" w:ascii="宋体" w:hAnsi="宋体" w:eastAsia="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3.4．单价金额小数点有明显错位的，应以总价为准，并修改单价；</w:t>
      </w:r>
    </w:p>
    <w:p>
      <w:pPr>
        <w:pageBreakBefore w:val="0"/>
        <w:kinsoku/>
        <w:overflowPunct/>
        <w:topLinePunct w:val="0"/>
        <w:bidi w:val="0"/>
        <w:adjustRightInd w:val="0"/>
        <w:snapToGrid w:val="0"/>
        <w:spacing w:line="360" w:lineRule="auto"/>
        <w:ind w:left="0" w:leftChars="0" w:firstLine="480" w:firstLineChars="200"/>
        <w:rPr>
          <w:rFonts w:hint="eastAsia"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3.5．对不同语言文本投标文件的解释发生异议的，以中文文本为准</w:t>
      </w:r>
      <w:r>
        <w:rPr>
          <w:rFonts w:hint="eastAsia" w:ascii="宋体" w:hAnsi="宋体" w:eastAsia="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4．投标人不接受对其错误的更正，其投标将被拒绝。</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5．请投标人在评审期间保持电话畅通，如未及时接听电话，视为放弃澄清、说明或补正的权利，视同默认采购结果，事后不得对采购相关人员、采购过程及结果提出异议</w:t>
      </w:r>
      <w:r>
        <w:rPr>
          <w:rFonts w:hint="eastAsia" w:ascii="宋体" w:hAnsi="宋体" w:eastAsia="宋体"/>
          <w:color w:val="auto"/>
          <w:sz w:val="24"/>
          <w:highlight w:val="none"/>
          <w:lang w:val="en-US" w:eastAsia="zh-CN"/>
        </w:rPr>
        <w:t>，</w:t>
      </w:r>
      <w:r>
        <w:rPr>
          <w:rFonts w:hint="default" w:ascii="宋体" w:hAnsi="宋体" w:eastAsia="宋体"/>
          <w:color w:val="auto"/>
          <w:sz w:val="24"/>
          <w:highlight w:val="none"/>
          <w:lang w:val="en-US" w:eastAsia="zh-CN"/>
        </w:rPr>
        <w:t>责任由投标人自负。</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八、推荐中标供应商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评标委员会应当根据综合评分情况，按照评审得分由高到低顺序推荐中标候选供应商。评审得分相同的，按照报价由低到高的顺序推荐。评审得分且报价相同的，按照技术部分得分顺序推荐。评审得分且报价且技术部分分项得分均相同的，摇号确定排序。</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九、评审报告</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评标委员会编写评审报告，并提出得分由高到低排序名单及理由，评审报告由评标委员会成员签字。</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十、评标细则及标准</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评标委员会成员根据本办法，评标委员会成员应当根据自身专业情况独立对有效的投标文件进行综合评价、打分，其中，商务和技术部分由评标委员会独立打分，价格部分由评标委员会共同评分。独立评分项，打分时保留小数1位，每人一份评分表，并签名。在汇总得分时，如果发现某一单项评分超过评分细则规定的分值范围，则该份评分表无效。</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2．加权汇总每项评分因素的得分，得出每个有效投标人的总分。商务技术部分得分为各成员的有效评分的算术平均值。计算时保留小数二位（第三位四舍五入</w:t>
      </w:r>
      <w:r>
        <w:rPr>
          <w:rFonts w:hint="eastAsia" w:ascii="宋体" w:hAnsi="宋体" w:eastAsia="宋体"/>
          <w:color w:val="auto"/>
          <w:sz w:val="24"/>
          <w:highlight w:val="none"/>
          <w:lang w:val="en-US" w:eastAsia="zh-CN"/>
        </w:rPr>
        <w:t>）</w:t>
      </w:r>
      <w:r>
        <w:rPr>
          <w:rFonts w:hint="default" w:ascii="宋体" w:hAnsi="宋体" w:eastAsia="宋体"/>
          <w:color w:val="auto"/>
          <w:sz w:val="24"/>
          <w:highlight w:val="none"/>
          <w:lang w:val="en-US" w:eastAsia="zh-CN"/>
        </w:rPr>
        <w:t>。</w:t>
      </w:r>
    </w:p>
    <w:p>
      <w:pPr>
        <w:pageBreakBefore w:val="0"/>
        <w:kinsoku/>
        <w:overflowPunct/>
        <w:topLinePunct w:val="0"/>
        <w:bidi w:val="0"/>
        <w:adjustRightInd w:val="0"/>
        <w:snapToGrid w:val="0"/>
        <w:spacing w:line="312" w:lineRule="auto"/>
        <w:ind w:left="0" w:leftChars="0"/>
        <w:rPr>
          <w:rFonts w:hint="default"/>
          <w:lang w:val="en-US" w:eastAsia="zh-CN"/>
        </w:rPr>
      </w:pPr>
      <w:r>
        <w:rPr>
          <w:rFonts w:hint="default" w:ascii="宋体" w:hAnsi="宋体" w:eastAsia="宋体"/>
          <w:color w:val="auto"/>
          <w:sz w:val="24"/>
          <w:highlight w:val="none"/>
          <w:lang w:val="en-US" w:eastAsia="zh-CN"/>
        </w:rPr>
        <w:t>3．综合评</w:t>
      </w:r>
      <w:r>
        <w:rPr>
          <w:rFonts w:hint="default" w:ascii="宋体" w:hAnsi="宋体" w:eastAsia="宋体" w:cs="Times New Roman"/>
          <w:color w:val="auto"/>
          <w:sz w:val="24"/>
          <w:highlight w:val="none"/>
          <w:lang w:val="en-US" w:eastAsia="zh-CN"/>
        </w:rPr>
        <w:t>分明细表</w:t>
      </w:r>
    </w:p>
    <w:tbl>
      <w:tblPr>
        <w:tblStyle w:val="26"/>
        <w:tblW w:w="8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5"/>
        <w:gridCol w:w="1133"/>
        <w:gridCol w:w="6293"/>
        <w:gridCol w:w="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序号</w:t>
            </w:r>
          </w:p>
        </w:tc>
        <w:tc>
          <w:tcPr>
            <w:tcW w:w="1133"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评审项目</w:t>
            </w:r>
          </w:p>
        </w:tc>
        <w:tc>
          <w:tcPr>
            <w:tcW w:w="6293"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评分内容</w:t>
            </w:r>
          </w:p>
        </w:tc>
        <w:tc>
          <w:tcPr>
            <w:tcW w:w="655"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技术参数</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 xml:space="preserve">投标产品满足采购文件技术要求的得 </w:t>
            </w:r>
            <w:r>
              <w:rPr>
                <w:rFonts w:hint="eastAsia" w:ascii="宋体" w:hAnsi="宋体" w:cs="宋体"/>
                <w:kern w:val="0"/>
                <w:sz w:val="24"/>
                <w:szCs w:val="24"/>
                <w:highlight w:val="none"/>
                <w:lang w:val="en-US" w:eastAsia="zh-CN" w:bidi="ar-SA"/>
              </w:rPr>
              <w:t>16</w:t>
            </w:r>
            <w:r>
              <w:rPr>
                <w:rFonts w:hint="eastAsia" w:ascii="宋体" w:hAnsi="宋体" w:eastAsia="宋体" w:cs="宋体"/>
                <w:kern w:val="0"/>
                <w:sz w:val="24"/>
                <w:szCs w:val="24"/>
                <w:highlight w:val="none"/>
                <w:lang w:val="en-US" w:eastAsia="zh-CN" w:bidi="ar-SA"/>
              </w:rPr>
              <w:t>分，</w:t>
            </w:r>
            <w:r>
              <w:rPr>
                <w:rFonts w:hint="eastAsia" w:ascii="宋体" w:hAnsi="宋体" w:cs="宋体"/>
                <w:kern w:val="0"/>
                <w:sz w:val="24"/>
                <w:szCs w:val="24"/>
                <w:highlight w:val="none"/>
                <w:lang w:val="en-US" w:eastAsia="zh-CN" w:bidi="ar-SA"/>
              </w:rPr>
              <w:t>▲为实质性偏离，负偏离响应作无效标处理。</w:t>
            </w:r>
            <w:r>
              <w:rPr>
                <w:rFonts w:hint="eastAsia" w:ascii="宋体" w:hAnsi="宋体" w:eastAsia="宋体" w:cs="宋体"/>
                <w:kern w:val="0"/>
                <w:sz w:val="24"/>
                <w:szCs w:val="24"/>
                <w:highlight w:val="none"/>
                <w:lang w:val="en-US" w:eastAsia="zh-CN" w:bidi="ar-SA"/>
              </w:rPr>
              <w:t>★</w:t>
            </w:r>
            <w:r>
              <w:rPr>
                <w:rFonts w:hint="eastAsia" w:ascii="宋体" w:hAnsi="宋体" w:cs="宋体"/>
                <w:kern w:val="0"/>
                <w:sz w:val="24"/>
                <w:szCs w:val="24"/>
                <w:highlight w:val="none"/>
                <w:lang w:val="en-US" w:eastAsia="zh-CN" w:bidi="ar-SA"/>
              </w:rPr>
              <w:t>为</w:t>
            </w:r>
            <w:r>
              <w:rPr>
                <w:rFonts w:hint="eastAsia" w:ascii="宋体" w:hAnsi="宋体" w:eastAsia="宋体" w:cs="宋体"/>
                <w:kern w:val="0"/>
                <w:sz w:val="24"/>
                <w:szCs w:val="24"/>
                <w:highlight w:val="none"/>
                <w:lang w:val="en-US" w:eastAsia="zh-CN" w:bidi="ar-SA"/>
              </w:rPr>
              <w:t>关键技术</w:t>
            </w:r>
            <w:r>
              <w:rPr>
                <w:rFonts w:hint="eastAsia" w:ascii="宋体" w:hAnsi="宋体" w:cs="宋体"/>
                <w:kern w:val="0"/>
                <w:sz w:val="24"/>
                <w:szCs w:val="24"/>
                <w:highlight w:val="none"/>
                <w:lang w:val="en-US" w:eastAsia="zh-CN" w:bidi="ar-SA"/>
              </w:rPr>
              <w:t>参数</w:t>
            </w:r>
            <w:r>
              <w:rPr>
                <w:rFonts w:hint="eastAsia" w:ascii="宋体" w:hAnsi="宋体" w:eastAsia="宋体" w:cs="宋体"/>
                <w:kern w:val="0"/>
                <w:sz w:val="24"/>
                <w:szCs w:val="24"/>
                <w:highlight w:val="none"/>
                <w:lang w:val="en-US" w:eastAsia="zh-CN" w:bidi="ar-SA"/>
              </w:rPr>
              <w:t>条款</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有</w:t>
            </w:r>
            <w:r>
              <w:rPr>
                <w:rFonts w:hint="eastAsia" w:ascii="宋体" w:hAnsi="宋体" w:cs="宋体"/>
                <w:kern w:val="0"/>
                <w:sz w:val="24"/>
                <w:szCs w:val="24"/>
                <w:highlight w:val="none"/>
                <w:lang w:val="en-US" w:eastAsia="zh-CN" w:bidi="ar-SA"/>
              </w:rPr>
              <w:t>负</w:t>
            </w:r>
            <w:r>
              <w:rPr>
                <w:rFonts w:hint="eastAsia" w:ascii="宋体" w:hAnsi="宋体" w:eastAsia="宋体" w:cs="宋体"/>
                <w:kern w:val="0"/>
                <w:sz w:val="24"/>
                <w:szCs w:val="24"/>
                <w:highlight w:val="none"/>
                <w:lang w:val="en-US" w:eastAsia="zh-CN" w:bidi="ar-SA"/>
              </w:rPr>
              <w:t>偏离的，每有 1 条</w:t>
            </w:r>
            <w:r>
              <w:rPr>
                <w:rFonts w:hint="eastAsia" w:ascii="宋体" w:hAnsi="宋体" w:cs="宋体"/>
                <w:kern w:val="0"/>
                <w:sz w:val="24"/>
                <w:szCs w:val="24"/>
                <w:highlight w:val="none"/>
                <w:lang w:val="en-US" w:eastAsia="zh-CN" w:bidi="ar-SA"/>
              </w:rPr>
              <w:t>扣</w:t>
            </w:r>
            <w:r>
              <w:rPr>
                <w:rFonts w:hint="eastAsia" w:ascii="宋体" w:hAnsi="宋体" w:eastAsia="宋体" w:cs="宋体"/>
                <w:kern w:val="0"/>
                <w:sz w:val="24"/>
                <w:szCs w:val="24"/>
                <w:highlight w:val="none"/>
                <w:lang w:val="en-US" w:eastAsia="zh-CN" w:bidi="ar-SA"/>
              </w:rPr>
              <w:t xml:space="preserve"> 2 分</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一般性技术条款发生负偏离的 ，每有 1 条扣 0.</w:t>
            </w:r>
            <w:r>
              <w:rPr>
                <w:rFonts w:hint="eastAsia" w:ascii="宋体" w:hAnsi="宋体" w:cs="宋体"/>
                <w:kern w:val="0"/>
                <w:sz w:val="24"/>
                <w:szCs w:val="24"/>
                <w:highlight w:val="none"/>
                <w:lang w:val="en-US" w:eastAsia="zh-CN" w:bidi="ar-SA"/>
              </w:rPr>
              <w:t>1</w:t>
            </w:r>
            <w:r>
              <w:rPr>
                <w:rFonts w:hint="eastAsia" w:ascii="宋体" w:hAnsi="宋体" w:eastAsia="宋体" w:cs="宋体"/>
                <w:kern w:val="0"/>
                <w:sz w:val="24"/>
                <w:szCs w:val="24"/>
                <w:highlight w:val="none"/>
                <w:lang w:val="en-US" w:eastAsia="zh-CN" w:bidi="ar-SA"/>
              </w:rPr>
              <w:t xml:space="preserve"> 分 ，扣完为止 。关键技术</w:t>
            </w:r>
            <w:r>
              <w:rPr>
                <w:rFonts w:hint="eastAsia" w:ascii="宋体" w:hAnsi="宋体" w:cs="宋体"/>
                <w:kern w:val="0"/>
                <w:sz w:val="24"/>
                <w:szCs w:val="24"/>
                <w:highlight w:val="none"/>
                <w:lang w:val="en-US" w:eastAsia="zh-CN" w:bidi="ar-SA"/>
              </w:rPr>
              <w:t>参数带</w:t>
            </w:r>
            <w:r>
              <w:rPr>
                <w:rFonts w:hint="eastAsia" w:ascii="宋体" w:hAnsi="宋体" w:eastAsia="宋体" w:cs="宋体"/>
                <w:kern w:val="0"/>
                <w:sz w:val="24"/>
                <w:szCs w:val="24"/>
                <w:highlight w:val="none"/>
                <w:lang w:val="en-US" w:eastAsia="zh-CN" w:bidi="ar-SA"/>
              </w:rPr>
              <w:t>★</w:t>
            </w:r>
            <w:r>
              <w:rPr>
                <w:rFonts w:hint="eastAsia" w:ascii="宋体" w:hAnsi="宋体" w:cs="宋体"/>
                <w:kern w:val="0"/>
                <w:sz w:val="24"/>
                <w:szCs w:val="24"/>
                <w:highlight w:val="none"/>
                <w:lang w:val="en-US" w:eastAsia="zh-CN" w:bidi="ar-SA"/>
              </w:rPr>
              <w:t>号</w:t>
            </w:r>
            <w:r>
              <w:rPr>
                <w:rFonts w:hint="eastAsia" w:ascii="宋体" w:hAnsi="宋体" w:eastAsia="宋体" w:cs="宋体"/>
                <w:kern w:val="0"/>
                <w:sz w:val="24"/>
                <w:szCs w:val="24"/>
                <w:highlight w:val="none"/>
                <w:lang w:val="en-US" w:eastAsia="zh-CN" w:bidi="ar-SA"/>
              </w:rPr>
              <w:t>条款有</w:t>
            </w:r>
            <w:r>
              <w:rPr>
                <w:rFonts w:hint="eastAsia" w:ascii="宋体" w:hAnsi="宋体" w:cs="宋体"/>
                <w:kern w:val="0"/>
                <w:sz w:val="24"/>
                <w:szCs w:val="24"/>
                <w:highlight w:val="none"/>
                <w:lang w:val="en-US" w:eastAsia="zh-CN" w:bidi="ar-SA"/>
              </w:rPr>
              <w:t>正</w:t>
            </w:r>
            <w:r>
              <w:rPr>
                <w:rFonts w:hint="eastAsia" w:ascii="宋体" w:hAnsi="宋体" w:eastAsia="宋体" w:cs="宋体"/>
                <w:kern w:val="0"/>
                <w:sz w:val="24"/>
                <w:szCs w:val="24"/>
                <w:highlight w:val="none"/>
                <w:lang w:val="en-US" w:eastAsia="zh-CN" w:bidi="ar-SA"/>
              </w:rPr>
              <w:t>偏离的，每有 1 条</w:t>
            </w:r>
            <w:r>
              <w:rPr>
                <w:rFonts w:hint="eastAsia" w:ascii="宋体" w:hAnsi="宋体" w:cs="宋体"/>
                <w:kern w:val="0"/>
                <w:sz w:val="24"/>
                <w:szCs w:val="24"/>
                <w:highlight w:val="none"/>
                <w:lang w:val="en-US" w:eastAsia="zh-CN" w:bidi="ar-SA"/>
              </w:rPr>
              <w:t>加</w:t>
            </w:r>
            <w:r>
              <w:rPr>
                <w:rFonts w:hint="eastAsia" w:ascii="宋体" w:hAnsi="宋体" w:eastAsia="宋体" w:cs="宋体"/>
                <w:kern w:val="0"/>
                <w:sz w:val="24"/>
                <w:szCs w:val="24"/>
                <w:highlight w:val="none"/>
                <w:lang w:val="en-US" w:eastAsia="zh-CN" w:bidi="ar-SA"/>
              </w:rPr>
              <w:t xml:space="preserve"> 2 分</w:t>
            </w:r>
            <w:r>
              <w:rPr>
                <w:rFonts w:hint="eastAsia" w:ascii="宋体" w:hAnsi="宋体" w:cs="宋体"/>
                <w:kern w:val="0"/>
                <w:sz w:val="24"/>
                <w:szCs w:val="24"/>
                <w:highlight w:val="none"/>
                <w:lang w:val="en-US" w:eastAsia="zh-CN" w:bidi="ar-SA"/>
              </w:rPr>
              <w:t>，最多加8分。正偏离响应条款需提供第三方佐证材料为判断依据。</w:t>
            </w:r>
          </w:p>
          <w:p>
            <w:pPr>
              <w:widowControl w:val="0"/>
              <w:spacing w:line="240" w:lineRule="auto"/>
              <w:ind w:firstLine="0" w:firstLineChars="0"/>
              <w:jc w:val="left"/>
              <w:rPr>
                <w:rFonts w:hint="eastAsia" w:ascii="宋体" w:hAnsi="宋体" w:eastAsia="宋体" w:cs="宋体"/>
                <w:kern w:val="0"/>
                <w:sz w:val="24"/>
                <w:szCs w:val="24"/>
                <w:lang w:val="en-US" w:eastAsia="zh-CN" w:bidi="ar-SA"/>
              </w:rPr>
            </w:pP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2</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业绩</w:t>
            </w:r>
          </w:p>
        </w:tc>
        <w:tc>
          <w:tcPr>
            <w:tcW w:w="6293"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投标人或生产厂家自 202</w:t>
            </w:r>
            <w:r>
              <w:rPr>
                <w:rFonts w:hint="eastAsia" w:ascii="宋体" w:hAnsi="宋体" w:cs="宋体"/>
                <w:kern w:val="0"/>
                <w:sz w:val="24"/>
                <w:szCs w:val="24"/>
                <w:highlight w:val="none"/>
                <w:lang w:val="en-US" w:eastAsia="zh-CN" w:bidi="ar-SA"/>
              </w:rPr>
              <w:t>2</w:t>
            </w:r>
            <w:r>
              <w:rPr>
                <w:rFonts w:hint="eastAsia" w:ascii="宋体" w:hAnsi="宋体" w:eastAsia="宋体" w:cs="宋体"/>
                <w:kern w:val="0"/>
                <w:sz w:val="24"/>
                <w:szCs w:val="24"/>
                <w:highlight w:val="none"/>
                <w:lang w:val="en-US" w:eastAsia="zh-CN" w:bidi="ar-SA"/>
              </w:rPr>
              <w:t xml:space="preserve"> 年1月1日以来类似项目的业绩分，以合同或中标（成交）通知书复印件为准。每一个业绩得1分，本项最高得3分。</w:t>
            </w:r>
          </w:p>
          <w:p>
            <w:pPr>
              <w:widowControl w:val="0"/>
              <w:spacing w:line="240" w:lineRule="auto"/>
              <w:ind w:firstLine="0" w:firstLine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注：</w:t>
            </w:r>
            <w:r>
              <w:rPr>
                <w:rFonts w:hint="eastAsia" w:ascii="宋体" w:hAnsi="宋体" w:eastAsia="宋体" w:cs="宋体"/>
                <w:b/>
                <w:bCs/>
                <w:kern w:val="0"/>
                <w:sz w:val="24"/>
                <w:szCs w:val="24"/>
                <w:highlight w:val="none"/>
                <w:lang w:val="zh-CN" w:eastAsia="zh-CN" w:bidi="ar-SA"/>
              </w:rPr>
              <w:t>提供有效</w:t>
            </w:r>
            <w:r>
              <w:rPr>
                <w:rFonts w:hint="eastAsia" w:ascii="宋体" w:hAnsi="宋体" w:eastAsia="宋体" w:cs="宋体"/>
                <w:b/>
                <w:bCs/>
                <w:kern w:val="0"/>
                <w:sz w:val="24"/>
                <w:szCs w:val="24"/>
                <w:highlight w:val="none"/>
                <w:lang w:val="en-US" w:eastAsia="zh-CN" w:bidi="ar-SA"/>
              </w:rPr>
              <w:t>合同</w:t>
            </w:r>
            <w:r>
              <w:rPr>
                <w:rFonts w:hint="eastAsia" w:ascii="宋体" w:hAnsi="宋体" w:cs="宋体"/>
                <w:b/>
                <w:bCs/>
                <w:kern w:val="0"/>
                <w:sz w:val="24"/>
                <w:szCs w:val="24"/>
                <w:highlight w:val="none"/>
                <w:lang w:val="en-US" w:eastAsia="zh-CN" w:bidi="ar-SA"/>
              </w:rPr>
              <w:t>及中标通知书</w:t>
            </w:r>
            <w:r>
              <w:rPr>
                <w:rFonts w:hint="eastAsia" w:ascii="宋体" w:hAnsi="宋体" w:eastAsia="宋体" w:cs="宋体"/>
                <w:b/>
                <w:bCs/>
                <w:kern w:val="0"/>
                <w:sz w:val="24"/>
                <w:szCs w:val="24"/>
                <w:highlight w:val="none"/>
                <w:lang w:val="en-US" w:eastAsia="zh-CN" w:bidi="ar-SA"/>
              </w:rPr>
              <w:t>复印件，未按要求提供的不得分</w:t>
            </w:r>
            <w:r>
              <w:rPr>
                <w:rFonts w:hint="eastAsia" w:ascii="宋体" w:hAnsi="宋体" w:eastAsia="宋体" w:cs="宋体"/>
                <w:b/>
                <w:bCs/>
                <w:kern w:val="0"/>
                <w:sz w:val="24"/>
                <w:szCs w:val="24"/>
                <w:highlight w:val="none"/>
                <w:lang w:val="zh-CN" w:eastAsia="zh-CN" w:bidi="ar-SA"/>
              </w:rPr>
              <w:t>。</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技术</w:t>
            </w:r>
            <w:r>
              <w:rPr>
                <w:rFonts w:hint="eastAsia" w:ascii="宋体" w:hAnsi="宋体" w:cs="宋体"/>
                <w:kern w:val="0"/>
                <w:sz w:val="24"/>
                <w:szCs w:val="24"/>
                <w:lang w:val="en-US" w:eastAsia="zh-CN" w:bidi="ar-SA"/>
              </w:rPr>
              <w:t>服务方案</w:t>
            </w:r>
          </w:p>
        </w:tc>
        <w:tc>
          <w:tcPr>
            <w:tcW w:w="6293"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left"/>
              <w:rPr>
                <w:rFonts w:hint="default"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投标人对自身参加本项目的优势与有利条件分析，对功能布局的设计思路和对设备需求的理解程度进行综合评分。</w:t>
            </w:r>
            <w:r>
              <w:rPr>
                <w:rFonts w:hint="eastAsia" w:ascii="宋体" w:hAnsi="宋体" w:cs="宋体"/>
                <w:kern w:val="0"/>
                <w:sz w:val="24"/>
                <w:szCs w:val="24"/>
                <w:lang w:val="en-US" w:eastAsia="zh-CN" w:bidi="ar-SA"/>
              </w:rPr>
              <w:t>（6，5，4，3，2，1，0</w:t>
            </w:r>
            <w:r>
              <w:rPr>
                <w:rFonts w:hint="eastAsia" w:ascii="宋体" w:hAnsi="宋体" w:eastAsia="宋体" w:cs="宋体"/>
                <w:kern w:val="0"/>
                <w:sz w:val="24"/>
                <w:szCs w:val="24"/>
                <w:lang w:val="en-US" w:eastAsia="zh-CN" w:bidi="ar-SA"/>
              </w:rPr>
              <w:t>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4</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质保期承诺</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zh-CN" w:eastAsia="zh-CN" w:bidi="ar-SA"/>
              </w:rPr>
              <w:t>质保期满足招标文件基础要求（</w:t>
            </w:r>
            <w:r>
              <w:rPr>
                <w:rFonts w:hint="eastAsia" w:ascii="宋体" w:hAnsi="宋体" w:cs="宋体"/>
                <w:kern w:val="0"/>
                <w:sz w:val="24"/>
                <w:szCs w:val="24"/>
                <w:highlight w:val="none"/>
                <w:lang w:val="en-US" w:eastAsia="zh-CN" w:bidi="ar-SA"/>
              </w:rPr>
              <w:t>1</w:t>
            </w:r>
            <w:r>
              <w:rPr>
                <w:rFonts w:hint="eastAsia" w:ascii="宋体" w:hAnsi="宋体" w:eastAsia="宋体" w:cs="宋体"/>
                <w:kern w:val="0"/>
                <w:sz w:val="24"/>
                <w:szCs w:val="24"/>
                <w:highlight w:val="none"/>
                <w:lang w:val="en-US" w:eastAsia="zh-CN" w:bidi="ar-SA"/>
              </w:rPr>
              <w:t>年</w:t>
            </w:r>
            <w:r>
              <w:rPr>
                <w:rFonts w:hint="eastAsia" w:ascii="宋体" w:hAnsi="宋体" w:eastAsia="宋体" w:cs="宋体"/>
                <w:kern w:val="0"/>
                <w:sz w:val="24"/>
                <w:szCs w:val="24"/>
                <w:highlight w:val="none"/>
                <w:lang w:val="zh-CN" w:eastAsia="zh-CN" w:bidi="ar-SA"/>
              </w:rPr>
              <w:t>）的基础上每增加1年增加</w:t>
            </w:r>
            <w:r>
              <w:rPr>
                <w:rFonts w:hint="eastAsia" w:ascii="宋体" w:hAnsi="宋体" w:eastAsia="宋体" w:cs="宋体"/>
                <w:kern w:val="0"/>
                <w:sz w:val="24"/>
                <w:szCs w:val="24"/>
                <w:highlight w:val="none"/>
                <w:lang w:val="en-US" w:eastAsia="zh-CN" w:bidi="ar-SA"/>
              </w:rPr>
              <w:t>1</w:t>
            </w:r>
            <w:r>
              <w:rPr>
                <w:rFonts w:hint="eastAsia" w:ascii="宋体" w:hAnsi="宋体" w:eastAsia="宋体" w:cs="宋体"/>
                <w:kern w:val="0"/>
                <w:sz w:val="24"/>
                <w:szCs w:val="24"/>
                <w:highlight w:val="none"/>
                <w:lang w:val="zh-CN" w:eastAsia="zh-CN" w:bidi="ar-SA"/>
              </w:rPr>
              <w:t>分，最多得</w:t>
            </w:r>
            <w:r>
              <w:rPr>
                <w:rFonts w:hint="eastAsia" w:ascii="宋体" w:hAnsi="宋体" w:eastAsia="宋体" w:cs="宋体"/>
                <w:kern w:val="0"/>
                <w:sz w:val="24"/>
                <w:szCs w:val="24"/>
                <w:highlight w:val="none"/>
                <w:lang w:val="en-US" w:eastAsia="zh-CN" w:bidi="ar-SA"/>
              </w:rPr>
              <w:t>2</w:t>
            </w:r>
            <w:r>
              <w:rPr>
                <w:rFonts w:hint="eastAsia" w:ascii="宋体" w:hAnsi="宋体" w:eastAsia="宋体" w:cs="宋体"/>
                <w:kern w:val="0"/>
                <w:sz w:val="24"/>
                <w:szCs w:val="24"/>
                <w:highlight w:val="none"/>
                <w:lang w:val="zh-CN" w:eastAsia="zh-CN" w:bidi="ar-SA"/>
              </w:rPr>
              <w:t>分。</w:t>
            </w:r>
          </w:p>
          <w:p>
            <w:pPr>
              <w:widowControl w:val="0"/>
              <w:spacing w:line="240" w:lineRule="auto"/>
              <w:ind w:firstLine="0" w:firstLine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注：提供承诺函，未按提供的不得分</w:t>
            </w:r>
            <w:r>
              <w:rPr>
                <w:rFonts w:hint="eastAsia" w:ascii="宋体" w:hAnsi="宋体" w:eastAsia="宋体" w:cs="宋体"/>
                <w:b/>
                <w:bCs/>
                <w:kern w:val="0"/>
                <w:sz w:val="24"/>
                <w:szCs w:val="24"/>
                <w:highlight w:val="none"/>
                <w:lang w:val="zh-CN" w:eastAsia="zh-CN" w:bidi="ar-SA"/>
              </w:rPr>
              <w:t>。</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highlight w:val="green"/>
                <w:lang w:val="en-US" w:eastAsia="zh-CN" w:bidi="ar-SA"/>
              </w:rPr>
            </w:pPr>
            <w:r>
              <w:rPr>
                <w:rFonts w:hint="eastAsia" w:ascii="宋体" w:hAnsi="宋体" w:eastAsia="宋体" w:cs="宋体"/>
                <w:kern w:val="0"/>
                <w:sz w:val="24"/>
                <w:szCs w:val="24"/>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5</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备品备件</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投标产品安装辅助材料 、配件 、附件 、专用工具的完整性 、合理性和可操作性，随货特殊工具和备品备件的完整性 、合理性等 。（</w:t>
            </w:r>
            <w:r>
              <w:rPr>
                <w:rFonts w:hint="eastAsia" w:ascii="宋体" w:hAnsi="宋体" w:cs="宋体"/>
                <w:kern w:val="0"/>
                <w:sz w:val="24"/>
                <w:szCs w:val="24"/>
                <w:lang w:val="en-US" w:eastAsia="zh-CN" w:bidi="ar-SA"/>
              </w:rPr>
              <w:t>3，2，1，0分</w:t>
            </w:r>
            <w:r>
              <w:rPr>
                <w:rFonts w:hint="eastAsia" w:ascii="宋体" w:hAnsi="宋体" w:eastAsia="宋体" w:cs="宋体"/>
                <w:kern w:val="0"/>
                <w:sz w:val="24"/>
                <w:szCs w:val="24"/>
                <w:lang w:val="en-US" w:eastAsia="zh-CN" w:bidi="ar-SA"/>
              </w:rPr>
              <w:t>）</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6</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安装调试与配合验收方案</w:t>
            </w:r>
          </w:p>
        </w:tc>
        <w:tc>
          <w:tcPr>
            <w:tcW w:w="6293" w:type="dxa"/>
            <w:tcBorders>
              <w:top w:val="single" w:color="auto" w:sz="4" w:space="0"/>
              <w:left w:val="single" w:color="auto" w:sz="4" w:space="0"/>
              <w:bottom w:val="single" w:color="auto" w:sz="4" w:space="0"/>
              <w:right w:val="single" w:color="auto" w:sz="4" w:space="0"/>
            </w:tcBorders>
            <w:noWrap w:val="0"/>
            <w:vAlign w:val="top"/>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根据投标人的安装调试与配合验收方案进行综合打分：</w:t>
            </w:r>
          </w:p>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①明确安装标准和安装人员（</w:t>
            </w:r>
            <w:r>
              <w:rPr>
                <w:rFonts w:hint="eastAsia" w:ascii="宋体" w:hAnsi="宋体" w:cs="宋体"/>
                <w:kern w:val="0"/>
                <w:sz w:val="24"/>
                <w:szCs w:val="24"/>
                <w:lang w:val="en-US" w:eastAsia="zh-CN" w:bidi="ar-SA"/>
              </w:rPr>
              <w:t>3，2，1，0分</w:t>
            </w:r>
            <w:r>
              <w:rPr>
                <w:rFonts w:hint="eastAsia" w:ascii="宋体" w:hAnsi="宋体" w:eastAsia="宋体" w:cs="宋体"/>
                <w:kern w:val="0"/>
                <w:sz w:val="24"/>
                <w:szCs w:val="24"/>
                <w:lang w:val="en-US" w:eastAsia="zh-CN" w:bidi="ar-SA"/>
              </w:rPr>
              <w:t>）；</w:t>
            </w:r>
          </w:p>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②提供进度计划，按时完成安装调试（</w:t>
            </w:r>
            <w:r>
              <w:rPr>
                <w:rFonts w:hint="eastAsia" w:ascii="宋体" w:hAnsi="宋体" w:cs="宋体"/>
                <w:kern w:val="0"/>
                <w:sz w:val="24"/>
                <w:szCs w:val="24"/>
                <w:lang w:val="en-US" w:eastAsia="zh-CN" w:bidi="ar-SA"/>
              </w:rPr>
              <w:t>3，2，1，0</w:t>
            </w:r>
            <w:r>
              <w:rPr>
                <w:rFonts w:hint="eastAsia" w:ascii="宋体" w:hAnsi="宋体" w:eastAsia="宋体" w:cs="宋体"/>
                <w:kern w:val="0"/>
                <w:sz w:val="24"/>
                <w:szCs w:val="24"/>
                <w:lang w:val="en-US" w:eastAsia="zh-CN" w:bidi="ar-SA"/>
              </w:rPr>
              <w:t>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7</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操作培训方案</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根据投标人的</w:t>
            </w:r>
            <w:r>
              <w:rPr>
                <w:rFonts w:hint="eastAsia" w:ascii="宋体" w:hAnsi="宋体" w:cs="宋体"/>
                <w:kern w:val="0"/>
                <w:sz w:val="24"/>
                <w:szCs w:val="24"/>
                <w:lang w:val="en-US" w:eastAsia="zh-CN" w:bidi="ar-SA"/>
              </w:rPr>
              <w:t>应用培训、</w:t>
            </w:r>
            <w:r>
              <w:rPr>
                <w:rFonts w:hint="eastAsia" w:ascii="宋体" w:hAnsi="宋体" w:eastAsia="宋体" w:cs="宋体"/>
                <w:kern w:val="0"/>
                <w:sz w:val="24"/>
                <w:szCs w:val="24"/>
                <w:lang w:val="en-US" w:eastAsia="zh-CN" w:bidi="ar-SA"/>
              </w:rPr>
              <w:t>操作培训方案进行综合打分：</w:t>
            </w:r>
          </w:p>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①年度保养计划，保证开机率≥95%及其应急措施（</w:t>
            </w:r>
            <w:r>
              <w:rPr>
                <w:rFonts w:hint="eastAsia" w:ascii="宋体" w:hAnsi="宋体" w:cs="宋体"/>
                <w:kern w:val="0"/>
                <w:sz w:val="24"/>
                <w:szCs w:val="24"/>
                <w:lang w:val="en-US" w:eastAsia="zh-CN" w:bidi="ar-SA"/>
              </w:rPr>
              <w:t>2，1，0</w:t>
            </w:r>
            <w:r>
              <w:rPr>
                <w:rFonts w:hint="eastAsia" w:ascii="宋体" w:hAnsi="宋体" w:eastAsia="宋体" w:cs="宋体"/>
                <w:kern w:val="0"/>
                <w:sz w:val="24"/>
                <w:szCs w:val="24"/>
                <w:lang w:val="en-US" w:eastAsia="zh-CN" w:bidi="ar-SA"/>
              </w:rPr>
              <w:t>分）；</w:t>
            </w:r>
          </w:p>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②明确培训计划，提供操作手册等，承诺不额外收费（</w:t>
            </w:r>
            <w:r>
              <w:rPr>
                <w:rFonts w:hint="eastAsia" w:ascii="宋体" w:hAnsi="宋体" w:cs="宋体"/>
                <w:kern w:val="0"/>
                <w:sz w:val="24"/>
                <w:szCs w:val="24"/>
                <w:lang w:val="en-US" w:eastAsia="zh-CN" w:bidi="ar-SA"/>
              </w:rPr>
              <w:t>2，1，0</w:t>
            </w:r>
            <w:r>
              <w:rPr>
                <w:rFonts w:hint="eastAsia" w:ascii="宋体" w:hAnsi="宋体" w:eastAsia="宋体" w:cs="宋体"/>
                <w:kern w:val="0"/>
                <w:sz w:val="24"/>
                <w:szCs w:val="24"/>
                <w:lang w:val="en-US" w:eastAsia="zh-CN" w:bidi="ar-SA"/>
              </w:rPr>
              <w:t>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8</w:t>
            </w:r>
          </w:p>
        </w:tc>
        <w:tc>
          <w:tcPr>
            <w:tcW w:w="113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实施方案</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提供保证项目实施的各项措施得分，包括供货组织措施（</w:t>
            </w:r>
            <w:r>
              <w:rPr>
                <w:rFonts w:hint="eastAsia" w:ascii="宋体" w:hAnsi="宋体" w:cs="宋体"/>
                <w:kern w:val="0"/>
                <w:sz w:val="24"/>
                <w:szCs w:val="24"/>
                <w:lang w:val="en-US" w:eastAsia="zh-CN" w:bidi="ar-SA"/>
              </w:rPr>
              <w:t>2，1，0分</w:t>
            </w:r>
            <w:r>
              <w:rPr>
                <w:rFonts w:hint="eastAsia" w:ascii="宋体" w:hAnsi="宋体" w:eastAsia="宋体" w:cs="宋体"/>
                <w:kern w:val="0"/>
                <w:sz w:val="24"/>
                <w:szCs w:val="24"/>
                <w:lang w:val="en-US" w:eastAsia="zh-CN" w:bidi="ar-SA"/>
              </w:rPr>
              <w:t>）、质量保证措施（</w:t>
            </w:r>
            <w:r>
              <w:rPr>
                <w:rFonts w:hint="eastAsia" w:ascii="宋体" w:hAnsi="宋体" w:cs="宋体"/>
                <w:kern w:val="0"/>
                <w:sz w:val="24"/>
                <w:szCs w:val="24"/>
                <w:lang w:val="en-US" w:eastAsia="zh-CN" w:bidi="ar-SA"/>
              </w:rPr>
              <w:t>2，1，0分</w:t>
            </w:r>
            <w:r>
              <w:rPr>
                <w:rFonts w:hint="eastAsia" w:ascii="宋体" w:hAnsi="宋体" w:eastAsia="宋体" w:cs="宋体"/>
                <w:kern w:val="0"/>
                <w:sz w:val="24"/>
                <w:szCs w:val="24"/>
                <w:lang w:val="en-US" w:eastAsia="zh-CN" w:bidi="ar-SA"/>
              </w:rPr>
              <w:t>）、安全管理措施（</w:t>
            </w:r>
            <w:r>
              <w:rPr>
                <w:rFonts w:hint="eastAsia" w:ascii="宋体" w:hAnsi="宋体" w:cs="宋体"/>
                <w:kern w:val="0"/>
                <w:sz w:val="24"/>
                <w:szCs w:val="24"/>
                <w:lang w:val="en-US" w:eastAsia="zh-CN" w:bidi="ar-SA"/>
              </w:rPr>
              <w:t>2，1，0分</w:t>
            </w:r>
            <w:r>
              <w:rPr>
                <w:rFonts w:hint="eastAsia" w:ascii="宋体" w:hAnsi="宋体" w:eastAsia="宋体" w:cs="宋体"/>
                <w:kern w:val="0"/>
                <w:sz w:val="24"/>
                <w:szCs w:val="24"/>
                <w:lang w:val="en-US" w:eastAsia="zh-CN" w:bidi="ar-SA"/>
              </w:rPr>
              <w:t>）等进行综合评分。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9" w:hRule="atLeast"/>
          <w:jc w:val="center"/>
        </w:trPr>
        <w:tc>
          <w:tcPr>
            <w:tcW w:w="495" w:type="dxa"/>
            <w:tcBorders>
              <w:top w:val="single" w:color="auto" w:sz="4" w:space="0"/>
              <w:left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9</w:t>
            </w:r>
          </w:p>
          <w:p>
            <w:pPr>
              <w:widowControl w:val="0"/>
              <w:spacing w:line="240" w:lineRule="auto"/>
              <w:ind w:firstLine="0" w:firstLineChars="0"/>
              <w:jc w:val="center"/>
              <w:rPr>
                <w:rFonts w:hint="eastAsia" w:ascii="宋体" w:hAnsi="宋体" w:eastAsia="宋体" w:cs="宋体"/>
                <w:kern w:val="0"/>
                <w:sz w:val="24"/>
                <w:szCs w:val="24"/>
                <w:lang w:val="en-US" w:eastAsia="zh-CN" w:bidi="ar-SA"/>
              </w:rPr>
            </w:pPr>
          </w:p>
        </w:tc>
        <w:tc>
          <w:tcPr>
            <w:tcW w:w="1133" w:type="dxa"/>
            <w:tcBorders>
              <w:top w:val="single" w:color="auto" w:sz="4" w:space="0"/>
              <w:left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售后服务方案</w:t>
            </w:r>
          </w:p>
        </w:tc>
        <w:tc>
          <w:tcPr>
            <w:tcW w:w="6293" w:type="dxa"/>
            <w:tcBorders>
              <w:top w:val="single" w:color="auto" w:sz="4" w:space="0"/>
              <w:left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依据投标人对本设备故障响应时间、仪器维护、巡检计划、解决问题所采取的措施等情况进行综合评分。</w:t>
            </w:r>
            <w:r>
              <w:rPr>
                <w:rFonts w:hint="eastAsia" w:ascii="宋体" w:hAnsi="宋体" w:cs="宋体"/>
                <w:kern w:val="0"/>
                <w:sz w:val="24"/>
                <w:szCs w:val="24"/>
                <w:lang w:val="en-US" w:eastAsia="zh-CN" w:bidi="ar-SA"/>
              </w:rPr>
              <w:t>（4，3，2，1，0</w:t>
            </w:r>
            <w:r>
              <w:rPr>
                <w:rFonts w:hint="eastAsia" w:ascii="宋体" w:hAnsi="宋体" w:eastAsia="宋体" w:cs="宋体"/>
                <w:kern w:val="0"/>
                <w:sz w:val="24"/>
                <w:szCs w:val="24"/>
                <w:lang w:val="en-US" w:eastAsia="zh-CN" w:bidi="ar-SA"/>
              </w:rPr>
              <w:t>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w:t>
            </w:r>
            <w:r>
              <w:rPr>
                <w:rFonts w:hint="eastAsia" w:ascii="宋体" w:hAnsi="宋体" w:cs="宋体"/>
                <w:kern w:val="0"/>
                <w:sz w:val="24"/>
                <w:szCs w:val="24"/>
                <w:lang w:val="en-US" w:eastAsia="zh-CN" w:bidi="ar-SA"/>
              </w:rPr>
              <w:t>0</w:t>
            </w:r>
          </w:p>
        </w:tc>
        <w:tc>
          <w:tcPr>
            <w:tcW w:w="1133" w:type="dxa"/>
            <w:tcBorders>
              <w:left w:val="single" w:color="auto" w:sz="4" w:space="0"/>
              <w:right w:val="single" w:color="auto" w:sz="4" w:space="0"/>
            </w:tcBorders>
            <w:noWrap w:val="0"/>
            <w:vAlign w:val="center"/>
          </w:tcPr>
          <w:p>
            <w:pPr>
              <w:widowControl w:val="0"/>
              <w:spacing w:line="240" w:lineRule="auto"/>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技术先进性</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投标产品设备配套功能范围、技术性能优化、投标设备的总体质量性能等进行综合评审。</w:t>
            </w:r>
            <w:r>
              <w:rPr>
                <w:rFonts w:hint="eastAsia" w:ascii="宋体" w:hAnsi="宋体" w:cs="宋体"/>
                <w:kern w:val="0"/>
                <w:sz w:val="24"/>
                <w:szCs w:val="24"/>
                <w:lang w:val="en-US" w:eastAsia="zh-CN" w:bidi="ar-SA"/>
              </w:rPr>
              <w:t>（6，5，4，3，2，1，0</w:t>
            </w:r>
            <w:r>
              <w:rPr>
                <w:rFonts w:hint="eastAsia" w:ascii="宋体" w:hAnsi="宋体" w:eastAsia="宋体" w:cs="宋体"/>
                <w:kern w:val="0"/>
                <w:sz w:val="24"/>
                <w:szCs w:val="24"/>
                <w:lang w:val="en-US" w:eastAsia="zh-CN" w:bidi="ar-SA"/>
              </w:rPr>
              <w:t>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11</w:t>
            </w:r>
          </w:p>
        </w:tc>
        <w:tc>
          <w:tcPr>
            <w:tcW w:w="1133" w:type="dxa"/>
            <w:tcBorders>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kern w:val="0"/>
                <w:sz w:val="24"/>
                <w:szCs w:val="24"/>
                <w:lang w:val="en-US" w:eastAsia="zh-CN" w:bidi="ar-SA"/>
              </w:rPr>
            </w:pPr>
            <w:r>
              <w:rPr>
                <w:rFonts w:hint="eastAsia" w:ascii="宋体" w:hAnsi="宋体" w:cs="宋体"/>
                <w:i w:val="0"/>
                <w:iCs w:val="0"/>
                <w:color w:val="000000"/>
                <w:kern w:val="0"/>
                <w:sz w:val="24"/>
                <w:szCs w:val="24"/>
                <w:u w:val="none"/>
                <w:lang w:val="en-US" w:eastAsia="zh-CN" w:bidi="ar"/>
              </w:rPr>
              <w:t>合理化建议</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lang w:val="en-US" w:eastAsia="zh-CN"/>
              </w:rPr>
            </w:pPr>
            <w:r>
              <w:rPr>
                <w:rFonts w:hint="eastAsia" w:ascii="宋体" w:hAnsi="宋体" w:eastAsia="宋体" w:cs="宋体"/>
                <w:i w:val="0"/>
                <w:iCs w:val="0"/>
                <w:color w:val="000000"/>
                <w:kern w:val="0"/>
                <w:sz w:val="24"/>
                <w:szCs w:val="24"/>
                <w:u w:val="none"/>
                <w:lang w:val="en-US" w:eastAsia="zh-CN" w:bidi="ar"/>
              </w:rPr>
              <w:t>根据投标人针对本项目现有场地和设备设施的熟悉程度，难点和要点的剖析，以及克服难点和要点的技术措施等方面提出合理化建议，评委根据所提建议</w:t>
            </w:r>
            <w:r>
              <w:rPr>
                <w:rFonts w:hint="eastAsia" w:ascii="宋体" w:hAnsi="宋体" w:cs="宋体"/>
                <w:i w:val="0"/>
                <w:iCs w:val="0"/>
                <w:color w:val="000000"/>
                <w:kern w:val="0"/>
                <w:sz w:val="24"/>
                <w:szCs w:val="24"/>
                <w:u w:val="none"/>
                <w:lang w:val="en-US" w:eastAsia="zh-CN" w:bidi="ar"/>
              </w:rPr>
              <w:t>的</w:t>
            </w:r>
            <w:r>
              <w:rPr>
                <w:rFonts w:hint="eastAsia" w:ascii="宋体" w:hAnsi="宋体" w:eastAsia="宋体" w:cs="宋体"/>
                <w:i w:val="0"/>
                <w:iCs w:val="0"/>
                <w:color w:val="000000"/>
                <w:kern w:val="0"/>
                <w:sz w:val="24"/>
                <w:szCs w:val="24"/>
                <w:u w:val="none"/>
                <w:lang w:val="en-US" w:eastAsia="zh-CN" w:bidi="ar"/>
              </w:rPr>
              <w:t>扩展性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前瞻</w:t>
            </w:r>
            <w:r>
              <w:rPr>
                <w:rFonts w:hint="eastAsia" w:ascii="宋体" w:hAnsi="宋体" w:cs="宋体"/>
                <w:i w:val="0"/>
                <w:iCs w:val="0"/>
                <w:color w:val="000000"/>
                <w:kern w:val="0"/>
                <w:sz w:val="24"/>
                <w:szCs w:val="24"/>
                <w:u w:val="none"/>
                <w:lang w:val="en-US" w:eastAsia="zh-CN" w:bidi="ar"/>
              </w:rPr>
              <w:t>性、</w:t>
            </w:r>
            <w:r>
              <w:rPr>
                <w:rFonts w:hint="eastAsia" w:ascii="宋体" w:hAnsi="宋体" w:eastAsia="宋体" w:cs="宋体"/>
                <w:i w:val="0"/>
                <w:iCs w:val="0"/>
                <w:color w:val="000000"/>
                <w:kern w:val="0"/>
                <w:sz w:val="24"/>
                <w:szCs w:val="24"/>
                <w:u w:val="none"/>
                <w:lang w:val="en-US" w:eastAsia="zh-CN" w:bidi="ar"/>
              </w:rPr>
              <w:t>合理性</w:t>
            </w:r>
            <w:r>
              <w:rPr>
                <w:rFonts w:hint="eastAsia" w:ascii="宋体" w:hAnsi="宋体" w:cs="宋体"/>
                <w:i w:val="0"/>
                <w:iCs w:val="0"/>
                <w:color w:val="000000"/>
                <w:kern w:val="0"/>
                <w:sz w:val="24"/>
                <w:szCs w:val="24"/>
                <w:u w:val="none"/>
                <w:lang w:val="en-US" w:eastAsia="zh-CN" w:bidi="ar"/>
              </w:rPr>
              <w:t>等情况进行打分.</w:t>
            </w:r>
            <w:r>
              <w:rPr>
                <w:rFonts w:hint="eastAsia" w:ascii="宋体" w:hAnsi="宋体" w:eastAsia="宋体" w:cs="宋体"/>
                <w:kern w:val="0"/>
                <w:sz w:val="24"/>
                <w:szCs w:val="24"/>
                <w:lang w:val="en-US" w:eastAsia="zh-CN" w:bidi="ar-SA"/>
              </w:rPr>
              <w:t>（6，5，4，</w:t>
            </w:r>
            <w:r>
              <w:rPr>
                <w:rFonts w:hint="eastAsia" w:ascii="宋体" w:hAnsi="宋体" w:cs="宋体"/>
                <w:kern w:val="0"/>
                <w:sz w:val="24"/>
                <w:szCs w:val="24"/>
                <w:lang w:val="en-US" w:eastAsia="zh-CN" w:bidi="ar-SA"/>
              </w:rPr>
              <w:t>3，2，1，0分</w:t>
            </w:r>
            <w:r>
              <w:rPr>
                <w:rFonts w:hint="eastAsia" w:ascii="宋体" w:hAnsi="宋体" w:eastAsia="宋体" w:cs="宋体"/>
                <w:kern w:val="0"/>
                <w:sz w:val="24"/>
                <w:szCs w:val="24"/>
                <w:lang w:val="en-US" w:eastAsia="zh-CN" w:bidi="ar-SA"/>
              </w:rPr>
              <w:t>）</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cs="宋体"/>
                <w:kern w:val="0"/>
                <w:sz w:val="24"/>
                <w:szCs w:val="24"/>
                <w:lang w:val="en-US" w:eastAsia="zh-CN" w:bidi="ar-SA"/>
              </w:rPr>
            </w:pPr>
            <w:r>
              <w:rPr>
                <w:rFonts w:hint="eastAsia" w:ascii="宋体" w:hAnsi="宋体" w:cs="宋体"/>
                <w:kern w:val="0"/>
                <w:sz w:val="24"/>
                <w:szCs w:val="24"/>
                <w:lang w:val="en-US" w:eastAsia="zh-CN" w:bidi="ar-S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w:t>
            </w:r>
            <w:r>
              <w:rPr>
                <w:rFonts w:hint="eastAsia" w:ascii="宋体" w:hAnsi="宋体" w:cs="宋体"/>
                <w:kern w:val="0"/>
                <w:sz w:val="24"/>
                <w:szCs w:val="24"/>
                <w:lang w:val="en-US" w:eastAsia="zh-CN" w:bidi="ar-SA"/>
              </w:rPr>
              <w:t>2</w:t>
            </w:r>
          </w:p>
        </w:tc>
        <w:tc>
          <w:tcPr>
            <w:tcW w:w="1133" w:type="dxa"/>
            <w:tcBorders>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响应报价</w:t>
            </w:r>
          </w:p>
        </w:tc>
        <w:tc>
          <w:tcPr>
            <w:tcW w:w="629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本项目最高限价：人民币</w:t>
            </w:r>
            <w:r>
              <w:rPr>
                <w:rFonts w:hint="eastAsia" w:ascii="宋体" w:hAnsi="宋体" w:cs="宋体"/>
                <w:i w:val="0"/>
                <w:iCs w:val="0"/>
                <w:color w:val="000000"/>
                <w:kern w:val="0"/>
                <w:sz w:val="24"/>
                <w:szCs w:val="24"/>
                <w:u w:val="none"/>
                <w:lang w:val="en-US" w:eastAsia="zh-CN" w:bidi="ar"/>
              </w:rPr>
              <w:t>280</w:t>
            </w:r>
            <w:r>
              <w:rPr>
                <w:rFonts w:hint="eastAsia" w:ascii="宋体" w:hAnsi="宋体" w:eastAsia="宋体" w:cs="宋体"/>
                <w:i w:val="0"/>
                <w:iCs w:val="0"/>
                <w:color w:val="000000"/>
                <w:kern w:val="0"/>
                <w:sz w:val="24"/>
                <w:szCs w:val="24"/>
                <w:u w:val="none"/>
                <w:lang w:val="en-US" w:eastAsia="zh-CN" w:bidi="ar"/>
              </w:rPr>
              <w:t>万，基准价为满足评标要求且响应价格最低的响应报价，响应报价得分=(基准价／响应报价)×30，四舍五入，保留两位小数。报价高于最高限价的，作响应无效处理。</w:t>
            </w:r>
          </w:p>
        </w:tc>
        <w:tc>
          <w:tcPr>
            <w:tcW w:w="655" w:type="dxa"/>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30</w:t>
            </w:r>
          </w:p>
        </w:tc>
      </w:tr>
    </w:tbl>
    <w:p>
      <w:pPr>
        <w:pageBreakBefore w:val="0"/>
        <w:kinsoku/>
        <w:overflowPunct/>
        <w:topLinePunct w:val="0"/>
        <w:bidi w:val="0"/>
        <w:adjustRightInd w:val="0"/>
        <w:snapToGrid w:val="0"/>
        <w:spacing w:line="360" w:lineRule="auto"/>
        <w:rPr>
          <w:rFonts w:hint="eastAsia" w:ascii="宋体" w:hAnsi="宋体" w:eastAsia="宋体"/>
          <w:b/>
          <w:bCs/>
          <w:color w:val="auto"/>
          <w:sz w:val="24"/>
          <w:highlight w:val="none"/>
          <w:lang w:val="en-US" w:eastAsia="zh-CN"/>
        </w:rPr>
      </w:pP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color w:val="auto"/>
          <w:sz w:val="24"/>
          <w:highlight w:val="none"/>
          <w:lang w:val="en-US" w:eastAsia="zh-CN"/>
        </w:rPr>
      </w:pPr>
      <w:r>
        <w:rPr>
          <w:rFonts w:hint="eastAsia" w:ascii="宋体" w:hAnsi="宋体" w:eastAsia="宋体"/>
          <w:b/>
          <w:bCs/>
          <w:color w:val="auto"/>
          <w:sz w:val="24"/>
          <w:highlight w:val="none"/>
          <w:lang w:val="en-US" w:eastAsia="zh-CN"/>
        </w:rPr>
        <w:t>注：</w:t>
      </w:r>
      <w:r>
        <w:rPr>
          <w:rFonts w:hint="eastAsia" w:ascii="宋体" w:hAnsi="宋体" w:eastAsia="宋体"/>
          <w:color w:val="auto"/>
          <w:sz w:val="24"/>
          <w:highlight w:val="none"/>
          <w:lang w:val="en-US" w:eastAsia="zh-CN"/>
        </w:rPr>
        <w:t>评分细则中，若供应商在中标后未</w:t>
      </w:r>
      <w:r>
        <w:rPr>
          <w:rFonts w:hint="eastAsia" w:ascii="宋体" w:hAnsi="宋体"/>
          <w:color w:val="auto"/>
          <w:sz w:val="24"/>
          <w:highlight w:val="none"/>
          <w:lang w:val="en-US" w:eastAsia="zh-CN"/>
        </w:rPr>
        <w:t>按</w:t>
      </w:r>
      <w:r>
        <w:rPr>
          <w:rFonts w:hint="eastAsia" w:ascii="宋体" w:hAnsi="宋体" w:eastAsia="宋体"/>
          <w:color w:val="auto"/>
          <w:sz w:val="24"/>
          <w:highlight w:val="none"/>
          <w:lang w:val="en-US" w:eastAsia="zh-CN"/>
        </w:rPr>
        <w:t>规定</w:t>
      </w:r>
      <w:r>
        <w:rPr>
          <w:rFonts w:hint="eastAsia" w:ascii="宋体" w:hAnsi="宋体"/>
          <w:color w:val="auto"/>
          <w:sz w:val="24"/>
          <w:highlight w:val="none"/>
          <w:lang w:val="en-US" w:eastAsia="zh-CN"/>
        </w:rPr>
        <w:t>要求</w:t>
      </w:r>
      <w:r>
        <w:rPr>
          <w:rFonts w:hint="eastAsia" w:ascii="宋体" w:hAnsi="宋体" w:eastAsia="宋体"/>
          <w:color w:val="auto"/>
          <w:sz w:val="24"/>
          <w:highlight w:val="none"/>
          <w:lang w:val="en-US" w:eastAsia="zh-CN"/>
        </w:rPr>
        <w:t>兑现承诺的，将被取消中标资格，采购人有权推荐排名次之的供应商为成交候选人，或重新组织招标。</w:t>
      </w:r>
    </w:p>
    <w:p>
      <w:pPr>
        <w:pageBreakBefore w:val="0"/>
        <w:kinsoku/>
        <w:overflowPunct/>
        <w:topLinePunct w:val="0"/>
        <w:autoSpaceDE w:val="0"/>
        <w:autoSpaceDN w:val="0"/>
        <w:bidi w:val="0"/>
        <w:adjustRightInd w:val="0"/>
        <w:snapToGrid w:val="0"/>
        <w:spacing w:line="500" w:lineRule="exact"/>
        <w:ind w:left="0" w:leftChars="0"/>
        <w:jc w:val="left"/>
        <w:rPr>
          <w:rFonts w:hint="default" w:ascii="宋体" w:hAnsi="宋体" w:eastAsia="宋体"/>
          <w:b/>
          <w:bCs/>
          <w:color w:val="auto"/>
          <w:sz w:val="24"/>
          <w:highlight w:val="none"/>
          <w:lang w:val="en-US" w:eastAsia="zh-CN"/>
        </w:rPr>
      </w:pPr>
      <w:r>
        <w:rPr>
          <w:rFonts w:hint="default" w:ascii="宋体" w:hAnsi="宋体" w:eastAsia="宋体" w:cs="宋体"/>
          <w:b/>
          <w:bCs/>
          <w:color w:val="auto"/>
          <w:kern w:val="2"/>
          <w:sz w:val="24"/>
          <w:szCs w:val="24"/>
          <w:highlight w:val="none"/>
          <w:lang w:val="en-US" w:eastAsia="zh-CN" w:bidi="ar-SA"/>
        </w:rPr>
        <w:t>十一、投标或中标无效情形</w:t>
      </w:r>
    </w:p>
    <w:p>
      <w:pPr>
        <w:pageBreakBefore w:val="0"/>
        <w:numPr>
          <w:ilvl w:val="0"/>
          <w:numId w:val="8"/>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招标采购中，有下列情形之一的，投标或中标无效：</w:t>
      </w:r>
    </w:p>
    <w:p>
      <w:pPr>
        <w:pageBreakBefore w:val="0"/>
        <w:numPr>
          <w:ilvl w:val="0"/>
          <w:numId w:val="8"/>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不符合本次采购投标人资格要求的</w:t>
      </w:r>
      <w:r>
        <w:rPr>
          <w:rFonts w:hint="eastAsia" w:ascii="宋体" w:hAnsi="宋体"/>
          <w:color w:val="auto"/>
          <w:sz w:val="24"/>
          <w:highlight w:val="none"/>
          <w:lang w:val="en-US" w:eastAsia="zh-CN"/>
        </w:rPr>
        <w:t>；</w:t>
      </w:r>
    </w:p>
    <w:p>
      <w:pPr>
        <w:pageBreakBefore w:val="0"/>
        <w:numPr>
          <w:ilvl w:val="0"/>
          <w:numId w:val="0"/>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2．提供虚假材料及证明文件的；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3．投标报价高于最高限价的；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4．未按招标文件要求签章的；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5．本招标文件载明属无效处理情形的；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6．投标文件含有采购人不能接受的附加条件的；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7．中标供应商无正当理由拖延或者不与采购人签订采购合同的</w:t>
      </w:r>
      <w:r>
        <w:rPr>
          <w:rFonts w:hint="eastAsia" w:ascii="宋体" w:hAnsi="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8．本招标文件提出要求响应而未响应实质性条款（带</w:t>
      </w:r>
      <w:r>
        <w:rPr>
          <w:rFonts w:hint="eastAsia" w:ascii="宋体" w:hAnsi="宋体" w:eastAsia="宋体" w:cs="宋体"/>
          <w:color w:val="auto"/>
          <w:sz w:val="24"/>
          <w:highlight w:val="none"/>
          <w:lang w:val="en-US" w:eastAsia="zh-CN"/>
        </w:rPr>
        <w:t>▲</w:t>
      </w:r>
      <w:r>
        <w:rPr>
          <w:rFonts w:hint="default" w:ascii="宋体" w:hAnsi="宋体" w:eastAsia="宋体"/>
          <w:color w:val="auto"/>
          <w:sz w:val="24"/>
          <w:highlight w:val="none"/>
          <w:lang w:val="en-US" w:eastAsia="zh-CN"/>
        </w:rPr>
        <w:t>号）的，或评标委员会认定有重大偏离或保留的；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9．评标委员会认为投标人的报价明显低于其他通过符合性审查投标人的报价，有可能影响产品质量或者不能诚信履约，投标人不能证明其报价合理性的；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10．要求资格性文件、实质性响应文件提供原件扫描件，而未提供的；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11．投标文件应盖章而未盖章的、应有法定代表人或授权代理人签字而未签或漏签字的：</w:t>
      </w:r>
    </w:p>
    <w:p>
      <w:pPr>
        <w:pageBreakBefore w:val="0"/>
        <w:kinsoku/>
        <w:overflowPunct/>
        <w:topLinePunct w:val="0"/>
        <w:bidi w:val="0"/>
        <w:adjustRightInd w:val="0"/>
        <w:snapToGrid w:val="0"/>
        <w:spacing w:line="360" w:lineRule="auto"/>
        <w:ind w:left="479" w:leftChars="228" w:firstLine="0" w:firstLineChars="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12．不符合法律、法规和招标文件规定的其他实质性要求和无效情形的。1</w:t>
      </w:r>
      <w:r>
        <w:rPr>
          <w:rFonts w:hint="eastAsia" w:ascii="宋体" w:hAnsi="宋体"/>
          <w:color w:val="auto"/>
          <w:sz w:val="24"/>
          <w:highlight w:val="none"/>
          <w:lang w:val="en-US" w:eastAsia="zh-CN"/>
        </w:rPr>
        <w:t>3</w:t>
      </w:r>
      <w:r>
        <w:rPr>
          <w:rFonts w:hint="default" w:ascii="宋体" w:hAnsi="宋体" w:eastAsia="宋体"/>
          <w:color w:val="auto"/>
          <w:sz w:val="24"/>
          <w:highlight w:val="none"/>
          <w:lang w:val="en-US" w:eastAsia="zh-CN"/>
        </w:rPr>
        <w:t>.MAC地址相同的；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w:t>
      </w:r>
      <w:r>
        <w:rPr>
          <w:rFonts w:hint="eastAsia" w:ascii="宋体" w:hAnsi="宋体"/>
          <w:color w:val="auto"/>
          <w:sz w:val="24"/>
          <w:highlight w:val="none"/>
          <w:lang w:val="en-US" w:eastAsia="zh-CN"/>
        </w:rPr>
        <w:t>4</w:t>
      </w:r>
      <w:r>
        <w:rPr>
          <w:rFonts w:hint="default" w:ascii="宋体" w:hAnsi="宋体" w:eastAsia="宋体"/>
          <w:color w:val="auto"/>
          <w:sz w:val="24"/>
          <w:highlight w:val="none"/>
          <w:lang w:val="en-US" w:eastAsia="zh-CN"/>
        </w:rPr>
        <w:t>.计算机硬盘序列号相同；</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w:t>
      </w:r>
      <w:r>
        <w:rPr>
          <w:rFonts w:hint="eastAsia" w:ascii="宋体" w:hAnsi="宋体"/>
          <w:color w:val="auto"/>
          <w:sz w:val="24"/>
          <w:highlight w:val="none"/>
          <w:lang w:val="en-US" w:eastAsia="zh-CN"/>
        </w:rPr>
        <w:t>5</w:t>
      </w:r>
      <w:r>
        <w:rPr>
          <w:rFonts w:hint="default" w:ascii="宋体" w:hAnsi="宋体" w:eastAsia="宋体"/>
          <w:color w:val="auto"/>
          <w:sz w:val="24"/>
          <w:highlight w:val="none"/>
          <w:lang w:val="en-US" w:eastAsia="zh-CN"/>
        </w:rPr>
        <w:t>.投标文件细节错误一致且无合理解释的；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w:t>
      </w:r>
      <w:r>
        <w:rPr>
          <w:rFonts w:hint="eastAsia" w:ascii="宋体" w:hAnsi="宋体"/>
          <w:color w:val="auto"/>
          <w:sz w:val="24"/>
          <w:highlight w:val="none"/>
          <w:lang w:val="en-US" w:eastAsia="zh-CN"/>
        </w:rPr>
        <w:t>6</w:t>
      </w:r>
      <w:r>
        <w:rPr>
          <w:rFonts w:hint="default" w:ascii="宋体" w:hAnsi="宋体" w:eastAsia="宋体"/>
          <w:color w:val="auto"/>
          <w:sz w:val="24"/>
          <w:highlight w:val="none"/>
          <w:lang w:val="en-US" w:eastAsia="zh-CN"/>
        </w:rPr>
        <w:t>.资信技术得分低于资信技术总分60%的；</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十二、串通投标情形</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招标采购中，有下列情形之一的，视为投标人串通投标，其投标无效：</w:t>
      </w:r>
    </w:p>
    <w:p>
      <w:pPr>
        <w:pageBreakBefore w:val="0"/>
        <w:numPr>
          <w:ilvl w:val="0"/>
          <w:numId w:val="9"/>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不同投标人的投标文件由同一单位或者个人编制</w:t>
      </w:r>
      <w:r>
        <w:rPr>
          <w:rFonts w:hint="eastAsia" w:ascii="宋体" w:hAnsi="宋体" w:eastAsia="宋体"/>
          <w:color w:val="auto"/>
          <w:sz w:val="24"/>
          <w:highlight w:val="none"/>
          <w:lang w:val="en-US" w:eastAsia="zh-CN"/>
        </w:rPr>
        <w:t>；</w:t>
      </w:r>
    </w:p>
    <w:p>
      <w:pPr>
        <w:pageBreakBefore w:val="0"/>
        <w:numPr>
          <w:ilvl w:val="0"/>
          <w:numId w:val="9"/>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不同投标人委托同一单位或者个人办理投标事宜；</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3．不同投标人的投标文件载明的项目管理成员或者联系人员为同一人；</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4．不同投标人的投标文件异常一致或者投标报价呈规律性差异</w:t>
      </w:r>
      <w:r>
        <w:rPr>
          <w:rFonts w:hint="eastAsia" w:ascii="宋体" w:hAnsi="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5．不同投标人的投标文件相互混装。</w:t>
      </w:r>
    </w:p>
    <w:p>
      <w:pPr>
        <w:pageBreakBefore w:val="0"/>
        <w:kinsoku/>
        <w:overflowPunct/>
        <w:topLinePunct w:val="0"/>
        <w:bidi w:val="0"/>
        <w:adjustRightInd w:val="0"/>
        <w:snapToGrid w:val="0"/>
        <w:spacing w:line="360" w:lineRule="auto"/>
        <w:ind w:left="0" w:leftChars="0" w:firstLine="482" w:firstLineChars="200"/>
        <w:rPr>
          <w:rFonts w:hint="default" w:ascii="宋体" w:hAnsi="宋体" w:eastAsia="宋体"/>
          <w:b/>
          <w:bCs/>
          <w:color w:val="auto"/>
          <w:sz w:val="24"/>
          <w:highlight w:val="none"/>
          <w:lang w:val="en-US" w:eastAsia="zh-CN"/>
        </w:rPr>
      </w:pPr>
      <w:r>
        <w:rPr>
          <w:rFonts w:hint="default" w:ascii="宋体" w:hAnsi="宋体" w:eastAsia="宋体"/>
          <w:b/>
          <w:bCs/>
          <w:color w:val="auto"/>
          <w:sz w:val="24"/>
          <w:highlight w:val="none"/>
          <w:lang w:val="en-US" w:eastAsia="zh-CN"/>
        </w:rPr>
        <w:t>十三、废标情形</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招标采购中，出现下列情形之一的，应予废标：</w:t>
      </w:r>
    </w:p>
    <w:p>
      <w:pPr>
        <w:pageBreakBefore w:val="0"/>
        <w:numPr>
          <w:ilvl w:val="0"/>
          <w:numId w:val="10"/>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投标截止时间止提交投标文件的投标人不足3家或者对招标文件作实质性响应的投标人不足3家的；</w:t>
      </w:r>
    </w:p>
    <w:p>
      <w:pPr>
        <w:pageBreakBefore w:val="0"/>
        <w:numPr>
          <w:ilvl w:val="0"/>
          <w:numId w:val="10"/>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出现影响采购公正的违法、违规行为的</w:t>
      </w:r>
      <w:r>
        <w:rPr>
          <w:rFonts w:hint="eastAsia" w:ascii="宋体" w:hAnsi="宋体" w:eastAsia="宋体"/>
          <w:color w:val="auto"/>
          <w:sz w:val="24"/>
          <w:highlight w:val="none"/>
          <w:lang w:val="en-US" w:eastAsia="zh-CN"/>
        </w:rPr>
        <w:t>；</w:t>
      </w:r>
    </w:p>
    <w:p>
      <w:pPr>
        <w:pageBreakBefore w:val="0"/>
        <w:numPr>
          <w:ilvl w:val="0"/>
          <w:numId w:val="10"/>
        </w:numPr>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投标人的报价均超过采购预算或采购控制价的；</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4．法律、法规以及招标文件规定的其他废标情形</w:t>
      </w:r>
      <w:r>
        <w:rPr>
          <w:rFonts w:hint="eastAsia" w:ascii="宋体" w:hAnsi="宋体" w:eastAsia="宋体"/>
          <w:color w:val="auto"/>
          <w:sz w:val="24"/>
          <w:highlight w:val="none"/>
          <w:lang w:val="en-US" w:eastAsia="zh-CN"/>
        </w:rPr>
        <w:t>；</w:t>
      </w:r>
    </w:p>
    <w:p>
      <w:pPr>
        <w:pageBreakBefore w:val="0"/>
        <w:kinsoku/>
        <w:overflowPunct/>
        <w:topLinePunct w:val="0"/>
        <w:bidi w:val="0"/>
        <w:adjustRightInd w:val="0"/>
        <w:snapToGrid w:val="0"/>
        <w:spacing w:line="360" w:lineRule="auto"/>
        <w:ind w:left="0" w:leftChars="0" w:firstLine="480" w:firstLineChars="200"/>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5．因重大变故，</w:t>
      </w:r>
      <w:r>
        <w:rPr>
          <w:rFonts w:hint="eastAsia" w:ascii="宋体" w:hAnsi="宋体"/>
          <w:color w:val="auto"/>
          <w:sz w:val="24"/>
          <w:highlight w:val="none"/>
          <w:lang w:val="en-US" w:eastAsia="zh-CN"/>
        </w:rPr>
        <w:t>取消</w:t>
      </w:r>
      <w:r>
        <w:rPr>
          <w:rFonts w:hint="default" w:ascii="宋体" w:hAnsi="宋体" w:eastAsia="宋体"/>
          <w:color w:val="auto"/>
          <w:sz w:val="24"/>
          <w:highlight w:val="none"/>
          <w:lang w:val="en-US" w:eastAsia="zh-CN"/>
        </w:rPr>
        <w:t>采购任务</w:t>
      </w:r>
      <w:r>
        <w:rPr>
          <w:rFonts w:hint="eastAsia" w:ascii="宋体" w:hAnsi="宋体"/>
          <w:color w:val="auto"/>
          <w:sz w:val="24"/>
          <w:highlight w:val="none"/>
          <w:lang w:val="en-US" w:eastAsia="zh-CN"/>
        </w:rPr>
        <w:t>的</w:t>
      </w:r>
      <w:r>
        <w:rPr>
          <w:rFonts w:hint="eastAsia" w:ascii="宋体" w:hAnsi="宋体" w:eastAsia="宋体"/>
          <w:color w:val="auto"/>
          <w:sz w:val="24"/>
          <w:highlight w:val="none"/>
          <w:lang w:val="en-US" w:eastAsia="zh-CN"/>
        </w:rPr>
        <w:t>。</w:t>
      </w: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roma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Wingdings 2">
    <w:panose1 w:val="05020102010507070707"/>
    <w:charset w:val="02"/>
    <w:family w:val="auto"/>
    <w:pitch w:val="default"/>
    <w:sig w:usb0="00000000" w:usb1="00000000" w:usb2="00000000" w:usb3="00000000" w:csb0="80000000" w:csb1="00000000"/>
  </w:font>
  <w:font w:name="Helvetica">
    <w:altName w:val="Arial"/>
    <w:panose1 w:val="020B0504020202030204"/>
    <w:charset w:val="00"/>
    <w:family w:val="swiss"/>
    <w:pitch w:val="default"/>
    <w:sig w:usb0="00000000" w:usb1="00000000" w:usb2="00000000" w:usb3="00000000" w:csb0="00000093" w:csb1="00000000"/>
  </w:font>
  <w:font w:name="楷体_GB2312">
    <w:altName w:val="楷体"/>
    <w:panose1 w:val="02010609030101010101"/>
    <w:charset w:val="86"/>
    <w:family w:val="auto"/>
    <w:pitch w:val="default"/>
    <w:sig w:usb0="00000000" w:usb1="00000000" w:usb2="00000000" w:usb3="00000000" w:csb0="00040000" w:csb1="00000000"/>
  </w:font>
  <w:font w:name="FuturaA Bk BT">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pBdr>
        <w:top w:val="thinThickSmallGap" w:color="000000" w:sz="24" w:space="1"/>
      </w:pBdr>
      <w:tabs>
        <w:tab w:val="clear" w:pos="4153"/>
        <w:tab w:val="clear" w:pos="8306"/>
      </w:tabs>
      <w:ind w:firstLine="0" w:firstLineChars="0"/>
      <w:jc w:val="both"/>
      <w:rPr>
        <w:rFonts w:ascii="华文中宋" w:hAnsi="华文中宋" w:eastAsia="华文中宋"/>
        <w:b/>
        <w:bCs/>
      </w:rPr>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-708025</wp:posOffset>
              </wp:positionV>
              <wp:extent cx="1828800" cy="1828800"/>
              <wp:effectExtent l="0" t="0" r="0" b="0"/>
              <wp:wrapNone/>
              <wp:docPr id="2"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6"/>
                            <w:pBdr>
                              <w:top w:val="thinThickSmallGap" w:color="000000" w:sz="24" w:space="1"/>
                            </w:pBdr>
                            <w:tabs>
                              <w:tab w:val="clear" w:pos="4153"/>
                              <w:tab w:val="clear" w:pos="8306"/>
                            </w:tabs>
                            <w:ind w:firstLine="0" w:firstLineChars="0"/>
                            <w:jc w:val="both"/>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wps:txbx>
                    <wps:bodyPr wrap="none" lIns="0" tIns="0" rIns="0" bIns="0" upright="1">
                      <a:spAutoFit/>
                    </wps:bodyPr>
                  </wps:wsp>
                </a:graphicData>
              </a:graphic>
            </wp:anchor>
          </w:drawing>
        </mc:Choice>
        <mc:Fallback>
          <w:pict>
            <v:shape id="文本框 5" o:spid="_x0000_s1026" o:spt="202" type="#_x0000_t202" style="position:absolute;left:0pt;margin-top:-55.75pt;height:144pt;width:144pt;mso-position-horizontal:right;mso-position-horizontal-relative:margin;mso-wrap-style:none;z-index:251660288;mso-width-relative:page;mso-height-relative:page;" filled="f" stroked="f" coordsize="21600,21600" o:gfxdata="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I1W8oXVAAAACQEAAA8AAAAAAAAAAQAgAAAAIgAAAGRycy9kb3du&#10;cmV2LnhtbFBLAQIUABQAAAAIAIdO4kANBuDRyQEAAJkDAAAOAAAAAAAAAAEAIAAAACQBAABkcnMv&#10;ZTJvRG9jLnhtbFBLBQYAAAAABgAGAFkBAABfBQAAAAA=&#10;">
              <v:fill on="f" focussize="0,0"/>
              <v:stroke on="f"/>
              <v:imagedata o:title=""/>
              <o:lock v:ext="edit" aspectratio="f"/>
              <v:textbox inset="0mm,0mm,0mm,0mm" style="mso-fit-shape-to-text:t;">
                <w:txbxContent>
                  <w:p>
                    <w:pPr>
                      <w:pStyle w:val="76"/>
                      <w:pBdr>
                        <w:top w:val="thinThickSmallGap" w:color="000000" w:sz="24" w:space="1"/>
                      </w:pBdr>
                      <w:tabs>
                        <w:tab w:val="clear" w:pos="4153"/>
                        <w:tab w:val="clear" w:pos="8306"/>
                      </w:tabs>
                      <w:ind w:firstLine="0" w:firstLineChars="0"/>
                      <w:jc w:val="both"/>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tabs>
        <w:tab w:val="clear" w:pos="4153"/>
        <w:tab w:val="clear" w:pos="8306"/>
      </w:tabs>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pBdr>
        <w:top w:val="thinThickSmallGap" w:color="000000" w:sz="24" w:space="1"/>
      </w:pBdr>
      <w:tabs>
        <w:tab w:val="clear" w:pos="4153"/>
        <w:tab w:val="clear" w:pos="8306"/>
      </w:tabs>
      <w:spacing w:line="240" w:lineRule="atLeast"/>
      <w:ind w:firstLine="0" w:firstLineChars="0"/>
      <w:jc w:val="both"/>
      <w:rPr>
        <w:rFonts w:ascii="华文中宋" w:hAnsi="华文中宋" w:eastAsia="华文中宋"/>
        <w:b/>
        <w:bCs/>
      </w:rPr>
    </w:pPr>
    <w:r>
      <w:rPr>
        <w:rFonts w:hint="eastAsia" w:ascii="华文中宋" w:hAnsi="华文中宋" w:eastAsia="华文中宋"/>
        <w:b/>
        <w:bCs/>
      </w:rPr>
      <w:t xml:space="preserve"> </w:t>
    </w:r>
    <w:r>
      <w:rPr>
        <w:rFonts w:hint="eastAsia" w:ascii="华文中宋" w:hAnsi="华文中宋" w:eastAsia="华文中宋"/>
        <w:b/>
        <w:bCs/>
        <w:lang w:eastAsia="zh-CN"/>
      </w:rPr>
      <w:t>衢州创禾招标代理有限公司</w:t>
    </w:r>
    <w:r>
      <w:rPr>
        <w:rFonts w:ascii="华文中宋" w:hAnsi="华文中宋" w:eastAsia="华文中宋"/>
        <w:b/>
        <w:bCs/>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pBdr>
        <w:top w:val="thinThickSmallGap" w:color="000000" w:sz="24" w:space="1"/>
      </w:pBdr>
      <w:tabs>
        <w:tab w:val="clear" w:pos="4153"/>
        <w:tab w:val="clear" w:pos="8306"/>
      </w:tabs>
      <w:spacing w:line="240" w:lineRule="atLeast"/>
      <w:ind w:firstLine="0" w:firstLineChars="0"/>
      <w:jc w:val="both"/>
      <w:rPr>
        <w:rFonts w:hint="eastAsia" w:ascii="华文中宋" w:hAnsi="华文中宋" w:eastAsia="华文中宋"/>
        <w:b/>
        <w:bCs/>
        <w:lang w:eastAsia="zh-CN"/>
      </w:rPr>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-708025</wp:posOffset>
              </wp:positionV>
              <wp:extent cx="1828800" cy="1828800"/>
              <wp:effectExtent l="0" t="0" r="0" b="0"/>
              <wp:wrapNone/>
              <wp:docPr id="3"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ind w:firstLine="36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wps:txbx>
                    <wps:bodyPr wrap="none" lIns="0" tIns="0" rIns="0" bIns="0" upright="1">
                      <a:spAutoFit/>
                    </wps:bodyPr>
                  </wps:wsp>
                </a:graphicData>
              </a:graphic>
            </wp:anchor>
          </w:drawing>
        </mc:Choice>
        <mc:Fallback>
          <w:pict>
            <v:shape id="文本框 7" o:spid="_x0000_s1026" o:spt="202" type="#_x0000_t202" style="position:absolute;left:0pt;margin-top:-55.75pt;height:144pt;width:144pt;mso-position-horizontal:right;mso-position-horizontal-relative:margin;mso-wrap-style:none;z-index:251661312;mso-width-relative:page;mso-height-relative:page;" filled="f" stroked="f" coordsize="21600,21600" o:gfxdata="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I1W8oXVAAAACQEAAA8AAAAAAAAAAQAgAAAAIgAAAGRycy9kb3du&#10;cmV2LnhtbFBLAQIUABQAAAAIAIdO4kD+r6LLyQEAAJkDAAAOAAAAAAAAAAEAIAAAACQBAABkcnMv&#10;ZTJvRG9jLnhtbFBLBQYAAAAABgAGAFkBAABfBQAAAAA=&#10;">
              <v:fill on="f" focussize="0,0"/>
              <v:stroke on="f"/>
              <v:imagedata o:title=""/>
              <o:lock v:ext="edit" aspectratio="f"/>
              <v:textbox inset="0mm,0mm,0mm,0mm" style="mso-fit-shape-to-text:t;">
                <w:txbxContent>
                  <w:p>
                    <w:pPr>
                      <w:pStyle w:val="17"/>
                      <w:ind w:firstLine="36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v:textbox>
            </v:shape>
          </w:pict>
        </mc:Fallback>
      </mc:AlternateContent>
    </w:r>
    <w:r>
      <w:rPr>
        <w:rFonts w:hint="eastAsia" w:ascii="华文中宋" w:hAnsi="华文中宋" w:eastAsia="华文中宋"/>
        <w:b/>
        <w:bCs/>
      </w:rPr>
      <w:t xml:space="preserve"> </w:t>
    </w:r>
    <w:r>
      <w:rPr>
        <w:rFonts w:hint="eastAsia" w:ascii="华文中宋" w:hAnsi="华文中宋" w:eastAsia="华文中宋"/>
        <w:b/>
        <w:bCs/>
        <w:lang w:eastAsia="zh-CN"/>
      </w:rPr>
      <w:t>衢州</w:t>
    </w:r>
    <w:r>
      <w:rPr>
        <w:rFonts w:hint="eastAsia" w:ascii="华文中宋" w:hAnsi="华文中宋" w:eastAsia="华文中宋"/>
        <w:b/>
        <w:bCs/>
        <w:lang w:val="en-US" w:eastAsia="zh-CN"/>
      </w:rPr>
      <w:t>创禾招标代理</w:t>
    </w:r>
    <w:r>
      <w:rPr>
        <w:rFonts w:hint="eastAsia" w:ascii="华文中宋" w:hAnsi="华文中宋" w:eastAsia="华文中宋"/>
        <w:b/>
        <w:bCs/>
        <w:lang w:eastAsia="zh-CN"/>
      </w:rPr>
      <w:t>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pBdr>
        <w:top w:val="thinThickSmallGap" w:color="000000" w:sz="24" w:space="1"/>
      </w:pBdr>
      <w:tabs>
        <w:tab w:val="clear" w:pos="4153"/>
        <w:tab w:val="clear" w:pos="8306"/>
      </w:tabs>
      <w:spacing w:line="240" w:lineRule="atLeast"/>
      <w:ind w:firstLine="0" w:firstLineChars="0"/>
      <w:jc w:val="both"/>
      <w:rPr>
        <w:rFonts w:ascii="华文中宋" w:hAnsi="华文中宋" w:eastAsia="华文中宋"/>
        <w:b/>
        <w:bCs/>
      </w:rPr>
    </w:pPr>
    <w:r>
      <w:rPr>
        <w:rFonts w:hint="eastAsia" w:ascii="华文中宋" w:hAnsi="华文中宋" w:eastAsia="华文中宋"/>
        <w:b/>
        <w:bCs/>
      </w:rPr>
      <w:t xml:space="preserve"> </w:t>
    </w:r>
    <w:r>
      <w:rPr>
        <w:rFonts w:ascii="华文中宋" w:hAnsi="华文中宋" w:eastAsia="华文中宋"/>
        <w:b/>
        <w:bCs/>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矩形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76"/>
                            <w:tabs>
                              <w:tab w:val="clear" w:pos="4153"/>
                              <w:tab w:val="clear" w:pos="8306"/>
                            </w:tabs>
                            <w:ind w:firstLine="360"/>
                          </w:pPr>
                          <w:r>
                            <w:rPr>
                              <w:rFonts w:hint="eastAsia"/>
                            </w:rPr>
                            <w:t xml:space="preserve">第 </w:t>
                          </w:r>
                          <w:r>
                            <w:fldChar w:fldCharType="begin"/>
                          </w:r>
                          <w:r>
                            <w:instrText xml:space="preserve"> PAGE  \* MERGEFORMAT </w:instrText>
                          </w:r>
                          <w:r>
                            <w:fldChar w:fldCharType="separate"/>
                          </w:r>
                          <w:r>
                            <w:t>49</w:t>
                          </w:r>
                          <w:r>
                            <w:fldChar w:fldCharType="end"/>
                          </w:r>
                          <w:r>
                            <w:rPr>
                              <w:rFonts w:hint="eastAsia"/>
                            </w:rPr>
                            <w:t xml:space="preserve"> 页 共</w:t>
                          </w:r>
                          <w:r>
                            <w:fldChar w:fldCharType="begin"/>
                          </w:r>
                          <w:r>
                            <w:instrText xml:space="preserve"> NUMPAGES  \* MERGEFORMAT </w:instrText>
                          </w:r>
                          <w:r>
                            <w:fldChar w:fldCharType="separate"/>
                          </w:r>
                          <w:r>
                            <w:t>49</w:t>
                          </w:r>
                          <w:r>
                            <w:fldChar w:fldCharType="end"/>
                          </w:r>
                          <w:r>
                            <w:rPr>
                              <w:rFonts w:hint="eastAsia"/>
                            </w:rPr>
                            <w:t xml:space="preserve"> 页</w:t>
                          </w:r>
                        </w:p>
                        <w:p>
                          <w:pPr>
                            <w:ind w:firstLine="480"/>
                          </w:pPr>
                        </w:p>
                        <w:p>
                          <w:pPr>
                            <w:ind w:firstLine="480"/>
                          </w:pPr>
                        </w:p>
                      </w:txbxContent>
                    </wps:txbx>
                    <wps:bodyPr upright="1"/>
                  </wps:wsp>
                </a:graphicData>
              </a:graphic>
            </wp:anchor>
          </w:drawing>
        </mc:Choice>
        <mc:Fallback>
          <w:pict>
            <v:rect id="矩形 6" o:spid="_x0000_s1026" o:spt="1" style="position:absolute;left:0pt;margin-top:0pt;height:144pt;width:144pt;mso-position-horizontal:right;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">
              <v:fill on="f" focussize="0,0"/>
              <v:stroke on="f"/>
              <v:imagedata o:title=""/>
              <o:lock v:ext="edit" aspectratio="f"/>
              <v:textbox>
                <w:txbxContent>
                  <w:p>
                    <w:pPr>
                      <w:pStyle w:val="76"/>
                      <w:tabs>
                        <w:tab w:val="clear" w:pos="4153"/>
                        <w:tab w:val="clear" w:pos="8306"/>
                      </w:tabs>
                      <w:ind w:firstLine="360"/>
                    </w:pPr>
                    <w:r>
                      <w:rPr>
                        <w:rFonts w:hint="eastAsia"/>
                      </w:rPr>
                      <w:t xml:space="preserve">第 </w:t>
                    </w:r>
                    <w:r>
                      <w:fldChar w:fldCharType="begin"/>
                    </w:r>
                    <w:r>
                      <w:instrText xml:space="preserve"> PAGE  \* MERGEFORMAT </w:instrText>
                    </w:r>
                    <w:r>
                      <w:fldChar w:fldCharType="separate"/>
                    </w:r>
                    <w:r>
                      <w:t>49</w:t>
                    </w:r>
                    <w:r>
                      <w:fldChar w:fldCharType="end"/>
                    </w:r>
                    <w:r>
                      <w:rPr>
                        <w:rFonts w:hint="eastAsia"/>
                      </w:rPr>
                      <w:t xml:space="preserve"> 页 共</w:t>
                    </w:r>
                    <w:r>
                      <w:fldChar w:fldCharType="begin"/>
                    </w:r>
                    <w:r>
                      <w:instrText xml:space="preserve"> NUMPAGES  \* MERGEFORMAT </w:instrText>
                    </w:r>
                    <w:r>
                      <w:fldChar w:fldCharType="separate"/>
                    </w:r>
                    <w:r>
                      <w:t>49</w:t>
                    </w:r>
                    <w:r>
                      <w:fldChar w:fldCharType="end"/>
                    </w:r>
                    <w:r>
                      <w:rPr>
                        <w:rFonts w:hint="eastAsia"/>
                      </w:rPr>
                      <w:t xml:space="preserve"> 页</w:t>
                    </w:r>
                  </w:p>
                  <w:p>
                    <w:pPr>
                      <w:ind w:firstLine="480"/>
                    </w:pPr>
                  </w:p>
                  <w:p>
                    <w:pPr>
                      <w:ind w:firstLine="480"/>
                    </w:pPr>
                  </w:p>
                </w:txbxContent>
              </v:textbox>
            </v:rect>
          </w:pict>
        </mc:Fallback>
      </mc:AlternateContent>
    </w:r>
    <w:r>
      <w:rPr>
        <w:rFonts w:hint="eastAsia" w:ascii="华文中宋" w:hAnsi="华文中宋" w:eastAsia="华文中宋"/>
        <w:b/>
        <w:bCs/>
        <w:lang w:eastAsia="zh-CN"/>
      </w:rPr>
      <w:t>衢州创禾招标代理有限公司</w:t>
    </w:r>
  </w:p>
  <w:p>
    <w:pPr>
      <w:pStyle w:val="76"/>
      <w:pBdr>
        <w:top w:val="thinThickSmallGap" w:color="000000" w:sz="24" w:space="1"/>
      </w:pBdr>
      <w:tabs>
        <w:tab w:val="clear" w:pos="4153"/>
        <w:tab w:val="clear" w:pos="8306"/>
      </w:tabs>
      <w:ind w:firstLine="0" w:firstLineChars="0"/>
      <w:jc w:val="both"/>
      <w:rPr>
        <w:rFonts w:ascii="华文中宋" w:hAnsi="华文中宋" w:eastAsia="华文中宋"/>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-708025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7"/>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96</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55.75pt;height:144pt;width:144pt;mso-position-horizontal:right;mso-position-horizontal-relative:margin;mso-wrap-style:none;z-index:251662336;mso-width-relative:page;mso-height-relative:page;" filled="f" stroked="f" coordsize="21600,21600" o:gfxdata="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SLabY2QAAAAkBAAAPAAAAAAAAAAEAIAAA&#10;ACIAAABkcnMvZG93bnJldi54bWxQSwECFAAUAAAACACHTuJAIoso5NIBAACjAwAADgAAAAAAAAAB&#10;ACAAAAAoAQAAZHJzL2Uyb0RvYy54bWxQSwUGAAAAAAYABgBZAQAAbAUAAAAA&#10;">
              <v:fill on="f" focussize="0,0"/>
              <v:stroke on="f" weight="1.25pt"/>
              <v:imagedata o:title=""/>
              <o:lock v:ext="edit" aspectratio="f"/>
              <v:textbox inset="0mm,0mm,0mm,0mm" style="mso-fit-shape-to-text:t;">
                <w:txbxContent>
                  <w:p>
                    <w:pPr>
                      <w:pStyle w:val="17"/>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96</w:t>
                    </w:r>
                    <w:r>
                      <w:rPr>
                        <w:rFonts w:hint="eastAsia"/>
                      </w:rPr>
                      <w:fldChar w:fldCharType="end"/>
                    </w:r>
                    <w:r>
                      <w:rPr>
                        <w:rFonts w:hint="eastAsia"/>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6"/>
      <w:pBdr>
        <w:top w:val="thinThickSmallGap" w:color="000000" w:sz="24" w:space="1"/>
      </w:pBdr>
      <w:tabs>
        <w:tab w:val="clear" w:pos="4153"/>
        <w:tab w:val="clear" w:pos="8306"/>
      </w:tabs>
      <w:spacing w:line="240" w:lineRule="atLeast"/>
      <w:ind w:firstLine="0" w:firstLineChars="0"/>
      <w:jc w:val="both"/>
    </w:pPr>
    <w:r>
      <w:rPr>
        <w:rFonts w:ascii="华文中宋" w:hAnsi="华文中宋" w:eastAsia="华文中宋"/>
        <w:b/>
        <w:bCs/>
      </w:rPr>
      <mc:AlternateContent>
        <mc:Choice Requires="wps">
          <w:drawing>
            <wp:anchor distT="0" distB="0" distL="114300" distR="114300" simplePos="0" relativeHeight="251663360" behindDoc="0" locked="0" layoutInCell="1" allowOverlap="1">
              <wp:simplePos x="0" y="0"/>
              <wp:positionH relativeFrom="margin">
                <wp:posOffset>3571240</wp:posOffset>
              </wp:positionH>
              <wp:positionV relativeFrom="paragraph">
                <wp:posOffset>-9525</wp:posOffset>
              </wp:positionV>
              <wp:extent cx="1828800" cy="1828800"/>
              <wp:effectExtent l="0" t="0" r="0" b="0"/>
              <wp:wrapNone/>
              <wp:docPr id="5" name="矩形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ind w:firstLine="48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wps:txbx>
                    <wps:bodyPr lIns="0" tIns="0" rIns="0" bIns="0" upright="1"/>
                  </wps:wsp>
                </a:graphicData>
              </a:graphic>
            </wp:anchor>
          </w:drawing>
        </mc:Choice>
        <mc:Fallback>
          <w:pict>
            <v:rect id="矩形 6" o:spid="_x0000_s1026" o:spt="1" style="position:absolute;left:0pt;margin-left:281.2pt;margin-top:-0.75pt;height:144pt;width:144pt;mso-position-horizontal-relative:margin;z-index:251663360;mso-width-relative:page;mso-height-relative:page;" filled="f" stroked="f" coordsize="21600,21600" o:gfxdata="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Fcrms&#10;2wAAAAoBAAAPAAAAAAAAAAEAIAAAACIAAABkcnMvZG93bnJldi54bWxQSwECFAAUAAAACACHTuJA&#10;3xjOvKwBAABmAwAADgAAAAAAAAABACAAAAAqAQAAZHJzL2Uyb0RvYy54bWxQSwUGAAAAAAYABgBZ&#10;AQAASAUAAAAA&#10;">
              <v:fill on="f" focussize="0,0"/>
              <v:stroke on="f"/>
              <v:imagedata o:title=""/>
              <o:lock v:ext="edit" aspectratio="f"/>
              <v:textbox inset="0mm,0mm,0mm,0mm">
                <w:txbxContent>
                  <w:p>
                    <w:pPr>
                      <w:ind w:firstLine="48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v:textbox>
            </v:rect>
          </w:pict>
        </mc:Fallback>
      </mc:AlternateContent>
    </w:r>
    <w:r>
      <w:rPr>
        <w:rFonts w:hint="eastAsia"/>
        <w:lang w:eastAsia="zh-CN"/>
      </w:rPr>
      <w:tab/>
    </w:r>
    <w:r>
      <w:rPr>
        <w:rFonts w:hint="eastAsia" w:ascii="华文中宋" w:hAnsi="华文中宋" w:eastAsia="华文中宋"/>
        <w:b/>
        <w:bCs/>
        <w:lang w:eastAsia="zh-CN"/>
      </w:rPr>
      <w:t>衢州创禾招标代理有限公司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jc w:val="left"/>
      <w:rPr>
        <w:rFonts w:ascii="华文中宋" w:hAnsi="华文中宋" w:eastAsia="华文中宋"/>
        <w:b/>
        <w:bCs/>
        <w:sz w:val="20"/>
        <w:szCs w:val="20"/>
      </w:rPr>
    </w:pPr>
    <w:r>
      <w:rPr>
        <w:rFonts w:hint="eastAsia" w:ascii="华文中宋" w:hAnsi="华文中宋" w:eastAsia="华文中宋"/>
        <w:b/>
        <w:bCs/>
        <w:sz w:val="20"/>
        <w:szCs w:val="20"/>
        <w:lang w:eastAsia="zh-CN"/>
      </w:rPr>
      <w:t>龙游县重度残疾人康养一体化康复设备采购项目（重招）</w:t>
    </w:r>
    <w:r>
      <w:rPr>
        <w:rFonts w:hint="eastAsia" w:ascii="华文中宋" w:hAnsi="华文中宋" w:eastAsia="华文中宋"/>
        <w:b/>
        <w:bCs/>
        <w:sz w:val="20"/>
        <w:szCs w:val="20"/>
      </w:rPr>
      <w:t>招标文件        项目编号：</w:t>
    </w:r>
    <w:r>
      <w:rPr>
        <w:rFonts w:hint="eastAsia" w:ascii="华文中宋" w:hAnsi="华文中宋" w:eastAsia="华文中宋"/>
        <w:b/>
        <w:bCs/>
        <w:sz w:val="20"/>
        <w:szCs w:val="20"/>
        <w:lang w:val="zh-CN"/>
      </w:rPr>
      <w:t>QZCHZFCG2025-005</w:t>
    </w:r>
  </w:p>
  <w:p>
    <w:pPr>
      <w:pStyle w:val="75"/>
      <w:tabs>
        <w:tab w:val="clear" w:pos="4153"/>
        <w:tab w:val="clear" w:pos="8306"/>
      </w:tabs>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none" w:color="000000" w:sz="0" w:space="0"/>
        <w:right w:val="none" w:color="000000" w:sz="0" w:space="0"/>
      </w:pBdr>
      <w:tabs>
        <w:tab w:val="clear" w:pos="4153"/>
        <w:tab w:val="clear" w:pos="8306"/>
      </w:tabs>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jc w:val="left"/>
      <w:rPr>
        <w:rFonts w:hint="eastAsia" w:ascii="华文中宋" w:hAnsi="华文中宋" w:eastAsia="华文中宋"/>
        <w:b/>
        <w:bCs/>
        <w:sz w:val="21"/>
        <w:szCs w:val="21"/>
        <w:lang w:eastAsia="zh-CN"/>
      </w:rPr>
    </w:pPr>
    <w:r>
      <w:rPr>
        <w:rFonts w:hint="eastAsia" w:ascii="华文中宋" w:hAnsi="华文中宋" w:eastAsia="华文中宋"/>
        <w:b/>
        <w:bCs/>
        <w:sz w:val="21"/>
        <w:szCs w:val="21"/>
        <w:lang w:eastAsia="zh-CN"/>
      </w:rPr>
      <w:t>龙游县重度残疾人康养一体化康复设备采购项目（重招）</w:t>
    </w:r>
    <w:r>
      <w:rPr>
        <w:rFonts w:hint="eastAsia" w:ascii="华文中宋" w:hAnsi="华文中宋" w:eastAsia="华文中宋"/>
        <w:b/>
        <w:bCs/>
        <w:sz w:val="21"/>
        <w:szCs w:val="21"/>
      </w:rPr>
      <w:t xml:space="preserve">     项目编号：</w:t>
    </w:r>
    <w:r>
      <w:rPr>
        <w:rFonts w:hint="eastAsia" w:ascii="华文中宋" w:hAnsi="华文中宋" w:eastAsia="华文中宋"/>
        <w:b/>
        <w:bCs/>
        <w:sz w:val="21"/>
        <w:szCs w:val="21"/>
        <w:lang w:eastAsia="zh-CN"/>
      </w:rPr>
      <w:t>QZCHZFCG2025-005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jc w:val="left"/>
      <w:rPr>
        <w:rFonts w:hint="eastAsia" w:ascii="华文中宋" w:hAnsi="华文中宋" w:eastAsia="华文中宋"/>
        <w:b/>
        <w:bCs/>
        <w:sz w:val="21"/>
        <w:szCs w:val="21"/>
        <w:lang w:eastAsia="zh-CN"/>
      </w:rPr>
    </w:pPr>
    <w:r>
      <w:rPr>
        <w:rFonts w:hint="eastAsia" w:ascii="华文中宋" w:hAnsi="华文中宋" w:eastAsia="华文中宋"/>
        <w:b/>
        <w:bCs/>
        <w:sz w:val="21"/>
        <w:szCs w:val="21"/>
        <w:lang w:eastAsia="zh-CN"/>
      </w:rPr>
      <w:t>龙游县重度残疾人康养一体化康复设备采购项目（重招）</w:t>
    </w:r>
    <w:r>
      <w:rPr>
        <w:rFonts w:hint="eastAsia" w:ascii="华文中宋" w:hAnsi="华文中宋" w:eastAsia="华文中宋"/>
        <w:b/>
        <w:bCs/>
        <w:sz w:val="21"/>
        <w:szCs w:val="21"/>
        <w:lang w:val="en-US" w:eastAsia="zh-CN"/>
      </w:rPr>
      <w:t xml:space="preserve">     </w:t>
    </w:r>
    <w:r>
      <w:rPr>
        <w:rFonts w:hint="eastAsia" w:ascii="华文中宋" w:hAnsi="华文中宋" w:eastAsia="华文中宋"/>
        <w:b/>
        <w:bCs/>
        <w:sz w:val="21"/>
        <w:szCs w:val="21"/>
      </w:rPr>
      <w:t>项目编号：</w:t>
    </w:r>
    <w:r>
      <w:rPr>
        <w:rFonts w:hint="eastAsia" w:ascii="华文中宋" w:hAnsi="华文中宋" w:eastAsia="华文中宋"/>
        <w:b/>
        <w:bCs/>
        <w:sz w:val="21"/>
        <w:szCs w:val="21"/>
        <w:lang w:val="zh-CN"/>
      </w:rPr>
      <w:t>QZCHZFCG2025-005</w:t>
    </w:r>
  </w:p>
  <w:p>
    <w:pPr>
      <w:pStyle w:val="75"/>
      <w:tabs>
        <w:tab w:val="clear" w:pos="4153"/>
        <w:tab w:val="clear" w:pos="8306"/>
      </w:tabs>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rPr>
        <w:rFonts w:hint="eastAsia" w:ascii="华文中宋" w:hAnsi="华文中宋" w:eastAsia="华文中宋"/>
        <w:b/>
        <w:bCs/>
        <w:sz w:val="21"/>
        <w:szCs w:val="21"/>
        <w:lang w:eastAsia="zh-CN"/>
      </w:rPr>
    </w:pPr>
    <w:r>
      <w:rPr>
        <w:rFonts w:hint="eastAsia" w:ascii="华文中宋" w:hAnsi="华文中宋" w:eastAsia="华文中宋"/>
        <w:b/>
        <w:bCs/>
        <w:sz w:val="21"/>
        <w:szCs w:val="21"/>
        <w:lang w:eastAsia="zh-CN"/>
      </w:rPr>
      <w:t>龙游县重度残疾人康养一体化康复设备采购项目（重招）</w:t>
    </w:r>
    <w:r>
      <w:rPr>
        <w:rFonts w:hint="eastAsia" w:ascii="华文中宋" w:hAnsi="华文中宋" w:eastAsia="华文中宋"/>
        <w:b/>
        <w:bCs/>
        <w:sz w:val="21"/>
        <w:szCs w:val="21"/>
      </w:rPr>
      <w:t xml:space="preserve"> 项目编号：</w:t>
    </w:r>
    <w:r>
      <w:rPr>
        <w:rFonts w:hint="eastAsia" w:ascii="华文中宋" w:hAnsi="华文中宋" w:eastAsia="华文中宋"/>
        <w:b/>
        <w:bCs/>
        <w:sz w:val="21"/>
        <w:szCs w:val="21"/>
        <w:lang w:eastAsia="zh-CN"/>
      </w:rPr>
      <w:t>QZCHZFCG2025-005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jc w:val="left"/>
      <w:rPr>
        <w:rFonts w:hint="eastAsia" w:ascii="华文中宋" w:hAnsi="华文中宋" w:eastAsia="华文中宋"/>
        <w:b/>
        <w:bCs/>
        <w:sz w:val="21"/>
        <w:szCs w:val="21"/>
        <w:lang w:eastAsia="zh-CN"/>
      </w:rPr>
    </w:pPr>
    <w:r>
      <w:rPr>
        <w:rFonts w:hint="eastAsia" w:ascii="华文中宋" w:hAnsi="华文中宋" w:eastAsia="华文中宋"/>
        <w:b/>
        <w:bCs/>
        <w:sz w:val="21"/>
        <w:szCs w:val="21"/>
        <w:lang w:eastAsia="zh-CN"/>
      </w:rPr>
      <w:t>龙游县重度残疾人康养一体化康复设备采购项目（重招）</w:t>
    </w:r>
    <w:r>
      <w:rPr>
        <w:rFonts w:hint="eastAsia" w:ascii="华文中宋" w:hAnsi="华文中宋" w:eastAsia="华文中宋"/>
        <w:b/>
        <w:bCs/>
        <w:sz w:val="21"/>
        <w:szCs w:val="21"/>
      </w:rPr>
      <w:t xml:space="preserve">  项目编号：</w:t>
    </w:r>
    <w:r>
      <w:rPr>
        <w:rFonts w:hint="eastAsia" w:ascii="华文中宋" w:hAnsi="华文中宋" w:eastAsia="华文中宋"/>
        <w:b/>
        <w:bCs/>
        <w:sz w:val="21"/>
        <w:szCs w:val="21"/>
        <w:lang w:eastAsia="zh-CN"/>
      </w:rPr>
      <w:t>QZCHZFCG2025-005</w:t>
    </w:r>
  </w:p>
  <w:p>
    <w:pPr>
      <w:pStyle w:val="75"/>
      <w:tabs>
        <w:tab w:val="clear" w:pos="4153"/>
        <w:tab w:val="clear" w:pos="8306"/>
      </w:tabs>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Bdr>
        <w:top w:val="none" w:color="000000" w:sz="0" w:space="0"/>
        <w:left w:val="none" w:color="000000" w:sz="0" w:space="0"/>
        <w:bottom w:val="thinThickSmallGap" w:color="000000" w:sz="24" w:space="1"/>
        <w:right w:val="none" w:color="000000" w:sz="0" w:space="0"/>
      </w:pBdr>
      <w:tabs>
        <w:tab w:val="clear" w:pos="4153"/>
        <w:tab w:val="clear" w:pos="8306"/>
      </w:tabs>
      <w:ind w:firstLine="0" w:firstLineChars="0"/>
      <w:jc w:val="left"/>
      <w:rPr>
        <w:rFonts w:hint="eastAsia" w:ascii="华文中宋" w:hAnsi="华文中宋" w:eastAsia="华文中宋"/>
        <w:b/>
        <w:bCs/>
        <w:sz w:val="21"/>
        <w:szCs w:val="21"/>
        <w:lang w:eastAsia="zh-CN"/>
      </w:rPr>
    </w:pPr>
    <w:r>
      <w:rPr>
        <w:rFonts w:hint="eastAsia" w:ascii="华文中宋" w:hAnsi="华文中宋" w:eastAsia="华文中宋"/>
        <w:b/>
        <w:bCs/>
        <w:sz w:val="21"/>
        <w:szCs w:val="21"/>
        <w:lang w:eastAsia="zh-CN"/>
      </w:rPr>
      <w:t>龙游县重度残疾人康养一体化康复设备采购项目（重招）</w:t>
    </w:r>
    <w:r>
      <w:rPr>
        <w:rFonts w:hint="eastAsia" w:ascii="华文中宋" w:hAnsi="华文中宋" w:eastAsia="华文中宋"/>
        <w:b/>
        <w:bCs/>
        <w:sz w:val="21"/>
        <w:szCs w:val="21"/>
      </w:rPr>
      <w:t xml:space="preserve"> 项目编号：</w:t>
    </w:r>
    <w:r>
      <w:rPr>
        <w:rFonts w:hint="eastAsia" w:ascii="华文中宋" w:hAnsi="华文中宋" w:eastAsia="华文中宋"/>
        <w:b/>
        <w:bCs/>
        <w:sz w:val="21"/>
        <w:szCs w:val="21"/>
        <w:lang w:eastAsia="zh-CN"/>
      </w:rPr>
      <w:t>QZCHZFCG2025-005</w:t>
    </w:r>
  </w:p>
  <w:p>
    <w:pPr>
      <w:pStyle w:val="13"/>
      <w:tabs>
        <w:tab w:val="left" w:pos="2503"/>
      </w:tabs>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23E03"/>
    <w:multiLevelType w:val="singleLevel"/>
    <w:tmpl w:val="92323E03"/>
    <w:lvl w:ilvl="0" w:tentative="0">
      <w:start w:val="1"/>
      <w:numFmt w:val="decimal"/>
      <w:suff w:val="nothing"/>
      <w:lvlText w:val="%1、"/>
      <w:lvlJc w:val="left"/>
    </w:lvl>
  </w:abstractNum>
  <w:abstractNum w:abstractNumId="1">
    <w:nsid w:val="BD0E5962"/>
    <w:multiLevelType w:val="singleLevel"/>
    <w:tmpl w:val="BD0E5962"/>
    <w:lvl w:ilvl="0" w:tentative="0">
      <w:start w:val="1"/>
      <w:numFmt w:val="decimal"/>
      <w:suff w:val="nothing"/>
      <w:lvlText w:val="%1、"/>
      <w:lvlJc w:val="left"/>
    </w:lvl>
  </w:abstractNum>
  <w:abstractNum w:abstractNumId="2">
    <w:nsid w:val="EEE025D2"/>
    <w:multiLevelType w:val="singleLevel"/>
    <w:tmpl w:val="EEE025D2"/>
    <w:lvl w:ilvl="0" w:tentative="0">
      <w:start w:val="1"/>
      <w:numFmt w:val="decimal"/>
      <w:suff w:val="nothing"/>
      <w:lvlText w:val="%1．"/>
      <w:lvlJc w:val="left"/>
    </w:lvl>
  </w:abstractNum>
  <w:abstractNum w:abstractNumId="3">
    <w:nsid w:val="00000008"/>
    <w:multiLevelType w:val="multilevel"/>
    <w:tmpl w:val="00000008"/>
    <w:lvl w:ilvl="0" w:tentative="0">
      <w:start w:val="1"/>
      <w:numFmt w:val="decimal"/>
      <w:suff w:val="space"/>
      <w:lvlText w:val="第 %1 章"/>
      <w:lvlJc w:val="left"/>
      <w:pPr>
        <w:ind w:left="425" w:hanging="425"/>
      </w:pPr>
      <w:rPr>
        <w:rFonts w:hint="eastAsia"/>
      </w:rPr>
    </w:lvl>
    <w:lvl w:ilvl="1" w:tentative="0">
      <w:start w:val="1"/>
      <w:numFmt w:val="decimal"/>
      <w:pStyle w:val="3"/>
      <w:lvlText w:val="%1.%2 "/>
      <w:lvlJc w:val="left"/>
      <w:pPr>
        <w:tabs>
          <w:tab w:val="left" w:pos="1145"/>
        </w:tabs>
        <w:ind w:left="1197"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decimal"/>
      <w:lvlText w:val="%4."/>
      <w:lvlJc w:val="left"/>
      <w:pPr>
        <w:ind w:left="2120" w:hanging="420"/>
      </w:p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A"/>
    <w:multiLevelType w:val="multilevel"/>
    <w:tmpl w:val="0000000A"/>
    <w:lvl w:ilvl="0" w:tentative="0">
      <w:start w:val="1"/>
      <w:numFmt w:val="decimal"/>
      <w:lvlText w:val="%1."/>
      <w:lvlJc w:val="left"/>
      <w:pPr>
        <w:ind w:left="360" w:hanging="360"/>
      </w:pPr>
      <w:rPr>
        <w:rFonts w:hint="default" w:ascii="宋体" w:hAnsi="宋体"/>
        <w:color w:val="auto"/>
      </w:rPr>
    </w:lvl>
    <w:lvl w:ilvl="1" w:tentative="0">
      <w:start w:val="1"/>
      <w:numFmt w:val="decimal"/>
      <w:lvlText w:val="%2."/>
      <w:lvlJc w:val="left"/>
      <w:pPr>
        <w:tabs>
          <w:tab w:val="left" w:pos="570"/>
        </w:tabs>
        <w:ind w:left="570" w:hanging="360"/>
      </w:pPr>
      <w:rPr>
        <w:rFonts w:hint="default"/>
      </w:rPr>
    </w:lvl>
    <w:lvl w:ilvl="2" w:tentative="0">
      <w:start w:val="1"/>
      <w:numFmt w:val="lowerRoman"/>
      <w:lvlText w:val="%3."/>
      <w:lvlJc w:val="right"/>
      <w:pPr>
        <w:ind w:left="1050" w:hanging="420"/>
      </w:pPr>
    </w:lvl>
    <w:lvl w:ilvl="3" w:tentative="0">
      <w:start w:val="1"/>
      <w:numFmt w:val="decimal"/>
      <w:lvlText w:val="%4."/>
      <w:lvlJc w:val="left"/>
      <w:pPr>
        <w:ind w:left="1470" w:hanging="420"/>
      </w:pPr>
    </w:lvl>
    <w:lvl w:ilvl="4" w:tentative="0">
      <w:start w:val="1"/>
      <w:numFmt w:val="lowerLetter"/>
      <w:lvlText w:val="%5)"/>
      <w:lvlJc w:val="left"/>
      <w:pPr>
        <w:ind w:left="1890" w:hanging="420"/>
      </w:pPr>
    </w:lvl>
    <w:lvl w:ilvl="5" w:tentative="0">
      <w:start w:val="1"/>
      <w:numFmt w:val="lowerRoman"/>
      <w:lvlText w:val="%6."/>
      <w:lvlJc w:val="right"/>
      <w:pPr>
        <w:ind w:left="2310" w:hanging="420"/>
      </w:pPr>
    </w:lvl>
    <w:lvl w:ilvl="6" w:tentative="0">
      <w:start w:val="1"/>
      <w:numFmt w:val="decimal"/>
      <w:lvlText w:val="%7."/>
      <w:lvlJc w:val="left"/>
      <w:pPr>
        <w:ind w:left="2730" w:hanging="420"/>
      </w:pPr>
    </w:lvl>
    <w:lvl w:ilvl="7" w:tentative="0">
      <w:start w:val="1"/>
      <w:numFmt w:val="lowerLetter"/>
      <w:lvlText w:val="%8)"/>
      <w:lvlJc w:val="left"/>
      <w:pPr>
        <w:ind w:left="3150" w:hanging="420"/>
      </w:pPr>
    </w:lvl>
    <w:lvl w:ilvl="8" w:tentative="0">
      <w:start w:val="1"/>
      <w:numFmt w:val="lowerRoman"/>
      <w:lvlText w:val="%9."/>
      <w:lvlJc w:val="right"/>
      <w:pPr>
        <w:ind w:left="3570" w:hanging="420"/>
      </w:pPr>
    </w:lvl>
  </w:abstractNum>
  <w:abstractNum w:abstractNumId="5">
    <w:nsid w:val="1FFEA686"/>
    <w:multiLevelType w:val="singleLevel"/>
    <w:tmpl w:val="1FFEA686"/>
    <w:lvl w:ilvl="0" w:tentative="0">
      <w:start w:val="1"/>
      <w:numFmt w:val="decimal"/>
      <w:suff w:val="nothing"/>
      <w:lvlText w:val="%1．"/>
      <w:lvlJc w:val="left"/>
    </w:lvl>
  </w:abstractNum>
  <w:abstractNum w:abstractNumId="6">
    <w:nsid w:val="2351C01C"/>
    <w:multiLevelType w:val="singleLevel"/>
    <w:tmpl w:val="2351C01C"/>
    <w:lvl w:ilvl="0" w:tentative="0">
      <w:start w:val="2"/>
      <w:numFmt w:val="decimal"/>
      <w:suff w:val="nothing"/>
      <w:lvlText w:val="%1、"/>
      <w:lvlJc w:val="left"/>
    </w:lvl>
  </w:abstractNum>
  <w:abstractNum w:abstractNumId="7">
    <w:nsid w:val="260E83BC"/>
    <w:multiLevelType w:val="singleLevel"/>
    <w:tmpl w:val="260E83BC"/>
    <w:lvl w:ilvl="0" w:tentative="0">
      <w:start w:val="1"/>
      <w:numFmt w:val="decimal"/>
      <w:suff w:val="space"/>
      <w:lvlText w:val="%1."/>
      <w:lvlJc w:val="left"/>
    </w:lvl>
  </w:abstractNum>
  <w:abstractNum w:abstractNumId="8">
    <w:nsid w:val="6F781B0C"/>
    <w:multiLevelType w:val="singleLevel"/>
    <w:tmpl w:val="6F781B0C"/>
    <w:lvl w:ilvl="0" w:tentative="0">
      <w:start w:val="1"/>
      <w:numFmt w:val="decimal"/>
      <w:suff w:val="nothing"/>
      <w:lvlText w:val="%1．"/>
      <w:lvlJc w:val="left"/>
    </w:lvl>
  </w:abstractNum>
  <w:abstractNum w:abstractNumId="9">
    <w:nsid w:val="74344862"/>
    <w:multiLevelType w:val="multilevel"/>
    <w:tmpl w:val="74344862"/>
    <w:lvl w:ilvl="0" w:tentative="0">
      <w:start w:val="1"/>
      <w:numFmt w:val="decimal"/>
      <w:pStyle w:val="2"/>
      <w:isLgl/>
      <w:lvlText w:val="%1."/>
      <w:lvlJc w:val="left"/>
      <w:pPr>
        <w:tabs>
          <w:tab w:val="left" w:pos="360"/>
        </w:tabs>
        <w:ind w:left="0" w:firstLine="0"/>
      </w:pPr>
      <w:rPr>
        <w:rFonts w:hint="default" w:ascii="Arial" w:hAnsi="Arial"/>
        <w:b/>
        <w:i w:val="0"/>
        <w:sz w:val="32"/>
      </w:rPr>
    </w:lvl>
    <w:lvl w:ilvl="1" w:tentative="0">
      <w:start w:val="1"/>
      <w:numFmt w:val="decimal"/>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9"/>
  </w:num>
  <w:num w:numId="2">
    <w:abstractNumId w:val="3"/>
  </w:num>
  <w:num w:numId="3">
    <w:abstractNumId w:val="4"/>
  </w:num>
  <w:num w:numId="4">
    <w:abstractNumId w:val="1"/>
  </w:num>
  <w:num w:numId="5">
    <w:abstractNumId w:val="0"/>
  </w:num>
  <w:num w:numId="6">
    <w:abstractNumId w:val="7"/>
  </w:num>
  <w:num w:numId="7">
    <w:abstractNumId w:val="6"/>
  </w:num>
  <w:num w:numId="8">
    <w:abstractNumId w:val="2"/>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4YjdmYWU4MGEwOGE1MGRjM2JmZGVlZDI0YmY1NzAifQ=="/>
    <w:docVar w:name="KSO_WPS_MARK_KEY" w:val="a6f3dd21-cb52-4bd2-9658-41884cac2c74"/>
  </w:docVars>
  <w:rsids>
    <w:rsidRoot w:val="00000000"/>
    <w:rsid w:val="00302F10"/>
    <w:rsid w:val="00303F39"/>
    <w:rsid w:val="003063B5"/>
    <w:rsid w:val="003550AC"/>
    <w:rsid w:val="005A0A26"/>
    <w:rsid w:val="008E6302"/>
    <w:rsid w:val="00A51EDB"/>
    <w:rsid w:val="00AE488D"/>
    <w:rsid w:val="00CD5542"/>
    <w:rsid w:val="01046BAC"/>
    <w:rsid w:val="012316D3"/>
    <w:rsid w:val="01285B94"/>
    <w:rsid w:val="012F41F1"/>
    <w:rsid w:val="01695955"/>
    <w:rsid w:val="016D2207"/>
    <w:rsid w:val="01757844"/>
    <w:rsid w:val="017B45D7"/>
    <w:rsid w:val="018366B5"/>
    <w:rsid w:val="01980114"/>
    <w:rsid w:val="01A96DD5"/>
    <w:rsid w:val="01AF5332"/>
    <w:rsid w:val="01B65426"/>
    <w:rsid w:val="01BA1111"/>
    <w:rsid w:val="01C943CD"/>
    <w:rsid w:val="01E13BE4"/>
    <w:rsid w:val="021A113A"/>
    <w:rsid w:val="022C4B37"/>
    <w:rsid w:val="02532161"/>
    <w:rsid w:val="02554788"/>
    <w:rsid w:val="02592E91"/>
    <w:rsid w:val="025D441D"/>
    <w:rsid w:val="027D1797"/>
    <w:rsid w:val="02914086"/>
    <w:rsid w:val="029E58AB"/>
    <w:rsid w:val="02CC5B1F"/>
    <w:rsid w:val="02E4100B"/>
    <w:rsid w:val="02EA652B"/>
    <w:rsid w:val="0309122C"/>
    <w:rsid w:val="031331C7"/>
    <w:rsid w:val="03135D8F"/>
    <w:rsid w:val="03250108"/>
    <w:rsid w:val="0337738D"/>
    <w:rsid w:val="033F2954"/>
    <w:rsid w:val="037025A2"/>
    <w:rsid w:val="03767108"/>
    <w:rsid w:val="038875DE"/>
    <w:rsid w:val="040B7F5C"/>
    <w:rsid w:val="040E3B57"/>
    <w:rsid w:val="040F2129"/>
    <w:rsid w:val="041E1145"/>
    <w:rsid w:val="042042C5"/>
    <w:rsid w:val="04264E54"/>
    <w:rsid w:val="04404409"/>
    <w:rsid w:val="044B7594"/>
    <w:rsid w:val="04593515"/>
    <w:rsid w:val="045D72C7"/>
    <w:rsid w:val="04620C29"/>
    <w:rsid w:val="04787C5D"/>
    <w:rsid w:val="04964597"/>
    <w:rsid w:val="049C414D"/>
    <w:rsid w:val="04D44ED4"/>
    <w:rsid w:val="04DF5F2E"/>
    <w:rsid w:val="04EC47BE"/>
    <w:rsid w:val="0515479B"/>
    <w:rsid w:val="054A15F9"/>
    <w:rsid w:val="055B3B66"/>
    <w:rsid w:val="059B3475"/>
    <w:rsid w:val="05B66648"/>
    <w:rsid w:val="05BE5B43"/>
    <w:rsid w:val="05CD75E5"/>
    <w:rsid w:val="05E0569F"/>
    <w:rsid w:val="0611064E"/>
    <w:rsid w:val="06192DEE"/>
    <w:rsid w:val="066A7C44"/>
    <w:rsid w:val="066D5C59"/>
    <w:rsid w:val="06A72DA9"/>
    <w:rsid w:val="06B747AC"/>
    <w:rsid w:val="06C1230D"/>
    <w:rsid w:val="06C84BF1"/>
    <w:rsid w:val="06F6749C"/>
    <w:rsid w:val="072F3FB1"/>
    <w:rsid w:val="07406C4D"/>
    <w:rsid w:val="07573D73"/>
    <w:rsid w:val="07576C98"/>
    <w:rsid w:val="075964D6"/>
    <w:rsid w:val="078608E3"/>
    <w:rsid w:val="07925E86"/>
    <w:rsid w:val="079E22DD"/>
    <w:rsid w:val="07BC10B3"/>
    <w:rsid w:val="07C25955"/>
    <w:rsid w:val="07CF5DE6"/>
    <w:rsid w:val="07DD0E6A"/>
    <w:rsid w:val="080141FA"/>
    <w:rsid w:val="08025C9A"/>
    <w:rsid w:val="08031F33"/>
    <w:rsid w:val="081D1C8F"/>
    <w:rsid w:val="0833508F"/>
    <w:rsid w:val="0850473A"/>
    <w:rsid w:val="089112ED"/>
    <w:rsid w:val="08E17E10"/>
    <w:rsid w:val="08EB61ED"/>
    <w:rsid w:val="08F513A6"/>
    <w:rsid w:val="090715AF"/>
    <w:rsid w:val="090E0B90"/>
    <w:rsid w:val="09297EF3"/>
    <w:rsid w:val="092B7ACD"/>
    <w:rsid w:val="09410F65"/>
    <w:rsid w:val="094D6559"/>
    <w:rsid w:val="094F1E6C"/>
    <w:rsid w:val="095A72AD"/>
    <w:rsid w:val="09804917"/>
    <w:rsid w:val="098A2A6C"/>
    <w:rsid w:val="098C4980"/>
    <w:rsid w:val="09DD1D9E"/>
    <w:rsid w:val="0A003D9B"/>
    <w:rsid w:val="0A2B4431"/>
    <w:rsid w:val="0A2D3B44"/>
    <w:rsid w:val="0A2E7AA1"/>
    <w:rsid w:val="0A2F1748"/>
    <w:rsid w:val="0A367EF2"/>
    <w:rsid w:val="0A4D42F3"/>
    <w:rsid w:val="0A504D30"/>
    <w:rsid w:val="0A544F60"/>
    <w:rsid w:val="0A58257D"/>
    <w:rsid w:val="0A5B7E05"/>
    <w:rsid w:val="0A700C88"/>
    <w:rsid w:val="0A916AAA"/>
    <w:rsid w:val="0AB37C41"/>
    <w:rsid w:val="0AC736EC"/>
    <w:rsid w:val="0ACB4F8A"/>
    <w:rsid w:val="0ADD221F"/>
    <w:rsid w:val="0AE1717C"/>
    <w:rsid w:val="0AFD0EBC"/>
    <w:rsid w:val="0B0506D8"/>
    <w:rsid w:val="0B0959F5"/>
    <w:rsid w:val="0B0C227D"/>
    <w:rsid w:val="0B2A2C78"/>
    <w:rsid w:val="0B2E07D4"/>
    <w:rsid w:val="0B3A728D"/>
    <w:rsid w:val="0B481AE8"/>
    <w:rsid w:val="0B4B1C27"/>
    <w:rsid w:val="0B955598"/>
    <w:rsid w:val="0BE31CA5"/>
    <w:rsid w:val="0BE70550"/>
    <w:rsid w:val="0BF743D7"/>
    <w:rsid w:val="0C2A5CE1"/>
    <w:rsid w:val="0C770833"/>
    <w:rsid w:val="0C940A7B"/>
    <w:rsid w:val="0C9E62A8"/>
    <w:rsid w:val="0CAE0B7D"/>
    <w:rsid w:val="0CDB0E0B"/>
    <w:rsid w:val="0CF1192D"/>
    <w:rsid w:val="0D183BE6"/>
    <w:rsid w:val="0D203B35"/>
    <w:rsid w:val="0D2B6A70"/>
    <w:rsid w:val="0D3562D3"/>
    <w:rsid w:val="0D4F5DC0"/>
    <w:rsid w:val="0D557BA6"/>
    <w:rsid w:val="0D6A181D"/>
    <w:rsid w:val="0DB17DDE"/>
    <w:rsid w:val="0DB42B82"/>
    <w:rsid w:val="0DBD480A"/>
    <w:rsid w:val="0DD028B8"/>
    <w:rsid w:val="0DDA7292"/>
    <w:rsid w:val="0DDC60F9"/>
    <w:rsid w:val="0DFE7425"/>
    <w:rsid w:val="0E01712B"/>
    <w:rsid w:val="0E0C2425"/>
    <w:rsid w:val="0E163155"/>
    <w:rsid w:val="0E27694D"/>
    <w:rsid w:val="0E350BF4"/>
    <w:rsid w:val="0E376876"/>
    <w:rsid w:val="0E572FD9"/>
    <w:rsid w:val="0E6A54CB"/>
    <w:rsid w:val="0E7019A5"/>
    <w:rsid w:val="0E802EB3"/>
    <w:rsid w:val="0E87566C"/>
    <w:rsid w:val="0EAA23DC"/>
    <w:rsid w:val="0EAF24CD"/>
    <w:rsid w:val="0EC444C4"/>
    <w:rsid w:val="0EC90440"/>
    <w:rsid w:val="0F0520B3"/>
    <w:rsid w:val="0F057C30"/>
    <w:rsid w:val="0F216FEF"/>
    <w:rsid w:val="0F3925CA"/>
    <w:rsid w:val="0F3C083E"/>
    <w:rsid w:val="0F83000B"/>
    <w:rsid w:val="0F8C1C2C"/>
    <w:rsid w:val="0FD973D3"/>
    <w:rsid w:val="0FDD76B1"/>
    <w:rsid w:val="0FEE40FD"/>
    <w:rsid w:val="101926ED"/>
    <w:rsid w:val="10270741"/>
    <w:rsid w:val="102F7D69"/>
    <w:rsid w:val="103670DD"/>
    <w:rsid w:val="103709CC"/>
    <w:rsid w:val="103E0032"/>
    <w:rsid w:val="104A00D7"/>
    <w:rsid w:val="10623704"/>
    <w:rsid w:val="109B4A67"/>
    <w:rsid w:val="10A047C3"/>
    <w:rsid w:val="10CD1330"/>
    <w:rsid w:val="10F82548"/>
    <w:rsid w:val="11203B56"/>
    <w:rsid w:val="113978AB"/>
    <w:rsid w:val="113F4D77"/>
    <w:rsid w:val="115276C3"/>
    <w:rsid w:val="115B693C"/>
    <w:rsid w:val="11621A79"/>
    <w:rsid w:val="116220E5"/>
    <w:rsid w:val="11714466"/>
    <w:rsid w:val="11766027"/>
    <w:rsid w:val="11951E4E"/>
    <w:rsid w:val="119E106D"/>
    <w:rsid w:val="11B53CD6"/>
    <w:rsid w:val="11ED7245"/>
    <w:rsid w:val="11FD5C45"/>
    <w:rsid w:val="12502FCC"/>
    <w:rsid w:val="12543AB7"/>
    <w:rsid w:val="12555DAF"/>
    <w:rsid w:val="12613EC1"/>
    <w:rsid w:val="12675747"/>
    <w:rsid w:val="126B0E01"/>
    <w:rsid w:val="128517B0"/>
    <w:rsid w:val="128C060D"/>
    <w:rsid w:val="12A35905"/>
    <w:rsid w:val="12AC36F1"/>
    <w:rsid w:val="12B32FBE"/>
    <w:rsid w:val="12C624DB"/>
    <w:rsid w:val="12CD4097"/>
    <w:rsid w:val="130A141E"/>
    <w:rsid w:val="131935A9"/>
    <w:rsid w:val="1332102D"/>
    <w:rsid w:val="13385CB2"/>
    <w:rsid w:val="133B5E71"/>
    <w:rsid w:val="13573133"/>
    <w:rsid w:val="138E74A9"/>
    <w:rsid w:val="13B01340"/>
    <w:rsid w:val="13B30CB1"/>
    <w:rsid w:val="13C61BA4"/>
    <w:rsid w:val="13C92D07"/>
    <w:rsid w:val="13E946D3"/>
    <w:rsid w:val="1419732D"/>
    <w:rsid w:val="143175FC"/>
    <w:rsid w:val="14321BD6"/>
    <w:rsid w:val="14327E28"/>
    <w:rsid w:val="1439555D"/>
    <w:rsid w:val="143D057B"/>
    <w:rsid w:val="14564D54"/>
    <w:rsid w:val="1464048A"/>
    <w:rsid w:val="146A6A7C"/>
    <w:rsid w:val="148303AD"/>
    <w:rsid w:val="1496502A"/>
    <w:rsid w:val="14C12860"/>
    <w:rsid w:val="14C32556"/>
    <w:rsid w:val="14C523B0"/>
    <w:rsid w:val="14D41077"/>
    <w:rsid w:val="14DC701C"/>
    <w:rsid w:val="14FB4FB8"/>
    <w:rsid w:val="1503014F"/>
    <w:rsid w:val="15094D30"/>
    <w:rsid w:val="153A45BB"/>
    <w:rsid w:val="15674E5D"/>
    <w:rsid w:val="156A2B80"/>
    <w:rsid w:val="15A87402"/>
    <w:rsid w:val="15AC3C0A"/>
    <w:rsid w:val="15BA4E44"/>
    <w:rsid w:val="160020DE"/>
    <w:rsid w:val="16014ED0"/>
    <w:rsid w:val="161030DE"/>
    <w:rsid w:val="16145E46"/>
    <w:rsid w:val="16223ECC"/>
    <w:rsid w:val="16257519"/>
    <w:rsid w:val="163A1216"/>
    <w:rsid w:val="163C67CB"/>
    <w:rsid w:val="163D1CC3"/>
    <w:rsid w:val="163D4862"/>
    <w:rsid w:val="16514A71"/>
    <w:rsid w:val="165F6ECF"/>
    <w:rsid w:val="16AB3EC2"/>
    <w:rsid w:val="16C00B8C"/>
    <w:rsid w:val="16C803C5"/>
    <w:rsid w:val="16CA46CE"/>
    <w:rsid w:val="16D61656"/>
    <w:rsid w:val="16DA41BB"/>
    <w:rsid w:val="17037AF7"/>
    <w:rsid w:val="17055D4D"/>
    <w:rsid w:val="17057BB0"/>
    <w:rsid w:val="170F26A3"/>
    <w:rsid w:val="171F3641"/>
    <w:rsid w:val="17320262"/>
    <w:rsid w:val="173E43F5"/>
    <w:rsid w:val="175814AF"/>
    <w:rsid w:val="175D1B18"/>
    <w:rsid w:val="17614581"/>
    <w:rsid w:val="1774189A"/>
    <w:rsid w:val="178B1BF1"/>
    <w:rsid w:val="178D3727"/>
    <w:rsid w:val="17933C36"/>
    <w:rsid w:val="17C7013F"/>
    <w:rsid w:val="180F222F"/>
    <w:rsid w:val="182201B4"/>
    <w:rsid w:val="183304C3"/>
    <w:rsid w:val="183768A4"/>
    <w:rsid w:val="18536F92"/>
    <w:rsid w:val="18786851"/>
    <w:rsid w:val="18907AD2"/>
    <w:rsid w:val="189D2F79"/>
    <w:rsid w:val="18A161C9"/>
    <w:rsid w:val="18A67A86"/>
    <w:rsid w:val="18B414FA"/>
    <w:rsid w:val="18D66BE8"/>
    <w:rsid w:val="18E01745"/>
    <w:rsid w:val="191E28AD"/>
    <w:rsid w:val="194D405A"/>
    <w:rsid w:val="195D5FA2"/>
    <w:rsid w:val="196540F1"/>
    <w:rsid w:val="19C32B7D"/>
    <w:rsid w:val="19CF1661"/>
    <w:rsid w:val="1A1C6ABD"/>
    <w:rsid w:val="1A2E2E40"/>
    <w:rsid w:val="1A3C6979"/>
    <w:rsid w:val="1A6F3BFA"/>
    <w:rsid w:val="1A8C7910"/>
    <w:rsid w:val="1A985E4D"/>
    <w:rsid w:val="1A9A245A"/>
    <w:rsid w:val="1AAF7494"/>
    <w:rsid w:val="1AB33345"/>
    <w:rsid w:val="1AC27A2C"/>
    <w:rsid w:val="1AC87A71"/>
    <w:rsid w:val="1AE479A2"/>
    <w:rsid w:val="1AE83BD5"/>
    <w:rsid w:val="1AF35A36"/>
    <w:rsid w:val="1B171D8B"/>
    <w:rsid w:val="1B173E83"/>
    <w:rsid w:val="1B22431C"/>
    <w:rsid w:val="1B361621"/>
    <w:rsid w:val="1B4E2A86"/>
    <w:rsid w:val="1B545537"/>
    <w:rsid w:val="1B5D701A"/>
    <w:rsid w:val="1B6034CD"/>
    <w:rsid w:val="1B6C163B"/>
    <w:rsid w:val="1B745098"/>
    <w:rsid w:val="1B854CE1"/>
    <w:rsid w:val="1B8D1DE8"/>
    <w:rsid w:val="1BA72C4A"/>
    <w:rsid w:val="1BAA1237"/>
    <w:rsid w:val="1BCA419C"/>
    <w:rsid w:val="1BE54E7E"/>
    <w:rsid w:val="1C040A20"/>
    <w:rsid w:val="1C045E3A"/>
    <w:rsid w:val="1C231486"/>
    <w:rsid w:val="1C460CF0"/>
    <w:rsid w:val="1C47643B"/>
    <w:rsid w:val="1C4B1497"/>
    <w:rsid w:val="1C642929"/>
    <w:rsid w:val="1C6956BB"/>
    <w:rsid w:val="1C6A62F0"/>
    <w:rsid w:val="1C6F14EE"/>
    <w:rsid w:val="1C7A5BA8"/>
    <w:rsid w:val="1C7E23DB"/>
    <w:rsid w:val="1CA078F9"/>
    <w:rsid w:val="1CB76B2D"/>
    <w:rsid w:val="1CC51A75"/>
    <w:rsid w:val="1CF53F3D"/>
    <w:rsid w:val="1CFD24C2"/>
    <w:rsid w:val="1D053E5F"/>
    <w:rsid w:val="1D0C4F8F"/>
    <w:rsid w:val="1D135CD6"/>
    <w:rsid w:val="1D2B4EC9"/>
    <w:rsid w:val="1D2B62B5"/>
    <w:rsid w:val="1D6B4B1F"/>
    <w:rsid w:val="1D6F14F6"/>
    <w:rsid w:val="1D7D1D25"/>
    <w:rsid w:val="1D81597C"/>
    <w:rsid w:val="1DA30BEB"/>
    <w:rsid w:val="1DAB1412"/>
    <w:rsid w:val="1DC83A39"/>
    <w:rsid w:val="1DDD0118"/>
    <w:rsid w:val="1DEA689A"/>
    <w:rsid w:val="1DF16CDC"/>
    <w:rsid w:val="1DFB3165"/>
    <w:rsid w:val="1E004AF3"/>
    <w:rsid w:val="1E0C50C2"/>
    <w:rsid w:val="1E326E14"/>
    <w:rsid w:val="1E375F9E"/>
    <w:rsid w:val="1E4728BD"/>
    <w:rsid w:val="1E57763C"/>
    <w:rsid w:val="1E6E50E1"/>
    <w:rsid w:val="1E8B44B3"/>
    <w:rsid w:val="1E942018"/>
    <w:rsid w:val="1EAD23D1"/>
    <w:rsid w:val="1EB164E6"/>
    <w:rsid w:val="1EBA40F4"/>
    <w:rsid w:val="1EBB1268"/>
    <w:rsid w:val="1ECF68CF"/>
    <w:rsid w:val="1EF6552E"/>
    <w:rsid w:val="1F383732"/>
    <w:rsid w:val="1F501ED3"/>
    <w:rsid w:val="1F6C38C0"/>
    <w:rsid w:val="1FC25649"/>
    <w:rsid w:val="1FF735FC"/>
    <w:rsid w:val="1FFE2F26"/>
    <w:rsid w:val="1FFE32B4"/>
    <w:rsid w:val="20036ED8"/>
    <w:rsid w:val="20140D2A"/>
    <w:rsid w:val="204D45EB"/>
    <w:rsid w:val="204F4D4C"/>
    <w:rsid w:val="205B2DEF"/>
    <w:rsid w:val="20834626"/>
    <w:rsid w:val="208A0422"/>
    <w:rsid w:val="209854B7"/>
    <w:rsid w:val="20AB6752"/>
    <w:rsid w:val="20CF3ABE"/>
    <w:rsid w:val="20DC4A9E"/>
    <w:rsid w:val="20E51A83"/>
    <w:rsid w:val="20EA3848"/>
    <w:rsid w:val="20FC5C4E"/>
    <w:rsid w:val="210854E4"/>
    <w:rsid w:val="211B195F"/>
    <w:rsid w:val="214A0354"/>
    <w:rsid w:val="216D208B"/>
    <w:rsid w:val="21713C9D"/>
    <w:rsid w:val="219A2146"/>
    <w:rsid w:val="219F5D1F"/>
    <w:rsid w:val="21A97419"/>
    <w:rsid w:val="21BF6A73"/>
    <w:rsid w:val="21D830C6"/>
    <w:rsid w:val="21DE2E1D"/>
    <w:rsid w:val="220875A2"/>
    <w:rsid w:val="220D3C59"/>
    <w:rsid w:val="22391BCB"/>
    <w:rsid w:val="228C5569"/>
    <w:rsid w:val="229D5007"/>
    <w:rsid w:val="22B23F56"/>
    <w:rsid w:val="22CE6B1E"/>
    <w:rsid w:val="22D66558"/>
    <w:rsid w:val="22E074EE"/>
    <w:rsid w:val="22E40EB7"/>
    <w:rsid w:val="22F62969"/>
    <w:rsid w:val="23133519"/>
    <w:rsid w:val="23580F2E"/>
    <w:rsid w:val="23655306"/>
    <w:rsid w:val="236947AB"/>
    <w:rsid w:val="23780A91"/>
    <w:rsid w:val="237A7A04"/>
    <w:rsid w:val="2393640A"/>
    <w:rsid w:val="23964EBC"/>
    <w:rsid w:val="239B0124"/>
    <w:rsid w:val="23A01951"/>
    <w:rsid w:val="23A51114"/>
    <w:rsid w:val="23B02B18"/>
    <w:rsid w:val="23B4085A"/>
    <w:rsid w:val="23B973C9"/>
    <w:rsid w:val="23BA621C"/>
    <w:rsid w:val="23DF51AB"/>
    <w:rsid w:val="23E6478B"/>
    <w:rsid w:val="23EE5D04"/>
    <w:rsid w:val="23EF68A7"/>
    <w:rsid w:val="2409013C"/>
    <w:rsid w:val="240A66CC"/>
    <w:rsid w:val="24273CE8"/>
    <w:rsid w:val="243B4AD7"/>
    <w:rsid w:val="243E1117"/>
    <w:rsid w:val="244734D1"/>
    <w:rsid w:val="2484316A"/>
    <w:rsid w:val="24894F5F"/>
    <w:rsid w:val="249C05E8"/>
    <w:rsid w:val="24A74545"/>
    <w:rsid w:val="24A97D2A"/>
    <w:rsid w:val="24B3327E"/>
    <w:rsid w:val="24EA1949"/>
    <w:rsid w:val="25125847"/>
    <w:rsid w:val="25130A43"/>
    <w:rsid w:val="2514647E"/>
    <w:rsid w:val="251B2213"/>
    <w:rsid w:val="25507A1E"/>
    <w:rsid w:val="255A5B9E"/>
    <w:rsid w:val="25705FD6"/>
    <w:rsid w:val="258C0AE7"/>
    <w:rsid w:val="258C4438"/>
    <w:rsid w:val="2596556F"/>
    <w:rsid w:val="25BA2207"/>
    <w:rsid w:val="25BA28AD"/>
    <w:rsid w:val="25CD0177"/>
    <w:rsid w:val="25D41A11"/>
    <w:rsid w:val="25FF470E"/>
    <w:rsid w:val="261153FA"/>
    <w:rsid w:val="26133672"/>
    <w:rsid w:val="26320A21"/>
    <w:rsid w:val="264C0D83"/>
    <w:rsid w:val="26642B87"/>
    <w:rsid w:val="2668111B"/>
    <w:rsid w:val="26713151"/>
    <w:rsid w:val="267F7D7B"/>
    <w:rsid w:val="268D30E5"/>
    <w:rsid w:val="26962CE8"/>
    <w:rsid w:val="26977607"/>
    <w:rsid w:val="26B24DF9"/>
    <w:rsid w:val="26B7038D"/>
    <w:rsid w:val="26B92826"/>
    <w:rsid w:val="26DA57F5"/>
    <w:rsid w:val="26E773BD"/>
    <w:rsid w:val="26E825C8"/>
    <w:rsid w:val="26ED706D"/>
    <w:rsid w:val="26FC337F"/>
    <w:rsid w:val="26FF4403"/>
    <w:rsid w:val="270207F3"/>
    <w:rsid w:val="271C0EE5"/>
    <w:rsid w:val="27315D1D"/>
    <w:rsid w:val="275066FB"/>
    <w:rsid w:val="27513C7C"/>
    <w:rsid w:val="2791112C"/>
    <w:rsid w:val="27914C58"/>
    <w:rsid w:val="27993DFE"/>
    <w:rsid w:val="279A7D67"/>
    <w:rsid w:val="27A374BF"/>
    <w:rsid w:val="27A95B68"/>
    <w:rsid w:val="27C733EA"/>
    <w:rsid w:val="27C85867"/>
    <w:rsid w:val="27D06A68"/>
    <w:rsid w:val="27E12EE8"/>
    <w:rsid w:val="28100029"/>
    <w:rsid w:val="28157E47"/>
    <w:rsid w:val="28292E99"/>
    <w:rsid w:val="283333A6"/>
    <w:rsid w:val="284038C1"/>
    <w:rsid w:val="28572D53"/>
    <w:rsid w:val="2858552C"/>
    <w:rsid w:val="286C67ED"/>
    <w:rsid w:val="2874590C"/>
    <w:rsid w:val="289D59E7"/>
    <w:rsid w:val="28AD5878"/>
    <w:rsid w:val="28BB61E6"/>
    <w:rsid w:val="28C3163E"/>
    <w:rsid w:val="28C606E7"/>
    <w:rsid w:val="28C7375A"/>
    <w:rsid w:val="28D472A8"/>
    <w:rsid w:val="28DC7782"/>
    <w:rsid w:val="28EB3E05"/>
    <w:rsid w:val="28FB76D6"/>
    <w:rsid w:val="29032E13"/>
    <w:rsid w:val="290D760A"/>
    <w:rsid w:val="294D0F41"/>
    <w:rsid w:val="295C1DCB"/>
    <w:rsid w:val="295F0C26"/>
    <w:rsid w:val="296323DA"/>
    <w:rsid w:val="296C5E4B"/>
    <w:rsid w:val="29763EBB"/>
    <w:rsid w:val="298962E5"/>
    <w:rsid w:val="299235CD"/>
    <w:rsid w:val="29C235A5"/>
    <w:rsid w:val="29C31FE7"/>
    <w:rsid w:val="29C57713"/>
    <w:rsid w:val="29CA2832"/>
    <w:rsid w:val="29CD1757"/>
    <w:rsid w:val="29CF0654"/>
    <w:rsid w:val="29DA1809"/>
    <w:rsid w:val="29DF4748"/>
    <w:rsid w:val="2A272CBB"/>
    <w:rsid w:val="2A2A3398"/>
    <w:rsid w:val="2A4A01BF"/>
    <w:rsid w:val="2A8D770F"/>
    <w:rsid w:val="2A9061F0"/>
    <w:rsid w:val="2A906716"/>
    <w:rsid w:val="2AAA58A7"/>
    <w:rsid w:val="2AAA7CD1"/>
    <w:rsid w:val="2AAD2C5B"/>
    <w:rsid w:val="2AB836F9"/>
    <w:rsid w:val="2AC1107B"/>
    <w:rsid w:val="2ACF6A66"/>
    <w:rsid w:val="2AF80A3C"/>
    <w:rsid w:val="2B0F4A76"/>
    <w:rsid w:val="2B237433"/>
    <w:rsid w:val="2B376EF1"/>
    <w:rsid w:val="2B436593"/>
    <w:rsid w:val="2B447F09"/>
    <w:rsid w:val="2B54426A"/>
    <w:rsid w:val="2B5E10AB"/>
    <w:rsid w:val="2B611B28"/>
    <w:rsid w:val="2B6406E0"/>
    <w:rsid w:val="2B82439B"/>
    <w:rsid w:val="2B892B28"/>
    <w:rsid w:val="2B897B58"/>
    <w:rsid w:val="2B8E75FA"/>
    <w:rsid w:val="2B96320C"/>
    <w:rsid w:val="2BC726D4"/>
    <w:rsid w:val="2BD726CB"/>
    <w:rsid w:val="2BE421E2"/>
    <w:rsid w:val="2BE44FB7"/>
    <w:rsid w:val="2BFD6B16"/>
    <w:rsid w:val="2C0D25A4"/>
    <w:rsid w:val="2C5279E1"/>
    <w:rsid w:val="2C7938F1"/>
    <w:rsid w:val="2C826257"/>
    <w:rsid w:val="2C8608B9"/>
    <w:rsid w:val="2CA92A70"/>
    <w:rsid w:val="2CB85DC7"/>
    <w:rsid w:val="2CCB5114"/>
    <w:rsid w:val="2CE804C1"/>
    <w:rsid w:val="2CEB4BC0"/>
    <w:rsid w:val="2CF577ED"/>
    <w:rsid w:val="2D1934DC"/>
    <w:rsid w:val="2D1B5829"/>
    <w:rsid w:val="2D264634"/>
    <w:rsid w:val="2D631E37"/>
    <w:rsid w:val="2D6B26AC"/>
    <w:rsid w:val="2D6F658A"/>
    <w:rsid w:val="2D796670"/>
    <w:rsid w:val="2D7E3C87"/>
    <w:rsid w:val="2D7E5637"/>
    <w:rsid w:val="2D9E266D"/>
    <w:rsid w:val="2DBA2F11"/>
    <w:rsid w:val="2DBB27E5"/>
    <w:rsid w:val="2DBE4352"/>
    <w:rsid w:val="2DD90EBD"/>
    <w:rsid w:val="2DF41A75"/>
    <w:rsid w:val="2DF83A39"/>
    <w:rsid w:val="2E160A79"/>
    <w:rsid w:val="2E1B2195"/>
    <w:rsid w:val="2E1F5D45"/>
    <w:rsid w:val="2E2849B1"/>
    <w:rsid w:val="2E2A66C0"/>
    <w:rsid w:val="2E585062"/>
    <w:rsid w:val="2E9077CD"/>
    <w:rsid w:val="2EAD78DA"/>
    <w:rsid w:val="2EBF60CC"/>
    <w:rsid w:val="2EC536B1"/>
    <w:rsid w:val="2ED718A0"/>
    <w:rsid w:val="2EED6500"/>
    <w:rsid w:val="2EF75BC2"/>
    <w:rsid w:val="2EF91817"/>
    <w:rsid w:val="2F045B74"/>
    <w:rsid w:val="2F49339F"/>
    <w:rsid w:val="2F4A3E20"/>
    <w:rsid w:val="2F5437D7"/>
    <w:rsid w:val="2F5907C2"/>
    <w:rsid w:val="2F5E167A"/>
    <w:rsid w:val="2F6652C9"/>
    <w:rsid w:val="2F666780"/>
    <w:rsid w:val="2F6A001E"/>
    <w:rsid w:val="2F765BE3"/>
    <w:rsid w:val="2F7700C7"/>
    <w:rsid w:val="2F8D6FB1"/>
    <w:rsid w:val="2FA8323D"/>
    <w:rsid w:val="2FA86928"/>
    <w:rsid w:val="2FCE5F99"/>
    <w:rsid w:val="2FD302BA"/>
    <w:rsid w:val="2FE53AD9"/>
    <w:rsid w:val="2FEE0E7F"/>
    <w:rsid w:val="30075E29"/>
    <w:rsid w:val="300C7328"/>
    <w:rsid w:val="30135DE1"/>
    <w:rsid w:val="30142680"/>
    <w:rsid w:val="301D1908"/>
    <w:rsid w:val="30215442"/>
    <w:rsid w:val="30224D9D"/>
    <w:rsid w:val="3046141C"/>
    <w:rsid w:val="304C1E1A"/>
    <w:rsid w:val="30851875"/>
    <w:rsid w:val="3094442B"/>
    <w:rsid w:val="30A6777C"/>
    <w:rsid w:val="30F15235"/>
    <w:rsid w:val="30F733F0"/>
    <w:rsid w:val="31234DF0"/>
    <w:rsid w:val="31295890"/>
    <w:rsid w:val="315F792B"/>
    <w:rsid w:val="31635855"/>
    <w:rsid w:val="316D40D3"/>
    <w:rsid w:val="31761C0B"/>
    <w:rsid w:val="31990573"/>
    <w:rsid w:val="31DA289A"/>
    <w:rsid w:val="31F167D5"/>
    <w:rsid w:val="31F65ADA"/>
    <w:rsid w:val="321F23AB"/>
    <w:rsid w:val="323D1E9A"/>
    <w:rsid w:val="3263158B"/>
    <w:rsid w:val="32697C74"/>
    <w:rsid w:val="32727C46"/>
    <w:rsid w:val="328C29A2"/>
    <w:rsid w:val="328D6711"/>
    <w:rsid w:val="32905BE0"/>
    <w:rsid w:val="32B24074"/>
    <w:rsid w:val="32B32D69"/>
    <w:rsid w:val="33193B4E"/>
    <w:rsid w:val="33452DCE"/>
    <w:rsid w:val="334B3E65"/>
    <w:rsid w:val="3362403F"/>
    <w:rsid w:val="336F654B"/>
    <w:rsid w:val="3376215D"/>
    <w:rsid w:val="33883169"/>
    <w:rsid w:val="33963402"/>
    <w:rsid w:val="33A06705"/>
    <w:rsid w:val="33A37681"/>
    <w:rsid w:val="33A67A93"/>
    <w:rsid w:val="33BE25A0"/>
    <w:rsid w:val="33C33B81"/>
    <w:rsid w:val="33E01882"/>
    <w:rsid w:val="33F425AD"/>
    <w:rsid w:val="33FD4F90"/>
    <w:rsid w:val="342A2472"/>
    <w:rsid w:val="342D08E2"/>
    <w:rsid w:val="342E7344"/>
    <w:rsid w:val="34353186"/>
    <w:rsid w:val="343B467F"/>
    <w:rsid w:val="34715863"/>
    <w:rsid w:val="348240B1"/>
    <w:rsid w:val="349446F1"/>
    <w:rsid w:val="349F5C9D"/>
    <w:rsid w:val="34A61E3C"/>
    <w:rsid w:val="34AC083E"/>
    <w:rsid w:val="34B0194F"/>
    <w:rsid w:val="34BE7624"/>
    <w:rsid w:val="34C226AB"/>
    <w:rsid w:val="34C603ED"/>
    <w:rsid w:val="34C8566B"/>
    <w:rsid w:val="34CA58AC"/>
    <w:rsid w:val="3551481A"/>
    <w:rsid w:val="35544549"/>
    <w:rsid w:val="356517CB"/>
    <w:rsid w:val="35652CBC"/>
    <w:rsid w:val="357D12FE"/>
    <w:rsid w:val="358313F9"/>
    <w:rsid w:val="358C35E9"/>
    <w:rsid w:val="35A20969"/>
    <w:rsid w:val="35B244CD"/>
    <w:rsid w:val="35BC359E"/>
    <w:rsid w:val="35D53506"/>
    <w:rsid w:val="35E72B82"/>
    <w:rsid w:val="35FA6BF9"/>
    <w:rsid w:val="35FD7269"/>
    <w:rsid w:val="36155FC4"/>
    <w:rsid w:val="361E794B"/>
    <w:rsid w:val="36213401"/>
    <w:rsid w:val="363671E5"/>
    <w:rsid w:val="36592B9B"/>
    <w:rsid w:val="3660584B"/>
    <w:rsid w:val="368A712D"/>
    <w:rsid w:val="36A715E7"/>
    <w:rsid w:val="36AE35C7"/>
    <w:rsid w:val="36D33645"/>
    <w:rsid w:val="36D661F5"/>
    <w:rsid w:val="36D668E1"/>
    <w:rsid w:val="36DB3EF8"/>
    <w:rsid w:val="36EB0F1E"/>
    <w:rsid w:val="36F148D6"/>
    <w:rsid w:val="371D006C"/>
    <w:rsid w:val="373779E2"/>
    <w:rsid w:val="375D66BB"/>
    <w:rsid w:val="37A518FD"/>
    <w:rsid w:val="37C05CF7"/>
    <w:rsid w:val="37D053CD"/>
    <w:rsid w:val="37DD1059"/>
    <w:rsid w:val="38013212"/>
    <w:rsid w:val="38174576"/>
    <w:rsid w:val="381E5E4A"/>
    <w:rsid w:val="38224FCA"/>
    <w:rsid w:val="38364BD7"/>
    <w:rsid w:val="385B0B84"/>
    <w:rsid w:val="38644F4E"/>
    <w:rsid w:val="386A403E"/>
    <w:rsid w:val="386C1183"/>
    <w:rsid w:val="388D2FD0"/>
    <w:rsid w:val="388F74C2"/>
    <w:rsid w:val="38986AF7"/>
    <w:rsid w:val="3899266B"/>
    <w:rsid w:val="39050DB8"/>
    <w:rsid w:val="391142B3"/>
    <w:rsid w:val="391C50DA"/>
    <w:rsid w:val="39316051"/>
    <w:rsid w:val="393F49A1"/>
    <w:rsid w:val="39420173"/>
    <w:rsid w:val="394C69E7"/>
    <w:rsid w:val="394F2E2D"/>
    <w:rsid w:val="39555A8A"/>
    <w:rsid w:val="395A1104"/>
    <w:rsid w:val="395C1063"/>
    <w:rsid w:val="397E5BCA"/>
    <w:rsid w:val="397F74C0"/>
    <w:rsid w:val="39934616"/>
    <w:rsid w:val="39C32496"/>
    <w:rsid w:val="39C44F7A"/>
    <w:rsid w:val="39C65F31"/>
    <w:rsid w:val="39D37108"/>
    <w:rsid w:val="39FF1CFC"/>
    <w:rsid w:val="3A0F0276"/>
    <w:rsid w:val="3A12378C"/>
    <w:rsid w:val="3A285D97"/>
    <w:rsid w:val="3A57630A"/>
    <w:rsid w:val="3A6C365F"/>
    <w:rsid w:val="3A772AB3"/>
    <w:rsid w:val="3A8108E7"/>
    <w:rsid w:val="3AA43493"/>
    <w:rsid w:val="3AE35129"/>
    <w:rsid w:val="3AE53BD4"/>
    <w:rsid w:val="3AFD44E9"/>
    <w:rsid w:val="3B0C32F2"/>
    <w:rsid w:val="3B1F2605"/>
    <w:rsid w:val="3B251BE5"/>
    <w:rsid w:val="3B2D11D1"/>
    <w:rsid w:val="3B3236A6"/>
    <w:rsid w:val="3B4A1910"/>
    <w:rsid w:val="3B4A33FA"/>
    <w:rsid w:val="3B5344E9"/>
    <w:rsid w:val="3B6273BD"/>
    <w:rsid w:val="3B750477"/>
    <w:rsid w:val="3B8C6A7D"/>
    <w:rsid w:val="3BAB3E99"/>
    <w:rsid w:val="3BC90CAA"/>
    <w:rsid w:val="3BD05F66"/>
    <w:rsid w:val="3BE41159"/>
    <w:rsid w:val="3BEC625F"/>
    <w:rsid w:val="3C01297F"/>
    <w:rsid w:val="3C104BB9"/>
    <w:rsid w:val="3C11017C"/>
    <w:rsid w:val="3C34309D"/>
    <w:rsid w:val="3C394AC3"/>
    <w:rsid w:val="3C44618F"/>
    <w:rsid w:val="3C6A5EA7"/>
    <w:rsid w:val="3C72447B"/>
    <w:rsid w:val="3C805325"/>
    <w:rsid w:val="3C82340E"/>
    <w:rsid w:val="3CA20800"/>
    <w:rsid w:val="3CD7749A"/>
    <w:rsid w:val="3CDB3D0C"/>
    <w:rsid w:val="3D0837FF"/>
    <w:rsid w:val="3D0C3F38"/>
    <w:rsid w:val="3D0D2879"/>
    <w:rsid w:val="3D0D40C6"/>
    <w:rsid w:val="3D3B15FC"/>
    <w:rsid w:val="3D5E4F3B"/>
    <w:rsid w:val="3D7354B4"/>
    <w:rsid w:val="3D7824A0"/>
    <w:rsid w:val="3D787D8B"/>
    <w:rsid w:val="3D8C761B"/>
    <w:rsid w:val="3D9350EC"/>
    <w:rsid w:val="3D960B78"/>
    <w:rsid w:val="3DAF50BF"/>
    <w:rsid w:val="3DBA4867"/>
    <w:rsid w:val="3DDF3908"/>
    <w:rsid w:val="3DEE5862"/>
    <w:rsid w:val="3DF71388"/>
    <w:rsid w:val="3E0E00BB"/>
    <w:rsid w:val="3E101F44"/>
    <w:rsid w:val="3E311DD9"/>
    <w:rsid w:val="3E3B0FE4"/>
    <w:rsid w:val="3E720C9E"/>
    <w:rsid w:val="3E7C4616"/>
    <w:rsid w:val="3E8460AC"/>
    <w:rsid w:val="3E856C24"/>
    <w:rsid w:val="3E8D3D29"/>
    <w:rsid w:val="3EA352FB"/>
    <w:rsid w:val="3EB23790"/>
    <w:rsid w:val="3EBC7939"/>
    <w:rsid w:val="3ED22549"/>
    <w:rsid w:val="3ED857B4"/>
    <w:rsid w:val="3EE62855"/>
    <w:rsid w:val="3F1C6A68"/>
    <w:rsid w:val="3F376E41"/>
    <w:rsid w:val="3F3E76E8"/>
    <w:rsid w:val="3F416335"/>
    <w:rsid w:val="3F42547A"/>
    <w:rsid w:val="3F505F3A"/>
    <w:rsid w:val="3F647466"/>
    <w:rsid w:val="3F6525B6"/>
    <w:rsid w:val="3F6D437C"/>
    <w:rsid w:val="3F6E5709"/>
    <w:rsid w:val="3F793808"/>
    <w:rsid w:val="3F8C1AB0"/>
    <w:rsid w:val="3F930BD7"/>
    <w:rsid w:val="3F9F073C"/>
    <w:rsid w:val="3FB452E6"/>
    <w:rsid w:val="3FC4377B"/>
    <w:rsid w:val="3FC524E6"/>
    <w:rsid w:val="3FD80FD4"/>
    <w:rsid w:val="3FF24339"/>
    <w:rsid w:val="3FFA7421"/>
    <w:rsid w:val="400B33DD"/>
    <w:rsid w:val="40481B13"/>
    <w:rsid w:val="405462BD"/>
    <w:rsid w:val="40557881"/>
    <w:rsid w:val="40755D2E"/>
    <w:rsid w:val="40B01F51"/>
    <w:rsid w:val="40C60FDC"/>
    <w:rsid w:val="40E42C3F"/>
    <w:rsid w:val="411A6A77"/>
    <w:rsid w:val="411B561D"/>
    <w:rsid w:val="412616D9"/>
    <w:rsid w:val="416565A8"/>
    <w:rsid w:val="41782A6F"/>
    <w:rsid w:val="418F600A"/>
    <w:rsid w:val="41AD0D41"/>
    <w:rsid w:val="41AD1AC7"/>
    <w:rsid w:val="41CA4BF0"/>
    <w:rsid w:val="4221533C"/>
    <w:rsid w:val="423E7579"/>
    <w:rsid w:val="426C2A36"/>
    <w:rsid w:val="42A258CA"/>
    <w:rsid w:val="42A86AD5"/>
    <w:rsid w:val="42B775C7"/>
    <w:rsid w:val="42BC2E2F"/>
    <w:rsid w:val="42C40207"/>
    <w:rsid w:val="42E16106"/>
    <w:rsid w:val="42F16822"/>
    <w:rsid w:val="432D57C7"/>
    <w:rsid w:val="432F5B22"/>
    <w:rsid w:val="433C5D1E"/>
    <w:rsid w:val="43503069"/>
    <w:rsid w:val="4380678D"/>
    <w:rsid w:val="438B2350"/>
    <w:rsid w:val="439A4112"/>
    <w:rsid w:val="43BD47B1"/>
    <w:rsid w:val="43D2016A"/>
    <w:rsid w:val="440E4C9C"/>
    <w:rsid w:val="444F180D"/>
    <w:rsid w:val="4463649C"/>
    <w:rsid w:val="448D70DF"/>
    <w:rsid w:val="45003C28"/>
    <w:rsid w:val="450307DC"/>
    <w:rsid w:val="45056793"/>
    <w:rsid w:val="45124F88"/>
    <w:rsid w:val="452A5A17"/>
    <w:rsid w:val="45324AD4"/>
    <w:rsid w:val="454A1DDF"/>
    <w:rsid w:val="45575091"/>
    <w:rsid w:val="455C0822"/>
    <w:rsid w:val="455F7981"/>
    <w:rsid w:val="456620CF"/>
    <w:rsid w:val="457705D9"/>
    <w:rsid w:val="459F7F09"/>
    <w:rsid w:val="45A90B9F"/>
    <w:rsid w:val="45AD496C"/>
    <w:rsid w:val="45BF36C3"/>
    <w:rsid w:val="45EC3696"/>
    <w:rsid w:val="45F75F2C"/>
    <w:rsid w:val="462316BA"/>
    <w:rsid w:val="46373F16"/>
    <w:rsid w:val="463E2317"/>
    <w:rsid w:val="46572915"/>
    <w:rsid w:val="466A4950"/>
    <w:rsid w:val="466A51C4"/>
    <w:rsid w:val="467248DA"/>
    <w:rsid w:val="46743BDE"/>
    <w:rsid w:val="46804174"/>
    <w:rsid w:val="469519CD"/>
    <w:rsid w:val="469B38E1"/>
    <w:rsid w:val="46A829F2"/>
    <w:rsid w:val="46AE4406"/>
    <w:rsid w:val="46CB0AA3"/>
    <w:rsid w:val="46E42146"/>
    <w:rsid w:val="46F45752"/>
    <w:rsid w:val="46FD7572"/>
    <w:rsid w:val="471A6376"/>
    <w:rsid w:val="47215957"/>
    <w:rsid w:val="474141E3"/>
    <w:rsid w:val="474D7752"/>
    <w:rsid w:val="47516DF8"/>
    <w:rsid w:val="47571378"/>
    <w:rsid w:val="477E7882"/>
    <w:rsid w:val="47841FD2"/>
    <w:rsid w:val="47AB76E6"/>
    <w:rsid w:val="47B82856"/>
    <w:rsid w:val="47CB3515"/>
    <w:rsid w:val="47CD2765"/>
    <w:rsid w:val="47D34EAF"/>
    <w:rsid w:val="47D44232"/>
    <w:rsid w:val="47DB3D58"/>
    <w:rsid w:val="47E26E94"/>
    <w:rsid w:val="481F4F1F"/>
    <w:rsid w:val="481F704D"/>
    <w:rsid w:val="48250B74"/>
    <w:rsid w:val="482E20D9"/>
    <w:rsid w:val="483829D4"/>
    <w:rsid w:val="483C0B1B"/>
    <w:rsid w:val="48543938"/>
    <w:rsid w:val="48557369"/>
    <w:rsid w:val="486977A6"/>
    <w:rsid w:val="487970CD"/>
    <w:rsid w:val="488D2EA7"/>
    <w:rsid w:val="48A8186A"/>
    <w:rsid w:val="48AE67F8"/>
    <w:rsid w:val="48C1283B"/>
    <w:rsid w:val="48CA7692"/>
    <w:rsid w:val="48DC7D87"/>
    <w:rsid w:val="48E12165"/>
    <w:rsid w:val="48ED15CE"/>
    <w:rsid w:val="48F363E2"/>
    <w:rsid w:val="49000399"/>
    <w:rsid w:val="49272470"/>
    <w:rsid w:val="492B03C7"/>
    <w:rsid w:val="49341C23"/>
    <w:rsid w:val="493D1B4E"/>
    <w:rsid w:val="49524475"/>
    <w:rsid w:val="495716B4"/>
    <w:rsid w:val="49883824"/>
    <w:rsid w:val="498F30DA"/>
    <w:rsid w:val="49AF0E4E"/>
    <w:rsid w:val="49B302F8"/>
    <w:rsid w:val="49C36D7A"/>
    <w:rsid w:val="49F033BE"/>
    <w:rsid w:val="49F97996"/>
    <w:rsid w:val="4A094DF1"/>
    <w:rsid w:val="4A0B658E"/>
    <w:rsid w:val="4A24612F"/>
    <w:rsid w:val="4A27380A"/>
    <w:rsid w:val="4A3634C7"/>
    <w:rsid w:val="4A4E34DD"/>
    <w:rsid w:val="4A513E5D"/>
    <w:rsid w:val="4A541B9F"/>
    <w:rsid w:val="4A5D1398"/>
    <w:rsid w:val="4A952929"/>
    <w:rsid w:val="4A980D91"/>
    <w:rsid w:val="4A9B332A"/>
    <w:rsid w:val="4AA350C8"/>
    <w:rsid w:val="4AB25920"/>
    <w:rsid w:val="4AB368C6"/>
    <w:rsid w:val="4ACF7CD1"/>
    <w:rsid w:val="4AF95CE5"/>
    <w:rsid w:val="4B0C4AE6"/>
    <w:rsid w:val="4B127760"/>
    <w:rsid w:val="4B21263A"/>
    <w:rsid w:val="4B4711F5"/>
    <w:rsid w:val="4B663938"/>
    <w:rsid w:val="4B6E328C"/>
    <w:rsid w:val="4BA20C34"/>
    <w:rsid w:val="4BB15FE6"/>
    <w:rsid w:val="4BD10D61"/>
    <w:rsid w:val="4BE11211"/>
    <w:rsid w:val="4BE21AE2"/>
    <w:rsid w:val="4BE42D0A"/>
    <w:rsid w:val="4BE7524F"/>
    <w:rsid w:val="4C185FDB"/>
    <w:rsid w:val="4C437E68"/>
    <w:rsid w:val="4C5A16D5"/>
    <w:rsid w:val="4C70261B"/>
    <w:rsid w:val="4C8D4856"/>
    <w:rsid w:val="4C8F4A2E"/>
    <w:rsid w:val="4C952D38"/>
    <w:rsid w:val="4C953036"/>
    <w:rsid w:val="4C970912"/>
    <w:rsid w:val="4CAC5CC8"/>
    <w:rsid w:val="4CB37B3D"/>
    <w:rsid w:val="4CC04C8C"/>
    <w:rsid w:val="4D364096"/>
    <w:rsid w:val="4D86159C"/>
    <w:rsid w:val="4D9140EB"/>
    <w:rsid w:val="4D9660D0"/>
    <w:rsid w:val="4DBB3F48"/>
    <w:rsid w:val="4DDF5C24"/>
    <w:rsid w:val="4E0622EB"/>
    <w:rsid w:val="4E3C61C2"/>
    <w:rsid w:val="4E51259E"/>
    <w:rsid w:val="4E5263F6"/>
    <w:rsid w:val="4E5D11DD"/>
    <w:rsid w:val="4E766C34"/>
    <w:rsid w:val="4EA00D3F"/>
    <w:rsid w:val="4EB72F70"/>
    <w:rsid w:val="4EDD03B5"/>
    <w:rsid w:val="4EF9422D"/>
    <w:rsid w:val="4F323A99"/>
    <w:rsid w:val="4F4703E2"/>
    <w:rsid w:val="4F790865"/>
    <w:rsid w:val="4F792BC6"/>
    <w:rsid w:val="4F950E9F"/>
    <w:rsid w:val="4FC903C6"/>
    <w:rsid w:val="4FCD042A"/>
    <w:rsid w:val="50255487"/>
    <w:rsid w:val="503178BF"/>
    <w:rsid w:val="50595EB7"/>
    <w:rsid w:val="50636438"/>
    <w:rsid w:val="50974594"/>
    <w:rsid w:val="50BF03D7"/>
    <w:rsid w:val="50F169CC"/>
    <w:rsid w:val="510A33F8"/>
    <w:rsid w:val="51114346"/>
    <w:rsid w:val="51223C7C"/>
    <w:rsid w:val="513076B9"/>
    <w:rsid w:val="514C50E2"/>
    <w:rsid w:val="51575829"/>
    <w:rsid w:val="51625088"/>
    <w:rsid w:val="518662FA"/>
    <w:rsid w:val="51A86A95"/>
    <w:rsid w:val="51AD12B1"/>
    <w:rsid w:val="51AF590D"/>
    <w:rsid w:val="51B06FB4"/>
    <w:rsid w:val="51B24CEB"/>
    <w:rsid w:val="51C3421B"/>
    <w:rsid w:val="51D649EB"/>
    <w:rsid w:val="51DF56F5"/>
    <w:rsid w:val="51E97071"/>
    <w:rsid w:val="521A1AC2"/>
    <w:rsid w:val="522C4DBA"/>
    <w:rsid w:val="52443D8A"/>
    <w:rsid w:val="525941F7"/>
    <w:rsid w:val="526E2FB0"/>
    <w:rsid w:val="5284534C"/>
    <w:rsid w:val="5285323E"/>
    <w:rsid w:val="52877104"/>
    <w:rsid w:val="52A73E58"/>
    <w:rsid w:val="52BA242D"/>
    <w:rsid w:val="52C43E2D"/>
    <w:rsid w:val="52EE3C24"/>
    <w:rsid w:val="52F37C27"/>
    <w:rsid w:val="53137D72"/>
    <w:rsid w:val="532A31D8"/>
    <w:rsid w:val="53352784"/>
    <w:rsid w:val="5367516E"/>
    <w:rsid w:val="53933738"/>
    <w:rsid w:val="539645EA"/>
    <w:rsid w:val="539C21EF"/>
    <w:rsid w:val="53A974C1"/>
    <w:rsid w:val="53BA14EF"/>
    <w:rsid w:val="53BD07B5"/>
    <w:rsid w:val="53CB7A33"/>
    <w:rsid w:val="53EE32EC"/>
    <w:rsid w:val="53F1220D"/>
    <w:rsid w:val="54192B30"/>
    <w:rsid w:val="542C59C8"/>
    <w:rsid w:val="54344842"/>
    <w:rsid w:val="546E1AAF"/>
    <w:rsid w:val="547C23DF"/>
    <w:rsid w:val="54856691"/>
    <w:rsid w:val="548B28BC"/>
    <w:rsid w:val="54AC1E24"/>
    <w:rsid w:val="54AC60B8"/>
    <w:rsid w:val="54B27F02"/>
    <w:rsid w:val="54BE6DD0"/>
    <w:rsid w:val="54C17166"/>
    <w:rsid w:val="54CF7B30"/>
    <w:rsid w:val="54D648A1"/>
    <w:rsid w:val="54F91434"/>
    <w:rsid w:val="54FE72D7"/>
    <w:rsid w:val="551348C0"/>
    <w:rsid w:val="55350A2A"/>
    <w:rsid w:val="553B1B13"/>
    <w:rsid w:val="55405D5C"/>
    <w:rsid w:val="558A0B6B"/>
    <w:rsid w:val="558A46C7"/>
    <w:rsid w:val="5590361F"/>
    <w:rsid w:val="55A42946"/>
    <w:rsid w:val="55AF1321"/>
    <w:rsid w:val="55AF5E79"/>
    <w:rsid w:val="55CC0ED9"/>
    <w:rsid w:val="55FF50B5"/>
    <w:rsid w:val="5621327D"/>
    <w:rsid w:val="562708A1"/>
    <w:rsid w:val="56364179"/>
    <w:rsid w:val="563A24CB"/>
    <w:rsid w:val="564620B5"/>
    <w:rsid w:val="56525636"/>
    <w:rsid w:val="565844F7"/>
    <w:rsid w:val="566341FA"/>
    <w:rsid w:val="566B62A7"/>
    <w:rsid w:val="567C0A12"/>
    <w:rsid w:val="571E3739"/>
    <w:rsid w:val="57275511"/>
    <w:rsid w:val="574134AB"/>
    <w:rsid w:val="57452F9B"/>
    <w:rsid w:val="57476445"/>
    <w:rsid w:val="57584DBD"/>
    <w:rsid w:val="57654580"/>
    <w:rsid w:val="57923E5C"/>
    <w:rsid w:val="57A35F14"/>
    <w:rsid w:val="57B36157"/>
    <w:rsid w:val="57C75F2E"/>
    <w:rsid w:val="57CD5B74"/>
    <w:rsid w:val="57D07ED9"/>
    <w:rsid w:val="57E25490"/>
    <w:rsid w:val="57E46FCD"/>
    <w:rsid w:val="57F11F7A"/>
    <w:rsid w:val="57F90231"/>
    <w:rsid w:val="581C0692"/>
    <w:rsid w:val="583A0626"/>
    <w:rsid w:val="584B67ED"/>
    <w:rsid w:val="584E4CAA"/>
    <w:rsid w:val="58543E7D"/>
    <w:rsid w:val="585A6B8F"/>
    <w:rsid w:val="586E702A"/>
    <w:rsid w:val="589F04E6"/>
    <w:rsid w:val="58AA6D85"/>
    <w:rsid w:val="58BC1BF1"/>
    <w:rsid w:val="58CD4742"/>
    <w:rsid w:val="58D645E2"/>
    <w:rsid w:val="58D81DB6"/>
    <w:rsid w:val="58EA204C"/>
    <w:rsid w:val="58F219FE"/>
    <w:rsid w:val="58FD2C74"/>
    <w:rsid w:val="590D3F11"/>
    <w:rsid w:val="59102EE5"/>
    <w:rsid w:val="592257BA"/>
    <w:rsid w:val="595B1A66"/>
    <w:rsid w:val="595E44E9"/>
    <w:rsid w:val="59697FD2"/>
    <w:rsid w:val="596C0631"/>
    <w:rsid w:val="59725B9E"/>
    <w:rsid w:val="5975271E"/>
    <w:rsid w:val="5995069F"/>
    <w:rsid w:val="599C0670"/>
    <w:rsid w:val="59FD0232"/>
    <w:rsid w:val="5A2215A7"/>
    <w:rsid w:val="5A2A52A9"/>
    <w:rsid w:val="5A427C66"/>
    <w:rsid w:val="5A5B1D5E"/>
    <w:rsid w:val="5A5B2E59"/>
    <w:rsid w:val="5A693FDA"/>
    <w:rsid w:val="5A703B4B"/>
    <w:rsid w:val="5A751019"/>
    <w:rsid w:val="5A770A5B"/>
    <w:rsid w:val="5A973E5E"/>
    <w:rsid w:val="5AA05FDC"/>
    <w:rsid w:val="5AA71877"/>
    <w:rsid w:val="5AB60774"/>
    <w:rsid w:val="5AD7414D"/>
    <w:rsid w:val="5AE718DD"/>
    <w:rsid w:val="5B026B7A"/>
    <w:rsid w:val="5B0C1B12"/>
    <w:rsid w:val="5B4041A6"/>
    <w:rsid w:val="5B491B06"/>
    <w:rsid w:val="5B654F33"/>
    <w:rsid w:val="5B7E6A7C"/>
    <w:rsid w:val="5BA30291"/>
    <w:rsid w:val="5BD34B35"/>
    <w:rsid w:val="5C1B240C"/>
    <w:rsid w:val="5C202B6C"/>
    <w:rsid w:val="5C2B3310"/>
    <w:rsid w:val="5C444A75"/>
    <w:rsid w:val="5C5E4DCE"/>
    <w:rsid w:val="5C670B49"/>
    <w:rsid w:val="5C727278"/>
    <w:rsid w:val="5C742F9D"/>
    <w:rsid w:val="5C876177"/>
    <w:rsid w:val="5C8C51C9"/>
    <w:rsid w:val="5CAC1334"/>
    <w:rsid w:val="5CB07976"/>
    <w:rsid w:val="5CB73063"/>
    <w:rsid w:val="5CD1385E"/>
    <w:rsid w:val="5CE92E3B"/>
    <w:rsid w:val="5CEF7DAA"/>
    <w:rsid w:val="5D5009B0"/>
    <w:rsid w:val="5D537A94"/>
    <w:rsid w:val="5D5660A3"/>
    <w:rsid w:val="5D780C51"/>
    <w:rsid w:val="5D780C9C"/>
    <w:rsid w:val="5D7B1D0F"/>
    <w:rsid w:val="5D7E5408"/>
    <w:rsid w:val="5DA54794"/>
    <w:rsid w:val="5DD134F8"/>
    <w:rsid w:val="5DE06751"/>
    <w:rsid w:val="5DE95FA6"/>
    <w:rsid w:val="5DEA6F56"/>
    <w:rsid w:val="5DEE279E"/>
    <w:rsid w:val="5DF33CD1"/>
    <w:rsid w:val="5E092C85"/>
    <w:rsid w:val="5E233C6F"/>
    <w:rsid w:val="5E2D37DA"/>
    <w:rsid w:val="5E364898"/>
    <w:rsid w:val="5E8C4634"/>
    <w:rsid w:val="5E945631"/>
    <w:rsid w:val="5EA31D6F"/>
    <w:rsid w:val="5EF05EE3"/>
    <w:rsid w:val="5F0A3CBF"/>
    <w:rsid w:val="5F125468"/>
    <w:rsid w:val="5F2A17C1"/>
    <w:rsid w:val="5F622797"/>
    <w:rsid w:val="5F6D668F"/>
    <w:rsid w:val="5F7672EE"/>
    <w:rsid w:val="5F807A3F"/>
    <w:rsid w:val="5FA171DD"/>
    <w:rsid w:val="5FAC1510"/>
    <w:rsid w:val="5FB80C98"/>
    <w:rsid w:val="5FBE7D8F"/>
    <w:rsid w:val="5FC10CBD"/>
    <w:rsid w:val="5FC829BC"/>
    <w:rsid w:val="5FD14B5E"/>
    <w:rsid w:val="5FDD2AF7"/>
    <w:rsid w:val="5FEF6116"/>
    <w:rsid w:val="5FF03BEB"/>
    <w:rsid w:val="60044556"/>
    <w:rsid w:val="60091666"/>
    <w:rsid w:val="603129D2"/>
    <w:rsid w:val="6037544B"/>
    <w:rsid w:val="605A484B"/>
    <w:rsid w:val="60713675"/>
    <w:rsid w:val="607A5DB0"/>
    <w:rsid w:val="607B0104"/>
    <w:rsid w:val="607B3366"/>
    <w:rsid w:val="60900250"/>
    <w:rsid w:val="60A739C0"/>
    <w:rsid w:val="60DB42A1"/>
    <w:rsid w:val="60DE162D"/>
    <w:rsid w:val="61243C22"/>
    <w:rsid w:val="61333F48"/>
    <w:rsid w:val="61623EF3"/>
    <w:rsid w:val="61713066"/>
    <w:rsid w:val="618C326C"/>
    <w:rsid w:val="619B0804"/>
    <w:rsid w:val="61AA329F"/>
    <w:rsid w:val="61C367B0"/>
    <w:rsid w:val="61CE5A5A"/>
    <w:rsid w:val="61DB0156"/>
    <w:rsid w:val="61E92B23"/>
    <w:rsid w:val="61ED352C"/>
    <w:rsid w:val="61F571B7"/>
    <w:rsid w:val="620537CF"/>
    <w:rsid w:val="620D0B5A"/>
    <w:rsid w:val="620D33E1"/>
    <w:rsid w:val="621E45C1"/>
    <w:rsid w:val="6220088D"/>
    <w:rsid w:val="622D6B06"/>
    <w:rsid w:val="624E6C8B"/>
    <w:rsid w:val="627F29E9"/>
    <w:rsid w:val="62867416"/>
    <w:rsid w:val="62B82F51"/>
    <w:rsid w:val="62CF3AA1"/>
    <w:rsid w:val="62FD472A"/>
    <w:rsid w:val="63171BD0"/>
    <w:rsid w:val="631A3274"/>
    <w:rsid w:val="63231F2F"/>
    <w:rsid w:val="633C22E3"/>
    <w:rsid w:val="633E66F6"/>
    <w:rsid w:val="63535672"/>
    <w:rsid w:val="637C4973"/>
    <w:rsid w:val="63A4729C"/>
    <w:rsid w:val="63A92B04"/>
    <w:rsid w:val="63AF4EEB"/>
    <w:rsid w:val="63B20C70"/>
    <w:rsid w:val="63E63410"/>
    <w:rsid w:val="63F21D38"/>
    <w:rsid w:val="63F57AF7"/>
    <w:rsid w:val="641055D7"/>
    <w:rsid w:val="6411524A"/>
    <w:rsid w:val="6425637E"/>
    <w:rsid w:val="64471DF3"/>
    <w:rsid w:val="644C132A"/>
    <w:rsid w:val="645E137A"/>
    <w:rsid w:val="64761070"/>
    <w:rsid w:val="647911DE"/>
    <w:rsid w:val="64830C9C"/>
    <w:rsid w:val="64B74DAD"/>
    <w:rsid w:val="64CE297C"/>
    <w:rsid w:val="64D056C6"/>
    <w:rsid w:val="64D366E1"/>
    <w:rsid w:val="64E36947"/>
    <w:rsid w:val="64ED517F"/>
    <w:rsid w:val="651531E8"/>
    <w:rsid w:val="652F7039"/>
    <w:rsid w:val="65402FF4"/>
    <w:rsid w:val="6548413C"/>
    <w:rsid w:val="65493C57"/>
    <w:rsid w:val="65551FC9"/>
    <w:rsid w:val="65862F94"/>
    <w:rsid w:val="6588487A"/>
    <w:rsid w:val="659849F3"/>
    <w:rsid w:val="659E4686"/>
    <w:rsid w:val="65AB3DDF"/>
    <w:rsid w:val="65AE34D9"/>
    <w:rsid w:val="65AE4531"/>
    <w:rsid w:val="65AE61B0"/>
    <w:rsid w:val="65DF369E"/>
    <w:rsid w:val="65ED6A2B"/>
    <w:rsid w:val="661974A2"/>
    <w:rsid w:val="663E7534"/>
    <w:rsid w:val="66456760"/>
    <w:rsid w:val="66456B14"/>
    <w:rsid w:val="66864DEC"/>
    <w:rsid w:val="669749E3"/>
    <w:rsid w:val="66BD298E"/>
    <w:rsid w:val="66C915F7"/>
    <w:rsid w:val="66D84EB0"/>
    <w:rsid w:val="66FE6113"/>
    <w:rsid w:val="67016690"/>
    <w:rsid w:val="671D183F"/>
    <w:rsid w:val="67362BE8"/>
    <w:rsid w:val="67482AC7"/>
    <w:rsid w:val="675C3601"/>
    <w:rsid w:val="676271C4"/>
    <w:rsid w:val="676748BF"/>
    <w:rsid w:val="677B6571"/>
    <w:rsid w:val="677D22DE"/>
    <w:rsid w:val="679F4002"/>
    <w:rsid w:val="67AE18F1"/>
    <w:rsid w:val="67B51A77"/>
    <w:rsid w:val="67C67222"/>
    <w:rsid w:val="67C85D90"/>
    <w:rsid w:val="67FE5F51"/>
    <w:rsid w:val="680810AE"/>
    <w:rsid w:val="681D1FAB"/>
    <w:rsid w:val="682F35D7"/>
    <w:rsid w:val="68326FFF"/>
    <w:rsid w:val="684650A8"/>
    <w:rsid w:val="68541290"/>
    <w:rsid w:val="6861575B"/>
    <w:rsid w:val="68D35368"/>
    <w:rsid w:val="68EE7135"/>
    <w:rsid w:val="69104BC7"/>
    <w:rsid w:val="691675E7"/>
    <w:rsid w:val="691B1DAE"/>
    <w:rsid w:val="692073C4"/>
    <w:rsid w:val="694E76ED"/>
    <w:rsid w:val="69531608"/>
    <w:rsid w:val="696839C1"/>
    <w:rsid w:val="6970527B"/>
    <w:rsid w:val="697134C6"/>
    <w:rsid w:val="697A2DB0"/>
    <w:rsid w:val="699632D5"/>
    <w:rsid w:val="69D000B6"/>
    <w:rsid w:val="69D00DEB"/>
    <w:rsid w:val="69DE56EB"/>
    <w:rsid w:val="69E22F6E"/>
    <w:rsid w:val="69FB0729"/>
    <w:rsid w:val="6A02579D"/>
    <w:rsid w:val="6A0740E0"/>
    <w:rsid w:val="6A270B30"/>
    <w:rsid w:val="6A3B3D8A"/>
    <w:rsid w:val="6A435947"/>
    <w:rsid w:val="6A4D41E9"/>
    <w:rsid w:val="6A7C062B"/>
    <w:rsid w:val="6AB2276E"/>
    <w:rsid w:val="6ABF6769"/>
    <w:rsid w:val="6AD565A7"/>
    <w:rsid w:val="6B475273"/>
    <w:rsid w:val="6B513547"/>
    <w:rsid w:val="6B590FFD"/>
    <w:rsid w:val="6B594E10"/>
    <w:rsid w:val="6B8237EC"/>
    <w:rsid w:val="6BC53D9F"/>
    <w:rsid w:val="6BD04F0C"/>
    <w:rsid w:val="6BD83F86"/>
    <w:rsid w:val="6BE00994"/>
    <w:rsid w:val="6BED490D"/>
    <w:rsid w:val="6BFA3EFD"/>
    <w:rsid w:val="6BFD2F60"/>
    <w:rsid w:val="6C0B610A"/>
    <w:rsid w:val="6C184383"/>
    <w:rsid w:val="6C242D70"/>
    <w:rsid w:val="6C2C242C"/>
    <w:rsid w:val="6C2C5FDD"/>
    <w:rsid w:val="6C5B39B3"/>
    <w:rsid w:val="6C6121CE"/>
    <w:rsid w:val="6C7D68DC"/>
    <w:rsid w:val="6C864190"/>
    <w:rsid w:val="6CBA18DE"/>
    <w:rsid w:val="6CC96EA9"/>
    <w:rsid w:val="6CF119FC"/>
    <w:rsid w:val="6D1B633C"/>
    <w:rsid w:val="6D2D20B0"/>
    <w:rsid w:val="6D59557A"/>
    <w:rsid w:val="6D766FC0"/>
    <w:rsid w:val="6D9805B2"/>
    <w:rsid w:val="6DC95E90"/>
    <w:rsid w:val="6DF832FE"/>
    <w:rsid w:val="6DF96367"/>
    <w:rsid w:val="6DFE426C"/>
    <w:rsid w:val="6E370907"/>
    <w:rsid w:val="6E414065"/>
    <w:rsid w:val="6E415C91"/>
    <w:rsid w:val="6E4B4EE4"/>
    <w:rsid w:val="6E5972F9"/>
    <w:rsid w:val="6E717AB9"/>
    <w:rsid w:val="6E7206C2"/>
    <w:rsid w:val="6E733871"/>
    <w:rsid w:val="6E761B46"/>
    <w:rsid w:val="6E7C365F"/>
    <w:rsid w:val="6E924885"/>
    <w:rsid w:val="6EB5235D"/>
    <w:rsid w:val="6EBF6C4B"/>
    <w:rsid w:val="6ED07197"/>
    <w:rsid w:val="6EE82732"/>
    <w:rsid w:val="6EEA49A1"/>
    <w:rsid w:val="6EFE47F8"/>
    <w:rsid w:val="6EFF51D9"/>
    <w:rsid w:val="6F046E40"/>
    <w:rsid w:val="6F1B7C04"/>
    <w:rsid w:val="6F1E1B0D"/>
    <w:rsid w:val="6F382105"/>
    <w:rsid w:val="6F607972"/>
    <w:rsid w:val="6F712945"/>
    <w:rsid w:val="6F792A5F"/>
    <w:rsid w:val="6F793947"/>
    <w:rsid w:val="6F7D0AA6"/>
    <w:rsid w:val="6FA73C04"/>
    <w:rsid w:val="6FB70CBB"/>
    <w:rsid w:val="6FC276F4"/>
    <w:rsid w:val="6FD74659"/>
    <w:rsid w:val="6FE01E6C"/>
    <w:rsid w:val="6FE6278C"/>
    <w:rsid w:val="6FE938EA"/>
    <w:rsid w:val="70250150"/>
    <w:rsid w:val="703620D4"/>
    <w:rsid w:val="705D4B36"/>
    <w:rsid w:val="70814BED"/>
    <w:rsid w:val="70AE3508"/>
    <w:rsid w:val="70B67C38"/>
    <w:rsid w:val="70B94935"/>
    <w:rsid w:val="70C447C4"/>
    <w:rsid w:val="70C736EE"/>
    <w:rsid w:val="70D34D1C"/>
    <w:rsid w:val="71214E52"/>
    <w:rsid w:val="71233A1B"/>
    <w:rsid w:val="71264B51"/>
    <w:rsid w:val="71615FEA"/>
    <w:rsid w:val="7165392B"/>
    <w:rsid w:val="716B3A71"/>
    <w:rsid w:val="717174A8"/>
    <w:rsid w:val="71915B65"/>
    <w:rsid w:val="71C5244C"/>
    <w:rsid w:val="71C805F9"/>
    <w:rsid w:val="71CF3F9D"/>
    <w:rsid w:val="71E13469"/>
    <w:rsid w:val="71ED5CCF"/>
    <w:rsid w:val="7211659B"/>
    <w:rsid w:val="72225F5B"/>
    <w:rsid w:val="72307E80"/>
    <w:rsid w:val="72312BD5"/>
    <w:rsid w:val="724B7998"/>
    <w:rsid w:val="724E6884"/>
    <w:rsid w:val="726B5CFA"/>
    <w:rsid w:val="726E51B8"/>
    <w:rsid w:val="72C45265"/>
    <w:rsid w:val="72CE4C03"/>
    <w:rsid w:val="72D97B62"/>
    <w:rsid w:val="72E43211"/>
    <w:rsid w:val="72F76620"/>
    <w:rsid w:val="72FA6ED8"/>
    <w:rsid w:val="73383D4E"/>
    <w:rsid w:val="73856488"/>
    <w:rsid w:val="73C74908"/>
    <w:rsid w:val="73CC3C65"/>
    <w:rsid w:val="73DB0AB8"/>
    <w:rsid w:val="73EE7295"/>
    <w:rsid w:val="745C6EB2"/>
    <w:rsid w:val="746C5BB4"/>
    <w:rsid w:val="7475545F"/>
    <w:rsid w:val="747D7CE4"/>
    <w:rsid w:val="749106D2"/>
    <w:rsid w:val="74B66E2F"/>
    <w:rsid w:val="74F658AA"/>
    <w:rsid w:val="74FC6F38"/>
    <w:rsid w:val="750332F8"/>
    <w:rsid w:val="750353DF"/>
    <w:rsid w:val="75053F9D"/>
    <w:rsid w:val="751A4BB9"/>
    <w:rsid w:val="752423AE"/>
    <w:rsid w:val="7532426E"/>
    <w:rsid w:val="754101A1"/>
    <w:rsid w:val="754A60DD"/>
    <w:rsid w:val="75710C28"/>
    <w:rsid w:val="75743B1F"/>
    <w:rsid w:val="757C1E26"/>
    <w:rsid w:val="75A13364"/>
    <w:rsid w:val="75AA6085"/>
    <w:rsid w:val="75AD0232"/>
    <w:rsid w:val="75CC33CF"/>
    <w:rsid w:val="76183834"/>
    <w:rsid w:val="761D53B8"/>
    <w:rsid w:val="762D6F9C"/>
    <w:rsid w:val="763D3DDB"/>
    <w:rsid w:val="766D79C1"/>
    <w:rsid w:val="768425B7"/>
    <w:rsid w:val="769D1F77"/>
    <w:rsid w:val="76AE6010"/>
    <w:rsid w:val="76BB143C"/>
    <w:rsid w:val="76C770D1"/>
    <w:rsid w:val="76E11E10"/>
    <w:rsid w:val="774A1433"/>
    <w:rsid w:val="774D5BDE"/>
    <w:rsid w:val="775766A7"/>
    <w:rsid w:val="77672662"/>
    <w:rsid w:val="77953119"/>
    <w:rsid w:val="77BA6C36"/>
    <w:rsid w:val="77D76756"/>
    <w:rsid w:val="77E12E0A"/>
    <w:rsid w:val="77EB455C"/>
    <w:rsid w:val="780600CD"/>
    <w:rsid w:val="780A38CD"/>
    <w:rsid w:val="78352569"/>
    <w:rsid w:val="783536CB"/>
    <w:rsid w:val="784A1D68"/>
    <w:rsid w:val="78672AA2"/>
    <w:rsid w:val="78675530"/>
    <w:rsid w:val="786F6806"/>
    <w:rsid w:val="78816AD7"/>
    <w:rsid w:val="78863816"/>
    <w:rsid w:val="788B3FA9"/>
    <w:rsid w:val="78A55ABA"/>
    <w:rsid w:val="78AA6DDB"/>
    <w:rsid w:val="78BE2759"/>
    <w:rsid w:val="78F73A64"/>
    <w:rsid w:val="791A7E3B"/>
    <w:rsid w:val="792737ED"/>
    <w:rsid w:val="794E6993"/>
    <w:rsid w:val="79543B3C"/>
    <w:rsid w:val="79921C19"/>
    <w:rsid w:val="799E680F"/>
    <w:rsid w:val="79A2616E"/>
    <w:rsid w:val="79AC3126"/>
    <w:rsid w:val="79B47547"/>
    <w:rsid w:val="79BF0B2C"/>
    <w:rsid w:val="79C63670"/>
    <w:rsid w:val="79D17E04"/>
    <w:rsid w:val="79E24222"/>
    <w:rsid w:val="79FBE7E2"/>
    <w:rsid w:val="7A18036C"/>
    <w:rsid w:val="7A23477B"/>
    <w:rsid w:val="7A4E6370"/>
    <w:rsid w:val="7A617F89"/>
    <w:rsid w:val="7A99663C"/>
    <w:rsid w:val="7AA42AD3"/>
    <w:rsid w:val="7ADB4626"/>
    <w:rsid w:val="7ADE4F8A"/>
    <w:rsid w:val="7AE53FCA"/>
    <w:rsid w:val="7AF85C5E"/>
    <w:rsid w:val="7AFA7836"/>
    <w:rsid w:val="7B012B06"/>
    <w:rsid w:val="7B164183"/>
    <w:rsid w:val="7B3929EC"/>
    <w:rsid w:val="7B407452"/>
    <w:rsid w:val="7B9F633B"/>
    <w:rsid w:val="7BB02145"/>
    <w:rsid w:val="7BB10029"/>
    <w:rsid w:val="7BB24DDD"/>
    <w:rsid w:val="7BC97123"/>
    <w:rsid w:val="7BE279C7"/>
    <w:rsid w:val="7C073114"/>
    <w:rsid w:val="7C0861C2"/>
    <w:rsid w:val="7C120DEF"/>
    <w:rsid w:val="7C2816F4"/>
    <w:rsid w:val="7C282526"/>
    <w:rsid w:val="7C3B5F90"/>
    <w:rsid w:val="7C3D5860"/>
    <w:rsid w:val="7C3E2EBF"/>
    <w:rsid w:val="7C447160"/>
    <w:rsid w:val="7C5269D4"/>
    <w:rsid w:val="7C573462"/>
    <w:rsid w:val="7C78344D"/>
    <w:rsid w:val="7C7B6C1B"/>
    <w:rsid w:val="7C833A9B"/>
    <w:rsid w:val="7C8D1CE5"/>
    <w:rsid w:val="7C8E41ED"/>
    <w:rsid w:val="7CD111FA"/>
    <w:rsid w:val="7CD6035C"/>
    <w:rsid w:val="7CE62AAE"/>
    <w:rsid w:val="7CE81B50"/>
    <w:rsid w:val="7D2721ED"/>
    <w:rsid w:val="7D2770D9"/>
    <w:rsid w:val="7D396E95"/>
    <w:rsid w:val="7D4C31AD"/>
    <w:rsid w:val="7D4F34D0"/>
    <w:rsid w:val="7D4F7E21"/>
    <w:rsid w:val="7D6844CF"/>
    <w:rsid w:val="7D7004C3"/>
    <w:rsid w:val="7D70223F"/>
    <w:rsid w:val="7D763731"/>
    <w:rsid w:val="7D7A513E"/>
    <w:rsid w:val="7D845F5B"/>
    <w:rsid w:val="7D964E74"/>
    <w:rsid w:val="7D9F7AFD"/>
    <w:rsid w:val="7DB64ED1"/>
    <w:rsid w:val="7DC0664D"/>
    <w:rsid w:val="7DEE3196"/>
    <w:rsid w:val="7DF770E7"/>
    <w:rsid w:val="7E097B57"/>
    <w:rsid w:val="7E180D5B"/>
    <w:rsid w:val="7E2E7A36"/>
    <w:rsid w:val="7E355268"/>
    <w:rsid w:val="7E413862"/>
    <w:rsid w:val="7E6478FC"/>
    <w:rsid w:val="7E655E55"/>
    <w:rsid w:val="7E7904B0"/>
    <w:rsid w:val="7E932C18"/>
    <w:rsid w:val="7EE524C7"/>
    <w:rsid w:val="7EEB5C0B"/>
    <w:rsid w:val="7EED5B43"/>
    <w:rsid w:val="7EF30C9B"/>
    <w:rsid w:val="7EFB7882"/>
    <w:rsid w:val="7EFD6E0C"/>
    <w:rsid w:val="7F124413"/>
    <w:rsid w:val="7F233313"/>
    <w:rsid w:val="7F2A751B"/>
    <w:rsid w:val="7F303FD8"/>
    <w:rsid w:val="7F3F3AB3"/>
    <w:rsid w:val="7F4219EB"/>
    <w:rsid w:val="7F497A2F"/>
    <w:rsid w:val="7F5369AF"/>
    <w:rsid w:val="7F716834"/>
    <w:rsid w:val="7FAD6F27"/>
    <w:rsid w:val="7FD1787C"/>
    <w:rsid w:val="7FD3301C"/>
    <w:rsid w:val="7FDE77A5"/>
    <w:rsid w:val="7FE64ACA"/>
    <w:rsid w:val="AF6FD2F6"/>
    <w:rsid w:val="DA9F7160"/>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numPr>
        <w:ilvl w:val="0"/>
        <w:numId w:val="1"/>
      </w:numPr>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3">
    <w:name w:val="heading 2"/>
    <w:basedOn w:val="1"/>
    <w:next w:val="1"/>
    <w:autoRedefine/>
    <w:qFormat/>
    <w:uiPriority w:val="0"/>
    <w:pPr>
      <w:keepNext/>
      <w:keepLines/>
      <w:numPr>
        <w:ilvl w:val="1"/>
        <w:numId w:val="2"/>
      </w:numPr>
      <w:spacing w:before="260" w:after="260" w:line="415" w:lineRule="auto"/>
      <w:outlineLvl w:val="1"/>
    </w:pPr>
    <w:rPr>
      <w:rFonts w:ascii="Arial" w:hAnsi="Arial" w:eastAsia="黑体"/>
      <w:b/>
      <w:sz w:val="32"/>
    </w:rPr>
  </w:style>
  <w:style w:type="paragraph" w:styleId="4">
    <w:name w:val="heading 3"/>
    <w:basedOn w:val="1"/>
    <w:next w:val="1"/>
    <w:autoRedefine/>
    <w:qFormat/>
    <w:uiPriority w:val="9"/>
    <w:pPr>
      <w:ind w:left="1100"/>
      <w:outlineLvl w:val="2"/>
    </w:pPr>
    <w:rPr>
      <w:rFonts w:cs="Times New Roman"/>
      <w:sz w:val="28"/>
      <w:szCs w:val="28"/>
    </w:rPr>
  </w:style>
  <w:style w:type="paragraph" w:styleId="5">
    <w:name w:val="heading 4"/>
    <w:basedOn w:val="1"/>
    <w:next w:val="1"/>
    <w:autoRedefine/>
    <w:qFormat/>
    <w:uiPriority w:val="9"/>
    <w:pPr>
      <w:widowControl/>
      <w:adjustRightInd w:val="0"/>
      <w:snapToGrid w:val="0"/>
      <w:spacing w:line="300" w:lineRule="auto"/>
      <w:ind w:firstLine="200" w:firstLineChars="200"/>
      <w:jc w:val="left"/>
      <w:outlineLvl w:val="3"/>
    </w:pPr>
    <w:rPr>
      <w:rFonts w:ascii="Arial" w:hAnsi="Arial"/>
      <w:kern w:val="0"/>
    </w:rPr>
  </w:style>
  <w:style w:type="character" w:default="1" w:styleId="28">
    <w:name w:val="Default Paragraph Font"/>
    <w:autoRedefine/>
    <w:semiHidden/>
    <w:qFormat/>
    <w:uiPriority w:val="0"/>
  </w:style>
  <w:style w:type="table" w:default="1" w:styleId="26">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7"/>
    <w:autoRedefine/>
    <w:qFormat/>
    <w:uiPriority w:val="0"/>
    <w:pPr>
      <w:ind w:firstLine="420" w:firstLineChars="200"/>
    </w:pPr>
  </w:style>
  <w:style w:type="paragraph" w:styleId="7">
    <w:name w:val="Body Text Indent"/>
    <w:basedOn w:val="1"/>
    <w:next w:val="8"/>
    <w:autoRedefine/>
    <w:qFormat/>
    <w:uiPriority w:val="0"/>
    <w:pPr>
      <w:snapToGrid w:val="0"/>
      <w:spacing w:line="500" w:lineRule="atLeast"/>
      <w:ind w:left="-525" w:firstLine="525"/>
    </w:pPr>
    <w:rPr>
      <w:rFonts w:ascii="宋体"/>
      <w:sz w:val="24"/>
    </w:rPr>
  </w:style>
  <w:style w:type="paragraph" w:styleId="8">
    <w:name w:val="Body Text First Indent 2"/>
    <w:basedOn w:val="7"/>
    <w:next w:val="9"/>
    <w:autoRedefine/>
    <w:qFormat/>
    <w:uiPriority w:val="0"/>
    <w:pPr>
      <w:snapToGrid/>
      <w:spacing w:after="120" w:line="240" w:lineRule="auto"/>
      <w:ind w:left="420" w:leftChars="200" w:firstLine="420" w:firstLineChars="200"/>
    </w:pPr>
    <w:rPr>
      <w:rFonts w:ascii="Times New Roman"/>
      <w:sz w:val="21"/>
    </w:rPr>
  </w:style>
  <w:style w:type="paragraph" w:customStyle="1" w:styleId="9">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styleId="10">
    <w:name w:val="caption"/>
    <w:basedOn w:val="1"/>
    <w:next w:val="1"/>
    <w:autoRedefine/>
    <w:qFormat/>
    <w:uiPriority w:val="0"/>
    <w:rPr>
      <w:rFonts w:ascii="Arial" w:hAnsi="Arial" w:eastAsia="黑体"/>
      <w:sz w:val="20"/>
    </w:rPr>
  </w:style>
  <w:style w:type="paragraph" w:styleId="11">
    <w:name w:val="toa heading"/>
    <w:basedOn w:val="1"/>
    <w:next w:val="1"/>
    <w:autoRedefine/>
    <w:qFormat/>
    <w:uiPriority w:val="0"/>
    <w:pPr>
      <w:spacing w:before="120"/>
    </w:pPr>
    <w:rPr>
      <w:rFonts w:ascii="Arial" w:hAnsi="Arial"/>
    </w:rPr>
  </w:style>
  <w:style w:type="paragraph" w:styleId="12">
    <w:name w:val="annotation text"/>
    <w:basedOn w:val="1"/>
    <w:autoRedefine/>
    <w:unhideWhenUsed/>
    <w:qFormat/>
    <w:uiPriority w:val="0"/>
    <w:pPr>
      <w:autoSpaceDE w:val="0"/>
      <w:autoSpaceDN w:val="0"/>
      <w:adjustRightInd w:val="0"/>
      <w:jc w:val="left"/>
    </w:pPr>
    <w:rPr>
      <w:rFonts w:ascii="宋体" w:hAnsi="Times New Roman" w:eastAsia="宋体" w:cs="Times New Roman"/>
      <w:kern w:val="0"/>
      <w:sz w:val="34"/>
      <w:szCs w:val="20"/>
    </w:rPr>
  </w:style>
  <w:style w:type="paragraph" w:styleId="13">
    <w:name w:val="Body Text"/>
    <w:basedOn w:val="1"/>
    <w:next w:val="1"/>
    <w:autoRedefine/>
    <w:qFormat/>
    <w:uiPriority w:val="0"/>
    <w:pPr>
      <w:spacing w:after="120"/>
    </w:pPr>
  </w:style>
  <w:style w:type="paragraph" w:styleId="14">
    <w:name w:val="Block Text"/>
    <w:basedOn w:val="1"/>
    <w:autoRedefine/>
    <w:qFormat/>
    <w:uiPriority w:val="99"/>
    <w:pPr>
      <w:autoSpaceDE/>
      <w:autoSpaceDN/>
      <w:adjustRightInd/>
      <w:spacing w:line="340" w:lineRule="exact"/>
      <w:ind w:left="850" w:leftChars="405" w:right="16"/>
    </w:pPr>
    <w:rPr>
      <w:rFonts w:ascii="宋体"/>
      <w:color w:val="auto"/>
      <w:spacing w:val="20"/>
      <w:kern w:val="2"/>
      <w:sz w:val="24"/>
      <w:szCs w:val="24"/>
    </w:rPr>
  </w:style>
  <w:style w:type="paragraph" w:styleId="15">
    <w:name w:val="toc 3"/>
    <w:basedOn w:val="1"/>
    <w:next w:val="1"/>
    <w:autoRedefine/>
    <w:qFormat/>
    <w:uiPriority w:val="0"/>
    <w:pPr>
      <w:ind w:left="420"/>
      <w:jc w:val="left"/>
    </w:pPr>
    <w:rPr>
      <w:rFonts w:ascii="仿宋_GB2312" w:eastAsia="仿宋_GB2312"/>
      <w:i/>
      <w:iCs/>
      <w:sz w:val="20"/>
      <w:szCs w:val="20"/>
    </w:rPr>
  </w:style>
  <w:style w:type="paragraph" w:styleId="16">
    <w:name w:val="Plain Text"/>
    <w:basedOn w:val="1"/>
    <w:autoRedefine/>
    <w:qFormat/>
    <w:uiPriority w:val="99"/>
    <w:rPr>
      <w:rFonts w:ascii="宋体" w:hAnsi="Courier New"/>
    </w:rPr>
  </w:style>
  <w:style w:type="paragraph" w:styleId="17">
    <w:name w:val="footer"/>
    <w:basedOn w:val="1"/>
    <w:autoRedefine/>
    <w:qFormat/>
    <w:uiPriority w:val="0"/>
    <w:pPr>
      <w:tabs>
        <w:tab w:val="center" w:pos="4153"/>
        <w:tab w:val="right" w:pos="8306"/>
      </w:tabs>
    </w:pPr>
  </w:style>
  <w:style w:type="paragraph" w:styleId="18">
    <w:name w:val="header"/>
    <w:basedOn w:val="1"/>
    <w:autoRedefine/>
    <w:qFormat/>
    <w:uiPriority w:val="0"/>
    <w:pPr>
      <w:tabs>
        <w:tab w:val="center" w:pos="4153"/>
        <w:tab w:val="right" w:pos="8306"/>
      </w:tabs>
    </w:pPr>
  </w:style>
  <w:style w:type="paragraph" w:styleId="19">
    <w:name w:val="toc 1"/>
    <w:basedOn w:val="1"/>
    <w:next w:val="1"/>
    <w:autoRedefine/>
    <w:qFormat/>
    <w:uiPriority w:val="0"/>
  </w:style>
  <w:style w:type="paragraph" w:styleId="20">
    <w:name w:val="toc 6"/>
    <w:basedOn w:val="1"/>
    <w:next w:val="1"/>
    <w:autoRedefine/>
    <w:qFormat/>
    <w:uiPriority w:val="0"/>
    <w:pPr>
      <w:ind w:left="1400"/>
      <w:jc w:val="left"/>
    </w:pPr>
    <w:rPr>
      <w:sz w:val="18"/>
    </w:rPr>
  </w:style>
  <w:style w:type="paragraph" w:styleId="21">
    <w:name w:val="toc 2"/>
    <w:basedOn w:val="1"/>
    <w:next w:val="1"/>
    <w:autoRedefine/>
    <w:qFormat/>
    <w:uiPriority w:val="0"/>
    <w:pPr>
      <w:ind w:left="420" w:leftChars="200"/>
    </w:pPr>
  </w:style>
  <w:style w:type="paragraph" w:styleId="22">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style>
  <w:style w:type="paragraph" w:styleId="23">
    <w:name w:val="Normal (Web)"/>
    <w:basedOn w:val="1"/>
    <w:autoRedefine/>
    <w:unhideWhenUsed/>
    <w:qFormat/>
    <w:uiPriority w:val="99"/>
    <w:pPr>
      <w:widowControl/>
      <w:spacing w:before="100" w:beforeAutospacing="1" w:after="100" w:afterAutospacing="1" w:line="500" w:lineRule="exact"/>
      <w:ind w:firstLine="200" w:firstLineChars="200"/>
      <w:jc w:val="left"/>
    </w:pPr>
    <w:rPr>
      <w:rFonts w:ascii="宋体" w:hAnsi="宋体" w:eastAsia="宋体"/>
      <w:kern w:val="0"/>
      <w:sz w:val="24"/>
      <w:szCs w:val="24"/>
    </w:rPr>
  </w:style>
  <w:style w:type="paragraph" w:styleId="24">
    <w:name w:val="Title"/>
    <w:basedOn w:val="1"/>
    <w:next w:val="1"/>
    <w:autoRedefine/>
    <w:qFormat/>
    <w:uiPriority w:val="0"/>
    <w:pPr>
      <w:spacing w:before="240" w:after="60"/>
      <w:jc w:val="center"/>
      <w:outlineLvl w:val="0"/>
    </w:pPr>
    <w:rPr>
      <w:rFonts w:ascii="Cambria" w:hAnsi="Cambria"/>
      <w:b/>
      <w:bCs/>
      <w:sz w:val="32"/>
      <w:szCs w:val="32"/>
    </w:rPr>
  </w:style>
  <w:style w:type="paragraph" w:styleId="25">
    <w:name w:val="Body Text First Indent"/>
    <w:basedOn w:val="13"/>
    <w:next w:val="1"/>
    <w:autoRedefine/>
    <w:unhideWhenUsed/>
    <w:qFormat/>
    <w:uiPriority w:val="99"/>
    <w:pPr>
      <w:spacing w:before="100" w:beforeAutospacing="1" w:after="120"/>
      <w:ind w:firstLine="420" w:firstLineChars="100"/>
    </w:pPr>
    <w:rPr>
      <w:rFonts w:eastAsia="宋体"/>
      <w:spacing w:val="0"/>
      <w:kern w:val="2"/>
      <w:sz w:val="21"/>
      <w:szCs w:val="21"/>
    </w:rPr>
  </w:style>
  <w:style w:type="table" w:styleId="27">
    <w:name w:val="Table Grid"/>
    <w:basedOn w:val="2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basedOn w:val="28"/>
    <w:autoRedefine/>
    <w:qFormat/>
    <w:uiPriority w:val="0"/>
  </w:style>
  <w:style w:type="paragraph" w:customStyle="1" w:styleId="30">
    <w:name w:val="样式 表格正文 + 两端对齐"/>
    <w:basedOn w:val="1"/>
    <w:next w:val="31"/>
    <w:autoRedefine/>
    <w:qFormat/>
    <w:uiPriority w:val="99"/>
    <w:pPr>
      <w:spacing w:line="300" w:lineRule="auto"/>
    </w:pPr>
    <w:rPr>
      <w:sz w:val="24"/>
    </w:rPr>
  </w:style>
  <w:style w:type="paragraph" w:customStyle="1" w:styleId="31">
    <w:name w:val="正文1"/>
    <w:basedOn w:val="15"/>
    <w:next w:val="32"/>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32">
    <w:name w:val="自动更正"/>
    <w:next w:val="33"/>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33">
    <w:name w:val="xl39"/>
    <w:basedOn w:val="1"/>
    <w:next w:val="34"/>
    <w:autoRedefine/>
    <w:qFormat/>
    <w:uiPriority w:val="99"/>
    <w:pPr>
      <w:widowControl/>
      <w:pBdr>
        <w:left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34">
    <w:name w:val="分手多日，近况如何？"/>
    <w:next w:val="1"/>
    <w:autoRedefine/>
    <w:qFormat/>
    <w:uiPriority w:val="99"/>
    <w:pPr>
      <w:widowControl w:val="0"/>
      <w:jc w:val="both"/>
    </w:pPr>
    <w:rPr>
      <w:rFonts w:ascii="Times New Roman" w:hAnsi="Times New Roman" w:eastAsia="等线" w:cs="Times New Roman"/>
      <w:sz w:val="21"/>
      <w:lang w:val="en-US" w:eastAsia="zh-CN" w:bidi="ar-SA"/>
    </w:rPr>
  </w:style>
  <w:style w:type="paragraph" w:customStyle="1" w:styleId="35">
    <w:name w:val="文章正文"/>
    <w:basedOn w:val="1"/>
    <w:next w:val="36"/>
    <w:autoRedefine/>
    <w:qFormat/>
    <w:uiPriority w:val="0"/>
    <w:pPr>
      <w:spacing w:line="360" w:lineRule="auto"/>
    </w:pPr>
    <w:rPr>
      <w:rFonts w:ascii="Calibri" w:hAnsi="Calibri"/>
    </w:rPr>
  </w:style>
  <w:style w:type="paragraph" w:customStyle="1" w:styleId="36">
    <w:name w:val="公式样式 变量"/>
    <w:autoRedefine/>
    <w:qFormat/>
    <w:uiPriority w:val="0"/>
    <w:rPr>
      <w:rFonts w:ascii="Times New Roman" w:hAnsi="Times New Roman" w:eastAsia="宋体" w:cs="Times New Roman"/>
      <w:i/>
      <w:lang w:val="en-US" w:eastAsia="zh-CN" w:bidi="ar-SA"/>
    </w:rPr>
  </w:style>
  <w:style w:type="paragraph" w:customStyle="1" w:styleId="37">
    <w:name w:val="目录 31"/>
    <w:basedOn w:val="1"/>
    <w:autoRedefine/>
    <w:qFormat/>
    <w:uiPriority w:val="0"/>
    <w:pPr>
      <w:ind w:left="840" w:leftChars="400"/>
    </w:pPr>
  </w:style>
  <w:style w:type="character" w:customStyle="1" w:styleId="38">
    <w:name w:val="font61"/>
    <w:basedOn w:val="28"/>
    <w:autoRedefine/>
    <w:qFormat/>
    <w:uiPriority w:val="0"/>
    <w:rPr>
      <w:rFonts w:hint="default" w:ascii="Times New Roman" w:hAnsi="Times New Roman" w:cs="Times New Roman"/>
      <w:color w:val="000000"/>
      <w:sz w:val="20"/>
      <w:szCs w:val="20"/>
      <w:u w:val="none"/>
    </w:rPr>
  </w:style>
  <w:style w:type="character" w:customStyle="1" w:styleId="39">
    <w:name w:val="font131"/>
    <w:basedOn w:val="28"/>
    <w:autoRedefine/>
    <w:qFormat/>
    <w:uiPriority w:val="0"/>
    <w:rPr>
      <w:rFonts w:ascii="Wingdings 2" w:hAnsi="Wingdings 2" w:eastAsia="Wingdings 2" w:cs="Wingdings 2"/>
      <w:color w:val="000000"/>
      <w:sz w:val="22"/>
      <w:szCs w:val="22"/>
      <w:u w:val="none"/>
    </w:rPr>
  </w:style>
  <w:style w:type="character" w:customStyle="1" w:styleId="40">
    <w:name w:val="font31"/>
    <w:basedOn w:val="28"/>
    <w:autoRedefine/>
    <w:qFormat/>
    <w:uiPriority w:val="0"/>
    <w:rPr>
      <w:rFonts w:hint="eastAsia" w:ascii="宋体" w:hAnsi="宋体" w:eastAsia="宋体" w:cs="宋体"/>
      <w:color w:val="000000"/>
      <w:sz w:val="21"/>
      <w:szCs w:val="21"/>
      <w:u w:val="none"/>
    </w:rPr>
  </w:style>
  <w:style w:type="character" w:customStyle="1" w:styleId="41">
    <w:name w:val="font11"/>
    <w:basedOn w:val="28"/>
    <w:autoRedefine/>
    <w:qFormat/>
    <w:uiPriority w:val="0"/>
    <w:rPr>
      <w:rFonts w:hint="eastAsia" w:ascii="宋体" w:hAnsi="宋体" w:eastAsia="宋体" w:cs="宋体"/>
      <w:color w:val="000000"/>
      <w:sz w:val="20"/>
      <w:szCs w:val="20"/>
      <w:u w:val="none"/>
    </w:rPr>
  </w:style>
  <w:style w:type="character" w:customStyle="1" w:styleId="42">
    <w:name w:val="font81"/>
    <w:autoRedefine/>
    <w:qFormat/>
    <w:uiPriority w:val="99"/>
    <w:rPr>
      <w:rFonts w:hint="eastAsia" w:ascii="宋体" w:hAnsi="宋体" w:eastAsia="宋体"/>
      <w:color w:val="000000"/>
      <w:sz w:val="21"/>
      <w:szCs w:val="21"/>
      <w:u w:val="none"/>
    </w:rPr>
  </w:style>
  <w:style w:type="character" w:customStyle="1" w:styleId="43">
    <w:name w:val="font21"/>
    <w:basedOn w:val="28"/>
    <w:autoRedefine/>
    <w:qFormat/>
    <w:uiPriority w:val="0"/>
    <w:rPr>
      <w:rFonts w:hint="eastAsia" w:ascii="宋体" w:hAnsi="宋体" w:eastAsia="宋体" w:cs="宋体"/>
      <w:color w:val="000000"/>
      <w:sz w:val="20"/>
      <w:szCs w:val="20"/>
      <w:u w:val="none"/>
    </w:rPr>
  </w:style>
  <w:style w:type="character" w:customStyle="1" w:styleId="44">
    <w:name w:val="标题 2 Char"/>
    <w:autoRedefine/>
    <w:qFormat/>
    <w:uiPriority w:val="0"/>
    <w:rPr>
      <w:rFonts w:ascii="宋体" w:hAnsi="宋体" w:eastAsia="仿宋_GB2312"/>
      <w:bCs/>
      <w:kern w:val="2"/>
      <w:sz w:val="28"/>
      <w:szCs w:val="32"/>
      <w:lang w:val="en-US" w:eastAsia="zh-CN" w:bidi="ar-SA"/>
    </w:rPr>
  </w:style>
  <w:style w:type="character" w:customStyle="1" w:styleId="45">
    <w:name w:val="font51"/>
    <w:basedOn w:val="28"/>
    <w:autoRedefine/>
    <w:qFormat/>
    <w:uiPriority w:val="0"/>
    <w:rPr>
      <w:rFonts w:hint="default" w:ascii="Times New Roman" w:hAnsi="Times New Roman" w:cs="Times New Roman"/>
      <w:color w:val="000000"/>
      <w:sz w:val="21"/>
      <w:szCs w:val="21"/>
      <w:u w:val="none"/>
    </w:rPr>
  </w:style>
  <w:style w:type="character" w:customStyle="1" w:styleId="46">
    <w:name w:val="font91"/>
    <w:basedOn w:val="28"/>
    <w:autoRedefine/>
    <w:qFormat/>
    <w:uiPriority w:val="0"/>
    <w:rPr>
      <w:rFonts w:hint="eastAsia" w:ascii="宋体" w:hAnsi="宋体" w:eastAsia="宋体" w:cs="宋体"/>
      <w:color w:val="000000"/>
      <w:sz w:val="22"/>
      <w:szCs w:val="22"/>
      <w:u w:val="none"/>
    </w:rPr>
  </w:style>
  <w:style w:type="character" w:customStyle="1" w:styleId="47">
    <w:name w:val="font101"/>
    <w:basedOn w:val="28"/>
    <w:autoRedefine/>
    <w:qFormat/>
    <w:uiPriority w:val="0"/>
    <w:rPr>
      <w:rFonts w:hint="default" w:ascii="Times New Roman" w:hAnsi="Times New Roman" w:cs="Times New Roman"/>
      <w:color w:val="000000"/>
      <w:sz w:val="18"/>
      <w:szCs w:val="18"/>
      <w:u w:val="none"/>
    </w:rPr>
  </w:style>
  <w:style w:type="character" w:customStyle="1" w:styleId="48">
    <w:name w:val="font71"/>
    <w:basedOn w:val="28"/>
    <w:autoRedefine/>
    <w:qFormat/>
    <w:uiPriority w:val="0"/>
    <w:rPr>
      <w:rFonts w:hint="eastAsia" w:ascii="宋体" w:hAnsi="宋体" w:eastAsia="宋体" w:cs="宋体"/>
      <w:color w:val="000000"/>
      <w:sz w:val="22"/>
      <w:szCs w:val="22"/>
      <w:u w:val="none"/>
      <w:vertAlign w:val="superscript"/>
    </w:rPr>
  </w:style>
  <w:style w:type="character" w:customStyle="1" w:styleId="49">
    <w:name w:val="font01"/>
    <w:basedOn w:val="28"/>
    <w:autoRedefine/>
    <w:qFormat/>
    <w:uiPriority w:val="0"/>
    <w:rPr>
      <w:rFonts w:hint="default" w:ascii="Times New Roman" w:hAnsi="Times New Roman" w:cs="Times New Roman"/>
      <w:color w:val="000000"/>
      <w:sz w:val="18"/>
      <w:szCs w:val="18"/>
      <w:u w:val="none"/>
    </w:rPr>
  </w:style>
  <w:style w:type="character" w:customStyle="1" w:styleId="50">
    <w:name w:val="font41"/>
    <w:basedOn w:val="28"/>
    <w:autoRedefine/>
    <w:qFormat/>
    <w:uiPriority w:val="0"/>
    <w:rPr>
      <w:rFonts w:hint="eastAsia" w:ascii="宋体" w:hAnsi="宋体" w:eastAsia="宋体" w:cs="宋体"/>
      <w:color w:val="000000"/>
      <w:sz w:val="18"/>
      <w:szCs w:val="18"/>
      <w:u w:val="none"/>
    </w:rPr>
  </w:style>
  <w:style w:type="character" w:customStyle="1" w:styleId="51">
    <w:name w:val="font112"/>
    <w:basedOn w:val="28"/>
    <w:autoRedefine/>
    <w:qFormat/>
    <w:uiPriority w:val="0"/>
    <w:rPr>
      <w:rFonts w:hint="eastAsia" w:ascii="宋体" w:hAnsi="宋体" w:eastAsia="宋体" w:cs="宋体"/>
      <w:color w:val="000000"/>
      <w:sz w:val="18"/>
      <w:szCs w:val="18"/>
      <w:u w:val="none"/>
    </w:rPr>
  </w:style>
  <w:style w:type="paragraph" w:customStyle="1" w:styleId="52">
    <w:name w:val="表格"/>
    <w:basedOn w:val="1"/>
    <w:autoRedefine/>
    <w:qFormat/>
    <w:uiPriority w:val="0"/>
    <w:pPr>
      <w:spacing w:line="240" w:lineRule="exact"/>
      <w:ind w:firstLine="0" w:firstLineChars="0"/>
      <w:jc w:val="left"/>
    </w:pPr>
    <w:rPr>
      <w:sz w:val="21"/>
    </w:rPr>
  </w:style>
  <w:style w:type="paragraph" w:customStyle="1" w:styleId="53">
    <w:name w:val="Body text|3"/>
    <w:basedOn w:val="1"/>
    <w:autoRedefine/>
    <w:qFormat/>
    <w:uiPriority w:val="0"/>
    <w:pPr>
      <w:widowControl w:val="0"/>
      <w:shd w:val="clear" w:color="auto" w:fill="auto"/>
    </w:pPr>
    <w:rPr>
      <w:rFonts w:ascii="宋体" w:hAnsi="宋体" w:eastAsia="宋体" w:cs="宋体"/>
      <w:sz w:val="17"/>
      <w:szCs w:val="17"/>
      <w:u w:val="none"/>
      <w:shd w:val="clear" w:color="auto" w:fill="auto"/>
      <w:lang w:val="zh-TW" w:eastAsia="zh-TW" w:bidi="zh-TW"/>
    </w:rPr>
  </w:style>
  <w:style w:type="paragraph" w:customStyle="1" w:styleId="54">
    <w:name w:val="正文段"/>
    <w:basedOn w:val="1"/>
    <w:autoRedefine/>
    <w:qFormat/>
    <w:uiPriority w:val="0"/>
    <w:pPr>
      <w:widowControl/>
      <w:snapToGrid w:val="0"/>
      <w:spacing w:afterLines="50"/>
      <w:ind w:firstLine="200" w:firstLineChars="200"/>
    </w:pPr>
    <w:rPr>
      <w:kern w:val="0"/>
      <w:sz w:val="24"/>
    </w:rPr>
  </w:style>
  <w:style w:type="paragraph" w:customStyle="1" w:styleId="55">
    <w:name w:val="plain text"/>
    <w:basedOn w:val="1"/>
    <w:autoRedefine/>
    <w:qFormat/>
    <w:uiPriority w:val="0"/>
    <w:rPr>
      <w:rFonts w:ascii="宋体" w:hAnsi="Courier New"/>
    </w:rPr>
  </w:style>
  <w:style w:type="paragraph" w:customStyle="1" w:styleId="56">
    <w:name w:val="Default"/>
    <w:next w:val="57"/>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7">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Table Paragraph"/>
    <w:basedOn w:val="1"/>
    <w:autoRedefine/>
    <w:qFormat/>
    <w:uiPriority w:val="1"/>
    <w:rPr>
      <w:rFonts w:ascii="宋体" w:hAnsi="宋体" w:eastAsia="宋体" w:cs="宋体"/>
      <w:lang w:val="zh-CN" w:eastAsia="zh-CN" w:bidi="zh-CN"/>
    </w:rPr>
  </w:style>
  <w:style w:type="paragraph" w:customStyle="1" w:styleId="59">
    <w:name w:val="表格2"/>
    <w:basedOn w:val="1"/>
    <w:autoRedefine/>
    <w:qFormat/>
    <w:uiPriority w:val="0"/>
    <w:pPr>
      <w:spacing w:line="240" w:lineRule="auto"/>
      <w:ind w:firstLine="0" w:firstLineChars="0"/>
    </w:pPr>
    <w:rPr>
      <w:rFonts w:ascii="宋体" w:hAnsi="宋体"/>
      <w:szCs w:val="32"/>
      <w:lang w:val="zh-CN"/>
    </w:rPr>
  </w:style>
  <w:style w:type="paragraph" w:customStyle="1" w:styleId="60">
    <w:name w:val="表格新"/>
    <w:basedOn w:val="1"/>
    <w:autoRedefine/>
    <w:qFormat/>
    <w:uiPriority w:val="0"/>
    <w:pPr>
      <w:adjustRightInd w:val="0"/>
      <w:spacing w:line="240" w:lineRule="auto"/>
      <w:ind w:firstLine="0" w:firstLineChars="0"/>
    </w:pPr>
    <w:rPr>
      <w:rFonts w:hint="eastAsia" w:ascii="宋体" w:hAnsi="宋体" w:cs="宋体"/>
      <w:bCs/>
      <w:szCs w:val="21"/>
    </w:rPr>
  </w:style>
  <w:style w:type="paragraph" w:styleId="61">
    <w:name w:val="List Paragraph"/>
    <w:basedOn w:val="1"/>
    <w:autoRedefine/>
    <w:qFormat/>
    <w:uiPriority w:val="99"/>
    <w:pPr>
      <w:widowControl/>
      <w:ind w:firstLine="420" w:firstLineChars="200"/>
      <w:jc w:val="left"/>
    </w:pPr>
    <w:rPr>
      <w:rFonts w:ascii="Calibri" w:hAnsi="Calibri" w:cs="Calibri"/>
      <w:szCs w:val="21"/>
    </w:rPr>
  </w:style>
  <w:style w:type="paragraph" w:customStyle="1" w:styleId="62">
    <w:name w:val="章正文"/>
    <w:basedOn w:val="1"/>
    <w:autoRedefine/>
    <w:qFormat/>
    <w:locked/>
    <w:uiPriority w:val="0"/>
    <w:pPr>
      <w:spacing w:before="156" w:beforeLines="50" w:after="120" w:line="300" w:lineRule="auto"/>
      <w:ind w:firstLine="480"/>
    </w:pPr>
    <w:rPr>
      <w:rFonts w:ascii="Helvetica" w:hAnsi="Helvetica"/>
      <w:kern w:val="0"/>
    </w:rPr>
  </w:style>
  <w:style w:type="paragraph" w:customStyle="1" w:styleId="63">
    <w:name w:val="Body text|6"/>
    <w:basedOn w:val="1"/>
    <w:autoRedefine/>
    <w:qFormat/>
    <w:uiPriority w:val="0"/>
    <w:pPr>
      <w:widowControl w:val="0"/>
      <w:shd w:val="clear" w:color="auto" w:fill="auto"/>
      <w:jc w:val="center"/>
    </w:pPr>
    <w:rPr>
      <w:sz w:val="20"/>
      <w:szCs w:val="20"/>
      <w:u w:val="none"/>
      <w:shd w:val="clear" w:color="auto" w:fill="auto"/>
      <w:lang w:val="zh-TW" w:eastAsia="zh-TW" w:bidi="zh-TW"/>
    </w:rPr>
  </w:style>
  <w:style w:type="paragraph" w:customStyle="1" w:styleId="64">
    <w:name w:val="正文缩进2格"/>
    <w:basedOn w:val="1"/>
    <w:autoRedefine/>
    <w:qFormat/>
    <w:uiPriority w:val="0"/>
    <w:pPr>
      <w:spacing w:line="600" w:lineRule="exact"/>
      <w:ind w:firstLine="639" w:firstLineChars="206"/>
    </w:pPr>
    <w:rPr>
      <w:rFonts w:ascii="仿宋_GB2312" w:hAnsi="宋体" w:eastAsia="仿宋_GB2312"/>
      <w:sz w:val="31"/>
      <w:szCs w:val="28"/>
    </w:rPr>
  </w:style>
  <w:style w:type="paragraph" w:customStyle="1" w:styleId="65">
    <w:name w:val="纯文本2"/>
    <w:basedOn w:val="1"/>
    <w:autoRedefine/>
    <w:qFormat/>
    <w:uiPriority w:val="0"/>
    <w:pPr>
      <w:adjustRightInd w:val="0"/>
      <w:spacing w:before="50"/>
      <w:jc w:val="left"/>
      <w:textAlignment w:val="baseline"/>
    </w:pPr>
    <w:rPr>
      <w:rFonts w:ascii="宋体" w:hAnsi="宋体" w:eastAsia="宋体" w:cs="Times New Roman"/>
      <w:kern w:val="0"/>
      <w:sz w:val="24"/>
      <w:szCs w:val="20"/>
    </w:rPr>
  </w:style>
  <w:style w:type="paragraph" w:customStyle="1" w:styleId="66">
    <w:name w:val="BodyText1I"/>
    <w:basedOn w:val="67"/>
    <w:autoRedefine/>
    <w:qFormat/>
    <w:uiPriority w:val="0"/>
    <w:pPr>
      <w:spacing w:line="360" w:lineRule="auto"/>
      <w:ind w:firstLine="420"/>
    </w:pPr>
    <w:rPr>
      <w:rFonts w:ascii="Times New Roman" w:hAnsi="Times New Roman" w:eastAsia="楷体_GB2312"/>
      <w:kern w:val="0"/>
      <w:sz w:val="24"/>
      <w:szCs w:val="20"/>
    </w:rPr>
  </w:style>
  <w:style w:type="paragraph" w:customStyle="1" w:styleId="67">
    <w:name w:val="BodyText"/>
    <w:basedOn w:val="1"/>
    <w:next w:val="66"/>
    <w:autoRedefine/>
    <w:qFormat/>
    <w:uiPriority w:val="0"/>
    <w:pPr>
      <w:widowControl/>
      <w:spacing w:after="120"/>
      <w:jc w:val="left"/>
    </w:pPr>
    <w:rPr>
      <w:rFonts w:ascii="FuturaA Bk BT" w:hAnsi="FuturaA Bk BT" w:eastAsia="仿宋_GB2312"/>
      <w:kern w:val="0"/>
      <w:sz w:val="20"/>
    </w:rPr>
  </w:style>
  <w:style w:type="paragraph" w:customStyle="1" w:styleId="68">
    <w:name w:val="列表1"/>
    <w:basedOn w:val="1"/>
    <w:autoRedefine/>
    <w:qFormat/>
    <w:uiPriority w:val="0"/>
    <w:pPr>
      <w:ind w:left="200" w:hanging="200" w:hangingChars="200"/>
    </w:pPr>
    <w:rPr>
      <w:rFonts w:ascii="Times New Roman" w:hAnsi="Times New Roman"/>
      <w:szCs w:val="24"/>
    </w:rPr>
  </w:style>
  <w:style w:type="paragraph" w:customStyle="1" w:styleId="69">
    <w:name w:val="p0"/>
    <w:basedOn w:val="1"/>
    <w:autoRedefine/>
    <w:qFormat/>
    <w:uiPriority w:val="0"/>
    <w:pPr>
      <w:widowControl/>
    </w:pPr>
    <w:rPr>
      <w:rFonts w:ascii="Times New Roman"/>
      <w:sz w:val="21"/>
      <w:szCs w:val="21"/>
    </w:rPr>
  </w:style>
  <w:style w:type="paragraph" w:customStyle="1" w:styleId="70">
    <w:name w:val="List Paragraph1"/>
    <w:basedOn w:val="1"/>
    <w:autoRedefine/>
    <w:qFormat/>
    <w:uiPriority w:val="0"/>
    <w:pPr>
      <w:widowControl/>
      <w:ind w:firstLine="420"/>
      <w:jc w:val="left"/>
    </w:pPr>
  </w:style>
  <w:style w:type="paragraph" w:customStyle="1" w:styleId="71">
    <w:name w:val="Body text|5"/>
    <w:basedOn w:val="1"/>
    <w:autoRedefine/>
    <w:qFormat/>
    <w:uiPriority w:val="0"/>
    <w:pPr>
      <w:widowControl w:val="0"/>
      <w:shd w:val="clear" w:color="auto" w:fill="auto"/>
      <w:ind w:hanging="1640"/>
    </w:pPr>
    <w:rPr>
      <w:rFonts w:ascii="宋体" w:hAnsi="宋体" w:eastAsia="宋体" w:cs="宋体"/>
      <w:sz w:val="22"/>
      <w:szCs w:val="22"/>
      <w:u w:val="single"/>
      <w:shd w:val="clear" w:color="auto" w:fill="auto"/>
      <w:lang w:val="zh-CN"/>
    </w:rPr>
  </w:style>
  <w:style w:type="paragraph" w:customStyle="1" w:styleId="72">
    <w:name w:val="Body text|1"/>
    <w:basedOn w:val="1"/>
    <w:autoRedefine/>
    <w:qFormat/>
    <w:uiPriority w:val="0"/>
    <w:pPr>
      <w:widowControl w:val="0"/>
      <w:shd w:val="clear" w:color="auto" w:fill="auto"/>
      <w:spacing w:line="401" w:lineRule="auto"/>
      <w:ind w:firstLine="400"/>
    </w:pPr>
    <w:rPr>
      <w:rFonts w:ascii="宋体" w:hAnsi="宋体" w:eastAsia="宋体" w:cs="宋体"/>
      <w:sz w:val="30"/>
      <w:szCs w:val="30"/>
      <w:u w:val="none"/>
      <w:shd w:val="clear" w:color="auto" w:fill="auto"/>
      <w:lang w:val="zh-TW" w:eastAsia="zh-TW" w:bidi="zh-TW"/>
    </w:rPr>
  </w:style>
  <w:style w:type="table" w:customStyle="1" w:styleId="73">
    <w:name w:val="Table Normal"/>
    <w:autoRedefine/>
    <w:unhideWhenUsed/>
    <w:qFormat/>
    <w:uiPriority w:val="0"/>
    <w:tblPr>
      <w:tblCellMar>
        <w:top w:w="0" w:type="dxa"/>
        <w:left w:w="0" w:type="dxa"/>
        <w:bottom w:w="0" w:type="dxa"/>
        <w:right w:w="0" w:type="dxa"/>
      </w:tblCellMar>
    </w:tblPr>
  </w:style>
  <w:style w:type="table" w:customStyle="1" w:styleId="74">
    <w:name w:val="TableGrid"/>
    <w:autoRedefine/>
    <w:qFormat/>
    <w:uiPriority w:val="0"/>
    <w:tblPr>
      <w:tblCellMar>
        <w:top w:w="0" w:type="dxa"/>
        <w:left w:w="0" w:type="dxa"/>
        <w:bottom w:w="0" w:type="dxa"/>
        <w:right w:w="0" w:type="dxa"/>
      </w:tblCellMar>
    </w:tblPr>
  </w:style>
  <w:style w:type="paragraph" w:customStyle="1" w:styleId="75">
    <w:name w:val="页眉1"/>
    <w:basedOn w:val="1"/>
    <w:autoRedefine/>
    <w:qFormat/>
    <w:uiPriority w:val="0"/>
    <w:pPr>
      <w:pBdr>
        <w:top w:val="none" w:color="000000" w:sz="0" w:space="1"/>
        <w:left w:val="none" w:color="000000" w:sz="0" w:space="4"/>
        <w:bottom w:val="none" w:color="000000" w:sz="0" w:space="1"/>
        <w:right w:val="none" w:color="000000" w:sz="0" w:space="4"/>
      </w:pBdr>
      <w:tabs>
        <w:tab w:val="center" w:pos="4153"/>
        <w:tab w:val="right" w:pos="8306"/>
      </w:tabs>
      <w:snapToGrid w:val="0"/>
      <w:spacing w:line="240" w:lineRule="auto"/>
    </w:pPr>
    <w:rPr>
      <w:rFonts w:ascii="Times New Roman" w:hAnsi="Times New Roman"/>
      <w:sz w:val="18"/>
    </w:rPr>
  </w:style>
  <w:style w:type="paragraph" w:customStyle="1" w:styleId="76">
    <w:name w:val="页脚1"/>
    <w:basedOn w:val="1"/>
    <w:autoRedefine/>
    <w:qFormat/>
    <w:uiPriority w:val="0"/>
    <w:pPr>
      <w:tabs>
        <w:tab w:val="center" w:pos="4153"/>
        <w:tab w:val="right" w:pos="8306"/>
      </w:tabs>
      <w:snapToGrid w:val="0"/>
      <w:jc w:val="left"/>
    </w:pPr>
    <w:rPr>
      <w:sz w:val="18"/>
      <w:szCs w:val="18"/>
    </w:rPr>
  </w:style>
  <w:style w:type="paragraph" w:customStyle="1" w:styleId="77">
    <w:name w:val="纯文本1"/>
    <w:basedOn w:val="1"/>
    <w:autoRedefine/>
    <w:qFormat/>
    <w:uiPriority w:val="0"/>
    <w:rPr>
      <w:rFonts w:ascii="宋体" w:hAnsi="Courier New"/>
    </w:rPr>
  </w:style>
  <w:style w:type="paragraph" w:customStyle="1" w:styleId="78">
    <w:name w:val="正文首行缩进1"/>
    <w:basedOn w:val="79"/>
    <w:autoRedefine/>
    <w:qFormat/>
    <w:uiPriority w:val="0"/>
    <w:pPr>
      <w:ind w:firstLine="420"/>
    </w:pPr>
    <w:rPr>
      <w:rFonts w:eastAsia="楷体_GB2312"/>
      <w:sz w:val="32"/>
      <w:szCs w:val="20"/>
    </w:rPr>
  </w:style>
  <w:style w:type="paragraph" w:customStyle="1" w:styleId="79">
    <w:name w:val="正文文本1"/>
    <w:basedOn w:val="1"/>
    <w:autoRedefine/>
    <w:qFormat/>
    <w:uiPriority w:val="0"/>
    <w:rPr>
      <w:rFonts w:eastAsia="黑体"/>
      <w:b/>
      <w:bCs/>
      <w:spacing w:val="20"/>
      <w:kern w:val="52"/>
      <w:sz w:val="56"/>
      <w:szCs w:val="24"/>
    </w:rPr>
  </w:style>
  <w:style w:type="paragraph" w:customStyle="1" w:styleId="80">
    <w:name w:val="正文首行缩进 21"/>
    <w:basedOn w:val="81"/>
    <w:autoRedefine/>
    <w:qFormat/>
    <w:uiPriority w:val="0"/>
    <w:pPr>
      <w:autoSpaceDE w:val="0"/>
      <w:autoSpaceDN w:val="0"/>
      <w:snapToGrid/>
      <w:spacing w:after="120" w:line="200" w:lineRule="exact"/>
      <w:ind w:left="420" w:leftChars="200" w:firstLine="420"/>
      <w:jc w:val="left"/>
    </w:pPr>
    <w:rPr>
      <w:rFonts w:hAnsi="Courier New" w:eastAsia="宋体"/>
      <w:spacing w:val="-4"/>
      <w:sz w:val="18"/>
    </w:rPr>
  </w:style>
  <w:style w:type="paragraph" w:customStyle="1" w:styleId="81">
    <w:name w:val="正文文本缩进1"/>
    <w:basedOn w:val="1"/>
    <w:autoRedefine/>
    <w:qFormat/>
    <w:uiPriority w:val="0"/>
    <w:pPr>
      <w:snapToGrid w:val="0"/>
      <w:spacing w:line="500" w:lineRule="atLeast"/>
      <w:ind w:left="-525" w:firstLine="525"/>
    </w:pPr>
    <w:rPr>
      <w:rFonts w:ascii="宋体"/>
      <w:szCs w:val="20"/>
    </w:rPr>
  </w:style>
  <w:style w:type="paragraph" w:customStyle="1" w:styleId="82">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reader-word-layer reader-word-s26-10"/>
    <w:basedOn w:val="1"/>
    <w:autoRedefine/>
    <w:qFormat/>
    <w:uiPriority w:val="0"/>
    <w:pPr>
      <w:widowControl/>
      <w:spacing w:before="100" w:beforeAutospacing="1" w:after="100" w:afterAutospacing="1"/>
      <w:jc w:val="left"/>
    </w:pPr>
    <w:rPr>
      <w:rFonts w:ascii="宋体" w:hAnsi="宋体"/>
      <w:kern w:val="0"/>
    </w:rPr>
  </w:style>
  <w:style w:type="table" w:customStyle="1" w:styleId="84">
    <w:name w:val="网格型1"/>
    <w:basedOn w:val="85"/>
    <w:autoRedefine/>
    <w:qFormat/>
    <w:uiPriority w:val="0"/>
    <w:pPr>
      <w:widowControl w:val="0"/>
      <w:jc w:val="both"/>
    </w:pPr>
    <w:tblPr>
      <w:tblCellMar>
        <w:top w:w="0" w:type="dxa"/>
        <w:left w:w="0" w:type="dxa"/>
        <w:bottom w:w="0" w:type="dxa"/>
        <w:right w:w="0" w:type="dxa"/>
      </w:tblCellMar>
    </w:tblPr>
  </w:style>
  <w:style w:type="table" w:customStyle="1" w:styleId="85">
    <w:name w:val="普通表格1"/>
    <w:autoRedefine/>
    <w:semiHidden/>
    <w:qFormat/>
    <w:uiPriority w:val="0"/>
    <w:tblPr>
      <w:tblCellMar>
        <w:top w:w="0" w:type="dxa"/>
        <w:left w:w="0" w:type="dxa"/>
        <w:bottom w:w="0" w:type="dxa"/>
        <w:right w:w="0" w:type="dxa"/>
      </w:tblCellMar>
    </w:tblPr>
  </w:style>
  <w:style w:type="paragraph" w:customStyle="1" w:styleId="86">
    <w:name w:val="正文文本缩进 21"/>
    <w:basedOn w:val="1"/>
    <w:autoRedefine/>
    <w:qFormat/>
    <w:uiPriority w:val="0"/>
    <w:pPr>
      <w:autoSpaceDE w:val="0"/>
      <w:autoSpaceDN w:val="0"/>
      <w:ind w:firstLine="150" w:firstLineChars="150"/>
    </w:pPr>
    <w:rPr>
      <w:rFonts w:ascii="仿宋_GB2312" w:eastAsia="仿宋_GB2312"/>
      <w:color w:val="000000"/>
      <w:szCs w:val="24"/>
    </w:rPr>
  </w:style>
  <w:style w:type="character" w:customStyle="1" w:styleId="87">
    <w:name w:val="large1"/>
    <w:autoRedefine/>
    <w:qFormat/>
    <w:uiPriority w:val="0"/>
    <w:rPr>
      <w:rFonts w:ascii="宋体" w:hAnsi="宋体" w:eastAsia="宋体"/>
      <w:sz w:val="21"/>
    </w:rPr>
  </w:style>
  <w:style w:type="character" w:customStyle="1" w:styleId="88">
    <w:name w:val="font151"/>
    <w:basedOn w:val="28"/>
    <w:autoRedefine/>
    <w:qFormat/>
    <w:uiPriority w:val="0"/>
    <w:rPr>
      <w:rFonts w:ascii="Calibri" w:hAnsi="Calibri" w:cs="Calibri"/>
      <w:color w:val="000000"/>
      <w:sz w:val="28"/>
      <w:szCs w:val="28"/>
      <w:u w:val="none"/>
    </w:rPr>
  </w:style>
  <w:style w:type="character" w:customStyle="1" w:styleId="89">
    <w:name w:val="font141"/>
    <w:basedOn w:val="28"/>
    <w:autoRedefine/>
    <w:qFormat/>
    <w:uiPriority w:val="0"/>
    <w:rPr>
      <w:rFonts w:ascii="Calibri" w:hAnsi="Calibri" w:cs="Calibri"/>
      <w:color w:val="000000"/>
      <w:sz w:val="28"/>
      <w:szCs w:val="28"/>
      <w:u w:val="none"/>
    </w:rPr>
  </w:style>
  <w:style w:type="paragraph" w:customStyle="1" w:styleId="90">
    <w:name w:val="Table Text"/>
    <w:basedOn w:val="1"/>
    <w:autoRedefine/>
    <w:semiHidden/>
    <w:qFormat/>
    <w:uiPriority w:val="0"/>
    <w:rPr>
      <w:rFonts w:ascii="微软雅黑" w:hAnsi="微软雅黑" w:eastAsia="微软雅黑" w:cs="微软雅黑"/>
      <w:sz w:val="22"/>
      <w:szCs w:val="22"/>
      <w:lang w:val="en-US" w:eastAsia="en-US" w:bidi="ar-SA"/>
    </w:rPr>
  </w:style>
  <w:style w:type="paragraph" w:customStyle="1" w:styleId="91">
    <w:name w:val="段"/>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92">
    <w:name w:val="样式1"/>
    <w:basedOn w:val="1"/>
    <w:autoRedefine/>
    <w:qFormat/>
    <w:uiPriority w:val="0"/>
    <w:pPr>
      <w:spacing w:line="360" w:lineRule="exact"/>
      <w:ind w:firstLine="200" w:firstLineChars="200"/>
    </w:pPr>
    <w:rPr>
      <w:rFonts w:ascii="Arial" w:hAnsi="Arial"/>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93</Pages>
  <Words>11230</Words>
  <Characters>12413</Characters>
  <Lines>0</Lines>
  <Paragraphs>0</Paragraphs>
  <TotalTime>9</TotalTime>
  <ScaleCrop>false</ScaleCrop>
  <LinksUpToDate>false</LinksUpToDate>
  <CharactersWithSpaces>12517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lenovo</dc:creator>
  <cp:lastModifiedBy>YANGUII</cp:lastModifiedBy>
  <cp:lastPrinted>2025-02-21T06:35:00Z</cp:lastPrinted>
  <dcterms:modified xsi:type="dcterms:W3CDTF">2025-03-18T00:43:40Z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C5AB3D5EB0B642DDB305C71022010D31_13</vt:lpwstr>
  </property>
  <property fmtid="{D5CDD505-2E9C-101B-9397-08002B2CF9AE}" pid="4" name="KSOTemplateDocerSaveRecord">
    <vt:lpwstr>eyJoZGlkIjoiN2RhZmEzYmZiZGMwOTU1ZTNkMzUzNWEzMDJjNzAxMGUifQ==</vt:lpwstr>
  </property>
</Properties>
</file>