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5EFB1">
      <w:pPr>
        <w:pStyle w:val="7"/>
        <w:numPr>
          <w:ilvl w:val="255"/>
          <w:numId w:val="0"/>
        </w:numPr>
        <w:jc w:val="center"/>
        <w:rPr>
          <w:rFonts w:hint="eastAsia" w:ascii="宋体" w:hAnsi="宋体" w:eastAsia="宋体" w:cs="宋体"/>
          <w:bCs/>
          <w:color w:val="auto"/>
          <w:sz w:val="52"/>
          <w:szCs w:val="52"/>
          <w:highlight w:val="none"/>
          <w:lang w:val="zh-CN"/>
        </w:rPr>
      </w:pPr>
      <w:r>
        <w:rPr>
          <w:rFonts w:hint="eastAsia" w:ascii="宋体" w:hAnsi="宋体" w:eastAsia="宋体" w:cs="宋体"/>
          <w:bCs/>
          <w:color w:val="auto"/>
          <w:sz w:val="52"/>
          <w:szCs w:val="52"/>
          <w:highlight w:val="none"/>
          <w:lang w:val="zh-CN"/>
        </w:rPr>
        <w:t>龙游县人民医院代120指挥中心采购救护车项目</w:t>
      </w:r>
    </w:p>
    <w:p w14:paraId="66693310">
      <w:pPr>
        <w:pStyle w:val="12"/>
        <w:ind w:firstLine="0" w:firstLineChars="0"/>
        <w:rPr>
          <w:color w:val="auto"/>
          <w:highlight w:val="none"/>
        </w:rPr>
      </w:pPr>
    </w:p>
    <w:p w14:paraId="6CD8DDE0">
      <w:pPr>
        <w:ind w:firstLine="0" w:firstLineChars="0"/>
        <w:rPr>
          <w:color w:val="auto"/>
          <w:highlight w:val="none"/>
        </w:rPr>
      </w:pPr>
    </w:p>
    <w:p w14:paraId="56C4DE3F">
      <w:pPr>
        <w:pStyle w:val="12"/>
        <w:ind w:firstLine="0" w:firstLineChars="0"/>
        <w:rPr>
          <w:color w:val="auto"/>
          <w:highlight w:val="none"/>
        </w:rPr>
      </w:pPr>
    </w:p>
    <w:p w14:paraId="598F0B19">
      <w:pPr>
        <w:spacing w:line="240" w:lineRule="auto"/>
        <w:ind w:firstLine="0" w:firstLineChars="0"/>
        <w:jc w:val="center"/>
        <w:rPr>
          <w:rFonts w:hint="eastAsia" w:ascii="宋体" w:hAnsi="宋体" w:cs="宋体"/>
          <w:b/>
          <w:color w:val="auto"/>
          <w:w w:val="90"/>
          <w:sz w:val="84"/>
          <w:szCs w:val="84"/>
          <w:highlight w:val="none"/>
          <w:lang w:val="zh-CN"/>
        </w:rPr>
      </w:pPr>
      <w:r>
        <w:rPr>
          <w:rFonts w:hint="eastAsia" w:ascii="宋体" w:hAnsi="宋体" w:cs="宋体"/>
          <w:b/>
          <w:color w:val="auto"/>
          <w:w w:val="90"/>
          <w:sz w:val="84"/>
          <w:szCs w:val="84"/>
          <w:highlight w:val="none"/>
        </w:rPr>
        <w:t xml:space="preserve">公 开 招 标 </w:t>
      </w:r>
      <w:r>
        <w:rPr>
          <w:rFonts w:hint="eastAsia" w:ascii="宋体" w:hAnsi="宋体" w:cs="宋体"/>
          <w:b/>
          <w:color w:val="auto"/>
          <w:w w:val="90"/>
          <w:sz w:val="84"/>
          <w:szCs w:val="84"/>
          <w:highlight w:val="none"/>
          <w:lang w:val="zh-CN"/>
        </w:rPr>
        <w:t>文</w:t>
      </w:r>
      <w:r>
        <w:rPr>
          <w:rFonts w:hint="eastAsia" w:ascii="宋体" w:hAnsi="宋体" w:cs="宋体"/>
          <w:b/>
          <w:color w:val="auto"/>
          <w:w w:val="90"/>
          <w:sz w:val="84"/>
          <w:szCs w:val="84"/>
          <w:highlight w:val="none"/>
        </w:rPr>
        <w:t xml:space="preserve"> </w:t>
      </w:r>
      <w:r>
        <w:rPr>
          <w:rFonts w:hint="eastAsia" w:ascii="宋体" w:hAnsi="宋体" w:cs="宋体"/>
          <w:b/>
          <w:color w:val="auto"/>
          <w:w w:val="90"/>
          <w:sz w:val="84"/>
          <w:szCs w:val="84"/>
          <w:highlight w:val="none"/>
          <w:lang w:val="zh-CN"/>
        </w:rPr>
        <w:t>件</w:t>
      </w:r>
    </w:p>
    <w:p w14:paraId="5FA9B3B8">
      <w:pPr>
        <w:ind w:firstLine="0" w:firstLineChars="0"/>
        <w:rPr>
          <w:color w:val="auto"/>
          <w:highlight w:val="none"/>
        </w:rPr>
      </w:pPr>
    </w:p>
    <w:p w14:paraId="0C607A6E">
      <w:pPr>
        <w:pStyle w:val="16"/>
        <w:ind w:firstLine="0" w:firstLineChars="0"/>
        <w:rPr>
          <w:color w:val="auto"/>
          <w:highlight w:val="none"/>
        </w:rPr>
      </w:pPr>
    </w:p>
    <w:p w14:paraId="6C45869B">
      <w:pPr>
        <w:pStyle w:val="17"/>
        <w:ind w:firstLine="240"/>
        <w:rPr>
          <w:color w:val="auto"/>
          <w:highlight w:val="none"/>
        </w:rPr>
      </w:pPr>
    </w:p>
    <w:p w14:paraId="4249CE70">
      <w:pPr>
        <w:pStyle w:val="17"/>
        <w:ind w:firstLine="0" w:firstLineChars="0"/>
        <w:rPr>
          <w:color w:val="auto"/>
          <w:highlight w:val="none"/>
        </w:rPr>
      </w:pPr>
    </w:p>
    <w:p w14:paraId="24816858">
      <w:pPr>
        <w:ind w:firstLine="0" w:firstLineChars="0"/>
        <w:rPr>
          <w:color w:val="auto"/>
          <w:highlight w:val="none"/>
        </w:rPr>
      </w:pPr>
    </w:p>
    <w:p w14:paraId="138CC0A7">
      <w:pPr>
        <w:snapToGrid w:val="0"/>
        <w:spacing w:line="360" w:lineRule="auto"/>
        <w:ind w:firstLine="964" w:firstLineChars="300"/>
        <w:outlineLvl w:val="0"/>
        <w:rPr>
          <w:rFonts w:hint="eastAsia" w:ascii="宋体" w:hAnsi="宋体" w:cs="宋体"/>
          <w:b/>
          <w:color w:val="auto"/>
          <w:sz w:val="32"/>
          <w:szCs w:val="32"/>
          <w:highlight w:val="none"/>
          <w:lang w:val="zh-CN"/>
        </w:rPr>
      </w:pPr>
      <w:bookmarkStart w:id="0" w:name="_Toc11746"/>
      <w:bookmarkStart w:id="1" w:name="_Toc12453"/>
      <w:bookmarkStart w:id="2" w:name="_Toc23674"/>
      <w:bookmarkStart w:id="3" w:name="_Toc22760"/>
      <w:bookmarkStart w:id="4" w:name="_Toc8326"/>
      <w:bookmarkStart w:id="5" w:name="_Toc12002"/>
      <w:bookmarkStart w:id="6" w:name="_Toc31696"/>
      <w:bookmarkStart w:id="7" w:name="_Toc30066"/>
      <w:bookmarkStart w:id="8" w:name="_Toc6188"/>
      <w:bookmarkStart w:id="9" w:name="_Toc28310"/>
      <w:bookmarkStart w:id="10" w:name="_Toc16265"/>
      <w:bookmarkStart w:id="11" w:name="_Toc16173"/>
      <w:bookmarkStart w:id="12" w:name="_Toc11915"/>
      <w:r>
        <w:rPr>
          <w:rFonts w:hint="eastAsia" w:ascii="宋体" w:hAnsi="宋体" w:cs="宋体"/>
          <w:b/>
          <w:color w:val="auto"/>
          <w:sz w:val="32"/>
          <w:szCs w:val="32"/>
          <w:highlight w:val="none"/>
          <w:lang w:val="zh-CN"/>
        </w:rPr>
        <w:t>项目编号：</w:t>
      </w:r>
      <w:bookmarkEnd w:id="0"/>
      <w:bookmarkEnd w:id="1"/>
      <w:bookmarkEnd w:id="2"/>
      <w:bookmarkEnd w:id="3"/>
      <w:bookmarkEnd w:id="4"/>
      <w:bookmarkEnd w:id="5"/>
      <w:bookmarkEnd w:id="6"/>
      <w:bookmarkEnd w:id="7"/>
      <w:bookmarkEnd w:id="8"/>
      <w:bookmarkEnd w:id="9"/>
      <w:bookmarkEnd w:id="10"/>
      <w:bookmarkEnd w:id="11"/>
      <w:bookmarkEnd w:id="12"/>
      <w:bookmarkStart w:id="13" w:name="_Toc20914"/>
      <w:r>
        <w:rPr>
          <w:rFonts w:hint="eastAsia" w:ascii="宋体" w:hAnsi="宋体" w:cs="宋体"/>
          <w:b/>
          <w:color w:val="auto"/>
          <w:sz w:val="32"/>
          <w:szCs w:val="32"/>
          <w:highlight w:val="none"/>
          <w:lang w:val="zh-CN"/>
        </w:rPr>
        <w:t>LYCG2025YX-003</w:t>
      </w:r>
    </w:p>
    <w:p w14:paraId="19C7817D">
      <w:pPr>
        <w:snapToGrid w:val="0"/>
        <w:spacing w:line="360" w:lineRule="auto"/>
        <w:ind w:firstLine="964" w:firstLineChars="300"/>
        <w:outlineLvl w:val="0"/>
        <w:rPr>
          <w:rFonts w:hint="eastAsia" w:ascii="宋体" w:hAnsi="宋体" w:cs="宋体"/>
          <w:b/>
          <w:color w:val="auto"/>
          <w:sz w:val="32"/>
          <w:szCs w:val="32"/>
          <w:highlight w:val="none"/>
          <w:lang w:val="zh-CN"/>
        </w:rPr>
      </w:pPr>
      <w:bookmarkStart w:id="14" w:name="_Toc7773"/>
      <w:bookmarkStart w:id="15" w:name="_Toc14706"/>
      <w:bookmarkStart w:id="16" w:name="_Toc30440"/>
      <w:r>
        <w:rPr>
          <w:rFonts w:hint="eastAsia" w:ascii="宋体" w:hAnsi="宋体" w:cs="宋体"/>
          <w:b/>
          <w:color w:val="auto"/>
          <w:sz w:val="32"/>
          <w:szCs w:val="32"/>
          <w:highlight w:val="none"/>
          <w:lang w:val="zh-CN"/>
        </w:rPr>
        <w:t>预算执行</w:t>
      </w:r>
      <w:bookmarkStart w:id="461" w:name="_GoBack"/>
      <w:r>
        <w:rPr>
          <w:rFonts w:hint="eastAsia" w:ascii="宋体" w:hAnsi="宋体" w:cs="宋体"/>
          <w:b/>
          <w:color w:val="auto"/>
          <w:sz w:val="32"/>
          <w:szCs w:val="32"/>
          <w:highlight w:val="none"/>
          <w:lang w:val="zh-CN"/>
        </w:rPr>
        <w:t>确认书编号：</w:t>
      </w:r>
      <w:bookmarkStart w:id="17" w:name="OLE_LINK30"/>
      <w:r>
        <w:rPr>
          <w:rFonts w:hint="eastAsia" w:ascii="宋体" w:hAnsi="宋体" w:cs="宋体"/>
          <w:b/>
          <w:color w:val="auto"/>
          <w:sz w:val="32"/>
          <w:szCs w:val="32"/>
          <w:highlight w:val="none"/>
          <w:lang w:val="zh-CN"/>
        </w:rPr>
        <w:t>龙财采确临[2025]27号</w:t>
      </w:r>
      <w:bookmarkEnd w:id="461"/>
      <w:bookmarkEnd w:id="13"/>
      <w:bookmarkEnd w:id="14"/>
      <w:bookmarkEnd w:id="15"/>
      <w:bookmarkEnd w:id="16"/>
      <w:bookmarkEnd w:id="17"/>
    </w:p>
    <w:p w14:paraId="15BF6271">
      <w:pPr>
        <w:pStyle w:val="42"/>
        <w:ind w:firstLine="964" w:firstLineChars="300"/>
        <w:rPr>
          <w:rFonts w:hint="eastAsia" w:ascii="宋体" w:hAnsi="宋体" w:cs="宋体"/>
          <w:b/>
          <w:i w:val="0"/>
          <w:color w:val="auto"/>
          <w:sz w:val="32"/>
          <w:szCs w:val="32"/>
          <w:highlight w:val="none"/>
          <w:lang w:val="zh-CN"/>
        </w:rPr>
      </w:pPr>
      <w:bookmarkStart w:id="18" w:name="_Toc26634"/>
      <w:bookmarkStart w:id="19" w:name="_Toc9445"/>
      <w:bookmarkStart w:id="20" w:name="_Toc21241"/>
      <w:bookmarkStart w:id="21" w:name="_Toc31717"/>
      <w:bookmarkStart w:id="22" w:name="_Toc1208"/>
      <w:r>
        <w:rPr>
          <w:rFonts w:hint="eastAsia" w:ascii="宋体" w:hAnsi="宋体" w:cs="宋体"/>
          <w:b/>
          <w:i w:val="0"/>
          <w:iCs/>
          <w:color w:val="auto"/>
          <w:sz w:val="32"/>
          <w:szCs w:val="32"/>
          <w:highlight w:val="none"/>
          <w:lang w:val="zh-CN"/>
        </w:rPr>
        <w:t>项目名称：</w:t>
      </w:r>
      <w:bookmarkEnd w:id="18"/>
      <w:bookmarkEnd w:id="19"/>
      <w:bookmarkEnd w:id="20"/>
      <w:bookmarkEnd w:id="21"/>
      <w:bookmarkEnd w:id="22"/>
      <w:r>
        <w:rPr>
          <w:rFonts w:hint="eastAsia" w:ascii="宋体" w:hAnsi="宋体" w:cs="宋体"/>
          <w:b/>
          <w:i w:val="0"/>
          <w:iCs/>
          <w:color w:val="auto"/>
          <w:sz w:val="32"/>
          <w:szCs w:val="32"/>
          <w:highlight w:val="none"/>
          <w:lang w:val="zh-CN"/>
        </w:rPr>
        <w:t>龙游县人民医院代120指挥中心采购救护车项目</w:t>
      </w:r>
    </w:p>
    <w:p w14:paraId="6A304E35">
      <w:pPr>
        <w:pStyle w:val="42"/>
        <w:rPr>
          <w:color w:val="auto"/>
          <w:highlight w:val="none"/>
          <w:lang w:val="zh-CN"/>
        </w:rPr>
      </w:pPr>
    </w:p>
    <w:p w14:paraId="5A353A31">
      <w:pPr>
        <w:pStyle w:val="42"/>
        <w:rPr>
          <w:color w:val="auto"/>
          <w:highlight w:val="none"/>
          <w:lang w:val="zh-CN"/>
        </w:rPr>
      </w:pPr>
    </w:p>
    <w:p w14:paraId="47065C11">
      <w:pPr>
        <w:pStyle w:val="42"/>
        <w:rPr>
          <w:color w:val="auto"/>
          <w:highlight w:val="none"/>
          <w:lang w:val="zh-CN"/>
        </w:rPr>
      </w:pPr>
    </w:p>
    <w:p w14:paraId="5A06D217">
      <w:pPr>
        <w:pStyle w:val="42"/>
        <w:rPr>
          <w:color w:val="auto"/>
          <w:highlight w:val="none"/>
          <w:lang w:val="zh-CN"/>
        </w:rPr>
      </w:pPr>
    </w:p>
    <w:p w14:paraId="52B694FF">
      <w:pPr>
        <w:pStyle w:val="42"/>
        <w:rPr>
          <w:color w:val="auto"/>
          <w:highlight w:val="none"/>
          <w:lang w:val="zh-CN"/>
        </w:rPr>
      </w:pPr>
    </w:p>
    <w:p w14:paraId="417ECFE8">
      <w:pPr>
        <w:pStyle w:val="40"/>
        <w:ind w:firstLine="0" w:firstLineChars="0"/>
        <w:rPr>
          <w:rFonts w:hint="default"/>
          <w:color w:val="auto"/>
          <w:highlight w:val="none"/>
          <w:lang w:val="zh-CN"/>
        </w:rPr>
      </w:pPr>
    </w:p>
    <w:p w14:paraId="38FAC5E2">
      <w:pPr>
        <w:snapToGrid w:val="0"/>
        <w:spacing w:line="480" w:lineRule="auto"/>
        <w:ind w:firstLine="1285" w:firstLineChars="400"/>
        <w:outlineLvl w:val="0"/>
        <w:rPr>
          <w:rFonts w:hint="eastAsia" w:ascii="宋体" w:hAnsi="宋体" w:cs="宋体"/>
          <w:b/>
          <w:color w:val="auto"/>
          <w:sz w:val="32"/>
          <w:szCs w:val="32"/>
          <w:highlight w:val="none"/>
          <w:lang w:val="zh-CN"/>
        </w:rPr>
      </w:pPr>
      <w:bookmarkStart w:id="23" w:name="_Toc31545"/>
      <w:bookmarkStart w:id="24" w:name="_Toc9031"/>
      <w:bookmarkStart w:id="25" w:name="_Toc10257"/>
      <w:bookmarkStart w:id="26" w:name="_Toc5392"/>
      <w:bookmarkStart w:id="27" w:name="_Toc23809"/>
      <w:bookmarkStart w:id="28" w:name="_Toc18160"/>
      <w:bookmarkStart w:id="29" w:name="_Toc7131"/>
      <w:bookmarkStart w:id="30" w:name="_Toc22819"/>
      <w:bookmarkStart w:id="31" w:name="_Toc28496"/>
      <w:bookmarkStart w:id="32" w:name="_Toc29075"/>
      <w:bookmarkStart w:id="33" w:name="_Toc3337"/>
      <w:bookmarkStart w:id="34" w:name="_Toc15858"/>
      <w:bookmarkStart w:id="35" w:name="_Toc19893"/>
      <w:r>
        <w:rPr>
          <w:rFonts w:hint="eastAsia" w:ascii="宋体" w:hAnsi="宋体" w:cs="宋体"/>
          <w:b/>
          <w:color w:val="auto"/>
          <w:sz w:val="32"/>
          <w:szCs w:val="32"/>
          <w:highlight w:val="none"/>
          <w:lang w:val="zh-CN"/>
        </w:rPr>
        <w:t>采</w:t>
      </w: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lang w:val="zh-CN"/>
        </w:rPr>
        <w:t>购</w:t>
      </w:r>
      <w:r>
        <w:rPr>
          <w:rFonts w:hint="eastAsia" w:ascii="宋体" w:hAnsi="宋体" w:cs="宋体"/>
          <w:b/>
          <w:color w:val="auto"/>
          <w:sz w:val="32"/>
          <w:szCs w:val="32"/>
          <w:highlight w:val="none"/>
        </w:rPr>
        <w:t xml:space="preserve">   人</w:t>
      </w:r>
      <w:r>
        <w:rPr>
          <w:rFonts w:hint="eastAsia" w:ascii="宋体" w:hAnsi="宋体" w:cs="宋体"/>
          <w:b/>
          <w:color w:val="auto"/>
          <w:sz w:val="32"/>
          <w:szCs w:val="32"/>
          <w:highlight w:val="none"/>
          <w:lang w:val="zh-CN"/>
        </w:rPr>
        <w:t>：龙游县人民医院（</w:t>
      </w:r>
      <w:r>
        <w:rPr>
          <w:rFonts w:hint="eastAsia" w:ascii="宋体" w:hAnsi="宋体" w:cs="宋体"/>
          <w:b/>
          <w:color w:val="auto"/>
          <w:sz w:val="32"/>
          <w:szCs w:val="32"/>
          <w:highlight w:val="none"/>
        </w:rPr>
        <w:t>盖章</w:t>
      </w:r>
      <w:r>
        <w:rPr>
          <w:rFonts w:hint="eastAsia" w:ascii="宋体" w:hAnsi="宋体" w:cs="宋体"/>
          <w:b/>
          <w:color w:val="auto"/>
          <w:sz w:val="32"/>
          <w:szCs w:val="32"/>
          <w:highlight w:val="none"/>
          <w:lang w:val="zh-CN"/>
        </w:rPr>
        <w:t>）</w:t>
      </w:r>
      <w:bookmarkEnd w:id="23"/>
      <w:bookmarkEnd w:id="24"/>
      <w:bookmarkEnd w:id="25"/>
      <w:bookmarkEnd w:id="26"/>
      <w:bookmarkEnd w:id="27"/>
      <w:bookmarkEnd w:id="28"/>
      <w:bookmarkEnd w:id="29"/>
      <w:bookmarkEnd w:id="30"/>
      <w:bookmarkEnd w:id="31"/>
      <w:bookmarkEnd w:id="32"/>
      <w:bookmarkEnd w:id="33"/>
      <w:bookmarkEnd w:id="34"/>
      <w:bookmarkEnd w:id="35"/>
    </w:p>
    <w:p w14:paraId="07863756">
      <w:pPr>
        <w:snapToGrid w:val="0"/>
        <w:spacing w:line="480" w:lineRule="auto"/>
        <w:ind w:firstLine="1285" w:firstLineChars="400"/>
        <w:rPr>
          <w:rFonts w:hint="eastAsia" w:ascii="宋体" w:hAnsi="宋体" w:cs="宋体"/>
          <w:b/>
          <w:color w:val="auto"/>
          <w:sz w:val="32"/>
          <w:szCs w:val="32"/>
          <w:highlight w:val="none"/>
          <w:lang w:val="zh-CN"/>
        </w:rPr>
      </w:pPr>
      <w:bookmarkStart w:id="36" w:name="OLE_LINK69"/>
      <w:r>
        <w:rPr>
          <w:rFonts w:hint="eastAsia" w:ascii="宋体" w:hAnsi="宋体" w:cs="宋体"/>
          <w:b/>
          <w:color w:val="auto"/>
          <w:sz w:val="32"/>
          <w:szCs w:val="32"/>
          <w:highlight w:val="none"/>
          <w:lang w:val="zh-CN"/>
        </w:rPr>
        <w:t>采购代理机构：衢州宇信工程咨询有限公司</w:t>
      </w:r>
      <w:bookmarkEnd w:id="36"/>
      <w:r>
        <w:rPr>
          <w:rFonts w:hint="eastAsia" w:ascii="宋体" w:hAnsi="宋体" w:cs="宋体"/>
          <w:b/>
          <w:color w:val="auto"/>
          <w:sz w:val="32"/>
          <w:szCs w:val="32"/>
          <w:highlight w:val="none"/>
          <w:lang w:val="zh-CN"/>
        </w:rPr>
        <w:t>（</w:t>
      </w:r>
      <w:r>
        <w:rPr>
          <w:rFonts w:hint="eastAsia" w:ascii="宋体" w:hAnsi="宋体" w:cs="宋体"/>
          <w:b/>
          <w:color w:val="auto"/>
          <w:sz w:val="32"/>
          <w:szCs w:val="32"/>
          <w:highlight w:val="none"/>
        </w:rPr>
        <w:t>盖章</w:t>
      </w:r>
      <w:r>
        <w:rPr>
          <w:rFonts w:hint="eastAsia" w:ascii="宋体" w:hAnsi="宋体" w:cs="宋体"/>
          <w:b/>
          <w:color w:val="auto"/>
          <w:sz w:val="32"/>
          <w:szCs w:val="32"/>
          <w:highlight w:val="none"/>
          <w:lang w:val="zh-CN"/>
        </w:rPr>
        <w:t>）</w:t>
      </w:r>
    </w:p>
    <w:p w14:paraId="4305959D">
      <w:pPr>
        <w:snapToGrid w:val="0"/>
        <w:spacing w:line="480" w:lineRule="auto"/>
        <w:ind w:firstLine="0" w:firstLineChars="0"/>
        <w:jc w:val="center"/>
        <w:outlineLvl w:val="0"/>
        <w:rPr>
          <w:rFonts w:hint="eastAsia" w:ascii="宋体" w:hAnsi="宋体" w:cs="宋体"/>
          <w:b/>
          <w:color w:val="auto"/>
          <w:sz w:val="32"/>
          <w:szCs w:val="32"/>
          <w:highlight w:val="none"/>
          <w:lang w:val="zh-CN"/>
        </w:rPr>
      </w:pPr>
      <w:bookmarkStart w:id="37" w:name="_Toc28421"/>
      <w:bookmarkStart w:id="38" w:name="_Toc8313"/>
      <w:bookmarkStart w:id="39" w:name="_Toc3804"/>
      <w:bookmarkStart w:id="40" w:name="_Toc32285"/>
      <w:bookmarkStart w:id="41" w:name="_Toc6770"/>
      <w:bookmarkStart w:id="42" w:name="_Toc9174"/>
      <w:bookmarkStart w:id="43" w:name="_Toc2520"/>
      <w:bookmarkStart w:id="44" w:name="_Toc12024"/>
      <w:bookmarkStart w:id="45" w:name="_Toc22008"/>
      <w:bookmarkStart w:id="46" w:name="_Toc23720"/>
      <w:bookmarkStart w:id="47" w:name="_Toc4426"/>
      <w:bookmarkStart w:id="48" w:name="_Toc9337"/>
      <w:bookmarkStart w:id="49" w:name="_Toc23442"/>
      <w:r>
        <w:rPr>
          <w:rFonts w:hint="eastAsia" w:ascii="宋体" w:hAnsi="宋体" w:cs="宋体"/>
          <w:b/>
          <w:color w:val="auto"/>
          <w:sz w:val="32"/>
          <w:szCs w:val="32"/>
          <w:highlight w:val="none"/>
          <w:lang w:val="zh-CN"/>
        </w:rPr>
        <w:t>日期：</w:t>
      </w:r>
      <w:bookmarkEnd w:id="37"/>
      <w:bookmarkEnd w:id="38"/>
      <w:bookmarkEnd w:id="39"/>
      <w:bookmarkEnd w:id="40"/>
      <w:bookmarkEnd w:id="41"/>
      <w:r>
        <w:rPr>
          <w:rFonts w:hint="eastAsia" w:ascii="宋体" w:hAnsi="宋体" w:cs="宋体"/>
          <w:b/>
          <w:color w:val="auto"/>
          <w:sz w:val="32"/>
          <w:szCs w:val="32"/>
          <w:highlight w:val="none"/>
          <w:lang w:val="zh-CN"/>
        </w:rPr>
        <w:t>二○二</w:t>
      </w:r>
      <w:r>
        <w:rPr>
          <w:rFonts w:hint="eastAsia" w:ascii="宋体" w:hAnsi="宋体" w:cs="宋体"/>
          <w:b/>
          <w:color w:val="auto"/>
          <w:sz w:val="32"/>
          <w:szCs w:val="32"/>
          <w:highlight w:val="none"/>
        </w:rPr>
        <w:t>五</w:t>
      </w:r>
      <w:r>
        <w:rPr>
          <w:rFonts w:hint="eastAsia" w:ascii="宋体" w:hAnsi="宋体" w:cs="宋体"/>
          <w:b/>
          <w:color w:val="auto"/>
          <w:sz w:val="32"/>
          <w:szCs w:val="32"/>
          <w:highlight w:val="none"/>
          <w:lang w:val="zh-CN"/>
        </w:rPr>
        <w:t>年</w:t>
      </w:r>
      <w:r>
        <w:rPr>
          <w:rFonts w:hint="eastAsia" w:ascii="宋体" w:hAnsi="宋体" w:cs="宋体"/>
          <w:b/>
          <w:color w:val="auto"/>
          <w:sz w:val="32"/>
          <w:szCs w:val="32"/>
          <w:highlight w:val="none"/>
        </w:rPr>
        <w:t>元</w:t>
      </w:r>
      <w:r>
        <w:rPr>
          <w:rFonts w:hint="eastAsia" w:ascii="宋体" w:hAnsi="宋体" w:cs="宋体"/>
          <w:b/>
          <w:color w:val="auto"/>
          <w:sz w:val="32"/>
          <w:szCs w:val="32"/>
          <w:highlight w:val="none"/>
          <w:lang w:val="zh-CN"/>
        </w:rPr>
        <w:t>月</w:t>
      </w:r>
      <w:bookmarkEnd w:id="42"/>
      <w:bookmarkEnd w:id="43"/>
      <w:bookmarkEnd w:id="44"/>
      <w:bookmarkEnd w:id="45"/>
      <w:bookmarkEnd w:id="46"/>
      <w:bookmarkEnd w:id="47"/>
      <w:bookmarkEnd w:id="48"/>
      <w:bookmarkEnd w:id="49"/>
    </w:p>
    <w:sdt>
      <w:sdtPr>
        <w:rPr>
          <w:rFonts w:ascii="宋体" w:hAnsi="宋体"/>
          <w:color w:val="auto"/>
          <w:sz w:val="52"/>
          <w:szCs w:val="52"/>
          <w:highlight w:val="none"/>
        </w:rPr>
        <w:id w:val="147455663"/>
        <w15:color w:val="DBDBDB"/>
        <w:docPartObj>
          <w:docPartGallery w:val="Table of Contents"/>
          <w:docPartUnique/>
        </w:docPartObj>
      </w:sdtPr>
      <w:sdtEndPr>
        <w:rPr>
          <w:rFonts w:ascii="宋体" w:hAnsi="宋体"/>
          <w:b/>
          <w:color w:val="auto"/>
          <w:sz w:val="52"/>
          <w:szCs w:val="52"/>
          <w:highlight w:val="none"/>
        </w:rPr>
      </w:sdtEndPr>
      <w:sdtContent>
        <w:p w14:paraId="48498ACA">
          <w:pPr>
            <w:spacing w:line="240" w:lineRule="auto"/>
            <w:ind w:firstLine="0" w:firstLineChars="0"/>
            <w:jc w:val="center"/>
            <w:rPr>
              <w:color w:val="auto"/>
              <w:sz w:val="52"/>
              <w:szCs w:val="52"/>
              <w:highlight w:val="none"/>
            </w:rPr>
          </w:pPr>
          <w:r>
            <w:rPr>
              <w:rFonts w:ascii="宋体" w:hAnsi="宋体"/>
              <w:color w:val="auto"/>
              <w:sz w:val="52"/>
              <w:szCs w:val="52"/>
              <w:highlight w:val="none"/>
            </w:rPr>
            <w:t>目录</w:t>
          </w:r>
        </w:p>
        <w:p w14:paraId="485E50A8">
          <w:pPr>
            <w:pStyle w:val="92"/>
            <w:tabs>
              <w:tab w:val="right" w:leader="dot" w:pos="9747"/>
            </w:tabs>
            <w:rPr>
              <w:b/>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14:paraId="65491EBC">
          <w:pPr>
            <w:pStyle w:val="92"/>
            <w:tabs>
              <w:tab w:val="right" w:leader="dot" w:pos="9747"/>
            </w:tabs>
            <w:spacing w:line="312" w:lineRule="auto"/>
            <w:ind w:firstLine="400" w:firstLineChars="200"/>
            <w:rPr>
              <w:rFonts w:hint="eastAsia" w:ascii="宋体" w:hAnsi="宋体" w:cs="宋体"/>
              <w:b/>
              <w:color w:val="auto"/>
              <w:sz w:val="22"/>
              <w:szCs w:val="22"/>
              <w:highlight w:val="none"/>
            </w:rPr>
          </w:pPr>
          <w:r>
            <w:rPr>
              <w:color w:val="auto"/>
              <w:highlight w:val="none"/>
            </w:rPr>
            <w:fldChar w:fldCharType="begin"/>
          </w:r>
          <w:r>
            <w:rPr>
              <w:color w:val="auto"/>
              <w:highlight w:val="none"/>
            </w:rPr>
            <w:instrText xml:space="preserve"> HYPERLINK \l "_Toc27622" </w:instrText>
          </w:r>
          <w:r>
            <w:rPr>
              <w:color w:val="auto"/>
              <w:highlight w:val="none"/>
            </w:rPr>
            <w:fldChar w:fldCharType="separate"/>
          </w:r>
          <w:r>
            <w:rPr>
              <w:rFonts w:hint="eastAsia" w:ascii="宋体" w:hAnsi="宋体" w:cs="宋体"/>
              <w:b/>
              <w:color w:val="auto"/>
              <w:kern w:val="2"/>
              <w:sz w:val="22"/>
              <w:szCs w:val="22"/>
              <w:highlight w:val="none"/>
            </w:rPr>
            <w:t xml:space="preserve">第一章 </w:t>
          </w:r>
          <w:r>
            <w:rPr>
              <w:rFonts w:hint="eastAsia" w:ascii="宋体" w:hAnsi="宋体" w:cs="宋体"/>
              <w:b/>
              <w:bCs/>
              <w:color w:val="auto"/>
              <w:sz w:val="22"/>
              <w:szCs w:val="22"/>
              <w:highlight w:val="none"/>
            </w:rPr>
            <w:t>招标公告</w:t>
          </w:r>
          <w:r>
            <w:rPr>
              <w:rFonts w:hint="eastAsia" w:ascii="宋体" w:hAnsi="宋体" w:cs="宋体"/>
              <w:b/>
              <w:color w:val="auto"/>
              <w:sz w:val="22"/>
              <w:szCs w:val="22"/>
              <w:highlight w:val="none"/>
            </w:rPr>
            <w:tab/>
          </w:r>
          <w:r>
            <w:rPr>
              <w:rFonts w:hint="eastAsia" w:ascii="宋体" w:hAnsi="宋体" w:cs="宋体"/>
              <w:b/>
              <w:color w:val="auto"/>
              <w:sz w:val="22"/>
              <w:szCs w:val="22"/>
              <w:highlight w:val="none"/>
            </w:rPr>
            <w:fldChar w:fldCharType="begin"/>
          </w:r>
          <w:r>
            <w:rPr>
              <w:rFonts w:hint="eastAsia" w:ascii="宋体" w:hAnsi="宋体" w:cs="宋体"/>
              <w:b/>
              <w:color w:val="auto"/>
              <w:sz w:val="22"/>
              <w:szCs w:val="22"/>
              <w:highlight w:val="none"/>
            </w:rPr>
            <w:instrText xml:space="preserve"> PAGEREF _Toc27622 \h </w:instrText>
          </w:r>
          <w:r>
            <w:rPr>
              <w:rFonts w:hint="eastAsia" w:ascii="宋体" w:hAnsi="宋体" w:cs="宋体"/>
              <w:b/>
              <w:color w:val="auto"/>
              <w:sz w:val="22"/>
              <w:szCs w:val="22"/>
              <w:highlight w:val="none"/>
            </w:rPr>
            <w:fldChar w:fldCharType="separate"/>
          </w:r>
          <w:r>
            <w:rPr>
              <w:rFonts w:hint="eastAsia" w:ascii="宋体" w:hAnsi="宋体" w:cs="宋体"/>
              <w:b/>
              <w:color w:val="auto"/>
              <w:sz w:val="22"/>
              <w:szCs w:val="22"/>
              <w:highlight w:val="none"/>
            </w:rPr>
            <w:t>3</w:t>
          </w:r>
          <w:r>
            <w:rPr>
              <w:rFonts w:hint="eastAsia" w:ascii="宋体" w:hAnsi="宋体" w:cs="宋体"/>
              <w:b/>
              <w:color w:val="auto"/>
              <w:sz w:val="22"/>
              <w:szCs w:val="22"/>
              <w:highlight w:val="none"/>
            </w:rPr>
            <w:fldChar w:fldCharType="end"/>
          </w:r>
          <w:r>
            <w:rPr>
              <w:rFonts w:hint="eastAsia" w:ascii="宋体" w:hAnsi="宋体" w:cs="宋体"/>
              <w:b/>
              <w:color w:val="auto"/>
              <w:sz w:val="22"/>
              <w:szCs w:val="22"/>
              <w:highlight w:val="none"/>
            </w:rPr>
            <w:fldChar w:fldCharType="end"/>
          </w:r>
        </w:p>
        <w:p w14:paraId="412D0D1B">
          <w:pPr>
            <w:pStyle w:val="92"/>
            <w:tabs>
              <w:tab w:val="right" w:leader="dot" w:pos="9747"/>
            </w:tabs>
            <w:spacing w:line="312" w:lineRule="auto"/>
            <w:ind w:firstLine="400" w:firstLineChars="200"/>
            <w:rPr>
              <w:rFonts w:hint="eastAsia" w:ascii="宋体" w:hAnsi="宋体" w:cs="宋体"/>
              <w:b/>
              <w:color w:val="auto"/>
              <w:sz w:val="22"/>
              <w:szCs w:val="22"/>
              <w:highlight w:val="none"/>
            </w:rPr>
          </w:pPr>
          <w:r>
            <w:rPr>
              <w:color w:val="auto"/>
              <w:highlight w:val="none"/>
            </w:rPr>
            <w:fldChar w:fldCharType="begin"/>
          </w:r>
          <w:r>
            <w:rPr>
              <w:color w:val="auto"/>
              <w:highlight w:val="none"/>
            </w:rPr>
            <w:instrText xml:space="preserve"> HYPERLINK \l "_Toc2890" </w:instrText>
          </w:r>
          <w:r>
            <w:rPr>
              <w:color w:val="auto"/>
              <w:highlight w:val="none"/>
            </w:rPr>
            <w:fldChar w:fldCharType="separate"/>
          </w:r>
          <w:r>
            <w:rPr>
              <w:rFonts w:hint="eastAsia" w:ascii="宋体" w:hAnsi="宋体" w:cs="宋体"/>
              <w:b/>
              <w:color w:val="auto"/>
              <w:sz w:val="22"/>
              <w:szCs w:val="22"/>
              <w:highlight w:val="none"/>
            </w:rPr>
            <w:t>第二章 投标须知前附表及投标须知</w:t>
          </w:r>
          <w:r>
            <w:rPr>
              <w:rFonts w:hint="eastAsia" w:ascii="宋体" w:hAnsi="宋体" w:cs="宋体"/>
              <w:b/>
              <w:color w:val="auto"/>
              <w:sz w:val="22"/>
              <w:szCs w:val="22"/>
              <w:highlight w:val="none"/>
            </w:rPr>
            <w:tab/>
          </w:r>
          <w:r>
            <w:rPr>
              <w:rFonts w:hint="eastAsia" w:ascii="宋体" w:hAnsi="宋体" w:cs="宋体"/>
              <w:b/>
              <w:color w:val="auto"/>
              <w:sz w:val="22"/>
              <w:szCs w:val="22"/>
              <w:highlight w:val="none"/>
            </w:rPr>
            <w:fldChar w:fldCharType="begin"/>
          </w:r>
          <w:r>
            <w:rPr>
              <w:rFonts w:hint="eastAsia" w:ascii="宋体" w:hAnsi="宋体" w:cs="宋体"/>
              <w:b/>
              <w:color w:val="auto"/>
              <w:sz w:val="22"/>
              <w:szCs w:val="22"/>
              <w:highlight w:val="none"/>
            </w:rPr>
            <w:instrText xml:space="preserve"> PAGEREF _Toc2890 \h </w:instrText>
          </w:r>
          <w:r>
            <w:rPr>
              <w:rFonts w:hint="eastAsia" w:ascii="宋体" w:hAnsi="宋体" w:cs="宋体"/>
              <w:b/>
              <w:color w:val="auto"/>
              <w:sz w:val="22"/>
              <w:szCs w:val="22"/>
              <w:highlight w:val="none"/>
            </w:rPr>
            <w:fldChar w:fldCharType="separate"/>
          </w:r>
          <w:r>
            <w:rPr>
              <w:rFonts w:hint="eastAsia" w:ascii="宋体" w:hAnsi="宋体" w:cs="宋体"/>
              <w:b/>
              <w:color w:val="auto"/>
              <w:sz w:val="22"/>
              <w:szCs w:val="22"/>
              <w:highlight w:val="none"/>
            </w:rPr>
            <w:t>6</w:t>
          </w:r>
          <w:r>
            <w:rPr>
              <w:rFonts w:hint="eastAsia" w:ascii="宋体" w:hAnsi="宋体" w:cs="宋体"/>
              <w:b/>
              <w:color w:val="auto"/>
              <w:sz w:val="22"/>
              <w:szCs w:val="22"/>
              <w:highlight w:val="none"/>
            </w:rPr>
            <w:fldChar w:fldCharType="end"/>
          </w:r>
          <w:r>
            <w:rPr>
              <w:rFonts w:hint="eastAsia" w:ascii="宋体" w:hAnsi="宋体" w:cs="宋体"/>
              <w:b/>
              <w:color w:val="auto"/>
              <w:sz w:val="22"/>
              <w:szCs w:val="22"/>
              <w:highlight w:val="none"/>
            </w:rPr>
            <w:fldChar w:fldCharType="end"/>
          </w:r>
        </w:p>
        <w:p w14:paraId="785C937B">
          <w:pPr>
            <w:pStyle w:val="93"/>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"_Toc3504" </w:instrText>
          </w:r>
          <w:r>
            <w:rPr>
              <w:color w:val="auto"/>
              <w:highlight w:val="none"/>
            </w:rPr>
            <w:fldChar w:fldCharType="separate"/>
          </w:r>
          <w:r>
            <w:rPr>
              <w:rFonts w:hint="eastAsia" w:ascii="宋体" w:hAnsi="宋体" w:cs="宋体"/>
              <w:color w:val="auto"/>
              <w:sz w:val="22"/>
              <w:szCs w:val="22"/>
              <w:highlight w:val="none"/>
            </w:rPr>
            <w:t>投标须知前附表</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_Toc3504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6</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1292CB40">
          <w:pPr>
            <w:pStyle w:val="93"/>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"_Toc9260" </w:instrText>
          </w:r>
          <w:r>
            <w:rPr>
              <w:color w:val="auto"/>
              <w:highlight w:val="none"/>
            </w:rPr>
            <w:fldChar w:fldCharType="separate"/>
          </w:r>
          <w:r>
            <w:rPr>
              <w:rFonts w:hint="eastAsia" w:ascii="宋体" w:hAnsi="宋体" w:cs="宋体"/>
              <w:color w:val="auto"/>
              <w:sz w:val="22"/>
              <w:szCs w:val="22"/>
              <w:highlight w:val="none"/>
            </w:rPr>
            <w:t>一、投标须知</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_Toc9260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11</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248C0994">
          <w:pPr>
            <w:pStyle w:val="93"/>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"_Toc32349" </w:instrText>
          </w:r>
          <w:r>
            <w:rPr>
              <w:color w:val="auto"/>
              <w:highlight w:val="none"/>
            </w:rPr>
            <w:fldChar w:fldCharType="separate"/>
          </w:r>
          <w:r>
            <w:rPr>
              <w:rFonts w:hint="eastAsia" w:ascii="宋体" w:hAnsi="宋体" w:cs="宋体"/>
              <w:color w:val="auto"/>
              <w:sz w:val="22"/>
              <w:szCs w:val="22"/>
              <w:highlight w:val="none"/>
            </w:rPr>
            <w:t>二、招标文件说明</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_Toc32349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13</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2B583681">
          <w:pPr>
            <w:pStyle w:val="93"/>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"_Toc29383" </w:instrText>
          </w:r>
          <w:r>
            <w:rPr>
              <w:color w:val="auto"/>
              <w:highlight w:val="none"/>
            </w:rPr>
            <w:fldChar w:fldCharType="separate"/>
          </w:r>
          <w:r>
            <w:rPr>
              <w:rFonts w:hint="eastAsia" w:ascii="宋体" w:hAnsi="宋体" w:cs="宋体"/>
              <w:color w:val="auto"/>
              <w:sz w:val="22"/>
              <w:szCs w:val="22"/>
              <w:highlight w:val="none"/>
            </w:rPr>
            <w:t>三、投标文件</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_Toc29383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14</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722FAE21">
          <w:pPr>
            <w:pStyle w:val="93"/>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"_Toc14530" </w:instrText>
          </w:r>
          <w:r>
            <w:rPr>
              <w:color w:val="auto"/>
              <w:highlight w:val="none"/>
            </w:rPr>
            <w:fldChar w:fldCharType="separate"/>
          </w:r>
          <w:r>
            <w:rPr>
              <w:rFonts w:hint="eastAsia" w:ascii="宋体" w:hAnsi="宋体" w:cs="宋体"/>
              <w:color w:val="auto"/>
              <w:sz w:val="22"/>
              <w:szCs w:val="22"/>
              <w:highlight w:val="none"/>
            </w:rPr>
            <w:t>四、开 标</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_Toc14530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16</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2A381BD4">
          <w:pPr>
            <w:pStyle w:val="93"/>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"_Toc14490" </w:instrText>
          </w:r>
          <w:r>
            <w:rPr>
              <w:color w:val="auto"/>
              <w:highlight w:val="none"/>
            </w:rPr>
            <w:fldChar w:fldCharType="separate"/>
          </w:r>
          <w:r>
            <w:rPr>
              <w:rFonts w:hint="eastAsia" w:ascii="宋体" w:hAnsi="宋体" w:cs="宋体"/>
              <w:color w:val="auto"/>
              <w:sz w:val="22"/>
              <w:szCs w:val="22"/>
              <w:highlight w:val="none"/>
            </w:rPr>
            <w:t>五、评 标</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_Toc14490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16</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459066F6">
          <w:pPr>
            <w:pStyle w:val="93"/>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"_Toc20843" </w:instrText>
          </w:r>
          <w:r>
            <w:rPr>
              <w:color w:val="auto"/>
              <w:highlight w:val="none"/>
            </w:rPr>
            <w:fldChar w:fldCharType="separate"/>
          </w:r>
          <w:r>
            <w:rPr>
              <w:rFonts w:hint="eastAsia" w:ascii="宋体" w:hAnsi="宋体" w:cs="宋体"/>
              <w:color w:val="auto"/>
              <w:sz w:val="22"/>
              <w:szCs w:val="22"/>
              <w:highlight w:val="none"/>
            </w:rPr>
            <w:t>六、中 标</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_Toc20843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17</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4FCAC821">
          <w:pPr>
            <w:pStyle w:val="93"/>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"_Toc21724" </w:instrText>
          </w:r>
          <w:r>
            <w:rPr>
              <w:color w:val="auto"/>
              <w:highlight w:val="none"/>
            </w:rPr>
            <w:fldChar w:fldCharType="separate"/>
          </w:r>
          <w:r>
            <w:rPr>
              <w:rFonts w:hint="eastAsia" w:ascii="宋体" w:hAnsi="宋体" w:cs="宋体"/>
              <w:color w:val="auto"/>
              <w:sz w:val="22"/>
              <w:szCs w:val="22"/>
              <w:highlight w:val="none"/>
            </w:rPr>
            <w:t>七、合同签订</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_Toc21724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17</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316C6EE2">
          <w:pPr>
            <w:pStyle w:val="93"/>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"_Toc23561" </w:instrText>
          </w:r>
          <w:r>
            <w:rPr>
              <w:color w:val="auto"/>
              <w:highlight w:val="none"/>
            </w:rPr>
            <w:fldChar w:fldCharType="separate"/>
          </w:r>
          <w:r>
            <w:rPr>
              <w:rFonts w:hint="eastAsia" w:ascii="宋体" w:hAnsi="宋体" w:cs="宋体"/>
              <w:color w:val="auto"/>
              <w:sz w:val="22"/>
              <w:szCs w:val="22"/>
              <w:highlight w:val="none"/>
            </w:rPr>
            <w:t>八、质疑与投诉</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_Toc23561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18</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27E6A63A">
          <w:pPr>
            <w:pStyle w:val="93"/>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"_Toc23076" </w:instrText>
          </w:r>
          <w:r>
            <w:rPr>
              <w:color w:val="auto"/>
              <w:highlight w:val="none"/>
            </w:rPr>
            <w:fldChar w:fldCharType="separate"/>
          </w:r>
          <w:r>
            <w:rPr>
              <w:rFonts w:hint="eastAsia" w:ascii="宋体" w:hAnsi="宋体" w:cs="宋体"/>
              <w:color w:val="auto"/>
              <w:sz w:val="22"/>
              <w:szCs w:val="22"/>
              <w:highlight w:val="none"/>
            </w:rPr>
            <w:t>九、投标纪律要求</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_Toc23076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19</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5683B58B">
          <w:pPr>
            <w:pStyle w:val="93"/>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"_Toc6722" </w:instrText>
          </w:r>
          <w:r>
            <w:rPr>
              <w:color w:val="auto"/>
              <w:highlight w:val="none"/>
            </w:rPr>
            <w:fldChar w:fldCharType="separate"/>
          </w:r>
          <w:r>
            <w:rPr>
              <w:rFonts w:hint="eastAsia" w:ascii="宋体" w:hAnsi="宋体" w:cs="宋体"/>
              <w:bCs/>
              <w:color w:val="auto"/>
              <w:kern w:val="2"/>
              <w:sz w:val="22"/>
              <w:szCs w:val="22"/>
              <w:highlight w:val="none"/>
              <w:lang w:bidi="ar"/>
            </w:rPr>
            <w:t>十、投标无效的情形</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_Toc6722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19</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15D8715C">
          <w:pPr>
            <w:pStyle w:val="93"/>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"_Toc19565" </w:instrText>
          </w:r>
          <w:r>
            <w:rPr>
              <w:color w:val="auto"/>
              <w:highlight w:val="none"/>
            </w:rPr>
            <w:fldChar w:fldCharType="separate"/>
          </w:r>
          <w:r>
            <w:rPr>
              <w:rFonts w:hint="eastAsia" w:ascii="宋体" w:hAnsi="宋体" w:cs="宋体"/>
              <w:color w:val="auto"/>
              <w:sz w:val="22"/>
              <w:szCs w:val="22"/>
              <w:highlight w:val="none"/>
              <w:lang w:bidi="ar"/>
            </w:rPr>
            <w:t>十一、其 他</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_Toc19565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20</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2B81A46C">
          <w:pPr>
            <w:pStyle w:val="92"/>
            <w:tabs>
              <w:tab w:val="right" w:leader="dot" w:pos="9747"/>
            </w:tabs>
            <w:spacing w:line="312" w:lineRule="auto"/>
            <w:ind w:firstLine="400" w:firstLineChars="200"/>
            <w:rPr>
              <w:rFonts w:hint="eastAsia" w:ascii="宋体" w:hAnsi="宋体" w:cs="宋体"/>
              <w:b/>
              <w:color w:val="auto"/>
              <w:sz w:val="22"/>
              <w:szCs w:val="22"/>
              <w:highlight w:val="none"/>
            </w:rPr>
          </w:pPr>
          <w:r>
            <w:rPr>
              <w:color w:val="auto"/>
              <w:highlight w:val="none"/>
            </w:rPr>
            <w:fldChar w:fldCharType="begin"/>
          </w:r>
          <w:r>
            <w:rPr>
              <w:color w:val="auto"/>
              <w:highlight w:val="none"/>
            </w:rPr>
            <w:instrText xml:space="preserve"> HYPERLINK \l "_Toc12236" </w:instrText>
          </w:r>
          <w:r>
            <w:rPr>
              <w:color w:val="auto"/>
              <w:highlight w:val="none"/>
            </w:rPr>
            <w:fldChar w:fldCharType="separate"/>
          </w:r>
          <w:r>
            <w:rPr>
              <w:rFonts w:hint="eastAsia" w:ascii="宋体" w:hAnsi="宋体" w:cs="宋体"/>
              <w:b/>
              <w:color w:val="auto"/>
              <w:sz w:val="22"/>
              <w:szCs w:val="22"/>
              <w:highlight w:val="none"/>
            </w:rPr>
            <w:t>第三章 采购内容及需求</w:t>
          </w:r>
          <w:r>
            <w:rPr>
              <w:rFonts w:hint="eastAsia" w:ascii="宋体" w:hAnsi="宋体" w:cs="宋体"/>
              <w:b/>
              <w:color w:val="auto"/>
              <w:sz w:val="22"/>
              <w:szCs w:val="22"/>
              <w:highlight w:val="none"/>
            </w:rPr>
            <w:tab/>
          </w:r>
          <w:r>
            <w:rPr>
              <w:rFonts w:hint="eastAsia" w:ascii="宋体" w:hAnsi="宋体" w:cs="宋体"/>
              <w:b/>
              <w:color w:val="auto"/>
              <w:sz w:val="22"/>
              <w:szCs w:val="22"/>
              <w:highlight w:val="none"/>
            </w:rPr>
            <w:fldChar w:fldCharType="begin"/>
          </w:r>
          <w:r>
            <w:rPr>
              <w:rFonts w:hint="eastAsia" w:ascii="宋体" w:hAnsi="宋体" w:cs="宋体"/>
              <w:b/>
              <w:color w:val="auto"/>
              <w:sz w:val="22"/>
              <w:szCs w:val="22"/>
              <w:highlight w:val="none"/>
            </w:rPr>
            <w:instrText xml:space="preserve"> PAGEREF _Toc12236 \h </w:instrText>
          </w:r>
          <w:r>
            <w:rPr>
              <w:rFonts w:hint="eastAsia" w:ascii="宋体" w:hAnsi="宋体" w:cs="宋体"/>
              <w:b/>
              <w:color w:val="auto"/>
              <w:sz w:val="22"/>
              <w:szCs w:val="22"/>
              <w:highlight w:val="none"/>
            </w:rPr>
            <w:fldChar w:fldCharType="separate"/>
          </w:r>
          <w:r>
            <w:rPr>
              <w:rFonts w:hint="eastAsia" w:ascii="宋体" w:hAnsi="宋体" w:cs="宋体"/>
              <w:b/>
              <w:color w:val="auto"/>
              <w:sz w:val="22"/>
              <w:szCs w:val="22"/>
              <w:highlight w:val="none"/>
            </w:rPr>
            <w:t>22</w:t>
          </w:r>
          <w:r>
            <w:rPr>
              <w:rFonts w:hint="eastAsia" w:ascii="宋体" w:hAnsi="宋体" w:cs="宋体"/>
              <w:b/>
              <w:color w:val="auto"/>
              <w:sz w:val="22"/>
              <w:szCs w:val="22"/>
              <w:highlight w:val="none"/>
            </w:rPr>
            <w:fldChar w:fldCharType="end"/>
          </w:r>
          <w:r>
            <w:rPr>
              <w:rFonts w:hint="eastAsia" w:ascii="宋体" w:hAnsi="宋体" w:cs="宋体"/>
              <w:b/>
              <w:color w:val="auto"/>
              <w:sz w:val="22"/>
              <w:szCs w:val="22"/>
              <w:highlight w:val="none"/>
            </w:rPr>
            <w:fldChar w:fldCharType="end"/>
          </w:r>
        </w:p>
        <w:p w14:paraId="278DA072">
          <w:pPr>
            <w:pStyle w:val="92"/>
            <w:tabs>
              <w:tab w:val="right" w:leader="dot" w:pos="9747"/>
            </w:tabs>
            <w:spacing w:line="312" w:lineRule="auto"/>
            <w:ind w:firstLine="400" w:firstLineChars="200"/>
            <w:rPr>
              <w:rFonts w:hint="eastAsia" w:ascii="宋体" w:hAnsi="宋体" w:cs="宋体"/>
              <w:b/>
              <w:color w:val="auto"/>
              <w:sz w:val="22"/>
              <w:szCs w:val="22"/>
              <w:highlight w:val="none"/>
            </w:rPr>
          </w:pPr>
          <w:r>
            <w:rPr>
              <w:color w:val="auto"/>
              <w:highlight w:val="none"/>
            </w:rPr>
            <w:fldChar w:fldCharType="begin"/>
          </w:r>
          <w:r>
            <w:rPr>
              <w:color w:val="auto"/>
              <w:highlight w:val="none"/>
            </w:rPr>
            <w:instrText xml:space="preserve"> HYPERLINK \l "_Toc29120" </w:instrText>
          </w:r>
          <w:r>
            <w:rPr>
              <w:color w:val="auto"/>
              <w:highlight w:val="none"/>
            </w:rPr>
            <w:fldChar w:fldCharType="separate"/>
          </w:r>
          <w:r>
            <w:rPr>
              <w:rFonts w:hint="eastAsia" w:ascii="宋体" w:hAnsi="宋体" w:cs="宋体"/>
              <w:b/>
              <w:color w:val="auto"/>
              <w:sz w:val="22"/>
              <w:szCs w:val="22"/>
              <w:highlight w:val="none"/>
              <w:lang w:bidi="ar"/>
            </w:rPr>
            <w:t>第四</w:t>
          </w:r>
          <w:r>
            <w:rPr>
              <w:rFonts w:hint="eastAsia" w:ascii="宋体" w:hAnsi="宋体" w:cs="宋体"/>
              <w:b/>
              <w:color w:val="auto"/>
              <w:sz w:val="22"/>
              <w:szCs w:val="22"/>
              <w:highlight w:val="none"/>
            </w:rPr>
            <w:t xml:space="preserve">章 </w:t>
          </w:r>
          <w:r>
            <w:rPr>
              <w:rFonts w:hint="eastAsia" w:ascii="宋体" w:hAnsi="宋体" w:cs="宋体"/>
              <w:b/>
              <w:color w:val="auto"/>
              <w:sz w:val="22"/>
              <w:szCs w:val="22"/>
              <w:highlight w:val="none"/>
              <w:lang w:bidi="ar"/>
            </w:rPr>
            <w:t>政府采购合同参考范本</w:t>
          </w:r>
          <w:r>
            <w:rPr>
              <w:rFonts w:hint="eastAsia" w:ascii="宋体" w:hAnsi="宋体" w:cs="宋体"/>
              <w:b/>
              <w:color w:val="auto"/>
              <w:sz w:val="22"/>
              <w:szCs w:val="22"/>
              <w:highlight w:val="none"/>
            </w:rPr>
            <w:tab/>
          </w:r>
          <w:r>
            <w:rPr>
              <w:rFonts w:hint="eastAsia" w:ascii="宋体" w:hAnsi="宋体" w:cs="宋体"/>
              <w:b/>
              <w:color w:val="auto"/>
              <w:sz w:val="22"/>
              <w:szCs w:val="22"/>
              <w:highlight w:val="none"/>
            </w:rPr>
            <w:fldChar w:fldCharType="begin"/>
          </w:r>
          <w:r>
            <w:rPr>
              <w:rFonts w:hint="eastAsia" w:ascii="宋体" w:hAnsi="宋体" w:cs="宋体"/>
              <w:b/>
              <w:color w:val="auto"/>
              <w:sz w:val="22"/>
              <w:szCs w:val="22"/>
              <w:highlight w:val="none"/>
            </w:rPr>
            <w:instrText xml:space="preserve"> PAGEREF _Toc29120 \h </w:instrText>
          </w:r>
          <w:r>
            <w:rPr>
              <w:rFonts w:hint="eastAsia" w:ascii="宋体" w:hAnsi="宋体" w:cs="宋体"/>
              <w:b/>
              <w:color w:val="auto"/>
              <w:sz w:val="22"/>
              <w:szCs w:val="22"/>
              <w:highlight w:val="none"/>
            </w:rPr>
            <w:fldChar w:fldCharType="separate"/>
          </w:r>
          <w:r>
            <w:rPr>
              <w:rFonts w:hint="eastAsia" w:ascii="宋体" w:hAnsi="宋体" w:cs="宋体"/>
              <w:b/>
              <w:color w:val="auto"/>
              <w:sz w:val="22"/>
              <w:szCs w:val="22"/>
              <w:highlight w:val="none"/>
            </w:rPr>
            <w:t>37</w:t>
          </w:r>
          <w:r>
            <w:rPr>
              <w:rFonts w:hint="eastAsia" w:ascii="宋体" w:hAnsi="宋体" w:cs="宋体"/>
              <w:b/>
              <w:color w:val="auto"/>
              <w:sz w:val="22"/>
              <w:szCs w:val="22"/>
              <w:highlight w:val="none"/>
            </w:rPr>
            <w:fldChar w:fldCharType="end"/>
          </w:r>
          <w:r>
            <w:rPr>
              <w:rFonts w:hint="eastAsia" w:ascii="宋体" w:hAnsi="宋体" w:cs="宋体"/>
              <w:b/>
              <w:color w:val="auto"/>
              <w:sz w:val="22"/>
              <w:szCs w:val="22"/>
              <w:highlight w:val="none"/>
            </w:rPr>
            <w:fldChar w:fldCharType="end"/>
          </w:r>
        </w:p>
        <w:p w14:paraId="7F510DC0">
          <w:pPr>
            <w:pStyle w:val="92"/>
            <w:tabs>
              <w:tab w:val="right" w:leader="dot" w:pos="9747"/>
            </w:tabs>
            <w:spacing w:line="312" w:lineRule="auto"/>
            <w:ind w:firstLine="400" w:firstLineChars="200"/>
            <w:rPr>
              <w:rFonts w:hint="eastAsia" w:ascii="宋体" w:hAnsi="宋体" w:cs="宋体"/>
              <w:b/>
              <w:color w:val="auto"/>
              <w:sz w:val="22"/>
              <w:szCs w:val="22"/>
              <w:highlight w:val="none"/>
            </w:rPr>
          </w:pPr>
          <w:r>
            <w:rPr>
              <w:color w:val="auto"/>
              <w:highlight w:val="none"/>
            </w:rPr>
            <w:fldChar w:fldCharType="begin"/>
          </w:r>
          <w:r>
            <w:rPr>
              <w:color w:val="auto"/>
              <w:highlight w:val="none"/>
            </w:rPr>
            <w:instrText xml:space="preserve"> HYPERLINK \l "_Toc25052" </w:instrText>
          </w:r>
          <w:r>
            <w:rPr>
              <w:color w:val="auto"/>
              <w:highlight w:val="none"/>
            </w:rPr>
            <w:fldChar w:fldCharType="separate"/>
          </w:r>
          <w:r>
            <w:rPr>
              <w:rFonts w:hint="eastAsia" w:ascii="宋体" w:hAnsi="宋体" w:cs="宋体"/>
              <w:b/>
              <w:color w:val="auto"/>
              <w:sz w:val="22"/>
              <w:szCs w:val="22"/>
              <w:highlight w:val="none"/>
            </w:rPr>
            <w:t xml:space="preserve">第五章 </w:t>
          </w:r>
          <w:r>
            <w:rPr>
              <w:rFonts w:hint="eastAsia" w:ascii="宋体" w:hAnsi="宋体" w:cs="宋体"/>
              <w:b/>
              <w:color w:val="auto"/>
              <w:sz w:val="22"/>
              <w:szCs w:val="22"/>
              <w:highlight w:val="none"/>
              <w:lang w:val="zh-CN"/>
            </w:rPr>
            <w:t>评标办法及评分标准</w:t>
          </w:r>
          <w:r>
            <w:rPr>
              <w:rFonts w:hint="eastAsia" w:ascii="宋体" w:hAnsi="宋体" w:cs="宋体"/>
              <w:b/>
              <w:color w:val="auto"/>
              <w:sz w:val="22"/>
              <w:szCs w:val="22"/>
              <w:highlight w:val="none"/>
            </w:rPr>
            <w:tab/>
          </w:r>
          <w:r>
            <w:rPr>
              <w:rFonts w:hint="eastAsia" w:ascii="宋体" w:hAnsi="宋体" w:cs="宋体"/>
              <w:b/>
              <w:color w:val="auto"/>
              <w:sz w:val="22"/>
              <w:szCs w:val="22"/>
              <w:highlight w:val="none"/>
            </w:rPr>
            <w:fldChar w:fldCharType="begin"/>
          </w:r>
          <w:r>
            <w:rPr>
              <w:rFonts w:hint="eastAsia" w:ascii="宋体" w:hAnsi="宋体" w:cs="宋体"/>
              <w:b/>
              <w:color w:val="auto"/>
              <w:sz w:val="22"/>
              <w:szCs w:val="22"/>
              <w:highlight w:val="none"/>
            </w:rPr>
            <w:instrText xml:space="preserve"> PAGEREF _Toc25052 \h </w:instrText>
          </w:r>
          <w:r>
            <w:rPr>
              <w:rFonts w:hint="eastAsia" w:ascii="宋体" w:hAnsi="宋体" w:cs="宋体"/>
              <w:b/>
              <w:color w:val="auto"/>
              <w:sz w:val="22"/>
              <w:szCs w:val="22"/>
              <w:highlight w:val="none"/>
            </w:rPr>
            <w:fldChar w:fldCharType="separate"/>
          </w:r>
          <w:r>
            <w:rPr>
              <w:rFonts w:hint="eastAsia" w:ascii="宋体" w:hAnsi="宋体" w:cs="宋体"/>
              <w:b/>
              <w:color w:val="auto"/>
              <w:sz w:val="22"/>
              <w:szCs w:val="22"/>
              <w:highlight w:val="none"/>
            </w:rPr>
            <w:t>44</w:t>
          </w:r>
          <w:r>
            <w:rPr>
              <w:rFonts w:hint="eastAsia" w:ascii="宋体" w:hAnsi="宋体" w:cs="宋体"/>
              <w:b/>
              <w:color w:val="auto"/>
              <w:sz w:val="22"/>
              <w:szCs w:val="22"/>
              <w:highlight w:val="none"/>
            </w:rPr>
            <w:fldChar w:fldCharType="end"/>
          </w:r>
          <w:r>
            <w:rPr>
              <w:rFonts w:hint="eastAsia" w:ascii="宋体" w:hAnsi="宋体" w:cs="宋体"/>
              <w:b/>
              <w:color w:val="auto"/>
              <w:sz w:val="22"/>
              <w:szCs w:val="22"/>
              <w:highlight w:val="none"/>
            </w:rPr>
            <w:fldChar w:fldCharType="end"/>
          </w:r>
        </w:p>
        <w:p w14:paraId="638984DF">
          <w:pPr>
            <w:pStyle w:val="92"/>
            <w:tabs>
              <w:tab w:val="right" w:leader="dot" w:pos="9747"/>
            </w:tabs>
            <w:spacing w:line="312" w:lineRule="auto"/>
            <w:ind w:firstLine="400" w:firstLineChars="200"/>
            <w:rPr>
              <w:rFonts w:hint="eastAsia" w:ascii="宋体" w:hAnsi="宋体" w:cs="宋体"/>
              <w:b/>
              <w:color w:val="auto"/>
              <w:sz w:val="22"/>
              <w:szCs w:val="22"/>
              <w:highlight w:val="none"/>
            </w:rPr>
          </w:pPr>
          <w:r>
            <w:rPr>
              <w:color w:val="auto"/>
              <w:highlight w:val="none"/>
            </w:rPr>
            <w:fldChar w:fldCharType="begin"/>
          </w:r>
          <w:r>
            <w:rPr>
              <w:color w:val="auto"/>
              <w:highlight w:val="none"/>
            </w:rPr>
            <w:instrText xml:space="preserve"> HYPERLINK \l "_Toc6136" </w:instrText>
          </w:r>
          <w:r>
            <w:rPr>
              <w:color w:val="auto"/>
              <w:highlight w:val="none"/>
            </w:rPr>
            <w:fldChar w:fldCharType="separate"/>
          </w:r>
          <w:r>
            <w:rPr>
              <w:rFonts w:hint="eastAsia" w:ascii="宋体" w:hAnsi="宋体" w:cs="宋体"/>
              <w:b/>
              <w:color w:val="auto"/>
              <w:sz w:val="22"/>
              <w:szCs w:val="22"/>
              <w:highlight w:val="none"/>
            </w:rPr>
            <w:t>第六章 投标文件格式</w:t>
          </w:r>
          <w:r>
            <w:rPr>
              <w:rFonts w:hint="eastAsia" w:ascii="宋体" w:hAnsi="宋体" w:cs="宋体"/>
              <w:b/>
              <w:color w:val="auto"/>
              <w:sz w:val="22"/>
              <w:szCs w:val="22"/>
              <w:highlight w:val="none"/>
            </w:rPr>
            <w:tab/>
          </w:r>
          <w:r>
            <w:rPr>
              <w:rFonts w:hint="eastAsia" w:ascii="宋体" w:hAnsi="宋体" w:cs="宋体"/>
              <w:b/>
              <w:color w:val="auto"/>
              <w:sz w:val="22"/>
              <w:szCs w:val="22"/>
              <w:highlight w:val="none"/>
            </w:rPr>
            <w:fldChar w:fldCharType="begin"/>
          </w:r>
          <w:r>
            <w:rPr>
              <w:rFonts w:hint="eastAsia" w:ascii="宋体" w:hAnsi="宋体" w:cs="宋体"/>
              <w:b/>
              <w:color w:val="auto"/>
              <w:sz w:val="22"/>
              <w:szCs w:val="22"/>
              <w:highlight w:val="none"/>
            </w:rPr>
            <w:instrText xml:space="preserve"> PAGEREF _Toc6136 \h </w:instrText>
          </w:r>
          <w:r>
            <w:rPr>
              <w:rFonts w:hint="eastAsia" w:ascii="宋体" w:hAnsi="宋体" w:cs="宋体"/>
              <w:b/>
              <w:color w:val="auto"/>
              <w:sz w:val="22"/>
              <w:szCs w:val="22"/>
              <w:highlight w:val="none"/>
            </w:rPr>
            <w:fldChar w:fldCharType="separate"/>
          </w:r>
          <w:r>
            <w:rPr>
              <w:rFonts w:hint="eastAsia" w:ascii="宋体" w:hAnsi="宋体" w:cs="宋体"/>
              <w:b/>
              <w:color w:val="auto"/>
              <w:sz w:val="22"/>
              <w:szCs w:val="22"/>
              <w:highlight w:val="none"/>
            </w:rPr>
            <w:t>50</w:t>
          </w:r>
          <w:r>
            <w:rPr>
              <w:rFonts w:hint="eastAsia" w:ascii="宋体" w:hAnsi="宋体" w:cs="宋体"/>
              <w:b/>
              <w:color w:val="auto"/>
              <w:sz w:val="22"/>
              <w:szCs w:val="22"/>
              <w:highlight w:val="none"/>
            </w:rPr>
            <w:fldChar w:fldCharType="end"/>
          </w:r>
          <w:r>
            <w:rPr>
              <w:rFonts w:hint="eastAsia" w:ascii="宋体" w:hAnsi="宋体" w:cs="宋体"/>
              <w:b/>
              <w:color w:val="auto"/>
              <w:sz w:val="22"/>
              <w:szCs w:val="22"/>
              <w:highlight w:val="none"/>
            </w:rPr>
            <w:fldChar w:fldCharType="end"/>
          </w:r>
        </w:p>
        <w:p w14:paraId="2DBB3E3F">
          <w:pPr>
            <w:ind w:firstLine="482"/>
            <w:rPr>
              <w:b/>
              <w:color w:val="auto"/>
              <w:highlight w:val="none"/>
            </w:rPr>
          </w:pPr>
          <w:r>
            <w:rPr>
              <w:b/>
              <w:color w:val="auto"/>
              <w:highlight w:val="none"/>
            </w:rPr>
            <w:fldChar w:fldCharType="end"/>
          </w:r>
        </w:p>
      </w:sdtContent>
    </w:sdt>
    <w:p w14:paraId="034FCB8F">
      <w:pPr>
        <w:ind w:firstLine="482"/>
        <w:rPr>
          <w:b/>
          <w:color w:val="auto"/>
          <w:highlight w:val="none"/>
        </w:rPr>
      </w:pPr>
    </w:p>
    <w:p w14:paraId="2740EA2B">
      <w:pPr>
        <w:ind w:firstLine="0" w:firstLineChars="0"/>
        <w:rPr>
          <w:color w:val="auto"/>
          <w:highlight w:val="none"/>
        </w:rPr>
      </w:pPr>
      <w:bookmarkStart w:id="50" w:name="_Toc9856"/>
    </w:p>
    <w:p w14:paraId="00643677">
      <w:pPr>
        <w:pStyle w:val="2"/>
        <w:numPr>
          <w:ilvl w:val="0"/>
          <w:numId w:val="0"/>
        </w:numPr>
        <w:spacing w:beforeLines="0" w:afterLines="0"/>
        <w:ind w:left="432" w:hanging="432"/>
        <w:rPr>
          <w:color w:val="auto"/>
          <w:highlight w:val="none"/>
        </w:rPr>
      </w:pPr>
    </w:p>
    <w:p w14:paraId="1F8A183F">
      <w:pPr>
        <w:ind w:firstLine="0" w:firstLineChars="0"/>
        <w:rPr>
          <w:color w:val="auto"/>
          <w:highlight w:val="none"/>
        </w:rPr>
      </w:pPr>
    </w:p>
    <w:p w14:paraId="0FD0F864">
      <w:pPr>
        <w:pStyle w:val="2"/>
        <w:numPr>
          <w:ilvl w:val="0"/>
          <w:numId w:val="0"/>
        </w:numPr>
        <w:spacing w:beforeLines="0" w:afterLines="0"/>
        <w:rPr>
          <w:bCs/>
          <w:color w:val="auto"/>
          <w:szCs w:val="36"/>
          <w:highlight w:val="none"/>
        </w:rPr>
      </w:pPr>
      <w:bookmarkStart w:id="51" w:name="_Toc27622"/>
      <w:r>
        <w:rPr>
          <w:rFonts w:hint="eastAsia"/>
          <w:color w:val="auto"/>
          <w:highlight w:val="none"/>
        </w:rPr>
        <w:t xml:space="preserve">第一章 </w:t>
      </w:r>
      <w:r>
        <w:rPr>
          <w:rFonts w:hint="eastAsia"/>
          <w:bCs/>
          <w:color w:val="auto"/>
          <w:szCs w:val="36"/>
          <w:highlight w:val="none"/>
        </w:rPr>
        <w:t>招标公告</w:t>
      </w:r>
      <w:bookmarkEnd w:id="50"/>
      <w:bookmarkEnd w:id="51"/>
    </w:p>
    <w:p w14:paraId="5ED5CB79">
      <w:pPr>
        <w:tabs>
          <w:tab w:val="left" w:pos="0"/>
        </w:tabs>
        <w:spacing w:line="240" w:lineRule="auto"/>
        <w:ind w:firstLine="0" w:firstLineChars="0"/>
        <w:jc w:val="center"/>
        <w:outlineLvl w:val="1"/>
        <w:rPr>
          <w:b/>
          <w:bCs/>
          <w:color w:val="auto"/>
          <w:sz w:val="32"/>
          <w:szCs w:val="32"/>
          <w:highlight w:val="none"/>
        </w:rPr>
      </w:pPr>
      <w:bookmarkStart w:id="52" w:name="_Toc5857"/>
      <w:bookmarkStart w:id="53" w:name="_Toc8418"/>
      <w:bookmarkStart w:id="54" w:name="_Toc10520"/>
      <w:bookmarkStart w:id="55" w:name="_Toc28227"/>
      <w:bookmarkStart w:id="56" w:name="_Toc22976"/>
      <w:bookmarkStart w:id="57" w:name="_Toc13351"/>
      <w:bookmarkStart w:id="58" w:name="_Toc30314"/>
      <w:bookmarkStart w:id="59" w:name="_Toc18735"/>
      <w:bookmarkStart w:id="60" w:name="_Toc27883"/>
      <w:bookmarkStart w:id="61" w:name="_Toc5851"/>
      <w:bookmarkStart w:id="62" w:name="_Toc8415"/>
      <w:bookmarkStart w:id="63" w:name="_Toc19498"/>
      <w:bookmarkStart w:id="64" w:name="_Toc19518"/>
      <w:bookmarkStart w:id="65" w:name="_Toc15850"/>
      <w:bookmarkStart w:id="66" w:name="_Toc15816"/>
      <w:bookmarkStart w:id="67" w:name="_Toc28418"/>
      <w:bookmarkStart w:id="68" w:name="_Toc3323"/>
      <w:bookmarkStart w:id="69" w:name="_Toc16556"/>
      <w:bookmarkStart w:id="70" w:name="_Toc28551"/>
      <w:bookmarkStart w:id="71" w:name="_Toc14330"/>
      <w:bookmarkStart w:id="72" w:name="_Toc9465"/>
      <w:bookmarkStart w:id="73" w:name="_Toc15739"/>
      <w:bookmarkStart w:id="74" w:name="_Toc9804"/>
      <w:bookmarkStart w:id="75" w:name="_Toc30338"/>
      <w:bookmarkStart w:id="76" w:name="_Toc3034"/>
      <w:bookmarkStart w:id="77" w:name="_Toc20318"/>
      <w:bookmarkStart w:id="78" w:name="_Toc18534"/>
      <w:bookmarkStart w:id="79" w:name="_Toc28840"/>
      <w:bookmarkStart w:id="80" w:name="_Toc30856"/>
      <w:bookmarkStart w:id="81" w:name="_Toc2749"/>
      <w:bookmarkStart w:id="82" w:name="_Toc6676"/>
      <w:bookmarkStart w:id="83" w:name="_Toc152"/>
      <w:r>
        <w:rPr>
          <w:rFonts w:hint="eastAsia"/>
          <w:b/>
          <w:bCs/>
          <w:color w:val="auto"/>
          <w:sz w:val="32"/>
          <w:szCs w:val="32"/>
          <w:highlight w:val="none"/>
        </w:rPr>
        <w:t>（线上电子招投标）</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AEBD52C">
      <w:pPr>
        <w:tabs>
          <w:tab w:val="left" w:pos="0"/>
        </w:tabs>
        <w:spacing w:line="240" w:lineRule="auto"/>
        <w:ind w:firstLine="0" w:firstLineChars="0"/>
        <w:jc w:val="center"/>
        <w:rPr>
          <w:rFonts w:hint="eastAsia" w:ascii="宋体" w:hAnsi="宋体" w:cs="宋体"/>
          <w:b/>
          <w:bCs/>
          <w:color w:val="auto"/>
          <w:sz w:val="32"/>
          <w:szCs w:val="32"/>
          <w:highlight w:val="none"/>
        </w:rPr>
      </w:pPr>
      <w:r>
        <w:rPr>
          <w:rFonts w:hint="eastAsia" w:ascii="宋体" w:hAnsi="宋体" w:cs="宋体"/>
          <w:b/>
          <w:bCs/>
          <w:color w:val="auto"/>
          <w:sz w:val="28"/>
          <w:szCs w:val="28"/>
          <w:highlight w:val="none"/>
        </w:rPr>
        <w:t>公告日期：2025年1月</w:t>
      </w:r>
      <w:r>
        <w:rPr>
          <w:rFonts w:hint="eastAsia" w:ascii="宋体" w:hAnsi="宋体" w:cs="宋体"/>
          <w:b/>
          <w:bCs/>
          <w:color w:val="auto"/>
          <w:sz w:val="28"/>
          <w:szCs w:val="28"/>
          <w:highlight w:val="none"/>
          <w:lang w:val="en-US" w:eastAsia="zh-CN"/>
        </w:rPr>
        <w:t>21</w:t>
      </w:r>
      <w:r>
        <w:rPr>
          <w:rFonts w:hint="eastAsia" w:ascii="宋体" w:hAnsi="宋体" w:cs="宋体"/>
          <w:b/>
          <w:bCs/>
          <w:color w:val="auto"/>
          <w:sz w:val="28"/>
          <w:szCs w:val="28"/>
          <w:highlight w:val="none"/>
        </w:rPr>
        <w:t>日</w:t>
      </w:r>
    </w:p>
    <w:tbl>
      <w:tblPr>
        <w:tblStyle w:val="44"/>
        <w:tblpPr w:leftFromText="180" w:rightFromText="180" w:vertAnchor="text" w:horzAnchor="page" w:tblpX="922" w:tblpY="172"/>
        <w:tblOverlap w:val="never"/>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3"/>
      </w:tblGrid>
      <w:tr w14:paraId="0E2F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0103" w:type="dxa"/>
          </w:tcPr>
          <w:p w14:paraId="163A6FA5">
            <w:pPr>
              <w:spacing w:line="240" w:lineRule="auto"/>
              <w:ind w:firstLine="482"/>
              <w:jc w:val="left"/>
              <w:rPr>
                <w:rFonts w:hint="eastAsia" w:ascii="宋体" w:hAnsi="宋体" w:cs="宋体"/>
                <w:color w:val="auto"/>
                <w:highlight w:val="none"/>
              </w:rPr>
            </w:pPr>
            <w:bookmarkStart w:id="84" w:name="_Toc24619"/>
            <w:bookmarkStart w:id="85" w:name="_Toc9551"/>
            <w:bookmarkStart w:id="86" w:name="_Toc4351"/>
            <w:bookmarkStart w:id="87" w:name="_Toc2603"/>
            <w:bookmarkStart w:id="88" w:name="_Toc1573"/>
            <w:bookmarkStart w:id="89" w:name="_Toc32592"/>
            <w:bookmarkStart w:id="90" w:name="_Toc29502"/>
            <w:bookmarkStart w:id="91" w:name="_Toc15418"/>
            <w:bookmarkStart w:id="92" w:name="_Toc25721"/>
            <w:bookmarkStart w:id="93" w:name="_Toc1560"/>
            <w:bookmarkStart w:id="94" w:name="_Toc28705"/>
            <w:bookmarkStart w:id="95" w:name="_Toc18715"/>
            <w:bookmarkStart w:id="96" w:name="_Toc20173"/>
            <w:bookmarkStart w:id="97" w:name="_Toc20240"/>
            <w:bookmarkStart w:id="98" w:name="_Toc12448"/>
            <w:bookmarkStart w:id="99" w:name="_Toc10539"/>
            <w:bookmarkStart w:id="100" w:name="_Toc25357"/>
            <w:bookmarkStart w:id="101" w:name="_Toc2248"/>
            <w:bookmarkStart w:id="102" w:name="_Toc580"/>
            <w:bookmarkStart w:id="103" w:name="_Toc17986"/>
            <w:bookmarkStart w:id="104" w:name="_Toc7966"/>
            <w:bookmarkStart w:id="105" w:name="_Toc23293"/>
            <w:bookmarkStart w:id="106" w:name="_Toc6984"/>
            <w:bookmarkStart w:id="107" w:name="_Toc2065"/>
            <w:bookmarkStart w:id="108" w:name="_Toc3843"/>
            <w:bookmarkStart w:id="109" w:name="_Toc24605"/>
            <w:bookmarkStart w:id="110" w:name="_Toc25543"/>
            <w:bookmarkStart w:id="111" w:name="_Toc27822"/>
            <w:bookmarkStart w:id="112" w:name="_Toc23278"/>
            <w:bookmarkStart w:id="113" w:name="_Toc12272"/>
            <w:bookmarkStart w:id="114" w:name="_Toc18055"/>
            <w:bookmarkStart w:id="115" w:name="_Toc22488"/>
            <w:bookmarkStart w:id="116" w:name="_Toc4710"/>
            <w:bookmarkStart w:id="117" w:name="_Toc2974"/>
            <w:bookmarkStart w:id="118" w:name="_Toc15628"/>
            <w:bookmarkStart w:id="119" w:name="_Toc19647"/>
            <w:bookmarkStart w:id="120" w:name="_Toc30594"/>
            <w:bookmarkStart w:id="121" w:name="_Toc21424"/>
            <w:bookmarkStart w:id="122" w:name="_Toc1269"/>
            <w:r>
              <w:rPr>
                <w:rFonts w:hint="eastAsia" w:ascii="宋体" w:hAnsi="宋体" w:cs="宋体"/>
                <w:b/>
                <w:bCs/>
                <w:color w:val="auto"/>
                <w:highlight w:val="none"/>
              </w:rPr>
              <w:t xml:space="preserve">项目概况   </w:t>
            </w:r>
            <w:r>
              <w:rPr>
                <w:rFonts w:hint="eastAsia" w:ascii="宋体" w:hAnsi="宋体" w:cs="宋体"/>
                <w:color w:val="auto"/>
                <w:highlight w:val="none"/>
              </w:rPr>
              <w:t xml:space="preserve">                                          </w:t>
            </w:r>
          </w:p>
          <w:p w14:paraId="53869FAC">
            <w:pPr>
              <w:spacing w:line="240" w:lineRule="auto"/>
              <w:ind w:firstLine="480"/>
              <w:jc w:val="left"/>
              <w:rPr>
                <w:rFonts w:hint="eastAsia" w:ascii="宋体" w:hAnsi="宋体" w:cs="宋体"/>
                <w:color w:val="auto"/>
                <w:highlight w:val="none"/>
                <w:u w:val="single"/>
              </w:rPr>
            </w:pPr>
            <w:r>
              <w:rPr>
                <w:rFonts w:hint="eastAsia" w:ascii="宋体" w:hAnsi="宋体" w:cs="宋体"/>
                <w:color w:val="auto"/>
                <w:highlight w:val="none"/>
              </w:rPr>
              <w:t>龙游县人民医院代120指挥中心采购救护车项目的潜在供应商应在浙江政府采购网（http://zfcg.czt.zj.gov.cn/）获取（下载）招标文件，并于2025年</w:t>
            </w:r>
            <w:r>
              <w:rPr>
                <w:rFonts w:hint="eastAsia" w:ascii="宋体" w:hAnsi="宋体" w:cs="宋体"/>
                <w:color w:val="auto"/>
                <w:highlight w:val="none"/>
                <w:lang w:val="en-US" w:eastAsia="zh-CN"/>
              </w:rPr>
              <w:t>2</w:t>
            </w:r>
            <w:r>
              <w:rPr>
                <w:rFonts w:hint="eastAsia" w:ascii="宋体" w:hAnsi="宋体" w:cs="宋体"/>
                <w:color w:val="auto"/>
                <w:highlight w:val="none"/>
              </w:rPr>
              <w:t>月</w:t>
            </w:r>
            <w:r>
              <w:rPr>
                <w:rFonts w:hint="eastAsia" w:ascii="宋体" w:hAnsi="宋体" w:cs="宋体"/>
                <w:color w:val="auto"/>
                <w:highlight w:val="none"/>
                <w:lang w:val="en-US" w:eastAsia="zh-CN"/>
              </w:rPr>
              <w:t>21</w:t>
            </w:r>
            <w:r>
              <w:rPr>
                <w:rFonts w:hint="eastAsia" w:ascii="宋体" w:hAnsi="宋体" w:cs="宋体"/>
                <w:color w:val="auto"/>
                <w:highlight w:val="none"/>
              </w:rPr>
              <w:t>日09:30（北京时间）前递交（上传）投标文件。                 </w:t>
            </w:r>
          </w:p>
        </w:tc>
      </w:tr>
    </w:tbl>
    <w:p w14:paraId="1F980522">
      <w:pPr>
        <w:pStyle w:val="37"/>
        <w:shd w:val="clear" w:color="auto" w:fill="FFFFFF"/>
        <w:spacing w:before="0" w:beforeAutospacing="0" w:after="0" w:afterAutospacing="0" w:line="240" w:lineRule="auto"/>
        <w:ind w:firstLine="482"/>
        <w:outlineLvl w:val="1"/>
        <w:rPr>
          <w:rFonts w:hint="eastAsia" w:cs="宋体"/>
          <w:color w:val="auto"/>
          <w:highlight w:val="none"/>
        </w:rPr>
      </w:pPr>
      <w:r>
        <w:rPr>
          <w:rFonts w:hint="eastAsia" w:cs="宋体"/>
          <w:b/>
          <w:bCs/>
          <w:color w:val="auto"/>
          <w:highlight w:val="none"/>
        </w:rPr>
        <w:t>一、项目基本情况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609B2EF">
      <w:pPr>
        <w:pStyle w:val="36"/>
        <w:spacing w:line="240" w:lineRule="auto"/>
        <w:ind w:firstLine="480"/>
        <w:rPr>
          <w:rFonts w:hint="eastAsia" w:ascii="宋体" w:hAnsi="宋体" w:cs="宋体"/>
          <w:color w:val="auto"/>
          <w:highlight w:val="none"/>
        </w:rPr>
      </w:pPr>
      <w:bookmarkStart w:id="123" w:name="OLE_LINK83"/>
      <w:bookmarkStart w:id="124" w:name="_Toc21505"/>
      <w:bookmarkStart w:id="125" w:name="_Toc13265"/>
      <w:bookmarkStart w:id="126" w:name="_Toc28522"/>
      <w:bookmarkStart w:id="127" w:name="_Toc20987"/>
      <w:bookmarkStart w:id="128" w:name="_Toc12704"/>
      <w:bookmarkStart w:id="129" w:name="_Toc1558"/>
      <w:bookmarkStart w:id="130" w:name="_Toc8654"/>
      <w:bookmarkStart w:id="131" w:name="_Toc21884"/>
      <w:bookmarkStart w:id="132" w:name="_Toc28723"/>
      <w:bookmarkStart w:id="133" w:name="_Toc66"/>
      <w:bookmarkStart w:id="134" w:name="_Toc32051"/>
      <w:bookmarkStart w:id="135" w:name="_Toc5590"/>
      <w:bookmarkStart w:id="136" w:name="_Toc1964"/>
      <w:r>
        <w:rPr>
          <w:rFonts w:hint="eastAsia" w:ascii="宋体" w:hAnsi="宋体" w:cs="宋体"/>
          <w:color w:val="auto"/>
          <w:highlight w:val="none"/>
        </w:rPr>
        <w:t>项目编号：LYCG2025YX-003</w:t>
      </w:r>
    </w:p>
    <w:bookmarkEnd w:id="123"/>
    <w:p w14:paraId="5D223C89">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项目名称：龙游县人民医院代120指挥中心采购救护车项目</w:t>
      </w:r>
    </w:p>
    <w:p w14:paraId="05793914">
      <w:pPr>
        <w:pStyle w:val="36"/>
        <w:spacing w:line="240" w:lineRule="auto"/>
        <w:ind w:firstLine="480"/>
        <w:rPr>
          <w:rFonts w:hint="eastAsia" w:ascii="宋体" w:hAnsi="宋体" w:cs="宋体"/>
          <w:color w:val="auto"/>
          <w:highlight w:val="none"/>
        </w:rPr>
      </w:pPr>
      <w:bookmarkStart w:id="137" w:name="OLE_LINK82"/>
      <w:r>
        <w:rPr>
          <w:rFonts w:hint="eastAsia" w:ascii="宋体" w:hAnsi="宋体" w:cs="宋体"/>
          <w:color w:val="auto"/>
          <w:highlight w:val="none"/>
        </w:rPr>
        <w:t>采购方式：公开招标</w:t>
      </w:r>
    </w:p>
    <w:p w14:paraId="168F578F">
      <w:pPr>
        <w:pStyle w:val="36"/>
        <w:spacing w:line="240" w:lineRule="auto"/>
        <w:ind w:firstLine="480"/>
        <w:rPr>
          <w:rFonts w:hint="eastAsia" w:ascii="宋体" w:hAnsi="宋体" w:cs="宋体"/>
          <w:color w:val="auto"/>
          <w:highlight w:val="none"/>
        </w:rPr>
      </w:pPr>
      <w:bookmarkStart w:id="138" w:name="OLE_LINK111"/>
      <w:r>
        <w:rPr>
          <w:rFonts w:hint="eastAsia" w:ascii="宋体" w:hAnsi="宋体" w:cs="宋体"/>
          <w:color w:val="auto"/>
          <w:highlight w:val="none"/>
        </w:rPr>
        <w:t>预算金额（元）：2080000元</w:t>
      </w:r>
    </w:p>
    <w:bookmarkEnd w:id="137"/>
    <w:p w14:paraId="141ED1A2">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最高限价（元）：2080000元</w:t>
      </w:r>
    </w:p>
    <w:bookmarkEnd w:id="138"/>
    <w:p w14:paraId="7D5CEEAB">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采购需求：</w:t>
      </w:r>
    </w:p>
    <w:p w14:paraId="713D0683">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标项名称:龙游县人民医院代120指挥中心采购救护车项目</w:t>
      </w:r>
    </w:p>
    <w:p w14:paraId="4D2FBB1D">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数量:4辆</w:t>
      </w:r>
    </w:p>
    <w:p w14:paraId="3B2A1430">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预算金额（元）：2080000元</w:t>
      </w:r>
    </w:p>
    <w:p w14:paraId="5855484F">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简要规格描述或项目基本概况介绍、用途：</w:t>
      </w:r>
      <w:bookmarkStart w:id="139" w:name="OLE_LINK86"/>
      <w:r>
        <w:rPr>
          <w:rFonts w:hint="eastAsia" w:ascii="宋体" w:hAnsi="宋体" w:cs="宋体"/>
          <w:color w:val="auto"/>
          <w:highlight w:val="none"/>
        </w:rPr>
        <w:t>详见招标文件“第三章 采购内容及需求”（包括但不限于标的的名称、数量、简要技术需求或服务要求等）。</w:t>
      </w:r>
    </w:p>
    <w:bookmarkEnd w:id="139"/>
    <w:p w14:paraId="5AC3D47E">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备注：</w:t>
      </w:r>
    </w:p>
    <w:p w14:paraId="25BBBECA">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合同履约期限：标项 1，</w:t>
      </w:r>
      <w:bookmarkStart w:id="140" w:name="OLE_LINK19"/>
      <w:bookmarkStart w:id="141" w:name="OLE_LINK17"/>
      <w:r>
        <w:rPr>
          <w:rFonts w:hint="eastAsia" w:ascii="宋体" w:hAnsi="宋体" w:cs="宋体"/>
          <w:bCs/>
          <w:color w:val="auto"/>
          <w:highlight w:val="none"/>
        </w:rPr>
        <w:t>合同签订之日起30个工作日内完成供货及安装</w:t>
      </w:r>
      <w:r>
        <w:rPr>
          <w:rFonts w:hint="eastAsia" w:ascii="宋体" w:hAnsi="宋体" w:cs="宋体"/>
          <w:color w:val="auto"/>
          <w:highlight w:val="none"/>
        </w:rPr>
        <w:t>。</w:t>
      </w:r>
      <w:bookmarkEnd w:id="140"/>
    </w:p>
    <w:bookmarkEnd w:id="141"/>
    <w:p w14:paraId="2E931D22">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本项目（否）接受联合体投标。</w:t>
      </w:r>
    </w:p>
    <w:p w14:paraId="5CD15B58">
      <w:pPr>
        <w:pStyle w:val="36"/>
        <w:spacing w:line="240" w:lineRule="auto"/>
        <w:ind w:firstLine="482"/>
        <w:outlineLvl w:val="1"/>
        <w:rPr>
          <w:rFonts w:hint="eastAsia" w:ascii="宋体" w:hAnsi="宋体" w:cs="宋体"/>
          <w:b/>
          <w:bCs/>
          <w:color w:val="auto"/>
          <w:kern w:val="0"/>
          <w:highlight w:val="none"/>
        </w:rPr>
      </w:pPr>
      <w:bookmarkStart w:id="142" w:name="_Toc10143"/>
      <w:bookmarkStart w:id="143" w:name="_Toc16525"/>
      <w:bookmarkStart w:id="144" w:name="_Toc5552"/>
      <w:bookmarkStart w:id="145" w:name="_Toc10451"/>
      <w:r>
        <w:rPr>
          <w:rFonts w:hint="eastAsia" w:ascii="宋体" w:hAnsi="宋体" w:cs="宋体"/>
          <w:b/>
          <w:bCs/>
          <w:color w:val="auto"/>
          <w:kern w:val="0"/>
          <w:highlight w:val="none"/>
        </w:rPr>
        <w:t>二、申请人的资格要求</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42"/>
      <w:bookmarkEnd w:id="143"/>
      <w:bookmarkEnd w:id="144"/>
      <w:bookmarkEnd w:id="145"/>
    </w:p>
    <w:p w14:paraId="66AA2F6F">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9EAA7D1">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2.落实政府采购政策需满足的资格要求：</w:t>
      </w:r>
      <w:bookmarkStart w:id="146" w:name="OLE_LINK91"/>
      <w:bookmarkStart w:id="147" w:name="OLE_LINK15"/>
      <w:r>
        <w:rPr>
          <w:rFonts w:hint="eastAsia" w:ascii="宋体" w:hAnsi="宋体" w:cs="宋体"/>
          <w:color w:val="auto"/>
          <w:highlight w:val="none"/>
        </w:rPr>
        <w:t>无。</w:t>
      </w:r>
      <w:bookmarkEnd w:id="146"/>
    </w:p>
    <w:bookmarkEnd w:id="147"/>
    <w:p w14:paraId="2A34C562">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3.本项目的特定资格要求：</w:t>
      </w:r>
      <w:bookmarkStart w:id="148" w:name="_Toc4690"/>
      <w:bookmarkStart w:id="149" w:name="_Toc7293"/>
      <w:bookmarkStart w:id="150" w:name="_Toc32520"/>
      <w:bookmarkStart w:id="151" w:name="_Toc975"/>
      <w:r>
        <w:rPr>
          <w:rFonts w:hint="eastAsia" w:ascii="宋体" w:hAnsi="宋体" w:cs="宋体"/>
          <w:color w:val="auto"/>
          <w:highlight w:val="none"/>
        </w:rPr>
        <w:t>无。</w:t>
      </w:r>
    </w:p>
    <w:p w14:paraId="45850CE1">
      <w:pPr>
        <w:spacing w:line="240" w:lineRule="auto"/>
        <w:ind w:firstLine="482"/>
        <w:outlineLvl w:val="1"/>
        <w:rPr>
          <w:rFonts w:hint="eastAsia" w:ascii="宋体" w:hAnsi="宋体" w:cs="宋体"/>
          <w:b/>
          <w:bCs/>
          <w:color w:val="auto"/>
          <w:kern w:val="0"/>
          <w:highlight w:val="none"/>
        </w:rPr>
      </w:pPr>
      <w:bookmarkStart w:id="152" w:name="_Toc26499"/>
      <w:bookmarkStart w:id="153" w:name="_Toc26896"/>
      <w:bookmarkStart w:id="154" w:name="_Toc28918"/>
      <w:bookmarkStart w:id="155" w:name="_Toc18857"/>
      <w:bookmarkStart w:id="156" w:name="_Toc14158"/>
      <w:bookmarkStart w:id="157" w:name="_Toc23777"/>
      <w:bookmarkStart w:id="158" w:name="_Toc9627"/>
      <w:bookmarkStart w:id="159" w:name="_Toc30783"/>
      <w:bookmarkStart w:id="160" w:name="_Toc14012"/>
      <w:bookmarkStart w:id="161" w:name="_Toc3777"/>
      <w:bookmarkStart w:id="162" w:name="_Toc28502"/>
      <w:r>
        <w:rPr>
          <w:rFonts w:hint="eastAsia" w:ascii="宋体" w:hAnsi="宋体" w:cs="宋体"/>
          <w:b/>
          <w:bCs/>
          <w:color w:val="auto"/>
          <w:kern w:val="0"/>
          <w:highlight w:val="none"/>
        </w:rPr>
        <w:t>三、获取招标文件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Fonts w:hint="eastAsia" w:ascii="宋体" w:hAnsi="宋体" w:cs="宋体"/>
          <w:b/>
          <w:bCs/>
          <w:color w:val="auto"/>
          <w:kern w:val="0"/>
          <w:highlight w:val="none"/>
        </w:rPr>
        <w:tab/>
      </w:r>
      <w:r>
        <w:rPr>
          <w:rFonts w:hint="eastAsia" w:ascii="宋体" w:hAnsi="宋体" w:cs="宋体"/>
          <w:b/>
          <w:bCs/>
          <w:color w:val="auto"/>
          <w:kern w:val="0"/>
          <w:highlight w:val="none"/>
        </w:rPr>
        <w:tab/>
      </w:r>
    </w:p>
    <w:p w14:paraId="1C4BEA22">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1.时间：自发布公告之日至2025年2月</w:t>
      </w:r>
      <w:r>
        <w:rPr>
          <w:rFonts w:hint="eastAsia" w:ascii="宋体" w:hAnsi="宋体" w:cs="宋体"/>
          <w:color w:val="auto"/>
          <w:highlight w:val="none"/>
          <w:lang w:val="en-US" w:eastAsia="zh-CN"/>
        </w:rPr>
        <w:t>21</w:t>
      </w:r>
      <w:r>
        <w:rPr>
          <w:rFonts w:hint="eastAsia" w:ascii="宋体" w:hAnsi="宋体" w:cs="宋体"/>
          <w:color w:val="auto"/>
          <w:highlight w:val="none"/>
        </w:rPr>
        <w:t>日，每天上午00:00至12:00，下午12:00至23:59（北京时间，线上获取法定节假日均可，线下获取文件法定节假日除外）</w:t>
      </w:r>
    </w:p>
    <w:p w14:paraId="2761DE63">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2.地点（网址）：浙江政府采购网-政府采购云平台，潜在投标人获取招标文件前应先完成“政府采购云平台”的账号注册。 </w:t>
      </w:r>
    </w:p>
    <w:p w14:paraId="709D531B">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3.方式：投标人通过网上在线获取，潜在投标人登录政府采购云平台，进入“项目采购”应用在“获取招标文件”菜单中选择项目后申请获取招标文件，招标文件在线获取，不提供纸质版招标文件。 </w:t>
      </w:r>
    </w:p>
    <w:p w14:paraId="5E8A1629">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4.售价(元):0</w:t>
      </w:r>
    </w:p>
    <w:bookmarkEnd w:id="101"/>
    <w:bookmarkEnd w:id="102"/>
    <w:bookmarkEnd w:id="103"/>
    <w:bookmarkEnd w:id="104"/>
    <w:bookmarkEnd w:id="105"/>
    <w:bookmarkEnd w:id="106"/>
    <w:bookmarkEnd w:id="107"/>
    <w:bookmarkEnd w:id="108"/>
    <w:bookmarkEnd w:id="109"/>
    <w:bookmarkEnd w:id="110"/>
    <w:p w14:paraId="72811DB3">
      <w:pPr>
        <w:pStyle w:val="36"/>
        <w:spacing w:line="240" w:lineRule="auto"/>
        <w:ind w:firstLine="482"/>
        <w:outlineLvl w:val="1"/>
        <w:rPr>
          <w:rFonts w:hint="eastAsia" w:ascii="宋体" w:hAnsi="宋体" w:cs="宋体"/>
          <w:b/>
          <w:bCs/>
          <w:color w:val="auto"/>
          <w:kern w:val="0"/>
          <w:highlight w:val="none"/>
        </w:rPr>
      </w:pPr>
      <w:bookmarkStart w:id="163" w:name="_Toc13878"/>
      <w:bookmarkStart w:id="164" w:name="_Toc6776"/>
      <w:bookmarkStart w:id="165" w:name="_Toc16482"/>
      <w:bookmarkStart w:id="166" w:name="_Toc32302"/>
      <w:bookmarkStart w:id="167" w:name="_Toc11537"/>
      <w:bookmarkStart w:id="168" w:name="_Toc32721"/>
      <w:bookmarkStart w:id="169" w:name="_Toc21445"/>
      <w:bookmarkStart w:id="170" w:name="_Toc7389"/>
      <w:bookmarkStart w:id="171" w:name="_Toc15050"/>
      <w:bookmarkStart w:id="172" w:name="_Toc9688"/>
      <w:bookmarkStart w:id="173" w:name="_Toc4059"/>
      <w:bookmarkStart w:id="174" w:name="_Toc27528"/>
      <w:bookmarkStart w:id="175" w:name="_Toc22708"/>
      <w:bookmarkStart w:id="176" w:name="_Toc32551"/>
      <w:r>
        <w:rPr>
          <w:rFonts w:hint="eastAsia" w:ascii="宋体" w:hAnsi="宋体" w:cs="宋体"/>
          <w:b/>
          <w:bCs/>
          <w:color w:val="auto"/>
          <w:kern w:val="0"/>
          <w:highlight w:val="none"/>
        </w:rPr>
        <w:t>四、提交投标文件截止时间、开标时间和地点</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5E5D5110">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1.提交投标文件截止时间：2025年2月</w:t>
      </w:r>
      <w:r>
        <w:rPr>
          <w:rFonts w:hint="eastAsia" w:ascii="宋体" w:hAnsi="宋体" w:cs="宋体"/>
          <w:color w:val="auto"/>
          <w:highlight w:val="none"/>
          <w:lang w:val="en-US" w:eastAsia="zh-CN"/>
        </w:rPr>
        <w:t>21</w:t>
      </w:r>
      <w:r>
        <w:rPr>
          <w:rFonts w:hint="eastAsia" w:ascii="宋体" w:hAnsi="宋体" w:cs="宋体"/>
          <w:color w:val="auto"/>
          <w:highlight w:val="none"/>
        </w:rPr>
        <w:t>日9:30（北京时间）</w:t>
      </w:r>
    </w:p>
    <w:p w14:paraId="3CFBC886">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2.投标地点（网址）：政采云平台。 </w:t>
      </w:r>
    </w:p>
    <w:p w14:paraId="2248A43C">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3.开标时间：2025年2月</w:t>
      </w:r>
      <w:r>
        <w:rPr>
          <w:rFonts w:hint="eastAsia" w:ascii="宋体" w:hAnsi="宋体" w:cs="宋体"/>
          <w:color w:val="auto"/>
          <w:highlight w:val="none"/>
          <w:lang w:val="en-US" w:eastAsia="zh-CN"/>
        </w:rPr>
        <w:t>21</w:t>
      </w:r>
      <w:r>
        <w:rPr>
          <w:rFonts w:hint="eastAsia" w:ascii="宋体" w:hAnsi="宋体" w:cs="宋体"/>
          <w:color w:val="auto"/>
          <w:highlight w:val="none"/>
        </w:rPr>
        <w:t>日9:30（北京时间）</w:t>
      </w:r>
    </w:p>
    <w:p w14:paraId="57D14652">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4.开标地点（网址）：政采云平台。 </w:t>
      </w:r>
    </w:p>
    <w:p w14:paraId="12839E4B">
      <w:pPr>
        <w:pStyle w:val="36"/>
        <w:spacing w:line="240" w:lineRule="auto"/>
        <w:ind w:firstLine="482"/>
        <w:outlineLvl w:val="1"/>
        <w:rPr>
          <w:rFonts w:hint="eastAsia" w:ascii="宋体" w:hAnsi="宋体" w:cs="宋体"/>
          <w:b/>
          <w:bCs/>
          <w:color w:val="auto"/>
          <w:kern w:val="0"/>
          <w:highlight w:val="none"/>
        </w:rPr>
      </w:pPr>
      <w:bookmarkStart w:id="177" w:name="_Toc5075"/>
      <w:bookmarkStart w:id="178" w:name="_Toc31888"/>
      <w:bookmarkStart w:id="179" w:name="_Toc7677"/>
      <w:bookmarkStart w:id="180" w:name="_Toc30033"/>
      <w:bookmarkStart w:id="181" w:name="_Toc2802"/>
      <w:bookmarkStart w:id="182" w:name="_Toc10256"/>
      <w:bookmarkStart w:id="183" w:name="_Toc26692"/>
      <w:bookmarkStart w:id="184" w:name="_Toc13272"/>
      <w:bookmarkStart w:id="185" w:name="_Toc27382"/>
      <w:bookmarkStart w:id="186" w:name="_Toc27720"/>
      <w:bookmarkStart w:id="187" w:name="_Toc991"/>
      <w:bookmarkStart w:id="188" w:name="_Toc8046"/>
      <w:bookmarkStart w:id="189" w:name="_Toc1443"/>
      <w:bookmarkStart w:id="190" w:name="_Toc28043"/>
      <w:bookmarkStart w:id="191" w:name="_Toc29895"/>
      <w:r>
        <w:rPr>
          <w:rFonts w:hint="eastAsia" w:ascii="宋体" w:hAnsi="宋体" w:cs="宋体"/>
          <w:b/>
          <w:bCs/>
          <w:color w:val="auto"/>
          <w:kern w:val="0"/>
          <w:highlight w:val="none"/>
        </w:rPr>
        <w:t>五、公告期限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5E5C694D">
      <w:pPr>
        <w:pStyle w:val="36"/>
        <w:spacing w:line="240" w:lineRule="auto"/>
        <w:ind w:firstLine="480"/>
        <w:rPr>
          <w:rFonts w:hint="eastAsia" w:ascii="宋体" w:hAnsi="宋体" w:cs="宋体"/>
          <w:color w:val="auto"/>
          <w:highlight w:val="none"/>
        </w:rPr>
      </w:pPr>
      <w:r>
        <w:rPr>
          <w:rFonts w:hint="eastAsia" w:ascii="宋体" w:hAnsi="宋体" w:cs="宋体"/>
          <w:color w:val="auto"/>
          <w:highlight w:val="none"/>
        </w:rPr>
        <w:t>自本公告发布之日起5个工作日。</w:t>
      </w:r>
    </w:p>
    <w:p w14:paraId="1A40A8CF">
      <w:pPr>
        <w:pStyle w:val="36"/>
        <w:spacing w:line="240" w:lineRule="auto"/>
        <w:ind w:firstLine="482"/>
        <w:outlineLvl w:val="1"/>
        <w:rPr>
          <w:rFonts w:hint="eastAsia" w:ascii="宋体" w:hAnsi="宋体" w:cs="宋体"/>
          <w:b/>
          <w:bCs/>
          <w:color w:val="auto"/>
          <w:kern w:val="0"/>
          <w:highlight w:val="none"/>
        </w:rPr>
      </w:pPr>
      <w:bookmarkStart w:id="192" w:name="_Toc30043"/>
      <w:bookmarkStart w:id="193" w:name="_Toc26403"/>
      <w:bookmarkStart w:id="194" w:name="_Toc27918"/>
      <w:bookmarkStart w:id="195" w:name="_Toc27361"/>
      <w:bookmarkStart w:id="196" w:name="_Toc30328"/>
      <w:bookmarkStart w:id="197" w:name="_Toc28141"/>
      <w:bookmarkStart w:id="198" w:name="_Toc31952"/>
      <w:bookmarkStart w:id="199" w:name="_Toc27247"/>
      <w:bookmarkStart w:id="200" w:name="_Toc2405"/>
      <w:bookmarkStart w:id="201" w:name="_Toc11037"/>
      <w:bookmarkStart w:id="202" w:name="_Toc7130"/>
      <w:bookmarkStart w:id="203" w:name="_Toc29933"/>
      <w:bookmarkStart w:id="204" w:name="_Toc2735"/>
      <w:bookmarkStart w:id="205" w:name="_Toc26135"/>
      <w:bookmarkStart w:id="206" w:name="_Toc29471"/>
      <w:r>
        <w:rPr>
          <w:rFonts w:hint="eastAsia" w:ascii="宋体" w:hAnsi="宋体" w:cs="宋体"/>
          <w:b/>
          <w:bCs/>
          <w:color w:val="auto"/>
          <w:kern w:val="0"/>
          <w:highlight w:val="none"/>
        </w:rPr>
        <w:t>六、其他补充事宜</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3D98CE03">
      <w:pPr>
        <w:tabs>
          <w:tab w:val="left" w:pos="5940"/>
        </w:tabs>
        <w:spacing w:line="240"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A242780">
      <w:pPr>
        <w:tabs>
          <w:tab w:val="left" w:pos="5940"/>
        </w:tabs>
        <w:spacing w:line="240"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480C2E3E">
      <w:pPr>
        <w:tabs>
          <w:tab w:val="left" w:pos="5940"/>
        </w:tabs>
        <w:spacing w:line="240"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3.投标人认为招标文件使自己的权益受到损害的，可以自获取招标文件之日或者采购公告期限届满之日（公告期限届满后获取招标文件的，以公告期限届满之日为准）起7个工作日内，对招标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w:t>
      </w:r>
      <w:r>
        <w:rPr>
          <w:rFonts w:hint="eastAsia" w:ascii="宋体" w:hAnsi="宋体" w:cs="宋体"/>
          <w:color w:val="auto"/>
          <w:highlight w:val="none"/>
        </w:rPr>
        <w:t>15</w:t>
      </w:r>
      <w:r>
        <w:rPr>
          <w:rFonts w:hint="eastAsia" w:ascii="宋体" w:hAnsi="宋体" w:cs="宋体"/>
          <w:color w:val="auto"/>
          <w:highlight w:val="none"/>
          <w:lang w:val="zh-CN"/>
        </w:rPr>
        <w:t>个工作日内向同级政府采购监督管理部门投诉。质疑函范本、投诉书范本请到浙江政府采购网下载专区下载。</w:t>
      </w:r>
    </w:p>
    <w:p w14:paraId="1656EB13">
      <w:pPr>
        <w:tabs>
          <w:tab w:val="left" w:pos="5940"/>
        </w:tabs>
        <w:spacing w:line="240"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4.其他事项：</w:t>
      </w:r>
      <w:bookmarkStart w:id="207" w:name="OLE_LINK87"/>
      <w:r>
        <w:rPr>
          <w:rFonts w:hint="eastAsia" w:ascii="宋体" w:hAnsi="宋体" w:cs="宋体"/>
          <w:color w:val="auto"/>
          <w:highlight w:val="none"/>
          <w:lang w:val="zh-CN"/>
        </w:rPr>
        <w:t>为支持和促进中小企业发展，有需要的</w:t>
      </w:r>
      <w:r>
        <w:rPr>
          <w:rFonts w:hint="eastAsia" w:ascii="宋体" w:hAnsi="宋体" w:cs="宋体"/>
          <w:color w:val="auto"/>
          <w:highlight w:val="none"/>
        </w:rPr>
        <w:t>投标人</w:t>
      </w:r>
      <w:r>
        <w:rPr>
          <w:rFonts w:hint="eastAsia" w:ascii="宋体" w:hAnsi="宋体" w:cs="宋体"/>
          <w:color w:val="auto"/>
          <w:highlight w:val="none"/>
          <w:lang w:val="zh-CN"/>
        </w:rPr>
        <w:t>可根据需要申请办理政府采购合同贷款（以下简称“政采贷”），具体要求、条件和操作教程可通过政采云首页右上角—网站导航—金融服务查看，也可拨打政采云客服热线95763咨询，或向各地已开通政采贷的银行咨询办理。</w:t>
      </w:r>
    </w:p>
    <w:p w14:paraId="1F84F69F">
      <w:pPr>
        <w:tabs>
          <w:tab w:val="left" w:pos="5940"/>
        </w:tabs>
        <w:spacing w:line="240"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5.根据《浙江省财政厅关于明确政府采购保证金管理工作的通知》(浙财采监〔2019〕5号)规定“投标人在政府采购活动中违反政府采购相关规定给采购</w:t>
      </w:r>
      <w:r>
        <w:rPr>
          <w:rFonts w:hint="eastAsia" w:ascii="宋体" w:hAnsi="宋体" w:cs="宋体"/>
          <w:color w:val="auto"/>
          <w:highlight w:val="none"/>
        </w:rPr>
        <w:t>代理</w:t>
      </w:r>
      <w:r>
        <w:rPr>
          <w:rFonts w:hint="eastAsia" w:ascii="宋体" w:hAnsi="宋体" w:cs="宋体"/>
          <w:color w:val="auto"/>
          <w:highlight w:val="none"/>
          <w:lang w:val="zh-CN"/>
        </w:rPr>
        <w:t>机构造成损失的，要求其承担代理费和专家评审费等费用”。</w:t>
      </w:r>
    </w:p>
    <w:p w14:paraId="4AF5E683">
      <w:pPr>
        <w:tabs>
          <w:tab w:val="left" w:pos="5940"/>
        </w:tabs>
        <w:spacing w:line="240" w:lineRule="auto"/>
        <w:ind w:firstLine="480"/>
        <w:jc w:val="left"/>
        <w:rPr>
          <w:rFonts w:hint="eastAsia" w:ascii="宋体" w:hAnsi="宋体" w:cs="宋体"/>
          <w:color w:val="auto"/>
          <w:highlight w:val="none"/>
        </w:rPr>
      </w:pPr>
      <w:r>
        <w:rPr>
          <w:rFonts w:hint="eastAsia" w:ascii="宋体" w:hAnsi="宋体" w:cs="宋体"/>
          <w:color w:val="auto"/>
          <w:highlight w:val="none"/>
          <w:lang w:val="zh-CN"/>
        </w:rPr>
        <w:t>公告未显示完全内容详见</w:t>
      </w:r>
      <w:r>
        <w:rPr>
          <w:rFonts w:hint="eastAsia" w:ascii="宋体" w:hAnsi="宋体" w:cs="宋体"/>
          <w:color w:val="auto"/>
          <w:highlight w:val="none"/>
        </w:rPr>
        <w:t>招标</w:t>
      </w:r>
      <w:r>
        <w:rPr>
          <w:rFonts w:hint="eastAsia" w:ascii="宋体" w:hAnsi="宋体" w:cs="宋体"/>
          <w:color w:val="auto"/>
          <w:highlight w:val="none"/>
          <w:lang w:val="zh-CN"/>
        </w:rPr>
        <w:t>文件“投标须知前附表及投标须知”。</w:t>
      </w:r>
      <w:r>
        <w:rPr>
          <w:rFonts w:hint="eastAsia" w:ascii="宋体" w:hAnsi="宋体" w:cs="宋体"/>
          <w:color w:val="auto"/>
          <w:highlight w:val="none"/>
        </w:rPr>
        <w:t> </w:t>
      </w:r>
    </w:p>
    <w:bookmarkEnd w:id="207"/>
    <w:p w14:paraId="569904A2">
      <w:pPr>
        <w:pStyle w:val="36"/>
        <w:spacing w:line="240" w:lineRule="auto"/>
        <w:ind w:firstLine="482"/>
        <w:outlineLvl w:val="1"/>
        <w:rPr>
          <w:rFonts w:hint="eastAsia" w:ascii="宋体" w:hAnsi="宋体" w:cs="宋体"/>
          <w:b/>
          <w:bCs/>
          <w:color w:val="auto"/>
          <w:kern w:val="0"/>
          <w:highlight w:val="none"/>
        </w:rPr>
      </w:pPr>
      <w:bookmarkStart w:id="208" w:name="_Toc6754"/>
      <w:bookmarkStart w:id="209" w:name="_Toc16310"/>
      <w:bookmarkStart w:id="210" w:name="_Toc12201"/>
      <w:bookmarkStart w:id="211" w:name="_Toc19905"/>
      <w:bookmarkStart w:id="212" w:name="_Toc17620"/>
      <w:bookmarkStart w:id="213" w:name="_Toc643"/>
      <w:bookmarkStart w:id="214" w:name="_Toc18772"/>
      <w:bookmarkStart w:id="215" w:name="_Toc12410"/>
      <w:bookmarkStart w:id="216" w:name="_Toc31967"/>
      <w:bookmarkStart w:id="217" w:name="_Toc20421"/>
      <w:bookmarkStart w:id="218" w:name="_Toc16794"/>
      <w:bookmarkStart w:id="219" w:name="_Toc10044"/>
      <w:bookmarkStart w:id="220" w:name="_Toc8489"/>
      <w:bookmarkStart w:id="221" w:name="_Toc13970"/>
      <w:bookmarkStart w:id="222" w:name="_Toc6207"/>
      <w:r>
        <w:rPr>
          <w:rFonts w:hint="eastAsia" w:ascii="宋体" w:hAnsi="宋体" w:cs="宋体"/>
          <w:b/>
          <w:bCs/>
          <w:color w:val="auto"/>
          <w:kern w:val="0"/>
          <w:highlight w:val="none"/>
        </w:rPr>
        <w:t>七、对本次采购提出询问、质疑、投诉，请按以下方式联系</w:t>
      </w:r>
      <w:bookmarkEnd w:id="111"/>
      <w:bookmarkEnd w:id="112"/>
      <w:bookmarkEnd w:id="113"/>
      <w:bookmarkEnd w:id="114"/>
      <w:bookmarkEnd w:id="115"/>
      <w:bookmarkEnd w:id="116"/>
      <w:bookmarkEnd w:id="117"/>
      <w:bookmarkEnd w:id="118"/>
      <w:bookmarkEnd w:id="119"/>
      <w:bookmarkEnd w:id="120"/>
      <w:bookmarkEnd w:id="121"/>
      <w:bookmarkEnd w:id="122"/>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Start w:id="223" w:name="_Toc11066"/>
      <w:bookmarkStart w:id="224" w:name="_Toc11719"/>
      <w:bookmarkStart w:id="225" w:name="_Toc23858"/>
      <w:bookmarkStart w:id="226" w:name="_Toc26850"/>
      <w:bookmarkStart w:id="227" w:name="_Toc2216"/>
      <w:bookmarkStart w:id="228" w:name="_Toc25229"/>
      <w:bookmarkStart w:id="229" w:name="_Toc13472"/>
    </w:p>
    <w:bookmarkEnd w:id="223"/>
    <w:bookmarkEnd w:id="224"/>
    <w:bookmarkEnd w:id="225"/>
    <w:bookmarkEnd w:id="226"/>
    <w:bookmarkEnd w:id="227"/>
    <w:bookmarkEnd w:id="228"/>
    <w:bookmarkEnd w:id="229"/>
    <w:p w14:paraId="47539AE9">
      <w:pPr>
        <w:numPr>
          <w:ilvl w:val="0"/>
          <w:numId w:val="3"/>
        </w:numPr>
        <w:spacing w:line="240" w:lineRule="auto"/>
        <w:ind w:left="0" w:firstLine="480"/>
        <w:outlineLvl w:val="2"/>
        <w:rPr>
          <w:rFonts w:hint="eastAsia" w:ascii="宋体" w:hAnsi="宋体" w:cs="宋体"/>
          <w:color w:val="auto"/>
          <w:highlight w:val="none"/>
        </w:rPr>
      </w:pPr>
      <w:bookmarkStart w:id="230" w:name="_Toc5085"/>
      <w:bookmarkStart w:id="231" w:name="_Toc13440"/>
      <w:bookmarkStart w:id="232" w:name="_Toc16275"/>
      <w:bookmarkStart w:id="233" w:name="_Toc342"/>
      <w:bookmarkStart w:id="234" w:name="_Toc28598"/>
      <w:bookmarkStart w:id="235" w:name="_Toc22236"/>
      <w:bookmarkStart w:id="236" w:name="_Toc4772"/>
      <w:bookmarkStart w:id="237" w:name="_Toc22400"/>
      <w:r>
        <w:rPr>
          <w:rFonts w:hint="eastAsia" w:ascii="宋体" w:hAnsi="宋体" w:cs="宋体"/>
          <w:color w:val="auto"/>
          <w:highlight w:val="none"/>
        </w:rPr>
        <w:t>采购人信息</w:t>
      </w:r>
      <w:bookmarkEnd w:id="230"/>
    </w:p>
    <w:p w14:paraId="6D6AB13C">
      <w:pP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名称：龙游县人民医院  </w:t>
      </w:r>
    </w:p>
    <w:p w14:paraId="311E4DC6">
      <w:pPr>
        <w:spacing w:line="240" w:lineRule="auto"/>
        <w:ind w:firstLine="480"/>
        <w:outlineLvl w:val="2"/>
        <w:rPr>
          <w:rFonts w:hint="eastAsia" w:ascii="宋体" w:hAnsi="宋体" w:cs="宋体"/>
          <w:color w:val="auto"/>
          <w:highlight w:val="none"/>
        </w:rPr>
      </w:pPr>
      <w:bookmarkStart w:id="238" w:name="_Toc24852"/>
      <w:bookmarkStart w:id="239" w:name="_Toc19749"/>
      <w:bookmarkStart w:id="240" w:name="_Toc14996"/>
      <w:bookmarkStart w:id="241" w:name="_Toc31955"/>
      <w:bookmarkStart w:id="242" w:name="_Toc13155"/>
      <w:bookmarkStart w:id="243" w:name="_Toc19471"/>
      <w:bookmarkStart w:id="244" w:name="_Toc18967"/>
      <w:bookmarkStart w:id="245" w:name="_Toc30487"/>
      <w:bookmarkStart w:id="246" w:name="_Toc19721"/>
      <w:bookmarkStart w:id="247" w:name="_Toc10932"/>
      <w:bookmarkStart w:id="248" w:name="_Toc12166"/>
      <w:r>
        <w:rPr>
          <w:rFonts w:hint="eastAsia" w:ascii="宋体" w:hAnsi="宋体" w:cs="宋体"/>
          <w:color w:val="auto"/>
          <w:highlight w:val="none"/>
        </w:rPr>
        <w:t>地址：</w:t>
      </w:r>
      <w:bookmarkStart w:id="249" w:name="OLE_LINK4"/>
      <w:r>
        <w:rPr>
          <w:rFonts w:hint="eastAsia" w:ascii="宋体" w:hAnsi="宋体" w:cs="宋体"/>
          <w:color w:val="auto"/>
          <w:highlight w:val="none"/>
        </w:rPr>
        <w:t>龙游县东华街道友钦路1号</w:t>
      </w:r>
    </w:p>
    <w:bookmarkEnd w:id="249"/>
    <w:p w14:paraId="729A6BE2">
      <w:pP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项目联系人（询问）：郑女士</w:t>
      </w:r>
    </w:p>
    <w:p w14:paraId="2929BDD5">
      <w:pP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项目联系方式（询问）：</w:t>
      </w:r>
      <w:bookmarkStart w:id="250" w:name="OLE_LINK1"/>
      <w:r>
        <w:rPr>
          <w:rFonts w:hint="eastAsia" w:ascii="宋体" w:hAnsi="宋体" w:cs="宋体"/>
          <w:color w:val="auto"/>
          <w:highlight w:val="none"/>
        </w:rPr>
        <w:t>0570-7212633</w:t>
      </w:r>
      <w:bookmarkEnd w:id="250"/>
    </w:p>
    <w:p w14:paraId="41644A41">
      <w:pP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质疑联系人：</w:t>
      </w:r>
      <w:bookmarkStart w:id="251" w:name="OLE_LINK31"/>
      <w:r>
        <w:rPr>
          <w:rFonts w:hint="eastAsia" w:ascii="宋体" w:hAnsi="宋体" w:cs="宋体"/>
          <w:color w:val="auto"/>
          <w:highlight w:val="none"/>
        </w:rPr>
        <w:t>胡先生</w:t>
      </w:r>
    </w:p>
    <w:bookmarkEnd w:id="251"/>
    <w:p w14:paraId="3F816A18">
      <w:pP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质疑联系方式：15957047065</w:t>
      </w:r>
    </w:p>
    <w:p w14:paraId="62CFE353">
      <w:pPr>
        <w:numPr>
          <w:ilvl w:val="255"/>
          <w:numId w:val="0"/>
        </w:numPr>
        <w:spacing w:line="240" w:lineRule="auto"/>
        <w:ind w:left="480" w:leftChars="200"/>
        <w:outlineLvl w:val="2"/>
        <w:rPr>
          <w:rFonts w:hint="eastAsia" w:ascii="宋体" w:hAnsi="宋体" w:cs="宋体"/>
          <w:color w:val="auto"/>
          <w:highlight w:val="none"/>
        </w:rPr>
      </w:pPr>
      <w:bookmarkStart w:id="252" w:name="_Toc25693"/>
    </w:p>
    <w:p w14:paraId="5C50C15D">
      <w:pPr>
        <w:numPr>
          <w:ilvl w:val="0"/>
          <w:numId w:val="3"/>
        </w:numPr>
        <w:spacing w:line="240" w:lineRule="auto"/>
        <w:ind w:left="0" w:firstLine="480"/>
        <w:outlineLvl w:val="2"/>
        <w:rPr>
          <w:rFonts w:hint="eastAsia" w:ascii="宋体" w:hAnsi="宋体" w:cs="宋体"/>
          <w:color w:val="auto"/>
          <w:highlight w:val="none"/>
        </w:rPr>
      </w:pPr>
      <w:r>
        <w:rPr>
          <w:rFonts w:hint="eastAsia" w:ascii="宋体" w:hAnsi="宋体" w:cs="宋体"/>
          <w:color w:val="auto"/>
          <w:highlight w:val="none"/>
        </w:rPr>
        <w:t>采购代理机构信息</w:t>
      </w:r>
    </w:p>
    <w:p w14:paraId="2117014D">
      <w:pP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名称：</w:t>
      </w:r>
      <w:bookmarkEnd w:id="238"/>
      <w:bookmarkEnd w:id="239"/>
      <w:bookmarkEnd w:id="240"/>
      <w:bookmarkEnd w:id="241"/>
      <w:bookmarkEnd w:id="242"/>
      <w:bookmarkEnd w:id="243"/>
      <w:bookmarkEnd w:id="244"/>
      <w:bookmarkEnd w:id="245"/>
      <w:bookmarkEnd w:id="246"/>
      <w:bookmarkEnd w:id="247"/>
      <w:bookmarkEnd w:id="248"/>
      <w:bookmarkEnd w:id="252"/>
      <w:r>
        <w:rPr>
          <w:rFonts w:hint="eastAsia" w:ascii="宋体" w:hAnsi="宋体" w:cs="宋体"/>
          <w:color w:val="auto"/>
          <w:highlight w:val="none"/>
        </w:rPr>
        <w:t>衢州宇信工程咨询有限公司</w:t>
      </w:r>
    </w:p>
    <w:p w14:paraId="0A99ABC3">
      <w:pP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地址：</w:t>
      </w:r>
      <w:bookmarkStart w:id="253" w:name="OLE_LINK90"/>
      <w:r>
        <w:rPr>
          <w:rFonts w:hint="eastAsia" w:ascii="宋体" w:hAnsi="宋体" w:cs="宋体"/>
          <w:color w:val="auto"/>
          <w:highlight w:val="none"/>
        </w:rPr>
        <w:t>龙游县龙洲街道广和商务楼3楼306室 </w:t>
      </w:r>
      <w:bookmarkEnd w:id="253"/>
    </w:p>
    <w:p w14:paraId="445F0193">
      <w:pP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项目联系人（询问）：祝女士          </w:t>
      </w:r>
    </w:p>
    <w:p w14:paraId="0BCC44EA">
      <w:pP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项目联系方式（询问）：18367068335</w:t>
      </w:r>
    </w:p>
    <w:p w14:paraId="367C76B0">
      <w:pP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质疑联系人：徐女士         </w:t>
      </w:r>
    </w:p>
    <w:p w14:paraId="5FE201D2">
      <w:pP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质疑联系方式：0570-7018388　</w:t>
      </w:r>
    </w:p>
    <w:bookmarkEnd w:id="231"/>
    <w:bookmarkEnd w:id="232"/>
    <w:bookmarkEnd w:id="233"/>
    <w:bookmarkEnd w:id="234"/>
    <w:bookmarkEnd w:id="235"/>
    <w:bookmarkEnd w:id="236"/>
    <w:bookmarkEnd w:id="237"/>
    <w:p w14:paraId="7C6CC4DB">
      <w:pPr>
        <w:numPr>
          <w:ilvl w:val="255"/>
          <w:numId w:val="0"/>
        </w:numPr>
        <w:spacing w:line="240" w:lineRule="auto"/>
        <w:ind w:left="480" w:leftChars="200"/>
        <w:outlineLvl w:val="2"/>
        <w:rPr>
          <w:rFonts w:hint="eastAsia" w:ascii="宋体" w:hAnsi="宋体" w:cs="宋体"/>
          <w:color w:val="auto"/>
          <w:highlight w:val="none"/>
        </w:rPr>
      </w:pPr>
      <w:bookmarkStart w:id="254" w:name="_Toc14336"/>
    </w:p>
    <w:p w14:paraId="73C8F127">
      <w:pPr>
        <w:numPr>
          <w:ilvl w:val="255"/>
          <w:numId w:val="0"/>
        </w:numPr>
        <w:spacing w:line="240" w:lineRule="auto"/>
        <w:ind w:left="480" w:leftChars="200"/>
        <w:outlineLvl w:val="2"/>
        <w:rPr>
          <w:rFonts w:hint="eastAsia" w:ascii="宋体" w:hAnsi="宋体" w:cs="宋体"/>
          <w:color w:val="auto"/>
          <w:highlight w:val="none"/>
        </w:rPr>
      </w:pPr>
      <w:r>
        <w:rPr>
          <w:rFonts w:hint="eastAsia" w:ascii="宋体" w:hAnsi="宋体" w:cs="宋体"/>
          <w:color w:val="auto"/>
          <w:highlight w:val="none"/>
        </w:rPr>
        <w:t>3.同级政府采购监督管理部门</w:t>
      </w:r>
    </w:p>
    <w:p w14:paraId="7ED85F13">
      <w:pPr>
        <w:spacing w:line="240" w:lineRule="auto"/>
        <w:ind w:firstLine="480"/>
        <w:outlineLvl w:val="0"/>
        <w:rPr>
          <w:rFonts w:hint="eastAsia" w:ascii="宋体" w:hAnsi="宋体" w:cs="宋体"/>
          <w:color w:val="auto"/>
          <w:highlight w:val="none"/>
        </w:rPr>
      </w:pPr>
      <w:bookmarkStart w:id="255" w:name="_Toc28243"/>
      <w:bookmarkStart w:id="256" w:name="_Toc13703"/>
      <w:bookmarkStart w:id="257" w:name="_Toc19635"/>
      <w:bookmarkStart w:id="258" w:name="_Toc19450"/>
      <w:bookmarkStart w:id="259" w:name="_Toc2470"/>
      <w:bookmarkStart w:id="260" w:name="_Toc31770"/>
      <w:bookmarkStart w:id="261" w:name="_Toc27438"/>
      <w:bookmarkStart w:id="262" w:name="_Toc11972"/>
      <w:bookmarkStart w:id="263" w:name="_Toc24856"/>
      <w:bookmarkStart w:id="264" w:name="_Toc32371"/>
      <w:bookmarkStart w:id="265" w:name="_Toc13962"/>
      <w:bookmarkStart w:id="266" w:name="_Toc8569"/>
      <w:bookmarkStart w:id="267" w:name="_Toc29812"/>
      <w:r>
        <w:rPr>
          <w:rFonts w:hint="eastAsia" w:ascii="宋体" w:hAnsi="宋体" w:cs="宋体"/>
          <w:color w:val="auto"/>
          <w:highlight w:val="none"/>
        </w:rPr>
        <w:t>名称：龙游县财政局政府采购监管科</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DC44A1F">
      <w:pP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地址：龙游县龙洲街道莲湖路69号</w:t>
      </w:r>
    </w:p>
    <w:p w14:paraId="7E5C6897">
      <w:pP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联系人：严先生</w:t>
      </w:r>
    </w:p>
    <w:p w14:paraId="3A25672F">
      <w:pPr>
        <w:spacing w:line="240" w:lineRule="auto"/>
        <w:ind w:firstLine="480"/>
        <w:jc w:val="left"/>
        <w:outlineLvl w:val="2"/>
        <w:rPr>
          <w:rFonts w:hint="eastAsia" w:ascii="宋体" w:hAnsi="宋体" w:cs="宋体"/>
          <w:color w:val="auto"/>
          <w:highlight w:val="none"/>
        </w:rPr>
      </w:pPr>
      <w:r>
        <w:rPr>
          <w:rFonts w:hint="eastAsia" w:ascii="宋体" w:hAnsi="宋体" w:cs="宋体"/>
          <w:color w:val="auto"/>
          <w:highlight w:val="none"/>
        </w:rPr>
        <w:t xml:space="preserve">监督投诉电话：0570﹣7011687 </w:t>
      </w:r>
    </w:p>
    <w:p w14:paraId="47F45981">
      <w:pPr>
        <w:spacing w:line="240" w:lineRule="auto"/>
        <w:ind w:firstLine="480"/>
        <w:outlineLvl w:val="2"/>
        <w:rPr>
          <w:rFonts w:hint="eastAsia" w:ascii="宋体" w:hAnsi="宋体" w:cs="宋体"/>
          <w:color w:val="auto"/>
          <w:highlight w:val="none"/>
        </w:rPr>
      </w:pPr>
    </w:p>
    <w:p w14:paraId="041A8521">
      <w:pP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2025年1月</w:t>
      </w:r>
      <w:r>
        <w:rPr>
          <w:rFonts w:hint="eastAsia" w:ascii="宋体" w:hAnsi="宋体" w:cs="宋体"/>
          <w:color w:val="auto"/>
          <w:highlight w:val="none"/>
          <w:lang w:val="en-US" w:eastAsia="zh-CN"/>
        </w:rPr>
        <w:t>21</w:t>
      </w:r>
      <w:r>
        <w:rPr>
          <w:rFonts w:hint="eastAsia" w:ascii="宋体" w:hAnsi="宋体" w:cs="宋体"/>
          <w:color w:val="auto"/>
          <w:highlight w:val="none"/>
        </w:rPr>
        <w:t>日</w:t>
      </w:r>
    </w:p>
    <w:p w14:paraId="0871FF9C">
      <w:pPr>
        <w:spacing w:line="240" w:lineRule="auto"/>
        <w:ind w:firstLine="480"/>
        <w:jc w:val="left"/>
        <w:outlineLvl w:val="2"/>
        <w:rPr>
          <w:rFonts w:hint="eastAsia" w:ascii="宋体" w:hAnsi="宋体" w:cs="宋体"/>
          <w:color w:val="auto"/>
          <w:highlight w:val="none"/>
        </w:rPr>
      </w:pPr>
      <w:r>
        <w:rPr>
          <w:rFonts w:hint="eastAsia" w:ascii="宋体" w:hAnsi="宋体" w:cs="宋体"/>
          <w:color w:val="auto"/>
          <w:highlight w:val="none"/>
        </w:rPr>
        <w:t xml:space="preserve">                     </w:t>
      </w:r>
      <w:bookmarkStart w:id="268" w:name="_Toc17933"/>
      <w:r>
        <w:rPr>
          <w:rFonts w:hint="eastAsia" w:ascii="宋体" w:hAnsi="宋体" w:cs="宋体"/>
          <w:color w:val="auto"/>
          <w:highlight w:val="none"/>
        </w:rPr>
        <w:t xml:space="preserve">  </w:t>
      </w:r>
      <w:bookmarkEnd w:id="268"/>
      <w:r>
        <w:rPr>
          <w:rFonts w:hint="eastAsia" w:ascii="宋体" w:hAnsi="宋体" w:cs="宋体"/>
          <w:color w:val="auto"/>
          <w:highlight w:val="none"/>
        </w:rPr>
        <w:t xml:space="preserve">                 </w:t>
      </w:r>
      <w:bookmarkStart w:id="269" w:name="_Toc7103"/>
      <w:bookmarkStart w:id="270" w:name="_Toc21527"/>
      <w:bookmarkStart w:id="271" w:name="_Toc14224"/>
      <w:bookmarkStart w:id="272" w:name="_Toc1643"/>
      <w:bookmarkStart w:id="273" w:name="_Toc4620"/>
      <w:bookmarkStart w:id="274" w:name="_Toc9404"/>
      <w:bookmarkStart w:id="275" w:name="_Toc11419"/>
      <w:bookmarkStart w:id="276" w:name="_Toc388"/>
      <w:bookmarkStart w:id="277" w:name="_Toc32352"/>
      <w:bookmarkStart w:id="278" w:name="_Toc6416"/>
    </w:p>
    <w:bookmarkEnd w:id="269"/>
    <w:bookmarkEnd w:id="270"/>
    <w:bookmarkEnd w:id="271"/>
    <w:bookmarkEnd w:id="272"/>
    <w:bookmarkEnd w:id="273"/>
    <w:bookmarkEnd w:id="274"/>
    <w:bookmarkEnd w:id="275"/>
    <w:bookmarkEnd w:id="276"/>
    <w:bookmarkEnd w:id="277"/>
    <w:bookmarkEnd w:id="278"/>
    <w:p w14:paraId="1867B521">
      <w:pPr>
        <w:pStyle w:val="2"/>
        <w:numPr>
          <w:ilvl w:val="255"/>
          <w:numId w:val="0"/>
        </w:numPr>
        <w:spacing w:before="436" w:after="436" w:line="500" w:lineRule="exact"/>
        <w:rPr>
          <w:rFonts w:hint="eastAsia" w:ascii="宋体" w:hAnsi="宋体" w:cs="宋体"/>
          <w:color w:val="auto"/>
          <w:highlight w:val="none"/>
        </w:rPr>
      </w:pPr>
      <w:bookmarkStart w:id="279" w:name="_Toc2890"/>
      <w:r>
        <w:rPr>
          <w:rFonts w:hint="eastAsia" w:ascii="宋体" w:hAnsi="宋体" w:cs="宋体"/>
          <w:color w:val="auto"/>
          <w:highlight w:val="none"/>
        </w:rPr>
        <w:t>第二章 投标须知前附表及投标须知</w:t>
      </w:r>
      <w:bookmarkEnd w:id="279"/>
    </w:p>
    <w:p w14:paraId="5D9C61F8">
      <w:pPr>
        <w:pStyle w:val="3"/>
        <w:numPr>
          <w:ilvl w:val="1"/>
          <w:numId w:val="0"/>
        </w:numPr>
        <w:spacing w:before="218" w:after="218" w:line="500" w:lineRule="exact"/>
        <w:ind w:hanging="575"/>
        <w:rPr>
          <w:rFonts w:hint="eastAsia" w:ascii="宋体" w:hAnsi="宋体" w:cs="宋体"/>
          <w:color w:val="auto"/>
          <w:highlight w:val="none"/>
        </w:rPr>
      </w:pPr>
      <w:bookmarkStart w:id="280" w:name="_Toc3504"/>
      <w:r>
        <w:rPr>
          <w:rFonts w:hint="eastAsia" w:ascii="宋体" w:hAnsi="宋体" w:cs="宋体"/>
          <w:color w:val="auto"/>
          <w:highlight w:val="none"/>
        </w:rPr>
        <w:t>投标须知前附表</w:t>
      </w:r>
      <w:bookmarkEnd w:id="280"/>
    </w:p>
    <w:tbl>
      <w:tblPr>
        <w:tblStyle w:val="43"/>
        <w:tblW w:w="101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03"/>
        <w:gridCol w:w="1978"/>
        <w:gridCol w:w="7513"/>
      </w:tblGrid>
      <w:tr w14:paraId="1EEB5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tcPr>
          <w:p w14:paraId="53673CA9">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序号</w:t>
            </w:r>
          </w:p>
        </w:tc>
        <w:tc>
          <w:tcPr>
            <w:tcW w:w="1978" w:type="dxa"/>
          </w:tcPr>
          <w:p w14:paraId="3A8F09DE">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内容</w:t>
            </w:r>
          </w:p>
        </w:tc>
        <w:tc>
          <w:tcPr>
            <w:tcW w:w="7513" w:type="dxa"/>
          </w:tcPr>
          <w:p w14:paraId="1C7A67C3">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说明与要求</w:t>
            </w:r>
          </w:p>
        </w:tc>
      </w:tr>
      <w:tr w14:paraId="2F5F6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703" w:type="dxa"/>
            <w:vAlign w:val="center"/>
          </w:tcPr>
          <w:p w14:paraId="465086C9">
            <w:pPr>
              <w:adjustRightInd w:val="0"/>
              <w:snapToGrid w:val="0"/>
              <w:spacing w:line="240" w:lineRule="auto"/>
              <w:ind w:firstLine="0" w:firstLineChars="0"/>
              <w:jc w:val="center"/>
              <w:rPr>
                <w:rFonts w:hint="eastAsia" w:ascii="宋体" w:hAnsi="宋体" w:cs="宋体"/>
                <w:color w:val="auto"/>
                <w:highlight w:val="none"/>
                <w:lang w:val="zh-CN"/>
              </w:rPr>
            </w:pPr>
            <w:r>
              <w:rPr>
                <w:rFonts w:hint="eastAsia" w:ascii="宋体" w:hAnsi="宋体" w:cs="宋体"/>
                <w:color w:val="auto"/>
                <w:highlight w:val="none"/>
              </w:rPr>
              <w:t>1</w:t>
            </w:r>
          </w:p>
        </w:tc>
        <w:tc>
          <w:tcPr>
            <w:tcW w:w="1978" w:type="dxa"/>
            <w:vAlign w:val="center"/>
          </w:tcPr>
          <w:p w14:paraId="1A4FB09A">
            <w:pPr>
              <w:adjustRightInd w:val="0"/>
              <w:snapToGrid w:val="0"/>
              <w:spacing w:line="240" w:lineRule="auto"/>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采购人</w:t>
            </w:r>
          </w:p>
        </w:tc>
        <w:tc>
          <w:tcPr>
            <w:tcW w:w="7513" w:type="dxa"/>
            <w:vAlign w:val="center"/>
          </w:tcPr>
          <w:p w14:paraId="7E36C6C7">
            <w:pPr>
              <w:adjustRightInd w:val="0"/>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rPr>
              <w:t>名称</w:t>
            </w:r>
            <w:r>
              <w:rPr>
                <w:rFonts w:hint="eastAsia" w:ascii="宋体" w:hAnsi="宋体" w:cs="宋体"/>
                <w:color w:val="auto"/>
                <w:highlight w:val="none"/>
                <w:lang w:val="zh-CN"/>
              </w:rPr>
              <w:t>：龙游县人民医院  </w:t>
            </w:r>
          </w:p>
          <w:p w14:paraId="1674C166">
            <w:pPr>
              <w:adjustRightInd w:val="0"/>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联系人：郑女士   </w:t>
            </w:r>
          </w:p>
          <w:p w14:paraId="182C1856">
            <w:pPr>
              <w:adjustRightInd w:val="0"/>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项目联系方式：</w:t>
            </w:r>
            <w:r>
              <w:rPr>
                <w:rFonts w:hint="eastAsia" w:ascii="宋体" w:hAnsi="宋体" w:cs="宋体"/>
                <w:color w:val="auto"/>
                <w:highlight w:val="none"/>
              </w:rPr>
              <w:t>0570-7212633</w:t>
            </w:r>
          </w:p>
          <w:p w14:paraId="6EAE4A25">
            <w:pPr>
              <w:adjustRightInd w:val="0"/>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地址：龙游县东华街道友钦路1号</w:t>
            </w:r>
          </w:p>
        </w:tc>
      </w:tr>
      <w:tr w14:paraId="4B8C5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703" w:type="dxa"/>
            <w:vAlign w:val="center"/>
          </w:tcPr>
          <w:p w14:paraId="794EF815">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w:t>
            </w:r>
          </w:p>
        </w:tc>
        <w:tc>
          <w:tcPr>
            <w:tcW w:w="1978" w:type="dxa"/>
            <w:vAlign w:val="center"/>
          </w:tcPr>
          <w:p w14:paraId="659048B2">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采购代理机构</w:t>
            </w:r>
          </w:p>
        </w:tc>
        <w:tc>
          <w:tcPr>
            <w:tcW w:w="7513" w:type="dxa"/>
            <w:vAlign w:val="center"/>
          </w:tcPr>
          <w:p w14:paraId="6B41B34C">
            <w:pPr>
              <w:adjustRightInd w:val="0"/>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rPr>
              <w:t>名称</w:t>
            </w:r>
            <w:r>
              <w:rPr>
                <w:rFonts w:hint="eastAsia" w:ascii="宋体" w:hAnsi="宋体" w:cs="宋体"/>
                <w:color w:val="auto"/>
                <w:highlight w:val="none"/>
                <w:lang w:val="zh-CN"/>
              </w:rPr>
              <w:t>：衢州宇信工程咨询有限公司</w:t>
            </w:r>
          </w:p>
          <w:p w14:paraId="52885442">
            <w:pPr>
              <w:adjustRightInd w:val="0"/>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lang w:val="zh-CN"/>
              </w:rPr>
              <w:t>联系人：</w:t>
            </w:r>
            <w:r>
              <w:rPr>
                <w:rFonts w:hint="eastAsia" w:ascii="宋体" w:hAnsi="宋体" w:cs="宋体"/>
                <w:color w:val="auto"/>
                <w:highlight w:val="none"/>
              </w:rPr>
              <w:t>祝女士</w:t>
            </w:r>
          </w:p>
          <w:p w14:paraId="5315464F">
            <w:pPr>
              <w:adjustRightInd w:val="0"/>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项目联系方式：</w:t>
            </w:r>
            <w:bookmarkStart w:id="281" w:name="OLE_LINK89"/>
            <w:r>
              <w:rPr>
                <w:rFonts w:hint="eastAsia" w:ascii="宋体" w:hAnsi="宋体" w:cs="宋体"/>
                <w:color w:val="auto"/>
                <w:highlight w:val="none"/>
              </w:rPr>
              <w:t>18367068335</w:t>
            </w:r>
            <w:bookmarkEnd w:id="281"/>
          </w:p>
          <w:p w14:paraId="723738D6">
            <w:pPr>
              <w:adjustRightInd w:val="0"/>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lang w:val="zh-CN"/>
              </w:rPr>
              <w:t>地址：</w:t>
            </w:r>
            <w:r>
              <w:rPr>
                <w:rFonts w:hint="eastAsia" w:ascii="宋体" w:hAnsi="宋体" w:cs="宋体"/>
                <w:color w:val="auto"/>
                <w:highlight w:val="none"/>
              </w:rPr>
              <w:t>龙游县龙洲街道广和商务楼3楼306室 </w:t>
            </w:r>
          </w:p>
        </w:tc>
      </w:tr>
      <w:tr w14:paraId="281E9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622898EC">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w:t>
            </w:r>
          </w:p>
        </w:tc>
        <w:tc>
          <w:tcPr>
            <w:tcW w:w="1978" w:type="dxa"/>
            <w:vAlign w:val="center"/>
          </w:tcPr>
          <w:p w14:paraId="4A7F7B56">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项目名称及编号</w:t>
            </w:r>
          </w:p>
        </w:tc>
        <w:tc>
          <w:tcPr>
            <w:tcW w:w="7513" w:type="dxa"/>
            <w:vAlign w:val="center"/>
          </w:tcPr>
          <w:p w14:paraId="17AB77C6">
            <w:pPr>
              <w:pStyle w:val="37"/>
              <w:shd w:val="clear" w:color="auto" w:fill="FFFFFF"/>
              <w:adjustRightInd w:val="0"/>
              <w:snapToGrid w:val="0"/>
              <w:spacing w:before="0" w:beforeAutospacing="0" w:after="0" w:afterAutospacing="0" w:line="240" w:lineRule="auto"/>
              <w:ind w:firstLine="0" w:firstLineChars="0"/>
              <w:rPr>
                <w:rFonts w:hint="eastAsia" w:cs="宋体"/>
                <w:color w:val="auto"/>
                <w:highlight w:val="none"/>
              </w:rPr>
            </w:pPr>
            <w:r>
              <w:rPr>
                <w:rFonts w:hint="eastAsia" w:cs="宋体"/>
                <w:color w:val="auto"/>
                <w:highlight w:val="none"/>
              </w:rPr>
              <w:t>龙游县人民医院代120指挥中心采购救护车项目（项目编号：LYCG2025YX-003)</w:t>
            </w:r>
          </w:p>
        </w:tc>
      </w:tr>
      <w:tr w14:paraId="14053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39CB714E">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w:t>
            </w:r>
          </w:p>
        </w:tc>
        <w:tc>
          <w:tcPr>
            <w:tcW w:w="1978" w:type="dxa"/>
            <w:vAlign w:val="center"/>
          </w:tcPr>
          <w:p w14:paraId="4CC69FA4">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资金来源及预算执行确认书编号</w:t>
            </w:r>
          </w:p>
        </w:tc>
        <w:tc>
          <w:tcPr>
            <w:tcW w:w="7513" w:type="dxa"/>
            <w:vAlign w:val="center"/>
          </w:tcPr>
          <w:p w14:paraId="7AE73C67">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财政资金（编号：</w:t>
            </w:r>
            <w:r>
              <w:rPr>
                <w:rFonts w:hint="eastAsia" w:cs="宋体" w:asciiTheme="minorEastAsia" w:hAnsiTheme="minorEastAsia" w:eastAsiaTheme="minorEastAsia"/>
                <w:color w:val="auto"/>
                <w:highlight w:val="none"/>
                <w:lang w:val="zh-CN"/>
              </w:rPr>
              <w:t>龙财采确</w:t>
            </w:r>
            <w:r>
              <w:rPr>
                <w:rFonts w:hint="eastAsia" w:asciiTheme="minorEastAsia" w:hAnsiTheme="minorEastAsia" w:eastAsiaTheme="minorEastAsia"/>
                <w:color w:val="auto"/>
                <w:highlight w:val="none"/>
                <w:shd w:val="clear" w:color="auto" w:fill="FFFFFF"/>
              </w:rPr>
              <w:t>临[2025]27号</w:t>
            </w:r>
            <w:r>
              <w:rPr>
                <w:rFonts w:hint="eastAsia" w:ascii="宋体" w:hAnsi="宋体" w:cs="宋体"/>
                <w:color w:val="auto"/>
                <w:highlight w:val="none"/>
              </w:rPr>
              <w:t>）</w:t>
            </w:r>
          </w:p>
        </w:tc>
      </w:tr>
      <w:tr w14:paraId="472EC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26EFBE8B">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5</w:t>
            </w:r>
          </w:p>
        </w:tc>
        <w:tc>
          <w:tcPr>
            <w:tcW w:w="1978" w:type="dxa"/>
            <w:vAlign w:val="center"/>
          </w:tcPr>
          <w:p w14:paraId="566DA5DF">
            <w:pPr>
              <w:adjustRightInd w:val="0"/>
              <w:snapToGrid w:val="0"/>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预算金额</w:t>
            </w:r>
          </w:p>
        </w:tc>
        <w:tc>
          <w:tcPr>
            <w:tcW w:w="7513" w:type="dxa"/>
            <w:vAlign w:val="center"/>
          </w:tcPr>
          <w:p w14:paraId="478151E0">
            <w:pPr>
              <w:adjustRightInd w:val="0"/>
              <w:snapToGrid w:val="0"/>
              <w:spacing w:line="240" w:lineRule="auto"/>
              <w:ind w:firstLine="0" w:firstLineChars="0"/>
              <w:rPr>
                <w:rFonts w:hint="eastAsia" w:ascii="宋体" w:hAnsi="宋体" w:cs="宋体"/>
                <w:color w:val="auto"/>
                <w:kern w:val="0"/>
                <w:highlight w:val="none"/>
              </w:rPr>
            </w:pPr>
            <w:r>
              <w:rPr>
                <w:rFonts w:hint="eastAsia" w:ascii="宋体" w:hAnsi="宋体" w:cs="宋体"/>
                <w:color w:val="auto"/>
                <w:kern w:val="0"/>
                <w:highlight w:val="none"/>
              </w:rPr>
              <w:t>本项目预算金额为</w:t>
            </w:r>
            <w:r>
              <w:rPr>
                <w:rFonts w:hint="eastAsia" w:ascii="宋体" w:hAnsi="宋体" w:cs="宋体"/>
                <w:color w:val="auto"/>
                <w:kern w:val="0"/>
                <w:highlight w:val="none"/>
                <w:u w:val="single"/>
              </w:rPr>
              <w:t>2080000元</w:t>
            </w:r>
            <w:r>
              <w:rPr>
                <w:rFonts w:hint="eastAsia" w:ascii="宋体" w:hAnsi="宋体" w:cs="宋体"/>
                <w:color w:val="auto"/>
                <w:kern w:val="0"/>
                <w:highlight w:val="none"/>
              </w:rPr>
              <w:t>。</w:t>
            </w:r>
          </w:p>
        </w:tc>
      </w:tr>
      <w:tr w14:paraId="2D18A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698E7A25">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6</w:t>
            </w:r>
          </w:p>
        </w:tc>
        <w:tc>
          <w:tcPr>
            <w:tcW w:w="1978" w:type="dxa"/>
            <w:vAlign w:val="center"/>
          </w:tcPr>
          <w:p w14:paraId="19F0C4B2">
            <w:pPr>
              <w:adjustRightInd w:val="0"/>
              <w:snapToGrid w:val="0"/>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最高限价</w:t>
            </w:r>
          </w:p>
        </w:tc>
        <w:tc>
          <w:tcPr>
            <w:tcW w:w="7513" w:type="dxa"/>
            <w:vAlign w:val="center"/>
          </w:tcPr>
          <w:p w14:paraId="44B69FAE">
            <w:pPr>
              <w:adjustRightInd w:val="0"/>
              <w:snapToGrid w:val="0"/>
              <w:spacing w:line="240" w:lineRule="auto"/>
              <w:ind w:firstLine="0" w:firstLineChars="0"/>
              <w:rPr>
                <w:rFonts w:hint="eastAsia" w:ascii="宋体" w:hAnsi="宋体" w:cs="宋体"/>
                <w:color w:val="auto"/>
                <w:kern w:val="0"/>
                <w:highlight w:val="none"/>
              </w:rPr>
            </w:pPr>
            <w:r>
              <w:rPr>
                <w:rFonts w:hint="eastAsia" w:ascii="宋体" w:hAnsi="宋体" w:cs="宋体"/>
                <w:color w:val="auto"/>
                <w:kern w:val="0"/>
                <w:highlight w:val="none"/>
              </w:rPr>
              <w:t>本项目</w:t>
            </w:r>
            <w:r>
              <w:rPr>
                <w:rFonts w:hint="eastAsia" w:ascii="宋体" w:hAnsi="宋体" w:cs="宋体"/>
                <w:color w:val="auto"/>
                <w:kern w:val="0"/>
                <w:highlight w:val="none"/>
                <w:lang w:val="zh-CN"/>
              </w:rPr>
              <w:t>最高限价</w:t>
            </w:r>
            <w:r>
              <w:rPr>
                <w:rFonts w:hint="eastAsia" w:ascii="宋体" w:hAnsi="宋体" w:cs="宋体"/>
                <w:color w:val="auto"/>
                <w:kern w:val="0"/>
                <w:highlight w:val="none"/>
                <w:u w:val="single"/>
              </w:rPr>
              <w:t>2080000元</w:t>
            </w:r>
            <w:r>
              <w:rPr>
                <w:rFonts w:hint="eastAsia" w:ascii="宋体" w:hAnsi="宋体" w:cs="宋体"/>
                <w:color w:val="auto"/>
                <w:kern w:val="0"/>
                <w:highlight w:val="none"/>
                <w:lang w:val="zh-CN"/>
              </w:rPr>
              <w:t>；</w:t>
            </w:r>
            <w:r>
              <w:rPr>
                <w:rFonts w:hint="eastAsia" w:ascii="宋体" w:hAnsi="宋体" w:cs="宋体"/>
                <w:color w:val="auto"/>
                <w:kern w:val="0"/>
                <w:highlight w:val="none"/>
              </w:rPr>
              <w:t>超过最高限价的，投标无效</w:t>
            </w:r>
            <w:r>
              <w:rPr>
                <w:rFonts w:hint="eastAsia" w:ascii="宋体" w:hAnsi="宋体" w:cs="宋体"/>
                <w:color w:val="auto"/>
                <w:kern w:val="0"/>
                <w:highlight w:val="none"/>
                <w:lang w:val="zh-CN"/>
              </w:rPr>
              <w:t>。</w:t>
            </w:r>
          </w:p>
        </w:tc>
      </w:tr>
      <w:tr w14:paraId="7129C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25C5244E">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7</w:t>
            </w:r>
          </w:p>
        </w:tc>
        <w:tc>
          <w:tcPr>
            <w:tcW w:w="1978" w:type="dxa"/>
            <w:vAlign w:val="center"/>
          </w:tcPr>
          <w:p w14:paraId="170E7F88">
            <w:pPr>
              <w:adjustRightInd w:val="0"/>
              <w:snapToGrid w:val="0"/>
              <w:spacing w:line="240" w:lineRule="auto"/>
              <w:ind w:firstLine="0" w:firstLineChars="0"/>
              <w:rPr>
                <w:rFonts w:hint="eastAsia" w:ascii="宋体" w:hAnsi="宋体" w:cs="宋体"/>
                <w:color w:val="auto"/>
                <w:kern w:val="0"/>
                <w:highlight w:val="none"/>
              </w:rPr>
            </w:pPr>
            <w:r>
              <w:rPr>
                <w:rFonts w:hint="eastAsia" w:ascii="宋体" w:hAnsi="宋体" w:cs="宋体"/>
                <w:color w:val="auto"/>
                <w:kern w:val="0"/>
                <w:highlight w:val="none"/>
              </w:rPr>
              <w:t>申请人资格要求</w:t>
            </w:r>
          </w:p>
        </w:tc>
        <w:tc>
          <w:tcPr>
            <w:tcW w:w="7513" w:type="dxa"/>
            <w:vAlign w:val="center"/>
          </w:tcPr>
          <w:p w14:paraId="223F4AEA">
            <w:pPr>
              <w:adjustRightInd w:val="0"/>
              <w:snapToGrid w:val="0"/>
              <w:spacing w:line="240" w:lineRule="auto"/>
              <w:ind w:firstLine="0" w:firstLineChars="0"/>
              <w:rPr>
                <w:rFonts w:hint="eastAsia" w:ascii="宋体" w:hAnsi="宋体" w:cs="宋体"/>
                <w:color w:val="auto"/>
                <w:kern w:val="0"/>
                <w:highlight w:val="none"/>
              </w:rPr>
            </w:pPr>
            <w:r>
              <w:rPr>
                <w:rFonts w:hint="eastAsia" w:ascii="宋体" w:hAnsi="宋体" w:cs="宋体"/>
                <w:color w:val="auto"/>
                <w:kern w:val="0"/>
                <w:highlight w:val="none"/>
                <w:lang w:val="zh-CN"/>
              </w:rPr>
              <w:t>详见“第一章 招标公告”。</w:t>
            </w:r>
          </w:p>
        </w:tc>
      </w:tr>
      <w:tr w14:paraId="20485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6B34578C">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8</w:t>
            </w:r>
          </w:p>
        </w:tc>
        <w:tc>
          <w:tcPr>
            <w:tcW w:w="1978" w:type="dxa"/>
            <w:vAlign w:val="center"/>
          </w:tcPr>
          <w:p w14:paraId="520F7697">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获取招标文件</w:t>
            </w:r>
          </w:p>
        </w:tc>
        <w:tc>
          <w:tcPr>
            <w:tcW w:w="7513" w:type="dxa"/>
            <w:vAlign w:val="center"/>
          </w:tcPr>
          <w:p w14:paraId="36456BE1">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详见“第一章 招标公告”。</w:t>
            </w:r>
          </w:p>
        </w:tc>
      </w:tr>
      <w:tr w14:paraId="69F0B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11FA7EA5">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9</w:t>
            </w:r>
          </w:p>
        </w:tc>
        <w:tc>
          <w:tcPr>
            <w:tcW w:w="1978" w:type="dxa"/>
            <w:vAlign w:val="center"/>
          </w:tcPr>
          <w:p w14:paraId="51D93AFC">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投标货币</w:t>
            </w:r>
          </w:p>
        </w:tc>
        <w:tc>
          <w:tcPr>
            <w:tcW w:w="7513" w:type="dxa"/>
            <w:vAlign w:val="center"/>
          </w:tcPr>
          <w:p w14:paraId="15B8B47C">
            <w:pPr>
              <w:adjustRightInd w:val="0"/>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rPr>
              <w:t>人民币。</w:t>
            </w:r>
          </w:p>
        </w:tc>
      </w:tr>
      <w:tr w14:paraId="2D96C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51E3792B">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10</w:t>
            </w:r>
          </w:p>
        </w:tc>
        <w:tc>
          <w:tcPr>
            <w:tcW w:w="1978" w:type="dxa"/>
            <w:vAlign w:val="center"/>
          </w:tcPr>
          <w:p w14:paraId="1EAC4E53">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投标语言</w:t>
            </w:r>
          </w:p>
        </w:tc>
        <w:tc>
          <w:tcPr>
            <w:tcW w:w="7513" w:type="dxa"/>
            <w:vAlign w:val="center"/>
          </w:tcPr>
          <w:p w14:paraId="5345889D">
            <w:pPr>
              <w:adjustRightInd w:val="0"/>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rPr>
              <w:t>中文。</w:t>
            </w:r>
          </w:p>
        </w:tc>
      </w:tr>
      <w:tr w14:paraId="16521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0D4EA36C">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11</w:t>
            </w:r>
          </w:p>
        </w:tc>
        <w:tc>
          <w:tcPr>
            <w:tcW w:w="1978" w:type="dxa"/>
            <w:vAlign w:val="center"/>
          </w:tcPr>
          <w:p w14:paraId="1CE00C4D">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询问与答复</w:t>
            </w:r>
          </w:p>
        </w:tc>
        <w:tc>
          <w:tcPr>
            <w:tcW w:w="7513" w:type="dxa"/>
            <w:vAlign w:val="center"/>
          </w:tcPr>
          <w:p w14:paraId="5A44A3F0">
            <w:pPr>
              <w:adjustRightInd w:val="0"/>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潜在投标人对招标公告、招标文件有疑问的,在2025年01月</w:t>
            </w:r>
            <w:r>
              <w:rPr>
                <w:rFonts w:hint="eastAsia" w:ascii="宋体" w:hAnsi="宋体" w:cs="宋体"/>
                <w:color w:val="auto"/>
                <w:highlight w:val="none"/>
                <w:lang w:val="en-US" w:eastAsia="zh-CN"/>
              </w:rPr>
              <w:t>26</w:t>
            </w:r>
            <w:r>
              <w:rPr>
                <w:rFonts w:hint="eastAsia" w:ascii="宋体" w:hAnsi="宋体" w:cs="宋体"/>
                <w:color w:val="auto"/>
                <w:highlight w:val="none"/>
              </w:rPr>
              <w:t xml:space="preserve">日17:00时前以书面形式向采购人和采购代理机构提出询问,逾期提出不予受理。如需修改或补充的,采购代理机构以补充公告形式于2025年01月   </w:t>
            </w:r>
            <w:r>
              <w:rPr>
                <w:rFonts w:hint="eastAsia" w:ascii="宋体" w:hAnsi="宋体" w:cs="宋体"/>
                <w:color w:val="auto"/>
                <w:highlight w:val="none"/>
                <w:lang w:val="en-US" w:eastAsia="zh-CN"/>
              </w:rPr>
              <w:t>27</w:t>
            </w:r>
            <w:r>
              <w:rPr>
                <w:rFonts w:hint="eastAsia" w:ascii="宋体" w:hAnsi="宋体" w:cs="宋体"/>
                <w:color w:val="auto"/>
                <w:highlight w:val="none"/>
              </w:rPr>
              <w:t>日17:00时前在浙江政府采购网公告。</w:t>
            </w:r>
          </w:p>
        </w:tc>
      </w:tr>
      <w:tr w14:paraId="654B8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6549D7DC">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12</w:t>
            </w:r>
          </w:p>
        </w:tc>
        <w:tc>
          <w:tcPr>
            <w:tcW w:w="1978" w:type="dxa"/>
            <w:vAlign w:val="center"/>
          </w:tcPr>
          <w:p w14:paraId="5CEAEF3B">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投标报价范围</w:t>
            </w:r>
          </w:p>
        </w:tc>
        <w:tc>
          <w:tcPr>
            <w:tcW w:w="7513" w:type="dxa"/>
            <w:vAlign w:val="center"/>
          </w:tcPr>
          <w:p w14:paraId="3BE8A23F">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1.本项目投标应以人民币报价。</w:t>
            </w:r>
          </w:p>
          <w:p w14:paraId="66A50F5F">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2.投标报价是指投标人在正确地完全履行合同义务后采购人应支付的服务价格，包括但不限于制造、货物款、装卸、运输、税金、保险、检测验收（含第三方检测验收）、售后服务、质保期保障、招标代理服务费</w:t>
            </w:r>
            <w:r>
              <w:rPr>
                <w:rFonts w:hint="eastAsia" w:ascii="宋体" w:hAnsi="宋体" w:cs="宋体"/>
                <w:color w:val="auto"/>
                <w:highlight w:val="none"/>
                <w:lang w:bidi="ar"/>
              </w:rPr>
              <w:t>以及完成合同所需的一切本身和不可或缺的所有工作开支、政策性文件规定及合同包含的所有风险、责任等各项全部费用</w:t>
            </w:r>
            <w:r>
              <w:rPr>
                <w:rFonts w:hint="eastAsia" w:ascii="宋体" w:hAnsi="宋体" w:cs="宋体"/>
                <w:color w:val="auto"/>
                <w:highlight w:val="none"/>
              </w:rPr>
              <w:t>。投标人应根据上述因素自行考虑含入报价。</w:t>
            </w:r>
          </w:p>
        </w:tc>
      </w:tr>
      <w:tr w14:paraId="41CB10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1DFDD214">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13</w:t>
            </w:r>
          </w:p>
        </w:tc>
        <w:tc>
          <w:tcPr>
            <w:tcW w:w="1978" w:type="dxa"/>
            <w:vAlign w:val="center"/>
          </w:tcPr>
          <w:p w14:paraId="2D70F972">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采购方式</w:t>
            </w:r>
          </w:p>
        </w:tc>
        <w:tc>
          <w:tcPr>
            <w:tcW w:w="7513" w:type="dxa"/>
            <w:vAlign w:val="center"/>
          </w:tcPr>
          <w:p w14:paraId="621E5C62">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公开招标。</w:t>
            </w:r>
          </w:p>
        </w:tc>
      </w:tr>
      <w:tr w14:paraId="785B1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2652D264">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14</w:t>
            </w:r>
          </w:p>
        </w:tc>
        <w:tc>
          <w:tcPr>
            <w:tcW w:w="1978" w:type="dxa"/>
            <w:vAlign w:val="center"/>
          </w:tcPr>
          <w:p w14:paraId="525E1394">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采购活动流程</w:t>
            </w:r>
          </w:p>
        </w:tc>
        <w:tc>
          <w:tcPr>
            <w:tcW w:w="7513" w:type="dxa"/>
            <w:vAlign w:val="center"/>
          </w:tcPr>
          <w:p w14:paraId="7E21F904">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本项目采购活动的招标、投标、开标、评标的全流程电子化，在使用系统进行投标的过程中遇到涉及平台使用的任何问题，致电政采云平台技术支持咨询（电话95763）。</w:t>
            </w:r>
          </w:p>
        </w:tc>
      </w:tr>
      <w:tr w14:paraId="5772B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5881D273">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15</w:t>
            </w:r>
          </w:p>
        </w:tc>
        <w:tc>
          <w:tcPr>
            <w:tcW w:w="1978" w:type="dxa"/>
            <w:vAlign w:val="center"/>
          </w:tcPr>
          <w:p w14:paraId="077368C3">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评标办法</w:t>
            </w:r>
          </w:p>
        </w:tc>
        <w:tc>
          <w:tcPr>
            <w:tcW w:w="7513" w:type="dxa"/>
            <w:vAlign w:val="center"/>
          </w:tcPr>
          <w:p w14:paraId="7186B24A">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综合评分法。</w:t>
            </w:r>
          </w:p>
        </w:tc>
      </w:tr>
      <w:tr w14:paraId="640DA1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67B9C27F">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16</w:t>
            </w:r>
          </w:p>
        </w:tc>
        <w:tc>
          <w:tcPr>
            <w:tcW w:w="1978" w:type="dxa"/>
            <w:vAlign w:val="center"/>
          </w:tcPr>
          <w:p w14:paraId="5C677394">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服务期限</w:t>
            </w:r>
          </w:p>
        </w:tc>
        <w:tc>
          <w:tcPr>
            <w:tcW w:w="7513" w:type="dxa"/>
            <w:vAlign w:val="center"/>
          </w:tcPr>
          <w:p w14:paraId="07C9CEC2">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合同签订之日起30个工作日内完成供货及安装。</w:t>
            </w:r>
          </w:p>
        </w:tc>
      </w:tr>
      <w:tr w14:paraId="20165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7A02075A">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17</w:t>
            </w:r>
          </w:p>
        </w:tc>
        <w:tc>
          <w:tcPr>
            <w:tcW w:w="1978" w:type="dxa"/>
            <w:vAlign w:val="center"/>
          </w:tcPr>
          <w:p w14:paraId="3AE0FD09">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招标内容</w:t>
            </w:r>
          </w:p>
        </w:tc>
        <w:tc>
          <w:tcPr>
            <w:tcW w:w="7513" w:type="dxa"/>
            <w:vAlign w:val="center"/>
          </w:tcPr>
          <w:p w14:paraId="64580720">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具体内容详见招标文件“第三章 采购内容及需求”。</w:t>
            </w:r>
          </w:p>
        </w:tc>
      </w:tr>
      <w:tr w14:paraId="5B1E6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13A3797A">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18</w:t>
            </w:r>
          </w:p>
        </w:tc>
        <w:tc>
          <w:tcPr>
            <w:tcW w:w="1978" w:type="dxa"/>
            <w:vAlign w:val="center"/>
          </w:tcPr>
          <w:p w14:paraId="0177EF60">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是否允许联合体投标</w:t>
            </w:r>
          </w:p>
        </w:tc>
        <w:tc>
          <w:tcPr>
            <w:tcW w:w="7513" w:type="dxa"/>
            <w:vAlign w:val="center"/>
          </w:tcPr>
          <w:p w14:paraId="7126F63C">
            <w:pPr>
              <w:adjustRightInd w:val="0"/>
              <w:snapToGrid w:val="0"/>
              <w:spacing w:line="240" w:lineRule="auto"/>
              <w:ind w:firstLine="0" w:firstLineChars="0"/>
              <w:jc w:val="left"/>
              <w:rPr>
                <w:rFonts w:hint="eastAsia" w:ascii="宋体" w:hAnsi="宋体" w:cs="宋体"/>
                <w:color w:val="auto"/>
                <w:highlight w:val="none"/>
              </w:rPr>
            </w:pPr>
            <w:bookmarkStart w:id="282" w:name="OLE_LINK8"/>
            <w:r>
              <w:rPr>
                <w:rFonts w:hint="eastAsia" w:ascii="宋体" w:hAnsi="宋体" w:cs="宋体"/>
                <w:color w:val="auto"/>
                <w:highlight w:val="none"/>
              </w:rPr>
              <w:t>☑不允许</w:t>
            </w:r>
          </w:p>
          <w:p w14:paraId="7EC15D1F">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□允许</w:t>
            </w:r>
            <w:bookmarkEnd w:id="282"/>
            <w:r>
              <w:rPr>
                <w:rFonts w:hint="eastAsia" w:ascii="宋体" w:hAnsi="宋体" w:cs="宋体"/>
                <w:color w:val="auto"/>
                <w:highlight w:val="none"/>
              </w:rPr>
              <w:t xml:space="preserve">，应满足下列要求：           </w:t>
            </w:r>
          </w:p>
        </w:tc>
      </w:tr>
      <w:tr w14:paraId="3DDCD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23FDB606">
            <w:pPr>
              <w:adjustRightInd w:val="0"/>
              <w:snapToGrid w:val="0"/>
              <w:spacing w:line="240" w:lineRule="auto"/>
              <w:ind w:firstLine="0" w:firstLineChars="0"/>
              <w:jc w:val="center"/>
              <w:rPr>
                <w:rFonts w:hint="eastAsia" w:ascii="宋体" w:hAnsi="宋体" w:cs="宋体"/>
                <w:color w:val="auto"/>
                <w:highlight w:val="none"/>
              </w:rPr>
            </w:pPr>
            <w:bookmarkStart w:id="283" w:name="OLE_LINK9" w:colFirst="0" w:colLast="0"/>
            <w:r>
              <w:rPr>
                <w:rFonts w:hint="eastAsia" w:ascii="宋体" w:hAnsi="宋体" w:cs="宋体"/>
                <w:color w:val="auto"/>
                <w:highlight w:val="none"/>
              </w:rPr>
              <w:t>19</w:t>
            </w:r>
          </w:p>
        </w:tc>
        <w:tc>
          <w:tcPr>
            <w:tcW w:w="1978" w:type="dxa"/>
            <w:vAlign w:val="center"/>
          </w:tcPr>
          <w:p w14:paraId="573CBD93">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分包和非主体、非关键性工作</w:t>
            </w:r>
          </w:p>
        </w:tc>
        <w:tc>
          <w:tcPr>
            <w:tcW w:w="7513" w:type="dxa"/>
            <w:vAlign w:val="center"/>
          </w:tcPr>
          <w:p w14:paraId="50418F7C">
            <w:pPr>
              <w:adjustRightInd w:val="0"/>
              <w:snapToGrid w:val="0"/>
              <w:spacing w:line="240" w:lineRule="auto"/>
              <w:ind w:firstLine="0" w:firstLineChars="0"/>
              <w:jc w:val="left"/>
              <w:rPr>
                <w:rFonts w:hint="eastAsia" w:ascii="宋体" w:hAnsi="宋体" w:cs="宋体"/>
                <w:color w:val="auto"/>
                <w:highlight w:val="none"/>
                <w:lang w:val="zh-CN"/>
              </w:rPr>
            </w:pPr>
            <w:r>
              <w:rPr>
                <w:rFonts w:ascii="Segoe UI Symbol" w:hAnsi="Segoe UI Symbol" w:cs="Segoe UI Symbol"/>
                <w:color w:val="auto"/>
                <w:highlight w:val="none"/>
              </w:rPr>
              <w:t>☑</w:t>
            </w:r>
            <w:r>
              <w:rPr>
                <w:rFonts w:hint="eastAsia" w:ascii="宋体" w:hAnsi="宋体" w:cs="宋体"/>
                <w:color w:val="auto"/>
                <w:highlight w:val="none"/>
                <w:lang w:val="zh-CN"/>
              </w:rPr>
              <w:t>不允许</w:t>
            </w:r>
          </w:p>
          <w:p w14:paraId="7E2A7524">
            <w:pPr>
              <w:spacing w:line="240" w:lineRule="auto"/>
              <w:ind w:firstLine="0" w:firstLineChars="0"/>
              <w:jc w:val="left"/>
              <w:rPr>
                <w:color w:val="auto"/>
                <w:highlight w:val="none"/>
              </w:rPr>
            </w:pPr>
            <w:r>
              <w:rPr>
                <w:rFonts w:hint="eastAsia" w:ascii="宋体" w:hAnsi="宋体" w:cs="宋体"/>
                <w:color w:val="auto"/>
                <w:highlight w:val="none"/>
              </w:rPr>
              <w:t>□</w:t>
            </w:r>
            <w:r>
              <w:rPr>
                <w:rFonts w:hint="eastAsia" w:ascii="宋体" w:hAnsi="宋体" w:cs="宋体"/>
                <w:color w:val="auto"/>
                <w:highlight w:val="none"/>
                <w:lang w:val="zh-CN"/>
              </w:rPr>
              <w:t>允许，供应商根据招标文件载明的标的采购项目实际情况，拟在中标后将中标项目的非主体、非关键性工作交由他人完成的，事先须经采购人同意。</w:t>
            </w:r>
          </w:p>
        </w:tc>
      </w:tr>
      <w:tr w14:paraId="42E3C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5B6D4D14">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20</w:t>
            </w:r>
          </w:p>
        </w:tc>
        <w:tc>
          <w:tcPr>
            <w:tcW w:w="1978" w:type="dxa"/>
            <w:vAlign w:val="center"/>
          </w:tcPr>
          <w:p w14:paraId="0B32E105">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是否允许进口产品</w:t>
            </w:r>
          </w:p>
        </w:tc>
        <w:tc>
          <w:tcPr>
            <w:tcW w:w="7513" w:type="dxa"/>
            <w:vAlign w:val="center"/>
          </w:tcPr>
          <w:p w14:paraId="39EF2DBF">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☑不允许</w:t>
            </w:r>
          </w:p>
          <w:p w14:paraId="27BAC351">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□允许</w:t>
            </w:r>
          </w:p>
        </w:tc>
      </w:tr>
      <w:tr w14:paraId="1AE151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37421E2C">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21</w:t>
            </w:r>
          </w:p>
        </w:tc>
        <w:tc>
          <w:tcPr>
            <w:tcW w:w="1978" w:type="dxa"/>
            <w:vAlign w:val="center"/>
          </w:tcPr>
          <w:p w14:paraId="7E8C4E61">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踏勘现场</w:t>
            </w:r>
          </w:p>
        </w:tc>
        <w:tc>
          <w:tcPr>
            <w:tcW w:w="7513" w:type="dxa"/>
            <w:vAlign w:val="center"/>
          </w:tcPr>
          <w:p w14:paraId="67A7DB9E">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☑不组织【请自行前往踏勘，不统一组织】</w:t>
            </w:r>
          </w:p>
          <w:p w14:paraId="2DA12A52">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□组织</w:t>
            </w:r>
          </w:p>
        </w:tc>
      </w:tr>
      <w:tr w14:paraId="0609E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50F3E677">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22</w:t>
            </w:r>
          </w:p>
        </w:tc>
        <w:tc>
          <w:tcPr>
            <w:tcW w:w="1978" w:type="dxa"/>
            <w:vAlign w:val="center"/>
          </w:tcPr>
          <w:p w14:paraId="37DD4922">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是否允许递交备选方案</w:t>
            </w:r>
          </w:p>
        </w:tc>
        <w:tc>
          <w:tcPr>
            <w:tcW w:w="7513" w:type="dxa"/>
            <w:vAlign w:val="center"/>
          </w:tcPr>
          <w:p w14:paraId="3F4B7864">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☑不允许</w:t>
            </w:r>
          </w:p>
          <w:p w14:paraId="4D566267">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□允许</w:t>
            </w:r>
          </w:p>
        </w:tc>
      </w:tr>
      <w:tr w14:paraId="7763E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45ECDACD">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23</w:t>
            </w:r>
          </w:p>
        </w:tc>
        <w:tc>
          <w:tcPr>
            <w:tcW w:w="1978" w:type="dxa"/>
            <w:vAlign w:val="center"/>
          </w:tcPr>
          <w:p w14:paraId="2A92CA9B">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投标保证金</w:t>
            </w:r>
          </w:p>
        </w:tc>
        <w:tc>
          <w:tcPr>
            <w:tcW w:w="7513" w:type="dxa"/>
            <w:vAlign w:val="center"/>
          </w:tcPr>
          <w:p w14:paraId="5C7377DF">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☑不需要</w:t>
            </w:r>
          </w:p>
          <w:p w14:paraId="54CA7E80">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 xml:space="preserve">□需要  </w:t>
            </w:r>
          </w:p>
        </w:tc>
      </w:tr>
      <w:tr w14:paraId="7B937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4DE96F01">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24</w:t>
            </w:r>
          </w:p>
        </w:tc>
        <w:tc>
          <w:tcPr>
            <w:tcW w:w="1978" w:type="dxa"/>
            <w:vAlign w:val="center"/>
          </w:tcPr>
          <w:p w14:paraId="0F546749">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是否允许提交</w:t>
            </w:r>
            <w:r>
              <w:rPr>
                <w:rFonts w:hint="eastAsia" w:ascii="宋体" w:hAnsi="宋体" w:cs="宋体"/>
                <w:color w:val="auto"/>
                <w:highlight w:val="none"/>
              </w:rPr>
              <w:t>样品</w:t>
            </w:r>
          </w:p>
        </w:tc>
        <w:tc>
          <w:tcPr>
            <w:tcW w:w="7513" w:type="dxa"/>
            <w:vAlign w:val="center"/>
          </w:tcPr>
          <w:p w14:paraId="340B20E7">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☑不要求提供；</w:t>
            </w:r>
          </w:p>
          <w:p w14:paraId="29FA1F67">
            <w:pPr>
              <w:widowControl/>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□要求提供。</w:t>
            </w:r>
          </w:p>
        </w:tc>
      </w:tr>
      <w:tr w14:paraId="19BFB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62879F0A">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25</w:t>
            </w:r>
          </w:p>
        </w:tc>
        <w:tc>
          <w:tcPr>
            <w:tcW w:w="1978" w:type="dxa"/>
            <w:vAlign w:val="center"/>
          </w:tcPr>
          <w:p w14:paraId="07ED3726">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履约保证金</w:t>
            </w:r>
          </w:p>
        </w:tc>
        <w:tc>
          <w:tcPr>
            <w:tcW w:w="7513" w:type="dxa"/>
            <w:vAlign w:val="center"/>
          </w:tcPr>
          <w:p w14:paraId="32697197">
            <w:pP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□不需要</w:t>
            </w:r>
          </w:p>
          <w:p w14:paraId="12377DF5">
            <w:pP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☑需要</w:t>
            </w:r>
          </w:p>
          <w:p w14:paraId="75E7DA25">
            <w:pP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1.交纳金额：中标供应商须向采购人交纳，为合同价格的1.0%。</w:t>
            </w:r>
          </w:p>
          <w:p w14:paraId="5AA8BBD8">
            <w:pP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2.交纳方式：汇票/支票/银行转账/银行保函</w:t>
            </w:r>
            <w:r>
              <w:rPr>
                <w:rFonts w:hint="eastAsia" w:ascii="宋体" w:hAnsi="宋体" w:cs="宋体"/>
                <w:color w:val="auto"/>
                <w:highlight w:val="none"/>
              </w:rPr>
              <w:t>/保险保函</w:t>
            </w:r>
            <w:r>
              <w:rPr>
                <w:rFonts w:hint="eastAsia" w:ascii="宋体" w:hAnsi="宋体" w:cs="宋体"/>
                <w:color w:val="auto"/>
                <w:highlight w:val="none"/>
                <w:lang w:val="zh-CN"/>
              </w:rPr>
              <w:t>。</w:t>
            </w:r>
          </w:p>
          <w:p w14:paraId="163B37CB">
            <w:pP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3.交纳时间：本项目合同签订前交纳。</w:t>
            </w:r>
          </w:p>
          <w:p w14:paraId="78D836EB">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4.退还条件：</w:t>
            </w:r>
            <w:r>
              <w:rPr>
                <w:rFonts w:hint="eastAsia" w:ascii="宋体" w:hAnsi="宋体" w:cs="宋体"/>
                <w:color w:val="auto"/>
                <w:highlight w:val="none"/>
              </w:rPr>
              <w:t>验收合格后15日内无息退还</w:t>
            </w:r>
            <w:r>
              <w:rPr>
                <w:rFonts w:hint="eastAsia" w:ascii="宋体" w:hAnsi="宋体" w:cs="宋体"/>
                <w:color w:val="auto"/>
                <w:highlight w:val="none"/>
                <w:lang w:val="zh-CN"/>
              </w:rPr>
              <w:t>。</w:t>
            </w:r>
          </w:p>
        </w:tc>
      </w:tr>
      <w:tr w14:paraId="10B68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6BBCA4D3">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26</w:t>
            </w:r>
          </w:p>
        </w:tc>
        <w:tc>
          <w:tcPr>
            <w:tcW w:w="1978" w:type="dxa"/>
            <w:vAlign w:val="center"/>
          </w:tcPr>
          <w:p w14:paraId="3F0C243E">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投标文件的组成</w:t>
            </w:r>
          </w:p>
        </w:tc>
        <w:tc>
          <w:tcPr>
            <w:tcW w:w="7513" w:type="dxa"/>
            <w:vAlign w:val="center"/>
          </w:tcPr>
          <w:p w14:paraId="4FD74673">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完整的《投标文件》由“资格文件”“报价文件”和“资信商务技术文件”三个部分组成。</w:t>
            </w:r>
          </w:p>
        </w:tc>
      </w:tr>
      <w:tr w14:paraId="6C4E9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44853A57">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27</w:t>
            </w:r>
          </w:p>
        </w:tc>
        <w:tc>
          <w:tcPr>
            <w:tcW w:w="1978" w:type="dxa"/>
            <w:vAlign w:val="center"/>
          </w:tcPr>
          <w:p w14:paraId="461BE389">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投标文件的编制</w:t>
            </w:r>
          </w:p>
        </w:tc>
        <w:tc>
          <w:tcPr>
            <w:tcW w:w="7513" w:type="dxa"/>
            <w:vAlign w:val="center"/>
          </w:tcPr>
          <w:p w14:paraId="36F4E6FF">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投标人应先安装“政采云电子交易客户端”，并按照本招标文件和“政府采购云平台”的要求，通过“政采云电子交易客户端”编制并加密投标文件。</w:t>
            </w:r>
          </w:p>
        </w:tc>
      </w:tr>
      <w:tr w14:paraId="1E1BA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1D31365E">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28</w:t>
            </w:r>
          </w:p>
        </w:tc>
        <w:tc>
          <w:tcPr>
            <w:tcW w:w="1978" w:type="dxa"/>
            <w:vAlign w:val="center"/>
          </w:tcPr>
          <w:p w14:paraId="03FF7DA8">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签字或盖章要求</w:t>
            </w:r>
          </w:p>
        </w:tc>
        <w:tc>
          <w:tcPr>
            <w:tcW w:w="7513" w:type="dxa"/>
            <w:vAlign w:val="center"/>
          </w:tcPr>
          <w:p w14:paraId="7B8450C6">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电子签章。招标文件所指的加盖单位公章为电子签章。投标文件须按招标文件格式要求，由投标人加盖单位公章和法定代表人或其授权代表印章（或签字）。</w:t>
            </w:r>
          </w:p>
        </w:tc>
      </w:tr>
      <w:tr w14:paraId="1AD01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25A35D6A">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29</w:t>
            </w:r>
          </w:p>
        </w:tc>
        <w:tc>
          <w:tcPr>
            <w:tcW w:w="1978" w:type="dxa"/>
            <w:vAlign w:val="center"/>
          </w:tcPr>
          <w:p w14:paraId="07437EAF">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投标文件的形式</w:t>
            </w:r>
          </w:p>
        </w:tc>
        <w:tc>
          <w:tcPr>
            <w:tcW w:w="7513" w:type="dxa"/>
            <w:vAlign w:val="center"/>
          </w:tcPr>
          <w:p w14:paraId="435FA484">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☑电子投标文件（包括“电子加密投标文件”和“备份投标文件”，在投标文件编制完成后同时生成）；</w:t>
            </w:r>
          </w:p>
          <w:p w14:paraId="4737247C">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（1）“电子加密投标文件”是指通过“政采云电子交易客户端”完成投标文件编制后生成并加密的数据电文形式的投标文件。</w:t>
            </w:r>
          </w:p>
          <w:p w14:paraId="297F7C4B">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（2）“备份投标文件”是指与“电子加密投标文件”同时生成的数据电文形式的电子文件（备份标书），其他方式编制的备份投标文件视为无效备份投标文件。</w:t>
            </w:r>
          </w:p>
        </w:tc>
      </w:tr>
      <w:tr w14:paraId="22A9D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3CBC81BA">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30</w:t>
            </w:r>
          </w:p>
        </w:tc>
        <w:tc>
          <w:tcPr>
            <w:tcW w:w="1978" w:type="dxa"/>
            <w:vAlign w:val="center"/>
          </w:tcPr>
          <w:p w14:paraId="26C99031">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投标文件份数</w:t>
            </w:r>
          </w:p>
        </w:tc>
        <w:tc>
          <w:tcPr>
            <w:tcW w:w="7513" w:type="dxa"/>
            <w:vAlign w:val="center"/>
          </w:tcPr>
          <w:p w14:paraId="1DAD768E">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（1）“电子加密投标文件”：在线上传递交，一份。（2）“备份投标文件”：在线发送邮箱，一份；</w:t>
            </w:r>
          </w:p>
        </w:tc>
      </w:tr>
      <w:tr w14:paraId="468CA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686C32D2">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31</w:t>
            </w:r>
          </w:p>
        </w:tc>
        <w:tc>
          <w:tcPr>
            <w:tcW w:w="1978" w:type="dxa"/>
            <w:vAlign w:val="center"/>
          </w:tcPr>
          <w:p w14:paraId="19E685CC">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投标文件的上传和递交</w:t>
            </w:r>
          </w:p>
        </w:tc>
        <w:tc>
          <w:tcPr>
            <w:tcW w:w="7513" w:type="dxa"/>
            <w:vAlign w:val="center"/>
          </w:tcPr>
          <w:p w14:paraId="3BA79EFA">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（1）“电子加密投标文件”的上传、递交：</w:t>
            </w:r>
          </w:p>
          <w:p w14:paraId="288ABBAE">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a.投标人应在投标截止时间前将“电子加密投标文件”成功上传递交至“政府采购云平台”，否则投标无效。</w:t>
            </w:r>
          </w:p>
          <w:p w14:paraId="6D4EDA66">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b.“电子加密投标文件”成功上传递交后，投标人可自行打印投标文件接收回执。</w:t>
            </w:r>
          </w:p>
          <w:p w14:paraId="051D733E">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（2）“备份投标文件”递交：</w:t>
            </w:r>
          </w:p>
          <w:p w14:paraId="55DAD27C">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a.投标人可以在投标截止时间将备份投标文件（经政采云电子交易客户端和CA驱动制作出的后缀名“BFBS”的加密备份投标文件）发送至邮箱：951172785@qq.com，邮件内容写上单位名称，逾期发送或发错后缀名的备份投标文件将视为无效；备份投标文件的提交不作强制要求，若因投标人未提供备份投标文件而造成投标无效等一切后果和风险由投标人自行承担；</w:t>
            </w:r>
          </w:p>
          <w:p w14:paraId="46C9CB65">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b.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212A3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1E03791A">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32</w:t>
            </w:r>
          </w:p>
        </w:tc>
        <w:tc>
          <w:tcPr>
            <w:tcW w:w="1978" w:type="dxa"/>
            <w:vAlign w:val="center"/>
          </w:tcPr>
          <w:p w14:paraId="0649921F">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电子加密投标文件的解密和异常情况处理</w:t>
            </w:r>
          </w:p>
        </w:tc>
        <w:tc>
          <w:tcPr>
            <w:tcW w:w="7513" w:type="dxa"/>
            <w:vAlign w:val="center"/>
          </w:tcPr>
          <w:p w14:paraId="4F77612A">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（1）开标后，采购组织机构将向各投标人发出“电子加密投标文件”的解密通知，各投标人代表应当在接到解密通知后30分钟内自行完成“电子加密投标文件”的在线解密。</w:t>
            </w:r>
          </w:p>
          <w:p w14:paraId="31D7610D">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EB2EC91">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（3）投标截止时间前，投标人仅递交了“备份投标文件”而未将电子加密投标文件上传至“政府采购云平台”的，投标无效。</w:t>
            </w:r>
          </w:p>
        </w:tc>
      </w:tr>
      <w:tr w14:paraId="316D4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6C744B3F">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33</w:t>
            </w:r>
          </w:p>
        </w:tc>
        <w:tc>
          <w:tcPr>
            <w:tcW w:w="1978" w:type="dxa"/>
            <w:vAlign w:val="center"/>
          </w:tcPr>
          <w:p w14:paraId="4477ACF1">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投标有效期</w:t>
            </w:r>
          </w:p>
        </w:tc>
        <w:tc>
          <w:tcPr>
            <w:tcW w:w="7513" w:type="dxa"/>
            <w:vAlign w:val="center"/>
          </w:tcPr>
          <w:p w14:paraId="3E327989">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提交投标文件截止日起90天内。</w:t>
            </w:r>
          </w:p>
        </w:tc>
      </w:tr>
      <w:tr w14:paraId="0187A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48CBE56C">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34</w:t>
            </w:r>
          </w:p>
        </w:tc>
        <w:tc>
          <w:tcPr>
            <w:tcW w:w="1978" w:type="dxa"/>
            <w:vAlign w:val="center"/>
          </w:tcPr>
          <w:p w14:paraId="512D4D2E">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投标报价次数</w:t>
            </w:r>
          </w:p>
        </w:tc>
        <w:tc>
          <w:tcPr>
            <w:tcW w:w="7513" w:type="dxa"/>
            <w:vAlign w:val="center"/>
          </w:tcPr>
          <w:p w14:paraId="51F6BB98">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本次投标报价为一次不得更改报价，投标人只有一次报价的机会。投标报价不得有选择性报价和附有条件，且不得高于最高限价，否则，评标委员会按无效报价处理。</w:t>
            </w:r>
          </w:p>
        </w:tc>
      </w:tr>
      <w:tr w14:paraId="43AF5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4C1B19AD">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35</w:t>
            </w:r>
          </w:p>
        </w:tc>
        <w:tc>
          <w:tcPr>
            <w:tcW w:w="1978" w:type="dxa"/>
            <w:vAlign w:val="center"/>
          </w:tcPr>
          <w:p w14:paraId="46B4E44E">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构成招标文件的其他材料</w:t>
            </w:r>
          </w:p>
        </w:tc>
        <w:tc>
          <w:tcPr>
            <w:tcW w:w="7513" w:type="dxa"/>
            <w:vAlign w:val="center"/>
          </w:tcPr>
          <w:p w14:paraId="24A75D34">
            <w:pPr>
              <w:numPr>
                <w:ilvl w:val="255"/>
                <w:numId w:val="0"/>
              </w:numPr>
              <w:adjustRightInd w:val="0"/>
              <w:snapToGrid w:val="0"/>
              <w:spacing w:line="240" w:lineRule="auto"/>
              <w:jc w:val="left"/>
              <w:rPr>
                <w:rFonts w:hint="eastAsia" w:ascii="宋体" w:hAnsi="宋体" w:cs="宋体"/>
                <w:color w:val="auto"/>
                <w:highlight w:val="none"/>
              </w:rPr>
            </w:pPr>
            <w:r>
              <w:rPr>
                <w:rFonts w:hint="eastAsia" w:ascii="宋体" w:hAnsi="宋体" w:cs="宋体"/>
                <w:color w:val="auto"/>
                <w:highlight w:val="none"/>
              </w:rPr>
              <w:t>采购人依法依规对招标文件所做的澄清或修改，构成招标文件的组成部分</w:t>
            </w:r>
            <w:r>
              <w:rPr>
                <w:rFonts w:hint="eastAsia"/>
                <w:color w:val="auto"/>
                <w:highlight w:val="none"/>
              </w:rPr>
              <w:t>。</w:t>
            </w:r>
          </w:p>
        </w:tc>
      </w:tr>
      <w:tr w14:paraId="77DBC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38C456A1">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36</w:t>
            </w:r>
          </w:p>
        </w:tc>
        <w:tc>
          <w:tcPr>
            <w:tcW w:w="1978" w:type="dxa"/>
            <w:vAlign w:val="center"/>
          </w:tcPr>
          <w:p w14:paraId="5F3C27D7">
            <w:pPr>
              <w:adjustRightInd w:val="0"/>
              <w:snapToGrid w:val="0"/>
              <w:spacing w:line="240" w:lineRule="auto"/>
              <w:ind w:firstLine="0" w:firstLineChars="0"/>
              <w:jc w:val="center"/>
              <w:rPr>
                <w:rFonts w:hint="eastAsia" w:ascii="宋体" w:hAnsi="宋体" w:cs="宋体"/>
                <w:color w:val="auto"/>
                <w:highlight w:val="none"/>
              </w:rPr>
            </w:pPr>
            <w:r>
              <w:rPr>
                <w:rFonts w:hint="eastAsia"/>
                <w:color w:val="auto"/>
                <w:highlight w:val="none"/>
              </w:rPr>
              <w:t>招标文件的澄清或修改</w:t>
            </w:r>
          </w:p>
        </w:tc>
        <w:tc>
          <w:tcPr>
            <w:tcW w:w="7513" w:type="dxa"/>
            <w:vAlign w:val="center"/>
          </w:tcPr>
          <w:p w14:paraId="21D15CA4">
            <w:pPr>
              <w:adjustRightInd w:val="0"/>
              <w:snapToGrid w:val="0"/>
              <w:spacing w:line="240" w:lineRule="auto"/>
              <w:ind w:firstLine="0" w:firstLineChars="0"/>
              <w:jc w:val="left"/>
              <w:rPr>
                <w:rFonts w:hint="eastAsia" w:ascii="宋体" w:hAnsi="宋体" w:cs="宋体"/>
                <w:color w:val="auto"/>
                <w:highlight w:val="none"/>
              </w:rPr>
            </w:pPr>
            <w:r>
              <w:rPr>
                <w:rFonts w:hint="eastAsia"/>
                <w:color w:val="auto"/>
                <w:highlight w:val="none"/>
              </w:rPr>
              <w:t>澄清或修改内容详见浙江政府采购网本项目招标公告页面，投标人应密切关注上述公告页面的最新澄清信息。澄清和修改一经发布，视为投标人已获取。</w:t>
            </w:r>
          </w:p>
        </w:tc>
      </w:tr>
      <w:tr w14:paraId="04489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460308A2">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37</w:t>
            </w:r>
          </w:p>
        </w:tc>
        <w:tc>
          <w:tcPr>
            <w:tcW w:w="1978" w:type="dxa"/>
            <w:vAlign w:val="center"/>
          </w:tcPr>
          <w:p w14:paraId="7D6F0218">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质疑受理联系方式</w:t>
            </w:r>
          </w:p>
        </w:tc>
        <w:tc>
          <w:tcPr>
            <w:tcW w:w="7513" w:type="dxa"/>
            <w:vAlign w:val="center"/>
          </w:tcPr>
          <w:p w14:paraId="26B04B5B">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代理机构名称：衢州宇信工程咨询有限公司</w:t>
            </w:r>
          </w:p>
          <w:p w14:paraId="5447A69E">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机构地点：龙游县龙洲街道广和商务楼3楼306室 </w:t>
            </w:r>
          </w:p>
          <w:p w14:paraId="5BCFDCF4">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质疑联系人：徐女士</w:t>
            </w:r>
          </w:p>
          <w:p w14:paraId="505C6983">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质疑联系方式：0570-7018388</w:t>
            </w:r>
          </w:p>
        </w:tc>
      </w:tr>
      <w:tr w14:paraId="6A707A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70CF52AD">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38</w:t>
            </w:r>
          </w:p>
        </w:tc>
        <w:tc>
          <w:tcPr>
            <w:tcW w:w="1978" w:type="dxa"/>
            <w:vAlign w:val="center"/>
          </w:tcPr>
          <w:p w14:paraId="5CA39781">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投诉</w:t>
            </w:r>
          </w:p>
        </w:tc>
        <w:tc>
          <w:tcPr>
            <w:tcW w:w="7513" w:type="dxa"/>
            <w:vAlign w:val="center"/>
          </w:tcPr>
          <w:p w14:paraId="0AF815FE">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根据《政府采购质疑和投诉办法》的规定，质疑投标人对采购人、采购代理机构的答复不满意或者采购人、采购代理机构未在规定的时间内作出答复的，可以在答复期满后15个工作日内向同级政府采购监督管理部门投诉。</w:t>
            </w:r>
          </w:p>
        </w:tc>
      </w:tr>
      <w:tr w14:paraId="634FF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7825E545">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39</w:t>
            </w:r>
          </w:p>
        </w:tc>
        <w:tc>
          <w:tcPr>
            <w:tcW w:w="1978" w:type="dxa"/>
            <w:vAlign w:val="center"/>
          </w:tcPr>
          <w:p w14:paraId="60D96D5E">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投诉受理联系方式</w:t>
            </w:r>
          </w:p>
        </w:tc>
        <w:tc>
          <w:tcPr>
            <w:tcW w:w="7513" w:type="dxa"/>
            <w:vAlign w:val="center"/>
          </w:tcPr>
          <w:p w14:paraId="10459F2B">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龙游县财政局政府采购监管科</w:t>
            </w:r>
          </w:p>
          <w:p w14:paraId="59F7FD4D">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联系人：严先生</w:t>
            </w:r>
          </w:p>
          <w:p w14:paraId="19BD5428">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监督投诉电话：0570﹣7011687</w:t>
            </w:r>
          </w:p>
          <w:p w14:paraId="0F524C90">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地址：龙游县莲湖路69号</w:t>
            </w:r>
          </w:p>
        </w:tc>
      </w:tr>
      <w:tr w14:paraId="43BA17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0D88EF8A">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40</w:t>
            </w:r>
          </w:p>
        </w:tc>
        <w:tc>
          <w:tcPr>
            <w:tcW w:w="1978" w:type="dxa"/>
            <w:vAlign w:val="center"/>
          </w:tcPr>
          <w:p w14:paraId="595A26AC">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投标截止时间</w:t>
            </w:r>
          </w:p>
        </w:tc>
        <w:tc>
          <w:tcPr>
            <w:tcW w:w="7513" w:type="dxa"/>
            <w:vAlign w:val="center"/>
          </w:tcPr>
          <w:p w14:paraId="728A6E65">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2025年0</w:t>
            </w:r>
            <w:r>
              <w:rPr>
                <w:rFonts w:hint="eastAsia" w:ascii="宋体" w:hAnsi="宋体" w:cs="宋体"/>
                <w:color w:val="auto"/>
                <w:highlight w:val="none"/>
                <w:lang w:val="en-US" w:eastAsia="zh-CN"/>
              </w:rPr>
              <w:t>2</w:t>
            </w:r>
            <w:r>
              <w:rPr>
                <w:rFonts w:hint="eastAsia" w:ascii="宋体" w:hAnsi="宋体" w:cs="宋体"/>
                <w:color w:val="auto"/>
                <w:highlight w:val="none"/>
              </w:rPr>
              <w:t>月</w:t>
            </w:r>
            <w:r>
              <w:rPr>
                <w:rFonts w:hint="eastAsia" w:ascii="宋体" w:hAnsi="宋体" w:cs="宋体"/>
                <w:color w:val="auto"/>
                <w:highlight w:val="none"/>
                <w:lang w:val="en-US" w:eastAsia="zh-CN"/>
              </w:rPr>
              <w:t>21</w:t>
            </w:r>
            <w:r>
              <w:rPr>
                <w:rFonts w:hint="eastAsia" w:ascii="宋体" w:hAnsi="宋体" w:cs="宋体"/>
                <w:color w:val="auto"/>
                <w:highlight w:val="none"/>
              </w:rPr>
              <w:t>日9:30截止(北京时间)。</w:t>
            </w:r>
          </w:p>
        </w:tc>
      </w:tr>
      <w:tr w14:paraId="7F4CC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552BDD02">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41</w:t>
            </w:r>
          </w:p>
        </w:tc>
        <w:tc>
          <w:tcPr>
            <w:tcW w:w="1978" w:type="dxa"/>
            <w:vAlign w:val="center"/>
          </w:tcPr>
          <w:p w14:paraId="0ECA6B4C">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开标时间</w:t>
            </w:r>
          </w:p>
          <w:p w14:paraId="068306B9">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评审地点</w:t>
            </w:r>
          </w:p>
        </w:tc>
        <w:tc>
          <w:tcPr>
            <w:tcW w:w="7513" w:type="dxa"/>
            <w:vAlign w:val="center"/>
          </w:tcPr>
          <w:p w14:paraId="6BA59EF4">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开标时间：2025年0</w:t>
            </w:r>
            <w:r>
              <w:rPr>
                <w:rFonts w:hint="eastAsia" w:ascii="宋体" w:hAnsi="宋体" w:cs="宋体"/>
                <w:color w:val="auto"/>
                <w:highlight w:val="none"/>
                <w:lang w:val="en-US" w:eastAsia="zh-CN"/>
              </w:rPr>
              <w:t>2</w:t>
            </w:r>
            <w:r>
              <w:rPr>
                <w:rFonts w:hint="eastAsia" w:ascii="宋体" w:hAnsi="宋体" w:cs="宋体"/>
                <w:color w:val="auto"/>
                <w:highlight w:val="none"/>
              </w:rPr>
              <w:t>月</w:t>
            </w:r>
            <w:r>
              <w:rPr>
                <w:rFonts w:hint="eastAsia" w:ascii="宋体" w:hAnsi="宋体" w:cs="宋体"/>
                <w:color w:val="auto"/>
                <w:highlight w:val="none"/>
                <w:lang w:val="en-US" w:eastAsia="zh-CN"/>
              </w:rPr>
              <w:t>21</w:t>
            </w:r>
            <w:r>
              <w:rPr>
                <w:rFonts w:hint="eastAsia" w:ascii="宋体" w:hAnsi="宋体" w:cs="宋体"/>
                <w:color w:val="auto"/>
                <w:highlight w:val="none"/>
              </w:rPr>
              <w:t>日9:30时(北京时间)</w:t>
            </w:r>
          </w:p>
          <w:p w14:paraId="4BCFD5E0">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评审地点：衢州市公共资源交易龙游县分中心1楼评标室2。</w:t>
            </w:r>
          </w:p>
        </w:tc>
      </w:tr>
      <w:tr w14:paraId="2D3E4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3F7FB472">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42</w:t>
            </w:r>
          </w:p>
        </w:tc>
        <w:tc>
          <w:tcPr>
            <w:tcW w:w="1978" w:type="dxa"/>
            <w:vAlign w:val="center"/>
          </w:tcPr>
          <w:p w14:paraId="213A5EA5">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评审委员会的</w:t>
            </w:r>
          </w:p>
          <w:p w14:paraId="574DA2A0">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组建</w:t>
            </w:r>
          </w:p>
        </w:tc>
        <w:tc>
          <w:tcPr>
            <w:tcW w:w="7513" w:type="dxa"/>
            <w:vAlign w:val="center"/>
          </w:tcPr>
          <w:p w14:paraId="5864C74A">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评审委员会构成：成员为5人及以上单数，其中评审专家不得少于总人数的2/3；评标专家确定方式：采购人代表1名，其余按相关规定从专家库中抽取。</w:t>
            </w:r>
          </w:p>
        </w:tc>
      </w:tr>
      <w:tr w14:paraId="51B96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48914DDA">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43</w:t>
            </w:r>
          </w:p>
        </w:tc>
        <w:tc>
          <w:tcPr>
            <w:tcW w:w="1978" w:type="dxa"/>
            <w:vAlign w:val="center"/>
          </w:tcPr>
          <w:p w14:paraId="09647DF7">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面向中小企业预留情况及小微企业报价扣除标准</w:t>
            </w:r>
          </w:p>
        </w:tc>
        <w:tc>
          <w:tcPr>
            <w:tcW w:w="7513" w:type="dxa"/>
            <w:vAlign w:val="center"/>
          </w:tcPr>
          <w:p w14:paraId="6F411111">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□本项目为专门面向中小企业采购，小微企业不享受价格折扣优惠。</w:t>
            </w:r>
          </w:p>
          <w:p w14:paraId="2E38BD0D">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☑非专门面向中小企业采购项目，小微企业报价给予10%（工程项目为5%)的扣除，用扣除后的价格参与评审。</w:t>
            </w:r>
          </w:p>
        </w:tc>
      </w:tr>
      <w:tr w14:paraId="7059B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5113FBAD">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44</w:t>
            </w:r>
          </w:p>
        </w:tc>
        <w:tc>
          <w:tcPr>
            <w:tcW w:w="1978" w:type="dxa"/>
            <w:vAlign w:val="center"/>
          </w:tcPr>
          <w:p w14:paraId="06AAFC6F">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项目属性、采购标的对应所属行业及行业划分标准</w:t>
            </w:r>
          </w:p>
        </w:tc>
        <w:tc>
          <w:tcPr>
            <w:tcW w:w="7513" w:type="dxa"/>
            <w:vAlign w:val="center"/>
          </w:tcPr>
          <w:p w14:paraId="68A2E6F8">
            <w:pPr>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rPr>
              <w:t>1.项目属性：货物类，采购标的对应所属行业：</w:t>
            </w:r>
            <w:r>
              <w:rPr>
                <w:rFonts w:hint="eastAsia" w:ascii="宋体" w:hAnsi="宋体" w:cs="宋体"/>
                <w:color w:val="auto"/>
                <w:highlight w:val="none"/>
                <w:lang w:bidi="ar"/>
              </w:rPr>
              <w:t>工业。</w:t>
            </w:r>
          </w:p>
          <w:p w14:paraId="4C839E38">
            <w:pPr>
              <w:widowControl/>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2.中小企业行业划分标准：</w:t>
            </w:r>
            <w:r>
              <w:rPr>
                <w:rFonts w:hint="eastAsia" w:ascii="宋体" w:hAnsi="宋体" w:cs="宋体"/>
                <w:color w:val="auto"/>
                <w:highlight w:val="none"/>
                <w:lang w:bidi="ar"/>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90D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3D4C6A98">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45</w:t>
            </w:r>
          </w:p>
        </w:tc>
        <w:tc>
          <w:tcPr>
            <w:tcW w:w="1978" w:type="dxa"/>
            <w:vAlign w:val="center"/>
          </w:tcPr>
          <w:p w14:paraId="37A22E99">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确定中标人</w:t>
            </w:r>
          </w:p>
        </w:tc>
        <w:tc>
          <w:tcPr>
            <w:tcW w:w="7513" w:type="dxa"/>
            <w:vAlign w:val="center"/>
          </w:tcPr>
          <w:p w14:paraId="63E27434">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确定</w:t>
            </w:r>
            <w:r>
              <w:rPr>
                <w:rFonts w:hint="eastAsia" w:ascii="宋体" w:hAnsi="宋体" w:cs="宋体"/>
                <w:color w:val="auto"/>
                <w:highlight w:val="none"/>
              </w:rPr>
              <w:t>1</w:t>
            </w:r>
            <w:r>
              <w:rPr>
                <w:rFonts w:hint="eastAsia" w:ascii="宋体" w:hAnsi="宋体" w:cs="宋体"/>
                <w:color w:val="auto"/>
                <w:highlight w:val="none"/>
                <w:lang w:val="zh-CN"/>
              </w:rPr>
              <w:t>个中标人，中标结果在浙江政府采购网公告，公告期限为 1 个工作日。</w:t>
            </w:r>
          </w:p>
        </w:tc>
      </w:tr>
      <w:tr w14:paraId="4CA97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2D00E21F">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46</w:t>
            </w:r>
          </w:p>
        </w:tc>
        <w:tc>
          <w:tcPr>
            <w:tcW w:w="1978" w:type="dxa"/>
            <w:vAlign w:val="center"/>
          </w:tcPr>
          <w:p w14:paraId="15EF85C6">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投标人信用查询</w:t>
            </w:r>
          </w:p>
        </w:tc>
        <w:tc>
          <w:tcPr>
            <w:tcW w:w="7513" w:type="dxa"/>
            <w:vAlign w:val="center"/>
          </w:tcPr>
          <w:p w14:paraId="20EBB8FD">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1.投标人信用信息查询的查询渠道：“信用中国”(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www.creditchina.gov.cn</w:t>
            </w:r>
            <w:r>
              <w:rPr>
                <w:rFonts w:hint="eastAsia" w:ascii="宋体" w:hAnsi="宋体" w:cs="宋体"/>
                <w:color w:val="auto"/>
                <w:highlight w:val="none"/>
              </w:rPr>
              <w:fldChar w:fldCharType="end"/>
            </w:r>
            <w:r>
              <w:rPr>
                <w:rFonts w:hint="eastAsia" w:ascii="宋体" w:hAnsi="宋体" w:cs="宋体"/>
                <w:color w:val="auto"/>
                <w:highlight w:val="none"/>
              </w:rPr>
              <w:t>)；“中国政府采购网”（http://www.ccgp.gov.cn/）；</w:t>
            </w:r>
          </w:p>
          <w:p w14:paraId="0E2478A6">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2.投标人信用信息查询截止时点：采购公告至本项目投标截止时间前均可。</w:t>
            </w:r>
          </w:p>
          <w:p w14:paraId="28353303">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3.投标人信用信息查询记录和证据留存的具体方式：网页截图打印；</w:t>
            </w:r>
          </w:p>
          <w:p w14:paraId="1BF2CCDA">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投标人，其投标作无效投标处理。</w:t>
            </w:r>
          </w:p>
        </w:tc>
      </w:tr>
      <w:tr w14:paraId="07F472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1D879213">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47</w:t>
            </w:r>
          </w:p>
        </w:tc>
        <w:tc>
          <w:tcPr>
            <w:tcW w:w="1978" w:type="dxa"/>
            <w:vAlign w:val="center"/>
          </w:tcPr>
          <w:p w14:paraId="74FBB41F">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合同备案</w:t>
            </w:r>
          </w:p>
        </w:tc>
        <w:tc>
          <w:tcPr>
            <w:tcW w:w="7513" w:type="dxa"/>
            <w:vAlign w:val="center"/>
          </w:tcPr>
          <w:p w14:paraId="773A0591">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中标人须在中标通知书发出之日起30日内与采购人签订合同。</w:t>
            </w:r>
          </w:p>
        </w:tc>
      </w:tr>
      <w:tr w14:paraId="596A9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47E133F0">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48</w:t>
            </w:r>
          </w:p>
        </w:tc>
        <w:tc>
          <w:tcPr>
            <w:tcW w:w="1978" w:type="dxa"/>
            <w:vAlign w:val="center"/>
          </w:tcPr>
          <w:p w14:paraId="25926225">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纸质响应文件提交</w:t>
            </w:r>
          </w:p>
        </w:tc>
        <w:tc>
          <w:tcPr>
            <w:tcW w:w="7513" w:type="dxa"/>
            <w:vAlign w:val="center"/>
          </w:tcPr>
          <w:p w14:paraId="7BCBE4C1">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1.提交时间：中标人在中标结果公告结束后。</w:t>
            </w:r>
          </w:p>
          <w:p w14:paraId="5813AC9C">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2.邮寄地址：龙游县龙洲街道广和商务楼3楼306室。</w:t>
            </w:r>
          </w:p>
          <w:p w14:paraId="05D1B71D">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3.份数：与电子加密投标文件相一致的纸质投标文件3份，作为存档资料。</w:t>
            </w:r>
          </w:p>
        </w:tc>
      </w:tr>
      <w:tr w14:paraId="55C63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682BDFDA">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49</w:t>
            </w:r>
          </w:p>
        </w:tc>
        <w:tc>
          <w:tcPr>
            <w:tcW w:w="1978" w:type="dxa"/>
            <w:vAlign w:val="center"/>
          </w:tcPr>
          <w:p w14:paraId="7637A5C7">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投标文件的效力</w:t>
            </w:r>
          </w:p>
        </w:tc>
        <w:tc>
          <w:tcPr>
            <w:tcW w:w="7513" w:type="dxa"/>
            <w:vAlign w:val="center"/>
          </w:tcPr>
          <w:p w14:paraId="4FDFBF99">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投标文件的启用顺序：首先是电子投标文件，其次是备份电子投标文件。因网络或者其他问题造成电子投标文件无法正常解密，才能启用备份电子投标文件。备份电子投标文件一旦启用，则电子投标文件失效，不予启用；</w:t>
            </w:r>
          </w:p>
        </w:tc>
      </w:tr>
      <w:tr w14:paraId="54AE8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30502C25">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50</w:t>
            </w:r>
          </w:p>
        </w:tc>
        <w:tc>
          <w:tcPr>
            <w:tcW w:w="1978" w:type="dxa"/>
            <w:vAlign w:val="center"/>
          </w:tcPr>
          <w:p w14:paraId="0EBA646E">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免</w:t>
            </w:r>
            <w:r>
              <w:rPr>
                <w:rFonts w:hint="eastAsia" w:ascii="宋体" w:hAnsi="宋体" w:cs="宋体"/>
                <w:color w:val="auto"/>
                <w:highlight w:val="none"/>
                <w:lang w:val="en-US" w:eastAsia="zh-CN"/>
              </w:rPr>
              <w:t>责</w:t>
            </w:r>
            <w:r>
              <w:rPr>
                <w:rFonts w:hint="eastAsia" w:ascii="宋体" w:hAnsi="宋体" w:cs="宋体"/>
                <w:color w:val="auto"/>
                <w:highlight w:val="none"/>
              </w:rPr>
              <w:t>声明</w:t>
            </w:r>
          </w:p>
        </w:tc>
        <w:tc>
          <w:tcPr>
            <w:tcW w:w="7513" w:type="dxa"/>
            <w:vAlign w:val="center"/>
          </w:tcPr>
          <w:p w14:paraId="1FAB9366">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1.投标人自行承担投标过程中产生的费用。无论何种因素导致采购项目延期开标、废标（流标）、投标人未中标、项目终止采购的，采购人与代理机构均不承担投标人投标费用。</w:t>
            </w:r>
          </w:p>
          <w:p w14:paraId="144275D1">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2.投标人在投标、合同履行过程中必须做好安全保障工作，不因项目实施而危及自身及第三方人员、财产安全。若发生任何安全事故，由中标人自行承担一切责任并赔偿损失。</w:t>
            </w:r>
          </w:p>
        </w:tc>
      </w:tr>
      <w:tr w14:paraId="0FD1B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470507FA">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51</w:t>
            </w:r>
          </w:p>
        </w:tc>
        <w:tc>
          <w:tcPr>
            <w:tcW w:w="1978" w:type="dxa"/>
            <w:vAlign w:val="center"/>
          </w:tcPr>
          <w:p w14:paraId="270FDEBC">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解释权</w:t>
            </w:r>
          </w:p>
        </w:tc>
        <w:tc>
          <w:tcPr>
            <w:tcW w:w="7513" w:type="dxa"/>
            <w:vAlign w:val="center"/>
          </w:tcPr>
          <w:p w14:paraId="26E08EC4">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构成本招标文件的各个组成文件应互为解释，互为说明；如有不明确或不一致，构成合同文件组成内容的，以合同文件约定内容为准；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E090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7C9C6636">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52</w:t>
            </w:r>
          </w:p>
        </w:tc>
        <w:tc>
          <w:tcPr>
            <w:tcW w:w="1978" w:type="dxa"/>
            <w:vAlign w:val="center"/>
          </w:tcPr>
          <w:p w14:paraId="170A20CD">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注意事项</w:t>
            </w:r>
          </w:p>
        </w:tc>
        <w:tc>
          <w:tcPr>
            <w:tcW w:w="7513" w:type="dxa"/>
            <w:vAlign w:val="center"/>
          </w:tcPr>
          <w:p w14:paraId="7A99239F">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1.请务必确保投标文件制作客户端为最新版本，旧版本可能导致投标文件解密失败。</w:t>
            </w:r>
          </w:p>
          <w:p w14:paraId="5FF89215">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2.请务必确保投标文件制作时所用的 CA 锁与投标文件解密时的 CA 锁为同一把，否则可能导致投标文件解密失败。</w:t>
            </w:r>
          </w:p>
        </w:tc>
      </w:tr>
      <w:tr w14:paraId="52988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1C020F2A">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53</w:t>
            </w:r>
          </w:p>
        </w:tc>
        <w:tc>
          <w:tcPr>
            <w:tcW w:w="1978" w:type="dxa"/>
            <w:vAlign w:val="center"/>
          </w:tcPr>
          <w:p w14:paraId="160C8179">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发布网址</w:t>
            </w:r>
          </w:p>
        </w:tc>
        <w:tc>
          <w:tcPr>
            <w:tcW w:w="7513" w:type="dxa"/>
            <w:vAlign w:val="center"/>
          </w:tcPr>
          <w:p w14:paraId="78CFAFCF">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浙江省政府采购网</w:t>
            </w:r>
            <w:r>
              <w:rPr>
                <w:rFonts w:hint="eastAsia" w:ascii="宋体" w:hAnsi="宋体" w:cs="宋体"/>
                <w:color w:val="auto"/>
                <w:highlight w:val="none"/>
              </w:rPr>
              <w:t>（</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highlight w:val="none"/>
              </w:rPr>
              <w:t>http://zfcg.czt.zj.gov.cn/</w:t>
            </w:r>
            <w:r>
              <w:rPr>
                <w:rFonts w:hint="eastAsia" w:ascii="宋体" w:hAnsi="宋体" w:cs="宋体"/>
                <w:color w:val="auto"/>
                <w:highlight w:val="none"/>
              </w:rPr>
              <w:fldChar w:fldCharType="end"/>
            </w:r>
            <w:r>
              <w:rPr>
                <w:rFonts w:hint="eastAsia" w:ascii="宋体" w:hAnsi="宋体" w:cs="宋体"/>
                <w:color w:val="auto"/>
                <w:highlight w:val="none"/>
              </w:rPr>
              <w:t>）。</w:t>
            </w:r>
          </w:p>
        </w:tc>
      </w:tr>
      <w:tr w14:paraId="5070D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3FD41EEE">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54</w:t>
            </w:r>
          </w:p>
        </w:tc>
        <w:tc>
          <w:tcPr>
            <w:tcW w:w="1978" w:type="dxa"/>
            <w:vAlign w:val="center"/>
          </w:tcPr>
          <w:p w14:paraId="47B3588B">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政采贷政策</w:t>
            </w:r>
          </w:p>
        </w:tc>
        <w:tc>
          <w:tcPr>
            <w:tcW w:w="7513" w:type="dxa"/>
            <w:vAlign w:val="center"/>
          </w:tcPr>
          <w:p w14:paraId="46589C4B">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为支持和促进中小企业发展，有需要的中标人可根据需要申请办理政府采购合同贷款（以下简称“政采贷”），具体要求、条件和操作教程可通过政采云首页右上角——网站导航——金融服务查看，也可拨打政采云客服热线95763咨询，或向各地已开通政采贷的银行咨询办理。</w:t>
            </w:r>
          </w:p>
        </w:tc>
      </w:tr>
      <w:tr w14:paraId="215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138B370D">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55</w:t>
            </w:r>
          </w:p>
        </w:tc>
        <w:tc>
          <w:tcPr>
            <w:tcW w:w="1978" w:type="dxa"/>
            <w:vAlign w:val="center"/>
          </w:tcPr>
          <w:p w14:paraId="5ECBB01C">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其他事宜</w:t>
            </w:r>
          </w:p>
        </w:tc>
        <w:tc>
          <w:tcPr>
            <w:tcW w:w="7513" w:type="dxa"/>
            <w:vAlign w:val="center"/>
          </w:tcPr>
          <w:p w14:paraId="472FF977">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投标文件解密时投标人须打开“政采云电子投标客户端”进行解密，使用解密的CA和加密的CA必须是同一把，在开始解密后30分钟内完成电子投标文件解密。若因投标人自身原因造成电子投标文件无法解密读取的，取消投标资格。</w:t>
            </w:r>
          </w:p>
          <w:p w14:paraId="16821529">
            <w:pP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rPr>
              <w:t>2.CA证书办理：CA驱动和申领流程，登录浙江政府采购网-下载专区-政采云电子交易客户端版块（网址：</w:t>
            </w: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highlight w:val="none"/>
              </w:rPr>
              <w:t>http://zfcg.czt.zj.gov.cn/bidClientTemplate/2019-05-27/12945.html</w:t>
            </w:r>
            <w:r>
              <w:rPr>
                <w:rFonts w:hint="eastAsia" w:ascii="宋体" w:hAnsi="宋体" w:cs="宋体"/>
                <w:color w:val="auto"/>
                <w:highlight w:val="none"/>
              </w:rPr>
              <w:fldChar w:fldCharType="end"/>
            </w:r>
            <w:r>
              <w:rPr>
                <w:rFonts w:hint="eastAsia" w:ascii="宋体" w:hAnsi="宋体" w:cs="宋体"/>
                <w:color w:val="auto"/>
                <w:highlight w:val="none"/>
              </w:rPr>
              <w:t>）</w:t>
            </w:r>
            <w:r>
              <w:rPr>
                <w:rFonts w:hint="eastAsia" w:ascii="宋体" w:hAnsi="宋体" w:cs="宋体"/>
                <w:color w:val="auto"/>
                <w:highlight w:val="none"/>
                <w:lang w:val="zh-CN"/>
              </w:rPr>
              <w:t>。潜在投标人应在投标文件提交截止前完成CA数字证书办理，完成CA证书办理预计7天左右，建议潜在投标人抓紧时间办理。因未注册入库、未办理CA数字证书等原因造成无法参加本次采购活动或投标失败等后果由潜在投标人自行承担。</w:t>
            </w:r>
          </w:p>
          <w:p w14:paraId="177291F3">
            <w:pP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3.本项目采购活动全流程实行电子化，在使用系统进行投标的过程中遇到涉及平台使用的任何问题，致电政采云平台技术支持咨询（电话95763）。</w:t>
            </w:r>
          </w:p>
        </w:tc>
      </w:tr>
      <w:bookmarkEnd w:id="283"/>
    </w:tbl>
    <w:p w14:paraId="7569A799">
      <w:pPr>
        <w:pStyle w:val="3"/>
        <w:numPr>
          <w:ilvl w:val="1"/>
          <w:numId w:val="0"/>
        </w:numPr>
        <w:spacing w:beforeLines="0" w:afterLines="0" w:line="288" w:lineRule="auto"/>
        <w:rPr>
          <w:rFonts w:hint="eastAsia" w:ascii="宋体" w:hAnsi="宋体" w:cs="宋体"/>
          <w:color w:val="auto"/>
          <w:highlight w:val="none"/>
        </w:rPr>
      </w:pPr>
      <w:bookmarkStart w:id="284" w:name="_Toc9260"/>
      <w:r>
        <w:rPr>
          <w:rFonts w:hint="eastAsia" w:ascii="宋体" w:hAnsi="宋体" w:cs="宋体"/>
          <w:color w:val="auto"/>
          <w:highlight w:val="none"/>
        </w:rPr>
        <w:t>一、投标须知</w:t>
      </w:r>
      <w:bookmarkEnd w:id="284"/>
    </w:p>
    <w:p w14:paraId="714F94F6">
      <w:pPr>
        <w:numPr>
          <w:ilvl w:val="0"/>
          <w:numId w:val="4"/>
        </w:numP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适用范围</w:t>
      </w:r>
    </w:p>
    <w:p w14:paraId="15128F4A">
      <w:pPr>
        <w:tabs>
          <w:tab w:val="left" w:pos="0"/>
          <w:tab w:val="left" w:pos="900"/>
          <w:tab w:val="left" w:pos="7020"/>
          <w:tab w:val="left" w:pos="846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本招标文件仅适用于本次招标采购项目的招标、投标、评标、定标、验收、合同履约、付款等行为。</w:t>
      </w:r>
    </w:p>
    <w:p w14:paraId="040FCF58">
      <w:pPr>
        <w:numPr>
          <w:ilvl w:val="0"/>
          <w:numId w:val="4"/>
        </w:numP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定义</w:t>
      </w:r>
    </w:p>
    <w:p w14:paraId="6D92250E">
      <w:pPr>
        <w:tabs>
          <w:tab w:val="left" w:pos="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2.1“采购人”系指本次采购货物/服务的购买单位。</w:t>
      </w:r>
    </w:p>
    <w:p w14:paraId="1AA46BDF">
      <w:pPr>
        <w:tabs>
          <w:tab w:val="left" w:pos="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2.2“投标人”系指是指参加政府采购活动，有意愿向采购人提供货物、工程或者服务的法人。</w:t>
      </w:r>
    </w:p>
    <w:p w14:paraId="30CAFF23">
      <w:pPr>
        <w:tabs>
          <w:tab w:val="left" w:pos="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2.3采购代理机构（采购组织机构），是指在采购活动中根据</w:t>
      </w:r>
      <w:r>
        <w:rPr>
          <w:color w:val="auto"/>
          <w:highlight w:val="none"/>
        </w:rPr>
        <w:fldChar w:fldCharType="begin"/>
      </w:r>
      <w:r>
        <w:rPr>
          <w:color w:val="auto"/>
          <w:highlight w:val="none"/>
        </w:rPr>
        <w:instrText xml:space="preserve"> HYPERLINK "http://www.so.com/s?q=%E9%87%87%E8%B4%AD%E4%BA%BA&amp;ie=utf-8&amp;src=internal_wenda_recommend_textn" \t "https://wenda.so.com/q/_blank" </w:instrText>
      </w:r>
      <w:r>
        <w:rPr>
          <w:color w:val="auto"/>
          <w:highlight w:val="none"/>
        </w:rPr>
        <w:fldChar w:fldCharType="separate"/>
      </w:r>
      <w:r>
        <w:rPr>
          <w:rFonts w:hint="eastAsia" w:ascii="宋体" w:hAnsi="宋体" w:cs="宋体"/>
          <w:color w:val="auto"/>
          <w:highlight w:val="none"/>
        </w:rPr>
        <w:t>采购人</w:t>
      </w:r>
      <w:r>
        <w:rPr>
          <w:rFonts w:hint="eastAsia" w:ascii="宋体" w:hAnsi="宋体" w:cs="宋体"/>
          <w:color w:val="auto"/>
          <w:highlight w:val="none"/>
        </w:rPr>
        <w:fldChar w:fldCharType="end"/>
      </w:r>
      <w:r>
        <w:rPr>
          <w:rFonts w:hint="eastAsia" w:ascii="宋体" w:hAnsi="宋体" w:cs="宋体"/>
          <w:color w:val="auto"/>
          <w:highlight w:val="none"/>
        </w:rPr>
        <w:t>的委托代理采购</w:t>
      </w:r>
      <w:r>
        <w:rPr>
          <w:color w:val="auto"/>
          <w:highlight w:val="none"/>
        </w:rPr>
        <w:fldChar w:fldCharType="begin"/>
      </w:r>
      <w:r>
        <w:rPr>
          <w:color w:val="auto"/>
          <w:highlight w:val="none"/>
        </w:rPr>
        <w:instrText xml:space="preserve"> HYPERLINK "http://www.so.com/s?q=%E4%BA%8B%E5%AE%9C&amp;ie=utf-8&amp;src=internal_wenda_recommend_textn" \t "https://wenda.so.com/q/_blank" </w:instrText>
      </w:r>
      <w:r>
        <w:rPr>
          <w:color w:val="auto"/>
          <w:highlight w:val="none"/>
        </w:rPr>
        <w:fldChar w:fldCharType="separate"/>
      </w:r>
      <w:r>
        <w:rPr>
          <w:rFonts w:hint="eastAsia" w:ascii="宋体" w:hAnsi="宋体" w:cs="宋体"/>
          <w:color w:val="auto"/>
          <w:highlight w:val="none"/>
        </w:rPr>
        <w:t>事宜</w:t>
      </w:r>
      <w:r>
        <w:rPr>
          <w:rFonts w:hint="eastAsia" w:ascii="宋体" w:hAnsi="宋体" w:cs="宋体"/>
          <w:color w:val="auto"/>
          <w:highlight w:val="none"/>
        </w:rPr>
        <w:fldChar w:fldCharType="end"/>
      </w:r>
      <w:r>
        <w:rPr>
          <w:rFonts w:hint="eastAsia" w:ascii="宋体" w:hAnsi="宋体" w:cs="宋体"/>
          <w:color w:val="auto"/>
          <w:highlight w:val="none"/>
        </w:rPr>
        <w:t>的机构。</w:t>
      </w:r>
    </w:p>
    <w:p w14:paraId="76AAB33C">
      <w:pPr>
        <w:tabs>
          <w:tab w:val="left" w:pos="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2.4原件，是指原始件（即：资料生成时的原始形态，包括所加盖的印章、相关人员的签字笔迹等均是原始印痕、印迹和行迹）。</w:t>
      </w:r>
    </w:p>
    <w:p w14:paraId="0DAAF69E">
      <w:pPr>
        <w:tabs>
          <w:tab w:val="left" w:pos="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2.5书面形式，包括文字的打印或扫描件、传真、信函、电传、电报、电子邮件、</w:t>
      </w:r>
      <w:r>
        <w:rPr>
          <w:rFonts w:hint="eastAsia" w:ascii="宋体" w:hAnsi="宋体" w:cs="宋体"/>
          <w:color w:val="auto"/>
          <w:highlight w:val="none"/>
          <w:lang w:val="zh-CN"/>
        </w:rPr>
        <w:t>浙江政府采购网</w:t>
      </w:r>
      <w:r>
        <w:rPr>
          <w:rFonts w:hint="eastAsia" w:ascii="宋体" w:hAnsi="宋体" w:cs="宋体"/>
          <w:color w:val="auto"/>
          <w:highlight w:val="none"/>
        </w:rPr>
        <w:t>发布的公告等可以有形地表现所载内容的形式。</w:t>
      </w:r>
    </w:p>
    <w:p w14:paraId="72C3BB93">
      <w:pPr>
        <w:tabs>
          <w:tab w:val="left" w:pos="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2.6投标人公章，是指投标人用自己法定主体行为名称制作的签名印章。不得使用专用章（如经济合同章、投标专用章、业务专用章等）或下属单位印章代替。</w:t>
      </w:r>
    </w:p>
    <w:p w14:paraId="59FFEEBC">
      <w:pPr>
        <w:tabs>
          <w:tab w:val="left" w:pos="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2.7“▲”是投标人按本招标文件要求必须实质性响应的条款，有任何一项缺失或非实质性响应将取消其投标资格。</w:t>
      </w:r>
    </w:p>
    <w:p w14:paraId="4A7697B6">
      <w:pPr>
        <w:numPr>
          <w:ilvl w:val="0"/>
          <w:numId w:val="4"/>
        </w:numP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投标费用</w:t>
      </w:r>
    </w:p>
    <w:p w14:paraId="42A6ECCC">
      <w:pPr>
        <w:tabs>
          <w:tab w:val="left" w:pos="0"/>
          <w:tab w:val="left" w:pos="900"/>
          <w:tab w:val="left" w:pos="7020"/>
          <w:tab w:val="left" w:pos="846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不论投标结果如何，投标人均应自行承担所有与投标有关的全部费用。</w:t>
      </w:r>
    </w:p>
    <w:p w14:paraId="18D7131F">
      <w:pPr>
        <w:numPr>
          <w:ilvl w:val="0"/>
          <w:numId w:val="4"/>
        </w:numP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采购方式</w:t>
      </w:r>
    </w:p>
    <w:p w14:paraId="0E054AE8">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4.1采购组织形式分散采购委托代理。</w:t>
      </w:r>
    </w:p>
    <w:p w14:paraId="7C17540F">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4.2采用公开招标采购方式。</w:t>
      </w:r>
    </w:p>
    <w:p w14:paraId="2600C2FB">
      <w:pPr>
        <w:numPr>
          <w:ilvl w:val="0"/>
          <w:numId w:val="4"/>
        </w:numP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落实政府采购政府需满足的要求</w:t>
      </w:r>
    </w:p>
    <w:p w14:paraId="0644D0A8">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5.1小微企业</w:t>
      </w:r>
    </w:p>
    <w:p w14:paraId="19057CB9">
      <w:pPr>
        <w:pStyle w:val="36"/>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5.1.1可享受中小企业扶持政策的条件</w:t>
      </w:r>
    </w:p>
    <w:p w14:paraId="028E87D3">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依照财政部工业和信息化部《政府采购促进中小企业发展管理办法》（财库(2020）46号)规定，中型、小型和微型企业参加政府采购活动的须提供《中小企业声明函》（格式见附件），否则不得享受相关中小企业扶持政策。</w:t>
      </w:r>
    </w:p>
    <w:p w14:paraId="30FD4920">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(1)在货物采购项目中，货物应当由中小企业制造，不对其中涉及的服务的承接商作出要求。货物由中小企业生产且使用该中小企业商号或者注册商标投标人 提供的货物既有中小企业制造货物，也有大型企业制造货物的，不享受本办法规定的中小企业扶持政策。</w:t>
      </w:r>
    </w:p>
    <w:p w14:paraId="7FEB0F30">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(2)在工程采购项目中，工程应当由中小企业承建，不对其中涉及的货物的制造商和服务的承接商作出要求。</w:t>
      </w:r>
    </w:p>
    <w:p w14:paraId="77B2AEFA">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(3)在服务采购项目中，服务的承接商应当为中小企业，不对其中涉及的货物的制造商作出要求。</w:t>
      </w:r>
    </w:p>
    <w:p w14:paraId="1CEFA77B">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5.1.2中小企业划型标准</w:t>
      </w:r>
    </w:p>
    <w:p w14:paraId="30F8DA7F">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中小企业，是指在中华人民共和国境内依法设立，依据《关于印发中小企业划型标准规定的通知》（工信部联企业(2011）300号)确定的中型企业、小型企业和微型企业，但与大企业的负责人为同一人，或者与大企业存在直接控股、管理关系的除外。</w:t>
      </w:r>
    </w:p>
    <w:p w14:paraId="55E3188C">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0431879B">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5.1.3中小企业行业划分标准和对应所属行业</w:t>
      </w:r>
    </w:p>
    <w:p w14:paraId="7B2C097D">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详见投标人须知前附表。</w:t>
      </w:r>
    </w:p>
    <w:p w14:paraId="63750BDA">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5.1.4不可享受中小企业扶持政策的情形</w:t>
      </w:r>
    </w:p>
    <w:p w14:paraId="1C548563">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1)监狱企业、残疾人福利性单位属于小型微型企业的，不重复享受小微企业优惠政策。</w:t>
      </w:r>
    </w:p>
    <w:p w14:paraId="718DDC9C">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2)事业单位和社会组织不属于企业。参加货物采购项目，其提供的货物属于中小企业制造的，可以享受该办法规定的中小企业扶持政策。参加工程、服务采购项目不享受小微企业扶持政策。</w:t>
      </w:r>
    </w:p>
    <w:p w14:paraId="6A554EF8">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5.2监狱企业</w:t>
      </w:r>
    </w:p>
    <w:p w14:paraId="65C37B80">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（1）根据财政部、司法部《关于政府采购支持监狱企业发展有关问题的通知》(财库〔2014〕68号)文件精神,监狱企业视同小微企业。</w:t>
      </w:r>
    </w:p>
    <w:p w14:paraId="1765BD90">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（2）监狱企业应当提供《监狱企业声明函》及由省级以上监狱管理局、戒毒管理局(含新疆生产建设兵团)出具的属于监狱企业的证明文件,否则不予认可。</w:t>
      </w:r>
    </w:p>
    <w:p w14:paraId="3525EB8B">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5.3 残疾人福利性单位</w:t>
      </w:r>
    </w:p>
    <w:p w14:paraId="0ACA101C">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（1）根据财政部 民政部 中国残疾人联合会《关于促进残疾人就业政府采购政策的通知》(财库〔2017〕141号)文件精神,残疾人福利性单位视同小微企业。</w:t>
      </w:r>
    </w:p>
    <w:p w14:paraId="04D8C922">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（2）残疾人福利性单位应当提供《残疾人福利性单位声明函》,否则不予认可。</w:t>
      </w:r>
    </w:p>
    <w:p w14:paraId="0BA8D15B">
      <w:pPr>
        <w:numPr>
          <w:ilvl w:val="0"/>
          <w:numId w:val="4"/>
        </w:numP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联合体投标</w:t>
      </w:r>
    </w:p>
    <w:p w14:paraId="667445C8">
      <w:pPr>
        <w:adjustRightInd w:val="0"/>
        <w:snapToGrid w:val="0"/>
        <w:spacing w:line="312" w:lineRule="auto"/>
        <w:ind w:firstLine="480"/>
        <w:jc w:val="left"/>
        <w:rPr>
          <w:rFonts w:hint="eastAsia" w:ascii="宋体" w:hAnsi="宋体" w:cs="宋体"/>
          <w:color w:val="auto"/>
          <w:kern w:val="0"/>
          <w:highlight w:val="none"/>
        </w:rPr>
      </w:pPr>
      <w:r>
        <w:rPr>
          <w:rFonts w:hint="eastAsia" w:ascii="宋体" w:hAnsi="宋体" w:cs="宋体"/>
          <w:color w:val="auto"/>
          <w:kern w:val="0"/>
          <w:highlight w:val="none"/>
        </w:rPr>
        <w:t>本项目不接受联合体投标。</w:t>
      </w:r>
    </w:p>
    <w:p w14:paraId="15A5EC91">
      <w:pPr>
        <w:numPr>
          <w:ilvl w:val="0"/>
          <w:numId w:val="4"/>
        </w:numPr>
        <w:tabs>
          <w:tab w:val="left" w:pos="0"/>
        </w:tabs>
        <w:adjustRightInd w:val="0"/>
        <w:snapToGrid w:val="0"/>
        <w:spacing w:line="312" w:lineRule="auto"/>
        <w:ind w:firstLine="482"/>
        <w:rPr>
          <w:rFonts w:hint="eastAsia" w:ascii="宋体" w:hAnsi="宋体" w:cs="宋体"/>
          <w:color w:val="auto"/>
          <w:kern w:val="0"/>
          <w:highlight w:val="none"/>
        </w:rPr>
      </w:pPr>
      <w:r>
        <w:rPr>
          <w:rFonts w:hint="eastAsia" w:ascii="宋体" w:hAnsi="宋体" w:cs="宋体"/>
          <w:b/>
          <w:bCs/>
          <w:color w:val="auto"/>
          <w:highlight w:val="none"/>
        </w:rPr>
        <w:t>转包与分包</w:t>
      </w:r>
    </w:p>
    <w:p w14:paraId="1971212A">
      <w:pPr>
        <w:widowControl/>
        <w:spacing w:line="240" w:lineRule="auto"/>
        <w:ind w:firstLine="480" w:firstLineChars="0"/>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中标人</w:t>
      </w:r>
      <w:r>
        <w:rPr>
          <w:rFonts w:ascii="宋体" w:hAnsi="宋体" w:cs="宋体"/>
          <w:color w:val="auto"/>
          <w:kern w:val="0"/>
          <w:highlight w:val="none"/>
          <w:lang w:bidi="ar"/>
        </w:rPr>
        <w:t>不得将本项目转包。如发生转包的违法行为，</w:t>
      </w:r>
      <w:r>
        <w:rPr>
          <w:rFonts w:hint="eastAsia" w:ascii="宋体" w:hAnsi="宋体" w:cs="宋体"/>
          <w:color w:val="auto"/>
          <w:kern w:val="0"/>
          <w:highlight w:val="none"/>
          <w:lang w:bidi="ar"/>
        </w:rPr>
        <w:t>采购人</w:t>
      </w:r>
      <w:r>
        <w:rPr>
          <w:rFonts w:ascii="宋体" w:hAnsi="宋体" w:cs="宋体"/>
          <w:color w:val="auto"/>
          <w:kern w:val="0"/>
          <w:highlight w:val="none"/>
          <w:lang w:bidi="ar"/>
        </w:rPr>
        <w:t>有权终止设计合同，由此所发生的一切损失均由</w:t>
      </w:r>
      <w:r>
        <w:rPr>
          <w:rFonts w:hint="eastAsia" w:ascii="宋体" w:hAnsi="宋体" w:cs="宋体"/>
          <w:color w:val="auto"/>
          <w:kern w:val="0"/>
          <w:highlight w:val="none"/>
          <w:lang w:bidi="ar"/>
        </w:rPr>
        <w:t>中标人</w:t>
      </w:r>
      <w:r>
        <w:rPr>
          <w:rFonts w:ascii="宋体" w:hAnsi="宋体" w:cs="宋体"/>
          <w:color w:val="auto"/>
          <w:kern w:val="0"/>
          <w:highlight w:val="none"/>
          <w:lang w:bidi="ar"/>
        </w:rPr>
        <w:t>承担。当</w:t>
      </w:r>
      <w:r>
        <w:rPr>
          <w:rFonts w:hint="eastAsia" w:ascii="宋体" w:hAnsi="宋体" w:cs="宋体"/>
          <w:color w:val="auto"/>
          <w:kern w:val="0"/>
          <w:highlight w:val="none"/>
          <w:lang w:bidi="ar"/>
        </w:rPr>
        <w:t>项目</w:t>
      </w:r>
      <w:r>
        <w:rPr>
          <w:rFonts w:ascii="宋体" w:hAnsi="宋体" w:cs="宋体"/>
          <w:color w:val="auto"/>
          <w:kern w:val="0"/>
          <w:highlight w:val="none"/>
          <w:lang w:bidi="ar"/>
        </w:rPr>
        <w:t>涉及专业设计时，如</w:t>
      </w:r>
      <w:r>
        <w:rPr>
          <w:rFonts w:hint="eastAsia" w:ascii="宋体" w:hAnsi="宋体" w:cs="宋体"/>
          <w:color w:val="auto"/>
          <w:kern w:val="0"/>
          <w:highlight w:val="none"/>
          <w:lang w:bidi="ar"/>
        </w:rPr>
        <w:t>中标人</w:t>
      </w:r>
      <w:r>
        <w:rPr>
          <w:rFonts w:ascii="宋体" w:hAnsi="宋体" w:cs="宋体"/>
          <w:color w:val="auto"/>
          <w:kern w:val="0"/>
          <w:highlight w:val="none"/>
          <w:lang w:bidi="ar"/>
        </w:rPr>
        <w:t>无相应资质或其他技术原因不能自行设计时，由</w:t>
      </w:r>
      <w:r>
        <w:rPr>
          <w:rFonts w:hint="eastAsia" w:ascii="宋体" w:hAnsi="宋体" w:cs="宋体"/>
          <w:color w:val="auto"/>
          <w:kern w:val="0"/>
          <w:highlight w:val="none"/>
          <w:lang w:bidi="ar"/>
        </w:rPr>
        <w:t>中标人</w:t>
      </w:r>
      <w:r>
        <w:rPr>
          <w:rFonts w:ascii="宋体" w:hAnsi="宋体" w:cs="宋体"/>
          <w:color w:val="auto"/>
          <w:kern w:val="0"/>
          <w:highlight w:val="none"/>
          <w:lang w:bidi="ar"/>
        </w:rPr>
        <w:t>选择分包单位并经甲方同意后实施，专业工程分包经</w:t>
      </w:r>
      <w:r>
        <w:rPr>
          <w:rFonts w:hint="eastAsia" w:ascii="宋体" w:hAnsi="宋体" w:cs="宋体"/>
          <w:color w:val="auto"/>
          <w:kern w:val="0"/>
          <w:highlight w:val="none"/>
          <w:lang w:bidi="ar"/>
        </w:rPr>
        <w:t>采购人</w:t>
      </w:r>
      <w:r>
        <w:rPr>
          <w:rFonts w:ascii="宋体" w:hAnsi="宋体" w:cs="宋体"/>
          <w:color w:val="auto"/>
          <w:kern w:val="0"/>
          <w:highlight w:val="none"/>
          <w:lang w:bidi="ar"/>
        </w:rPr>
        <w:t>同意后必须委托有资质的单位承包，否则</w:t>
      </w:r>
      <w:r>
        <w:rPr>
          <w:rFonts w:hint="eastAsia" w:ascii="宋体" w:hAnsi="宋体" w:cs="宋体"/>
          <w:color w:val="auto"/>
          <w:kern w:val="0"/>
          <w:highlight w:val="none"/>
          <w:lang w:bidi="ar"/>
        </w:rPr>
        <w:t>采购人</w:t>
      </w:r>
      <w:r>
        <w:rPr>
          <w:rFonts w:ascii="宋体" w:hAnsi="宋体" w:cs="宋体"/>
          <w:color w:val="auto"/>
          <w:kern w:val="0"/>
          <w:highlight w:val="none"/>
          <w:lang w:bidi="ar"/>
        </w:rPr>
        <w:t>有权终止设计合同，由此所发生的一切损失均由</w:t>
      </w:r>
      <w:r>
        <w:rPr>
          <w:rFonts w:hint="eastAsia" w:ascii="宋体" w:hAnsi="宋体" w:cs="宋体"/>
          <w:color w:val="auto"/>
          <w:kern w:val="0"/>
          <w:highlight w:val="none"/>
          <w:lang w:bidi="ar"/>
        </w:rPr>
        <w:t>中标人</w:t>
      </w:r>
      <w:r>
        <w:rPr>
          <w:rFonts w:ascii="宋体" w:hAnsi="宋体" w:cs="宋体"/>
          <w:color w:val="auto"/>
          <w:kern w:val="0"/>
          <w:highlight w:val="none"/>
          <w:lang w:bidi="ar"/>
        </w:rPr>
        <w:t>承担。</w:t>
      </w:r>
    </w:p>
    <w:p w14:paraId="2411FB5C">
      <w:pPr>
        <w:numPr>
          <w:ilvl w:val="0"/>
          <w:numId w:val="4"/>
        </w:numP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▲特别说明：</w:t>
      </w:r>
    </w:p>
    <w:p w14:paraId="60E4CD9D">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8.1投标人投标所使用的资格、信誉、荣誉、业绩与企业认证必须为本法人所拥有。</w:t>
      </w:r>
    </w:p>
    <w:p w14:paraId="44B0EE08">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8.2投标人应仔细阅读招标文件的所有内容，按照招标文件的要求提交投标文件，并对所提供的全部资料的真实性承担法律责任。</w:t>
      </w:r>
    </w:p>
    <w:p w14:paraId="52A87542">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8.3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3A74257">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8.4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62A8C384">
      <w:pPr>
        <w:adjustRightInd w:val="0"/>
        <w:snapToGrid w:val="0"/>
        <w:spacing w:line="312" w:lineRule="auto"/>
        <w:ind w:firstLine="480"/>
        <w:rPr>
          <w:rFonts w:hint="eastAsia" w:ascii="宋体" w:hAnsi="宋体" w:cs="宋体"/>
          <w:color w:val="auto"/>
          <w:highlight w:val="none"/>
        </w:rPr>
      </w:pPr>
      <w:bookmarkStart w:id="285" w:name="_Toc32349"/>
      <w:r>
        <w:rPr>
          <w:rFonts w:hint="eastAsia" w:ascii="宋体" w:hAnsi="宋体" w:cs="宋体"/>
          <w:color w:val="auto"/>
          <w:highlight w:val="none"/>
        </w:rPr>
        <w:t>8.5政府采购货物和服务招标投标管理办法（财政部令第87号）第31条规定：使用综合评分法的采购项目，提供相同品牌产品且通过资格审查、符合性审查的不同供应商参加同一合同项下投标的，按一家供应商计算，评审后得分最高的同品牌供应商获得中标供应商推荐资格；评审得分相同的采取随机抽取方式确定，其他同品牌供应商不作为中标候选人。</w:t>
      </w:r>
    </w:p>
    <w:p w14:paraId="7F619CD4">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8.6.非单一产品采购项目，招标文件中确定核心产品。多家供应商提供的核心产品品牌全部相同的，按前款规定处理。</w:t>
      </w:r>
    </w:p>
    <w:p w14:paraId="5ECA7736">
      <w:pPr>
        <w:pStyle w:val="3"/>
        <w:numPr>
          <w:ilvl w:val="1"/>
          <w:numId w:val="0"/>
        </w:numPr>
        <w:spacing w:beforeLines="0" w:afterLines="0" w:line="288" w:lineRule="auto"/>
        <w:rPr>
          <w:rFonts w:hint="eastAsia" w:ascii="宋体" w:hAnsi="宋体" w:cs="宋体"/>
          <w:color w:val="auto"/>
          <w:highlight w:val="none"/>
        </w:rPr>
      </w:pPr>
      <w:r>
        <w:rPr>
          <w:rFonts w:hint="eastAsia" w:ascii="宋体" w:hAnsi="宋体" w:cs="宋体"/>
          <w:color w:val="auto"/>
          <w:highlight w:val="none"/>
        </w:rPr>
        <w:t>二、招标文件说明</w:t>
      </w:r>
      <w:bookmarkEnd w:id="285"/>
    </w:p>
    <w:p w14:paraId="184C38BF">
      <w:pPr>
        <w:numPr>
          <w:ilvl w:val="0"/>
          <w:numId w:val="4"/>
        </w:numP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招标文件的组成</w:t>
      </w:r>
    </w:p>
    <w:p w14:paraId="3F29C0F7">
      <w:pPr>
        <w:numPr>
          <w:ilvl w:val="2"/>
          <w:numId w:val="5"/>
        </w:numPr>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 xml:space="preserve"> 招标公告</w:t>
      </w:r>
    </w:p>
    <w:p w14:paraId="3FDCABCE">
      <w:pPr>
        <w:numPr>
          <w:ilvl w:val="2"/>
          <w:numId w:val="5"/>
        </w:numPr>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 xml:space="preserve"> 投标须知前附表及投标须知</w:t>
      </w:r>
    </w:p>
    <w:p w14:paraId="0FB7E324">
      <w:pPr>
        <w:numPr>
          <w:ilvl w:val="2"/>
          <w:numId w:val="5"/>
        </w:numPr>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 xml:space="preserve"> 采购内容及要求</w:t>
      </w:r>
    </w:p>
    <w:p w14:paraId="1C91A5BC">
      <w:pPr>
        <w:numPr>
          <w:ilvl w:val="2"/>
          <w:numId w:val="5"/>
        </w:numPr>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 xml:space="preserve"> 合同的主要条款</w:t>
      </w:r>
    </w:p>
    <w:p w14:paraId="1A8FE5FB">
      <w:pPr>
        <w:numPr>
          <w:ilvl w:val="2"/>
          <w:numId w:val="5"/>
        </w:numPr>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 xml:space="preserve"> 应提交的有关格式范例</w:t>
      </w:r>
    </w:p>
    <w:p w14:paraId="1D768901">
      <w:pPr>
        <w:numPr>
          <w:ilvl w:val="2"/>
          <w:numId w:val="5"/>
        </w:numPr>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 xml:space="preserve"> 评标办法及开评标程序</w:t>
      </w:r>
    </w:p>
    <w:p w14:paraId="6772B564">
      <w:pPr>
        <w:numPr>
          <w:ilvl w:val="0"/>
          <w:numId w:val="4"/>
        </w:numP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招标文件的澄清及修改</w:t>
      </w:r>
    </w:p>
    <w:p w14:paraId="36A5A8DA">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10.1任何要求对招标文件进行澄清的投标人，均应按招标公告中规定的时间和通讯地址，以书面形式（如信件、传真等）送达采购人及采购代理机构，在规定时间内未收到质疑则视为各投标人均对此无异议。采购人及采购代理机构对规定时间前收到的任何质疑将在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48"/>
          <w:rFonts w:hint="eastAsia" w:ascii="宋体" w:hAnsi="宋体" w:cs="宋体"/>
          <w:color w:val="auto"/>
          <w:highlight w:val="none"/>
        </w:rPr>
        <w:t>http://zfcg.czt.zj.gov.cn/</w:t>
      </w:r>
      <w:r>
        <w:rPr>
          <w:rStyle w:val="48"/>
          <w:rFonts w:hint="eastAsia" w:ascii="宋体" w:hAnsi="宋体" w:cs="宋体"/>
          <w:color w:val="auto"/>
          <w:highlight w:val="none"/>
        </w:rPr>
        <w:fldChar w:fldCharType="end"/>
      </w:r>
      <w:r>
        <w:rPr>
          <w:rFonts w:hint="eastAsia" w:ascii="宋体" w:hAnsi="宋体" w:cs="宋体"/>
          <w:color w:val="auto"/>
          <w:highlight w:val="none"/>
        </w:rPr>
        <w:t>）公布澄清，投标人自行到网上查看。无论是采购人根据需要主动对招标文件进行必要的修改或是根据投标人的要求对招标文件作出答复（答复中不包括问题的来源），并视为本招标文件的组成部分。</w:t>
      </w:r>
    </w:p>
    <w:p w14:paraId="0C4B7FC7">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10.2因其他紧急情况影响本项目正常招标活动的，招标组织人将于投标截止日期5天前书面通知所有已获取的投标人。</w:t>
      </w:r>
    </w:p>
    <w:p w14:paraId="47719AD5">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10.3不论采购人向投标人发送的资料文件，还是投标人提出的问题，均通过浙江政府采购网（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48"/>
          <w:rFonts w:hint="eastAsia" w:ascii="宋体" w:hAnsi="宋体" w:cs="宋体"/>
          <w:color w:val="auto"/>
          <w:highlight w:val="none"/>
        </w:rPr>
        <w:t>http://zfcg.czt.zj.gov.cn/</w:t>
      </w:r>
      <w:r>
        <w:rPr>
          <w:rStyle w:val="48"/>
          <w:rFonts w:hint="eastAsia" w:ascii="宋体" w:hAnsi="宋体" w:cs="宋体"/>
          <w:color w:val="auto"/>
          <w:highlight w:val="none"/>
        </w:rPr>
        <w:fldChar w:fldCharType="end"/>
      </w:r>
      <w:r>
        <w:rPr>
          <w:rFonts w:hint="eastAsia" w:ascii="宋体" w:hAnsi="宋体" w:cs="宋体"/>
          <w:color w:val="auto"/>
          <w:highlight w:val="none"/>
        </w:rPr>
        <w:t>）发布，任何口头提问及答复一律无效。</w:t>
      </w:r>
    </w:p>
    <w:p w14:paraId="6C4DB74A">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10.4当招标文件、澄清（答疑）纪要内容相互矛盾时，以最后发出的通知（或纪要）或修改文件为准。</w:t>
      </w:r>
    </w:p>
    <w:p w14:paraId="7C7D90E2">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10.5若有必要，采购人将酌情延长递交投标文件的截止日期。</w:t>
      </w:r>
    </w:p>
    <w:p w14:paraId="782C29CE">
      <w:pPr>
        <w:pStyle w:val="3"/>
        <w:numPr>
          <w:ilvl w:val="1"/>
          <w:numId w:val="0"/>
        </w:numPr>
        <w:spacing w:beforeLines="0" w:afterLines="0" w:line="288" w:lineRule="auto"/>
        <w:rPr>
          <w:rFonts w:hint="eastAsia" w:ascii="宋体" w:hAnsi="宋体" w:cs="宋体"/>
          <w:color w:val="auto"/>
          <w:highlight w:val="none"/>
        </w:rPr>
      </w:pPr>
      <w:bookmarkStart w:id="286" w:name="_Toc29383"/>
      <w:r>
        <w:rPr>
          <w:rFonts w:hint="eastAsia" w:ascii="宋体" w:hAnsi="宋体" w:cs="宋体"/>
          <w:color w:val="auto"/>
          <w:highlight w:val="none"/>
        </w:rPr>
        <w:t>三、投标文件</w:t>
      </w:r>
      <w:bookmarkEnd w:id="286"/>
    </w:p>
    <w:p w14:paraId="514CBFD7">
      <w:pPr>
        <w:numPr>
          <w:ilvl w:val="0"/>
          <w:numId w:val="4"/>
        </w:numP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投标文件</w:t>
      </w:r>
    </w:p>
    <w:p w14:paraId="08688CA0">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zh-CN"/>
        </w:rPr>
        <w:t>1.1</w:t>
      </w:r>
      <w:r>
        <w:rPr>
          <w:rFonts w:hint="eastAsia" w:ascii="宋体" w:hAnsi="宋体" w:cs="宋体"/>
          <w:color w:val="auto"/>
          <w:highlight w:val="none"/>
        </w:rPr>
        <w:t>投标人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微小差异。</w:t>
      </w:r>
    </w:p>
    <w:p w14:paraId="2DE790B8">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zh-CN"/>
        </w:rPr>
        <w:t>1.2</w:t>
      </w:r>
      <w:r>
        <w:rPr>
          <w:rFonts w:hint="eastAsia" w:ascii="宋体" w:hAnsi="宋体" w:cs="宋体"/>
          <w:color w:val="auto"/>
          <w:highlight w:val="none"/>
        </w:rPr>
        <w:t>投标人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7A7BE55">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zh-CN"/>
        </w:rPr>
        <w:t>1.3投标人应仔细阅读招标文件中的所有内容，按照招标文件要求，详细编制投标文件，所有文件资料必须是针对本次投标。不按招标文件的要求提供的投标文件可能导致被拒绝。</w:t>
      </w:r>
    </w:p>
    <w:p w14:paraId="693D9466">
      <w:pPr>
        <w:numPr>
          <w:ilvl w:val="0"/>
          <w:numId w:val="4"/>
        </w:numPr>
        <w:tabs>
          <w:tab w:val="left" w:pos="0"/>
        </w:tabs>
        <w:adjustRightInd w:val="0"/>
        <w:snapToGrid w:val="0"/>
        <w:spacing w:line="312" w:lineRule="auto"/>
        <w:ind w:left="0" w:firstLine="482"/>
        <w:jc w:val="left"/>
        <w:rPr>
          <w:rFonts w:hint="eastAsia" w:ascii="宋体" w:hAnsi="宋体" w:cs="宋体"/>
          <w:b/>
          <w:bCs/>
          <w:color w:val="auto"/>
          <w:highlight w:val="none"/>
        </w:rPr>
      </w:pPr>
      <w:r>
        <w:rPr>
          <w:rFonts w:ascii="宋体" w:hAnsi="宋体" w:cs="宋体"/>
          <w:b/>
          <w:bCs/>
          <w:color w:val="auto"/>
          <w:highlight w:val="none"/>
        </w:rPr>
        <w:t xml:space="preserve">投标文件的组成  </w:t>
      </w:r>
    </w:p>
    <w:p w14:paraId="7A72FEDE">
      <w:pPr>
        <w:adjustRightInd w:val="0"/>
        <w:snapToGrid w:val="0"/>
        <w:spacing w:line="312" w:lineRule="auto"/>
        <w:ind w:firstLine="482"/>
        <w:rPr>
          <w:rFonts w:hint="eastAsia" w:ascii="宋体" w:hAnsi="宋体" w:cs="宋体"/>
          <w:b/>
          <w:color w:val="auto"/>
          <w:highlight w:val="none"/>
          <w:lang w:val="zh-CN"/>
        </w:rPr>
      </w:pPr>
      <w:r>
        <w:rPr>
          <w:rFonts w:hint="eastAsia" w:ascii="宋体" w:hAnsi="宋体" w:cs="宋体"/>
          <w:b/>
          <w:color w:val="auto"/>
          <w:highlight w:val="none"/>
          <w:u w:val="single"/>
        </w:rPr>
        <w:t>投标文件应当包括以下主要内容：资格文件、报价文件、资信商务技术文件。资格文件、资信商务技术文件不得含报价，否则投标将被拒绝。</w:t>
      </w:r>
    </w:p>
    <w:p w14:paraId="28A8877B">
      <w:pPr>
        <w:adjustRightInd w:val="0"/>
        <w:snapToGrid w:val="0"/>
        <w:spacing w:line="312" w:lineRule="auto"/>
        <w:ind w:firstLine="482"/>
        <w:outlineLvl w:val="2"/>
        <w:rPr>
          <w:rFonts w:hint="eastAsia" w:ascii="宋体" w:hAnsi="宋体" w:cs="宋体"/>
          <w:b/>
          <w:color w:val="auto"/>
          <w:highlight w:val="none"/>
          <w:u w:val="single"/>
        </w:rPr>
      </w:pPr>
      <w:r>
        <w:rPr>
          <w:rFonts w:hint="eastAsia" w:ascii="宋体" w:hAnsi="宋体" w:cs="宋体"/>
          <w:b/>
          <w:color w:val="auto"/>
          <w:highlight w:val="none"/>
        </w:rPr>
        <w:t xml:space="preserve">12.1 </w:t>
      </w:r>
      <w:r>
        <w:rPr>
          <w:rFonts w:hint="eastAsia" w:ascii="宋体" w:hAnsi="宋体" w:cs="宋体"/>
          <w:color w:val="auto"/>
          <w:highlight w:val="none"/>
        </w:rPr>
        <w:t>▲</w:t>
      </w:r>
      <w:r>
        <w:rPr>
          <w:rFonts w:hint="eastAsia" w:ascii="宋体" w:hAnsi="宋体" w:cs="宋体"/>
          <w:b/>
          <w:color w:val="auto"/>
          <w:highlight w:val="none"/>
          <w:u w:val="single"/>
        </w:rPr>
        <w:t>资格文件组成</w:t>
      </w:r>
    </w:p>
    <w:p w14:paraId="646244D6">
      <w:pPr>
        <w:numPr>
          <w:ilvl w:val="255"/>
          <w:numId w:val="0"/>
        </w:numPr>
        <w:adjustRightInd w:val="0"/>
        <w:snapToGrid w:val="0"/>
        <w:spacing w:line="312" w:lineRule="auto"/>
        <w:ind w:firstLine="480" w:firstLineChars="200"/>
        <w:textAlignment w:val="bottom"/>
        <w:rPr>
          <w:rFonts w:hint="eastAsia" w:ascii="宋体" w:hAnsi="宋体" w:cs="宋体"/>
          <w:color w:val="auto"/>
          <w:highlight w:val="none"/>
        </w:rPr>
      </w:pPr>
      <w:r>
        <w:rPr>
          <w:rFonts w:hint="eastAsia" w:ascii="宋体" w:hAnsi="宋体" w:cs="宋体"/>
          <w:color w:val="auto"/>
          <w:highlight w:val="none"/>
        </w:rPr>
        <w:t>（1）投标人基本情况表；（格式见附件1）</w:t>
      </w:r>
    </w:p>
    <w:p w14:paraId="28F7A6B3">
      <w:pPr>
        <w:numPr>
          <w:ilvl w:val="255"/>
          <w:numId w:val="0"/>
        </w:numPr>
        <w:adjustRightInd w:val="0"/>
        <w:snapToGrid w:val="0"/>
        <w:spacing w:line="312" w:lineRule="auto"/>
        <w:ind w:firstLine="480" w:firstLineChars="200"/>
        <w:textAlignment w:val="bottom"/>
        <w:rPr>
          <w:rFonts w:hint="eastAsia" w:ascii="宋体" w:hAnsi="宋体" w:cs="宋体"/>
          <w:color w:val="auto"/>
          <w:highlight w:val="none"/>
        </w:rPr>
      </w:pPr>
      <w:r>
        <w:rPr>
          <w:rFonts w:hint="eastAsia" w:ascii="宋体" w:hAnsi="宋体" w:cs="宋体"/>
          <w:color w:val="auto"/>
          <w:highlight w:val="none"/>
        </w:rPr>
        <w:t>（2）提供有效《营业执照》或者《事业单位法人证书》原件扫描件；</w:t>
      </w:r>
    </w:p>
    <w:p w14:paraId="3FC2FC84">
      <w:pPr>
        <w:numPr>
          <w:ilvl w:val="255"/>
          <w:numId w:val="0"/>
        </w:numPr>
        <w:adjustRightInd w:val="0"/>
        <w:snapToGrid w:val="0"/>
        <w:spacing w:line="312" w:lineRule="auto"/>
        <w:ind w:firstLine="480" w:firstLineChars="200"/>
        <w:textAlignment w:val="bottom"/>
        <w:rPr>
          <w:rFonts w:hint="eastAsia" w:ascii="宋体" w:hAnsi="宋体" w:cs="宋体"/>
          <w:color w:val="auto"/>
          <w:highlight w:val="none"/>
        </w:rPr>
      </w:pPr>
      <w:r>
        <w:rPr>
          <w:rFonts w:hint="eastAsia" w:ascii="宋体" w:hAnsi="宋体" w:cs="宋体"/>
          <w:color w:val="auto"/>
          <w:highlight w:val="none"/>
        </w:rPr>
        <w:t>（3）符合参加政府采购活动应当具备的一般条件的承诺函；（格式见附件2）</w:t>
      </w:r>
    </w:p>
    <w:p w14:paraId="365E257A">
      <w:pPr>
        <w:numPr>
          <w:ilvl w:val="255"/>
          <w:numId w:val="0"/>
        </w:numPr>
        <w:adjustRightInd w:val="0"/>
        <w:snapToGrid w:val="0"/>
        <w:spacing w:line="312" w:lineRule="auto"/>
        <w:ind w:firstLine="480" w:firstLineChars="200"/>
        <w:textAlignment w:val="bottom"/>
        <w:rPr>
          <w:rFonts w:hint="eastAsia" w:ascii="宋体" w:hAnsi="宋体" w:cs="宋体"/>
          <w:color w:val="auto"/>
          <w:highlight w:val="none"/>
        </w:rPr>
      </w:pPr>
      <w:r>
        <w:rPr>
          <w:rFonts w:hint="eastAsia" w:ascii="宋体" w:hAnsi="宋体" w:cs="宋体"/>
          <w:color w:val="auto"/>
          <w:highlight w:val="none"/>
        </w:rPr>
        <w:t>（4）提供在经营活动中没有行贿犯罪记录声明书；（格式见附件3）</w:t>
      </w:r>
    </w:p>
    <w:p w14:paraId="54D084C6">
      <w:pPr>
        <w:numPr>
          <w:ilvl w:val="255"/>
          <w:numId w:val="0"/>
        </w:numPr>
        <w:adjustRightInd w:val="0"/>
        <w:snapToGrid w:val="0"/>
        <w:spacing w:line="312" w:lineRule="auto"/>
        <w:ind w:firstLine="480" w:firstLineChars="200"/>
        <w:textAlignment w:val="bottom"/>
        <w:rPr>
          <w:rFonts w:hint="eastAsia" w:ascii="宋体" w:hAnsi="宋体" w:cs="宋体"/>
          <w:color w:val="auto"/>
          <w:highlight w:val="none"/>
        </w:rPr>
      </w:pPr>
      <w:r>
        <w:rPr>
          <w:rFonts w:hint="eastAsia" w:ascii="宋体" w:hAnsi="宋体" w:cs="宋体"/>
          <w:color w:val="auto"/>
          <w:highlight w:val="none"/>
        </w:rPr>
        <w:t>▲注：以上资格文件为通过式评审,如有缺少或不符合要求的,则视为资格审查不予通过。</w:t>
      </w:r>
    </w:p>
    <w:p w14:paraId="5E827665">
      <w:pPr>
        <w:tabs>
          <w:tab w:val="center" w:pos="4715"/>
        </w:tabs>
        <w:adjustRightInd w:val="0"/>
        <w:snapToGrid w:val="0"/>
        <w:spacing w:line="312" w:lineRule="auto"/>
        <w:ind w:firstLine="482"/>
        <w:rPr>
          <w:rFonts w:hint="eastAsia" w:ascii="宋体" w:hAnsi="宋体" w:cs="宋体"/>
          <w:b/>
          <w:bCs/>
          <w:color w:val="auto"/>
          <w:kern w:val="0"/>
          <w:highlight w:val="none"/>
        </w:rPr>
      </w:pPr>
      <w:r>
        <w:rPr>
          <w:rFonts w:hint="eastAsia" w:ascii="宋体" w:hAnsi="宋体" w:cs="宋体"/>
          <w:b/>
          <w:bCs/>
          <w:color w:val="auto"/>
          <w:highlight w:val="none"/>
        </w:rPr>
        <w:t xml:space="preserve">12.2 </w:t>
      </w:r>
      <w:r>
        <w:rPr>
          <w:rFonts w:hint="eastAsia" w:ascii="宋体" w:hAnsi="宋体" w:cs="宋体"/>
          <w:b/>
          <w:color w:val="auto"/>
          <w:highlight w:val="none"/>
          <w:u w:val="single"/>
        </w:rPr>
        <w:t>资信商务技术文件组成</w:t>
      </w:r>
    </w:p>
    <w:p w14:paraId="4E04F20F">
      <w:pPr>
        <w:numPr>
          <w:ilvl w:val="255"/>
          <w:numId w:val="0"/>
        </w:numP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（1）▲投标声明函；（格式见附件4）</w:t>
      </w:r>
    </w:p>
    <w:p w14:paraId="2EC6FC79">
      <w:pPr>
        <w:numPr>
          <w:ilvl w:val="255"/>
          <w:numId w:val="0"/>
        </w:numP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（2）▲法人证明或授权委托书；（格式见附件5）</w:t>
      </w:r>
    </w:p>
    <w:p w14:paraId="22D06B53">
      <w:pPr>
        <w:numPr>
          <w:ilvl w:val="255"/>
          <w:numId w:val="0"/>
        </w:numP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（3）</w:t>
      </w:r>
      <w:r>
        <w:rPr>
          <w:rFonts w:hint="eastAsia" w:ascii="宋体" w:hAnsi="宋体" w:cs="宋体"/>
          <w:color w:val="auto"/>
          <w:highlight w:val="none"/>
          <w:lang w:val="zh-CN" w:bidi="ar"/>
        </w:rPr>
        <w:t>同类</w:t>
      </w:r>
      <w:r>
        <w:rPr>
          <w:rFonts w:hint="eastAsia" w:ascii="宋体" w:hAnsi="宋体" w:cs="宋体"/>
          <w:color w:val="auto"/>
          <w:highlight w:val="none"/>
          <w:lang w:val="zh-CN"/>
        </w:rPr>
        <w:t>业绩一览表；（格式见附件6）</w:t>
      </w:r>
    </w:p>
    <w:p w14:paraId="30B21FED">
      <w:pPr>
        <w:numPr>
          <w:ilvl w:val="255"/>
          <w:numId w:val="0"/>
        </w:numPr>
        <w:adjustRightInd w:val="0"/>
        <w:snapToGrid w:val="0"/>
        <w:spacing w:line="312" w:lineRule="auto"/>
        <w:ind w:firstLine="480"/>
        <w:textAlignment w:val="bottom"/>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4</w:t>
      </w:r>
      <w:r>
        <w:rPr>
          <w:rFonts w:hint="eastAsia" w:ascii="宋体" w:hAnsi="宋体" w:cs="宋体"/>
          <w:color w:val="auto"/>
          <w:highlight w:val="none"/>
          <w:lang w:val="zh-CN"/>
        </w:rPr>
        <w:t>）产品配置及主要技术参数；（格式见附件</w:t>
      </w:r>
      <w:r>
        <w:rPr>
          <w:rFonts w:hint="eastAsia" w:ascii="宋体" w:hAnsi="宋体" w:cs="宋体"/>
          <w:color w:val="auto"/>
          <w:highlight w:val="none"/>
          <w:lang w:val="en-US" w:eastAsia="zh-CN"/>
        </w:rPr>
        <w:t>7</w:t>
      </w:r>
      <w:r>
        <w:rPr>
          <w:rFonts w:hint="eastAsia" w:ascii="宋体" w:hAnsi="宋体" w:cs="宋体"/>
          <w:color w:val="auto"/>
          <w:highlight w:val="none"/>
          <w:lang w:val="zh-CN"/>
        </w:rPr>
        <w:t>）</w:t>
      </w:r>
    </w:p>
    <w:p w14:paraId="3C7F9998">
      <w:pPr>
        <w:widowControl/>
        <w:numPr>
          <w:ilvl w:val="255"/>
          <w:numId w:val="0"/>
        </w:numPr>
        <w:adjustRightInd w:val="0"/>
        <w:snapToGrid w:val="0"/>
        <w:spacing w:line="312" w:lineRule="auto"/>
        <w:ind w:firstLine="480" w:firstLineChars="200"/>
        <w:jc w:val="left"/>
        <w:textAlignment w:val="bottom"/>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5</w:t>
      </w:r>
      <w:r>
        <w:rPr>
          <w:rFonts w:hint="eastAsia" w:ascii="宋体" w:hAnsi="宋体" w:cs="宋体"/>
          <w:color w:val="auto"/>
          <w:highlight w:val="none"/>
          <w:lang w:val="zh-CN"/>
        </w:rPr>
        <w:t>）技术需求响应表；（格式见附件</w:t>
      </w:r>
      <w:r>
        <w:rPr>
          <w:rFonts w:hint="eastAsia" w:ascii="宋体" w:hAnsi="宋体" w:cs="宋体"/>
          <w:color w:val="auto"/>
          <w:highlight w:val="none"/>
          <w:lang w:val="en-US" w:eastAsia="zh-CN"/>
        </w:rPr>
        <w:t>8</w:t>
      </w:r>
      <w:r>
        <w:rPr>
          <w:rFonts w:hint="eastAsia" w:ascii="宋体" w:hAnsi="宋体" w:cs="宋体"/>
          <w:color w:val="auto"/>
          <w:highlight w:val="none"/>
          <w:lang w:val="zh-CN"/>
        </w:rPr>
        <w:t>）</w:t>
      </w:r>
    </w:p>
    <w:p w14:paraId="0634358A">
      <w:pPr>
        <w:numPr>
          <w:ilvl w:val="255"/>
          <w:numId w:val="0"/>
        </w:numP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6</w:t>
      </w:r>
      <w:r>
        <w:rPr>
          <w:rFonts w:hint="eastAsia" w:ascii="宋体" w:hAnsi="宋体" w:cs="宋体"/>
          <w:color w:val="auto"/>
          <w:highlight w:val="none"/>
          <w:lang w:val="zh-CN"/>
        </w:rPr>
        <w:t>）商务条款响应（偏离）表；（格式见附件</w:t>
      </w:r>
      <w:r>
        <w:rPr>
          <w:rFonts w:hint="eastAsia" w:ascii="宋体" w:hAnsi="宋体" w:cs="宋体"/>
          <w:color w:val="auto"/>
          <w:highlight w:val="none"/>
          <w:lang w:val="en-US" w:eastAsia="zh-CN"/>
        </w:rPr>
        <w:t>9</w:t>
      </w:r>
      <w:r>
        <w:rPr>
          <w:rFonts w:hint="eastAsia" w:ascii="宋体" w:hAnsi="宋体" w:cs="宋体"/>
          <w:color w:val="auto"/>
          <w:highlight w:val="none"/>
          <w:lang w:val="zh-CN"/>
        </w:rPr>
        <w:t>）</w:t>
      </w:r>
    </w:p>
    <w:p w14:paraId="1BF69007">
      <w:pPr>
        <w:numPr>
          <w:ilvl w:val="255"/>
          <w:numId w:val="0"/>
        </w:numPr>
        <w:adjustRightInd w:val="0"/>
        <w:snapToGrid w:val="0"/>
        <w:spacing w:line="312" w:lineRule="auto"/>
        <w:ind w:firstLine="480" w:firstLineChars="200"/>
        <w:jc w:val="left"/>
        <w:textAlignment w:val="bottom"/>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7</w:t>
      </w:r>
      <w:r>
        <w:rPr>
          <w:rFonts w:hint="eastAsia" w:ascii="宋体" w:hAnsi="宋体" w:cs="宋体"/>
          <w:color w:val="auto"/>
          <w:highlight w:val="none"/>
          <w:lang w:val="zh-CN"/>
        </w:rPr>
        <w:t>）</w:t>
      </w:r>
      <w:r>
        <w:rPr>
          <w:rFonts w:hint="eastAsia" w:ascii="宋体" w:hAnsi="宋体" w:cs="宋体"/>
          <w:color w:val="auto"/>
          <w:highlight w:val="none"/>
        </w:rPr>
        <w:t>车辆交接验收方案</w:t>
      </w:r>
      <w:r>
        <w:rPr>
          <w:rFonts w:hint="eastAsia" w:ascii="宋体" w:hAnsi="宋体" w:cs="宋体"/>
          <w:color w:val="auto"/>
          <w:highlight w:val="none"/>
          <w:lang w:val="zh-CN"/>
        </w:rPr>
        <w:t>；（格式自拟）</w:t>
      </w:r>
    </w:p>
    <w:p w14:paraId="5D002C6A">
      <w:pPr>
        <w:numPr>
          <w:ilvl w:val="255"/>
          <w:numId w:val="0"/>
        </w:numPr>
        <w:adjustRightInd w:val="0"/>
        <w:snapToGrid w:val="0"/>
        <w:spacing w:line="312" w:lineRule="auto"/>
        <w:ind w:firstLine="480" w:firstLineChars="200"/>
        <w:jc w:val="left"/>
        <w:textAlignment w:val="bottom"/>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8</w:t>
      </w:r>
      <w:r>
        <w:rPr>
          <w:rFonts w:hint="eastAsia" w:ascii="宋体" w:hAnsi="宋体" w:cs="宋体"/>
          <w:color w:val="auto"/>
          <w:highlight w:val="none"/>
          <w:lang w:val="zh-CN"/>
        </w:rPr>
        <w:t>）</w:t>
      </w:r>
      <w:r>
        <w:rPr>
          <w:rFonts w:hint="eastAsia" w:ascii="宋体" w:hAnsi="宋体" w:cs="宋体"/>
          <w:color w:val="auto"/>
          <w:highlight w:val="none"/>
        </w:rPr>
        <w:t>技术服务和技术培训方案；</w:t>
      </w:r>
      <w:r>
        <w:rPr>
          <w:rFonts w:hint="eastAsia" w:ascii="宋体" w:hAnsi="宋体" w:cs="宋体"/>
          <w:color w:val="auto"/>
          <w:highlight w:val="none"/>
          <w:lang w:val="zh-CN"/>
        </w:rPr>
        <w:t>（格式自拟）</w:t>
      </w:r>
    </w:p>
    <w:p w14:paraId="6AB4D079">
      <w:pPr>
        <w:numPr>
          <w:ilvl w:val="255"/>
          <w:numId w:val="0"/>
        </w:numPr>
        <w:adjustRightInd w:val="0"/>
        <w:snapToGrid w:val="0"/>
        <w:spacing w:line="312" w:lineRule="auto"/>
        <w:ind w:firstLine="480" w:firstLineChars="200"/>
        <w:jc w:val="left"/>
        <w:textAlignment w:val="bottom"/>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9</w:t>
      </w:r>
      <w:r>
        <w:rPr>
          <w:rFonts w:hint="eastAsia" w:ascii="宋体" w:hAnsi="宋体" w:cs="宋体"/>
          <w:color w:val="auto"/>
          <w:highlight w:val="none"/>
          <w:lang w:val="zh-CN"/>
        </w:rPr>
        <w:t>）</w:t>
      </w:r>
      <w:r>
        <w:rPr>
          <w:rFonts w:hint="eastAsia" w:ascii="宋体" w:hAnsi="宋体" w:cs="宋体"/>
          <w:color w:val="auto"/>
          <w:highlight w:val="none"/>
        </w:rPr>
        <w:t>售后服务方案</w:t>
      </w:r>
      <w:r>
        <w:rPr>
          <w:rFonts w:hint="eastAsia" w:ascii="宋体" w:hAnsi="宋体" w:cs="宋体"/>
          <w:color w:val="auto"/>
          <w:highlight w:val="none"/>
          <w:lang w:val="zh-CN"/>
        </w:rPr>
        <w:t>；（格式自拟）</w:t>
      </w:r>
    </w:p>
    <w:p w14:paraId="35AE965D">
      <w:pPr>
        <w:numPr>
          <w:ilvl w:val="255"/>
          <w:numId w:val="0"/>
        </w:numPr>
        <w:adjustRightInd w:val="0"/>
        <w:snapToGrid w:val="0"/>
        <w:spacing w:line="312" w:lineRule="auto"/>
        <w:ind w:firstLine="480" w:firstLineChars="200"/>
        <w:jc w:val="left"/>
        <w:textAlignment w:val="bottom"/>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10</w:t>
      </w:r>
      <w:r>
        <w:rPr>
          <w:rFonts w:hint="eastAsia" w:ascii="宋体" w:hAnsi="宋体" w:cs="宋体"/>
          <w:color w:val="auto"/>
          <w:highlight w:val="none"/>
          <w:lang w:val="zh-CN"/>
        </w:rPr>
        <w:t>）</w:t>
      </w:r>
      <w:r>
        <w:rPr>
          <w:rFonts w:hint="eastAsia" w:ascii="宋体" w:hAnsi="宋体" w:cs="宋体"/>
          <w:color w:val="auto"/>
          <w:highlight w:val="none"/>
        </w:rPr>
        <w:t>质保期承诺；</w:t>
      </w:r>
      <w:r>
        <w:rPr>
          <w:rFonts w:hint="eastAsia" w:ascii="宋体" w:hAnsi="宋体" w:cs="宋体"/>
          <w:color w:val="auto"/>
          <w:highlight w:val="none"/>
          <w:lang w:val="zh-CN"/>
        </w:rPr>
        <w:t>（格式自拟）</w:t>
      </w:r>
    </w:p>
    <w:p w14:paraId="05CB308D">
      <w:pPr>
        <w:widowControl/>
        <w:numPr>
          <w:ilvl w:val="255"/>
          <w:numId w:val="0"/>
        </w:numP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11</w:t>
      </w:r>
      <w:r>
        <w:rPr>
          <w:rFonts w:hint="eastAsia" w:ascii="宋体" w:hAnsi="宋体" w:cs="宋体"/>
          <w:color w:val="auto"/>
          <w:highlight w:val="none"/>
          <w:lang w:val="zh-CN"/>
        </w:rPr>
        <w:t>）供应商根据第五章评标办法及评分标准十、评标细则及标准3.综合评分明细表提供其余的相关评分所需资料。</w:t>
      </w:r>
    </w:p>
    <w:p w14:paraId="5F123EA1">
      <w:pPr>
        <w:widowControl/>
        <w:adjustRightInd w:val="0"/>
        <w:snapToGrid w:val="0"/>
        <w:spacing w:line="312" w:lineRule="auto"/>
        <w:ind w:firstLine="482"/>
        <w:jc w:val="left"/>
        <w:textAlignment w:val="bottom"/>
        <w:rPr>
          <w:rFonts w:hint="eastAsia" w:ascii="宋体" w:hAnsi="宋体" w:cs="宋体"/>
          <w:b/>
          <w:bCs/>
          <w:color w:val="auto"/>
          <w:highlight w:val="none"/>
          <w:u w:val="single"/>
          <w:lang w:val="zh-CN"/>
        </w:rPr>
      </w:pPr>
      <w:r>
        <w:rPr>
          <w:rFonts w:hint="eastAsia" w:ascii="宋体" w:hAnsi="宋体" w:cs="宋体"/>
          <w:b/>
          <w:bCs/>
          <w:color w:val="auto"/>
          <w:highlight w:val="none"/>
          <w:lang w:val="zh-CN"/>
        </w:rPr>
        <w:t>12.3</w:t>
      </w:r>
      <w:r>
        <w:rPr>
          <w:rFonts w:hint="eastAsia" w:ascii="宋体" w:hAnsi="宋体" w:cs="宋体"/>
          <w:color w:val="auto"/>
          <w:highlight w:val="none"/>
          <w:lang w:val="zh-CN"/>
        </w:rPr>
        <w:t xml:space="preserve"> </w:t>
      </w:r>
      <w:r>
        <w:rPr>
          <w:rFonts w:hint="eastAsia" w:ascii="宋体" w:hAnsi="宋体" w:cs="宋体"/>
          <w:b/>
          <w:bCs/>
          <w:color w:val="auto"/>
          <w:highlight w:val="none"/>
          <w:u w:val="single"/>
          <w:lang w:val="zh-CN"/>
        </w:rPr>
        <w:t>报价文件组成</w:t>
      </w:r>
    </w:p>
    <w:p w14:paraId="59F9832C">
      <w:pPr>
        <w:adjustRightInd w:val="0"/>
        <w:snapToGrid w:val="0"/>
        <w:spacing w:line="312" w:lineRule="auto"/>
        <w:ind w:firstLine="480"/>
        <w:textAlignment w:val="bottom"/>
        <w:rPr>
          <w:rFonts w:hint="eastAsia" w:ascii="宋体" w:hAnsi="宋体" w:cs="宋体"/>
          <w:color w:val="auto"/>
          <w:highlight w:val="none"/>
          <w:lang w:val="zh-CN"/>
        </w:rPr>
      </w:pPr>
      <w:r>
        <w:rPr>
          <w:rFonts w:hint="eastAsia" w:ascii="宋体" w:hAnsi="宋体" w:cs="宋体"/>
          <w:color w:val="auto"/>
          <w:highlight w:val="none"/>
          <w:lang w:val="zh-CN"/>
        </w:rPr>
        <w:t>包括但不限于以下内容：</w:t>
      </w:r>
    </w:p>
    <w:p w14:paraId="542A2346">
      <w:pPr>
        <w:numPr>
          <w:ilvl w:val="255"/>
          <w:numId w:val="0"/>
        </w:numP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（1）▲开标一览表；（格式见附件1</w:t>
      </w:r>
      <w:r>
        <w:rPr>
          <w:rFonts w:hint="eastAsia" w:ascii="宋体" w:hAnsi="宋体" w:cs="宋体"/>
          <w:color w:val="auto"/>
          <w:highlight w:val="none"/>
        </w:rPr>
        <w:t>0</w:t>
      </w:r>
      <w:r>
        <w:rPr>
          <w:rFonts w:hint="eastAsia" w:ascii="宋体" w:hAnsi="宋体" w:cs="宋体"/>
          <w:color w:val="auto"/>
          <w:highlight w:val="none"/>
          <w:lang w:val="zh-CN"/>
        </w:rPr>
        <w:t>）</w:t>
      </w:r>
    </w:p>
    <w:p w14:paraId="6F980AAB">
      <w:pPr>
        <w:adjustRightInd w:val="0"/>
        <w:snapToGrid w:val="0"/>
        <w:spacing w:line="312" w:lineRule="auto"/>
        <w:ind w:firstLine="480"/>
        <w:jc w:val="left"/>
        <w:textAlignment w:val="bottom"/>
        <w:rPr>
          <w:rFonts w:hint="eastAsia" w:ascii="宋体" w:hAnsi="宋体" w:cs="宋体"/>
          <w:color w:val="auto"/>
          <w:highlight w:val="none"/>
          <w:lang w:val="zh-CN" w:bidi="ar"/>
        </w:rPr>
      </w:pPr>
      <w:r>
        <w:rPr>
          <w:rFonts w:hint="eastAsia" w:ascii="宋体" w:hAnsi="宋体" w:cs="宋体"/>
          <w:color w:val="auto"/>
          <w:highlight w:val="none"/>
          <w:lang w:val="zh-CN"/>
        </w:rPr>
        <w:t>（2）▲</w:t>
      </w:r>
      <w:r>
        <w:rPr>
          <w:rFonts w:hint="eastAsia" w:ascii="宋体" w:hAnsi="宋体" w:cs="宋体"/>
          <w:color w:val="auto"/>
          <w:highlight w:val="none"/>
          <w:lang w:val="zh-CN" w:bidi="ar"/>
        </w:rPr>
        <w:t>投标价格组成明细表；</w:t>
      </w:r>
      <w:r>
        <w:rPr>
          <w:rFonts w:hint="eastAsia" w:ascii="宋体" w:hAnsi="宋体" w:cs="宋体"/>
          <w:color w:val="auto"/>
          <w:highlight w:val="none"/>
          <w:lang w:val="zh-CN"/>
        </w:rPr>
        <w:t>（格式见附件11）</w:t>
      </w:r>
    </w:p>
    <w:p w14:paraId="36DE44F2">
      <w:pPr>
        <w:numPr>
          <w:ilvl w:val="255"/>
          <w:numId w:val="0"/>
        </w:numP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3</w:t>
      </w:r>
      <w:r>
        <w:rPr>
          <w:rFonts w:hint="eastAsia" w:ascii="宋体" w:hAnsi="宋体" w:cs="宋体"/>
          <w:color w:val="auto"/>
          <w:highlight w:val="none"/>
          <w:lang w:val="zh-CN"/>
        </w:rPr>
        <w:t>）提供</w:t>
      </w:r>
      <w:r>
        <w:rPr>
          <w:rFonts w:hint="eastAsia" w:ascii="宋体" w:hAnsi="宋体" w:cs="宋体"/>
          <w:color w:val="auto"/>
          <w:highlight w:val="none"/>
          <w:lang w:val="zh-CN" w:bidi="ar"/>
        </w:rPr>
        <w:t>中小企业、监狱企业、残疾人福利性单位声明函（如有）（格式见附件12）</w:t>
      </w:r>
    </w:p>
    <w:p w14:paraId="0807D774">
      <w:pPr>
        <w:numPr>
          <w:ilvl w:val="255"/>
          <w:numId w:val="0"/>
        </w:numP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投标人承诺给予采购人的各种优惠条件（如有，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14:paraId="2FE120F5">
      <w:pPr>
        <w:numPr>
          <w:ilvl w:val="255"/>
          <w:numId w:val="0"/>
        </w:numP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4</w:t>
      </w:r>
      <w:r>
        <w:rPr>
          <w:rFonts w:hint="eastAsia" w:ascii="宋体" w:hAnsi="宋体" w:cs="宋体"/>
          <w:color w:val="auto"/>
          <w:highlight w:val="none"/>
          <w:lang w:val="zh-CN"/>
        </w:rPr>
        <w:t>）投标人根据采购文件要求认为需提供的其他资料。</w:t>
      </w:r>
    </w:p>
    <w:p w14:paraId="6ABA2A19">
      <w:pPr>
        <w:numPr>
          <w:ilvl w:val="0"/>
          <w:numId w:val="4"/>
        </w:numPr>
        <w:tabs>
          <w:tab w:val="left" w:pos="0"/>
        </w:tabs>
        <w:adjustRightInd w:val="0"/>
        <w:snapToGrid w:val="0"/>
        <w:spacing w:line="312" w:lineRule="auto"/>
        <w:ind w:left="0" w:firstLine="482"/>
        <w:jc w:val="left"/>
        <w:rPr>
          <w:rFonts w:hint="eastAsia" w:ascii="宋体" w:hAnsi="宋体" w:cs="宋体"/>
          <w:b/>
          <w:bCs/>
          <w:color w:val="auto"/>
          <w:highlight w:val="none"/>
        </w:rPr>
      </w:pPr>
      <w:r>
        <w:rPr>
          <w:rFonts w:ascii="宋体" w:hAnsi="宋体" w:cs="宋体"/>
          <w:b/>
          <w:bCs/>
          <w:color w:val="auto"/>
          <w:highlight w:val="none"/>
        </w:rPr>
        <w:t>投标报价</w:t>
      </w:r>
    </w:p>
    <w:p w14:paraId="02EDEBC9">
      <w:pPr>
        <w:pStyle w:val="36"/>
        <w:widowControl w:val="0"/>
        <w:tabs>
          <w:tab w:val="left" w:pos="0"/>
        </w:tabs>
        <w:adjustRightInd w:val="0"/>
        <w:snapToGrid w:val="0"/>
        <w:spacing w:line="312" w:lineRule="auto"/>
        <w:ind w:firstLine="482"/>
        <w:jc w:val="both"/>
        <w:rPr>
          <w:rFonts w:hint="eastAsia" w:ascii="宋体" w:hAnsi="宋体" w:cs="宋体"/>
          <w:bCs/>
          <w:color w:val="auto"/>
          <w:highlight w:val="none"/>
        </w:rPr>
      </w:pPr>
      <w:r>
        <w:rPr>
          <w:rFonts w:hint="eastAsia" w:ascii="宋体" w:hAnsi="宋体" w:cs="宋体"/>
          <w:b/>
          <w:bCs/>
          <w:color w:val="auto"/>
          <w:highlight w:val="none"/>
        </w:rPr>
        <w:t>13.1▲最高限价金额见投标人须知前附表，投标报价高于最高限价的为无效报价。</w:t>
      </w:r>
    </w:p>
    <w:p w14:paraId="7C7B244E">
      <w:pPr>
        <w:pStyle w:val="36"/>
        <w:widowControl w:val="0"/>
        <w:tabs>
          <w:tab w:val="left" w:pos="0"/>
        </w:tabs>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13.2投标报价</w:t>
      </w:r>
      <w:r>
        <w:rPr>
          <w:rFonts w:hint="eastAsia" w:ascii="宋体" w:hAnsi="宋体" w:cs="宋体"/>
          <w:bCs/>
          <w:color w:val="auto"/>
          <w:highlight w:val="none"/>
        </w:rPr>
        <w:t>是指投标人在正确地完全履行合同义务后采购人应支付的服务价款。如有</w:t>
      </w:r>
      <w:r>
        <w:rPr>
          <w:rFonts w:hint="eastAsia" w:ascii="宋体" w:hAnsi="宋体" w:cs="宋体"/>
          <w:color w:val="auto"/>
          <w:highlight w:val="none"/>
        </w:rPr>
        <w:t>漏项，视同已包含在其他项目中，价格不作调整，中标后不允许擅自改变服务内容、质量标准、期限和追加项目费用。</w:t>
      </w:r>
    </w:p>
    <w:p w14:paraId="1B2CBD93">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13.3</w:t>
      </w:r>
      <w:r>
        <w:rPr>
          <w:rFonts w:hint="eastAsia" w:ascii="宋体" w:hAnsi="宋体" w:cs="宋体"/>
          <w:color w:val="auto"/>
          <w:highlight w:val="none"/>
          <w:lang w:val="zh-CN"/>
        </w:rPr>
        <w:t>投标</w:t>
      </w:r>
      <w:r>
        <w:rPr>
          <w:rFonts w:hint="eastAsia" w:ascii="宋体" w:hAnsi="宋体" w:cs="宋体"/>
          <w:color w:val="auto"/>
          <w:highlight w:val="none"/>
        </w:rPr>
        <w:t>报价只允许有一个报价，有选择的或有条件的报价均不予接受。</w:t>
      </w:r>
    </w:p>
    <w:p w14:paraId="1E7176EA">
      <w:pPr>
        <w:numPr>
          <w:ilvl w:val="0"/>
          <w:numId w:val="4"/>
        </w:numPr>
        <w:tabs>
          <w:tab w:val="left" w:pos="0"/>
        </w:tabs>
        <w:adjustRightInd w:val="0"/>
        <w:snapToGrid w:val="0"/>
        <w:spacing w:line="312" w:lineRule="auto"/>
        <w:ind w:left="0" w:firstLine="482"/>
        <w:jc w:val="left"/>
        <w:rPr>
          <w:rFonts w:hint="eastAsia" w:ascii="宋体" w:hAnsi="宋体" w:cs="宋体"/>
          <w:b/>
          <w:bCs/>
          <w:color w:val="auto"/>
          <w:highlight w:val="none"/>
        </w:rPr>
      </w:pPr>
      <w:r>
        <w:rPr>
          <w:rFonts w:ascii="宋体" w:hAnsi="宋体" w:cs="宋体"/>
          <w:b/>
          <w:bCs/>
          <w:color w:val="auto"/>
          <w:highlight w:val="none"/>
        </w:rPr>
        <w:t>投标文件格式</w:t>
      </w:r>
    </w:p>
    <w:p w14:paraId="01EB9F91">
      <w:pPr>
        <w:pStyle w:val="36"/>
        <w:widowControl w:val="0"/>
        <w:tabs>
          <w:tab w:val="left" w:pos="0"/>
        </w:tabs>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bCs/>
          <w:color w:val="auto"/>
          <w:highlight w:val="none"/>
        </w:rPr>
        <w:t>14.1招标文件提供固定格式的，投标人须按照固定格式制作投标文件，详见本招标文件第六章。</w:t>
      </w:r>
    </w:p>
    <w:p w14:paraId="475525C3">
      <w:pPr>
        <w:pStyle w:val="36"/>
        <w:widowControl w:val="0"/>
        <w:tabs>
          <w:tab w:val="left" w:pos="0"/>
        </w:tabs>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14.2招标文件没有格式要求的由投标人自行编写制作。</w:t>
      </w:r>
    </w:p>
    <w:p w14:paraId="28968A80">
      <w:pPr>
        <w:numPr>
          <w:ilvl w:val="0"/>
          <w:numId w:val="4"/>
        </w:numPr>
        <w:tabs>
          <w:tab w:val="left" w:pos="0"/>
        </w:tabs>
        <w:adjustRightInd w:val="0"/>
        <w:snapToGrid w:val="0"/>
        <w:spacing w:line="312" w:lineRule="auto"/>
        <w:ind w:left="0" w:firstLine="482"/>
        <w:jc w:val="left"/>
        <w:rPr>
          <w:rFonts w:hint="eastAsia" w:ascii="宋体" w:hAnsi="宋体" w:cs="宋体"/>
          <w:b/>
          <w:bCs/>
          <w:color w:val="auto"/>
          <w:highlight w:val="none"/>
        </w:rPr>
      </w:pPr>
      <w:r>
        <w:rPr>
          <w:rFonts w:ascii="宋体" w:hAnsi="宋体" w:cs="宋体"/>
          <w:b/>
          <w:bCs/>
          <w:color w:val="auto"/>
          <w:highlight w:val="none"/>
        </w:rPr>
        <w:t>电子投标文件制作、加密和提交</w:t>
      </w:r>
    </w:p>
    <w:p w14:paraId="324C271E">
      <w:pPr>
        <w:pStyle w:val="36"/>
        <w:widowControl w:val="0"/>
        <w:tabs>
          <w:tab w:val="left" w:pos="0"/>
        </w:tabs>
        <w:wordWrap w:val="0"/>
        <w:adjustRightInd w:val="0"/>
        <w:snapToGrid w:val="0"/>
        <w:spacing w:line="312" w:lineRule="auto"/>
        <w:ind w:firstLine="480"/>
        <w:jc w:val="both"/>
        <w:rPr>
          <w:rFonts w:hint="eastAsia" w:ascii="宋体" w:hAnsi="宋体" w:cs="宋体"/>
          <w:bCs/>
          <w:color w:val="auto"/>
          <w:highlight w:val="none"/>
        </w:rPr>
      </w:pPr>
      <w:r>
        <w:rPr>
          <w:rFonts w:hint="eastAsia" w:ascii="宋体" w:hAnsi="宋体" w:cs="宋体"/>
          <w:bCs/>
          <w:color w:val="auto"/>
          <w:highlight w:val="none"/>
        </w:rPr>
        <w:t>15.1▲投标人通过“政采云电子投标客户端”投标工具制作，具体详情请查看《〈浙江省〉投标人-政府采购项目电子交易操作视频》网址：https://help.zcygov.cn/web/site_2/2019/08-20/58.5906.html；电子投标具体流程文档网址：</w:t>
      </w:r>
      <w:r>
        <w:rPr>
          <w:color w:val="auto"/>
          <w:highlight w:val="none"/>
        </w:rPr>
        <w:fldChar w:fldCharType="begin"/>
      </w:r>
      <w:r>
        <w:rPr>
          <w:color w:val="auto"/>
          <w:highlight w:val="none"/>
        </w:rPr>
        <w:instrText xml:space="preserve"> HYPERLINK "https://help.zcygov.cn/web/site_2/2018/12-28/2573.html。及本招标文件规定要求进行编制电子投标文件并进行关联定位。" </w:instrText>
      </w:r>
      <w:r>
        <w:rPr>
          <w:color w:val="auto"/>
          <w:highlight w:val="none"/>
        </w:rPr>
        <w:fldChar w:fldCharType="separate"/>
      </w:r>
      <w:r>
        <w:rPr>
          <w:rStyle w:val="48"/>
          <w:rFonts w:hint="eastAsia" w:ascii="宋体" w:hAnsi="宋体" w:cs="宋体"/>
          <w:bCs/>
          <w:color w:val="auto"/>
          <w:highlight w:val="none"/>
        </w:rPr>
        <w:t>https://help.zcygov.cn/web/site_2/2018/12-28/2573.html，及本招标文件规定要求进行编制电子投标文件，</w:t>
      </w:r>
      <w:r>
        <w:rPr>
          <w:rFonts w:hint="eastAsia" w:ascii="宋体" w:hAnsi="宋体" w:cs="宋体"/>
          <w:bCs/>
          <w:color w:val="auto"/>
          <w:highlight w:val="none"/>
        </w:rPr>
        <w:t>并</w:t>
      </w:r>
      <w:r>
        <w:rPr>
          <w:rStyle w:val="48"/>
          <w:rFonts w:hint="eastAsia" w:ascii="宋体" w:hAnsi="宋体" w:cs="宋体"/>
          <w:bCs/>
          <w:color w:val="auto"/>
          <w:highlight w:val="none"/>
        </w:rPr>
        <w:t>进行关联定位、</w:t>
      </w:r>
      <w:r>
        <w:rPr>
          <w:rStyle w:val="48"/>
          <w:rFonts w:hint="eastAsia" w:ascii="宋体" w:hAnsi="宋体" w:cs="宋体"/>
          <w:bCs/>
          <w:color w:val="auto"/>
          <w:highlight w:val="none"/>
        </w:rPr>
        <w:fldChar w:fldCharType="end"/>
      </w:r>
      <w:r>
        <w:rPr>
          <w:rFonts w:hint="eastAsia" w:ascii="宋体" w:hAnsi="宋体" w:cs="宋体"/>
          <w:bCs/>
          <w:color w:val="auto"/>
          <w:highlight w:val="none"/>
        </w:rPr>
        <w:t>加密和提交。</w:t>
      </w:r>
    </w:p>
    <w:p w14:paraId="2E8582D7">
      <w:pPr>
        <w:pStyle w:val="36"/>
        <w:widowControl w:val="0"/>
        <w:tabs>
          <w:tab w:val="left" w:pos="0"/>
        </w:tabs>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15.2▲</w:t>
      </w:r>
      <w:r>
        <w:rPr>
          <w:rStyle w:val="48"/>
          <w:rFonts w:hint="eastAsia" w:ascii="宋体" w:hAnsi="宋体" w:cs="宋体"/>
          <w:b/>
          <w:color w:val="auto"/>
          <w:highlight w:val="none"/>
        </w:rPr>
        <w:t>电子投标文件</w:t>
      </w:r>
      <w:r>
        <w:rPr>
          <w:rFonts w:hint="eastAsia" w:ascii="宋体" w:hAnsi="宋体" w:cs="宋体"/>
          <w:b/>
          <w:color w:val="auto"/>
          <w:highlight w:val="none"/>
        </w:rPr>
        <w:t>采用CA电子签章</w:t>
      </w:r>
      <w:r>
        <w:rPr>
          <w:rFonts w:hint="eastAsia" w:ascii="宋体" w:hAnsi="宋体" w:cs="宋体"/>
          <w:bCs/>
          <w:color w:val="auto"/>
          <w:highlight w:val="none"/>
        </w:rPr>
        <w:t>。招标文件注明需签字盖章部位、资格资信商务证明材料扫描件，以及任何行间插字、涂改或增删位置和澄清说明函等均须采用CA电子签章。</w:t>
      </w:r>
    </w:p>
    <w:p w14:paraId="52F93CE2">
      <w:pPr>
        <w:numPr>
          <w:ilvl w:val="0"/>
          <w:numId w:val="4"/>
        </w:numPr>
        <w:tabs>
          <w:tab w:val="left" w:pos="0"/>
        </w:tabs>
        <w:adjustRightInd w:val="0"/>
        <w:snapToGrid w:val="0"/>
        <w:spacing w:line="312" w:lineRule="auto"/>
        <w:ind w:left="0" w:firstLine="482"/>
        <w:jc w:val="left"/>
        <w:rPr>
          <w:rFonts w:hint="eastAsia" w:ascii="宋体" w:hAnsi="宋体" w:cs="宋体"/>
          <w:b/>
          <w:bCs/>
          <w:color w:val="auto"/>
          <w:highlight w:val="none"/>
        </w:rPr>
      </w:pPr>
      <w:r>
        <w:rPr>
          <w:rFonts w:ascii="宋体" w:hAnsi="宋体" w:cs="宋体"/>
          <w:b/>
          <w:bCs/>
          <w:color w:val="auto"/>
          <w:highlight w:val="none"/>
        </w:rPr>
        <w:t>备份投标文件制作、密封和提交</w:t>
      </w:r>
    </w:p>
    <w:p w14:paraId="3EA18E95">
      <w:pPr>
        <w:adjustRightInd w:val="0"/>
        <w:snapToGrid w:val="0"/>
        <w:spacing w:line="312" w:lineRule="auto"/>
        <w:ind w:firstLine="480"/>
        <w:rPr>
          <w:rFonts w:hint="eastAsia" w:ascii="宋体" w:hAnsi="宋体" w:cs="宋体"/>
          <w:b/>
          <w:color w:val="auto"/>
          <w:highlight w:val="none"/>
        </w:rPr>
      </w:pPr>
      <w:r>
        <w:rPr>
          <w:rFonts w:hint="eastAsia" w:ascii="宋体" w:hAnsi="宋体" w:cs="宋体"/>
          <w:bCs/>
          <w:color w:val="auto"/>
          <w:highlight w:val="none"/>
        </w:rPr>
        <w:t>制作、密封和提交详见投标人须知前附表。</w:t>
      </w:r>
      <w:r>
        <w:rPr>
          <w:rFonts w:hint="eastAsia" w:ascii="宋体" w:hAnsi="宋体" w:cs="宋体"/>
          <w:b/>
          <w:color w:val="auto"/>
          <w:highlight w:val="none"/>
        </w:rPr>
        <w:t>是否提交备份投标文件由投标人决定，并自行承担不提交备份投标文件的风险。</w:t>
      </w:r>
    </w:p>
    <w:p w14:paraId="56E7B3DB">
      <w:pPr>
        <w:numPr>
          <w:ilvl w:val="0"/>
          <w:numId w:val="4"/>
        </w:numPr>
        <w:tabs>
          <w:tab w:val="left" w:pos="0"/>
        </w:tabs>
        <w:adjustRightInd w:val="0"/>
        <w:snapToGrid w:val="0"/>
        <w:spacing w:line="312" w:lineRule="auto"/>
        <w:ind w:left="0" w:firstLine="482"/>
        <w:jc w:val="left"/>
        <w:rPr>
          <w:rFonts w:hint="eastAsia" w:ascii="宋体" w:hAnsi="宋体" w:cs="宋体"/>
          <w:b/>
          <w:bCs/>
          <w:color w:val="auto"/>
          <w:highlight w:val="none"/>
        </w:rPr>
      </w:pPr>
      <w:r>
        <w:rPr>
          <w:rFonts w:ascii="宋体" w:hAnsi="宋体" w:cs="宋体"/>
          <w:b/>
          <w:bCs/>
          <w:color w:val="auto"/>
          <w:highlight w:val="none"/>
        </w:rPr>
        <w:t>投标文件修改与撤回</w:t>
      </w:r>
    </w:p>
    <w:p w14:paraId="11EBCE93">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17.1投标人在投标截止时间之前可以对已提交投标文件进行修改、补充或撤回</w:t>
      </w:r>
      <w:r>
        <w:rPr>
          <w:rFonts w:hint="eastAsia" w:ascii="宋体" w:hAnsi="宋体" w:cs="宋体"/>
          <w:bCs/>
          <w:color w:val="auto"/>
          <w:highlight w:val="none"/>
        </w:rPr>
        <w:t>，</w:t>
      </w:r>
      <w:r>
        <w:rPr>
          <w:rFonts w:hint="eastAsia" w:ascii="宋体" w:hAnsi="宋体" w:cs="宋体"/>
          <w:b/>
          <w:color w:val="auto"/>
          <w:highlight w:val="none"/>
        </w:rPr>
        <w:t>应当先行撤回原文件，补充、修改后重新传输提交。</w:t>
      </w:r>
    </w:p>
    <w:p w14:paraId="1E60941A">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17.2投标截止时间后，投标不得撤回、修改投标文件。</w:t>
      </w:r>
    </w:p>
    <w:p w14:paraId="7A1E73D9">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17.3修改后重新提交的响应文件应当符合上述第14条、第15条规定。</w:t>
      </w:r>
    </w:p>
    <w:p w14:paraId="7D4F33D4">
      <w:pPr>
        <w:pStyle w:val="3"/>
        <w:numPr>
          <w:ilvl w:val="1"/>
          <w:numId w:val="0"/>
        </w:numPr>
        <w:spacing w:beforeLines="0" w:afterLines="0" w:line="288" w:lineRule="auto"/>
        <w:rPr>
          <w:rFonts w:hint="eastAsia" w:ascii="宋体" w:hAnsi="宋体" w:cs="宋体"/>
          <w:color w:val="auto"/>
          <w:highlight w:val="none"/>
        </w:rPr>
      </w:pPr>
      <w:bookmarkStart w:id="287" w:name="_Toc14530"/>
      <w:r>
        <w:rPr>
          <w:rFonts w:hint="eastAsia" w:ascii="宋体" w:hAnsi="宋体" w:cs="宋体"/>
          <w:color w:val="auto"/>
          <w:highlight w:val="none"/>
        </w:rPr>
        <w:t>四、开 标</w:t>
      </w:r>
      <w:bookmarkEnd w:id="287"/>
    </w:p>
    <w:p w14:paraId="628450B6">
      <w:pPr>
        <w:numPr>
          <w:ilvl w:val="0"/>
          <w:numId w:val="4"/>
        </w:numP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开标时间及地点</w:t>
      </w:r>
    </w:p>
    <w:p w14:paraId="09194A56">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采购组织机构按照投标人须知前附表规定的开标时间及地点进行公开开标。</w:t>
      </w:r>
    </w:p>
    <w:p w14:paraId="2A456E28">
      <w:pPr>
        <w:numPr>
          <w:ilvl w:val="0"/>
          <w:numId w:val="4"/>
        </w:numP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开评标程序</w:t>
      </w:r>
    </w:p>
    <w:p w14:paraId="449FAEC0">
      <w:pPr>
        <w:pStyle w:val="36"/>
        <w:widowControl w:val="0"/>
        <w:tabs>
          <w:tab w:val="left" w:pos="0"/>
        </w:tabs>
        <w:adjustRightInd w:val="0"/>
        <w:snapToGrid w:val="0"/>
        <w:spacing w:line="312" w:lineRule="auto"/>
        <w:ind w:firstLine="480"/>
        <w:jc w:val="both"/>
        <w:outlineLvl w:val="2"/>
        <w:rPr>
          <w:rFonts w:hint="eastAsia" w:ascii="宋体" w:hAnsi="宋体" w:cs="宋体"/>
          <w:color w:val="auto"/>
          <w:highlight w:val="none"/>
        </w:rPr>
      </w:pPr>
      <w:r>
        <w:rPr>
          <w:rFonts w:hint="eastAsia" w:ascii="宋体" w:hAnsi="宋体" w:cs="宋体"/>
          <w:color w:val="auto"/>
          <w:highlight w:val="none"/>
        </w:rPr>
        <w:t>19.1本项目原则上采用政采云电子招投标开标及评审程序。</w:t>
      </w:r>
      <w:r>
        <w:rPr>
          <w:rFonts w:hint="eastAsia" w:ascii="宋体" w:hAnsi="宋体" w:cs="宋体"/>
          <w:color w:val="auto"/>
          <w:highlight w:val="none"/>
          <w:lang w:val="zh-CN"/>
        </w:rPr>
        <w:t>若</w:t>
      </w:r>
      <w:r>
        <w:rPr>
          <w:rFonts w:hint="eastAsia" w:ascii="宋体" w:hAnsi="宋体" w:cs="宋体"/>
          <w:color w:val="auto"/>
          <w:highlight w:val="none"/>
        </w:rPr>
        <w:t>出现下列情形的处理方式：</w:t>
      </w:r>
    </w:p>
    <w:p w14:paraId="3CFFDAC2">
      <w:pPr>
        <w:pStyle w:val="147"/>
        <w:tabs>
          <w:tab w:val="left" w:pos="0"/>
          <w:tab w:val="left" w:pos="397"/>
        </w:tabs>
        <w:adjustRightInd w:val="0"/>
        <w:snapToGrid w:val="0"/>
        <w:spacing w:line="312"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投标人的</w:t>
      </w:r>
      <w:r>
        <w:rPr>
          <w:rFonts w:hint="eastAsia" w:ascii="宋体" w:hAnsi="宋体" w:cs="宋体"/>
          <w:color w:val="auto"/>
          <w:sz w:val="24"/>
          <w:szCs w:val="24"/>
          <w:highlight w:val="none"/>
        </w:rPr>
        <w:t>电子</w:t>
      </w:r>
      <w:r>
        <w:rPr>
          <w:rFonts w:hint="eastAsia" w:ascii="宋体" w:hAnsi="宋体" w:cs="宋体"/>
          <w:bCs/>
          <w:iCs/>
          <w:color w:val="auto"/>
          <w:sz w:val="24"/>
          <w:szCs w:val="24"/>
          <w:highlight w:val="none"/>
        </w:rPr>
        <w:t>投标文件</w:t>
      </w:r>
      <w:r>
        <w:rPr>
          <w:rFonts w:hint="eastAsia" w:ascii="宋体" w:hAnsi="宋体" w:cs="宋体"/>
          <w:color w:val="auto"/>
          <w:sz w:val="24"/>
          <w:szCs w:val="24"/>
          <w:highlight w:val="none"/>
          <w:lang w:val="zh-CN"/>
        </w:rPr>
        <w:t>在规定时间内无法解密或解密失败，工作人员将开启该投标人提交的备份</w:t>
      </w:r>
      <w:r>
        <w:rPr>
          <w:rFonts w:hint="eastAsia" w:ascii="宋体" w:hAnsi="宋体" w:cs="宋体"/>
          <w:color w:val="auto"/>
          <w:sz w:val="24"/>
          <w:szCs w:val="24"/>
          <w:highlight w:val="none"/>
        </w:rPr>
        <w:t>电子</w:t>
      </w:r>
      <w:r>
        <w:rPr>
          <w:rFonts w:hint="eastAsia" w:ascii="宋体" w:hAnsi="宋体" w:cs="宋体"/>
          <w:bCs/>
          <w:iCs/>
          <w:color w:val="auto"/>
          <w:sz w:val="24"/>
          <w:szCs w:val="24"/>
          <w:highlight w:val="none"/>
        </w:rPr>
        <w:t>投标文</w:t>
      </w:r>
      <w:r>
        <w:rPr>
          <w:rFonts w:hint="eastAsia" w:ascii="宋体" w:hAnsi="宋体" w:cs="宋体"/>
          <w:color w:val="auto"/>
          <w:sz w:val="24"/>
          <w:szCs w:val="24"/>
          <w:highlight w:val="none"/>
          <w:lang w:val="zh-CN"/>
        </w:rPr>
        <w:t>件，以完成开标。</w:t>
      </w:r>
    </w:p>
    <w:p w14:paraId="3E782A9B">
      <w:pPr>
        <w:pStyle w:val="36"/>
        <w:widowControl w:val="0"/>
        <w:tabs>
          <w:tab w:val="left" w:pos="0"/>
        </w:tabs>
        <w:adjustRightInd w:val="0"/>
        <w:snapToGrid w:val="0"/>
        <w:spacing w:line="312" w:lineRule="auto"/>
        <w:ind w:firstLine="480"/>
        <w:jc w:val="both"/>
        <w:outlineLvl w:val="2"/>
        <w:rPr>
          <w:rFonts w:hint="eastAsia" w:ascii="宋体" w:hAnsi="宋体" w:cs="宋体"/>
          <w:color w:val="auto"/>
          <w:highlight w:val="none"/>
        </w:rPr>
      </w:pPr>
      <w:r>
        <w:rPr>
          <w:rFonts w:hint="eastAsia" w:ascii="宋体" w:hAnsi="宋体" w:cs="宋体"/>
          <w:color w:val="auto"/>
          <w:highlight w:val="none"/>
        </w:rPr>
        <w:t>19.2电子投标开标及评审程序</w:t>
      </w:r>
    </w:p>
    <w:p w14:paraId="230745E4">
      <w:pPr>
        <w:pStyle w:val="36"/>
        <w:widowControl w:val="0"/>
        <w:tabs>
          <w:tab w:val="left" w:pos="0"/>
        </w:tabs>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(1)开启电子投标文件，投标截止时间后，投标人登录政采云平台，用“项目采购-开标评标”功能对电子</w:t>
      </w:r>
      <w:r>
        <w:rPr>
          <w:rFonts w:hint="eastAsia" w:ascii="宋体" w:hAnsi="宋体" w:cs="宋体"/>
          <w:bCs/>
          <w:iCs/>
          <w:color w:val="auto"/>
          <w:highlight w:val="none"/>
        </w:rPr>
        <w:t>投标文件</w:t>
      </w:r>
      <w:r>
        <w:rPr>
          <w:rFonts w:hint="eastAsia" w:ascii="宋体" w:hAnsi="宋体" w:cs="宋体"/>
          <w:color w:val="auto"/>
          <w:highlight w:val="none"/>
        </w:rPr>
        <w:t>进行在线解密。在线解密电子</w:t>
      </w:r>
      <w:r>
        <w:rPr>
          <w:rFonts w:hint="eastAsia" w:ascii="宋体" w:hAnsi="宋体" w:cs="宋体"/>
          <w:bCs/>
          <w:iCs/>
          <w:color w:val="auto"/>
          <w:highlight w:val="none"/>
        </w:rPr>
        <w:t>投标文件</w:t>
      </w:r>
      <w:r>
        <w:rPr>
          <w:rFonts w:hint="eastAsia" w:ascii="宋体" w:hAnsi="宋体" w:cs="宋体"/>
          <w:color w:val="auto"/>
          <w:highlight w:val="none"/>
        </w:rPr>
        <w:t>时间为投标截止时间起30分钟内。</w:t>
      </w:r>
    </w:p>
    <w:p w14:paraId="6910FD8A">
      <w:pPr>
        <w:pStyle w:val="36"/>
        <w:widowControl w:val="0"/>
        <w:tabs>
          <w:tab w:val="left" w:pos="0"/>
        </w:tabs>
        <w:adjustRightInd w:val="0"/>
        <w:snapToGrid w:val="0"/>
        <w:spacing w:line="312" w:lineRule="auto"/>
        <w:ind w:firstLine="480"/>
        <w:jc w:val="both"/>
        <w:rPr>
          <w:rFonts w:hint="eastAsia" w:ascii="宋体" w:hAnsi="宋体" w:cs="宋体"/>
          <w:color w:val="auto"/>
          <w:highlight w:val="none"/>
          <w:lang w:val="zh-CN"/>
        </w:rPr>
      </w:pPr>
      <w:r>
        <w:rPr>
          <w:rFonts w:hint="eastAsia" w:ascii="宋体" w:hAnsi="宋体" w:cs="宋体"/>
          <w:color w:val="auto"/>
          <w:highlight w:val="none"/>
        </w:rPr>
        <w:t>(2)由评标委员会对投标人资格进行审查和</w:t>
      </w:r>
      <w:r>
        <w:rPr>
          <w:rFonts w:hint="eastAsia" w:ascii="宋体" w:hAnsi="宋体" w:cs="宋体"/>
          <w:bCs/>
          <w:iCs/>
          <w:color w:val="auto"/>
          <w:highlight w:val="none"/>
        </w:rPr>
        <w:t>资信商务技术部分</w:t>
      </w:r>
      <w:r>
        <w:rPr>
          <w:rFonts w:hint="eastAsia" w:ascii="宋体" w:hAnsi="宋体" w:cs="宋体"/>
          <w:color w:val="auto"/>
          <w:highlight w:val="none"/>
        </w:rPr>
        <w:t>评审。</w:t>
      </w:r>
    </w:p>
    <w:p w14:paraId="4BDB7C6F">
      <w:pPr>
        <w:pStyle w:val="36"/>
        <w:widowControl w:val="0"/>
        <w:tabs>
          <w:tab w:val="left" w:pos="0"/>
        </w:tabs>
        <w:adjustRightInd w:val="0"/>
        <w:snapToGrid w:val="0"/>
        <w:spacing w:line="312" w:lineRule="auto"/>
        <w:ind w:firstLine="480"/>
        <w:jc w:val="both"/>
        <w:rPr>
          <w:rFonts w:hint="eastAsia" w:ascii="宋体" w:hAnsi="宋体" w:cs="宋体"/>
          <w:color w:val="auto"/>
          <w:highlight w:val="none"/>
          <w:lang w:val="zh-CN"/>
        </w:rPr>
      </w:pPr>
      <w:r>
        <w:rPr>
          <w:rFonts w:hint="eastAsia" w:ascii="宋体" w:hAnsi="宋体" w:cs="宋体"/>
          <w:color w:val="auto"/>
          <w:highlight w:val="none"/>
        </w:rPr>
        <w:t>(3)现场公布资格审查和</w:t>
      </w:r>
      <w:r>
        <w:rPr>
          <w:rFonts w:hint="eastAsia" w:ascii="宋体" w:hAnsi="宋体" w:cs="宋体"/>
          <w:bCs/>
          <w:iCs/>
          <w:color w:val="auto"/>
          <w:highlight w:val="none"/>
        </w:rPr>
        <w:t>资信</w:t>
      </w:r>
      <w:r>
        <w:rPr>
          <w:rFonts w:hint="eastAsia" w:ascii="宋体" w:hAnsi="宋体" w:cs="宋体"/>
          <w:color w:val="auto"/>
          <w:highlight w:val="none"/>
        </w:rPr>
        <w:t>技术商务评审结果。</w:t>
      </w:r>
    </w:p>
    <w:p w14:paraId="3E419E58">
      <w:pPr>
        <w:pStyle w:val="36"/>
        <w:widowControl w:val="0"/>
        <w:tabs>
          <w:tab w:val="left" w:pos="0"/>
        </w:tabs>
        <w:adjustRightInd w:val="0"/>
        <w:snapToGrid w:val="0"/>
        <w:spacing w:line="312" w:lineRule="auto"/>
        <w:ind w:firstLine="480"/>
        <w:jc w:val="both"/>
        <w:rPr>
          <w:rFonts w:hint="eastAsia" w:ascii="宋体" w:hAnsi="宋体" w:cs="宋体"/>
          <w:color w:val="auto"/>
          <w:highlight w:val="none"/>
          <w:lang w:val="zh-CN"/>
        </w:rPr>
      </w:pPr>
      <w:r>
        <w:rPr>
          <w:rFonts w:hint="eastAsia" w:ascii="宋体" w:hAnsi="宋体" w:cs="宋体"/>
          <w:color w:val="auto"/>
          <w:highlight w:val="none"/>
        </w:rPr>
        <w:t>(4)系统上公开投标人报价</w:t>
      </w:r>
      <w:r>
        <w:rPr>
          <w:rFonts w:hint="eastAsia" w:ascii="宋体" w:hAnsi="宋体" w:cs="宋体"/>
          <w:color w:val="auto"/>
          <w:highlight w:val="none"/>
          <w:lang w:val="zh-CN"/>
        </w:rPr>
        <w:t>并在评标室现场宣读</w:t>
      </w:r>
      <w:r>
        <w:rPr>
          <w:rFonts w:hint="eastAsia" w:ascii="宋体" w:hAnsi="宋体" w:cs="宋体"/>
          <w:color w:val="auto"/>
          <w:highlight w:val="none"/>
        </w:rPr>
        <w:t>。</w:t>
      </w:r>
    </w:p>
    <w:p w14:paraId="76645EA5">
      <w:pPr>
        <w:pStyle w:val="36"/>
        <w:widowControl w:val="0"/>
        <w:tabs>
          <w:tab w:val="left" w:pos="0"/>
        </w:tabs>
        <w:adjustRightInd w:val="0"/>
        <w:snapToGrid w:val="0"/>
        <w:spacing w:line="312" w:lineRule="auto"/>
        <w:ind w:firstLine="480"/>
        <w:jc w:val="both"/>
        <w:rPr>
          <w:rFonts w:hint="eastAsia" w:ascii="宋体" w:hAnsi="宋体" w:cs="宋体"/>
          <w:color w:val="auto"/>
          <w:highlight w:val="none"/>
          <w:lang w:val="zh-CN"/>
        </w:rPr>
      </w:pPr>
      <w:r>
        <w:rPr>
          <w:rFonts w:hint="eastAsia" w:ascii="宋体" w:hAnsi="宋体" w:cs="宋体"/>
          <w:color w:val="auto"/>
          <w:highlight w:val="none"/>
        </w:rPr>
        <w:t>(5)由评标委员会对报价文件进行评审。</w:t>
      </w:r>
    </w:p>
    <w:p w14:paraId="038FE77E">
      <w:pPr>
        <w:pStyle w:val="36"/>
        <w:widowControl w:val="0"/>
        <w:tabs>
          <w:tab w:val="left" w:pos="0"/>
        </w:tabs>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color w:val="auto"/>
          <w:highlight w:val="none"/>
        </w:rPr>
        <w:t>(6)</w:t>
      </w:r>
      <w:r>
        <w:rPr>
          <w:rFonts w:hint="eastAsia" w:ascii="宋体" w:hAnsi="宋体" w:cs="宋体"/>
          <w:color w:val="auto"/>
          <w:highlight w:val="none"/>
          <w:lang w:val="zh-CN"/>
        </w:rPr>
        <w:t>在系统上公布评审结果并在评标室现场宣布。</w:t>
      </w:r>
    </w:p>
    <w:p w14:paraId="42B07084">
      <w:pPr>
        <w:adjustRightInd w:val="0"/>
        <w:snapToGrid w:val="0"/>
        <w:spacing w:line="312" w:lineRule="auto"/>
        <w:ind w:firstLine="480"/>
        <w:outlineLvl w:val="2"/>
        <w:rPr>
          <w:rFonts w:hint="eastAsia" w:ascii="宋体" w:hAnsi="宋体" w:cs="宋体"/>
          <w:color w:val="auto"/>
          <w:highlight w:val="none"/>
        </w:rPr>
      </w:pPr>
      <w:r>
        <w:rPr>
          <w:rFonts w:hint="eastAsia" w:ascii="宋体" w:hAnsi="宋体" w:cs="宋体"/>
          <w:color w:val="auto"/>
          <w:highlight w:val="none"/>
        </w:rPr>
        <w:t>19.3开标会议结束。</w:t>
      </w:r>
    </w:p>
    <w:p w14:paraId="05D94416">
      <w:pPr>
        <w:adjustRightInd w:val="0"/>
        <w:snapToGrid w:val="0"/>
        <w:spacing w:line="312" w:lineRule="auto"/>
        <w:ind w:firstLine="482"/>
        <w:rPr>
          <w:rFonts w:hint="eastAsia" w:ascii="宋体" w:hAnsi="宋体" w:cs="宋体"/>
          <w:color w:val="auto"/>
          <w:highlight w:val="none"/>
        </w:rPr>
      </w:pPr>
      <w:r>
        <w:rPr>
          <w:rFonts w:hint="eastAsia" w:ascii="宋体" w:hAnsi="宋体" w:cs="宋体"/>
          <w:b/>
          <w:color w:val="auto"/>
          <w:highlight w:val="none"/>
        </w:rPr>
        <w:t>特别说明：如遇“政府采购云平台”电子化开标或评审程序调整的，按调整后程序执行。</w:t>
      </w:r>
    </w:p>
    <w:p w14:paraId="7B15A215">
      <w:pPr>
        <w:pStyle w:val="3"/>
        <w:numPr>
          <w:ilvl w:val="1"/>
          <w:numId w:val="0"/>
        </w:numPr>
        <w:spacing w:beforeLines="0" w:afterLines="0" w:line="288" w:lineRule="auto"/>
        <w:rPr>
          <w:rFonts w:hint="eastAsia" w:ascii="宋体" w:hAnsi="宋体" w:cs="宋体"/>
          <w:color w:val="auto"/>
          <w:highlight w:val="none"/>
        </w:rPr>
      </w:pPr>
      <w:bookmarkStart w:id="288" w:name="_Toc14490"/>
      <w:r>
        <w:rPr>
          <w:rFonts w:hint="eastAsia" w:ascii="宋体" w:hAnsi="宋体" w:cs="宋体"/>
          <w:color w:val="auto"/>
          <w:highlight w:val="none"/>
        </w:rPr>
        <w:t>五、评 标</w:t>
      </w:r>
      <w:bookmarkEnd w:id="288"/>
    </w:p>
    <w:p w14:paraId="07F7F246">
      <w:pPr>
        <w:numPr>
          <w:ilvl w:val="0"/>
          <w:numId w:val="4"/>
        </w:numPr>
        <w:tabs>
          <w:tab w:val="left" w:pos="0"/>
        </w:tabs>
        <w:spacing w:line="288" w:lineRule="auto"/>
        <w:ind w:left="0" w:firstLine="482"/>
        <w:rPr>
          <w:rFonts w:hint="eastAsia" w:ascii="宋体" w:hAnsi="宋体" w:cs="宋体"/>
          <w:b/>
          <w:bCs/>
          <w:color w:val="auto"/>
          <w:highlight w:val="none"/>
        </w:rPr>
      </w:pPr>
      <w:r>
        <w:rPr>
          <w:rFonts w:ascii="宋体" w:hAnsi="宋体" w:cs="宋体"/>
          <w:b/>
          <w:bCs/>
          <w:color w:val="auto"/>
          <w:highlight w:val="none"/>
        </w:rPr>
        <w:t>评标</w:t>
      </w:r>
    </w:p>
    <w:p w14:paraId="4E16179C">
      <w:pPr>
        <w:pStyle w:val="36"/>
        <w:widowControl w:val="0"/>
        <w:tabs>
          <w:tab w:val="left" w:pos="0"/>
        </w:tabs>
        <w:adjustRightInd w:val="0"/>
        <w:snapToGrid w:val="0"/>
        <w:spacing w:line="288" w:lineRule="auto"/>
        <w:ind w:firstLine="480"/>
        <w:jc w:val="both"/>
        <w:rPr>
          <w:rFonts w:hint="eastAsia" w:ascii="宋体" w:hAnsi="宋体" w:cs="宋体"/>
          <w:color w:val="auto"/>
          <w:highlight w:val="none"/>
        </w:rPr>
      </w:pPr>
      <w:r>
        <w:rPr>
          <w:rFonts w:hint="eastAsia" w:ascii="宋体" w:hAnsi="宋体" w:cs="宋体"/>
          <w:bCs/>
          <w:color w:val="auto"/>
          <w:highlight w:val="none"/>
        </w:rPr>
        <w:t>按照有关法律制度和本招标文件第五章的规定进行。</w:t>
      </w:r>
    </w:p>
    <w:p w14:paraId="40948DA5">
      <w:pPr>
        <w:pStyle w:val="3"/>
        <w:numPr>
          <w:ilvl w:val="1"/>
          <w:numId w:val="0"/>
        </w:numPr>
        <w:spacing w:beforeLines="0" w:afterLines="0" w:line="288" w:lineRule="auto"/>
        <w:rPr>
          <w:rFonts w:hint="eastAsia" w:ascii="宋体" w:hAnsi="宋体" w:cs="宋体"/>
          <w:color w:val="auto"/>
          <w:highlight w:val="none"/>
        </w:rPr>
      </w:pPr>
      <w:bookmarkStart w:id="289" w:name="_Toc20843"/>
      <w:r>
        <w:rPr>
          <w:rFonts w:hint="eastAsia" w:ascii="宋体" w:hAnsi="宋体" w:cs="宋体"/>
          <w:color w:val="auto"/>
          <w:highlight w:val="none"/>
        </w:rPr>
        <w:t>六、中 标</w:t>
      </w:r>
      <w:bookmarkEnd w:id="289"/>
    </w:p>
    <w:p w14:paraId="1E0AC1D8">
      <w:pPr>
        <w:numPr>
          <w:ilvl w:val="0"/>
          <w:numId w:val="4"/>
        </w:numPr>
        <w:tabs>
          <w:tab w:val="left" w:pos="0"/>
        </w:tabs>
        <w:spacing w:line="288" w:lineRule="auto"/>
        <w:ind w:left="0" w:firstLine="482"/>
        <w:rPr>
          <w:rFonts w:hint="eastAsia" w:ascii="宋体" w:hAnsi="宋体" w:cs="宋体"/>
          <w:b/>
          <w:bCs/>
          <w:color w:val="auto"/>
          <w:highlight w:val="none"/>
        </w:rPr>
      </w:pPr>
      <w:r>
        <w:rPr>
          <w:rFonts w:ascii="宋体" w:hAnsi="宋体" w:cs="宋体"/>
          <w:b/>
          <w:bCs/>
          <w:color w:val="auto"/>
          <w:highlight w:val="none"/>
        </w:rPr>
        <w:t>确定</w:t>
      </w:r>
      <w:r>
        <w:rPr>
          <w:rFonts w:hint="eastAsia" w:ascii="宋体" w:hAnsi="宋体" w:cs="宋体"/>
          <w:b/>
          <w:bCs/>
          <w:color w:val="auto"/>
          <w:highlight w:val="none"/>
        </w:rPr>
        <w:t>中标人</w:t>
      </w:r>
    </w:p>
    <w:p w14:paraId="1DBB3936">
      <w:pPr>
        <w:adjustRightInd w:val="0"/>
        <w:snapToGrid w:val="0"/>
        <w:spacing w:line="312" w:lineRule="auto"/>
        <w:ind w:firstLine="480"/>
        <w:rPr>
          <w:rFonts w:hint="eastAsia" w:ascii="宋体" w:hAnsi="宋体" w:cs="宋体"/>
          <w:color w:val="auto"/>
          <w:highlight w:val="none"/>
        </w:rPr>
      </w:pPr>
      <w:r>
        <w:rPr>
          <w:rFonts w:hint="eastAsia" w:ascii="宋体" w:hAnsi="宋体" w:cs="宋体"/>
          <w:bCs/>
          <w:color w:val="auto"/>
          <w:highlight w:val="none"/>
        </w:rPr>
        <w:t>21.1采购代理机构自</w:t>
      </w:r>
      <w:r>
        <w:rPr>
          <w:rFonts w:hint="eastAsia" w:ascii="宋体" w:hAnsi="宋体" w:cs="宋体"/>
          <w:color w:val="auto"/>
          <w:highlight w:val="none"/>
        </w:rPr>
        <w:t>评审结束后2个工作日内将评标报告及有关资料送交采购人。</w:t>
      </w:r>
    </w:p>
    <w:p w14:paraId="328E99DF">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21.2采购人应当在收到评审报告及有关资料后5个工作日内，从评审报告提出的中标候选人中，按照综合得分排序由高到低的原则</w:t>
      </w:r>
      <w:r>
        <w:rPr>
          <w:rFonts w:hint="eastAsia" w:ascii="宋体" w:hAnsi="宋体" w:cs="宋体"/>
          <w:snapToGrid w:val="0"/>
          <w:color w:val="auto"/>
          <w:highlight w:val="none"/>
        </w:rPr>
        <w:t>确定</w:t>
      </w:r>
      <w:r>
        <w:rPr>
          <w:rFonts w:hint="eastAsia" w:ascii="宋体" w:hAnsi="宋体" w:cs="宋体"/>
          <w:color w:val="auto"/>
          <w:highlight w:val="none"/>
        </w:rPr>
        <w:t>3家</w:t>
      </w:r>
      <w:r>
        <w:rPr>
          <w:rFonts w:hint="eastAsia" w:ascii="宋体" w:hAnsi="宋体" w:cs="宋体"/>
          <w:snapToGrid w:val="0"/>
          <w:color w:val="auto"/>
          <w:highlight w:val="none"/>
        </w:rPr>
        <w:t>中标候选人</w:t>
      </w:r>
      <w:r>
        <w:rPr>
          <w:rFonts w:hint="eastAsia" w:ascii="宋体" w:hAnsi="宋体" w:cs="宋体"/>
          <w:color w:val="auto"/>
          <w:highlight w:val="none"/>
        </w:rPr>
        <w:t>。</w:t>
      </w:r>
      <w:r>
        <w:rPr>
          <w:rFonts w:hint="eastAsia" w:ascii="宋体" w:hAnsi="宋体" w:cs="宋体"/>
          <w:bCs/>
          <w:color w:val="auto"/>
          <w:highlight w:val="none"/>
        </w:rPr>
        <w:t>采购人逾期未确定中标人且不提出异议的，视为确定评审报告提出的排序前1名的</w:t>
      </w:r>
      <w:r>
        <w:rPr>
          <w:rFonts w:hint="eastAsia" w:ascii="宋体" w:hAnsi="宋体" w:cs="宋体"/>
          <w:snapToGrid w:val="0"/>
          <w:color w:val="auto"/>
          <w:highlight w:val="none"/>
        </w:rPr>
        <w:t>中标候选人</w:t>
      </w:r>
      <w:r>
        <w:rPr>
          <w:rFonts w:hint="eastAsia" w:ascii="宋体" w:hAnsi="宋体" w:cs="宋体"/>
          <w:bCs/>
          <w:color w:val="auto"/>
          <w:highlight w:val="none"/>
        </w:rPr>
        <w:t>为中标人</w:t>
      </w:r>
      <w:r>
        <w:rPr>
          <w:rFonts w:hint="eastAsia" w:ascii="宋体" w:hAnsi="宋体" w:cs="宋体"/>
          <w:color w:val="auto"/>
          <w:highlight w:val="none"/>
        </w:rPr>
        <w:t>。</w:t>
      </w:r>
    </w:p>
    <w:p w14:paraId="23B1BDE8">
      <w:pP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21.3采购人确定中标人过程中，发现中标候选人有下列情形之一的，应当不予确定其为中标人：</w:t>
      </w:r>
    </w:p>
    <w:p w14:paraId="74CF221A">
      <w:pP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（1）发现中标候选人存在禁止参加本项目采购活动的违法行为的；</w:t>
      </w:r>
    </w:p>
    <w:p w14:paraId="495C41D2">
      <w:pP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（2）中标候选人因不可抗力，不能继续参加采购活动；</w:t>
      </w:r>
    </w:p>
    <w:p w14:paraId="7355F139">
      <w:pP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（3）中标候选人无偿赠与或者低于成本价竞争的；</w:t>
      </w:r>
    </w:p>
    <w:p w14:paraId="4314130A">
      <w:pP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（4）中标候选人提供虚假材料的；</w:t>
      </w:r>
    </w:p>
    <w:p w14:paraId="742B3FDF">
      <w:pP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（5）中标候选人恶意串通的。</w:t>
      </w:r>
    </w:p>
    <w:p w14:paraId="3A3E34AA">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bCs/>
          <w:color w:val="auto"/>
          <w:highlight w:val="none"/>
        </w:rPr>
        <w:t>（6）中标候选人有本条情形之一的，采购人可以确定后一位中标候选人为中标人，但须符合法定家数。无法确定中标人的，应当重新组织采购。</w:t>
      </w:r>
    </w:p>
    <w:p w14:paraId="7F7731E6">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21.4中标通知书</w:t>
      </w:r>
    </w:p>
    <w:p w14:paraId="1AC24416">
      <w:pP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21.4.1采购代理机构应当自中标人确定之日起2个工作日内，发出中标通知书，同时在浙江政府采购网公告中标结果。公示期限为1个工作日。</w:t>
      </w:r>
    </w:p>
    <w:p w14:paraId="29BAB977">
      <w:pP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21.4.2中标通知书发出后，中标人须于2个工作日内到采购代理机构领取中标通知书，拒绝领取中标通知书的，将视为放弃中标，取消其中标资格。采购人不得违法改变中标结果，中标人无正当理由不得放弃中标，否则将承担相应的法律责任。</w:t>
      </w:r>
    </w:p>
    <w:p w14:paraId="7B69C9EB">
      <w:pP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21.4.3中标人的投标文件本应作为投标无效处理或者有政府采购法律法规、规章规定的中标无效情形的，经查实，取消其中标资格，收回发出的中标通知书（中标人应当缴回），由排名之后的中标候选人替补，或者重新开展采购活动。</w:t>
      </w:r>
    </w:p>
    <w:p w14:paraId="24742559">
      <w:pP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21.4.4中标通知书为签订采购合同的依据之一，是合同的有效组成部分。</w:t>
      </w:r>
    </w:p>
    <w:p w14:paraId="16C98D3E">
      <w:pPr>
        <w:pStyle w:val="3"/>
        <w:numPr>
          <w:ilvl w:val="1"/>
          <w:numId w:val="0"/>
        </w:numPr>
        <w:spacing w:beforeLines="0" w:afterLines="0" w:line="288" w:lineRule="auto"/>
        <w:rPr>
          <w:rFonts w:hint="eastAsia" w:ascii="宋体" w:hAnsi="宋体" w:cs="宋体"/>
          <w:color w:val="auto"/>
          <w:highlight w:val="none"/>
        </w:rPr>
      </w:pPr>
      <w:bookmarkStart w:id="290" w:name="_Toc21724"/>
      <w:r>
        <w:rPr>
          <w:rFonts w:hint="eastAsia" w:ascii="宋体" w:hAnsi="宋体" w:cs="宋体"/>
          <w:color w:val="auto"/>
          <w:highlight w:val="none"/>
        </w:rPr>
        <w:t>七、合同签订</w:t>
      </w:r>
      <w:bookmarkEnd w:id="290"/>
    </w:p>
    <w:p w14:paraId="4D3C490E">
      <w:pPr>
        <w:numPr>
          <w:ilvl w:val="0"/>
          <w:numId w:val="4"/>
        </w:numP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合同签订</w:t>
      </w:r>
    </w:p>
    <w:p w14:paraId="1CCB8D82">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22.1中标人须在中标通知书发出之日起30日内按指定的时间、地点与采购人签订采购合同。由于中标人的原因逾期未与采购人签订采购合同的，将视为放弃中标，取消其中标资格并将按相关规定进行处理。</w:t>
      </w:r>
    </w:p>
    <w:p w14:paraId="48006B86">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22.2中标通知书、招标文件、澄清文件及中标人的投标文件等均为签订合同的依据。</w:t>
      </w:r>
    </w:p>
    <w:p w14:paraId="5329CF77">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22.3采购人不得向中标人提出任何不合理的要求，作为签订合同的条件，不得与中标人私下订立背离合同实质性内容的任何协议，所签订的合同不得对招标文件和中标人投标文件确定的事项进行修改。</w:t>
      </w:r>
    </w:p>
    <w:p w14:paraId="0608F5A1">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22.4中标人因自身原因放弃中标或因不可抗力不能履行合同的，或者违反法律法规、招标文件规定的，在符合法律法规规定下采购人可以与排位在中标人之后的中标候选人签订采购合同，或者重新招标。</w:t>
      </w:r>
    </w:p>
    <w:p w14:paraId="20C3DC76">
      <w:pPr>
        <w:numPr>
          <w:ilvl w:val="0"/>
          <w:numId w:val="4"/>
        </w:numP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补充合同</w:t>
      </w:r>
    </w:p>
    <w:p w14:paraId="14ED4C79">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采购合同履行中，采购人需要追加与合同标的相同的货物或者服务的，在不改变合同其他条款的前提下，可以与中标人协商签订补充合同，但所有补充合同的采购金额不得超过原合同采购金额的10%，该补充合同应当在原采购合同履行过程中，不得在原采购合同履行结束后，且采购货物、工程和服务的名称、价格、履约方式、验收标准等必须与原采购合同一致。</w:t>
      </w:r>
    </w:p>
    <w:p w14:paraId="6E9B7ADF">
      <w:pPr>
        <w:numPr>
          <w:ilvl w:val="0"/>
          <w:numId w:val="4"/>
        </w:numP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合同公告</w:t>
      </w:r>
    </w:p>
    <w:p w14:paraId="5DC5B0B3">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采购人应当自采购合同签订（双方当事人均已签字盖章）之日起2个工作日内，将采购合同在浙江政府采购网公告，但采购合同中涉及国家秘密、商业秘密的内容除外。</w:t>
      </w:r>
    </w:p>
    <w:p w14:paraId="0418AE41">
      <w:pPr>
        <w:numPr>
          <w:ilvl w:val="0"/>
          <w:numId w:val="4"/>
        </w:numP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合同备案</w:t>
      </w:r>
    </w:p>
    <w:p w14:paraId="41E1A451">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25.1中标人与采购人签订合同后，合同双方应严格执行合同条款，履行合同规定的义务，保证合同的顺利完成。</w:t>
      </w:r>
    </w:p>
    <w:p w14:paraId="086993D1">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25.2在合同履行过程中，如发生合同纠纷，合同双方应按照《中华人民共和国民法典》的有关规定进行处理。</w:t>
      </w:r>
    </w:p>
    <w:p w14:paraId="55586AFA">
      <w:pPr>
        <w:pStyle w:val="3"/>
        <w:numPr>
          <w:ilvl w:val="1"/>
          <w:numId w:val="0"/>
        </w:numPr>
        <w:spacing w:beforeLines="0" w:afterLines="0" w:line="288" w:lineRule="auto"/>
        <w:rPr>
          <w:rFonts w:hint="eastAsia" w:ascii="宋体" w:hAnsi="宋体" w:cs="宋体"/>
          <w:color w:val="auto"/>
          <w:highlight w:val="none"/>
        </w:rPr>
      </w:pPr>
      <w:bookmarkStart w:id="291" w:name="_Toc23561"/>
      <w:r>
        <w:rPr>
          <w:rFonts w:hint="eastAsia" w:ascii="宋体" w:hAnsi="宋体" w:cs="宋体"/>
          <w:color w:val="auto"/>
          <w:highlight w:val="none"/>
        </w:rPr>
        <w:t>八、质疑与投诉</w:t>
      </w:r>
      <w:bookmarkEnd w:id="291"/>
    </w:p>
    <w:p w14:paraId="3C0CDF8C">
      <w:pPr>
        <w:numPr>
          <w:ilvl w:val="0"/>
          <w:numId w:val="4"/>
        </w:numP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质疑提出</w:t>
      </w:r>
    </w:p>
    <w:p w14:paraId="54E8D8D2">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26.1符合《中华人民共和国政府采购法》《中华人民共和国政府采购法实施条例》《</w:t>
      </w:r>
      <w:r>
        <w:rPr>
          <w:rStyle w:val="46"/>
          <w:rFonts w:hint="eastAsia" w:ascii="宋体" w:hAnsi="宋体" w:cs="宋体"/>
          <w:b w:val="0"/>
          <w:bCs w:val="0"/>
          <w:color w:val="auto"/>
          <w:highlight w:val="none"/>
          <w:shd w:val="clear" w:color="auto" w:fill="FFFFFF"/>
        </w:rPr>
        <w:t>政府采购质疑和投诉办法</w:t>
      </w:r>
      <w:r>
        <w:rPr>
          <w:rFonts w:hint="eastAsia" w:ascii="宋体" w:hAnsi="宋体" w:cs="宋体"/>
          <w:color w:val="auto"/>
          <w:highlight w:val="none"/>
        </w:rPr>
        <w:t>》</w:t>
      </w:r>
      <w:r>
        <w:rPr>
          <w:rStyle w:val="46"/>
          <w:rFonts w:hint="eastAsia" w:ascii="宋体" w:hAnsi="宋体" w:cs="宋体"/>
          <w:b w:val="0"/>
          <w:bCs w:val="0"/>
          <w:color w:val="auto"/>
          <w:highlight w:val="none"/>
          <w:shd w:val="clear" w:color="auto" w:fill="FFFFFF"/>
        </w:rPr>
        <w:t>（财政部令第94号）</w:t>
      </w:r>
      <w:r>
        <w:rPr>
          <w:rFonts w:hint="eastAsia" w:ascii="宋体" w:hAnsi="宋体" w:cs="宋体"/>
          <w:color w:val="auto"/>
          <w:highlight w:val="none"/>
        </w:rPr>
        <w:t>等有关法律法规规定。</w:t>
      </w:r>
    </w:p>
    <w:p w14:paraId="03D2DDC3">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bCs/>
          <w:color w:val="auto"/>
          <w:highlight w:val="none"/>
        </w:rPr>
        <w:t>26.2提交的质疑函与投诉书应符合</w:t>
      </w:r>
      <w:r>
        <w:rPr>
          <w:rFonts w:hint="eastAsia" w:ascii="宋体" w:hAnsi="宋体" w:cs="宋体"/>
          <w:color w:val="auto"/>
          <w:highlight w:val="none"/>
          <w:shd w:val="clear" w:color="auto" w:fill="FFFFFF"/>
        </w:rPr>
        <w:t>财政部《</w:t>
      </w:r>
      <w:r>
        <w:rPr>
          <w:color w:val="auto"/>
          <w:highlight w:val="none"/>
        </w:rPr>
        <w:fldChar w:fldCharType="begin"/>
      </w:r>
      <w:r>
        <w:rPr>
          <w:color w:val="auto"/>
          <w:highlight w:val="none"/>
        </w:rPr>
        <w:instrText xml:space="preserve"> HYPERLINK "http://www.caigou2003.com/" </w:instrText>
      </w:r>
      <w:r>
        <w:rPr>
          <w:color w:val="auto"/>
          <w:highlight w:val="none"/>
        </w:rPr>
        <w:fldChar w:fldCharType="separate"/>
      </w:r>
      <w:r>
        <w:rPr>
          <w:rStyle w:val="48"/>
          <w:rFonts w:hint="eastAsia" w:ascii="宋体" w:hAnsi="宋体" w:cs="宋体"/>
          <w:color w:val="auto"/>
          <w:highlight w:val="none"/>
          <w:shd w:val="clear" w:color="auto" w:fill="FFFFFF"/>
        </w:rPr>
        <w:t>政府采购</w:t>
      </w:r>
      <w:r>
        <w:rPr>
          <w:rStyle w:val="48"/>
          <w:rFonts w:hint="eastAsia" w:ascii="宋体" w:hAnsi="宋体" w:cs="宋体"/>
          <w:color w:val="auto"/>
          <w:highlight w:val="none"/>
          <w:shd w:val="clear" w:color="auto" w:fill="FFFFFF"/>
        </w:rPr>
        <w:fldChar w:fldCharType="end"/>
      </w:r>
      <w:r>
        <w:rPr>
          <w:rFonts w:hint="eastAsia" w:ascii="宋体" w:hAnsi="宋体" w:cs="宋体"/>
          <w:color w:val="auto"/>
          <w:highlight w:val="none"/>
        </w:rPr>
        <w:t>供应商</w:t>
      </w:r>
      <w:r>
        <w:rPr>
          <w:rFonts w:hint="eastAsia" w:ascii="宋体" w:hAnsi="宋体" w:cs="宋体"/>
          <w:color w:val="auto"/>
          <w:highlight w:val="none"/>
          <w:shd w:val="clear" w:color="auto" w:fill="FFFFFF"/>
        </w:rPr>
        <w:t>质疑函范本》和《</w:t>
      </w:r>
      <w:r>
        <w:rPr>
          <w:color w:val="auto"/>
          <w:highlight w:val="none"/>
        </w:rPr>
        <w:fldChar w:fldCharType="begin"/>
      </w:r>
      <w:r>
        <w:rPr>
          <w:color w:val="auto"/>
          <w:highlight w:val="none"/>
        </w:rPr>
        <w:instrText xml:space="preserve"> HYPERLINK "http://www.caigou2003.com/" </w:instrText>
      </w:r>
      <w:r>
        <w:rPr>
          <w:color w:val="auto"/>
          <w:highlight w:val="none"/>
        </w:rPr>
        <w:fldChar w:fldCharType="separate"/>
      </w:r>
      <w:r>
        <w:rPr>
          <w:rStyle w:val="48"/>
          <w:rFonts w:hint="eastAsia" w:ascii="宋体" w:hAnsi="宋体" w:cs="宋体"/>
          <w:color w:val="auto"/>
          <w:highlight w:val="none"/>
          <w:shd w:val="clear" w:color="auto" w:fill="FFFFFF"/>
        </w:rPr>
        <w:t>政府采购</w:t>
      </w:r>
      <w:r>
        <w:rPr>
          <w:rStyle w:val="48"/>
          <w:rFonts w:hint="eastAsia" w:ascii="宋体" w:hAnsi="宋体" w:cs="宋体"/>
          <w:color w:val="auto"/>
          <w:highlight w:val="none"/>
          <w:shd w:val="clear" w:color="auto" w:fill="FFFFFF"/>
        </w:rPr>
        <w:fldChar w:fldCharType="end"/>
      </w:r>
      <w:r>
        <w:rPr>
          <w:rFonts w:hint="eastAsia" w:ascii="宋体" w:hAnsi="宋体" w:cs="宋体"/>
          <w:color w:val="auto"/>
          <w:highlight w:val="none"/>
        </w:rPr>
        <w:t>供应商</w:t>
      </w:r>
      <w:r>
        <w:rPr>
          <w:rFonts w:hint="eastAsia" w:ascii="宋体" w:hAnsi="宋体" w:cs="宋体"/>
          <w:color w:val="auto"/>
          <w:highlight w:val="none"/>
          <w:shd w:val="clear" w:color="auto" w:fill="FFFFFF"/>
        </w:rPr>
        <w:t>投诉书范本》要求。</w:t>
      </w:r>
    </w:p>
    <w:p w14:paraId="4B9243C7">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26.3投标人认为采购公告、招标文件、采购过程和中标结果使自己的权益受到损害的，可以在知道或者应知其权益受到损害之日起7个工作日内，以书面形式向采购人、采购代理机构提出质疑。投标人在法定质疑期内一次性提出针对同一采购程序环节的质疑</w:t>
      </w:r>
      <w:r>
        <w:rPr>
          <w:rFonts w:hint="eastAsia" w:ascii="宋体" w:hAnsi="宋体" w:cs="宋体"/>
          <w:bCs/>
          <w:color w:val="auto"/>
          <w:highlight w:val="none"/>
        </w:rPr>
        <w:t>。</w:t>
      </w:r>
    </w:p>
    <w:p w14:paraId="453EFD23">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26.4潜在供应商已依法获取招标文件，可以对该文件提出质疑。采购人拒绝受理未提交投标文件的供应商对采购过程和中标结果质疑。</w:t>
      </w:r>
    </w:p>
    <w:p w14:paraId="1C820B5F">
      <w:pPr>
        <w:numPr>
          <w:ilvl w:val="0"/>
          <w:numId w:val="4"/>
        </w:numP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质疑提出起算日期</w:t>
      </w:r>
    </w:p>
    <w:p w14:paraId="43FB0551">
      <w:pPr>
        <w:pStyle w:val="36"/>
        <w:widowControl w:val="0"/>
        <w:numPr>
          <w:ilvl w:val="0"/>
          <w:numId w:val="6"/>
        </w:numPr>
        <w:tabs>
          <w:tab w:val="clear" w:pos="397"/>
        </w:tabs>
        <w:adjustRightInd w:val="0"/>
        <w:snapToGrid w:val="0"/>
        <w:spacing w:line="312" w:lineRule="auto"/>
        <w:ind w:left="0" w:firstLine="480"/>
        <w:jc w:val="both"/>
        <w:rPr>
          <w:rFonts w:hint="eastAsia" w:ascii="宋体" w:hAnsi="宋体" w:cs="宋体"/>
          <w:color w:val="auto"/>
          <w:highlight w:val="none"/>
        </w:rPr>
      </w:pPr>
      <w:r>
        <w:rPr>
          <w:rFonts w:hint="eastAsia" w:ascii="宋体" w:hAnsi="宋体" w:cs="宋体"/>
          <w:color w:val="auto"/>
          <w:highlight w:val="none"/>
        </w:rPr>
        <w:t>对采购公告和招标文件提出质疑的，自</w:t>
      </w:r>
      <w:r>
        <w:rPr>
          <w:rFonts w:hint="eastAsia" w:ascii="宋体" w:hAnsi="宋体" w:cs="宋体"/>
          <w:snapToGrid w:val="0"/>
          <w:color w:val="auto"/>
          <w:highlight w:val="none"/>
        </w:rPr>
        <w:t>公告发布后的第6个工作日开始</w:t>
      </w:r>
      <w:r>
        <w:rPr>
          <w:rFonts w:hint="eastAsia" w:ascii="宋体" w:hAnsi="宋体" w:cs="宋体"/>
          <w:color w:val="auto"/>
          <w:highlight w:val="none"/>
        </w:rPr>
        <w:t>计算。</w:t>
      </w:r>
    </w:p>
    <w:p w14:paraId="1007CB0C">
      <w:pPr>
        <w:pStyle w:val="36"/>
        <w:widowControl w:val="0"/>
        <w:numPr>
          <w:ilvl w:val="0"/>
          <w:numId w:val="6"/>
        </w:numPr>
        <w:tabs>
          <w:tab w:val="clear" w:pos="397"/>
        </w:tabs>
        <w:adjustRightInd w:val="0"/>
        <w:snapToGrid w:val="0"/>
        <w:spacing w:line="312" w:lineRule="auto"/>
        <w:ind w:left="0" w:firstLine="480"/>
        <w:jc w:val="both"/>
        <w:rPr>
          <w:rFonts w:hint="eastAsia" w:ascii="宋体" w:hAnsi="宋体" w:cs="宋体"/>
          <w:color w:val="auto"/>
          <w:highlight w:val="none"/>
        </w:rPr>
      </w:pPr>
      <w:r>
        <w:rPr>
          <w:rFonts w:hint="eastAsia" w:ascii="宋体" w:hAnsi="宋体" w:cs="宋体"/>
          <w:color w:val="auto"/>
          <w:highlight w:val="none"/>
        </w:rPr>
        <w:t>对采购过程提出质疑的，质疑期限自各采购程序环节结束之日起计算。</w:t>
      </w:r>
    </w:p>
    <w:p w14:paraId="16053DF0">
      <w:pPr>
        <w:pStyle w:val="36"/>
        <w:widowControl w:val="0"/>
        <w:numPr>
          <w:ilvl w:val="0"/>
          <w:numId w:val="6"/>
        </w:numPr>
        <w:tabs>
          <w:tab w:val="clear" w:pos="397"/>
        </w:tabs>
        <w:adjustRightInd w:val="0"/>
        <w:snapToGrid w:val="0"/>
        <w:spacing w:line="312" w:lineRule="auto"/>
        <w:ind w:left="0" w:firstLine="480"/>
        <w:jc w:val="both"/>
        <w:rPr>
          <w:rFonts w:hint="eastAsia" w:ascii="宋体" w:hAnsi="宋体" w:cs="宋体"/>
          <w:color w:val="auto"/>
          <w:highlight w:val="none"/>
        </w:rPr>
      </w:pPr>
      <w:r>
        <w:rPr>
          <w:rFonts w:hint="eastAsia" w:ascii="宋体" w:hAnsi="宋体" w:cs="宋体"/>
          <w:color w:val="auto"/>
          <w:highlight w:val="none"/>
        </w:rPr>
        <w:t>对采购结果提出质疑的，质疑期限自采购结果公告（包括公示、预公告、结果变更公告等）之日起计算。</w:t>
      </w:r>
    </w:p>
    <w:p w14:paraId="6225EAF7">
      <w:pPr>
        <w:pStyle w:val="36"/>
        <w:widowControl w:val="0"/>
        <w:numPr>
          <w:ilvl w:val="0"/>
          <w:numId w:val="6"/>
        </w:numPr>
        <w:tabs>
          <w:tab w:val="clear" w:pos="397"/>
        </w:tabs>
        <w:adjustRightInd w:val="0"/>
        <w:snapToGrid w:val="0"/>
        <w:spacing w:line="312" w:lineRule="auto"/>
        <w:ind w:left="0" w:firstLine="480"/>
        <w:jc w:val="both"/>
        <w:rPr>
          <w:rFonts w:hint="eastAsia" w:ascii="宋体" w:hAnsi="宋体" w:cs="宋体"/>
          <w:color w:val="auto"/>
          <w:highlight w:val="none"/>
        </w:rPr>
      </w:pPr>
      <w:r>
        <w:rPr>
          <w:rFonts w:hint="eastAsia" w:ascii="宋体" w:hAnsi="宋体" w:cs="宋体"/>
          <w:color w:val="auto"/>
          <w:highlight w:val="none"/>
        </w:rPr>
        <w:t>供应商逾期提出质疑的，采购人或采购代理机构均不予受理和答复。</w:t>
      </w:r>
    </w:p>
    <w:p w14:paraId="63B3EA35">
      <w:pPr>
        <w:numPr>
          <w:ilvl w:val="0"/>
          <w:numId w:val="4"/>
        </w:numP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质疑答复</w:t>
      </w:r>
    </w:p>
    <w:p w14:paraId="082CE35A">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采购人应当在收到</w:t>
      </w:r>
      <w:r>
        <w:rPr>
          <w:rFonts w:hint="eastAsia" w:ascii="宋体" w:hAnsi="宋体" w:cs="宋体"/>
          <w:bCs/>
          <w:color w:val="auto"/>
          <w:highlight w:val="none"/>
        </w:rPr>
        <w:t>供应商</w:t>
      </w:r>
      <w:r>
        <w:rPr>
          <w:rFonts w:hint="eastAsia" w:ascii="宋体" w:hAnsi="宋体" w:cs="宋体"/>
          <w:color w:val="auto"/>
          <w:highlight w:val="none"/>
        </w:rPr>
        <w:t>的书面质疑后7个工作日内作出答复，并以书面形式通知质疑供应商和其他与质疑处理结果有利害关系的采购当事人，但答复的内容不得涉及商业秘密。</w:t>
      </w:r>
    </w:p>
    <w:p w14:paraId="3D1A9CFB">
      <w:pPr>
        <w:numPr>
          <w:ilvl w:val="0"/>
          <w:numId w:val="4"/>
        </w:numP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投诉</w:t>
      </w:r>
    </w:p>
    <w:p w14:paraId="4105263F">
      <w:pPr>
        <w:pStyle w:val="36"/>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bCs/>
          <w:color w:val="auto"/>
          <w:highlight w:val="none"/>
        </w:rPr>
        <w:t>29.1质疑供应商</w:t>
      </w:r>
      <w:r>
        <w:rPr>
          <w:rFonts w:hint="eastAsia" w:ascii="宋体" w:hAnsi="宋体" w:cs="宋体"/>
          <w:color w:val="auto"/>
          <w:highlight w:val="none"/>
        </w:rPr>
        <w:t>对采购人未在规定时间内作出答复的，可以在答复期满后15个工作日内向</w:t>
      </w:r>
      <w:r>
        <w:rPr>
          <w:rFonts w:hint="eastAsia" w:ascii="宋体" w:hAnsi="宋体" w:cs="宋体"/>
          <w:bCs/>
          <w:color w:val="auto"/>
          <w:highlight w:val="none"/>
        </w:rPr>
        <w:t>龙游县财政局政府采购监管科投诉</w:t>
      </w:r>
      <w:r>
        <w:rPr>
          <w:rFonts w:hint="eastAsia" w:ascii="宋体" w:hAnsi="宋体" w:cs="宋体"/>
          <w:color w:val="auto"/>
          <w:highlight w:val="none"/>
        </w:rPr>
        <w:t>。若对质疑答复不满意的，应当自答复的次日起15个工作日内向</w:t>
      </w:r>
      <w:r>
        <w:rPr>
          <w:rFonts w:hint="eastAsia" w:ascii="宋体" w:hAnsi="宋体" w:cs="宋体"/>
          <w:bCs/>
          <w:color w:val="auto"/>
          <w:highlight w:val="none"/>
        </w:rPr>
        <w:t>龙游县财政局政府采购监管科投诉。</w:t>
      </w:r>
    </w:p>
    <w:p w14:paraId="7D990949">
      <w:pPr>
        <w:pStyle w:val="3"/>
        <w:numPr>
          <w:ilvl w:val="1"/>
          <w:numId w:val="0"/>
        </w:numPr>
        <w:adjustRightInd w:val="0"/>
        <w:snapToGrid w:val="0"/>
        <w:spacing w:beforeLines="0" w:afterLines="0" w:line="312" w:lineRule="auto"/>
        <w:ind w:firstLine="480" w:firstLineChars="200"/>
        <w:jc w:val="both"/>
        <w:rPr>
          <w:rFonts w:hint="eastAsia" w:ascii="宋体" w:hAnsi="宋体" w:cs="宋体"/>
          <w:bCs w:val="0"/>
          <w:color w:val="auto"/>
          <w:sz w:val="24"/>
          <w:szCs w:val="24"/>
          <w:highlight w:val="none"/>
        </w:rPr>
      </w:pPr>
      <w:bookmarkStart w:id="292" w:name="_Toc12775"/>
      <w:bookmarkStart w:id="293" w:name="_Toc24688"/>
      <w:bookmarkStart w:id="294" w:name="_Toc6902"/>
      <w:bookmarkStart w:id="295" w:name="_Toc13957"/>
      <w:bookmarkStart w:id="296" w:name="_Toc23958"/>
      <w:r>
        <w:rPr>
          <w:rFonts w:hint="eastAsia" w:ascii="宋体" w:hAnsi="宋体" w:cs="宋体"/>
          <w:bCs w:val="0"/>
          <w:color w:val="auto"/>
          <w:sz w:val="24"/>
          <w:szCs w:val="24"/>
          <w:highlight w:val="none"/>
        </w:rPr>
        <w:t>29.2供应商提交的投诉书应符合财政部《政府采购供应商质疑函范本》要求。</w:t>
      </w:r>
      <w:bookmarkEnd w:id="292"/>
      <w:bookmarkEnd w:id="293"/>
      <w:bookmarkEnd w:id="294"/>
      <w:bookmarkEnd w:id="295"/>
      <w:bookmarkEnd w:id="296"/>
    </w:p>
    <w:p w14:paraId="730643E1">
      <w:pPr>
        <w:pStyle w:val="3"/>
        <w:numPr>
          <w:ilvl w:val="1"/>
          <w:numId w:val="0"/>
        </w:numPr>
        <w:adjustRightInd w:val="0"/>
        <w:snapToGrid w:val="0"/>
        <w:spacing w:beforeLines="0" w:afterLines="0" w:line="312" w:lineRule="auto"/>
        <w:rPr>
          <w:rFonts w:hint="eastAsia" w:ascii="宋体" w:hAnsi="宋体" w:cs="宋体"/>
          <w:color w:val="auto"/>
          <w:highlight w:val="none"/>
        </w:rPr>
      </w:pPr>
      <w:bookmarkStart w:id="297" w:name="_Toc23076"/>
      <w:r>
        <w:rPr>
          <w:rFonts w:hint="eastAsia" w:ascii="宋体" w:hAnsi="宋体" w:cs="宋体"/>
          <w:color w:val="auto"/>
          <w:highlight w:val="none"/>
        </w:rPr>
        <w:t>九、投标纪律要求</w:t>
      </w:r>
      <w:bookmarkEnd w:id="297"/>
    </w:p>
    <w:p w14:paraId="5267136F">
      <w:pPr>
        <w:numPr>
          <w:ilvl w:val="0"/>
          <w:numId w:val="4"/>
        </w:numPr>
        <w:tabs>
          <w:tab w:val="left" w:pos="0"/>
        </w:tabs>
        <w:adjustRightInd w:val="0"/>
        <w:snapToGrid w:val="0"/>
        <w:spacing w:line="312" w:lineRule="auto"/>
        <w:ind w:left="0" w:firstLine="482"/>
        <w:rPr>
          <w:rFonts w:hint="eastAsia" w:ascii="宋体" w:hAnsi="宋体" w:cs="宋体"/>
          <w:b/>
          <w:bCs/>
          <w:color w:val="auto"/>
          <w:highlight w:val="none"/>
        </w:rPr>
      </w:pPr>
      <w:r>
        <w:rPr>
          <w:rFonts w:hint="eastAsia" w:ascii="宋体" w:hAnsi="宋体" w:cs="宋体"/>
          <w:b/>
          <w:bCs/>
          <w:color w:val="auto"/>
          <w:highlight w:val="none"/>
        </w:rPr>
        <w:t>供应商</w:t>
      </w:r>
      <w:r>
        <w:rPr>
          <w:rFonts w:ascii="宋体" w:hAnsi="宋体" w:cs="宋体"/>
          <w:b/>
          <w:bCs/>
          <w:color w:val="auto"/>
          <w:highlight w:val="none"/>
        </w:rPr>
        <w:t>参加本项目投标不得有下列情形</w:t>
      </w:r>
    </w:p>
    <w:p w14:paraId="57617D89">
      <w:pPr>
        <w:pStyle w:val="36"/>
        <w:widowControl w:val="0"/>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color w:val="auto"/>
          <w:highlight w:val="none"/>
        </w:rPr>
        <w:t>供应商有下列情形之一的，处以政府采购项目中标金额5‰以上10‰以下的罚款，列入不良行为记录名单，在一至三年内禁止参加采购活动，并予以公告，有违法所得的，并处没收违法所得,情节严重的，由工商行政管理机关吊销营业执照，构成犯罪的，依法追究刑事责任。</w:t>
      </w:r>
      <w:r>
        <w:rPr>
          <w:rFonts w:hint="eastAsia" w:ascii="宋体" w:hAnsi="宋体" w:cs="宋体"/>
          <w:snapToGrid w:val="0"/>
          <w:color w:val="auto"/>
          <w:highlight w:val="none"/>
        </w:rPr>
        <w:t>同时将取消中标资格或者认定中标无效：</w:t>
      </w:r>
    </w:p>
    <w:p w14:paraId="5219E668">
      <w:pPr>
        <w:pStyle w:val="36"/>
        <w:widowControl w:val="0"/>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30.1提供虚假材料谋取中标；</w:t>
      </w:r>
    </w:p>
    <w:p w14:paraId="46A9045D">
      <w:pPr>
        <w:pStyle w:val="36"/>
        <w:widowControl w:val="0"/>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30.2采取不正当手段诋毁、排挤其他供应商；</w:t>
      </w:r>
    </w:p>
    <w:p w14:paraId="5D1942CB">
      <w:pPr>
        <w:pStyle w:val="36"/>
        <w:widowControl w:val="0"/>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30.3与采购人、其他供应商恶意串通；</w:t>
      </w:r>
    </w:p>
    <w:p w14:paraId="2D244BE0">
      <w:pPr>
        <w:pStyle w:val="36"/>
        <w:widowControl w:val="0"/>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30.4向采购人、评标委员会成员行贿或者提供其他不正当利益；</w:t>
      </w:r>
    </w:p>
    <w:p w14:paraId="647F99F4">
      <w:pPr>
        <w:pStyle w:val="36"/>
        <w:widowControl w:val="0"/>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30.5在招标过程中与采购人进行协商谈判；</w:t>
      </w:r>
    </w:p>
    <w:p w14:paraId="0E420DB8">
      <w:pPr>
        <w:pStyle w:val="36"/>
        <w:widowControl w:val="0"/>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color w:val="auto"/>
          <w:highlight w:val="none"/>
        </w:rPr>
        <w:t>30.6中标人无正当理由拖延或者不与采购人采购合同</w:t>
      </w:r>
      <w:r>
        <w:rPr>
          <w:rFonts w:hint="eastAsia" w:ascii="宋体" w:hAnsi="宋体" w:cs="宋体"/>
          <w:snapToGrid w:val="0"/>
          <w:color w:val="auto"/>
          <w:highlight w:val="none"/>
        </w:rPr>
        <w:t>；</w:t>
      </w:r>
    </w:p>
    <w:p w14:paraId="17150AC9">
      <w:pPr>
        <w:pStyle w:val="36"/>
        <w:widowControl w:val="0"/>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30.7未按照招标文件确定的事项签订采购合同；</w:t>
      </w:r>
    </w:p>
    <w:p w14:paraId="1D4B8AAD">
      <w:pPr>
        <w:pStyle w:val="36"/>
        <w:widowControl w:val="0"/>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30.8将采购合同转包；</w:t>
      </w:r>
    </w:p>
    <w:p w14:paraId="7613D786">
      <w:pPr>
        <w:pStyle w:val="36"/>
        <w:widowControl w:val="0"/>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30.9提供假冒伪劣产品；</w:t>
      </w:r>
    </w:p>
    <w:p w14:paraId="72403739">
      <w:pPr>
        <w:pStyle w:val="36"/>
        <w:widowControl w:val="0"/>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30.10擅自变更、中止或者终止采购合同；</w:t>
      </w:r>
    </w:p>
    <w:p w14:paraId="2493762D">
      <w:pPr>
        <w:pStyle w:val="36"/>
        <w:widowControl w:val="0"/>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30.11拒绝有关部门的监督检查或者向监督检查部门提供虚假情况；</w:t>
      </w:r>
    </w:p>
    <w:p w14:paraId="4829688D">
      <w:pPr>
        <w:pStyle w:val="36"/>
        <w:widowControl w:val="0"/>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30.12法律法规规定的其他情形。</w:t>
      </w:r>
    </w:p>
    <w:p w14:paraId="779CB8A5">
      <w:pPr>
        <w:pStyle w:val="3"/>
        <w:numPr>
          <w:ilvl w:val="1"/>
          <w:numId w:val="0"/>
        </w:numPr>
        <w:snapToGrid w:val="0"/>
        <w:spacing w:before="218" w:after="218"/>
        <w:rPr>
          <w:rFonts w:hint="eastAsia" w:ascii="宋体" w:hAnsi="宋体" w:cs="宋体"/>
          <w:color w:val="auto"/>
          <w:highlight w:val="none"/>
        </w:rPr>
      </w:pPr>
      <w:bookmarkStart w:id="298" w:name="_Toc6722"/>
      <w:bookmarkStart w:id="299" w:name="_Toc21114"/>
      <w:r>
        <w:rPr>
          <w:rFonts w:hint="eastAsia" w:ascii="宋体" w:hAnsi="宋体" w:cs="宋体"/>
          <w:color w:val="auto"/>
          <w:highlight w:val="none"/>
          <w:lang w:bidi="ar"/>
        </w:rPr>
        <w:t>十、投标无效的情形</w:t>
      </w:r>
      <w:bookmarkEnd w:id="298"/>
      <w:bookmarkEnd w:id="299"/>
    </w:p>
    <w:p w14:paraId="52648076">
      <w:pPr>
        <w:numPr>
          <w:ilvl w:val="0"/>
          <w:numId w:val="4"/>
        </w:numPr>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实质上没有响应招标文件要求的投标将被视为无效投标。投标人不得通过修正或撤销不合要求的偏离或保留从而使其投标成为实质上响应的投标。如发生下列情况之一的，其投标视为无效：</w:t>
      </w:r>
    </w:p>
    <w:p w14:paraId="74A105B5">
      <w:pPr>
        <w:snapToGrid w:val="0"/>
        <w:spacing w:line="312" w:lineRule="auto"/>
        <w:ind w:firstLine="480"/>
        <w:jc w:val="left"/>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31.1 不符合本次采购投标人资格要求的；</w:t>
      </w:r>
    </w:p>
    <w:p w14:paraId="6064DE99">
      <w:pPr>
        <w:snapToGrid w:val="0"/>
        <w:spacing w:line="312" w:lineRule="auto"/>
        <w:ind w:firstLine="480"/>
        <w:jc w:val="left"/>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31.2 评标委员会判定投标人涂改证明材料或者提供虚假材料和承诺的；</w:t>
      </w:r>
    </w:p>
    <w:p w14:paraId="18BC7883">
      <w:pPr>
        <w:snapToGrid w:val="0"/>
        <w:spacing w:line="312" w:lineRule="auto"/>
        <w:ind w:firstLine="480"/>
        <w:jc w:val="left"/>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31.3 资格要求、实质性要求须提供证明材料原件扫描件，而未提供的；</w:t>
      </w:r>
    </w:p>
    <w:p w14:paraId="116806C5">
      <w:pPr>
        <w:snapToGrid w:val="0"/>
        <w:spacing w:line="312" w:lineRule="auto"/>
        <w:ind w:firstLine="480"/>
        <w:jc w:val="left"/>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31.4 仅提供备份投标文件的；</w:t>
      </w:r>
    </w:p>
    <w:p w14:paraId="5ED86A7D">
      <w:pPr>
        <w:snapToGrid w:val="0"/>
        <w:spacing w:line="312" w:lineRule="auto"/>
        <w:ind w:firstLine="480"/>
        <w:jc w:val="left"/>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31.5 电子投标文件解密失败，且未在规定时间内递交备份投标文件的；</w:t>
      </w:r>
    </w:p>
    <w:p w14:paraId="2F7A1CB8">
      <w:pPr>
        <w:snapToGrid w:val="0"/>
        <w:spacing w:line="312" w:lineRule="auto"/>
        <w:ind w:firstLine="480"/>
        <w:jc w:val="left"/>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31.6 电子投标文件解密失败，虽然在规定时间内递交了备份投标文件，但是备份投标文件无法导入或者无法读取或者不符合本招标文件和政采云平台要求的；</w:t>
      </w:r>
    </w:p>
    <w:p w14:paraId="7AAC9A7A">
      <w:pPr>
        <w:snapToGrid w:val="0"/>
        <w:spacing w:line="312" w:lineRule="auto"/>
        <w:ind w:firstLine="480"/>
        <w:jc w:val="left"/>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31.7 投标文件应盖章而未盖章的、应签字而未签或漏签字的；</w:t>
      </w:r>
    </w:p>
    <w:p w14:paraId="4AAF4024">
      <w:pPr>
        <w:snapToGrid w:val="0"/>
        <w:spacing w:line="312" w:lineRule="auto"/>
        <w:ind w:firstLine="480"/>
        <w:jc w:val="left"/>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31.8 报价超过招标文件中规定的最高限价的；</w:t>
      </w:r>
    </w:p>
    <w:p w14:paraId="403C8ECD">
      <w:pPr>
        <w:snapToGrid w:val="0"/>
        <w:spacing w:line="312" w:lineRule="auto"/>
        <w:ind w:firstLine="480"/>
        <w:jc w:val="left"/>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31.9 不按照招标文件规定报价、没有分项报价、拒绝报价、有多个报价（招标文件规定的除外）、有选择性报价、附有条件的报价或者拒绝修正报价的；</w:t>
      </w:r>
    </w:p>
    <w:p w14:paraId="6E3F33A0">
      <w:pPr>
        <w:snapToGrid w:val="0"/>
        <w:spacing w:line="312" w:lineRule="auto"/>
        <w:ind w:firstLine="480"/>
        <w:jc w:val="left"/>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31.10 标注“▲”条款，未实质性响应或者不允许偏离的实质性要求和条件而发生偏任何一项缺失的；</w:t>
      </w:r>
    </w:p>
    <w:p w14:paraId="09AC6336">
      <w:pPr>
        <w:snapToGrid w:val="0"/>
        <w:spacing w:line="312" w:lineRule="auto"/>
        <w:ind w:firstLine="480"/>
        <w:jc w:val="left"/>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31.11 投标文件含有采购人不能接受的附加条件的；</w:t>
      </w:r>
    </w:p>
    <w:p w14:paraId="3566B941">
      <w:pPr>
        <w:snapToGrid w:val="0"/>
        <w:spacing w:line="312" w:lineRule="auto"/>
        <w:ind w:firstLine="480"/>
        <w:jc w:val="left"/>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31.12 法律法规和招标文件规定的其他无效情形。</w:t>
      </w:r>
    </w:p>
    <w:p w14:paraId="40DDB3A7">
      <w:pPr>
        <w:snapToGrid w:val="0"/>
        <w:spacing w:line="312"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lang w:bidi="ar"/>
        </w:rPr>
        <w:t>31.13投标人的报价明显高于其市场价或低于成本价的，该投标人不能合理说明原因并提供证明材料的；</w:t>
      </w:r>
    </w:p>
    <w:p w14:paraId="1441DA9F">
      <w:pPr>
        <w:snapToGrid w:val="0"/>
        <w:spacing w:line="312"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lang w:bidi="ar"/>
        </w:rPr>
        <w:t>31.14投标报价漏项超过投标报价5%以上的或漏项超过2项及以上的，均属无效投标；</w:t>
      </w:r>
    </w:p>
    <w:p w14:paraId="3D6CCE25">
      <w:pPr>
        <w:snapToGrid w:val="0"/>
        <w:spacing w:line="312"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lang w:bidi="ar"/>
        </w:rPr>
        <w:t>31.15报价超出采购预算价（最高限价）的；</w:t>
      </w:r>
    </w:p>
    <w:p w14:paraId="122D26C1">
      <w:pPr>
        <w:snapToGrid w:val="0"/>
        <w:spacing w:line="312"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lang w:bidi="ar"/>
        </w:rPr>
        <w:t>31.16提供虚假材料谋取中标的；</w:t>
      </w:r>
    </w:p>
    <w:p w14:paraId="69346E43">
      <w:pPr>
        <w:snapToGrid w:val="0"/>
        <w:spacing w:line="312" w:lineRule="auto"/>
        <w:ind w:firstLine="480"/>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31.17 MAC地址相同；</w:t>
      </w:r>
    </w:p>
    <w:p w14:paraId="1B76EA5E">
      <w:pPr>
        <w:snapToGrid w:val="0"/>
        <w:spacing w:line="312" w:lineRule="auto"/>
        <w:ind w:firstLine="480"/>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31.18计算机硬盘序列号相同；</w:t>
      </w:r>
    </w:p>
    <w:p w14:paraId="3C09CC73">
      <w:pPr>
        <w:snapToGrid w:val="0"/>
        <w:spacing w:line="312" w:lineRule="auto"/>
        <w:ind w:firstLine="480"/>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31.19投标文件细节错误一致且无合理解释的；</w:t>
      </w:r>
    </w:p>
    <w:p w14:paraId="5EF5295F">
      <w:pPr>
        <w:snapToGrid w:val="0"/>
        <w:spacing w:line="312" w:lineRule="auto"/>
        <w:ind w:firstLine="480"/>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31.20资信技术得分低于资信技术总分60%的；</w:t>
      </w:r>
    </w:p>
    <w:p w14:paraId="7E411A4B">
      <w:pPr>
        <w:snapToGrid w:val="0"/>
        <w:spacing w:line="312"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lang w:bidi="ar"/>
        </w:rPr>
        <w:t>31.21不符合法律法规和招标文件规定的其他实质性要求的。</w:t>
      </w:r>
    </w:p>
    <w:p w14:paraId="229AA7F5">
      <w:pPr>
        <w:snapToGrid w:val="0"/>
        <w:spacing w:line="312" w:lineRule="auto"/>
        <w:ind w:firstLine="480"/>
        <w:jc w:val="left"/>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对投标无效的认定，必须经评标委员会集体作出决定并出具投标无效的事实依据。</w:t>
      </w:r>
    </w:p>
    <w:p w14:paraId="222A2D75">
      <w:pPr>
        <w:pStyle w:val="3"/>
        <w:numPr>
          <w:ilvl w:val="1"/>
          <w:numId w:val="0"/>
        </w:numPr>
        <w:snapToGrid w:val="0"/>
        <w:spacing w:beforeLines="0" w:afterLines="0"/>
        <w:rPr>
          <w:rFonts w:hint="eastAsia" w:ascii="宋体" w:hAnsi="宋体" w:cs="宋体"/>
          <w:color w:val="auto"/>
          <w:highlight w:val="none"/>
          <w:lang w:bidi="ar"/>
        </w:rPr>
      </w:pPr>
      <w:bookmarkStart w:id="300" w:name="_Toc19565"/>
      <w:r>
        <w:rPr>
          <w:rFonts w:hint="eastAsia" w:ascii="宋体" w:hAnsi="宋体" w:cs="宋体"/>
          <w:color w:val="auto"/>
          <w:highlight w:val="none"/>
          <w:lang w:bidi="ar"/>
        </w:rPr>
        <w:t>十一、其 他</w:t>
      </w:r>
      <w:bookmarkEnd w:id="300"/>
    </w:p>
    <w:p w14:paraId="471EB7F9">
      <w:pPr>
        <w:numPr>
          <w:ilvl w:val="0"/>
          <w:numId w:val="4"/>
        </w:numP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采购代理服务费</w:t>
      </w:r>
    </w:p>
    <w:p w14:paraId="00849677">
      <w:pPr>
        <w:adjustRightInd w:val="0"/>
        <w:snapToGrid w:val="0"/>
        <w:spacing w:line="312"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rPr>
        <w:t>32.1</w:t>
      </w:r>
      <w:bookmarkStart w:id="301" w:name="OLE_LINK88"/>
      <w:r>
        <w:rPr>
          <w:rFonts w:hint="eastAsia" w:ascii="宋体" w:hAnsi="宋体" w:cs="宋体"/>
          <w:snapToGrid w:val="0"/>
          <w:color w:val="auto"/>
          <w:highlight w:val="none"/>
        </w:rPr>
        <w:t>本项目采购代理服务费参照浙价服〔2003〕77号文规定的收费标准额的60%计取，按各标的中标金额为基数分段计费，由中标人支付，在领取中标通知书时交于采购代理机构。</w:t>
      </w:r>
    </w:p>
    <w:bookmarkEnd w:id="301"/>
    <w:tbl>
      <w:tblPr>
        <w:tblStyle w:val="43"/>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2421"/>
        <w:gridCol w:w="1933"/>
        <w:gridCol w:w="2259"/>
      </w:tblGrid>
      <w:tr w14:paraId="2CBF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7" w:type="dxa"/>
          </w:tcPr>
          <w:p w14:paraId="798CFFE2">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中标金额（万元）</w:t>
            </w:r>
          </w:p>
        </w:tc>
        <w:tc>
          <w:tcPr>
            <w:tcW w:w="2421" w:type="dxa"/>
            <w:vAlign w:val="center"/>
          </w:tcPr>
          <w:p w14:paraId="31418B32">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货物招标</w:t>
            </w:r>
          </w:p>
        </w:tc>
        <w:tc>
          <w:tcPr>
            <w:tcW w:w="1933" w:type="dxa"/>
            <w:vAlign w:val="center"/>
          </w:tcPr>
          <w:p w14:paraId="3A85D98D">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服务招标</w:t>
            </w:r>
          </w:p>
        </w:tc>
        <w:tc>
          <w:tcPr>
            <w:tcW w:w="2259" w:type="dxa"/>
            <w:vAlign w:val="center"/>
          </w:tcPr>
          <w:p w14:paraId="3BF7CEA3">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工程招标</w:t>
            </w:r>
          </w:p>
        </w:tc>
      </w:tr>
      <w:tr w14:paraId="15D9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vAlign w:val="center"/>
          </w:tcPr>
          <w:p w14:paraId="3CB8DD84">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100以下</w:t>
            </w:r>
          </w:p>
        </w:tc>
        <w:tc>
          <w:tcPr>
            <w:tcW w:w="2421" w:type="dxa"/>
            <w:vAlign w:val="center"/>
          </w:tcPr>
          <w:p w14:paraId="1B16D810">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1.5%</w:t>
            </w:r>
          </w:p>
        </w:tc>
        <w:tc>
          <w:tcPr>
            <w:tcW w:w="1933" w:type="dxa"/>
            <w:vAlign w:val="center"/>
          </w:tcPr>
          <w:p w14:paraId="566B9FC0">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1.5%</w:t>
            </w:r>
          </w:p>
        </w:tc>
        <w:tc>
          <w:tcPr>
            <w:tcW w:w="2259" w:type="dxa"/>
            <w:vAlign w:val="center"/>
          </w:tcPr>
          <w:p w14:paraId="79DC5C97">
            <w:pPr>
              <w:snapToGrid w:val="0"/>
              <w:spacing w:line="312" w:lineRule="auto"/>
              <w:ind w:firstLine="48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1.0%</w:t>
            </w:r>
          </w:p>
        </w:tc>
      </w:tr>
      <w:tr w14:paraId="45AB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vAlign w:val="center"/>
          </w:tcPr>
          <w:p w14:paraId="444F5954">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100-500</w:t>
            </w:r>
          </w:p>
        </w:tc>
        <w:tc>
          <w:tcPr>
            <w:tcW w:w="2421" w:type="dxa"/>
            <w:vAlign w:val="center"/>
          </w:tcPr>
          <w:p w14:paraId="3322D012">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1.1%</w:t>
            </w:r>
          </w:p>
        </w:tc>
        <w:tc>
          <w:tcPr>
            <w:tcW w:w="1933" w:type="dxa"/>
            <w:vAlign w:val="center"/>
          </w:tcPr>
          <w:p w14:paraId="5995133C">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0.8%</w:t>
            </w:r>
          </w:p>
        </w:tc>
        <w:tc>
          <w:tcPr>
            <w:tcW w:w="2259" w:type="dxa"/>
            <w:vAlign w:val="center"/>
          </w:tcPr>
          <w:p w14:paraId="470FD6B0">
            <w:pPr>
              <w:snapToGrid w:val="0"/>
              <w:spacing w:line="312" w:lineRule="auto"/>
              <w:ind w:firstLine="48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0.7%</w:t>
            </w:r>
          </w:p>
        </w:tc>
      </w:tr>
      <w:tr w14:paraId="193E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vAlign w:val="center"/>
          </w:tcPr>
          <w:p w14:paraId="71D758C1">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500-1000</w:t>
            </w:r>
          </w:p>
        </w:tc>
        <w:tc>
          <w:tcPr>
            <w:tcW w:w="2421" w:type="dxa"/>
            <w:vAlign w:val="center"/>
          </w:tcPr>
          <w:p w14:paraId="6D74DDDF">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0.8%</w:t>
            </w:r>
          </w:p>
        </w:tc>
        <w:tc>
          <w:tcPr>
            <w:tcW w:w="1933" w:type="dxa"/>
            <w:vAlign w:val="center"/>
          </w:tcPr>
          <w:p w14:paraId="3770944C">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0.45%</w:t>
            </w:r>
          </w:p>
        </w:tc>
        <w:tc>
          <w:tcPr>
            <w:tcW w:w="2259" w:type="dxa"/>
            <w:vAlign w:val="center"/>
          </w:tcPr>
          <w:p w14:paraId="74F5EAD1">
            <w:pPr>
              <w:snapToGrid w:val="0"/>
              <w:spacing w:line="312" w:lineRule="auto"/>
              <w:ind w:firstLine="48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0.55%</w:t>
            </w:r>
          </w:p>
        </w:tc>
      </w:tr>
      <w:tr w14:paraId="2B4B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vAlign w:val="center"/>
          </w:tcPr>
          <w:p w14:paraId="06C9AC31">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1000-5000</w:t>
            </w:r>
          </w:p>
        </w:tc>
        <w:tc>
          <w:tcPr>
            <w:tcW w:w="2421" w:type="dxa"/>
            <w:vAlign w:val="center"/>
          </w:tcPr>
          <w:p w14:paraId="01DF7D9D">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0.5%</w:t>
            </w:r>
          </w:p>
        </w:tc>
        <w:tc>
          <w:tcPr>
            <w:tcW w:w="1933" w:type="dxa"/>
            <w:vAlign w:val="center"/>
          </w:tcPr>
          <w:p w14:paraId="75E2B125">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0.25%</w:t>
            </w:r>
          </w:p>
        </w:tc>
        <w:tc>
          <w:tcPr>
            <w:tcW w:w="2259" w:type="dxa"/>
            <w:vAlign w:val="center"/>
          </w:tcPr>
          <w:p w14:paraId="14B2D2BB">
            <w:pPr>
              <w:snapToGrid w:val="0"/>
              <w:spacing w:line="312" w:lineRule="auto"/>
              <w:ind w:firstLine="48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0.35%</w:t>
            </w:r>
          </w:p>
        </w:tc>
      </w:tr>
      <w:tr w14:paraId="18F3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vAlign w:val="center"/>
          </w:tcPr>
          <w:p w14:paraId="7808223A">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5000-10000</w:t>
            </w:r>
          </w:p>
        </w:tc>
        <w:tc>
          <w:tcPr>
            <w:tcW w:w="2421" w:type="dxa"/>
            <w:vAlign w:val="center"/>
          </w:tcPr>
          <w:p w14:paraId="6B160520">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0.25%</w:t>
            </w:r>
          </w:p>
        </w:tc>
        <w:tc>
          <w:tcPr>
            <w:tcW w:w="1933" w:type="dxa"/>
            <w:vAlign w:val="center"/>
          </w:tcPr>
          <w:p w14:paraId="46CF98C8">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0.1%</w:t>
            </w:r>
          </w:p>
        </w:tc>
        <w:tc>
          <w:tcPr>
            <w:tcW w:w="2259" w:type="dxa"/>
            <w:vAlign w:val="center"/>
          </w:tcPr>
          <w:p w14:paraId="252509BF">
            <w:pPr>
              <w:snapToGrid w:val="0"/>
              <w:spacing w:line="312" w:lineRule="auto"/>
              <w:ind w:firstLine="48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0.2%</w:t>
            </w:r>
          </w:p>
        </w:tc>
      </w:tr>
      <w:tr w14:paraId="3E26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vAlign w:val="center"/>
          </w:tcPr>
          <w:p w14:paraId="59AA6AAE">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10000-100000</w:t>
            </w:r>
          </w:p>
        </w:tc>
        <w:tc>
          <w:tcPr>
            <w:tcW w:w="2421" w:type="dxa"/>
            <w:vAlign w:val="center"/>
          </w:tcPr>
          <w:p w14:paraId="79CB860D">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0.05%</w:t>
            </w:r>
          </w:p>
        </w:tc>
        <w:tc>
          <w:tcPr>
            <w:tcW w:w="1933" w:type="dxa"/>
            <w:vAlign w:val="center"/>
          </w:tcPr>
          <w:p w14:paraId="0FE28FB2">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0.05%</w:t>
            </w:r>
          </w:p>
        </w:tc>
        <w:tc>
          <w:tcPr>
            <w:tcW w:w="2259" w:type="dxa"/>
            <w:vAlign w:val="center"/>
          </w:tcPr>
          <w:p w14:paraId="01AF5398">
            <w:pPr>
              <w:snapToGrid w:val="0"/>
              <w:spacing w:line="312" w:lineRule="auto"/>
              <w:ind w:firstLine="48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0.05%</w:t>
            </w:r>
          </w:p>
        </w:tc>
      </w:tr>
      <w:tr w14:paraId="0234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vAlign w:val="center"/>
          </w:tcPr>
          <w:p w14:paraId="6A60E37C">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1000000以上</w:t>
            </w:r>
          </w:p>
        </w:tc>
        <w:tc>
          <w:tcPr>
            <w:tcW w:w="2421" w:type="dxa"/>
            <w:vAlign w:val="center"/>
          </w:tcPr>
          <w:p w14:paraId="2203F386">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0.01%</w:t>
            </w:r>
          </w:p>
        </w:tc>
        <w:tc>
          <w:tcPr>
            <w:tcW w:w="1933" w:type="dxa"/>
            <w:vAlign w:val="center"/>
          </w:tcPr>
          <w:p w14:paraId="0CA22F9A">
            <w:pPr>
              <w:snapToGrid w:val="0"/>
              <w:spacing w:line="312" w:lineRule="auto"/>
              <w:ind w:firstLine="0" w:firstLineChars="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0.01%</w:t>
            </w:r>
          </w:p>
        </w:tc>
        <w:tc>
          <w:tcPr>
            <w:tcW w:w="2259" w:type="dxa"/>
            <w:vAlign w:val="center"/>
          </w:tcPr>
          <w:p w14:paraId="4508EB34">
            <w:pPr>
              <w:snapToGrid w:val="0"/>
              <w:spacing w:line="312" w:lineRule="auto"/>
              <w:ind w:firstLine="480"/>
              <w:jc w:val="center"/>
              <w:rPr>
                <w:rFonts w:hint="eastAsia" w:ascii="宋体" w:hAnsi="宋体" w:cs="宋体"/>
                <w:snapToGrid w:val="0"/>
                <w:color w:val="auto"/>
                <w:highlight w:val="none"/>
                <w:lang w:bidi="ar"/>
              </w:rPr>
            </w:pPr>
            <w:r>
              <w:rPr>
                <w:rFonts w:hint="eastAsia" w:ascii="宋体" w:hAnsi="宋体" w:cs="宋体"/>
                <w:snapToGrid w:val="0"/>
                <w:color w:val="auto"/>
                <w:highlight w:val="none"/>
                <w:lang w:bidi="ar"/>
              </w:rPr>
              <w:t>0.01%</w:t>
            </w:r>
          </w:p>
        </w:tc>
      </w:tr>
    </w:tbl>
    <w:p w14:paraId="233A6F2E">
      <w:pPr>
        <w:adjustRightInd w:val="0"/>
        <w:snapToGrid w:val="0"/>
        <w:spacing w:line="312"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rPr>
        <w:t>32.2评审费按实结算，由采购人支付；</w:t>
      </w:r>
    </w:p>
    <w:p w14:paraId="7CAC9E86">
      <w:pPr>
        <w:numPr>
          <w:ilvl w:val="0"/>
          <w:numId w:val="4"/>
        </w:numPr>
        <w:adjustRightInd w:val="0"/>
        <w:snapToGrid w:val="0"/>
        <w:spacing w:line="312" w:lineRule="auto"/>
        <w:ind w:left="0" w:firstLine="482"/>
        <w:rPr>
          <w:rFonts w:hint="eastAsia" w:ascii="宋体" w:hAnsi="宋体" w:cs="宋体"/>
          <w:color w:val="auto"/>
          <w:highlight w:val="none"/>
        </w:rPr>
      </w:pPr>
      <w:r>
        <w:rPr>
          <w:rFonts w:ascii="宋体" w:hAnsi="宋体" w:cs="宋体"/>
          <w:b/>
          <w:bCs/>
          <w:color w:val="auto"/>
          <w:highlight w:val="none"/>
        </w:rPr>
        <w:t>解释权：</w:t>
      </w:r>
      <w:r>
        <w:rPr>
          <w:rFonts w:ascii="宋体" w:hAnsi="宋体" w:cs="宋体"/>
          <w:color w:val="auto"/>
          <w:highlight w:val="none"/>
        </w:rPr>
        <w:t>本招标文件是依据《</w:t>
      </w:r>
      <w:r>
        <w:rPr>
          <w:rFonts w:hint="eastAsia" w:ascii="宋体" w:hAnsi="宋体" w:cs="宋体"/>
          <w:color w:val="auto"/>
          <w:highlight w:val="none"/>
        </w:rPr>
        <w:t>中华人民共和国政府采购法</w:t>
      </w:r>
      <w:r>
        <w:rPr>
          <w:rFonts w:ascii="宋体" w:hAnsi="宋体" w:cs="宋体"/>
          <w:color w:val="auto"/>
          <w:highlight w:val="none"/>
        </w:rPr>
        <w:t>》及有关规定编制的，解释权属采购人。</w:t>
      </w:r>
    </w:p>
    <w:p w14:paraId="054A7E55">
      <w:pPr>
        <w:numPr>
          <w:ilvl w:val="0"/>
          <w:numId w:val="4"/>
        </w:numPr>
        <w:adjustRightInd w:val="0"/>
        <w:snapToGrid w:val="0"/>
        <w:spacing w:line="312" w:lineRule="auto"/>
        <w:ind w:left="0" w:firstLine="482"/>
        <w:rPr>
          <w:rFonts w:hint="eastAsia" w:ascii="宋体" w:hAnsi="宋体" w:cs="宋体"/>
          <w:color w:val="auto"/>
          <w:highlight w:val="none"/>
        </w:rPr>
      </w:pPr>
      <w:r>
        <w:rPr>
          <w:rFonts w:ascii="宋体" w:hAnsi="宋体" w:cs="宋体"/>
          <w:b/>
          <w:bCs/>
          <w:color w:val="auto"/>
          <w:highlight w:val="none"/>
        </w:rPr>
        <w:t>联系方式</w:t>
      </w:r>
      <w:r>
        <w:rPr>
          <w:rFonts w:hint="eastAsia" w:ascii="宋体" w:hAnsi="宋体" w:cs="宋体"/>
          <w:color w:val="auto"/>
          <w:highlight w:val="none"/>
        </w:rPr>
        <w:t>：所有与招标有关的函电请按下面联系，其他任何方式或信息来源均无效。</w:t>
      </w:r>
    </w:p>
    <w:p w14:paraId="15DD3BE7">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通讯地址：龙游县龙洲街道广和商务楼3楼306室。</w:t>
      </w:r>
    </w:p>
    <w:p w14:paraId="634FC929">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项目联系人：祝女士</w:t>
      </w:r>
    </w:p>
    <w:p w14:paraId="06E5053C">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答疑咨询电话：18367068335</w:t>
      </w:r>
    </w:p>
    <w:p w14:paraId="1B069263">
      <w:pPr>
        <w:pStyle w:val="21"/>
        <w:adjustRightInd w:val="0"/>
        <w:snapToGrid w:val="0"/>
        <w:spacing w:line="312" w:lineRule="auto"/>
        <w:ind w:firstLine="480"/>
        <w:rPr>
          <w:rFonts w:cs="宋体"/>
          <w:color w:val="auto"/>
          <w:szCs w:val="24"/>
          <w:highlight w:val="none"/>
        </w:rPr>
      </w:pPr>
      <w:r>
        <w:rPr>
          <w:rFonts w:hint="eastAsia" w:cs="宋体"/>
          <w:color w:val="auto"/>
          <w:szCs w:val="24"/>
          <w:highlight w:val="none"/>
        </w:rPr>
        <w:t>公告网址：</w:t>
      </w:r>
      <w:r>
        <w:rPr>
          <w:rFonts w:hint="eastAsia" w:cs="宋体"/>
          <w:color w:val="auto"/>
          <w:szCs w:val="24"/>
          <w:highlight w:val="none"/>
          <w:lang w:val="zh-CN"/>
        </w:rPr>
        <w:t>浙江省政府采购网</w:t>
      </w:r>
      <w:r>
        <w:rPr>
          <w:rFonts w:hint="eastAsia" w:cs="宋体"/>
          <w:color w:val="auto"/>
          <w:szCs w:val="24"/>
          <w:highlight w:val="none"/>
        </w:rPr>
        <w:t>（</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cs="宋体"/>
          <w:color w:val="auto"/>
          <w:szCs w:val="24"/>
          <w:highlight w:val="none"/>
        </w:rPr>
        <w:t>http://zfcg.czt.zj.gov.cn/</w:t>
      </w:r>
      <w:r>
        <w:rPr>
          <w:rFonts w:hint="eastAsia" w:cs="宋体"/>
          <w:color w:val="auto"/>
          <w:szCs w:val="24"/>
          <w:highlight w:val="none"/>
        </w:rPr>
        <w:fldChar w:fldCharType="end"/>
      </w:r>
      <w:r>
        <w:rPr>
          <w:rFonts w:hint="eastAsia" w:cs="宋体"/>
          <w:color w:val="auto"/>
          <w:szCs w:val="24"/>
          <w:highlight w:val="none"/>
        </w:rPr>
        <w:t>）。</w:t>
      </w:r>
    </w:p>
    <w:p w14:paraId="662A8D4B">
      <w:pPr>
        <w:ind w:firstLine="0" w:firstLineChars="0"/>
        <w:rPr>
          <w:rFonts w:cs="宋体"/>
          <w:color w:val="auto"/>
          <w:highlight w:val="none"/>
        </w:rPr>
      </w:pPr>
    </w:p>
    <w:p w14:paraId="097B7255">
      <w:pPr>
        <w:pStyle w:val="56"/>
        <w:rPr>
          <w:rFonts w:hint="eastAsia" w:cs="宋体"/>
          <w:color w:val="auto"/>
          <w:szCs w:val="24"/>
          <w:highlight w:val="none"/>
          <w:lang w:val="en-US"/>
        </w:rPr>
      </w:pPr>
    </w:p>
    <w:p w14:paraId="5FDDD28F">
      <w:pPr>
        <w:pStyle w:val="56"/>
        <w:rPr>
          <w:rFonts w:hint="eastAsia" w:cs="宋体"/>
          <w:color w:val="auto"/>
          <w:szCs w:val="24"/>
          <w:highlight w:val="none"/>
          <w:lang w:val="en-US"/>
        </w:rPr>
      </w:pPr>
    </w:p>
    <w:p w14:paraId="5BE3B42E">
      <w:pPr>
        <w:pStyle w:val="56"/>
        <w:rPr>
          <w:rFonts w:hint="eastAsia" w:cs="宋体"/>
          <w:color w:val="auto"/>
          <w:szCs w:val="24"/>
          <w:highlight w:val="none"/>
          <w:lang w:val="en-US"/>
        </w:rPr>
      </w:pPr>
    </w:p>
    <w:p w14:paraId="498428B2">
      <w:pPr>
        <w:pStyle w:val="56"/>
        <w:rPr>
          <w:rFonts w:hint="eastAsia" w:cs="宋体"/>
          <w:color w:val="auto"/>
          <w:szCs w:val="24"/>
          <w:highlight w:val="none"/>
          <w:lang w:val="en-US"/>
        </w:rPr>
      </w:pPr>
    </w:p>
    <w:p w14:paraId="6E1A024A">
      <w:pPr>
        <w:pStyle w:val="56"/>
        <w:rPr>
          <w:rFonts w:hint="eastAsia" w:cs="宋体"/>
          <w:color w:val="auto"/>
          <w:szCs w:val="24"/>
          <w:highlight w:val="none"/>
          <w:lang w:val="en-US"/>
        </w:rPr>
      </w:pPr>
    </w:p>
    <w:p w14:paraId="76D6B19D">
      <w:pPr>
        <w:pStyle w:val="56"/>
        <w:rPr>
          <w:rFonts w:hint="eastAsia" w:cs="宋体"/>
          <w:color w:val="auto"/>
          <w:szCs w:val="24"/>
          <w:highlight w:val="none"/>
          <w:lang w:val="en-US"/>
        </w:rPr>
      </w:pPr>
    </w:p>
    <w:p w14:paraId="2568C10F">
      <w:pPr>
        <w:pStyle w:val="56"/>
        <w:rPr>
          <w:rFonts w:hint="eastAsia" w:cs="宋体"/>
          <w:color w:val="auto"/>
          <w:szCs w:val="24"/>
          <w:highlight w:val="none"/>
          <w:lang w:val="en-US"/>
        </w:rPr>
      </w:pPr>
    </w:p>
    <w:p w14:paraId="3EC31B04">
      <w:pPr>
        <w:pStyle w:val="56"/>
        <w:rPr>
          <w:rFonts w:hint="eastAsia" w:cs="宋体"/>
          <w:color w:val="auto"/>
          <w:szCs w:val="24"/>
          <w:highlight w:val="none"/>
          <w:lang w:val="en-US"/>
        </w:rPr>
      </w:pPr>
    </w:p>
    <w:p w14:paraId="5DF035A1">
      <w:pPr>
        <w:pStyle w:val="56"/>
        <w:rPr>
          <w:rFonts w:hint="eastAsia" w:cs="宋体"/>
          <w:color w:val="auto"/>
          <w:szCs w:val="24"/>
          <w:highlight w:val="none"/>
          <w:lang w:val="en-US"/>
        </w:rPr>
      </w:pPr>
    </w:p>
    <w:p w14:paraId="63463EC6">
      <w:pPr>
        <w:pStyle w:val="56"/>
        <w:rPr>
          <w:rFonts w:hint="eastAsia" w:cs="宋体"/>
          <w:color w:val="auto"/>
          <w:szCs w:val="24"/>
          <w:highlight w:val="none"/>
          <w:lang w:val="en-US"/>
        </w:rPr>
      </w:pPr>
    </w:p>
    <w:p w14:paraId="18E3113E">
      <w:pPr>
        <w:pStyle w:val="56"/>
        <w:rPr>
          <w:rFonts w:hint="eastAsia" w:cs="宋体"/>
          <w:color w:val="auto"/>
          <w:szCs w:val="24"/>
          <w:highlight w:val="none"/>
          <w:lang w:val="en-US"/>
        </w:rPr>
      </w:pPr>
    </w:p>
    <w:p w14:paraId="5A192CCC">
      <w:pPr>
        <w:pStyle w:val="56"/>
        <w:rPr>
          <w:rFonts w:hint="eastAsia" w:cs="宋体"/>
          <w:color w:val="auto"/>
          <w:szCs w:val="24"/>
          <w:highlight w:val="none"/>
          <w:lang w:val="en-US"/>
        </w:rPr>
      </w:pPr>
    </w:p>
    <w:p w14:paraId="12D86D92">
      <w:pPr>
        <w:pStyle w:val="56"/>
        <w:rPr>
          <w:rFonts w:hint="eastAsia" w:cs="宋体"/>
          <w:color w:val="auto"/>
          <w:szCs w:val="24"/>
          <w:highlight w:val="none"/>
          <w:lang w:val="en-US"/>
        </w:rPr>
      </w:pPr>
    </w:p>
    <w:p w14:paraId="13F03D41">
      <w:pPr>
        <w:pStyle w:val="56"/>
        <w:rPr>
          <w:rFonts w:hint="eastAsia" w:cs="宋体"/>
          <w:color w:val="auto"/>
          <w:szCs w:val="24"/>
          <w:highlight w:val="none"/>
          <w:lang w:val="en-US"/>
        </w:rPr>
      </w:pPr>
    </w:p>
    <w:p w14:paraId="026A9778">
      <w:pPr>
        <w:pStyle w:val="56"/>
        <w:rPr>
          <w:rFonts w:hint="eastAsia" w:cs="宋体"/>
          <w:color w:val="auto"/>
          <w:szCs w:val="24"/>
          <w:highlight w:val="none"/>
          <w:lang w:val="en-US"/>
        </w:rPr>
      </w:pPr>
    </w:p>
    <w:p w14:paraId="4E419A8E">
      <w:pPr>
        <w:pStyle w:val="56"/>
        <w:rPr>
          <w:rFonts w:hint="eastAsia" w:cs="宋体"/>
          <w:color w:val="auto"/>
          <w:szCs w:val="24"/>
          <w:highlight w:val="none"/>
          <w:lang w:val="en-US"/>
        </w:rPr>
      </w:pPr>
    </w:p>
    <w:p w14:paraId="45D309C3">
      <w:pPr>
        <w:pStyle w:val="56"/>
        <w:rPr>
          <w:rFonts w:hint="eastAsia" w:cs="宋体"/>
          <w:color w:val="auto"/>
          <w:szCs w:val="24"/>
          <w:highlight w:val="none"/>
          <w:lang w:val="en-US"/>
        </w:rPr>
      </w:pPr>
    </w:p>
    <w:p w14:paraId="4C2A55F5">
      <w:pPr>
        <w:pStyle w:val="56"/>
        <w:rPr>
          <w:rFonts w:hint="eastAsia" w:cs="宋体"/>
          <w:color w:val="auto"/>
          <w:szCs w:val="24"/>
          <w:highlight w:val="none"/>
          <w:lang w:val="en-US"/>
        </w:rPr>
      </w:pPr>
    </w:p>
    <w:p w14:paraId="0F3062DC">
      <w:pPr>
        <w:pStyle w:val="56"/>
        <w:rPr>
          <w:rFonts w:hint="eastAsia" w:cs="宋体"/>
          <w:color w:val="auto"/>
          <w:szCs w:val="24"/>
          <w:highlight w:val="none"/>
          <w:lang w:val="en-US"/>
        </w:rPr>
      </w:pPr>
    </w:p>
    <w:p w14:paraId="4E4D5701">
      <w:pPr>
        <w:pStyle w:val="56"/>
        <w:rPr>
          <w:rFonts w:hint="eastAsia" w:cs="宋体"/>
          <w:color w:val="auto"/>
          <w:szCs w:val="24"/>
          <w:highlight w:val="none"/>
          <w:lang w:val="en-US"/>
        </w:rPr>
      </w:pPr>
    </w:p>
    <w:p w14:paraId="080FAD57">
      <w:pPr>
        <w:pStyle w:val="56"/>
        <w:rPr>
          <w:rFonts w:hint="eastAsia" w:cs="宋体"/>
          <w:color w:val="auto"/>
          <w:szCs w:val="24"/>
          <w:highlight w:val="none"/>
          <w:lang w:val="en-US"/>
        </w:rPr>
      </w:pPr>
    </w:p>
    <w:p w14:paraId="5C798C44">
      <w:pPr>
        <w:pStyle w:val="2"/>
        <w:numPr>
          <w:ilvl w:val="0"/>
          <w:numId w:val="7"/>
        </w:numPr>
        <w:spacing w:beforeLines="0" w:afterLines="0" w:line="480" w:lineRule="exact"/>
        <w:rPr>
          <w:rFonts w:cs="宋体"/>
          <w:color w:val="auto"/>
          <w:highlight w:val="none"/>
        </w:rPr>
      </w:pPr>
      <w:bookmarkStart w:id="302" w:name="_Toc12236"/>
      <w:bookmarkStart w:id="303" w:name="OLE_LINK13"/>
      <w:r>
        <w:rPr>
          <w:rFonts w:hint="eastAsia" w:cs="宋体"/>
          <w:color w:val="auto"/>
          <w:highlight w:val="none"/>
        </w:rPr>
        <w:t>采购内容及需求</w:t>
      </w:r>
      <w:bookmarkEnd w:id="302"/>
    </w:p>
    <w:p w14:paraId="3E06E63E">
      <w:pPr>
        <w:pStyle w:val="31"/>
        <w:widowControl/>
        <w:spacing w:line="288" w:lineRule="auto"/>
        <w:ind w:firstLine="482"/>
        <w:contextualSpacing/>
        <w:outlineLvl w:val="1"/>
        <w:rPr>
          <w:rFonts w:hint="eastAsia" w:ascii="宋体" w:hAnsi="宋体" w:cs="宋体"/>
          <w:b/>
          <w:bCs/>
          <w:color w:val="auto"/>
          <w:sz w:val="24"/>
          <w:szCs w:val="24"/>
          <w:highlight w:val="none"/>
        </w:rPr>
      </w:pPr>
      <w:bookmarkStart w:id="304" w:name="_Toc24030"/>
      <w:bookmarkStart w:id="305" w:name="_Toc27026"/>
      <w:bookmarkStart w:id="306" w:name="_Toc26346"/>
      <w:r>
        <w:rPr>
          <w:rFonts w:hint="eastAsia" w:ascii="宋体" w:hAnsi="宋体" w:cs="宋体"/>
          <w:b/>
          <w:bCs/>
          <w:color w:val="auto"/>
          <w:sz w:val="24"/>
          <w:szCs w:val="24"/>
          <w:highlight w:val="none"/>
        </w:rPr>
        <w:t>一、项目概况</w:t>
      </w:r>
      <w:bookmarkEnd w:id="304"/>
    </w:p>
    <w:p w14:paraId="29BBB4B0">
      <w:pPr>
        <w:pStyle w:val="31"/>
        <w:widowControl/>
        <w:spacing w:line="288" w:lineRule="auto"/>
        <w:ind w:firstLine="48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本次项目采购负压监护型救护车4辆（含车载急救设备）。总价包括：车身价、</w:t>
      </w:r>
      <w:r>
        <w:rPr>
          <w:rFonts w:hint="eastAsia" w:ascii="宋体" w:hAnsi="宋体" w:cs="宋体"/>
          <w:color w:val="auto"/>
          <w:sz w:val="24"/>
          <w:szCs w:val="24"/>
          <w:highlight w:val="none"/>
          <w:lang w:bidi="ar"/>
        </w:rPr>
        <w:t>运费、</w:t>
      </w:r>
      <w:r>
        <w:rPr>
          <w:rFonts w:hint="eastAsia" w:ascii="宋体" w:hAnsi="宋体" w:cs="宋体"/>
          <w:color w:val="auto"/>
          <w:sz w:val="24"/>
          <w:szCs w:val="24"/>
          <w:highlight w:val="none"/>
        </w:rPr>
        <w:t>随车急救设备、救护车改装费、车辆购置税、车辆保险费、服务费、安装调试、检测验收、培训、质保期保障等费用。</w:t>
      </w:r>
    </w:p>
    <w:p w14:paraId="210F8773">
      <w:pPr>
        <w:pStyle w:val="31"/>
        <w:widowControl/>
        <w:spacing w:line="288" w:lineRule="auto"/>
        <w:ind w:firstLine="482"/>
        <w:contextualSpacing/>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二、采购内容一览表</w:t>
      </w:r>
    </w:p>
    <w:tbl>
      <w:tblPr>
        <w:tblStyle w:val="43"/>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900"/>
        <w:gridCol w:w="2345"/>
        <w:gridCol w:w="1833"/>
      </w:tblGrid>
      <w:tr w14:paraId="6012C2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6BCC1380">
            <w:pPr>
              <w:spacing w:line="240" w:lineRule="auto"/>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序号</w:t>
            </w:r>
          </w:p>
        </w:tc>
        <w:tc>
          <w:tcPr>
            <w:tcW w:w="3240" w:type="dxa"/>
            <w:vAlign w:val="center"/>
          </w:tcPr>
          <w:p w14:paraId="0F1515B5">
            <w:pPr>
              <w:spacing w:line="240" w:lineRule="auto"/>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货物名称</w:t>
            </w:r>
          </w:p>
        </w:tc>
        <w:tc>
          <w:tcPr>
            <w:tcW w:w="900" w:type="dxa"/>
            <w:vAlign w:val="center"/>
          </w:tcPr>
          <w:p w14:paraId="36EE6C23">
            <w:pPr>
              <w:spacing w:line="240" w:lineRule="auto"/>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数量</w:t>
            </w:r>
          </w:p>
        </w:tc>
        <w:tc>
          <w:tcPr>
            <w:tcW w:w="2345" w:type="dxa"/>
            <w:vAlign w:val="center"/>
          </w:tcPr>
          <w:p w14:paraId="73B75B12">
            <w:pPr>
              <w:spacing w:line="240" w:lineRule="auto"/>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交货期</w:t>
            </w:r>
          </w:p>
        </w:tc>
        <w:tc>
          <w:tcPr>
            <w:tcW w:w="1833" w:type="dxa"/>
            <w:vAlign w:val="center"/>
          </w:tcPr>
          <w:p w14:paraId="5C2DB201">
            <w:pPr>
              <w:spacing w:line="240" w:lineRule="auto"/>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目的地</w:t>
            </w:r>
          </w:p>
        </w:tc>
      </w:tr>
      <w:tr w14:paraId="3DB39A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4ACCF3E2">
            <w:pPr>
              <w:spacing w:line="240" w:lineRule="auto"/>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1</w:t>
            </w:r>
          </w:p>
        </w:tc>
        <w:tc>
          <w:tcPr>
            <w:tcW w:w="3240" w:type="dxa"/>
            <w:vAlign w:val="center"/>
          </w:tcPr>
          <w:p w14:paraId="33B5139F">
            <w:pPr>
              <w:spacing w:line="240" w:lineRule="auto"/>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抢救监护型负压救护车</w:t>
            </w:r>
          </w:p>
        </w:tc>
        <w:tc>
          <w:tcPr>
            <w:tcW w:w="900" w:type="dxa"/>
            <w:vAlign w:val="center"/>
          </w:tcPr>
          <w:p w14:paraId="44BE9187">
            <w:pPr>
              <w:spacing w:line="240" w:lineRule="auto"/>
              <w:ind w:firstLine="0" w:firstLineChars="0"/>
              <w:jc w:val="center"/>
              <w:rPr>
                <w:rFonts w:hint="eastAsia" w:ascii="宋体" w:hAnsi="宋体" w:cs="宋体"/>
                <w:color w:val="auto"/>
                <w:highlight w:val="none"/>
                <w:lang w:bidi="ar"/>
              </w:rPr>
            </w:pPr>
            <w:r>
              <w:rPr>
                <w:rFonts w:hint="eastAsia" w:ascii="宋体" w:hAnsi="宋体" w:cs="宋体"/>
                <w:color w:val="auto"/>
                <w:highlight w:val="none"/>
                <w:lang w:bidi="ar"/>
              </w:rPr>
              <w:t>4辆</w:t>
            </w:r>
          </w:p>
        </w:tc>
        <w:tc>
          <w:tcPr>
            <w:tcW w:w="2345" w:type="dxa"/>
            <w:vMerge w:val="restart"/>
            <w:vAlign w:val="center"/>
          </w:tcPr>
          <w:p w14:paraId="5DE1CEEB">
            <w:pPr>
              <w:spacing w:line="240" w:lineRule="auto"/>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合同生效后30个工作日内供货安装调试完成</w:t>
            </w:r>
          </w:p>
        </w:tc>
        <w:tc>
          <w:tcPr>
            <w:tcW w:w="1833" w:type="dxa"/>
            <w:vMerge w:val="restart"/>
            <w:vAlign w:val="center"/>
          </w:tcPr>
          <w:p w14:paraId="3ACBF645">
            <w:pPr>
              <w:spacing w:line="240" w:lineRule="auto"/>
              <w:ind w:firstLine="0" w:firstLineChars="0"/>
              <w:rPr>
                <w:rFonts w:hint="eastAsia" w:ascii="宋体" w:hAnsi="宋体" w:cs="宋体"/>
                <w:color w:val="auto"/>
                <w:highlight w:val="none"/>
                <w:lang w:bidi="ar"/>
              </w:rPr>
            </w:pPr>
            <w:r>
              <w:rPr>
                <w:rFonts w:hint="eastAsia" w:ascii="宋体" w:hAnsi="宋体" w:cs="宋体"/>
                <w:color w:val="auto"/>
                <w:highlight w:val="none"/>
                <w:lang w:bidi="ar"/>
              </w:rPr>
              <w:t>龙游县人民医院</w:t>
            </w:r>
          </w:p>
        </w:tc>
      </w:tr>
      <w:tr w14:paraId="495574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2E33184C">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w:t>
            </w:r>
          </w:p>
        </w:tc>
        <w:tc>
          <w:tcPr>
            <w:tcW w:w="3240" w:type="dxa"/>
            <w:vAlign w:val="center"/>
          </w:tcPr>
          <w:p w14:paraId="7937E868">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技术资料</w:t>
            </w:r>
          </w:p>
        </w:tc>
        <w:tc>
          <w:tcPr>
            <w:tcW w:w="900" w:type="dxa"/>
            <w:vAlign w:val="center"/>
          </w:tcPr>
          <w:p w14:paraId="70DBE4F3">
            <w:pPr>
              <w:spacing w:line="240" w:lineRule="auto"/>
              <w:ind w:firstLine="0" w:firstLineChars="0"/>
              <w:jc w:val="center"/>
              <w:rPr>
                <w:rFonts w:hint="eastAsia" w:ascii="宋体" w:hAnsi="宋体" w:cs="宋体"/>
                <w:color w:val="auto"/>
                <w:highlight w:val="none"/>
                <w:lang w:val="en-GB"/>
              </w:rPr>
            </w:pPr>
            <w:r>
              <w:rPr>
                <w:rFonts w:hint="eastAsia" w:ascii="宋体" w:hAnsi="宋体" w:cs="宋体"/>
                <w:color w:val="auto"/>
                <w:highlight w:val="none"/>
              </w:rPr>
              <w:t>全套</w:t>
            </w:r>
          </w:p>
        </w:tc>
        <w:tc>
          <w:tcPr>
            <w:tcW w:w="2345" w:type="dxa"/>
            <w:vMerge w:val="continue"/>
            <w:vAlign w:val="center"/>
          </w:tcPr>
          <w:p w14:paraId="3EEB3231">
            <w:pPr>
              <w:spacing w:line="240" w:lineRule="auto"/>
              <w:ind w:firstLine="480"/>
              <w:jc w:val="center"/>
              <w:rPr>
                <w:rFonts w:hint="eastAsia" w:ascii="宋体" w:hAnsi="宋体" w:cs="宋体"/>
                <w:color w:val="auto"/>
                <w:highlight w:val="none"/>
              </w:rPr>
            </w:pPr>
          </w:p>
        </w:tc>
        <w:tc>
          <w:tcPr>
            <w:tcW w:w="1833" w:type="dxa"/>
            <w:vMerge w:val="continue"/>
            <w:vAlign w:val="center"/>
          </w:tcPr>
          <w:p w14:paraId="5FF15BA3">
            <w:pPr>
              <w:spacing w:line="240" w:lineRule="auto"/>
              <w:ind w:firstLine="480"/>
              <w:jc w:val="center"/>
              <w:rPr>
                <w:rFonts w:hint="eastAsia" w:ascii="宋体" w:hAnsi="宋体" w:cs="宋体"/>
                <w:color w:val="auto"/>
                <w:highlight w:val="none"/>
              </w:rPr>
            </w:pPr>
          </w:p>
        </w:tc>
      </w:tr>
      <w:tr w14:paraId="71111B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vAlign w:val="center"/>
          </w:tcPr>
          <w:p w14:paraId="6E5994A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w:t>
            </w:r>
          </w:p>
        </w:tc>
        <w:tc>
          <w:tcPr>
            <w:tcW w:w="4140" w:type="dxa"/>
            <w:gridSpan w:val="2"/>
            <w:vAlign w:val="center"/>
          </w:tcPr>
          <w:p w14:paraId="7DA825CD">
            <w:pPr>
              <w:spacing w:line="240" w:lineRule="auto"/>
              <w:ind w:firstLine="0" w:firstLineChars="0"/>
              <w:rPr>
                <w:rFonts w:hint="eastAsia" w:ascii="宋体" w:hAnsi="宋体" w:cs="宋体"/>
                <w:color w:val="auto"/>
                <w:highlight w:val="none"/>
                <w:lang w:val="en-GB"/>
              </w:rPr>
            </w:pPr>
            <w:r>
              <w:rPr>
                <w:rFonts w:hint="eastAsia" w:ascii="宋体" w:hAnsi="宋体" w:cs="宋体"/>
                <w:color w:val="auto"/>
                <w:highlight w:val="none"/>
              </w:rPr>
              <w:t>供应商须提供的其他资料</w:t>
            </w:r>
          </w:p>
        </w:tc>
        <w:tc>
          <w:tcPr>
            <w:tcW w:w="2345" w:type="dxa"/>
            <w:vMerge w:val="continue"/>
            <w:vAlign w:val="center"/>
          </w:tcPr>
          <w:p w14:paraId="36BF1B97">
            <w:pPr>
              <w:spacing w:line="240" w:lineRule="auto"/>
              <w:ind w:firstLine="480"/>
              <w:jc w:val="center"/>
              <w:rPr>
                <w:rFonts w:hint="eastAsia" w:ascii="宋体" w:hAnsi="宋体" w:cs="宋体"/>
                <w:color w:val="auto"/>
                <w:highlight w:val="none"/>
              </w:rPr>
            </w:pPr>
          </w:p>
        </w:tc>
        <w:tc>
          <w:tcPr>
            <w:tcW w:w="1833" w:type="dxa"/>
            <w:vMerge w:val="continue"/>
            <w:vAlign w:val="center"/>
          </w:tcPr>
          <w:p w14:paraId="5C923BE8">
            <w:pPr>
              <w:spacing w:line="240" w:lineRule="auto"/>
              <w:ind w:firstLine="480"/>
              <w:jc w:val="center"/>
              <w:rPr>
                <w:rFonts w:hint="eastAsia" w:ascii="宋体" w:hAnsi="宋体" w:cs="宋体"/>
                <w:color w:val="auto"/>
                <w:highlight w:val="none"/>
              </w:rPr>
            </w:pPr>
          </w:p>
        </w:tc>
      </w:tr>
    </w:tbl>
    <w:p w14:paraId="384AB7C0">
      <w:pPr>
        <w:pStyle w:val="31"/>
        <w:widowControl/>
        <w:numPr>
          <w:ilvl w:val="0"/>
          <w:numId w:val="8"/>
        </w:numPr>
        <w:spacing w:line="288" w:lineRule="auto"/>
        <w:ind w:firstLine="482"/>
        <w:contextualSpacing/>
        <w:rPr>
          <w:rFonts w:hint="eastAsia" w:ascii="宋体" w:hAnsi="宋体" w:cs="宋体"/>
          <w:b/>
          <w:bCs/>
          <w:color w:val="auto"/>
          <w:sz w:val="24"/>
          <w:szCs w:val="24"/>
          <w:highlight w:val="none"/>
          <w:lang w:bidi="ar"/>
        </w:rPr>
      </w:pPr>
      <w:r>
        <w:rPr>
          <w:rFonts w:hint="eastAsia" w:ascii="宋体" w:hAnsi="宋体" w:cs="宋体"/>
          <w:b/>
          <w:bCs/>
          <w:color w:val="auto"/>
          <w:sz w:val="24"/>
          <w:szCs w:val="24"/>
          <w:highlight w:val="none"/>
          <w:lang w:bidi="ar"/>
        </w:rPr>
        <w:t>技术要求</w:t>
      </w:r>
    </w:p>
    <w:tbl>
      <w:tblPr>
        <w:tblStyle w:val="43"/>
        <w:tblW w:w="10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361"/>
        <w:gridCol w:w="7426"/>
      </w:tblGrid>
      <w:tr w14:paraId="3FD9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blHeader/>
          <w:jc w:val="center"/>
        </w:trPr>
        <w:tc>
          <w:tcPr>
            <w:tcW w:w="1219" w:type="dxa"/>
            <w:shd w:val="clear" w:color="auto" w:fill="auto"/>
            <w:vAlign w:val="center"/>
          </w:tcPr>
          <w:p w14:paraId="257816D8">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序号</w:t>
            </w:r>
          </w:p>
        </w:tc>
        <w:tc>
          <w:tcPr>
            <w:tcW w:w="1361" w:type="dxa"/>
            <w:shd w:val="clear" w:color="auto" w:fill="auto"/>
            <w:vAlign w:val="center"/>
          </w:tcPr>
          <w:p w14:paraId="0B112AFF">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货物名称</w:t>
            </w:r>
          </w:p>
        </w:tc>
        <w:tc>
          <w:tcPr>
            <w:tcW w:w="7426" w:type="dxa"/>
            <w:shd w:val="clear" w:color="auto" w:fill="auto"/>
            <w:vAlign w:val="center"/>
          </w:tcPr>
          <w:p w14:paraId="2CAB39E7">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技术规格要求</w:t>
            </w:r>
          </w:p>
        </w:tc>
      </w:tr>
      <w:tr w14:paraId="06BC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0006" w:type="dxa"/>
            <w:gridSpan w:val="3"/>
            <w:shd w:val="clear" w:color="auto" w:fill="auto"/>
            <w:vAlign w:val="center"/>
          </w:tcPr>
          <w:p w14:paraId="050AB488">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负压监护型救护车4辆</w:t>
            </w:r>
          </w:p>
        </w:tc>
      </w:tr>
      <w:tr w14:paraId="7D5C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219" w:type="dxa"/>
            <w:shd w:val="clear" w:color="auto" w:fill="auto"/>
            <w:vAlign w:val="center"/>
          </w:tcPr>
          <w:p w14:paraId="048DC946">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一</w:t>
            </w:r>
          </w:p>
        </w:tc>
        <w:tc>
          <w:tcPr>
            <w:tcW w:w="1361" w:type="dxa"/>
            <w:shd w:val="clear" w:color="auto" w:fill="auto"/>
            <w:vAlign w:val="center"/>
          </w:tcPr>
          <w:p w14:paraId="4E6F2EA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车辆基本要求</w:t>
            </w:r>
          </w:p>
        </w:tc>
        <w:tc>
          <w:tcPr>
            <w:tcW w:w="7426" w:type="dxa"/>
            <w:shd w:val="clear" w:color="auto" w:fill="auto"/>
            <w:vAlign w:val="center"/>
          </w:tcPr>
          <w:p w14:paraId="1A5D0380">
            <w:pPr>
              <w:spacing w:line="240" w:lineRule="auto"/>
              <w:ind w:firstLine="0" w:firstLineChars="0"/>
              <w:rPr>
                <w:rFonts w:hint="eastAsia" w:ascii="宋体" w:hAnsi="宋体" w:cs="宋体"/>
                <w:color w:val="auto"/>
                <w:highlight w:val="none"/>
              </w:rPr>
            </w:pPr>
          </w:p>
        </w:tc>
      </w:tr>
      <w:tr w14:paraId="5D6D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19" w:type="dxa"/>
            <w:shd w:val="clear" w:color="auto" w:fill="auto"/>
            <w:vAlign w:val="center"/>
          </w:tcPr>
          <w:p w14:paraId="4EC4257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1.1</w:t>
            </w:r>
          </w:p>
        </w:tc>
        <w:tc>
          <w:tcPr>
            <w:tcW w:w="1361" w:type="dxa"/>
            <w:shd w:val="clear" w:color="auto" w:fill="auto"/>
            <w:vAlign w:val="center"/>
          </w:tcPr>
          <w:p w14:paraId="55DE0E6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整车基本功能</w:t>
            </w:r>
          </w:p>
        </w:tc>
        <w:tc>
          <w:tcPr>
            <w:tcW w:w="7426" w:type="dxa"/>
            <w:shd w:val="clear" w:color="auto" w:fill="auto"/>
            <w:vAlign w:val="bottom"/>
          </w:tcPr>
          <w:p w14:paraId="42DAC2B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投标车型主要功能为转运、救治和监护病人的专用救护车，设计要把握院前急救发展方向，具备前瞻性。基础车型满足操控性能好、动力强等要求，医疗舱整体应在功能和性能上具备一定的超前性，能够体现目前最新、最先进的技术理念，投标车型的改装需要采用先进的制造材料及工艺。</w:t>
            </w:r>
          </w:p>
        </w:tc>
      </w:tr>
      <w:tr w14:paraId="12CB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19" w:type="dxa"/>
            <w:shd w:val="clear" w:color="auto" w:fill="auto"/>
            <w:vAlign w:val="center"/>
          </w:tcPr>
          <w:p w14:paraId="490DFC1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1.2</w:t>
            </w:r>
          </w:p>
        </w:tc>
        <w:tc>
          <w:tcPr>
            <w:tcW w:w="1361" w:type="dxa"/>
            <w:shd w:val="clear" w:color="auto" w:fill="auto"/>
            <w:vAlign w:val="center"/>
          </w:tcPr>
          <w:p w14:paraId="388D305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适应环境</w:t>
            </w:r>
          </w:p>
        </w:tc>
        <w:tc>
          <w:tcPr>
            <w:tcW w:w="7426" w:type="dxa"/>
            <w:shd w:val="clear" w:color="auto" w:fill="auto"/>
            <w:vAlign w:val="center"/>
          </w:tcPr>
          <w:p w14:paraId="1B832FC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投标车型应适应各种自然条件，适应户外长时期作业的需求，适合城市道路，社区通行及郊县崎岖道路，适应气温－35到60摄氏度之间。</w:t>
            </w:r>
          </w:p>
        </w:tc>
      </w:tr>
      <w:tr w14:paraId="3289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19" w:type="dxa"/>
            <w:shd w:val="clear" w:color="auto" w:fill="auto"/>
            <w:vAlign w:val="center"/>
          </w:tcPr>
          <w:p w14:paraId="299AF30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1.3</w:t>
            </w:r>
          </w:p>
        </w:tc>
        <w:tc>
          <w:tcPr>
            <w:tcW w:w="1361" w:type="dxa"/>
            <w:shd w:val="clear" w:color="auto" w:fill="auto"/>
            <w:vAlign w:val="center"/>
          </w:tcPr>
          <w:p w14:paraId="386A477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产品公告</w:t>
            </w:r>
          </w:p>
        </w:tc>
        <w:tc>
          <w:tcPr>
            <w:tcW w:w="7426" w:type="dxa"/>
            <w:shd w:val="clear" w:color="auto" w:fill="auto"/>
            <w:vAlign w:val="center"/>
          </w:tcPr>
          <w:p w14:paraId="60442D4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投标车型应具备</w:t>
            </w:r>
            <w:r>
              <w:rPr>
                <w:rFonts w:hint="eastAsia" w:ascii="宋体" w:hAnsi="宋体" w:cs="宋体"/>
                <w:color w:val="auto"/>
                <w:highlight w:val="none"/>
                <w:lang w:eastAsia="zh-CN"/>
              </w:rPr>
              <w:t>国家发展改革委</w:t>
            </w:r>
            <w:r>
              <w:rPr>
                <w:rFonts w:hint="eastAsia" w:ascii="宋体" w:hAnsi="宋体" w:cs="宋体"/>
                <w:color w:val="auto"/>
                <w:highlight w:val="none"/>
              </w:rPr>
              <w:t>目录公告以及3C认证，能在买方所在地公安交通管理部门办理特种车上牌照手续。</w:t>
            </w:r>
          </w:p>
        </w:tc>
      </w:tr>
      <w:tr w14:paraId="6F30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9" w:type="dxa"/>
            <w:shd w:val="clear" w:color="auto" w:fill="auto"/>
            <w:vAlign w:val="center"/>
          </w:tcPr>
          <w:p w14:paraId="5F37B51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二</w:t>
            </w:r>
          </w:p>
        </w:tc>
        <w:tc>
          <w:tcPr>
            <w:tcW w:w="1361" w:type="dxa"/>
            <w:shd w:val="clear" w:color="auto" w:fill="auto"/>
            <w:vAlign w:val="center"/>
          </w:tcPr>
          <w:p w14:paraId="772A8E1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车辆技术要求</w:t>
            </w:r>
          </w:p>
        </w:tc>
        <w:tc>
          <w:tcPr>
            <w:tcW w:w="7426" w:type="dxa"/>
            <w:shd w:val="clear" w:color="auto" w:fill="auto"/>
            <w:vAlign w:val="bottom"/>
          </w:tcPr>
          <w:p w14:paraId="369AE42C">
            <w:pPr>
              <w:widowControl/>
              <w:spacing w:line="240" w:lineRule="auto"/>
              <w:ind w:firstLine="0" w:firstLineChars="0"/>
              <w:rPr>
                <w:rFonts w:hint="eastAsia" w:ascii="宋体" w:hAnsi="宋体" w:cs="宋体"/>
                <w:color w:val="auto"/>
                <w:highlight w:val="none"/>
              </w:rPr>
            </w:pPr>
          </w:p>
        </w:tc>
      </w:tr>
      <w:tr w14:paraId="7D0F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219" w:type="dxa"/>
            <w:shd w:val="clear" w:color="auto" w:fill="auto"/>
            <w:vAlign w:val="center"/>
          </w:tcPr>
          <w:p w14:paraId="2AFBF56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2.1</w:t>
            </w:r>
          </w:p>
        </w:tc>
        <w:tc>
          <w:tcPr>
            <w:tcW w:w="1361" w:type="dxa"/>
            <w:shd w:val="clear" w:color="auto" w:fill="auto"/>
            <w:vAlign w:val="center"/>
          </w:tcPr>
          <w:p w14:paraId="1F0334A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外形尺寸</w:t>
            </w:r>
          </w:p>
        </w:tc>
        <w:tc>
          <w:tcPr>
            <w:tcW w:w="7426" w:type="dxa"/>
            <w:shd w:val="clear" w:color="auto" w:fill="auto"/>
            <w:vAlign w:val="bottom"/>
          </w:tcPr>
          <w:p w14:paraId="5907031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5400mm≥长≥5300mm、2000mm≥宽≥1900mm、2450mm≥高≥2350mm</w:t>
            </w:r>
          </w:p>
        </w:tc>
      </w:tr>
      <w:tr w14:paraId="2137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19" w:type="dxa"/>
            <w:shd w:val="clear" w:color="auto" w:fill="auto"/>
            <w:vAlign w:val="center"/>
          </w:tcPr>
          <w:p w14:paraId="54163924">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2.2</w:t>
            </w:r>
          </w:p>
        </w:tc>
        <w:tc>
          <w:tcPr>
            <w:tcW w:w="1361" w:type="dxa"/>
            <w:shd w:val="clear" w:color="auto" w:fill="auto"/>
            <w:vAlign w:val="center"/>
          </w:tcPr>
          <w:p w14:paraId="739B06CC">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医疗舱尺度</w:t>
            </w:r>
          </w:p>
        </w:tc>
        <w:tc>
          <w:tcPr>
            <w:tcW w:w="7426" w:type="dxa"/>
            <w:shd w:val="clear" w:color="auto" w:fill="auto"/>
            <w:vAlign w:val="bottom"/>
          </w:tcPr>
          <w:p w14:paraId="1D60AF7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2800mm≥长≥2700mm、1750mm≥宽≥1650mm、1800mm≥高≥1700mm</w:t>
            </w:r>
          </w:p>
        </w:tc>
      </w:tr>
      <w:tr w14:paraId="0EEC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9" w:type="dxa"/>
            <w:shd w:val="clear" w:color="auto" w:fill="auto"/>
            <w:vAlign w:val="center"/>
          </w:tcPr>
          <w:p w14:paraId="74994A07">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2.3</w:t>
            </w:r>
          </w:p>
        </w:tc>
        <w:tc>
          <w:tcPr>
            <w:tcW w:w="1361" w:type="dxa"/>
            <w:shd w:val="clear" w:color="auto" w:fill="auto"/>
            <w:vAlign w:val="center"/>
          </w:tcPr>
          <w:p w14:paraId="37B9D35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轴距</w:t>
            </w:r>
          </w:p>
        </w:tc>
        <w:tc>
          <w:tcPr>
            <w:tcW w:w="7426" w:type="dxa"/>
            <w:shd w:val="clear" w:color="auto" w:fill="auto"/>
            <w:vAlign w:val="bottom"/>
          </w:tcPr>
          <w:p w14:paraId="6EECD67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≥3300mm</w:t>
            </w:r>
          </w:p>
        </w:tc>
      </w:tr>
      <w:tr w14:paraId="3CED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9" w:type="dxa"/>
            <w:shd w:val="clear" w:color="auto" w:fill="auto"/>
            <w:vAlign w:val="center"/>
          </w:tcPr>
          <w:p w14:paraId="21ECDD0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2.4</w:t>
            </w:r>
          </w:p>
        </w:tc>
        <w:tc>
          <w:tcPr>
            <w:tcW w:w="1361" w:type="dxa"/>
            <w:shd w:val="clear" w:color="auto" w:fill="auto"/>
            <w:vAlign w:val="center"/>
          </w:tcPr>
          <w:p w14:paraId="16E778C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最高时速</w:t>
            </w:r>
          </w:p>
        </w:tc>
        <w:tc>
          <w:tcPr>
            <w:tcW w:w="7426" w:type="dxa"/>
            <w:shd w:val="clear" w:color="auto" w:fill="auto"/>
            <w:vAlign w:val="bottom"/>
          </w:tcPr>
          <w:p w14:paraId="49116F7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≥170KM/h</w:t>
            </w:r>
          </w:p>
        </w:tc>
      </w:tr>
      <w:tr w14:paraId="1865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9" w:type="dxa"/>
            <w:shd w:val="clear" w:color="auto" w:fill="auto"/>
            <w:vAlign w:val="center"/>
          </w:tcPr>
          <w:p w14:paraId="6E093A5F">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2.5</w:t>
            </w:r>
          </w:p>
        </w:tc>
        <w:tc>
          <w:tcPr>
            <w:tcW w:w="1361" w:type="dxa"/>
            <w:shd w:val="clear" w:color="auto" w:fill="auto"/>
            <w:vAlign w:val="center"/>
          </w:tcPr>
          <w:p w14:paraId="7311357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整备质量</w:t>
            </w:r>
          </w:p>
        </w:tc>
        <w:tc>
          <w:tcPr>
            <w:tcW w:w="7426" w:type="dxa"/>
            <w:shd w:val="clear" w:color="auto" w:fill="auto"/>
            <w:vAlign w:val="bottom"/>
          </w:tcPr>
          <w:p w14:paraId="763CDFE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≤2500</w:t>
            </w:r>
            <w:r>
              <w:rPr>
                <w:rFonts w:hint="eastAsia" w:ascii="宋体" w:hAnsi="宋体" w:cs="宋体"/>
                <w:color w:val="auto"/>
                <w:highlight w:val="none"/>
                <w:lang w:eastAsia="zh-CN"/>
              </w:rPr>
              <w:t>kg</w:t>
            </w:r>
          </w:p>
        </w:tc>
      </w:tr>
      <w:tr w14:paraId="45F4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9" w:type="dxa"/>
            <w:shd w:val="clear" w:color="auto" w:fill="auto"/>
            <w:vAlign w:val="center"/>
          </w:tcPr>
          <w:p w14:paraId="14F1DC92">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2.6</w:t>
            </w:r>
          </w:p>
        </w:tc>
        <w:tc>
          <w:tcPr>
            <w:tcW w:w="1361" w:type="dxa"/>
            <w:shd w:val="clear" w:color="auto" w:fill="auto"/>
            <w:vAlign w:val="center"/>
          </w:tcPr>
          <w:p w14:paraId="1DA799E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总质量</w:t>
            </w:r>
          </w:p>
        </w:tc>
        <w:tc>
          <w:tcPr>
            <w:tcW w:w="7426" w:type="dxa"/>
            <w:shd w:val="clear" w:color="auto" w:fill="auto"/>
            <w:vAlign w:val="bottom"/>
          </w:tcPr>
          <w:p w14:paraId="41C88DC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≤3300</w:t>
            </w:r>
            <w:r>
              <w:rPr>
                <w:rFonts w:hint="eastAsia" w:ascii="宋体" w:hAnsi="宋体" w:cs="宋体"/>
                <w:color w:val="auto"/>
                <w:highlight w:val="none"/>
                <w:lang w:eastAsia="zh-CN"/>
              </w:rPr>
              <w:t>kg</w:t>
            </w:r>
          </w:p>
        </w:tc>
      </w:tr>
      <w:tr w14:paraId="1AA8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219" w:type="dxa"/>
            <w:shd w:val="clear" w:color="auto" w:fill="auto"/>
            <w:vAlign w:val="center"/>
          </w:tcPr>
          <w:p w14:paraId="41B412E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2.7</w:t>
            </w:r>
          </w:p>
        </w:tc>
        <w:tc>
          <w:tcPr>
            <w:tcW w:w="1361" w:type="dxa"/>
            <w:shd w:val="clear" w:color="auto" w:fill="auto"/>
            <w:vAlign w:val="center"/>
          </w:tcPr>
          <w:p w14:paraId="3446888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发动机排量</w:t>
            </w:r>
          </w:p>
        </w:tc>
        <w:tc>
          <w:tcPr>
            <w:tcW w:w="7426" w:type="dxa"/>
            <w:shd w:val="clear" w:color="auto" w:fill="auto"/>
            <w:vAlign w:val="bottom"/>
          </w:tcPr>
          <w:p w14:paraId="10F1787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≥1990ml</w:t>
            </w:r>
          </w:p>
        </w:tc>
      </w:tr>
      <w:tr w14:paraId="18B3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219" w:type="dxa"/>
            <w:shd w:val="clear" w:color="auto" w:fill="auto"/>
            <w:vAlign w:val="center"/>
          </w:tcPr>
          <w:p w14:paraId="4518712A">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2.8</w:t>
            </w:r>
          </w:p>
        </w:tc>
        <w:tc>
          <w:tcPr>
            <w:tcW w:w="1361" w:type="dxa"/>
            <w:shd w:val="clear" w:color="auto" w:fill="auto"/>
            <w:vAlign w:val="center"/>
          </w:tcPr>
          <w:p w14:paraId="55BA44E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发动机型式</w:t>
            </w:r>
          </w:p>
        </w:tc>
        <w:tc>
          <w:tcPr>
            <w:tcW w:w="7426" w:type="dxa"/>
            <w:shd w:val="clear" w:color="auto" w:fill="auto"/>
            <w:vAlign w:val="bottom"/>
          </w:tcPr>
          <w:p w14:paraId="65F23A4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前置（横置）、直列四缸、液冷、增压中冷、缸内直喷汽油机</w:t>
            </w:r>
          </w:p>
        </w:tc>
      </w:tr>
      <w:tr w14:paraId="740B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9" w:type="dxa"/>
            <w:shd w:val="clear" w:color="auto" w:fill="auto"/>
            <w:vAlign w:val="center"/>
          </w:tcPr>
          <w:p w14:paraId="2C6160FC">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2.9</w:t>
            </w:r>
          </w:p>
        </w:tc>
        <w:tc>
          <w:tcPr>
            <w:tcW w:w="1361" w:type="dxa"/>
            <w:shd w:val="clear" w:color="auto" w:fill="auto"/>
            <w:vAlign w:val="center"/>
          </w:tcPr>
          <w:p w14:paraId="2ED26DB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燃油种类</w:t>
            </w:r>
          </w:p>
        </w:tc>
        <w:tc>
          <w:tcPr>
            <w:tcW w:w="7426" w:type="dxa"/>
            <w:shd w:val="clear" w:color="auto" w:fill="auto"/>
            <w:vAlign w:val="bottom"/>
          </w:tcPr>
          <w:p w14:paraId="59C84BA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汽油</w:t>
            </w:r>
          </w:p>
        </w:tc>
      </w:tr>
      <w:tr w14:paraId="3F09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9" w:type="dxa"/>
            <w:shd w:val="clear" w:color="auto" w:fill="auto"/>
            <w:vAlign w:val="center"/>
          </w:tcPr>
          <w:p w14:paraId="7D8A8C27">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2.10</w:t>
            </w:r>
          </w:p>
        </w:tc>
        <w:tc>
          <w:tcPr>
            <w:tcW w:w="1361" w:type="dxa"/>
            <w:shd w:val="clear" w:color="auto" w:fill="auto"/>
            <w:vAlign w:val="center"/>
          </w:tcPr>
          <w:p w14:paraId="472FAD7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额定功率</w:t>
            </w:r>
          </w:p>
        </w:tc>
        <w:tc>
          <w:tcPr>
            <w:tcW w:w="7426" w:type="dxa"/>
            <w:shd w:val="clear" w:color="auto" w:fill="auto"/>
            <w:vAlign w:val="bottom"/>
          </w:tcPr>
          <w:p w14:paraId="0B1EFE2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≥160</w:t>
            </w:r>
            <w:r>
              <w:rPr>
                <w:rFonts w:hint="eastAsia" w:ascii="宋体" w:hAnsi="宋体" w:cs="宋体"/>
                <w:color w:val="auto"/>
                <w:highlight w:val="none"/>
                <w:lang w:eastAsia="zh-CN"/>
              </w:rPr>
              <w:t>kW</w:t>
            </w:r>
          </w:p>
        </w:tc>
      </w:tr>
      <w:tr w14:paraId="5855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9" w:type="dxa"/>
            <w:shd w:val="clear" w:color="auto" w:fill="auto"/>
            <w:vAlign w:val="center"/>
          </w:tcPr>
          <w:p w14:paraId="5C2C90B1">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2.11</w:t>
            </w:r>
          </w:p>
        </w:tc>
        <w:tc>
          <w:tcPr>
            <w:tcW w:w="1361" w:type="dxa"/>
            <w:shd w:val="clear" w:color="auto" w:fill="auto"/>
            <w:vAlign w:val="center"/>
          </w:tcPr>
          <w:p w14:paraId="34B7B38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最大扭矩</w:t>
            </w:r>
          </w:p>
        </w:tc>
        <w:tc>
          <w:tcPr>
            <w:tcW w:w="7426" w:type="dxa"/>
            <w:shd w:val="clear" w:color="auto" w:fill="auto"/>
            <w:vAlign w:val="bottom"/>
          </w:tcPr>
          <w:p w14:paraId="066E80E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≥300N.m</w:t>
            </w:r>
          </w:p>
        </w:tc>
      </w:tr>
      <w:tr w14:paraId="663A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9" w:type="dxa"/>
            <w:shd w:val="clear" w:color="auto" w:fill="auto"/>
            <w:vAlign w:val="center"/>
          </w:tcPr>
          <w:p w14:paraId="5175E56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2.12</w:t>
            </w:r>
          </w:p>
        </w:tc>
        <w:tc>
          <w:tcPr>
            <w:tcW w:w="1361" w:type="dxa"/>
            <w:shd w:val="clear" w:color="auto" w:fill="auto"/>
            <w:vAlign w:val="center"/>
          </w:tcPr>
          <w:p w14:paraId="32EF73B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排放标准</w:t>
            </w:r>
          </w:p>
        </w:tc>
        <w:tc>
          <w:tcPr>
            <w:tcW w:w="7426" w:type="dxa"/>
            <w:shd w:val="clear" w:color="auto" w:fill="auto"/>
            <w:vAlign w:val="bottom"/>
          </w:tcPr>
          <w:p w14:paraId="2736392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尾气排放必须符合国VI标准。</w:t>
            </w:r>
          </w:p>
        </w:tc>
      </w:tr>
      <w:tr w14:paraId="0D93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9" w:type="dxa"/>
            <w:shd w:val="clear" w:color="auto" w:fill="auto"/>
            <w:vAlign w:val="center"/>
          </w:tcPr>
          <w:p w14:paraId="641E21E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▲2.13</w:t>
            </w:r>
          </w:p>
        </w:tc>
        <w:tc>
          <w:tcPr>
            <w:tcW w:w="1361" w:type="dxa"/>
            <w:shd w:val="clear" w:color="auto" w:fill="auto"/>
            <w:vAlign w:val="center"/>
          </w:tcPr>
          <w:p w14:paraId="73074FF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变速器</w:t>
            </w:r>
          </w:p>
        </w:tc>
        <w:tc>
          <w:tcPr>
            <w:tcW w:w="7426" w:type="dxa"/>
            <w:shd w:val="clear" w:color="auto" w:fill="auto"/>
            <w:vAlign w:val="bottom"/>
          </w:tcPr>
          <w:p w14:paraId="7A93A7A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eastAsia="zh-CN"/>
              </w:rPr>
              <w:t>挡手动</w:t>
            </w:r>
            <w:r>
              <w:rPr>
                <w:rFonts w:hint="eastAsia" w:ascii="宋体" w:hAnsi="宋体" w:cs="宋体"/>
                <w:color w:val="auto"/>
                <w:highlight w:val="none"/>
              </w:rPr>
              <w:t>（提供证明材料并加盖公章）</w:t>
            </w:r>
          </w:p>
        </w:tc>
      </w:tr>
      <w:tr w14:paraId="3055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19" w:type="dxa"/>
            <w:shd w:val="clear" w:color="auto" w:fill="auto"/>
            <w:vAlign w:val="center"/>
          </w:tcPr>
          <w:p w14:paraId="69151FC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2.14</w:t>
            </w:r>
          </w:p>
        </w:tc>
        <w:tc>
          <w:tcPr>
            <w:tcW w:w="1361" w:type="dxa"/>
            <w:shd w:val="clear" w:color="auto" w:fill="auto"/>
            <w:vAlign w:val="center"/>
          </w:tcPr>
          <w:p w14:paraId="6A70E6A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发电机</w:t>
            </w:r>
          </w:p>
        </w:tc>
        <w:tc>
          <w:tcPr>
            <w:tcW w:w="7426" w:type="dxa"/>
            <w:shd w:val="clear" w:color="auto" w:fill="auto"/>
            <w:vAlign w:val="bottom"/>
          </w:tcPr>
          <w:p w14:paraId="084DEBA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发电机为12V，功率为120AH以上。</w:t>
            </w:r>
          </w:p>
        </w:tc>
      </w:tr>
      <w:tr w14:paraId="53A7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219" w:type="dxa"/>
            <w:shd w:val="clear" w:color="auto" w:fill="auto"/>
            <w:vAlign w:val="center"/>
          </w:tcPr>
          <w:p w14:paraId="618B105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2.15</w:t>
            </w:r>
          </w:p>
        </w:tc>
        <w:tc>
          <w:tcPr>
            <w:tcW w:w="1361" w:type="dxa"/>
            <w:shd w:val="clear" w:color="auto" w:fill="auto"/>
            <w:vAlign w:val="center"/>
          </w:tcPr>
          <w:p w14:paraId="2EFF26C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制动系统</w:t>
            </w:r>
          </w:p>
        </w:tc>
        <w:tc>
          <w:tcPr>
            <w:tcW w:w="7426" w:type="dxa"/>
            <w:shd w:val="clear" w:color="auto" w:fill="auto"/>
            <w:vAlign w:val="bottom"/>
          </w:tcPr>
          <w:p w14:paraId="0D7EC70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双管路液压制动、前通风盘式、后实心盘式，带防抱死制动系统（ABS）</w:t>
            </w:r>
          </w:p>
        </w:tc>
      </w:tr>
      <w:tr w14:paraId="3478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219" w:type="dxa"/>
            <w:shd w:val="clear" w:color="auto" w:fill="auto"/>
            <w:vAlign w:val="center"/>
          </w:tcPr>
          <w:p w14:paraId="5013F4E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2.16</w:t>
            </w:r>
          </w:p>
        </w:tc>
        <w:tc>
          <w:tcPr>
            <w:tcW w:w="1361" w:type="dxa"/>
            <w:shd w:val="clear" w:color="auto" w:fill="auto"/>
            <w:vAlign w:val="center"/>
          </w:tcPr>
          <w:p w14:paraId="28A669A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空调系统</w:t>
            </w:r>
          </w:p>
        </w:tc>
        <w:tc>
          <w:tcPr>
            <w:tcW w:w="7426" w:type="dxa"/>
            <w:shd w:val="clear" w:color="auto" w:fill="auto"/>
            <w:vAlign w:val="bottom"/>
          </w:tcPr>
          <w:p w14:paraId="1330068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控制：冷暖空调，前后双空调，独立控制。</w:t>
            </w:r>
          </w:p>
        </w:tc>
      </w:tr>
      <w:tr w14:paraId="1AD0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219" w:type="dxa"/>
            <w:shd w:val="clear" w:color="auto" w:fill="auto"/>
            <w:vAlign w:val="center"/>
          </w:tcPr>
          <w:p w14:paraId="0871A46B">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2.16.1</w:t>
            </w:r>
          </w:p>
        </w:tc>
        <w:tc>
          <w:tcPr>
            <w:tcW w:w="1361" w:type="dxa"/>
            <w:shd w:val="clear" w:color="auto" w:fill="auto"/>
            <w:vAlign w:val="center"/>
          </w:tcPr>
          <w:p w14:paraId="0ABD49F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制热要求</w:t>
            </w:r>
          </w:p>
        </w:tc>
        <w:tc>
          <w:tcPr>
            <w:tcW w:w="7426" w:type="dxa"/>
            <w:shd w:val="clear" w:color="auto" w:fill="auto"/>
            <w:vAlign w:val="center"/>
          </w:tcPr>
          <w:p w14:paraId="1ACBE30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在环境温度-20摄氏度时，启动加热系统在15分钟内使车内温度至少达到22摄氏度以上。</w:t>
            </w:r>
          </w:p>
        </w:tc>
      </w:tr>
      <w:tr w14:paraId="55F1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219" w:type="dxa"/>
            <w:shd w:val="clear" w:color="auto" w:fill="auto"/>
            <w:vAlign w:val="center"/>
          </w:tcPr>
          <w:p w14:paraId="3FA9B41B">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2.16.2</w:t>
            </w:r>
          </w:p>
        </w:tc>
        <w:tc>
          <w:tcPr>
            <w:tcW w:w="1361" w:type="dxa"/>
            <w:shd w:val="clear" w:color="auto" w:fill="auto"/>
            <w:vAlign w:val="center"/>
          </w:tcPr>
          <w:p w14:paraId="6C6F33F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制冷要求</w:t>
            </w:r>
          </w:p>
        </w:tc>
        <w:tc>
          <w:tcPr>
            <w:tcW w:w="7426" w:type="dxa"/>
            <w:shd w:val="clear" w:color="auto" w:fill="auto"/>
            <w:vAlign w:val="center"/>
          </w:tcPr>
          <w:p w14:paraId="012A7C5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在环境温度40摄氏度时，启动制冷系统在15分钟内，使车内温度至少达到7摄氏度以上。</w:t>
            </w:r>
          </w:p>
        </w:tc>
      </w:tr>
      <w:tr w14:paraId="360F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9" w:type="dxa"/>
            <w:shd w:val="clear" w:color="auto" w:fill="auto"/>
            <w:vAlign w:val="center"/>
          </w:tcPr>
          <w:p w14:paraId="2891B11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2.17</w:t>
            </w:r>
          </w:p>
        </w:tc>
        <w:tc>
          <w:tcPr>
            <w:tcW w:w="1361" w:type="dxa"/>
            <w:shd w:val="clear" w:color="auto" w:fill="auto"/>
            <w:vAlign w:val="center"/>
          </w:tcPr>
          <w:p w14:paraId="78448CE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其他配置</w:t>
            </w:r>
          </w:p>
        </w:tc>
        <w:tc>
          <w:tcPr>
            <w:tcW w:w="7426" w:type="dxa"/>
            <w:shd w:val="clear" w:color="auto" w:fill="auto"/>
            <w:vAlign w:val="bottom"/>
          </w:tcPr>
          <w:p w14:paraId="78DFA02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　</w:t>
            </w:r>
          </w:p>
        </w:tc>
      </w:tr>
      <w:tr w14:paraId="4E7A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1219" w:type="dxa"/>
            <w:shd w:val="clear" w:color="auto" w:fill="auto"/>
            <w:vAlign w:val="center"/>
          </w:tcPr>
          <w:p w14:paraId="041E4D2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2.17.1</w:t>
            </w:r>
          </w:p>
        </w:tc>
        <w:tc>
          <w:tcPr>
            <w:tcW w:w="8787" w:type="dxa"/>
            <w:gridSpan w:val="2"/>
            <w:shd w:val="clear" w:color="auto" w:fill="auto"/>
            <w:vAlign w:val="center"/>
          </w:tcPr>
          <w:p w14:paraId="1770690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安全气囊</w:t>
            </w:r>
            <w:r>
              <w:rPr>
                <w:rFonts w:hint="eastAsia" w:ascii="宋体" w:hAnsi="宋体" w:cs="宋体"/>
                <w:color w:val="auto"/>
                <w:highlight w:val="none"/>
                <w:lang w:eastAsia="zh-CN"/>
              </w:rPr>
              <w:t>：</w:t>
            </w:r>
            <w:r>
              <w:rPr>
                <w:rFonts w:hint="eastAsia" w:ascii="宋体" w:hAnsi="宋体" w:cs="宋体"/>
                <w:color w:val="auto"/>
                <w:highlight w:val="none"/>
              </w:rPr>
              <w:t>驾驶座应配有安全气囊。</w:t>
            </w:r>
          </w:p>
          <w:p w14:paraId="790B6B1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车窗</w:t>
            </w:r>
            <w:r>
              <w:rPr>
                <w:rFonts w:hint="eastAsia" w:ascii="宋体" w:hAnsi="宋体" w:cs="宋体"/>
                <w:color w:val="auto"/>
                <w:highlight w:val="none"/>
                <w:lang w:eastAsia="zh-CN"/>
              </w:rPr>
              <w:t>：</w:t>
            </w:r>
            <w:r>
              <w:rPr>
                <w:rFonts w:hint="eastAsia" w:ascii="宋体" w:hAnsi="宋体" w:cs="宋体"/>
                <w:color w:val="auto"/>
                <w:highlight w:val="none"/>
              </w:rPr>
              <w:t>医疗舱右侧侧拉门上应为可开启式玻璃窗。</w:t>
            </w:r>
          </w:p>
          <w:p w14:paraId="4E14933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侧拉门</w:t>
            </w:r>
            <w:r>
              <w:rPr>
                <w:rFonts w:hint="eastAsia" w:ascii="宋体" w:hAnsi="宋体" w:cs="宋体"/>
                <w:color w:val="auto"/>
                <w:highlight w:val="none"/>
                <w:lang w:eastAsia="zh-CN"/>
              </w:rPr>
              <w:t>：</w:t>
            </w:r>
            <w:r>
              <w:rPr>
                <w:rFonts w:hint="eastAsia" w:ascii="宋体" w:hAnsi="宋体" w:cs="宋体"/>
                <w:color w:val="auto"/>
                <w:highlight w:val="none"/>
              </w:rPr>
              <w:t>医疗舱右侧必须为大开度侧拉门。</w:t>
            </w:r>
          </w:p>
          <w:p w14:paraId="028A8BE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尾门</w:t>
            </w:r>
            <w:r>
              <w:rPr>
                <w:rFonts w:hint="eastAsia" w:ascii="宋体" w:hAnsi="宋体" w:cs="宋体"/>
                <w:color w:val="auto"/>
                <w:highlight w:val="none"/>
                <w:lang w:eastAsia="zh-CN"/>
              </w:rPr>
              <w:t>：</w:t>
            </w:r>
            <w:r>
              <w:rPr>
                <w:rFonts w:hint="eastAsia" w:ascii="宋体" w:hAnsi="宋体" w:cs="宋体"/>
                <w:color w:val="auto"/>
                <w:highlight w:val="none"/>
              </w:rPr>
              <w:t>尾门要求对开式，可180度打开。</w:t>
            </w:r>
          </w:p>
          <w:p w14:paraId="4DADD3D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踏板</w:t>
            </w:r>
            <w:r>
              <w:rPr>
                <w:rFonts w:hint="eastAsia" w:ascii="宋体" w:hAnsi="宋体" w:cs="宋体"/>
                <w:color w:val="auto"/>
                <w:highlight w:val="none"/>
                <w:lang w:eastAsia="zh-CN"/>
              </w:rPr>
              <w:t>：</w:t>
            </w:r>
            <w:r>
              <w:rPr>
                <w:rFonts w:hint="eastAsia" w:ascii="宋体" w:hAnsi="宋体" w:cs="宋体"/>
                <w:color w:val="auto"/>
                <w:highlight w:val="none"/>
              </w:rPr>
              <w:t>医疗舱右侧侧拉门处应安装伸缩式上车踏板。</w:t>
            </w:r>
          </w:p>
          <w:p w14:paraId="6C9CC0B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后视镜</w:t>
            </w:r>
            <w:r>
              <w:rPr>
                <w:rFonts w:hint="eastAsia" w:ascii="宋体" w:hAnsi="宋体" w:cs="宋体"/>
                <w:color w:val="auto"/>
                <w:highlight w:val="none"/>
                <w:lang w:eastAsia="zh-CN"/>
              </w:rPr>
              <w:t>：</w:t>
            </w:r>
            <w:r>
              <w:rPr>
                <w:rFonts w:hint="eastAsia" w:ascii="宋体" w:hAnsi="宋体" w:cs="宋体"/>
                <w:color w:val="auto"/>
                <w:highlight w:val="none"/>
              </w:rPr>
              <w:t>后视镜为电动可调节后视镜。</w:t>
            </w:r>
          </w:p>
        </w:tc>
      </w:tr>
      <w:tr w14:paraId="60D2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219" w:type="dxa"/>
            <w:shd w:val="clear" w:color="auto" w:fill="auto"/>
            <w:vAlign w:val="center"/>
          </w:tcPr>
          <w:p w14:paraId="36F96236">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2.18</w:t>
            </w:r>
          </w:p>
        </w:tc>
        <w:tc>
          <w:tcPr>
            <w:tcW w:w="1361" w:type="dxa"/>
            <w:shd w:val="clear" w:color="auto" w:fill="auto"/>
            <w:vAlign w:val="center"/>
          </w:tcPr>
          <w:p w14:paraId="1839725C">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外 观</w:t>
            </w:r>
          </w:p>
        </w:tc>
        <w:tc>
          <w:tcPr>
            <w:tcW w:w="7426" w:type="dxa"/>
            <w:shd w:val="clear" w:color="auto" w:fill="auto"/>
            <w:vAlign w:val="center"/>
          </w:tcPr>
          <w:p w14:paraId="6EE4E47F">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1.车辆外观根据最终用户统一标准设计。</w:t>
            </w:r>
          </w:p>
          <w:p w14:paraId="5E1EDB5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2.所有标识采用国际知名品牌反光贴。</w:t>
            </w:r>
          </w:p>
        </w:tc>
      </w:tr>
      <w:tr w14:paraId="63F0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shd w:val="clear" w:color="auto" w:fill="auto"/>
            <w:vAlign w:val="center"/>
          </w:tcPr>
          <w:p w14:paraId="0317275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三</w:t>
            </w:r>
          </w:p>
        </w:tc>
        <w:tc>
          <w:tcPr>
            <w:tcW w:w="1361" w:type="dxa"/>
            <w:shd w:val="clear" w:color="auto" w:fill="auto"/>
            <w:vAlign w:val="center"/>
          </w:tcPr>
          <w:p w14:paraId="2A4D427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医疗舱及改装</w:t>
            </w:r>
          </w:p>
        </w:tc>
        <w:tc>
          <w:tcPr>
            <w:tcW w:w="7426" w:type="dxa"/>
            <w:shd w:val="clear" w:color="auto" w:fill="auto"/>
            <w:vAlign w:val="bottom"/>
          </w:tcPr>
          <w:p w14:paraId="70FAE355">
            <w:pPr>
              <w:widowControl/>
              <w:spacing w:line="240" w:lineRule="auto"/>
              <w:ind w:firstLine="0" w:firstLineChars="0"/>
              <w:rPr>
                <w:rFonts w:hint="eastAsia" w:ascii="宋体" w:hAnsi="宋体" w:cs="宋体"/>
                <w:color w:val="auto"/>
                <w:highlight w:val="none"/>
              </w:rPr>
            </w:pPr>
          </w:p>
        </w:tc>
      </w:tr>
      <w:tr w14:paraId="660B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219" w:type="dxa"/>
            <w:shd w:val="clear" w:color="auto" w:fill="auto"/>
            <w:vAlign w:val="center"/>
          </w:tcPr>
          <w:p w14:paraId="114178F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3.1</w:t>
            </w:r>
          </w:p>
        </w:tc>
        <w:tc>
          <w:tcPr>
            <w:tcW w:w="1361" w:type="dxa"/>
            <w:shd w:val="clear" w:color="auto" w:fill="auto"/>
            <w:vAlign w:val="center"/>
          </w:tcPr>
          <w:p w14:paraId="17CB8E0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医疗舱内饰防火性能</w:t>
            </w:r>
          </w:p>
        </w:tc>
        <w:tc>
          <w:tcPr>
            <w:tcW w:w="7426" w:type="dxa"/>
            <w:shd w:val="clear" w:color="auto" w:fill="auto"/>
            <w:vAlign w:val="bottom"/>
          </w:tcPr>
          <w:p w14:paraId="77146FA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医疗舱内饰材料及装饰材料的防火性能应符合GB8410－2006《汽车内饰材料的燃烧特性》的要求。</w:t>
            </w:r>
          </w:p>
        </w:tc>
      </w:tr>
      <w:tr w14:paraId="7F64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19" w:type="dxa"/>
            <w:shd w:val="clear" w:color="auto" w:fill="auto"/>
            <w:vAlign w:val="center"/>
          </w:tcPr>
          <w:p w14:paraId="711A3E6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3.2</w:t>
            </w:r>
          </w:p>
        </w:tc>
        <w:tc>
          <w:tcPr>
            <w:tcW w:w="1361" w:type="dxa"/>
            <w:shd w:val="clear" w:color="auto" w:fill="auto"/>
            <w:vAlign w:val="center"/>
          </w:tcPr>
          <w:p w14:paraId="16D8F70C">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内饰材料</w:t>
            </w:r>
          </w:p>
        </w:tc>
        <w:tc>
          <w:tcPr>
            <w:tcW w:w="7426" w:type="dxa"/>
            <w:shd w:val="clear" w:color="auto" w:fill="auto"/>
            <w:vAlign w:val="bottom"/>
          </w:tcPr>
          <w:p w14:paraId="1C8A442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医疗舱内饰（顶、左侧、右侧、中隔板等覆盖件）材料应全部采用ABS复合材料模具一次成型工艺，ABS复合材料应具有：防霉、防菌、防静电、防潮、阻燃、易清洗、易消毒、高强度、抗老化、无异味、无毒、安全性强等优点。内饰件应无尖锐突出形状，周边应修光，连接应平滑，禁止使用板材拼接工艺，应符合GB/T30512-2014《汽车禁用物质要求》的环保要求。</w:t>
            </w:r>
          </w:p>
        </w:tc>
      </w:tr>
      <w:tr w14:paraId="1FCC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19" w:type="dxa"/>
            <w:shd w:val="clear" w:color="auto" w:fill="auto"/>
            <w:vAlign w:val="center"/>
          </w:tcPr>
          <w:p w14:paraId="4992075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3.3</w:t>
            </w:r>
          </w:p>
        </w:tc>
        <w:tc>
          <w:tcPr>
            <w:tcW w:w="1361" w:type="dxa"/>
            <w:shd w:val="clear" w:color="auto" w:fill="auto"/>
            <w:vAlign w:val="center"/>
          </w:tcPr>
          <w:p w14:paraId="02306B0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内饰工艺</w:t>
            </w:r>
          </w:p>
        </w:tc>
        <w:tc>
          <w:tcPr>
            <w:tcW w:w="7426" w:type="dxa"/>
            <w:shd w:val="clear" w:color="auto" w:fill="auto"/>
            <w:vAlign w:val="center"/>
          </w:tcPr>
          <w:p w14:paraId="1685A30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医疗舱内饰（顶、左侧、右侧、中隔板等覆盖件）要求采用ABS复合材料模具一次成型工艺，使医疗舱更加易清洗易消毒，功能集成度高。</w:t>
            </w:r>
          </w:p>
        </w:tc>
      </w:tr>
      <w:tr w14:paraId="4C4E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219" w:type="dxa"/>
            <w:shd w:val="clear" w:color="auto" w:fill="auto"/>
            <w:vAlign w:val="center"/>
          </w:tcPr>
          <w:p w14:paraId="7FA8218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3.4</w:t>
            </w:r>
          </w:p>
        </w:tc>
        <w:tc>
          <w:tcPr>
            <w:tcW w:w="1361" w:type="dxa"/>
            <w:shd w:val="clear" w:color="auto" w:fill="auto"/>
            <w:vAlign w:val="center"/>
          </w:tcPr>
          <w:p w14:paraId="701A1D1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内饰及结构件</w:t>
            </w:r>
          </w:p>
        </w:tc>
        <w:tc>
          <w:tcPr>
            <w:tcW w:w="7426" w:type="dxa"/>
            <w:shd w:val="clear" w:color="auto" w:fill="auto"/>
            <w:vAlign w:val="bottom"/>
          </w:tcPr>
          <w:p w14:paraId="34DAE34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医疗舱内饰及结构件安装必须与车身固定连接，并应形成具有良好密封性和保温性。</w:t>
            </w:r>
          </w:p>
        </w:tc>
      </w:tr>
      <w:tr w14:paraId="4C3C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19" w:type="dxa"/>
            <w:shd w:val="clear" w:color="auto" w:fill="auto"/>
            <w:vAlign w:val="center"/>
          </w:tcPr>
          <w:p w14:paraId="6B127E7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3.5</w:t>
            </w:r>
          </w:p>
        </w:tc>
        <w:tc>
          <w:tcPr>
            <w:tcW w:w="1361" w:type="dxa"/>
            <w:shd w:val="clear" w:color="auto" w:fill="auto"/>
            <w:vAlign w:val="center"/>
          </w:tcPr>
          <w:p w14:paraId="3F89C59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医疗舱结构</w:t>
            </w:r>
          </w:p>
        </w:tc>
        <w:tc>
          <w:tcPr>
            <w:tcW w:w="7426" w:type="dxa"/>
            <w:shd w:val="clear" w:color="auto" w:fill="auto"/>
            <w:vAlign w:val="bottom"/>
          </w:tcPr>
          <w:p w14:paraId="236DF42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　</w:t>
            </w:r>
          </w:p>
        </w:tc>
      </w:tr>
      <w:tr w14:paraId="5261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19" w:type="dxa"/>
            <w:shd w:val="clear" w:color="auto" w:fill="auto"/>
            <w:vAlign w:val="center"/>
          </w:tcPr>
          <w:p w14:paraId="574E43F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3.5.1</w:t>
            </w:r>
          </w:p>
        </w:tc>
        <w:tc>
          <w:tcPr>
            <w:tcW w:w="1361" w:type="dxa"/>
            <w:shd w:val="clear" w:color="auto" w:fill="auto"/>
            <w:vAlign w:val="center"/>
          </w:tcPr>
          <w:p w14:paraId="7092266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地板</w:t>
            </w:r>
          </w:p>
        </w:tc>
        <w:tc>
          <w:tcPr>
            <w:tcW w:w="7426" w:type="dxa"/>
            <w:shd w:val="clear" w:color="auto" w:fill="auto"/>
            <w:vAlign w:val="bottom"/>
          </w:tcPr>
          <w:p w14:paraId="31D84F2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采用耐磨、耐酸、耐碱、阻燃、防滑、防霉、易清洗医疗专用塑胶地板。</w:t>
            </w:r>
          </w:p>
        </w:tc>
      </w:tr>
      <w:tr w14:paraId="44FC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219" w:type="dxa"/>
            <w:shd w:val="clear" w:color="auto" w:fill="auto"/>
            <w:vAlign w:val="center"/>
          </w:tcPr>
          <w:p w14:paraId="7F1BFBF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3.5.2</w:t>
            </w:r>
          </w:p>
        </w:tc>
        <w:tc>
          <w:tcPr>
            <w:tcW w:w="1361" w:type="dxa"/>
            <w:shd w:val="clear" w:color="auto" w:fill="auto"/>
            <w:vAlign w:val="center"/>
          </w:tcPr>
          <w:p w14:paraId="6F9F610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中隔墙</w:t>
            </w:r>
          </w:p>
        </w:tc>
        <w:tc>
          <w:tcPr>
            <w:tcW w:w="7426" w:type="dxa"/>
            <w:shd w:val="clear" w:color="auto" w:fill="auto"/>
            <w:vAlign w:val="bottom"/>
          </w:tcPr>
          <w:p w14:paraId="505AC32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中隔墙能将驾驶舱和急救舱完全隔离，采用ABS复合材料模具一次成型工艺。中隔墙上配有可开启移动式透明推窗，推窗玻璃带有锁定装置。</w:t>
            </w:r>
          </w:p>
        </w:tc>
      </w:tr>
      <w:tr w14:paraId="5BAC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219" w:type="dxa"/>
            <w:shd w:val="clear" w:color="auto" w:fill="auto"/>
            <w:vAlign w:val="center"/>
          </w:tcPr>
          <w:p w14:paraId="2B446D9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3.5.3</w:t>
            </w:r>
          </w:p>
        </w:tc>
        <w:tc>
          <w:tcPr>
            <w:tcW w:w="1361" w:type="dxa"/>
            <w:shd w:val="clear" w:color="auto" w:fill="auto"/>
            <w:vAlign w:val="center"/>
          </w:tcPr>
          <w:p w14:paraId="7B2CD6B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操作平台</w:t>
            </w:r>
          </w:p>
        </w:tc>
        <w:tc>
          <w:tcPr>
            <w:tcW w:w="7426" w:type="dxa"/>
            <w:shd w:val="clear" w:color="auto" w:fill="auto"/>
            <w:vAlign w:val="center"/>
          </w:tcPr>
          <w:p w14:paraId="02358E9C">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应位于医疗舱左侧，采用ABS材料模具一次成型工艺。操作平台下面为电器柜及医疗器械柜，可根据用户实际要求布置。</w:t>
            </w:r>
          </w:p>
        </w:tc>
      </w:tr>
      <w:tr w14:paraId="492A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219" w:type="dxa"/>
            <w:shd w:val="clear" w:color="auto" w:fill="auto"/>
            <w:vAlign w:val="center"/>
          </w:tcPr>
          <w:p w14:paraId="0C80A90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3.5.4</w:t>
            </w:r>
          </w:p>
        </w:tc>
        <w:tc>
          <w:tcPr>
            <w:tcW w:w="1361" w:type="dxa"/>
            <w:shd w:val="clear" w:color="auto" w:fill="auto"/>
            <w:vAlign w:val="center"/>
          </w:tcPr>
          <w:p w14:paraId="3EE149A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药品柜</w:t>
            </w:r>
          </w:p>
        </w:tc>
        <w:tc>
          <w:tcPr>
            <w:tcW w:w="7426" w:type="dxa"/>
            <w:shd w:val="clear" w:color="auto" w:fill="auto"/>
            <w:vAlign w:val="bottom"/>
          </w:tcPr>
          <w:p w14:paraId="63D3A33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药品器械柜可分别放置一次性耗材、注射用品、外伤包扎用品、隔离防护用品、插管箱、按压泵、软担架、呼吸机、心电图机、除颤仪等急救药械，应采用ABS复合材料与高分子板材相结合制作而成，不吸水、易清洗，边角均应采用圆角过度，封边及接口处不可有触手感。药品器械柜的布置要便于医护人员的操作。</w:t>
            </w:r>
          </w:p>
        </w:tc>
      </w:tr>
      <w:tr w14:paraId="101F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219" w:type="dxa"/>
            <w:shd w:val="clear" w:color="auto" w:fill="auto"/>
            <w:vAlign w:val="center"/>
          </w:tcPr>
          <w:p w14:paraId="01630FD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3.5.5</w:t>
            </w:r>
          </w:p>
        </w:tc>
        <w:tc>
          <w:tcPr>
            <w:tcW w:w="1361" w:type="dxa"/>
            <w:shd w:val="clear" w:color="auto" w:fill="auto"/>
            <w:vAlign w:val="center"/>
          </w:tcPr>
          <w:p w14:paraId="5063EE3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辅料柜</w:t>
            </w:r>
          </w:p>
        </w:tc>
        <w:tc>
          <w:tcPr>
            <w:tcW w:w="7426" w:type="dxa"/>
            <w:shd w:val="clear" w:color="auto" w:fill="auto"/>
            <w:vAlign w:val="center"/>
          </w:tcPr>
          <w:p w14:paraId="24B6B3E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应位于医疗舱顶部两侧以及中隔墙上方，可分别放置一次性床单、外伤包扎用品、隔离防护用品、插管等辅料，辅料柜数量不少于6个。</w:t>
            </w:r>
          </w:p>
        </w:tc>
      </w:tr>
      <w:tr w14:paraId="424C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19" w:type="dxa"/>
            <w:shd w:val="clear" w:color="auto" w:fill="auto"/>
            <w:vAlign w:val="center"/>
          </w:tcPr>
          <w:p w14:paraId="2EFDDD6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3.5.6</w:t>
            </w:r>
          </w:p>
        </w:tc>
        <w:tc>
          <w:tcPr>
            <w:tcW w:w="1361" w:type="dxa"/>
            <w:shd w:val="clear" w:color="auto" w:fill="auto"/>
            <w:vAlign w:val="center"/>
          </w:tcPr>
          <w:p w14:paraId="5C2480F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器械平台</w:t>
            </w:r>
          </w:p>
        </w:tc>
        <w:tc>
          <w:tcPr>
            <w:tcW w:w="7426" w:type="dxa"/>
            <w:shd w:val="clear" w:color="auto" w:fill="auto"/>
            <w:vAlign w:val="center"/>
          </w:tcPr>
          <w:p w14:paraId="7F74E39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应位于左侧中部，应按照招标方提供的设备及安装要求放置监护仪、心电图机、呼吸机、除颤仪等急救设备，安装牢固，便于医护人员的观察和操作。</w:t>
            </w:r>
          </w:p>
        </w:tc>
      </w:tr>
      <w:tr w14:paraId="71F7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19" w:type="dxa"/>
            <w:shd w:val="clear" w:color="auto" w:fill="auto"/>
            <w:vAlign w:val="center"/>
          </w:tcPr>
          <w:p w14:paraId="1D46CCF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3.5.7</w:t>
            </w:r>
          </w:p>
        </w:tc>
        <w:tc>
          <w:tcPr>
            <w:tcW w:w="1361" w:type="dxa"/>
            <w:shd w:val="clear" w:color="auto" w:fill="auto"/>
            <w:vAlign w:val="center"/>
          </w:tcPr>
          <w:p w14:paraId="40327A1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医生椅</w:t>
            </w:r>
          </w:p>
        </w:tc>
        <w:tc>
          <w:tcPr>
            <w:tcW w:w="7426" w:type="dxa"/>
            <w:shd w:val="clear" w:color="auto" w:fill="auto"/>
            <w:vAlign w:val="center"/>
          </w:tcPr>
          <w:p w14:paraId="6B81E9E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应位于医疗舱右侧柜式床前方，医生椅的固定应符合GB15083汽车座椅、座椅固定装置及头枕强度要求。医生椅的座垫、靠背应采用自吸皮整体发泡工艺，表面不应有拼接线缝，并便于冲洗消毒。</w:t>
            </w:r>
          </w:p>
        </w:tc>
      </w:tr>
      <w:tr w14:paraId="069E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219" w:type="dxa"/>
            <w:shd w:val="clear" w:color="auto" w:fill="auto"/>
            <w:vAlign w:val="center"/>
          </w:tcPr>
          <w:p w14:paraId="45B4773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3.5.8</w:t>
            </w:r>
          </w:p>
        </w:tc>
        <w:tc>
          <w:tcPr>
            <w:tcW w:w="1361" w:type="dxa"/>
            <w:shd w:val="clear" w:color="auto" w:fill="auto"/>
            <w:vAlign w:val="center"/>
          </w:tcPr>
          <w:p w14:paraId="374D9ACC">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柜式床</w:t>
            </w:r>
          </w:p>
        </w:tc>
        <w:tc>
          <w:tcPr>
            <w:tcW w:w="7426" w:type="dxa"/>
            <w:shd w:val="clear" w:color="auto" w:fill="auto"/>
            <w:vAlign w:val="bottom"/>
          </w:tcPr>
          <w:p w14:paraId="3738519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应采用ABS复合材料模具一次成型工艺，可坐二人（带安全带），座垫下方两侧空间可做工具箱。座椅的座垫、靠背表面无拼接线缝，并便于冲洗消毒，安全带装配牢固、耐用、可靠。</w:t>
            </w:r>
          </w:p>
        </w:tc>
      </w:tr>
      <w:tr w14:paraId="45CA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125D77B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3.5.9</w:t>
            </w:r>
          </w:p>
        </w:tc>
        <w:tc>
          <w:tcPr>
            <w:tcW w:w="1361" w:type="dxa"/>
            <w:shd w:val="clear" w:color="auto" w:fill="auto"/>
            <w:vAlign w:val="center"/>
          </w:tcPr>
          <w:p w14:paraId="26C637E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氧气瓶柜</w:t>
            </w:r>
          </w:p>
        </w:tc>
        <w:tc>
          <w:tcPr>
            <w:tcW w:w="7426" w:type="dxa"/>
            <w:shd w:val="clear" w:color="auto" w:fill="auto"/>
            <w:vAlign w:val="bottom"/>
          </w:tcPr>
          <w:p w14:paraId="1D5AF73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应采用ABS复合材料模具一次成型工艺，位于医疗舱左侧后部，操作方便，并可放置2个10升氧气瓶的空间。</w:t>
            </w:r>
          </w:p>
        </w:tc>
      </w:tr>
      <w:tr w14:paraId="1A75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19" w:type="dxa"/>
            <w:shd w:val="clear" w:color="auto" w:fill="auto"/>
            <w:vAlign w:val="center"/>
          </w:tcPr>
          <w:p w14:paraId="7B88CB7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3.5.10</w:t>
            </w:r>
          </w:p>
        </w:tc>
        <w:tc>
          <w:tcPr>
            <w:tcW w:w="1361" w:type="dxa"/>
            <w:shd w:val="clear" w:color="auto" w:fill="auto"/>
            <w:vAlign w:val="center"/>
          </w:tcPr>
          <w:p w14:paraId="49F36B0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集成内顶</w:t>
            </w:r>
          </w:p>
        </w:tc>
        <w:tc>
          <w:tcPr>
            <w:tcW w:w="7426" w:type="dxa"/>
            <w:shd w:val="clear" w:color="auto" w:fill="auto"/>
            <w:vAlign w:val="bottom"/>
          </w:tcPr>
          <w:p w14:paraId="1A5DC5A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集成内顶应集成照明、储物、杀菌、输液、全方位扶手等功能与一体，采用ABS复合材料模具一次成型工艺，其设计合理方便医护人员开展抢救工作。</w:t>
            </w:r>
          </w:p>
        </w:tc>
      </w:tr>
      <w:tr w14:paraId="4F54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19" w:type="dxa"/>
            <w:shd w:val="clear" w:color="auto" w:fill="auto"/>
            <w:vAlign w:val="center"/>
          </w:tcPr>
          <w:p w14:paraId="2B65886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3.5.11</w:t>
            </w:r>
          </w:p>
        </w:tc>
        <w:tc>
          <w:tcPr>
            <w:tcW w:w="1361" w:type="dxa"/>
            <w:shd w:val="clear" w:color="auto" w:fill="auto"/>
            <w:vAlign w:val="center"/>
          </w:tcPr>
          <w:p w14:paraId="712DE75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污物桶</w:t>
            </w:r>
          </w:p>
        </w:tc>
        <w:tc>
          <w:tcPr>
            <w:tcW w:w="7426" w:type="dxa"/>
            <w:shd w:val="clear" w:color="auto" w:fill="auto"/>
            <w:vAlign w:val="center"/>
          </w:tcPr>
          <w:p w14:paraId="09103F2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在不影响医护人员急救工作且方便操作的位置应配有免洗消毒液固定装置、污物桶。</w:t>
            </w:r>
          </w:p>
        </w:tc>
      </w:tr>
      <w:tr w14:paraId="27E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9" w:type="dxa"/>
            <w:shd w:val="clear" w:color="auto" w:fill="auto"/>
            <w:vAlign w:val="center"/>
          </w:tcPr>
          <w:p w14:paraId="7F9ACF4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3.5.12</w:t>
            </w:r>
          </w:p>
        </w:tc>
        <w:tc>
          <w:tcPr>
            <w:tcW w:w="1361" w:type="dxa"/>
            <w:shd w:val="clear" w:color="auto" w:fill="auto"/>
            <w:vAlign w:val="center"/>
          </w:tcPr>
          <w:p w14:paraId="710FBA0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医疗舱车窗</w:t>
            </w:r>
          </w:p>
        </w:tc>
        <w:tc>
          <w:tcPr>
            <w:tcW w:w="7426" w:type="dxa"/>
            <w:shd w:val="clear" w:color="auto" w:fill="auto"/>
            <w:vAlign w:val="center"/>
          </w:tcPr>
          <w:p w14:paraId="03607E8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医疗舱至少有2个车窗，至少1个可开启，车窗材料符合车辆有关规定。</w:t>
            </w:r>
          </w:p>
        </w:tc>
      </w:tr>
      <w:tr w14:paraId="4211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19" w:type="dxa"/>
            <w:shd w:val="clear" w:color="auto" w:fill="auto"/>
            <w:vAlign w:val="center"/>
          </w:tcPr>
          <w:p w14:paraId="432236B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3.5.13</w:t>
            </w:r>
          </w:p>
        </w:tc>
        <w:tc>
          <w:tcPr>
            <w:tcW w:w="1361" w:type="dxa"/>
            <w:shd w:val="clear" w:color="auto" w:fill="auto"/>
            <w:vAlign w:val="center"/>
          </w:tcPr>
          <w:p w14:paraId="129A400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安全扶手</w:t>
            </w:r>
          </w:p>
        </w:tc>
        <w:tc>
          <w:tcPr>
            <w:tcW w:w="7426" w:type="dxa"/>
            <w:shd w:val="clear" w:color="auto" w:fill="auto"/>
            <w:vAlign w:val="center"/>
          </w:tcPr>
          <w:p w14:paraId="4297512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医疗舱的上、下车门处、顶部应安装扶手，确保人员安全。</w:t>
            </w:r>
          </w:p>
        </w:tc>
      </w:tr>
      <w:tr w14:paraId="782D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9" w:type="dxa"/>
            <w:shd w:val="clear" w:color="auto" w:fill="auto"/>
            <w:vAlign w:val="center"/>
          </w:tcPr>
          <w:p w14:paraId="3A04396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3.6</w:t>
            </w:r>
          </w:p>
        </w:tc>
        <w:tc>
          <w:tcPr>
            <w:tcW w:w="1361" w:type="dxa"/>
            <w:shd w:val="clear" w:color="auto" w:fill="auto"/>
            <w:vAlign w:val="center"/>
          </w:tcPr>
          <w:p w14:paraId="4F1A6F4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电控系统</w:t>
            </w:r>
          </w:p>
        </w:tc>
        <w:tc>
          <w:tcPr>
            <w:tcW w:w="7426" w:type="dxa"/>
            <w:shd w:val="clear" w:color="auto" w:fill="auto"/>
            <w:vAlign w:val="bottom"/>
          </w:tcPr>
          <w:p w14:paraId="442C726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　</w:t>
            </w:r>
          </w:p>
        </w:tc>
      </w:tr>
      <w:tr w14:paraId="2DAD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19" w:type="dxa"/>
            <w:shd w:val="clear" w:color="auto" w:fill="auto"/>
            <w:vAlign w:val="center"/>
          </w:tcPr>
          <w:p w14:paraId="0BF8000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3.6.1</w:t>
            </w:r>
          </w:p>
        </w:tc>
        <w:tc>
          <w:tcPr>
            <w:tcW w:w="1361" w:type="dxa"/>
            <w:shd w:val="clear" w:color="auto" w:fill="auto"/>
            <w:vAlign w:val="center"/>
          </w:tcPr>
          <w:p w14:paraId="4425448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控制电路</w:t>
            </w:r>
          </w:p>
        </w:tc>
        <w:tc>
          <w:tcPr>
            <w:tcW w:w="7426" w:type="dxa"/>
            <w:shd w:val="clear" w:color="auto" w:fill="auto"/>
            <w:vAlign w:val="center"/>
          </w:tcPr>
          <w:p w14:paraId="64C3269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应采用集成电路控制系统，高清液晶屏显示，防水薄膜开关操作，且电瓶电量、工作灯状态、排风状态等相关用电设备的工作状态能够在液晶屏上显示，工作人员能够直观的掌握用电设备的工作状态和及时发现故障。</w:t>
            </w:r>
          </w:p>
        </w:tc>
      </w:tr>
      <w:tr w14:paraId="688D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219" w:type="dxa"/>
            <w:shd w:val="clear" w:color="auto" w:fill="auto"/>
            <w:vAlign w:val="center"/>
          </w:tcPr>
          <w:p w14:paraId="6DC8958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3.6.2</w:t>
            </w:r>
          </w:p>
        </w:tc>
        <w:tc>
          <w:tcPr>
            <w:tcW w:w="1361" w:type="dxa"/>
            <w:shd w:val="clear" w:color="auto" w:fill="auto"/>
            <w:vAlign w:val="center"/>
          </w:tcPr>
          <w:p w14:paraId="431DA5A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附加电瓶</w:t>
            </w:r>
          </w:p>
        </w:tc>
        <w:tc>
          <w:tcPr>
            <w:tcW w:w="7426" w:type="dxa"/>
            <w:shd w:val="clear" w:color="auto" w:fill="auto"/>
            <w:vAlign w:val="center"/>
          </w:tcPr>
          <w:p w14:paraId="6369AFE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应为汽车专用电瓶，容量不小于65AH，在驻车时可供医疗器械使用。电瓶应该安装在方便检修的位置。蓄电池安装及其所有连接应防止任何情况下发生短路的可能。在车辆熄火后，附加电瓶和启动电瓶自动断开。车辆启动时自动连接，以保证救护车的正常启动和附加电设备的用电需要。</w:t>
            </w:r>
          </w:p>
        </w:tc>
      </w:tr>
      <w:tr w14:paraId="7466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219" w:type="dxa"/>
            <w:shd w:val="clear" w:color="auto" w:fill="auto"/>
            <w:vAlign w:val="center"/>
          </w:tcPr>
          <w:p w14:paraId="2027B16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3.6.3</w:t>
            </w:r>
          </w:p>
        </w:tc>
        <w:tc>
          <w:tcPr>
            <w:tcW w:w="1361" w:type="dxa"/>
            <w:shd w:val="clear" w:color="auto" w:fill="auto"/>
            <w:vAlign w:val="center"/>
          </w:tcPr>
          <w:p w14:paraId="2DCEBCF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逆变器</w:t>
            </w:r>
          </w:p>
        </w:tc>
        <w:tc>
          <w:tcPr>
            <w:tcW w:w="7426" w:type="dxa"/>
            <w:shd w:val="clear" w:color="auto" w:fill="auto"/>
            <w:vAlign w:val="center"/>
          </w:tcPr>
          <w:p w14:paraId="6F339702">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应为智能逆变/充电一体机，12V输入，输出为220V、不小于600W纯正弦波电源。</w:t>
            </w:r>
          </w:p>
          <w:p w14:paraId="293514A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用电安全：220V供电线路要有断电保护和接地保护，要求符合交流工频三级移动电站的要求。</w:t>
            </w:r>
          </w:p>
        </w:tc>
      </w:tr>
      <w:tr w14:paraId="59CE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19" w:type="dxa"/>
            <w:shd w:val="clear" w:color="auto" w:fill="auto"/>
            <w:vAlign w:val="center"/>
          </w:tcPr>
          <w:p w14:paraId="2AF30E9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3.6.4</w:t>
            </w:r>
          </w:p>
        </w:tc>
        <w:tc>
          <w:tcPr>
            <w:tcW w:w="1361" w:type="dxa"/>
            <w:shd w:val="clear" w:color="auto" w:fill="auto"/>
            <w:vAlign w:val="center"/>
          </w:tcPr>
          <w:p w14:paraId="4983431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供电要求</w:t>
            </w:r>
          </w:p>
        </w:tc>
        <w:tc>
          <w:tcPr>
            <w:tcW w:w="7426" w:type="dxa"/>
            <w:shd w:val="clear" w:color="auto" w:fill="auto"/>
            <w:vAlign w:val="center"/>
          </w:tcPr>
          <w:p w14:paraId="4BB0D45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在车辆启动状态下，可实现24小时不间断供电，可输出220V，不小于600W纯正弦波电源可供医疗设备使用，并在相应的位置安置12V电源插座两只、220V电源插座四只、5V USB插座两只。在总开关关闭后所有用电器应与主、副电瓶断开，防止漏电，以保证蓄电池保存充足电力。</w:t>
            </w:r>
          </w:p>
        </w:tc>
      </w:tr>
      <w:tr w14:paraId="2BBD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50AB8D0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3.6.5</w:t>
            </w:r>
          </w:p>
        </w:tc>
        <w:tc>
          <w:tcPr>
            <w:tcW w:w="1361" w:type="dxa"/>
            <w:shd w:val="clear" w:color="auto" w:fill="auto"/>
            <w:vAlign w:val="center"/>
          </w:tcPr>
          <w:p w14:paraId="604D7BB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安全保护</w:t>
            </w:r>
          </w:p>
        </w:tc>
        <w:tc>
          <w:tcPr>
            <w:tcW w:w="7426" w:type="dxa"/>
            <w:shd w:val="clear" w:color="auto" w:fill="auto"/>
            <w:vAlign w:val="center"/>
          </w:tcPr>
          <w:p w14:paraId="1790DEB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每个分电路应设有相应规范的过载保护装置，以确保医疗救护设备的电器正常使用。</w:t>
            </w:r>
          </w:p>
        </w:tc>
      </w:tr>
      <w:tr w14:paraId="69D6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12F22DA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3.6.6</w:t>
            </w:r>
          </w:p>
        </w:tc>
        <w:tc>
          <w:tcPr>
            <w:tcW w:w="1361" w:type="dxa"/>
            <w:shd w:val="clear" w:color="auto" w:fill="auto"/>
            <w:vAlign w:val="center"/>
          </w:tcPr>
          <w:p w14:paraId="6FCEFDD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备份控制电路</w:t>
            </w:r>
          </w:p>
        </w:tc>
        <w:tc>
          <w:tcPr>
            <w:tcW w:w="7426" w:type="dxa"/>
            <w:shd w:val="clear" w:color="auto" w:fill="auto"/>
            <w:vAlign w:val="center"/>
          </w:tcPr>
          <w:p w14:paraId="72EC2F1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在主控制系统在故障状态下，有相应的手动备份控制系统，确保在故障状态下，仍能使用医疗舱内电器设施。</w:t>
            </w:r>
          </w:p>
        </w:tc>
      </w:tr>
      <w:tr w14:paraId="5726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61527E3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3.6.7</w:t>
            </w:r>
          </w:p>
        </w:tc>
        <w:tc>
          <w:tcPr>
            <w:tcW w:w="1361" w:type="dxa"/>
            <w:shd w:val="clear" w:color="auto" w:fill="auto"/>
            <w:vAlign w:val="center"/>
          </w:tcPr>
          <w:p w14:paraId="34C06E4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驾驶室配电</w:t>
            </w:r>
          </w:p>
        </w:tc>
        <w:tc>
          <w:tcPr>
            <w:tcW w:w="7426" w:type="dxa"/>
            <w:shd w:val="clear" w:color="auto" w:fill="auto"/>
            <w:vAlign w:val="center"/>
          </w:tcPr>
          <w:p w14:paraId="5552738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驾驶舱预留保险盒及连接端口（由电源经由保险盒至用电器连接端口），以便于加装GPS、行车记录仪、计价器等设备，保证车辆电路系统及外接用电器安全。</w:t>
            </w:r>
          </w:p>
        </w:tc>
      </w:tr>
      <w:tr w14:paraId="394B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087522C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3.6.8</w:t>
            </w:r>
          </w:p>
        </w:tc>
        <w:tc>
          <w:tcPr>
            <w:tcW w:w="1361" w:type="dxa"/>
            <w:shd w:val="clear" w:color="auto" w:fill="auto"/>
            <w:vAlign w:val="center"/>
          </w:tcPr>
          <w:p w14:paraId="10C438B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外接充电</w:t>
            </w:r>
          </w:p>
        </w:tc>
        <w:tc>
          <w:tcPr>
            <w:tcW w:w="7426" w:type="dxa"/>
            <w:shd w:val="clear" w:color="auto" w:fill="auto"/>
            <w:vAlign w:val="bottom"/>
          </w:tcPr>
          <w:p w14:paraId="52C060B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应配备内置大功率充电设备，可提供对蓄电池的充电，同时也可提供电力供车载医疗设备充电，需配备防水外接充电接口，外接充电线缆长度≥10M。</w:t>
            </w:r>
          </w:p>
        </w:tc>
      </w:tr>
      <w:tr w14:paraId="0A15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2709632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w:t>
            </w:r>
          </w:p>
        </w:tc>
        <w:tc>
          <w:tcPr>
            <w:tcW w:w="8787" w:type="dxa"/>
            <w:gridSpan w:val="2"/>
            <w:shd w:val="clear" w:color="auto" w:fill="auto"/>
            <w:vAlign w:val="center"/>
          </w:tcPr>
          <w:p w14:paraId="2E2CDC8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车载担架系统</w:t>
            </w:r>
          </w:p>
        </w:tc>
      </w:tr>
      <w:tr w14:paraId="5B43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6353E9D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w:t>
            </w:r>
          </w:p>
        </w:tc>
        <w:tc>
          <w:tcPr>
            <w:tcW w:w="8787" w:type="dxa"/>
            <w:gridSpan w:val="2"/>
            <w:shd w:val="clear" w:color="auto" w:fill="auto"/>
            <w:vAlign w:val="center"/>
          </w:tcPr>
          <w:p w14:paraId="253E1F4B">
            <w:pPr>
              <w:spacing w:line="240" w:lineRule="auto"/>
              <w:ind w:firstLine="0" w:firstLineChars="0"/>
              <w:rPr>
                <w:rFonts w:hint="eastAsia" w:ascii="宋体" w:hAnsi="宋体" w:cs="宋体"/>
                <w:color w:val="auto"/>
                <w:highlight w:val="none"/>
              </w:rPr>
            </w:pPr>
            <w:bookmarkStart w:id="307" w:name="_Hlk185493006"/>
            <w:r>
              <w:rPr>
                <w:rFonts w:hint="eastAsia" w:ascii="宋体" w:hAnsi="宋体" w:cs="宋体"/>
                <w:color w:val="auto"/>
                <w:highlight w:val="none"/>
              </w:rPr>
              <w:t>自动上车担架</w:t>
            </w:r>
            <w:bookmarkEnd w:id="307"/>
          </w:p>
        </w:tc>
      </w:tr>
      <w:tr w14:paraId="63BC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3CFBA82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3.7.1.1</w:t>
            </w:r>
          </w:p>
        </w:tc>
        <w:tc>
          <w:tcPr>
            <w:tcW w:w="8787" w:type="dxa"/>
            <w:gridSpan w:val="2"/>
            <w:shd w:val="clear" w:color="auto" w:fill="auto"/>
            <w:vAlign w:val="center"/>
          </w:tcPr>
          <w:p w14:paraId="1D6FC3EE">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带有自动收折功能，上下救护车均可实现单人操控的转运担架。</w:t>
            </w:r>
          </w:p>
        </w:tc>
      </w:tr>
      <w:tr w14:paraId="099A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48C0106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3.7.1.2</w:t>
            </w:r>
          </w:p>
        </w:tc>
        <w:tc>
          <w:tcPr>
            <w:tcW w:w="8787" w:type="dxa"/>
            <w:gridSpan w:val="2"/>
            <w:shd w:val="clear" w:color="auto" w:fill="auto"/>
            <w:vAlign w:val="center"/>
          </w:tcPr>
          <w:p w14:paraId="0B424D4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主体框架结构设计，采用铬钢合金材质，亮黄色外喷漆，警示醒目。</w:t>
            </w:r>
          </w:p>
        </w:tc>
      </w:tr>
      <w:tr w14:paraId="5ABC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0E812BD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3.7.1.3</w:t>
            </w:r>
          </w:p>
        </w:tc>
        <w:tc>
          <w:tcPr>
            <w:tcW w:w="8787" w:type="dxa"/>
            <w:gridSpan w:val="2"/>
            <w:shd w:val="clear" w:color="auto" w:fill="auto"/>
            <w:vAlign w:val="center"/>
          </w:tcPr>
          <w:p w14:paraId="0C7AB69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采用顺应性悬挂系统，稳定性高。</w:t>
            </w:r>
          </w:p>
        </w:tc>
      </w:tr>
      <w:tr w14:paraId="5BA6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062F302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3.7.1.4</w:t>
            </w:r>
          </w:p>
        </w:tc>
        <w:tc>
          <w:tcPr>
            <w:tcW w:w="8787" w:type="dxa"/>
            <w:gridSpan w:val="2"/>
            <w:shd w:val="clear" w:color="auto" w:fill="auto"/>
            <w:vAlign w:val="center"/>
          </w:tcPr>
          <w:p w14:paraId="5B580AE2">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分叉型前腿、分叉型弧形后腿，加强担架的吸震与负载能力，弧形弯腿作为担架折叠后的支撑点，减少对救护车地面的损伤。</w:t>
            </w:r>
          </w:p>
        </w:tc>
      </w:tr>
      <w:tr w14:paraId="2B1C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19B54EA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3.7.1.5</w:t>
            </w:r>
          </w:p>
        </w:tc>
        <w:tc>
          <w:tcPr>
            <w:tcW w:w="8787" w:type="dxa"/>
            <w:gridSpan w:val="2"/>
            <w:shd w:val="clear" w:color="auto" w:fill="auto"/>
            <w:vAlign w:val="center"/>
          </w:tcPr>
          <w:p w14:paraId="5B962BD6">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担架各部位的连接采用尼龙装置，增加各部件的灵活性，提高稳定性及安全性。</w:t>
            </w:r>
          </w:p>
        </w:tc>
      </w:tr>
      <w:tr w14:paraId="58E3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02E0321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3.7.1.6</w:t>
            </w:r>
          </w:p>
        </w:tc>
        <w:tc>
          <w:tcPr>
            <w:tcW w:w="8787" w:type="dxa"/>
            <w:gridSpan w:val="2"/>
            <w:shd w:val="clear" w:color="auto" w:fill="auto"/>
            <w:vAlign w:val="center"/>
          </w:tcPr>
          <w:p w14:paraId="6DEDDA7E">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担架运行平稳，抗颠簸性强，四轮采用航空轮胎技术，碰撞时具有吸震补偿的效果。车轮直径≥190mm，双后轮360°转向，自带刹车装置，收折后具有自动收折回位功能。</w:t>
            </w:r>
          </w:p>
        </w:tc>
      </w:tr>
      <w:tr w14:paraId="3FF4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3D10D26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3.7.1.7</w:t>
            </w:r>
          </w:p>
        </w:tc>
        <w:tc>
          <w:tcPr>
            <w:tcW w:w="8787" w:type="dxa"/>
            <w:gridSpan w:val="2"/>
            <w:shd w:val="clear" w:color="auto" w:fill="auto"/>
            <w:vAlign w:val="center"/>
          </w:tcPr>
          <w:p w14:paraId="4964ED65">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两折三段式床垫，采用高频焊接技术，增大病员的接触面积，舒适度高。外部材料采用Spentex®®塑胶材料（专利设计，具有防火，耐腐蚀的特点）。</w:t>
            </w:r>
          </w:p>
        </w:tc>
      </w:tr>
      <w:tr w14:paraId="61C4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13A5802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3.7.1.8</w:t>
            </w:r>
          </w:p>
        </w:tc>
        <w:tc>
          <w:tcPr>
            <w:tcW w:w="8787" w:type="dxa"/>
            <w:gridSpan w:val="2"/>
            <w:shd w:val="clear" w:color="auto" w:fill="auto"/>
            <w:vAlign w:val="center"/>
          </w:tcPr>
          <w:p w14:paraId="4F328FD1">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承载式担架背板，可根据不同病情要求调整病员体位，九种模式可调；头部及上半身位置，0~75度可调，脚部0-15度可调。</w:t>
            </w:r>
          </w:p>
        </w:tc>
      </w:tr>
      <w:tr w14:paraId="564B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3D05298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3.7.1.9</w:t>
            </w:r>
          </w:p>
        </w:tc>
        <w:tc>
          <w:tcPr>
            <w:tcW w:w="8787" w:type="dxa"/>
            <w:gridSpan w:val="2"/>
            <w:shd w:val="clear" w:color="auto" w:fill="auto"/>
            <w:vAlign w:val="center"/>
          </w:tcPr>
          <w:p w14:paraId="0A180382">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担架背板采用一次模压成型材料，安装于担架金属主体结构之上，病人床垫之下，可以避免骨折病人在转运过程中的二次伤害；需要时，可以直接在担架上进行心肺复苏。</w:t>
            </w:r>
          </w:p>
        </w:tc>
      </w:tr>
      <w:tr w14:paraId="4226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1F08EFB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3.7.1.10</w:t>
            </w:r>
          </w:p>
        </w:tc>
        <w:tc>
          <w:tcPr>
            <w:tcW w:w="8787" w:type="dxa"/>
            <w:gridSpan w:val="2"/>
            <w:shd w:val="clear" w:color="auto" w:fill="auto"/>
            <w:vAlign w:val="center"/>
          </w:tcPr>
          <w:p w14:paraId="34E14BD2">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收折后的担架，床面高度≤400mm；四点对称的支撑轮，提高担架抗车辆颠簸能力，病人舒适度高。</w:t>
            </w:r>
          </w:p>
        </w:tc>
      </w:tr>
      <w:tr w14:paraId="5400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5DD3C29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3.7.1.11</w:t>
            </w:r>
          </w:p>
        </w:tc>
        <w:tc>
          <w:tcPr>
            <w:tcW w:w="8787" w:type="dxa"/>
            <w:gridSpan w:val="2"/>
            <w:shd w:val="clear" w:color="auto" w:fill="auto"/>
            <w:vAlign w:val="center"/>
          </w:tcPr>
          <w:p w14:paraId="1FDBF2DE">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担架采用通过10G测试的一体式固定装置，最大程度避免担架床在车内的横向移动，在提高担架安全性的同时提高病人的舒适性。</w:t>
            </w:r>
          </w:p>
        </w:tc>
      </w:tr>
      <w:tr w14:paraId="117C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4550C4DC">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3.7.1.12</w:t>
            </w:r>
          </w:p>
        </w:tc>
        <w:tc>
          <w:tcPr>
            <w:tcW w:w="8787" w:type="dxa"/>
            <w:gridSpan w:val="2"/>
            <w:shd w:val="clear" w:color="auto" w:fill="auto"/>
            <w:vAlign w:val="center"/>
          </w:tcPr>
          <w:p w14:paraId="469D095B">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担架打开时前后轮之间轴距≥1030mm，保证担架在运行过程中的稳定性。</w:t>
            </w:r>
          </w:p>
        </w:tc>
      </w:tr>
      <w:tr w14:paraId="13DF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7D0FE4B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3.7.1.13</w:t>
            </w:r>
          </w:p>
        </w:tc>
        <w:tc>
          <w:tcPr>
            <w:tcW w:w="8787" w:type="dxa"/>
            <w:gridSpan w:val="2"/>
            <w:shd w:val="clear" w:color="auto" w:fill="auto"/>
            <w:vAlign w:val="center"/>
          </w:tcPr>
          <w:p w14:paraId="65C6BA24">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担架尺寸：长度≥1970mm、宽度≥570mm</w:t>
            </w:r>
          </w:p>
        </w:tc>
      </w:tr>
      <w:tr w14:paraId="4909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0DAC0A0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3.7.1.14</w:t>
            </w:r>
          </w:p>
        </w:tc>
        <w:tc>
          <w:tcPr>
            <w:tcW w:w="8787" w:type="dxa"/>
            <w:gridSpan w:val="2"/>
            <w:shd w:val="clear" w:color="auto" w:fill="auto"/>
            <w:vAlign w:val="center"/>
          </w:tcPr>
          <w:p w14:paraId="1C0A0FB4">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自身重量：≤38KG</w:t>
            </w:r>
          </w:p>
        </w:tc>
      </w:tr>
      <w:tr w14:paraId="09EB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02DE025C">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3.7.1.15</w:t>
            </w:r>
          </w:p>
        </w:tc>
        <w:tc>
          <w:tcPr>
            <w:tcW w:w="8787" w:type="dxa"/>
            <w:gridSpan w:val="2"/>
            <w:shd w:val="clear" w:color="auto" w:fill="auto"/>
            <w:vAlign w:val="center"/>
          </w:tcPr>
          <w:p w14:paraId="1A0D43B7">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载重能力：≥170KG</w:t>
            </w:r>
          </w:p>
        </w:tc>
      </w:tr>
      <w:tr w14:paraId="41D5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285F47C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★3.7.1.16</w:t>
            </w:r>
          </w:p>
        </w:tc>
        <w:tc>
          <w:tcPr>
            <w:tcW w:w="8787" w:type="dxa"/>
            <w:gridSpan w:val="2"/>
            <w:shd w:val="clear" w:color="auto" w:fill="auto"/>
            <w:vAlign w:val="center"/>
          </w:tcPr>
          <w:p w14:paraId="6A51090F">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出具制造商或代理商针对自动上车担架的质保及售后服务承诺函。</w:t>
            </w:r>
          </w:p>
        </w:tc>
      </w:tr>
      <w:tr w14:paraId="5011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370F8F3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3.7.2</w:t>
            </w:r>
          </w:p>
        </w:tc>
        <w:tc>
          <w:tcPr>
            <w:tcW w:w="8787" w:type="dxa"/>
            <w:gridSpan w:val="2"/>
            <w:shd w:val="clear" w:color="auto" w:fill="auto"/>
            <w:vAlign w:val="center"/>
          </w:tcPr>
          <w:p w14:paraId="6AF4E566">
            <w:pPr>
              <w:spacing w:line="240" w:lineRule="auto"/>
              <w:ind w:firstLine="0" w:firstLineChars="0"/>
              <w:rPr>
                <w:rFonts w:hint="eastAsia" w:ascii="宋体" w:hAnsi="宋体" w:cs="宋体"/>
                <w:color w:val="auto"/>
                <w:highlight w:val="none"/>
              </w:rPr>
            </w:pPr>
            <w:bookmarkStart w:id="308" w:name="_Hlk185493026"/>
            <w:r>
              <w:rPr>
                <w:rFonts w:hint="eastAsia" w:ascii="宋体" w:hAnsi="宋体" w:cs="宋体"/>
                <w:color w:val="auto"/>
                <w:highlight w:val="none"/>
              </w:rPr>
              <w:t>碳纤维铲式担架</w:t>
            </w:r>
            <w:bookmarkEnd w:id="308"/>
          </w:p>
        </w:tc>
      </w:tr>
      <w:tr w14:paraId="5CFB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46924A1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3.7.2.1</w:t>
            </w:r>
          </w:p>
        </w:tc>
        <w:tc>
          <w:tcPr>
            <w:tcW w:w="8787" w:type="dxa"/>
            <w:gridSpan w:val="2"/>
            <w:shd w:val="clear" w:color="auto" w:fill="auto"/>
            <w:vAlign w:val="center"/>
          </w:tcPr>
          <w:p w14:paraId="75306768">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尺寸：长≤1637mm，宽≤437mm，高≤67mm，最大长度≥2010mm;</w:t>
            </w:r>
          </w:p>
        </w:tc>
      </w:tr>
      <w:tr w14:paraId="63BF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4A235C4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▲3.7.2.2</w:t>
            </w:r>
          </w:p>
        </w:tc>
        <w:tc>
          <w:tcPr>
            <w:tcW w:w="8787" w:type="dxa"/>
            <w:gridSpan w:val="2"/>
            <w:shd w:val="clear" w:color="auto" w:fill="auto"/>
            <w:vAlign w:val="center"/>
          </w:tcPr>
          <w:p w14:paraId="4997E882">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自重≤4kg，可有效降低急救人员工作强度。（提供证明材料并加盖公章）</w:t>
            </w:r>
          </w:p>
        </w:tc>
      </w:tr>
      <w:tr w14:paraId="262D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495562B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3.7.2.3</w:t>
            </w:r>
          </w:p>
        </w:tc>
        <w:tc>
          <w:tcPr>
            <w:tcW w:w="8787" w:type="dxa"/>
            <w:gridSpan w:val="2"/>
            <w:shd w:val="clear" w:color="auto" w:fill="auto"/>
            <w:vAlign w:val="center"/>
          </w:tcPr>
          <w:p w14:paraId="6BB8A8B8">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担架两端具有卡扣装置，可分离为左右两部分。</w:t>
            </w:r>
          </w:p>
        </w:tc>
      </w:tr>
      <w:tr w14:paraId="2194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3EB04C6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3.7.2.4</w:t>
            </w:r>
          </w:p>
        </w:tc>
        <w:tc>
          <w:tcPr>
            <w:tcW w:w="8787" w:type="dxa"/>
            <w:gridSpan w:val="2"/>
            <w:shd w:val="clear" w:color="auto" w:fill="auto"/>
            <w:vAlign w:val="center"/>
          </w:tcPr>
          <w:p w14:paraId="0C6F36C1">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最大可载重 G:≤260kg.适用于不同体重病人，甚至超重病人，满足急救特殊使用需求。</w:t>
            </w:r>
          </w:p>
        </w:tc>
      </w:tr>
      <w:tr w14:paraId="78E4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4D95EC5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★3.7.2.5</w:t>
            </w:r>
          </w:p>
        </w:tc>
        <w:tc>
          <w:tcPr>
            <w:tcW w:w="8787" w:type="dxa"/>
            <w:gridSpan w:val="2"/>
            <w:shd w:val="clear" w:color="auto" w:fill="auto"/>
            <w:vAlign w:val="center"/>
          </w:tcPr>
          <w:p w14:paraId="0B989DA6">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担架材质：投标时需提供航空级碳纤维材料资质或证书，耐腐蚀、耐重压，强度好、重量轻；碳纤维具有优良的强度和刚性，碳纤维约比铝合金刚性高1倍、强度3倍多；是一种高度可靠的材料，即使在恶劣的条件下其特性长期稳定。适合各种恶劣环境下使用。（提供证明材料并加盖公章）</w:t>
            </w:r>
          </w:p>
        </w:tc>
      </w:tr>
      <w:tr w14:paraId="3844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77D4FA0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3.7.2.6</w:t>
            </w:r>
          </w:p>
        </w:tc>
        <w:tc>
          <w:tcPr>
            <w:tcW w:w="8787" w:type="dxa"/>
            <w:gridSpan w:val="2"/>
            <w:shd w:val="clear" w:color="auto" w:fill="auto"/>
            <w:vAlign w:val="center"/>
          </w:tcPr>
          <w:p w14:paraId="4087E409">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固定带为尼龙材料制成，配有防锈及抗腐蚀的快速固定锁扣。</w:t>
            </w:r>
          </w:p>
        </w:tc>
      </w:tr>
      <w:tr w14:paraId="621E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24EE4D8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3.7.2.7</w:t>
            </w:r>
          </w:p>
        </w:tc>
        <w:tc>
          <w:tcPr>
            <w:tcW w:w="8787" w:type="dxa"/>
            <w:gridSpan w:val="2"/>
            <w:shd w:val="clear" w:color="auto" w:fill="auto"/>
            <w:vAlign w:val="center"/>
          </w:tcPr>
          <w:p w14:paraId="6521F0C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可在原地固定病人。</w:t>
            </w:r>
          </w:p>
        </w:tc>
      </w:tr>
      <w:tr w14:paraId="4099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4282CA3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3.7.2.8</w:t>
            </w:r>
          </w:p>
        </w:tc>
        <w:tc>
          <w:tcPr>
            <w:tcW w:w="8787" w:type="dxa"/>
            <w:gridSpan w:val="2"/>
            <w:shd w:val="clear" w:color="auto" w:fill="auto"/>
            <w:vAlign w:val="center"/>
          </w:tcPr>
          <w:p w14:paraId="2E95B6FE">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在不移动病人的情况下，可将病人铲入或从病人体下抽出担架</w:t>
            </w:r>
          </w:p>
        </w:tc>
      </w:tr>
      <w:tr w14:paraId="5158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6E5327E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3.7.2.9</w:t>
            </w:r>
          </w:p>
        </w:tc>
        <w:tc>
          <w:tcPr>
            <w:tcW w:w="8787" w:type="dxa"/>
            <w:gridSpan w:val="2"/>
            <w:shd w:val="clear" w:color="auto" w:fill="auto"/>
            <w:vAlign w:val="center"/>
          </w:tcPr>
          <w:p w14:paraId="072FD704">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担架一端（脚部）采用窄框架结构。</w:t>
            </w:r>
          </w:p>
        </w:tc>
      </w:tr>
      <w:tr w14:paraId="3234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47EE234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3.7.2.10</w:t>
            </w:r>
          </w:p>
        </w:tc>
        <w:tc>
          <w:tcPr>
            <w:tcW w:w="8787" w:type="dxa"/>
            <w:gridSpan w:val="2"/>
            <w:shd w:val="clear" w:color="auto" w:fill="auto"/>
            <w:vAlign w:val="center"/>
          </w:tcPr>
          <w:p w14:paraId="15CB4577">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使用寿命：≥8年。</w:t>
            </w:r>
          </w:p>
        </w:tc>
      </w:tr>
      <w:tr w14:paraId="04FB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26EB271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3.7.2.11</w:t>
            </w:r>
          </w:p>
        </w:tc>
        <w:tc>
          <w:tcPr>
            <w:tcW w:w="8787" w:type="dxa"/>
            <w:gridSpan w:val="2"/>
            <w:shd w:val="clear" w:color="auto" w:fill="auto"/>
            <w:vAlign w:val="center"/>
          </w:tcPr>
          <w:p w14:paraId="2646CB89">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满足医学影像要求：X光，CT，核磁共振。</w:t>
            </w:r>
          </w:p>
        </w:tc>
      </w:tr>
      <w:tr w14:paraId="7F7A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2F1969A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3.7.2.12</w:t>
            </w:r>
          </w:p>
        </w:tc>
        <w:tc>
          <w:tcPr>
            <w:tcW w:w="8787" w:type="dxa"/>
            <w:gridSpan w:val="2"/>
            <w:shd w:val="clear" w:color="auto" w:fill="auto"/>
            <w:vAlign w:val="center"/>
          </w:tcPr>
          <w:p w14:paraId="7CF5DF09">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耐温：-40℃至 180℃</w:t>
            </w:r>
          </w:p>
        </w:tc>
      </w:tr>
      <w:tr w14:paraId="694F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13E143A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3.7.2.13</w:t>
            </w:r>
          </w:p>
        </w:tc>
        <w:tc>
          <w:tcPr>
            <w:tcW w:w="8787" w:type="dxa"/>
            <w:gridSpan w:val="2"/>
            <w:shd w:val="clear" w:color="auto" w:fill="auto"/>
            <w:vAlign w:val="center"/>
          </w:tcPr>
          <w:p w14:paraId="43ECAA58">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出具制造商或代理商针对自动上车担架的质保及售后服务承诺函。</w:t>
            </w:r>
          </w:p>
        </w:tc>
      </w:tr>
      <w:tr w14:paraId="6083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32DAD1F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3.8</w:t>
            </w:r>
          </w:p>
        </w:tc>
        <w:tc>
          <w:tcPr>
            <w:tcW w:w="1361" w:type="dxa"/>
            <w:shd w:val="clear" w:color="auto" w:fill="auto"/>
            <w:vAlign w:val="center"/>
          </w:tcPr>
          <w:p w14:paraId="0FB4A32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警示系统</w:t>
            </w:r>
          </w:p>
        </w:tc>
        <w:tc>
          <w:tcPr>
            <w:tcW w:w="7426" w:type="dxa"/>
            <w:shd w:val="clear" w:color="auto" w:fill="auto"/>
            <w:vAlign w:val="center"/>
          </w:tcPr>
          <w:p w14:paraId="1FE2F2A5">
            <w:pPr>
              <w:widowControl/>
              <w:spacing w:line="240" w:lineRule="auto"/>
              <w:ind w:firstLine="0" w:firstLineChars="0"/>
              <w:rPr>
                <w:rFonts w:hint="eastAsia" w:ascii="宋体" w:hAnsi="宋体" w:cs="宋体"/>
                <w:color w:val="auto"/>
                <w:highlight w:val="none"/>
              </w:rPr>
            </w:pPr>
          </w:p>
        </w:tc>
      </w:tr>
      <w:tr w14:paraId="4268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2CEAF0F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3.8.1</w:t>
            </w:r>
          </w:p>
        </w:tc>
        <w:tc>
          <w:tcPr>
            <w:tcW w:w="1361" w:type="dxa"/>
            <w:shd w:val="clear" w:color="auto" w:fill="auto"/>
            <w:vAlign w:val="center"/>
          </w:tcPr>
          <w:p w14:paraId="4C2A3DF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警灯</w:t>
            </w:r>
          </w:p>
        </w:tc>
        <w:tc>
          <w:tcPr>
            <w:tcW w:w="7426" w:type="dxa"/>
            <w:shd w:val="clear" w:color="auto" w:fill="auto"/>
            <w:vAlign w:val="bottom"/>
          </w:tcPr>
          <w:p w14:paraId="0B97321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三段式内嵌式警灯，内部安装超高亮度LED警灯，整体美观大方，流线型设计，视觉冲击力与整体造型与基础车融为一体，警示角度范围大，效果好；左右中部各安装蓝色方形LED警示灯，左右后部安装蓝色菱形LED警示灯，车身后部配有长条型尾翼集成警灯。</w:t>
            </w:r>
          </w:p>
        </w:tc>
      </w:tr>
      <w:tr w14:paraId="3A4C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49EC6D9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3.8.2 </w:t>
            </w:r>
          </w:p>
        </w:tc>
        <w:tc>
          <w:tcPr>
            <w:tcW w:w="1361" w:type="dxa"/>
            <w:shd w:val="clear" w:color="auto" w:fill="auto"/>
            <w:vAlign w:val="center"/>
          </w:tcPr>
          <w:p w14:paraId="0E34ED6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警报器</w:t>
            </w:r>
          </w:p>
        </w:tc>
        <w:tc>
          <w:tcPr>
            <w:tcW w:w="7426" w:type="dxa"/>
            <w:shd w:val="clear" w:color="auto" w:fill="auto"/>
            <w:vAlign w:val="bottom"/>
          </w:tcPr>
          <w:p w14:paraId="1F84876C">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分体式手柄控制器，多档调节，由驾驶室控制，并符合GB8108规定。</w:t>
            </w:r>
          </w:p>
        </w:tc>
      </w:tr>
      <w:tr w14:paraId="1411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9" w:type="dxa"/>
            <w:shd w:val="clear" w:color="auto" w:fill="auto"/>
            <w:vAlign w:val="center"/>
          </w:tcPr>
          <w:p w14:paraId="12FB967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3.9</w:t>
            </w:r>
          </w:p>
        </w:tc>
        <w:tc>
          <w:tcPr>
            <w:tcW w:w="1361" w:type="dxa"/>
            <w:shd w:val="clear" w:color="auto" w:fill="auto"/>
            <w:vAlign w:val="center"/>
          </w:tcPr>
          <w:p w14:paraId="58C81B7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供氧系统</w:t>
            </w:r>
          </w:p>
        </w:tc>
        <w:tc>
          <w:tcPr>
            <w:tcW w:w="7426" w:type="dxa"/>
            <w:shd w:val="clear" w:color="auto" w:fill="auto"/>
            <w:vAlign w:val="bottom"/>
          </w:tcPr>
          <w:p w14:paraId="0FD25B9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　</w:t>
            </w:r>
          </w:p>
        </w:tc>
      </w:tr>
      <w:tr w14:paraId="424B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6C148D4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3.9.1</w:t>
            </w:r>
          </w:p>
        </w:tc>
        <w:tc>
          <w:tcPr>
            <w:tcW w:w="1361" w:type="dxa"/>
            <w:shd w:val="clear" w:color="auto" w:fill="auto"/>
            <w:vAlign w:val="center"/>
          </w:tcPr>
          <w:p w14:paraId="6B7DA4A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氧气瓶</w:t>
            </w:r>
          </w:p>
        </w:tc>
        <w:tc>
          <w:tcPr>
            <w:tcW w:w="7426" w:type="dxa"/>
            <w:shd w:val="clear" w:color="auto" w:fill="auto"/>
            <w:vAlign w:val="bottom"/>
          </w:tcPr>
          <w:p w14:paraId="4E237BA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救护车应可放置2瓶10升铝合金氧气瓶，带高压减压阀及不锈钢固定装置。</w:t>
            </w:r>
          </w:p>
        </w:tc>
      </w:tr>
      <w:tr w14:paraId="74B6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6BE390D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3.9.2</w:t>
            </w:r>
          </w:p>
        </w:tc>
        <w:tc>
          <w:tcPr>
            <w:tcW w:w="1361" w:type="dxa"/>
            <w:shd w:val="clear" w:color="auto" w:fill="auto"/>
            <w:vAlign w:val="center"/>
          </w:tcPr>
          <w:p w14:paraId="1437C42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氧气管道</w:t>
            </w:r>
          </w:p>
        </w:tc>
        <w:tc>
          <w:tcPr>
            <w:tcW w:w="7426" w:type="dxa"/>
            <w:shd w:val="clear" w:color="auto" w:fill="auto"/>
            <w:vAlign w:val="center"/>
          </w:tcPr>
          <w:p w14:paraId="3A6CA30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氧气主连接管道应采用金属管，并隐藏于内饰与车身之间，氧气阀与管道连接应采用金属快速活接，确保安全性及便捷性。</w:t>
            </w:r>
          </w:p>
        </w:tc>
      </w:tr>
      <w:tr w14:paraId="5D9B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26BCD43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3.9.3</w:t>
            </w:r>
          </w:p>
        </w:tc>
        <w:tc>
          <w:tcPr>
            <w:tcW w:w="1361" w:type="dxa"/>
            <w:shd w:val="clear" w:color="auto" w:fill="auto"/>
            <w:vAlign w:val="center"/>
          </w:tcPr>
          <w:p w14:paraId="3525347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湿化瓶</w:t>
            </w:r>
          </w:p>
        </w:tc>
        <w:tc>
          <w:tcPr>
            <w:tcW w:w="7426" w:type="dxa"/>
            <w:shd w:val="clear" w:color="auto" w:fill="auto"/>
            <w:vAlign w:val="center"/>
          </w:tcPr>
          <w:p w14:paraId="6F59A85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即插即用湿化瓶。</w:t>
            </w:r>
          </w:p>
        </w:tc>
      </w:tr>
      <w:tr w14:paraId="783E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233664A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3.10</w:t>
            </w:r>
          </w:p>
        </w:tc>
        <w:tc>
          <w:tcPr>
            <w:tcW w:w="1361" w:type="dxa"/>
            <w:shd w:val="clear" w:color="auto" w:fill="auto"/>
            <w:vAlign w:val="center"/>
          </w:tcPr>
          <w:p w14:paraId="78BF7F8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换气系统</w:t>
            </w:r>
          </w:p>
        </w:tc>
        <w:tc>
          <w:tcPr>
            <w:tcW w:w="7426" w:type="dxa"/>
            <w:shd w:val="clear" w:color="auto" w:fill="auto"/>
            <w:vAlign w:val="bottom"/>
          </w:tcPr>
          <w:p w14:paraId="658D493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隐藏式下排风，带初级过滤装置，车厢内换气次数可达20次/小时。</w:t>
            </w:r>
          </w:p>
        </w:tc>
      </w:tr>
      <w:tr w14:paraId="4B38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1D34185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3.11</w:t>
            </w:r>
          </w:p>
        </w:tc>
        <w:tc>
          <w:tcPr>
            <w:tcW w:w="1361" w:type="dxa"/>
            <w:shd w:val="clear" w:color="auto" w:fill="auto"/>
            <w:vAlign w:val="center"/>
          </w:tcPr>
          <w:p w14:paraId="729630B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杀菌系统</w:t>
            </w:r>
          </w:p>
        </w:tc>
        <w:tc>
          <w:tcPr>
            <w:tcW w:w="7426" w:type="dxa"/>
            <w:shd w:val="clear" w:color="auto" w:fill="auto"/>
            <w:vAlign w:val="center"/>
          </w:tcPr>
          <w:p w14:paraId="06D8EE4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应配备长条型紫外线消毒灯，杀菌有效空间可达10m3 ，并具有延时启动功能，定时控制。</w:t>
            </w:r>
          </w:p>
        </w:tc>
      </w:tr>
      <w:tr w14:paraId="3EE3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19" w:type="dxa"/>
            <w:shd w:val="clear" w:color="auto" w:fill="auto"/>
            <w:vAlign w:val="center"/>
          </w:tcPr>
          <w:p w14:paraId="5B0CF3D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3.12</w:t>
            </w:r>
          </w:p>
        </w:tc>
        <w:tc>
          <w:tcPr>
            <w:tcW w:w="1361" w:type="dxa"/>
            <w:shd w:val="clear" w:color="auto" w:fill="auto"/>
            <w:vAlign w:val="center"/>
          </w:tcPr>
          <w:p w14:paraId="1AF2EB1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照明系统</w:t>
            </w:r>
          </w:p>
        </w:tc>
        <w:tc>
          <w:tcPr>
            <w:tcW w:w="7426" w:type="dxa"/>
            <w:shd w:val="clear" w:color="auto" w:fill="auto"/>
            <w:vAlign w:val="bottom"/>
          </w:tcPr>
          <w:p w14:paraId="74320B2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　</w:t>
            </w:r>
          </w:p>
        </w:tc>
      </w:tr>
      <w:tr w14:paraId="420D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3EDDBF2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3.12.1</w:t>
            </w:r>
          </w:p>
        </w:tc>
        <w:tc>
          <w:tcPr>
            <w:tcW w:w="1361" w:type="dxa"/>
            <w:shd w:val="clear" w:color="auto" w:fill="auto"/>
            <w:vAlign w:val="center"/>
          </w:tcPr>
          <w:p w14:paraId="5BFAD73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工作灯</w:t>
            </w:r>
          </w:p>
        </w:tc>
        <w:tc>
          <w:tcPr>
            <w:tcW w:w="7426" w:type="dxa"/>
            <w:shd w:val="clear" w:color="auto" w:fill="auto"/>
            <w:vAlign w:val="center"/>
          </w:tcPr>
          <w:p w14:paraId="411E4A1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应配有LED平板光带，光线均匀、柔和，考虑病人直视的舒适性。在病人区域最高照度为不小于300lx，也可根据实际情况调节亮度。</w:t>
            </w:r>
          </w:p>
        </w:tc>
      </w:tr>
      <w:tr w14:paraId="0494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19" w:type="dxa"/>
            <w:shd w:val="clear" w:color="auto" w:fill="auto"/>
            <w:vAlign w:val="center"/>
          </w:tcPr>
          <w:p w14:paraId="1235BD5C">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3.12.2</w:t>
            </w:r>
          </w:p>
        </w:tc>
        <w:tc>
          <w:tcPr>
            <w:tcW w:w="1361" w:type="dxa"/>
            <w:shd w:val="clear" w:color="auto" w:fill="auto"/>
            <w:vAlign w:val="center"/>
          </w:tcPr>
          <w:p w14:paraId="32AE33E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专用射灯</w:t>
            </w:r>
          </w:p>
        </w:tc>
        <w:tc>
          <w:tcPr>
            <w:tcW w:w="7426" w:type="dxa"/>
            <w:shd w:val="clear" w:color="auto" w:fill="auto"/>
            <w:vAlign w:val="center"/>
          </w:tcPr>
          <w:p w14:paraId="600A420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应配有专用射灯2组，LED冷光源，聚光型，高亮度，可调节照射角度，可在实施急救时辅助照明使用。</w:t>
            </w:r>
          </w:p>
        </w:tc>
      </w:tr>
      <w:tr w14:paraId="7E45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4E803F0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3.12.3</w:t>
            </w:r>
          </w:p>
        </w:tc>
        <w:tc>
          <w:tcPr>
            <w:tcW w:w="1361" w:type="dxa"/>
            <w:shd w:val="clear" w:color="auto" w:fill="auto"/>
            <w:vAlign w:val="center"/>
          </w:tcPr>
          <w:p w14:paraId="28FE1B7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后照灯</w:t>
            </w:r>
          </w:p>
        </w:tc>
        <w:tc>
          <w:tcPr>
            <w:tcW w:w="7426" w:type="dxa"/>
            <w:shd w:val="clear" w:color="auto" w:fill="auto"/>
            <w:vAlign w:val="center"/>
          </w:tcPr>
          <w:p w14:paraId="3770D27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应采用大功率LED后射灯，有效距离不小于10米。</w:t>
            </w:r>
          </w:p>
        </w:tc>
      </w:tr>
      <w:tr w14:paraId="6F62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5D5E93E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3.12.4</w:t>
            </w:r>
          </w:p>
        </w:tc>
        <w:tc>
          <w:tcPr>
            <w:tcW w:w="1361" w:type="dxa"/>
            <w:shd w:val="clear" w:color="auto" w:fill="auto"/>
            <w:vAlign w:val="center"/>
          </w:tcPr>
          <w:p w14:paraId="105C865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夜间外部照明系统</w:t>
            </w:r>
          </w:p>
        </w:tc>
        <w:tc>
          <w:tcPr>
            <w:tcW w:w="7426" w:type="dxa"/>
            <w:shd w:val="clear" w:color="auto" w:fill="auto"/>
            <w:vAlign w:val="center"/>
          </w:tcPr>
          <w:p w14:paraId="489AA2C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应配备夜间外部照明系统，便于夜间急救工作的开展。</w:t>
            </w:r>
          </w:p>
        </w:tc>
      </w:tr>
      <w:tr w14:paraId="3906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219" w:type="dxa"/>
            <w:shd w:val="clear" w:color="auto" w:fill="auto"/>
            <w:vAlign w:val="center"/>
          </w:tcPr>
          <w:p w14:paraId="3429762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3.13</w:t>
            </w:r>
          </w:p>
        </w:tc>
        <w:tc>
          <w:tcPr>
            <w:tcW w:w="1361" w:type="dxa"/>
            <w:shd w:val="clear" w:color="auto" w:fill="auto"/>
            <w:vAlign w:val="center"/>
          </w:tcPr>
          <w:p w14:paraId="35A581A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输液固定器</w:t>
            </w:r>
          </w:p>
        </w:tc>
        <w:tc>
          <w:tcPr>
            <w:tcW w:w="7426" w:type="dxa"/>
            <w:shd w:val="clear" w:color="auto" w:fill="auto"/>
            <w:vAlign w:val="center"/>
          </w:tcPr>
          <w:p w14:paraId="296C410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在担架车上方应装有输液架以及输液泵固定支架。</w:t>
            </w:r>
          </w:p>
        </w:tc>
      </w:tr>
      <w:tr w14:paraId="7AAE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vAlign w:val="center"/>
          </w:tcPr>
          <w:p w14:paraId="510B400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3.14</w:t>
            </w:r>
          </w:p>
        </w:tc>
        <w:tc>
          <w:tcPr>
            <w:tcW w:w="1361" w:type="dxa"/>
            <w:shd w:val="clear" w:color="auto" w:fill="auto"/>
            <w:vAlign w:val="center"/>
          </w:tcPr>
          <w:p w14:paraId="37A552F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通讯系统</w:t>
            </w:r>
          </w:p>
        </w:tc>
        <w:tc>
          <w:tcPr>
            <w:tcW w:w="7426" w:type="dxa"/>
            <w:shd w:val="clear" w:color="auto" w:fill="auto"/>
            <w:vAlign w:val="center"/>
          </w:tcPr>
          <w:p w14:paraId="5C6DC86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在驾驶室和医疗舱相应的位置预留通讯系统的电源接线柱和安装监控设备及GPS天线的空线孔。</w:t>
            </w:r>
          </w:p>
        </w:tc>
      </w:tr>
      <w:tr w14:paraId="6C27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vAlign w:val="center"/>
          </w:tcPr>
          <w:p w14:paraId="151D790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3.15</w:t>
            </w:r>
          </w:p>
        </w:tc>
        <w:tc>
          <w:tcPr>
            <w:tcW w:w="1361" w:type="dxa"/>
            <w:shd w:val="clear" w:color="auto" w:fill="auto"/>
            <w:vAlign w:val="center"/>
          </w:tcPr>
          <w:p w14:paraId="26B84F1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其他</w:t>
            </w:r>
          </w:p>
        </w:tc>
        <w:tc>
          <w:tcPr>
            <w:tcW w:w="7426" w:type="dxa"/>
            <w:shd w:val="clear" w:color="auto" w:fill="auto"/>
            <w:vAlign w:val="center"/>
          </w:tcPr>
          <w:p w14:paraId="07C00260">
            <w:pPr>
              <w:widowControl/>
              <w:spacing w:line="240" w:lineRule="auto"/>
              <w:ind w:firstLine="0" w:firstLineChars="0"/>
              <w:rPr>
                <w:rFonts w:hint="eastAsia" w:ascii="宋体" w:hAnsi="宋体" w:cs="宋体"/>
                <w:color w:val="auto"/>
                <w:highlight w:val="none"/>
              </w:rPr>
            </w:pPr>
            <w:bookmarkStart w:id="309" w:name="_Hlk185493238"/>
            <w:r>
              <w:rPr>
                <w:rFonts w:hint="eastAsia" w:ascii="宋体" w:hAnsi="宋体" w:cs="宋体"/>
                <w:color w:val="auto"/>
                <w:highlight w:val="none"/>
              </w:rPr>
              <w:t>车载终端（适用于浙江省急救系统，含北斗定位，含接口费）、3路摄像头，车载路由器</w:t>
            </w:r>
            <w:bookmarkEnd w:id="309"/>
          </w:p>
        </w:tc>
      </w:tr>
      <w:tr w14:paraId="73C6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vAlign w:val="center"/>
          </w:tcPr>
          <w:p w14:paraId="4EE998E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3.16</w:t>
            </w:r>
          </w:p>
        </w:tc>
        <w:tc>
          <w:tcPr>
            <w:tcW w:w="1361" w:type="dxa"/>
            <w:shd w:val="clear" w:color="auto" w:fill="auto"/>
            <w:vAlign w:val="center"/>
          </w:tcPr>
          <w:p w14:paraId="729CF4F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负压系统</w:t>
            </w:r>
          </w:p>
        </w:tc>
        <w:tc>
          <w:tcPr>
            <w:tcW w:w="7426" w:type="dxa"/>
            <w:shd w:val="clear" w:color="auto" w:fill="auto"/>
            <w:vAlign w:val="center"/>
          </w:tcPr>
          <w:p w14:paraId="0A6DC5E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1.过滤组件：具有三重过滤，过滤效率达到99.995%以上，并且中效滤网具有活性碳性能；</w:t>
            </w:r>
          </w:p>
          <w:p w14:paraId="304CF3D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2.风机组件：配备大叶轮内转子离心风机，风机功率≥200W，通风量≥350m3/h，具有风压高，风速高，低噪音，高寿命等特点；</w:t>
            </w:r>
          </w:p>
          <w:p w14:paraId="1332AA2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3.控制组件：具有负压监检、显示和异常报警功能；</w:t>
            </w:r>
          </w:p>
          <w:p w14:paraId="19B5DB4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4.杀菌组件：具有双重杀菌功能（包括紫外线消毒和臭氧杀菌），臭氧产生量：≥2g /h，臭氧可单独关闭,微生物净化效率≥87%，微生物净化能效：1.4m3（h.w）；</w:t>
            </w:r>
          </w:p>
          <w:p w14:paraId="70AB09F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5.负压控制：控制面板集成，前、后舱控制，可负压数值显示，负压调节范围在-40pa~-10pa之间。负压显示范围：-200Pa~0Pa；</w:t>
            </w:r>
          </w:p>
          <w:p w14:paraId="6CAA1F4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6.负压装置尺寸≥485mm*320mm*250mm；</w:t>
            </w:r>
          </w:p>
          <w:p w14:paraId="557E927A">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7.负压装置标准：需满足GB/T34012-2017《通风系统用空气净化装置》、GB/T6165-2021《高效空气过滤器性能试验方法 效率和阻力》标准。</w:t>
            </w:r>
          </w:p>
        </w:tc>
      </w:tr>
      <w:tr w14:paraId="11DC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vAlign w:val="center"/>
          </w:tcPr>
          <w:p w14:paraId="1403794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四</w:t>
            </w:r>
          </w:p>
        </w:tc>
        <w:tc>
          <w:tcPr>
            <w:tcW w:w="8787" w:type="dxa"/>
            <w:gridSpan w:val="2"/>
            <w:shd w:val="clear" w:color="auto" w:fill="auto"/>
            <w:vAlign w:val="center"/>
          </w:tcPr>
          <w:p w14:paraId="6450FBE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车载设备</w:t>
            </w:r>
          </w:p>
        </w:tc>
      </w:tr>
      <w:tr w14:paraId="2866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vAlign w:val="center"/>
          </w:tcPr>
          <w:p w14:paraId="5663EFC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w:t>
            </w:r>
          </w:p>
        </w:tc>
        <w:tc>
          <w:tcPr>
            <w:tcW w:w="8787" w:type="dxa"/>
            <w:gridSpan w:val="2"/>
            <w:shd w:val="clear" w:color="auto" w:fill="auto"/>
            <w:vAlign w:val="center"/>
          </w:tcPr>
          <w:p w14:paraId="52F1FC3B">
            <w:pPr>
              <w:widowControl/>
              <w:spacing w:line="240" w:lineRule="auto"/>
              <w:ind w:firstLine="0" w:firstLineChars="0"/>
              <w:rPr>
                <w:rFonts w:hint="eastAsia" w:ascii="宋体" w:hAnsi="宋体" w:cs="宋体"/>
                <w:color w:val="auto"/>
                <w:highlight w:val="none"/>
              </w:rPr>
            </w:pPr>
            <w:bookmarkStart w:id="310" w:name="_Hlk185493082"/>
            <w:r>
              <w:rPr>
                <w:rFonts w:hint="eastAsia" w:ascii="宋体" w:hAnsi="宋体" w:cs="宋体"/>
                <w:color w:val="auto"/>
                <w:highlight w:val="none"/>
              </w:rPr>
              <w:t>除颤监护一体机4台</w:t>
            </w:r>
            <w:bookmarkEnd w:id="310"/>
          </w:p>
        </w:tc>
      </w:tr>
      <w:tr w14:paraId="5317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vAlign w:val="center"/>
          </w:tcPr>
          <w:p w14:paraId="77EFD99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4.1.1</w:t>
            </w:r>
          </w:p>
        </w:tc>
        <w:tc>
          <w:tcPr>
            <w:tcW w:w="8787" w:type="dxa"/>
            <w:gridSpan w:val="2"/>
            <w:shd w:val="clear" w:color="auto" w:fill="auto"/>
          </w:tcPr>
          <w:p w14:paraId="477AF508">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重量：≤4.6kg（标配，含电池）</w:t>
            </w:r>
          </w:p>
        </w:tc>
      </w:tr>
      <w:tr w14:paraId="4763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367CE9C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★4.1.2</w:t>
            </w:r>
          </w:p>
        </w:tc>
        <w:tc>
          <w:tcPr>
            <w:tcW w:w="8787" w:type="dxa"/>
            <w:gridSpan w:val="2"/>
            <w:shd w:val="clear" w:color="auto" w:fill="auto"/>
          </w:tcPr>
          <w:p w14:paraId="71222E9E">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彩色电容触摸屏≥9英寸,支持手势操作、自动亮度调节（提供证明材料并加盖公章）</w:t>
            </w:r>
          </w:p>
        </w:tc>
      </w:tr>
      <w:tr w14:paraId="2F2F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49500F8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4.1.3</w:t>
            </w:r>
          </w:p>
        </w:tc>
        <w:tc>
          <w:tcPr>
            <w:tcW w:w="8787" w:type="dxa"/>
            <w:gridSpan w:val="2"/>
            <w:shd w:val="clear" w:color="auto" w:fill="auto"/>
          </w:tcPr>
          <w:p w14:paraId="1F70386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提供图形化故障排除指引，帮助医护人员快速解决设备故障</w:t>
            </w:r>
          </w:p>
        </w:tc>
      </w:tr>
      <w:tr w14:paraId="3682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5B4A395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4.1.4</w:t>
            </w:r>
          </w:p>
        </w:tc>
        <w:tc>
          <w:tcPr>
            <w:tcW w:w="8787" w:type="dxa"/>
            <w:gridSpan w:val="2"/>
            <w:shd w:val="clear" w:color="auto" w:fill="auto"/>
          </w:tcPr>
          <w:p w14:paraId="49860BE1">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屏幕显示心电波形扫描时间最大不小于36s</w:t>
            </w:r>
          </w:p>
        </w:tc>
      </w:tr>
      <w:tr w14:paraId="3322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4A1C6D7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4.1.5</w:t>
            </w:r>
          </w:p>
        </w:tc>
        <w:tc>
          <w:tcPr>
            <w:tcW w:w="8787" w:type="dxa"/>
            <w:gridSpan w:val="2"/>
            <w:shd w:val="clear" w:color="auto" w:fill="auto"/>
          </w:tcPr>
          <w:p w14:paraId="3FA18970">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具备手动除颤、心电监护、12导ECG、呼吸、血压、血氧监护、自动体外除颤（AED）功能，AED功能适用于29天以上人群</w:t>
            </w:r>
          </w:p>
        </w:tc>
      </w:tr>
      <w:tr w14:paraId="5726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4904821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4.1.6</w:t>
            </w:r>
          </w:p>
        </w:tc>
        <w:tc>
          <w:tcPr>
            <w:tcW w:w="8787" w:type="dxa"/>
            <w:gridSpan w:val="2"/>
            <w:shd w:val="clear" w:color="auto" w:fill="auto"/>
          </w:tcPr>
          <w:p w14:paraId="4CFE699E">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除颤采用双相波技术，具备自动阻抗补偿功能</w:t>
            </w:r>
          </w:p>
        </w:tc>
      </w:tr>
      <w:tr w14:paraId="04F3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012ED76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▲4.1.7</w:t>
            </w:r>
          </w:p>
        </w:tc>
        <w:tc>
          <w:tcPr>
            <w:tcW w:w="8787" w:type="dxa"/>
            <w:gridSpan w:val="2"/>
            <w:shd w:val="clear" w:color="auto" w:fill="auto"/>
          </w:tcPr>
          <w:p w14:paraId="7D0A0877">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动除颤分为同步和异步两种方式，能量分20档以上，可通过体外电极板进行能量选择，最大能量可达360J（提供证明材料并加盖公章）</w:t>
            </w:r>
          </w:p>
        </w:tc>
      </w:tr>
      <w:tr w14:paraId="4A62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174F564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4.1.8</w:t>
            </w:r>
          </w:p>
        </w:tc>
        <w:tc>
          <w:tcPr>
            <w:tcW w:w="8787" w:type="dxa"/>
            <w:gridSpan w:val="2"/>
            <w:shd w:val="clear" w:color="auto" w:fill="auto"/>
          </w:tcPr>
          <w:p w14:paraId="59AC8474">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可配置体内除颤手柄，体内手动除颤能量选择：1/2/3/4/5/6/7/8/9/10/15/20/30/50J</w:t>
            </w:r>
          </w:p>
        </w:tc>
      </w:tr>
      <w:tr w14:paraId="2BA2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3655A52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4.1.9</w:t>
            </w:r>
          </w:p>
        </w:tc>
        <w:tc>
          <w:tcPr>
            <w:tcW w:w="8787" w:type="dxa"/>
            <w:gridSpan w:val="2"/>
            <w:shd w:val="clear" w:color="auto" w:fill="auto"/>
          </w:tcPr>
          <w:p w14:paraId="0EAD5BAE">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体外除颤电极板同时支持成人和小儿，一体化设计，支持快速切换</w:t>
            </w:r>
          </w:p>
        </w:tc>
      </w:tr>
      <w:tr w14:paraId="63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20263B8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4.1.10</w:t>
            </w:r>
          </w:p>
        </w:tc>
        <w:tc>
          <w:tcPr>
            <w:tcW w:w="8787" w:type="dxa"/>
            <w:gridSpan w:val="2"/>
            <w:shd w:val="clear" w:color="auto" w:fill="auto"/>
          </w:tcPr>
          <w:p w14:paraId="75C6B99A">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电极板支持能量选择，充电和放电三步操作，满足单人除颤操作</w:t>
            </w:r>
          </w:p>
        </w:tc>
      </w:tr>
      <w:tr w14:paraId="4277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08E4870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4.1.11</w:t>
            </w:r>
          </w:p>
        </w:tc>
        <w:tc>
          <w:tcPr>
            <w:tcW w:w="8787" w:type="dxa"/>
            <w:gridSpan w:val="2"/>
            <w:shd w:val="clear" w:color="auto" w:fill="auto"/>
          </w:tcPr>
          <w:p w14:paraId="421BE045">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AED除颤功能提供中文语音和中文提醒功能，对于抢救过程支持自动录音功能，记录时长≥8小时</w:t>
            </w:r>
          </w:p>
        </w:tc>
      </w:tr>
      <w:tr w14:paraId="6C39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7E4FB95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4.1.12</w:t>
            </w:r>
          </w:p>
        </w:tc>
        <w:tc>
          <w:tcPr>
            <w:tcW w:w="8787" w:type="dxa"/>
            <w:gridSpan w:val="2"/>
            <w:shd w:val="clear" w:color="auto" w:fill="auto"/>
          </w:tcPr>
          <w:p w14:paraId="53868F6E">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支持智能分析功能，手动除颤模式下也可提供自动节律分析和操作指引</w:t>
            </w:r>
          </w:p>
        </w:tc>
      </w:tr>
      <w:tr w14:paraId="5CEE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6E03A29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4.1.13</w:t>
            </w:r>
          </w:p>
        </w:tc>
        <w:tc>
          <w:tcPr>
            <w:tcW w:w="8787" w:type="dxa"/>
            <w:gridSpan w:val="2"/>
            <w:shd w:val="clear" w:color="auto" w:fill="auto"/>
          </w:tcPr>
          <w:p w14:paraId="1C82B1D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可选配CPR辅助功能，CPR传感器设计符合2020 AHA指南，提供即时的按压反馈，设备界面提供按压深度、频率实时参数显示</w:t>
            </w:r>
          </w:p>
        </w:tc>
      </w:tr>
      <w:tr w14:paraId="395A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3777E0F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4.1.14</w:t>
            </w:r>
          </w:p>
        </w:tc>
        <w:tc>
          <w:tcPr>
            <w:tcW w:w="8787" w:type="dxa"/>
            <w:gridSpan w:val="2"/>
            <w:shd w:val="clear" w:color="auto" w:fill="auto"/>
          </w:tcPr>
          <w:p w14:paraId="0CFF4DD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提供CPR按压干扰滤过功能，通过除颤电极片或CPR传感器自动检测按压干扰并实时滤波，减少按压中断</w:t>
            </w:r>
          </w:p>
        </w:tc>
      </w:tr>
      <w:tr w14:paraId="491B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6A60D52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4.1.15</w:t>
            </w:r>
          </w:p>
        </w:tc>
        <w:tc>
          <w:tcPr>
            <w:tcW w:w="8787" w:type="dxa"/>
            <w:gridSpan w:val="2"/>
            <w:shd w:val="clear" w:color="auto" w:fill="auto"/>
          </w:tcPr>
          <w:p w14:paraId="1FDF004F">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配置12导静息分析功能，支持多份心电分析报告同屏对比查看，帮助医护人员快速发现异常</w:t>
            </w:r>
          </w:p>
        </w:tc>
      </w:tr>
      <w:tr w14:paraId="0F4F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40CFEF2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4.1.16</w:t>
            </w:r>
          </w:p>
        </w:tc>
        <w:tc>
          <w:tcPr>
            <w:tcW w:w="8787" w:type="dxa"/>
            <w:gridSpan w:val="2"/>
            <w:shd w:val="clear" w:color="auto" w:fill="auto"/>
          </w:tcPr>
          <w:p w14:paraId="04175CCE">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可选配监护功能：有创血压、体温、呼吸末二氧化碳</w:t>
            </w:r>
          </w:p>
        </w:tc>
      </w:tr>
      <w:tr w14:paraId="68F1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0A5ABA8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4.1.17</w:t>
            </w:r>
          </w:p>
        </w:tc>
        <w:tc>
          <w:tcPr>
            <w:tcW w:w="8787" w:type="dxa"/>
            <w:gridSpan w:val="2"/>
            <w:shd w:val="clear" w:color="auto" w:fill="auto"/>
          </w:tcPr>
          <w:p w14:paraId="55B3AC9B">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可选配病情严重程度筛查评分工具，如Glasgow昏迷评分、早期预警评分等</w:t>
            </w:r>
          </w:p>
        </w:tc>
      </w:tr>
      <w:tr w14:paraId="662E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17AF426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4.1.18</w:t>
            </w:r>
          </w:p>
        </w:tc>
        <w:tc>
          <w:tcPr>
            <w:tcW w:w="8787" w:type="dxa"/>
            <w:gridSpan w:val="2"/>
            <w:shd w:val="clear" w:color="auto" w:fill="auto"/>
          </w:tcPr>
          <w:p w14:paraId="39936247">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支持病人生命体征实时传输和12导报告远程发送。可选配内置5G模块。</w:t>
            </w:r>
          </w:p>
        </w:tc>
      </w:tr>
      <w:tr w14:paraId="52FA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1139546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4.1.19</w:t>
            </w:r>
          </w:p>
        </w:tc>
        <w:tc>
          <w:tcPr>
            <w:tcW w:w="8787" w:type="dxa"/>
            <w:gridSpan w:val="2"/>
            <w:shd w:val="clear" w:color="auto" w:fill="auto"/>
          </w:tcPr>
          <w:p w14:paraId="5F68CFD5">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具备生理报警和技术报警功能，通过声音、文字和灯光3种方式进行报警</w:t>
            </w:r>
          </w:p>
        </w:tc>
      </w:tr>
      <w:tr w14:paraId="1B1F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5E51E45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4.1.20</w:t>
            </w:r>
          </w:p>
        </w:tc>
        <w:tc>
          <w:tcPr>
            <w:tcW w:w="8787" w:type="dxa"/>
            <w:gridSpan w:val="2"/>
            <w:shd w:val="clear" w:color="auto" w:fill="auto"/>
          </w:tcPr>
          <w:p w14:paraId="06B2F9A4">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配置110mm记录纸记录仪，可同时打印不少于6通道波形；自动打印除颤记录，单次波形记录时间最大不小于30s；支持连续波形记录</w:t>
            </w:r>
          </w:p>
        </w:tc>
      </w:tr>
      <w:tr w14:paraId="451B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2A95613C">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4.1.21</w:t>
            </w:r>
          </w:p>
        </w:tc>
        <w:tc>
          <w:tcPr>
            <w:tcW w:w="8787" w:type="dxa"/>
            <w:gridSpan w:val="2"/>
            <w:shd w:val="clear" w:color="auto" w:fill="auto"/>
          </w:tcPr>
          <w:p w14:paraId="3FC008B9">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可存储120小时连续ECG波形，数据可导出至电脑查看</w:t>
            </w:r>
          </w:p>
        </w:tc>
      </w:tr>
      <w:tr w14:paraId="046C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49C2533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★4.1.22</w:t>
            </w:r>
          </w:p>
        </w:tc>
        <w:tc>
          <w:tcPr>
            <w:tcW w:w="8787" w:type="dxa"/>
            <w:gridSpan w:val="2"/>
            <w:shd w:val="clear" w:color="auto" w:fill="auto"/>
          </w:tcPr>
          <w:p w14:paraId="3F002A8B">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具备良好的防尘防水性能，防尘防水级别IP55（提供证明材料并加盖公章）</w:t>
            </w:r>
          </w:p>
        </w:tc>
      </w:tr>
      <w:tr w14:paraId="28D3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639D35C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4.1.23</w:t>
            </w:r>
          </w:p>
        </w:tc>
        <w:tc>
          <w:tcPr>
            <w:tcW w:w="8787" w:type="dxa"/>
            <w:gridSpan w:val="2"/>
            <w:shd w:val="clear" w:color="auto" w:fill="auto"/>
          </w:tcPr>
          <w:p w14:paraId="2125239B">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具备优异的抗跌落性能，满足救护车标准EN1789 中6.3.4.3 关于跌落试验的要求，可承受1.5米跌落冲击，带包可承受3米跌落冲击</w:t>
            </w:r>
          </w:p>
        </w:tc>
      </w:tr>
      <w:tr w14:paraId="42E6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5F398D1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★4.1.24</w:t>
            </w:r>
          </w:p>
        </w:tc>
        <w:tc>
          <w:tcPr>
            <w:tcW w:w="8787" w:type="dxa"/>
            <w:gridSpan w:val="2"/>
            <w:shd w:val="clear" w:color="auto" w:fill="auto"/>
          </w:tcPr>
          <w:p w14:paraId="3DE630A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工作环境，温度范围：-20°C-55°C，湿度范围：5%-95%，大气压范围：57.0kPa～106.2kPa（提供证明材料并加盖公章）</w:t>
            </w:r>
          </w:p>
        </w:tc>
      </w:tr>
      <w:tr w14:paraId="23A9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1434767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4.1.25</w:t>
            </w:r>
          </w:p>
        </w:tc>
        <w:tc>
          <w:tcPr>
            <w:tcW w:w="8787" w:type="dxa"/>
            <w:gridSpan w:val="2"/>
            <w:shd w:val="clear" w:color="auto" w:fill="auto"/>
          </w:tcPr>
          <w:p w14:paraId="3BB180DB">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为了有更好的售后服务，投标时需出具该产品厂家或代理商授权书</w:t>
            </w:r>
          </w:p>
        </w:tc>
      </w:tr>
      <w:tr w14:paraId="6EE1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2CFB2DD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w:t>
            </w:r>
          </w:p>
        </w:tc>
        <w:tc>
          <w:tcPr>
            <w:tcW w:w="8787" w:type="dxa"/>
            <w:gridSpan w:val="2"/>
            <w:shd w:val="clear" w:color="auto" w:fill="auto"/>
          </w:tcPr>
          <w:p w14:paraId="3B19FBE7">
            <w:pPr>
              <w:spacing w:line="240" w:lineRule="auto"/>
              <w:ind w:firstLine="0" w:firstLineChars="0"/>
              <w:rPr>
                <w:rFonts w:hint="eastAsia" w:ascii="宋体" w:hAnsi="宋体" w:cs="宋体"/>
                <w:color w:val="auto"/>
                <w:highlight w:val="none"/>
              </w:rPr>
            </w:pPr>
            <w:bookmarkStart w:id="311" w:name="_Hlk185493097"/>
            <w:r>
              <w:rPr>
                <w:rFonts w:hint="eastAsia" w:ascii="宋体" w:hAnsi="宋体" w:cs="宋体"/>
                <w:color w:val="auto"/>
                <w:highlight w:val="none"/>
              </w:rPr>
              <w:t>车载呼吸机4台</w:t>
            </w:r>
            <w:bookmarkEnd w:id="311"/>
          </w:p>
        </w:tc>
      </w:tr>
      <w:tr w14:paraId="2A11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vAlign w:val="center"/>
          </w:tcPr>
          <w:p w14:paraId="5F742CE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4.2.1</w:t>
            </w:r>
          </w:p>
        </w:tc>
        <w:tc>
          <w:tcPr>
            <w:tcW w:w="8787" w:type="dxa"/>
            <w:gridSpan w:val="2"/>
            <w:shd w:val="clear" w:color="auto" w:fill="auto"/>
          </w:tcPr>
          <w:p w14:paraId="06EC15E8">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用于院外或院内的幼儿、儿童、成人患者进行转运途中的呼吸生命支持。</w:t>
            </w:r>
          </w:p>
        </w:tc>
      </w:tr>
      <w:tr w14:paraId="12FD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6C1DC59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4.2.2</w:t>
            </w:r>
          </w:p>
        </w:tc>
        <w:tc>
          <w:tcPr>
            <w:tcW w:w="8787" w:type="dxa"/>
            <w:gridSpan w:val="2"/>
            <w:shd w:val="clear" w:color="auto" w:fill="auto"/>
          </w:tcPr>
          <w:p w14:paraId="4D32052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气动电控型</w:t>
            </w:r>
          </w:p>
        </w:tc>
      </w:tr>
      <w:tr w14:paraId="077B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1EA2292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4.2.3</w:t>
            </w:r>
          </w:p>
        </w:tc>
        <w:tc>
          <w:tcPr>
            <w:tcW w:w="8787" w:type="dxa"/>
            <w:gridSpan w:val="2"/>
            <w:shd w:val="clear" w:color="auto" w:fill="auto"/>
          </w:tcPr>
          <w:p w14:paraId="4E11446F">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屏幕≥2.4 TFT彩屏</w:t>
            </w:r>
          </w:p>
        </w:tc>
      </w:tr>
      <w:tr w14:paraId="7953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1F82C3F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4.2.4</w:t>
            </w:r>
          </w:p>
        </w:tc>
        <w:tc>
          <w:tcPr>
            <w:tcW w:w="8787" w:type="dxa"/>
            <w:gridSpan w:val="2"/>
            <w:shd w:val="clear" w:color="auto" w:fill="auto"/>
          </w:tcPr>
          <w:p w14:paraId="76A37F30">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具备中文语音智能导航操作和报警功能</w:t>
            </w:r>
          </w:p>
        </w:tc>
      </w:tr>
      <w:tr w14:paraId="52CA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0BB2370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4.2.5</w:t>
            </w:r>
          </w:p>
        </w:tc>
        <w:tc>
          <w:tcPr>
            <w:tcW w:w="8787" w:type="dxa"/>
            <w:gridSpan w:val="2"/>
            <w:shd w:val="clear" w:color="auto" w:fill="auto"/>
          </w:tcPr>
          <w:p w14:paraId="4EF61D2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主机上可通过不同颜色区分幼儿、儿童及成人模式</w:t>
            </w:r>
          </w:p>
        </w:tc>
      </w:tr>
      <w:tr w14:paraId="3B5F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2DE3F19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4.2.6</w:t>
            </w:r>
          </w:p>
        </w:tc>
        <w:tc>
          <w:tcPr>
            <w:tcW w:w="8787" w:type="dxa"/>
            <w:gridSpan w:val="2"/>
            <w:shd w:val="clear" w:color="auto" w:fill="auto"/>
          </w:tcPr>
          <w:p w14:paraId="1CB7345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呼吸模式：IPPV、A/C等</w:t>
            </w:r>
          </w:p>
        </w:tc>
      </w:tr>
      <w:tr w14:paraId="1285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49E2241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4.2.7</w:t>
            </w:r>
          </w:p>
        </w:tc>
        <w:tc>
          <w:tcPr>
            <w:tcW w:w="8787" w:type="dxa"/>
            <w:gridSpan w:val="2"/>
            <w:shd w:val="clear" w:color="auto" w:fill="auto"/>
          </w:tcPr>
          <w:p w14:paraId="038EA614">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CPR功能，心肺复苏指导和自动通气</w:t>
            </w:r>
          </w:p>
        </w:tc>
      </w:tr>
      <w:tr w14:paraId="36AC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377E85B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4.2.8</w:t>
            </w:r>
          </w:p>
        </w:tc>
        <w:tc>
          <w:tcPr>
            <w:tcW w:w="8787" w:type="dxa"/>
            <w:gridSpan w:val="2"/>
            <w:shd w:val="clear" w:color="auto" w:fill="auto"/>
          </w:tcPr>
          <w:p w14:paraId="0BDCF4E9">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主机重量: ≤1.4</w:t>
            </w:r>
            <w:r>
              <w:rPr>
                <w:rFonts w:hint="eastAsia" w:ascii="宋体" w:hAnsi="宋体" w:cs="宋体"/>
                <w:color w:val="auto"/>
                <w:highlight w:val="none"/>
                <w:lang w:eastAsia="zh-CN"/>
              </w:rPr>
              <w:t>kg</w:t>
            </w:r>
          </w:p>
        </w:tc>
      </w:tr>
      <w:tr w14:paraId="2A48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077787B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4.2.9</w:t>
            </w:r>
          </w:p>
        </w:tc>
        <w:tc>
          <w:tcPr>
            <w:tcW w:w="8787" w:type="dxa"/>
            <w:gridSpan w:val="2"/>
            <w:shd w:val="clear" w:color="auto" w:fill="auto"/>
          </w:tcPr>
          <w:p w14:paraId="0F9D8D76">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工作压力:2.7 ～ 6.0bar</w:t>
            </w:r>
          </w:p>
        </w:tc>
      </w:tr>
      <w:tr w14:paraId="6835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3E5CB21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4.2.10</w:t>
            </w:r>
          </w:p>
        </w:tc>
        <w:tc>
          <w:tcPr>
            <w:tcW w:w="8787" w:type="dxa"/>
            <w:gridSpan w:val="2"/>
            <w:shd w:val="clear" w:color="auto" w:fill="auto"/>
          </w:tcPr>
          <w:p w14:paraId="0527F02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吸呼比: 1:1.67</w:t>
            </w:r>
          </w:p>
        </w:tc>
      </w:tr>
      <w:tr w14:paraId="55F5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6A32487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4.2.12</w:t>
            </w:r>
          </w:p>
        </w:tc>
        <w:tc>
          <w:tcPr>
            <w:tcW w:w="8787" w:type="dxa"/>
            <w:gridSpan w:val="2"/>
            <w:shd w:val="clear" w:color="auto" w:fill="auto"/>
          </w:tcPr>
          <w:p w14:paraId="26138581">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氧气浓度：60%和100%，2档可调</w:t>
            </w:r>
          </w:p>
        </w:tc>
      </w:tr>
      <w:tr w14:paraId="2C24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4428A57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4.2.12</w:t>
            </w:r>
          </w:p>
        </w:tc>
        <w:tc>
          <w:tcPr>
            <w:tcW w:w="8787" w:type="dxa"/>
            <w:gridSpan w:val="2"/>
            <w:shd w:val="clear" w:color="auto" w:fill="auto"/>
          </w:tcPr>
          <w:p w14:paraId="6660D6F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每分钟呼吸流量（MV）：3-20L/min可调，8档可调</w:t>
            </w:r>
          </w:p>
        </w:tc>
      </w:tr>
      <w:tr w14:paraId="4B66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14EAB6D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4.2.13</w:t>
            </w:r>
          </w:p>
        </w:tc>
        <w:tc>
          <w:tcPr>
            <w:tcW w:w="8787" w:type="dxa"/>
            <w:gridSpan w:val="2"/>
            <w:shd w:val="clear" w:color="auto" w:fill="auto"/>
          </w:tcPr>
          <w:p w14:paraId="0B761095">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呼吸频率：5～40bpm，10档可调</w:t>
            </w:r>
          </w:p>
        </w:tc>
      </w:tr>
      <w:tr w14:paraId="6824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4566F01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4.2.14</w:t>
            </w:r>
          </w:p>
        </w:tc>
        <w:tc>
          <w:tcPr>
            <w:tcW w:w="8787" w:type="dxa"/>
            <w:gridSpan w:val="2"/>
            <w:shd w:val="clear" w:color="auto" w:fill="auto"/>
          </w:tcPr>
          <w:p w14:paraId="19157B39">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触发压力：-2mbar</w:t>
            </w:r>
          </w:p>
        </w:tc>
      </w:tr>
      <w:tr w14:paraId="38EB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6E1E998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4.2.15</w:t>
            </w:r>
          </w:p>
        </w:tc>
        <w:tc>
          <w:tcPr>
            <w:tcW w:w="8787" w:type="dxa"/>
            <w:gridSpan w:val="2"/>
            <w:shd w:val="clear" w:color="auto" w:fill="auto"/>
          </w:tcPr>
          <w:p w14:paraId="26F5A5F1">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气道压力：20～60mbar</w:t>
            </w:r>
          </w:p>
        </w:tc>
      </w:tr>
      <w:tr w14:paraId="5887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4C422161">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4.2.16</w:t>
            </w:r>
          </w:p>
        </w:tc>
        <w:tc>
          <w:tcPr>
            <w:tcW w:w="8787" w:type="dxa"/>
            <w:gridSpan w:val="2"/>
            <w:shd w:val="clear" w:color="auto" w:fill="auto"/>
          </w:tcPr>
          <w:p w14:paraId="2007710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监测指标：窒息报警，电池电量，气源压力等</w:t>
            </w:r>
          </w:p>
        </w:tc>
      </w:tr>
      <w:tr w14:paraId="047F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5AA33BD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4.2.17</w:t>
            </w:r>
          </w:p>
        </w:tc>
        <w:tc>
          <w:tcPr>
            <w:tcW w:w="8787" w:type="dxa"/>
            <w:gridSpan w:val="2"/>
            <w:shd w:val="clear" w:color="auto" w:fill="auto"/>
          </w:tcPr>
          <w:p w14:paraId="433C89D1">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显示屏可显示电池状态、实时气道压力、平均气道压力、峰值气道压力等状态</w:t>
            </w:r>
          </w:p>
        </w:tc>
      </w:tr>
      <w:tr w14:paraId="4307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3A9DA86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4.2.18</w:t>
            </w:r>
          </w:p>
        </w:tc>
        <w:tc>
          <w:tcPr>
            <w:tcW w:w="8787" w:type="dxa"/>
            <w:gridSpan w:val="2"/>
            <w:shd w:val="clear" w:color="auto" w:fill="auto"/>
          </w:tcPr>
          <w:p w14:paraId="4D514D1B">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可选配一体化负压吸痰、面罩供氧功能</w:t>
            </w:r>
          </w:p>
        </w:tc>
      </w:tr>
      <w:tr w14:paraId="7311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20B5EF5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4.2.19</w:t>
            </w:r>
          </w:p>
        </w:tc>
        <w:tc>
          <w:tcPr>
            <w:tcW w:w="8787" w:type="dxa"/>
            <w:gridSpan w:val="2"/>
            <w:shd w:val="clear" w:color="auto" w:fill="auto"/>
          </w:tcPr>
          <w:p w14:paraId="7EAAA1E1">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配备专用急救包转运平台，可手提、单肩背，包可直接固定于急救车或担架床上</w:t>
            </w:r>
          </w:p>
        </w:tc>
      </w:tr>
      <w:tr w14:paraId="357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782E3C0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4.2.20</w:t>
            </w:r>
          </w:p>
        </w:tc>
        <w:tc>
          <w:tcPr>
            <w:tcW w:w="8787" w:type="dxa"/>
            <w:gridSpan w:val="2"/>
            <w:shd w:val="clear" w:color="auto" w:fill="auto"/>
          </w:tcPr>
          <w:p w14:paraId="20C15F5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可充电锂电池，可连续使用≥10h，并且有在线充电使用功能</w:t>
            </w:r>
          </w:p>
        </w:tc>
      </w:tr>
      <w:tr w14:paraId="4DA4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46FA86D6">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4.2.21</w:t>
            </w:r>
          </w:p>
        </w:tc>
        <w:tc>
          <w:tcPr>
            <w:tcW w:w="8787" w:type="dxa"/>
            <w:gridSpan w:val="2"/>
            <w:shd w:val="clear" w:color="auto" w:fill="auto"/>
          </w:tcPr>
          <w:p w14:paraId="141390BE">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防水保护等级:IPX4</w:t>
            </w:r>
          </w:p>
        </w:tc>
      </w:tr>
      <w:tr w14:paraId="4E1C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3C5154C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w:t>
            </w:r>
          </w:p>
        </w:tc>
        <w:tc>
          <w:tcPr>
            <w:tcW w:w="8787" w:type="dxa"/>
            <w:gridSpan w:val="2"/>
            <w:shd w:val="clear" w:color="auto" w:fill="auto"/>
          </w:tcPr>
          <w:p w14:paraId="172DAB96">
            <w:pPr>
              <w:spacing w:line="240" w:lineRule="auto"/>
              <w:ind w:firstLine="0" w:firstLineChars="0"/>
              <w:rPr>
                <w:rFonts w:hint="eastAsia" w:ascii="宋体" w:hAnsi="宋体" w:cs="宋体"/>
                <w:color w:val="auto"/>
                <w:highlight w:val="none"/>
              </w:rPr>
            </w:pPr>
            <w:bookmarkStart w:id="312" w:name="_Hlk185493122"/>
            <w:r>
              <w:rPr>
                <w:rFonts w:hint="eastAsia" w:ascii="宋体" w:hAnsi="宋体" w:cs="宋体"/>
                <w:color w:val="auto"/>
                <w:highlight w:val="none"/>
              </w:rPr>
              <w:t>心肺复苏机1台</w:t>
            </w:r>
            <w:bookmarkEnd w:id="312"/>
          </w:p>
        </w:tc>
      </w:tr>
      <w:tr w14:paraId="1A37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vAlign w:val="center"/>
          </w:tcPr>
          <w:p w14:paraId="316DB8F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4.3.1</w:t>
            </w:r>
          </w:p>
        </w:tc>
        <w:tc>
          <w:tcPr>
            <w:tcW w:w="8787" w:type="dxa"/>
            <w:gridSpan w:val="2"/>
            <w:shd w:val="clear" w:color="auto" w:fill="auto"/>
          </w:tcPr>
          <w:p w14:paraId="595E8592">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符合最新AHA和ERC心肺复苏及心血管急救指南关于心肺复苏替代技术和辅助装置的相关规范。适用于对心跳呼吸骤停的成年患者进行胸外按压等心肺复苏抢救</w:t>
            </w:r>
          </w:p>
        </w:tc>
      </w:tr>
      <w:tr w14:paraId="5542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4CEF26F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★4.3.2</w:t>
            </w:r>
          </w:p>
        </w:tc>
        <w:tc>
          <w:tcPr>
            <w:tcW w:w="8787" w:type="dxa"/>
            <w:gridSpan w:val="2"/>
            <w:shd w:val="clear" w:color="auto" w:fill="auto"/>
          </w:tcPr>
          <w:p w14:paraId="0DB78A56">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按压技术：采用单点按压结合胸廓束带方式，通过胸泵和心泵机制、模拟心脏搏动原理的智能心肺复苏技术，能比徒手CPR更高效率地改善血流动力学效应，减少复苏过程引起的损伤（提供证明材料并加盖公章）</w:t>
            </w:r>
          </w:p>
        </w:tc>
      </w:tr>
      <w:tr w14:paraId="36A3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7A95C97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4.3.3</w:t>
            </w:r>
          </w:p>
        </w:tc>
        <w:tc>
          <w:tcPr>
            <w:tcW w:w="8787" w:type="dxa"/>
            <w:gridSpan w:val="2"/>
            <w:shd w:val="clear" w:color="auto" w:fill="auto"/>
          </w:tcPr>
          <w:p w14:paraId="5F5E1046">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按压频率110次／分钟</w:t>
            </w:r>
          </w:p>
        </w:tc>
      </w:tr>
      <w:tr w14:paraId="3C35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304DE3E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4.3.4</w:t>
            </w:r>
          </w:p>
        </w:tc>
        <w:tc>
          <w:tcPr>
            <w:tcW w:w="8787" w:type="dxa"/>
            <w:gridSpan w:val="2"/>
            <w:shd w:val="clear" w:color="auto" w:fill="auto"/>
          </w:tcPr>
          <w:p w14:paraId="372C5E99">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按压深度在50MM</w:t>
            </w:r>
          </w:p>
        </w:tc>
      </w:tr>
      <w:tr w14:paraId="5880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77EB678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4.3.5</w:t>
            </w:r>
          </w:p>
        </w:tc>
        <w:tc>
          <w:tcPr>
            <w:tcW w:w="8787" w:type="dxa"/>
            <w:gridSpan w:val="2"/>
            <w:shd w:val="clear" w:color="auto" w:fill="auto"/>
          </w:tcPr>
          <w:p w14:paraId="1CF0AF45">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按压释放比1:1</w:t>
            </w:r>
          </w:p>
        </w:tc>
      </w:tr>
      <w:tr w14:paraId="0F7E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5A989E9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4.3.6</w:t>
            </w:r>
          </w:p>
        </w:tc>
        <w:tc>
          <w:tcPr>
            <w:tcW w:w="8787" w:type="dxa"/>
            <w:gridSpan w:val="2"/>
            <w:shd w:val="clear" w:color="auto" w:fill="auto"/>
          </w:tcPr>
          <w:p w14:paraId="2C09D004">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按压通气模式包括：连续按压模式， 30:2模式， CPR联动模式</w:t>
            </w:r>
          </w:p>
        </w:tc>
      </w:tr>
      <w:tr w14:paraId="77FA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7003896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4.3.7</w:t>
            </w:r>
          </w:p>
        </w:tc>
        <w:tc>
          <w:tcPr>
            <w:tcW w:w="8787" w:type="dxa"/>
            <w:gridSpan w:val="2"/>
            <w:shd w:val="clear" w:color="auto" w:fill="auto"/>
          </w:tcPr>
          <w:p w14:paraId="52BB56B6">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30:2模式下，30次按压后，2次通气停顿时间≤3秒</w:t>
            </w:r>
          </w:p>
        </w:tc>
      </w:tr>
      <w:tr w14:paraId="1733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5D7734B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4.3.8</w:t>
            </w:r>
          </w:p>
        </w:tc>
        <w:tc>
          <w:tcPr>
            <w:tcW w:w="8787" w:type="dxa"/>
            <w:gridSpan w:val="2"/>
            <w:shd w:val="clear" w:color="auto" w:fill="auto"/>
          </w:tcPr>
          <w:p w14:paraId="412DDAE5">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主机上具有按压深度窗口，可实时显示实际按压深度</w:t>
            </w:r>
          </w:p>
        </w:tc>
      </w:tr>
      <w:tr w14:paraId="1B50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29F1DD2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4.3.9</w:t>
            </w:r>
          </w:p>
        </w:tc>
        <w:tc>
          <w:tcPr>
            <w:tcW w:w="8787" w:type="dxa"/>
            <w:gridSpan w:val="2"/>
            <w:shd w:val="clear" w:color="auto" w:fill="auto"/>
          </w:tcPr>
          <w:p w14:paraId="3EBE0845">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最大工作倾斜度：≥60°，在主机工作倾斜度范围内工作状态下，确保下楼梯、转运途中能维持持续稳定的胸腔按压</w:t>
            </w:r>
          </w:p>
        </w:tc>
      </w:tr>
      <w:tr w14:paraId="6FE0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6A7C521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4.3.10</w:t>
            </w:r>
          </w:p>
        </w:tc>
        <w:tc>
          <w:tcPr>
            <w:tcW w:w="8787" w:type="dxa"/>
            <w:gridSpan w:val="2"/>
            <w:shd w:val="clear" w:color="auto" w:fill="auto"/>
          </w:tcPr>
          <w:p w14:paraId="3E662687">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驱动方式：电动电控</w:t>
            </w:r>
          </w:p>
        </w:tc>
      </w:tr>
      <w:tr w14:paraId="58D4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23A3104C">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4.3.11</w:t>
            </w:r>
          </w:p>
        </w:tc>
        <w:tc>
          <w:tcPr>
            <w:tcW w:w="8787" w:type="dxa"/>
            <w:gridSpan w:val="2"/>
            <w:shd w:val="clear" w:color="auto" w:fill="auto"/>
          </w:tcPr>
          <w:p w14:paraId="41B506DB">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电池运行时间：新电池充满电情况下，单块电池最大运行时间≥60分钟</w:t>
            </w:r>
          </w:p>
        </w:tc>
      </w:tr>
      <w:tr w14:paraId="0623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77829CC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4.3.12</w:t>
            </w:r>
          </w:p>
        </w:tc>
        <w:tc>
          <w:tcPr>
            <w:tcW w:w="8787" w:type="dxa"/>
            <w:gridSpan w:val="2"/>
            <w:shd w:val="clear" w:color="auto" w:fill="auto"/>
          </w:tcPr>
          <w:p w14:paraId="68C5C500">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电池最大充电时间：≤2小时</w:t>
            </w:r>
          </w:p>
        </w:tc>
      </w:tr>
      <w:tr w14:paraId="740D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1BDCDCB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4.3.13</w:t>
            </w:r>
          </w:p>
        </w:tc>
        <w:tc>
          <w:tcPr>
            <w:tcW w:w="8787" w:type="dxa"/>
            <w:gridSpan w:val="2"/>
            <w:shd w:val="clear" w:color="auto" w:fill="auto"/>
          </w:tcPr>
          <w:p w14:paraId="030BBAE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外部交流电源：可接220V交流电，持续稳定实施长时间胸腔按压，并同时给予电池充电</w:t>
            </w:r>
          </w:p>
        </w:tc>
      </w:tr>
      <w:tr w14:paraId="66BD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3E4D438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4.3.14</w:t>
            </w:r>
          </w:p>
        </w:tc>
        <w:tc>
          <w:tcPr>
            <w:tcW w:w="8787" w:type="dxa"/>
            <w:gridSpan w:val="2"/>
            <w:shd w:val="clear" w:color="auto" w:fill="auto"/>
          </w:tcPr>
          <w:p w14:paraId="3524FAFF">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具有电量指示，低电量指示灯闪烁警示后，仍可连续工作时间≥15分钟</w:t>
            </w:r>
          </w:p>
        </w:tc>
      </w:tr>
      <w:tr w14:paraId="3BBF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1C0B267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4.3.15</w:t>
            </w:r>
          </w:p>
        </w:tc>
        <w:tc>
          <w:tcPr>
            <w:tcW w:w="8787" w:type="dxa"/>
            <w:gridSpan w:val="2"/>
            <w:shd w:val="clear" w:color="auto" w:fill="auto"/>
          </w:tcPr>
          <w:p w14:paraId="72D04A4C">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环境试验应符合GB/T 14710-2009中气候环境试验II组，机械环境试验II组的规定</w:t>
            </w:r>
          </w:p>
        </w:tc>
      </w:tr>
      <w:tr w14:paraId="0B72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2FE0FC9C">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4.3.16</w:t>
            </w:r>
          </w:p>
        </w:tc>
        <w:tc>
          <w:tcPr>
            <w:tcW w:w="8787" w:type="dxa"/>
            <w:gridSpan w:val="2"/>
            <w:shd w:val="clear" w:color="auto" w:fill="auto"/>
          </w:tcPr>
          <w:p w14:paraId="6547B83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运输试验、电源电压适应能力试验应分别符合GB/T 14710-2009的规定</w:t>
            </w:r>
          </w:p>
        </w:tc>
      </w:tr>
      <w:tr w14:paraId="18AB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3CF21F9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4.3.17</w:t>
            </w:r>
          </w:p>
        </w:tc>
        <w:tc>
          <w:tcPr>
            <w:tcW w:w="8787" w:type="dxa"/>
            <w:gridSpan w:val="2"/>
            <w:shd w:val="clear" w:color="auto" w:fill="auto"/>
          </w:tcPr>
          <w:p w14:paraId="2FB39D6F">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车载运行性能：在三级公路、行驶速度40km／h，运行200km状态下，能持续稳定实施胸腔按压，以满足长距离转运期院外急救的使用需求</w:t>
            </w:r>
          </w:p>
        </w:tc>
      </w:tr>
      <w:tr w14:paraId="0AE3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0255052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4.3.18</w:t>
            </w:r>
          </w:p>
        </w:tc>
        <w:tc>
          <w:tcPr>
            <w:tcW w:w="8787" w:type="dxa"/>
            <w:gridSpan w:val="2"/>
            <w:shd w:val="clear" w:color="auto" w:fill="auto"/>
          </w:tcPr>
          <w:p w14:paraId="12B37D8A">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具有USB接口,用于软件维护与升级</w:t>
            </w:r>
          </w:p>
        </w:tc>
      </w:tr>
      <w:tr w14:paraId="0A6B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62E8C86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4.3.19</w:t>
            </w:r>
          </w:p>
        </w:tc>
        <w:tc>
          <w:tcPr>
            <w:tcW w:w="8787" w:type="dxa"/>
            <w:gridSpan w:val="2"/>
            <w:shd w:val="clear" w:color="auto" w:fill="auto"/>
          </w:tcPr>
          <w:p w14:paraId="175DF42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具有≥16G内存   </w:t>
            </w:r>
          </w:p>
        </w:tc>
      </w:tr>
      <w:tr w14:paraId="0641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5E78CFE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4.3.20</w:t>
            </w:r>
          </w:p>
        </w:tc>
        <w:tc>
          <w:tcPr>
            <w:tcW w:w="8787" w:type="dxa"/>
            <w:gridSpan w:val="2"/>
            <w:shd w:val="clear" w:color="auto" w:fill="auto"/>
          </w:tcPr>
          <w:p w14:paraId="5BCDEE72">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心肺复苏机能与呼吸机进行蓝牙连接，实现按压与通气同步联动</w:t>
            </w:r>
          </w:p>
        </w:tc>
      </w:tr>
      <w:tr w14:paraId="2E92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1890C0D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★4.3.21</w:t>
            </w:r>
          </w:p>
        </w:tc>
        <w:tc>
          <w:tcPr>
            <w:tcW w:w="8787" w:type="dxa"/>
            <w:gridSpan w:val="2"/>
            <w:shd w:val="clear" w:color="auto" w:fill="auto"/>
          </w:tcPr>
          <w:p w14:paraId="04438D58">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采用硬质背板绑带一体化设计，便于快速安装固定病人，缩短准备时间，提高心肺复苏抢救质量。（提供证明材料并加盖公章）</w:t>
            </w:r>
          </w:p>
        </w:tc>
      </w:tr>
      <w:tr w14:paraId="25F2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36C18E6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★4.3.22</w:t>
            </w:r>
          </w:p>
        </w:tc>
        <w:tc>
          <w:tcPr>
            <w:tcW w:w="8787" w:type="dxa"/>
            <w:gridSpan w:val="2"/>
            <w:shd w:val="clear" w:color="auto" w:fill="auto"/>
          </w:tcPr>
          <w:p w14:paraId="3A81F072">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通过航空适航RTCA DO 160G认证（提供证明材料并加盖公章）</w:t>
            </w:r>
          </w:p>
        </w:tc>
      </w:tr>
      <w:tr w14:paraId="5D59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54EDAF0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4.3.23</w:t>
            </w:r>
          </w:p>
        </w:tc>
        <w:tc>
          <w:tcPr>
            <w:tcW w:w="8787" w:type="dxa"/>
            <w:gridSpan w:val="2"/>
            <w:shd w:val="clear" w:color="auto" w:fill="auto"/>
          </w:tcPr>
          <w:p w14:paraId="3D616B2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通过EN1789《医用车辆和其设备道路救护车标准》</w:t>
            </w:r>
          </w:p>
        </w:tc>
      </w:tr>
      <w:tr w14:paraId="27A8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4BE801F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4.3.24</w:t>
            </w:r>
          </w:p>
        </w:tc>
        <w:tc>
          <w:tcPr>
            <w:tcW w:w="8787" w:type="dxa"/>
            <w:gridSpan w:val="2"/>
            <w:shd w:val="clear" w:color="auto" w:fill="auto"/>
          </w:tcPr>
          <w:p w14:paraId="1EA128D8">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防水防尘等级：IP44</w:t>
            </w:r>
          </w:p>
        </w:tc>
      </w:tr>
      <w:tr w14:paraId="39E8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0C79AFD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4.3.25</w:t>
            </w:r>
          </w:p>
        </w:tc>
        <w:tc>
          <w:tcPr>
            <w:tcW w:w="8787" w:type="dxa"/>
            <w:gridSpan w:val="2"/>
            <w:shd w:val="clear" w:color="auto" w:fill="auto"/>
          </w:tcPr>
          <w:p w14:paraId="335AB540">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通过跌落试验：跌落高度1.5米，6个面各跌落1次</w:t>
            </w:r>
          </w:p>
        </w:tc>
      </w:tr>
      <w:tr w14:paraId="60E0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9" w:type="dxa"/>
          </w:tcPr>
          <w:p w14:paraId="1A3880A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4.3.26</w:t>
            </w:r>
          </w:p>
        </w:tc>
        <w:tc>
          <w:tcPr>
            <w:tcW w:w="8787" w:type="dxa"/>
            <w:gridSpan w:val="2"/>
            <w:shd w:val="clear" w:color="auto" w:fill="auto"/>
          </w:tcPr>
          <w:p w14:paraId="04AC4BAE">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为了有更好的售后服务，投标时需出具该产品厂家或代理商授权书</w:t>
            </w:r>
          </w:p>
        </w:tc>
      </w:tr>
      <w:tr w14:paraId="1A79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0EF34F58">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4.4</w:t>
            </w:r>
          </w:p>
        </w:tc>
        <w:tc>
          <w:tcPr>
            <w:tcW w:w="8787" w:type="dxa"/>
            <w:gridSpan w:val="2"/>
            <w:shd w:val="clear" w:color="auto" w:fill="auto"/>
          </w:tcPr>
          <w:p w14:paraId="273795C6">
            <w:pPr>
              <w:spacing w:line="240" w:lineRule="auto"/>
              <w:ind w:firstLine="0" w:firstLineChars="0"/>
              <w:rPr>
                <w:rFonts w:hint="eastAsia" w:ascii="宋体" w:hAnsi="宋体" w:cs="宋体"/>
                <w:color w:val="auto"/>
                <w:highlight w:val="none"/>
              </w:rPr>
            </w:pPr>
            <w:bookmarkStart w:id="313" w:name="_Hlk185493150"/>
            <w:r>
              <w:rPr>
                <w:rFonts w:hint="eastAsia" w:ascii="宋体" w:hAnsi="宋体" w:cs="宋体"/>
                <w:color w:val="auto"/>
                <w:highlight w:val="none"/>
              </w:rPr>
              <w:t>输液泵4台</w:t>
            </w:r>
            <w:bookmarkEnd w:id="313"/>
          </w:p>
        </w:tc>
      </w:tr>
      <w:tr w14:paraId="7DD6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vAlign w:val="center"/>
          </w:tcPr>
          <w:p w14:paraId="43201D5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4.4.1</w:t>
            </w:r>
          </w:p>
        </w:tc>
        <w:tc>
          <w:tcPr>
            <w:tcW w:w="8787" w:type="dxa"/>
            <w:gridSpan w:val="2"/>
            <w:shd w:val="clear" w:color="auto" w:fill="auto"/>
          </w:tcPr>
          <w:p w14:paraId="42136A01">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数字键盘快捷输入；</w:t>
            </w:r>
          </w:p>
        </w:tc>
      </w:tr>
      <w:tr w14:paraId="1062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26319A6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4.4.2</w:t>
            </w:r>
          </w:p>
        </w:tc>
        <w:tc>
          <w:tcPr>
            <w:tcW w:w="8787" w:type="dxa"/>
            <w:gridSpan w:val="2"/>
            <w:shd w:val="clear" w:color="auto" w:fill="auto"/>
          </w:tcPr>
          <w:p w14:paraId="57FC9810">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手提式设计,手柄上装有运行状态灯，远处可观察机器状态；</w:t>
            </w:r>
          </w:p>
        </w:tc>
      </w:tr>
      <w:tr w14:paraId="2DC0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2D94E7D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4.4.3</w:t>
            </w:r>
          </w:p>
        </w:tc>
        <w:tc>
          <w:tcPr>
            <w:tcW w:w="8787" w:type="dxa"/>
            <w:gridSpan w:val="2"/>
            <w:shd w:val="clear" w:color="auto" w:fill="auto"/>
          </w:tcPr>
          <w:p w14:paraId="448E9A44">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双屏幕设计：数码管显示主要参数速度，液晶屏显示速度、预置量、累积量、输液器品牌、输液器规格、输液模式、压力档、压力动态显示；</w:t>
            </w:r>
          </w:p>
        </w:tc>
      </w:tr>
      <w:tr w14:paraId="4EA2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5D270EE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4.4.4</w:t>
            </w:r>
          </w:p>
        </w:tc>
        <w:tc>
          <w:tcPr>
            <w:tcW w:w="8787" w:type="dxa"/>
            <w:gridSpan w:val="2"/>
            <w:shd w:val="clear" w:color="auto" w:fill="auto"/>
          </w:tcPr>
          <w:p w14:paraId="3E72A149">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两种报警方式：液晶屏文字显示报警事项、运行指示灯红色闪烁、同时带有声音提示；</w:t>
            </w:r>
          </w:p>
        </w:tc>
      </w:tr>
      <w:tr w14:paraId="2D14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3FE3A54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4.4.5</w:t>
            </w:r>
          </w:p>
        </w:tc>
        <w:tc>
          <w:tcPr>
            <w:tcW w:w="8787" w:type="dxa"/>
            <w:gridSpan w:val="2"/>
            <w:shd w:val="clear" w:color="auto" w:fill="auto"/>
          </w:tcPr>
          <w:p w14:paraId="1B47D076">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泵内带有夜间照明传感器窗口；</w:t>
            </w:r>
          </w:p>
        </w:tc>
      </w:tr>
      <w:tr w14:paraId="37E9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199BD4E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4.4.6</w:t>
            </w:r>
          </w:p>
        </w:tc>
        <w:tc>
          <w:tcPr>
            <w:tcW w:w="8787" w:type="dxa"/>
            <w:gridSpan w:val="2"/>
            <w:shd w:val="clear" w:color="auto" w:fill="auto"/>
          </w:tcPr>
          <w:p w14:paraId="0A4298BA">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输液模式：流速模式、点滴模式；</w:t>
            </w:r>
          </w:p>
        </w:tc>
      </w:tr>
      <w:tr w14:paraId="3DC2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2183A17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4.4.7</w:t>
            </w:r>
          </w:p>
        </w:tc>
        <w:tc>
          <w:tcPr>
            <w:tcW w:w="8787" w:type="dxa"/>
            <w:gridSpan w:val="2"/>
            <w:shd w:val="clear" w:color="auto" w:fill="auto"/>
          </w:tcPr>
          <w:p w14:paraId="51D6F002">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速率：1-1500ml/h(每级0.1ml/h,100ml/h以上每级1ml/h)；</w:t>
            </w:r>
          </w:p>
        </w:tc>
      </w:tr>
      <w:tr w14:paraId="0C21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6238191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4.4.8</w:t>
            </w:r>
          </w:p>
        </w:tc>
        <w:tc>
          <w:tcPr>
            <w:tcW w:w="8787" w:type="dxa"/>
            <w:gridSpan w:val="2"/>
            <w:shd w:val="clear" w:color="auto" w:fill="auto"/>
          </w:tcPr>
          <w:p w14:paraId="1D276A30">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阻塞报警阀值10档可调：高900±200mmHg、中500±100mmHg、低100±50mmHg，中间8档阶梯可调；</w:t>
            </w:r>
          </w:p>
        </w:tc>
      </w:tr>
      <w:tr w14:paraId="503A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7BD16A02">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4.4.9</w:t>
            </w:r>
          </w:p>
        </w:tc>
        <w:tc>
          <w:tcPr>
            <w:tcW w:w="8787" w:type="dxa"/>
            <w:gridSpan w:val="2"/>
            <w:shd w:val="clear" w:color="auto" w:fill="auto"/>
          </w:tcPr>
          <w:p w14:paraId="2BDCC9E9">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报警提示：超时、输液器未校准提示、管路阻塞、管路气泡、泵门未关闭、输液完毕、KVO完毕、点滴传感器异常、网电中断、电池欠压、电池电量耗尽、速度超限、系统出错；</w:t>
            </w:r>
          </w:p>
        </w:tc>
      </w:tr>
      <w:tr w14:paraId="2F82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781D051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4.4.10</w:t>
            </w:r>
          </w:p>
        </w:tc>
        <w:tc>
          <w:tcPr>
            <w:tcW w:w="8787" w:type="dxa"/>
            <w:gridSpan w:val="2"/>
            <w:shd w:val="clear" w:color="auto" w:fill="auto"/>
          </w:tcPr>
          <w:p w14:paraId="0C5838AB">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止液夹具有自锁功能，方便安装输液器；</w:t>
            </w:r>
          </w:p>
        </w:tc>
      </w:tr>
      <w:tr w14:paraId="0A1A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41C1AC7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4.4.11</w:t>
            </w:r>
          </w:p>
        </w:tc>
        <w:tc>
          <w:tcPr>
            <w:tcW w:w="8787" w:type="dxa"/>
            <w:gridSpan w:val="2"/>
            <w:shd w:val="clear" w:color="auto" w:fill="auto"/>
          </w:tcPr>
          <w:p w14:paraId="3E02BD08">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直接在液晶屏上可查询1500条历史输液信息，显示输液日期、开始时间、停止时间、速度、预置量、累计量、报警状态相关输液过程；</w:t>
            </w:r>
          </w:p>
        </w:tc>
      </w:tr>
      <w:tr w14:paraId="2A94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3B906B0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4.4.12</w:t>
            </w:r>
          </w:p>
        </w:tc>
        <w:tc>
          <w:tcPr>
            <w:tcW w:w="8787" w:type="dxa"/>
            <w:gridSpan w:val="2"/>
            <w:shd w:val="clear" w:color="auto" w:fill="auto"/>
          </w:tcPr>
          <w:p w14:paraId="2E666DF1">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具备智能脉动补偿功能，点滴滴数检测功能，整机防溅水设计。</w:t>
            </w:r>
          </w:p>
        </w:tc>
      </w:tr>
      <w:tr w14:paraId="31B0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1F602A6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4.5</w:t>
            </w:r>
          </w:p>
        </w:tc>
        <w:tc>
          <w:tcPr>
            <w:tcW w:w="8787" w:type="dxa"/>
            <w:gridSpan w:val="2"/>
            <w:shd w:val="clear" w:color="auto" w:fill="auto"/>
          </w:tcPr>
          <w:p w14:paraId="474809E3">
            <w:pPr>
              <w:spacing w:line="240" w:lineRule="auto"/>
              <w:ind w:firstLine="0" w:firstLineChars="0"/>
              <w:rPr>
                <w:rFonts w:hint="eastAsia" w:ascii="宋体" w:hAnsi="宋体" w:cs="宋体"/>
                <w:color w:val="auto"/>
                <w:highlight w:val="none"/>
              </w:rPr>
            </w:pPr>
            <w:bookmarkStart w:id="314" w:name="_Hlk185493170"/>
            <w:r>
              <w:rPr>
                <w:rFonts w:hint="eastAsia" w:ascii="宋体" w:hAnsi="宋体" w:cs="宋体"/>
                <w:color w:val="auto"/>
                <w:highlight w:val="none"/>
              </w:rPr>
              <w:t>注射泵4台</w:t>
            </w:r>
            <w:bookmarkEnd w:id="314"/>
          </w:p>
        </w:tc>
      </w:tr>
      <w:tr w14:paraId="15D2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vAlign w:val="center"/>
          </w:tcPr>
          <w:p w14:paraId="4BE5A8E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4.5.1</w:t>
            </w:r>
          </w:p>
        </w:tc>
        <w:tc>
          <w:tcPr>
            <w:tcW w:w="8787" w:type="dxa"/>
            <w:gridSpan w:val="2"/>
            <w:shd w:val="clear" w:color="auto" w:fill="auto"/>
          </w:tcPr>
          <w:p w14:paraId="448DFA91">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具有注射器品牌标定功能，适配所有品牌注射器；</w:t>
            </w:r>
          </w:p>
        </w:tc>
      </w:tr>
      <w:tr w14:paraId="7F43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40CE08F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4.5.2</w:t>
            </w:r>
          </w:p>
        </w:tc>
        <w:tc>
          <w:tcPr>
            <w:tcW w:w="8787" w:type="dxa"/>
            <w:gridSpan w:val="2"/>
            <w:shd w:val="clear" w:color="auto" w:fill="auto"/>
          </w:tcPr>
          <w:p w14:paraId="3B3BC6B9">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具有注射器规格和安装状态指示灯，显示安装和注射状态；</w:t>
            </w:r>
          </w:p>
        </w:tc>
      </w:tr>
      <w:tr w14:paraId="2857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5CC00F43">
            <w:pPr>
              <w:widowControl/>
              <w:spacing w:line="240"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4.5.</w:t>
            </w:r>
            <w:r>
              <w:rPr>
                <w:rFonts w:hint="eastAsia" w:ascii="宋体" w:hAnsi="宋体" w:cs="宋体"/>
                <w:color w:val="auto"/>
                <w:highlight w:val="none"/>
                <w:lang w:val="en-US" w:eastAsia="zh-CN"/>
              </w:rPr>
              <w:t>3</w:t>
            </w:r>
          </w:p>
        </w:tc>
        <w:tc>
          <w:tcPr>
            <w:tcW w:w="8787" w:type="dxa"/>
            <w:gridSpan w:val="2"/>
            <w:shd w:val="clear" w:color="auto" w:fill="auto"/>
          </w:tcPr>
          <w:p w14:paraId="4F165F6C">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使用“爪式可开启”机构的注射器推杆；</w:t>
            </w:r>
          </w:p>
        </w:tc>
      </w:tr>
      <w:tr w14:paraId="5481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404F75F7">
            <w:pPr>
              <w:widowControl/>
              <w:spacing w:line="240"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4.5.</w:t>
            </w:r>
            <w:r>
              <w:rPr>
                <w:rFonts w:hint="eastAsia" w:ascii="宋体" w:hAnsi="宋体" w:cs="宋体"/>
                <w:color w:val="auto"/>
                <w:highlight w:val="none"/>
                <w:lang w:val="en-US" w:eastAsia="zh-CN"/>
              </w:rPr>
              <w:t>4</w:t>
            </w:r>
          </w:p>
        </w:tc>
        <w:tc>
          <w:tcPr>
            <w:tcW w:w="8787" w:type="dxa"/>
            <w:gridSpan w:val="2"/>
            <w:shd w:val="clear" w:color="auto" w:fill="auto"/>
          </w:tcPr>
          <w:p w14:paraId="436D55CE">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自动识别10ml、20ml、30ml、50ml注射器规格，注射速率：10ml：0.1ml/h—400ml/h， 20ml：0.1ml/h—600ml/h， 30ml：0.1ml/h—900ml/h，50ml：0.1ml/h—1500ml/h；</w:t>
            </w:r>
          </w:p>
        </w:tc>
      </w:tr>
      <w:tr w14:paraId="7168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0845324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4.5.5</w:t>
            </w:r>
          </w:p>
        </w:tc>
        <w:tc>
          <w:tcPr>
            <w:tcW w:w="8787" w:type="dxa"/>
            <w:gridSpan w:val="2"/>
            <w:shd w:val="clear" w:color="auto" w:fill="auto"/>
          </w:tcPr>
          <w:p w14:paraId="61A77CBA">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注射精度：≤±2% （泵本身机械精度≤±1%；</w:t>
            </w:r>
          </w:p>
        </w:tc>
      </w:tr>
      <w:tr w14:paraId="7EF0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5D8F261D">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4.5.6</w:t>
            </w:r>
          </w:p>
        </w:tc>
        <w:tc>
          <w:tcPr>
            <w:tcW w:w="8787" w:type="dxa"/>
            <w:gridSpan w:val="2"/>
            <w:shd w:val="clear" w:color="auto" w:fill="auto"/>
          </w:tcPr>
          <w:p w14:paraId="57B61281">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具有三档阻塞报警阀选择：高800±200mm汞柱、中500±100mm汞柱、 低300±100mm汞柱；</w:t>
            </w:r>
          </w:p>
        </w:tc>
      </w:tr>
      <w:tr w14:paraId="761F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7831D1C9">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4.5.7</w:t>
            </w:r>
          </w:p>
        </w:tc>
        <w:tc>
          <w:tcPr>
            <w:tcW w:w="8787" w:type="dxa"/>
            <w:gridSpan w:val="2"/>
            <w:shd w:val="clear" w:color="auto" w:fill="auto"/>
          </w:tcPr>
          <w:p w14:paraId="2A4A0E9F">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具有“管路阻塞”、“残留提示”、“注射完毕”、“注射器压杆安装错误报警”、“注射器推杆安装错误”、“电源线脱落报警”、“速率超范围”、“系统出错报警”、“遗忘操作报警”、“输液量等于限制量”等报警；</w:t>
            </w:r>
          </w:p>
        </w:tc>
      </w:tr>
      <w:tr w14:paraId="44C0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39555700">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4.5.8</w:t>
            </w:r>
          </w:p>
        </w:tc>
        <w:tc>
          <w:tcPr>
            <w:tcW w:w="8787" w:type="dxa"/>
            <w:gridSpan w:val="2"/>
            <w:shd w:val="clear" w:color="auto" w:fill="auto"/>
          </w:tcPr>
          <w:p w14:paraId="19F7713F">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注射中调速功能：在不暂停注射情况下，可以调整注射速度；</w:t>
            </w:r>
          </w:p>
        </w:tc>
      </w:tr>
      <w:tr w14:paraId="5394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1C9729EF">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4.5.9</w:t>
            </w:r>
          </w:p>
        </w:tc>
        <w:tc>
          <w:tcPr>
            <w:tcW w:w="8787" w:type="dxa"/>
            <w:gridSpan w:val="2"/>
            <w:shd w:val="clear" w:color="auto" w:fill="auto"/>
          </w:tcPr>
          <w:p w14:paraId="6E307210">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延长管脱落报警功能：在注射过程中，能够检测延长管或者针头脱落，并10s报警提示，提高安全性；</w:t>
            </w:r>
          </w:p>
        </w:tc>
      </w:tr>
      <w:tr w14:paraId="0E21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0F36789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★4.5.10</w:t>
            </w:r>
          </w:p>
        </w:tc>
        <w:tc>
          <w:tcPr>
            <w:tcW w:w="8787" w:type="dxa"/>
            <w:gridSpan w:val="2"/>
            <w:shd w:val="clear" w:color="auto" w:fill="auto"/>
          </w:tcPr>
          <w:p w14:paraId="37BDF9B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残余报警距离调整具有三种模式：“距离模式”、“时间模式”、“容量模式”（提供证明材料并加盖公章）</w:t>
            </w:r>
          </w:p>
        </w:tc>
      </w:tr>
      <w:tr w14:paraId="6677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26E0E18C">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4.5.11</w:t>
            </w:r>
          </w:p>
        </w:tc>
        <w:tc>
          <w:tcPr>
            <w:tcW w:w="8787" w:type="dxa"/>
            <w:gridSpan w:val="2"/>
            <w:shd w:val="clear" w:color="auto" w:fill="auto"/>
          </w:tcPr>
          <w:p w14:paraId="1C398A35">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KVO速度可设置：可根据不同的针筒规格设置KVO速度，KVO速度默认为0.5ml/h；10ml规格的注射器的KVO速度范围为0.1~1ml/h；20ml、30ml和50ml的KVO速度范围0.1~5ml/h；</w:t>
            </w:r>
          </w:p>
        </w:tc>
      </w:tr>
      <w:tr w14:paraId="15FF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1FA4BC5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4.5.12</w:t>
            </w:r>
          </w:p>
        </w:tc>
        <w:tc>
          <w:tcPr>
            <w:tcW w:w="8787" w:type="dxa"/>
            <w:gridSpan w:val="2"/>
            <w:shd w:val="clear" w:color="auto" w:fill="auto"/>
          </w:tcPr>
          <w:p w14:paraId="0DDA97D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紧急断电报警功能：在交流电源和电池同时被拔掉，内设纽扣电池还可以持续3分钟报警，更安全；</w:t>
            </w:r>
          </w:p>
        </w:tc>
      </w:tr>
      <w:tr w14:paraId="20FF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785F2913">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4.5.13</w:t>
            </w:r>
          </w:p>
        </w:tc>
        <w:tc>
          <w:tcPr>
            <w:tcW w:w="8787" w:type="dxa"/>
            <w:gridSpan w:val="2"/>
            <w:shd w:val="clear" w:color="auto" w:fill="auto"/>
          </w:tcPr>
          <w:p w14:paraId="75B7A347">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双色系设计，不同通道对应不同颜色；</w:t>
            </w:r>
          </w:p>
        </w:tc>
      </w:tr>
      <w:tr w14:paraId="2E58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11228A2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4.6</w:t>
            </w:r>
          </w:p>
        </w:tc>
        <w:tc>
          <w:tcPr>
            <w:tcW w:w="8787" w:type="dxa"/>
            <w:gridSpan w:val="2"/>
            <w:shd w:val="clear" w:color="auto" w:fill="auto"/>
          </w:tcPr>
          <w:p w14:paraId="751B2B4C">
            <w:pPr>
              <w:spacing w:line="240" w:lineRule="auto"/>
              <w:ind w:firstLine="0" w:firstLineChars="0"/>
              <w:rPr>
                <w:rFonts w:hint="eastAsia" w:ascii="宋体" w:hAnsi="宋体" w:cs="宋体"/>
                <w:color w:val="auto"/>
                <w:highlight w:val="none"/>
              </w:rPr>
            </w:pPr>
            <w:bookmarkStart w:id="315" w:name="_Hlk185493188"/>
            <w:r>
              <w:rPr>
                <w:rFonts w:hint="eastAsia" w:ascii="宋体" w:hAnsi="宋体" w:cs="宋体"/>
                <w:color w:val="auto"/>
                <w:highlight w:val="none"/>
              </w:rPr>
              <w:t>婴儿、儿童、成人复苏器各4套</w:t>
            </w:r>
            <w:bookmarkEnd w:id="315"/>
          </w:p>
        </w:tc>
      </w:tr>
      <w:tr w14:paraId="5002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vAlign w:val="center"/>
          </w:tcPr>
          <w:p w14:paraId="24585F25">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4.6.1</w:t>
            </w:r>
          </w:p>
        </w:tc>
        <w:tc>
          <w:tcPr>
            <w:tcW w:w="8787" w:type="dxa"/>
            <w:gridSpan w:val="2"/>
            <w:shd w:val="clear" w:color="auto" w:fill="auto"/>
          </w:tcPr>
          <w:p w14:paraId="6D46CBBB">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硅胶复苏器是一种自充气手动复苏器，适用于需要全部或间歇通气支持的病人。通气可在提供或不提供补充氧气的情况下实现。</w:t>
            </w:r>
          </w:p>
        </w:tc>
      </w:tr>
      <w:tr w14:paraId="5C92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12EA7D2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4.6.2</w:t>
            </w:r>
          </w:p>
        </w:tc>
        <w:tc>
          <w:tcPr>
            <w:tcW w:w="8787" w:type="dxa"/>
            <w:gridSpan w:val="2"/>
            <w:shd w:val="clear" w:color="auto" w:fill="auto"/>
          </w:tcPr>
          <w:p w14:paraId="48CF879F">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硅胶复苏器提供正压通气，并且可以在自主呼吸的情况下采用面罩或者人工气道。</w:t>
            </w:r>
          </w:p>
        </w:tc>
      </w:tr>
      <w:tr w14:paraId="7081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06A09C83">
            <w:pPr>
              <w:widowControl/>
              <w:spacing w:line="240"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4.6.</w:t>
            </w:r>
            <w:r>
              <w:rPr>
                <w:rFonts w:hint="eastAsia" w:ascii="宋体" w:hAnsi="宋体" w:cs="宋体"/>
                <w:color w:val="auto"/>
                <w:highlight w:val="none"/>
                <w:lang w:val="en-US" w:eastAsia="zh-CN"/>
              </w:rPr>
              <w:t>3</w:t>
            </w:r>
          </w:p>
        </w:tc>
        <w:tc>
          <w:tcPr>
            <w:tcW w:w="8787" w:type="dxa"/>
            <w:gridSpan w:val="2"/>
            <w:shd w:val="clear" w:color="auto" w:fill="auto"/>
          </w:tcPr>
          <w:p w14:paraId="5AA113CC">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适用于2.5公斤以下的病人（婴儿）、适用于2.5-25公斤之间的病人（儿童）适用于25公斤以上的病人（成人）。</w:t>
            </w:r>
          </w:p>
        </w:tc>
      </w:tr>
      <w:tr w14:paraId="20E9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2D7A58E4">
            <w:pPr>
              <w:widowControl/>
              <w:spacing w:line="240"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4.6.</w:t>
            </w:r>
            <w:r>
              <w:rPr>
                <w:rFonts w:hint="eastAsia" w:ascii="宋体" w:hAnsi="宋体" w:cs="宋体"/>
                <w:color w:val="auto"/>
                <w:highlight w:val="none"/>
                <w:lang w:val="en-US" w:eastAsia="zh-CN"/>
              </w:rPr>
              <w:t>4</w:t>
            </w:r>
          </w:p>
        </w:tc>
        <w:tc>
          <w:tcPr>
            <w:tcW w:w="8787" w:type="dxa"/>
            <w:gridSpan w:val="2"/>
            <w:shd w:val="clear" w:color="auto" w:fill="auto"/>
          </w:tcPr>
          <w:p w14:paraId="49B0DBB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硅胶物料使复苏球容易再胀起来。</w:t>
            </w:r>
          </w:p>
        </w:tc>
      </w:tr>
      <w:tr w14:paraId="0DE9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2DE42E3F">
            <w:pPr>
              <w:widowControl/>
              <w:spacing w:line="240"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4.6.</w:t>
            </w:r>
            <w:r>
              <w:rPr>
                <w:rFonts w:hint="eastAsia" w:ascii="宋体" w:hAnsi="宋体" w:cs="宋体"/>
                <w:color w:val="auto"/>
                <w:highlight w:val="none"/>
                <w:lang w:val="en-US" w:eastAsia="zh-CN"/>
              </w:rPr>
              <w:t>5</w:t>
            </w:r>
          </w:p>
        </w:tc>
        <w:tc>
          <w:tcPr>
            <w:tcW w:w="8787" w:type="dxa"/>
            <w:gridSpan w:val="2"/>
            <w:shd w:val="clear" w:color="auto" w:fill="auto"/>
          </w:tcPr>
          <w:p w14:paraId="25CEE9BA">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对肺部顺应性异常敏感，帮助减低膨胀的危险。</w:t>
            </w:r>
          </w:p>
        </w:tc>
      </w:tr>
      <w:tr w14:paraId="38FC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473A747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4.6.6</w:t>
            </w:r>
          </w:p>
        </w:tc>
        <w:tc>
          <w:tcPr>
            <w:tcW w:w="8787" w:type="dxa"/>
            <w:gridSpan w:val="2"/>
            <w:shd w:val="clear" w:color="auto" w:fill="auto"/>
          </w:tcPr>
          <w:p w14:paraId="289360FC">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综合的输入口/储氧袋阀门，让氧气易于传递。</w:t>
            </w:r>
          </w:p>
        </w:tc>
      </w:tr>
      <w:tr w14:paraId="7858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4851FCEC">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★4.6.7</w:t>
            </w:r>
          </w:p>
        </w:tc>
        <w:tc>
          <w:tcPr>
            <w:tcW w:w="8787" w:type="dxa"/>
            <w:gridSpan w:val="2"/>
            <w:shd w:val="clear" w:color="auto" w:fill="auto"/>
          </w:tcPr>
          <w:p w14:paraId="0C60CAFF">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带有压力调节阀防止压力过大。（该条款适用于婴儿复苏器）（提供证明材料并加盖公章）</w:t>
            </w:r>
          </w:p>
        </w:tc>
      </w:tr>
      <w:tr w14:paraId="3E17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6D199577">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4.6.8</w:t>
            </w:r>
          </w:p>
        </w:tc>
        <w:tc>
          <w:tcPr>
            <w:tcW w:w="8787" w:type="dxa"/>
            <w:gridSpan w:val="2"/>
            <w:shd w:val="clear" w:color="auto" w:fill="auto"/>
          </w:tcPr>
          <w:p w14:paraId="0987E98C">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易于装配/折叠，方便清洁和再次使用。</w:t>
            </w:r>
          </w:p>
        </w:tc>
      </w:tr>
      <w:tr w14:paraId="1916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2309B7B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4.6.9</w:t>
            </w:r>
          </w:p>
        </w:tc>
        <w:tc>
          <w:tcPr>
            <w:tcW w:w="8787" w:type="dxa"/>
            <w:gridSpan w:val="2"/>
            <w:shd w:val="clear" w:color="auto" w:fill="auto"/>
          </w:tcPr>
          <w:p w14:paraId="46D94AC8">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可拆解：人工呼吸器各部件连接处能够组装和拆解。</w:t>
            </w:r>
          </w:p>
        </w:tc>
      </w:tr>
      <w:tr w14:paraId="2230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1992813B">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4.6.10</w:t>
            </w:r>
          </w:p>
        </w:tc>
        <w:tc>
          <w:tcPr>
            <w:tcW w:w="8787" w:type="dxa"/>
            <w:gridSpan w:val="2"/>
            <w:shd w:val="clear" w:color="auto" w:fill="auto"/>
          </w:tcPr>
          <w:p w14:paraId="2474716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婴儿复苏器通气囊容量≥240ml、儿童、成人复苏器通气囊容量≥1600ml。</w:t>
            </w:r>
          </w:p>
        </w:tc>
      </w:tr>
      <w:tr w14:paraId="4C96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2EB6AFEE">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4.6.11</w:t>
            </w:r>
          </w:p>
        </w:tc>
        <w:tc>
          <w:tcPr>
            <w:tcW w:w="8787" w:type="dxa"/>
            <w:gridSpan w:val="2"/>
            <w:shd w:val="clear" w:color="auto" w:fill="auto"/>
          </w:tcPr>
          <w:p w14:paraId="318814E7">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一次性储氧袋更加安全卫生，婴儿复苏器容量≥600ml，儿童、成人复苏器容量≥2600ml。</w:t>
            </w:r>
          </w:p>
        </w:tc>
      </w:tr>
      <w:tr w14:paraId="45D4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4D8874D4">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4.6.12</w:t>
            </w:r>
          </w:p>
        </w:tc>
        <w:tc>
          <w:tcPr>
            <w:tcW w:w="8787" w:type="dxa"/>
            <w:gridSpan w:val="2"/>
            <w:shd w:val="clear" w:color="auto" w:fill="auto"/>
          </w:tcPr>
          <w:p w14:paraId="06F6D19F">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可手动清洁，也可用自动清洗机或消毒柜进行清洁（储氧袋除外）。</w:t>
            </w:r>
          </w:p>
        </w:tc>
      </w:tr>
      <w:tr w14:paraId="02D5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0003B64A">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4.6.13</w:t>
            </w:r>
          </w:p>
        </w:tc>
        <w:tc>
          <w:tcPr>
            <w:tcW w:w="8787" w:type="dxa"/>
            <w:gridSpan w:val="2"/>
            <w:shd w:val="clear" w:color="auto" w:fill="auto"/>
          </w:tcPr>
          <w:p w14:paraId="2974D9D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除储氧袋外，其他部位均可进行高水平的消毒。</w:t>
            </w:r>
          </w:p>
        </w:tc>
      </w:tr>
      <w:tr w14:paraId="4F9F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shd w:val="clear" w:color="auto" w:fill="auto"/>
          </w:tcPr>
          <w:p w14:paraId="4972B825">
            <w:pPr>
              <w:widowControl/>
              <w:spacing w:line="240"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4.6.1</w:t>
            </w:r>
            <w:r>
              <w:rPr>
                <w:rFonts w:hint="eastAsia" w:ascii="宋体" w:hAnsi="宋体" w:cs="宋体"/>
                <w:color w:val="auto"/>
                <w:highlight w:val="none"/>
                <w:lang w:val="en-US" w:eastAsia="zh-CN"/>
              </w:rPr>
              <w:t>4</w:t>
            </w:r>
          </w:p>
        </w:tc>
        <w:tc>
          <w:tcPr>
            <w:tcW w:w="8787" w:type="dxa"/>
            <w:gridSpan w:val="2"/>
            <w:shd w:val="clear" w:color="auto" w:fill="auto"/>
          </w:tcPr>
          <w:p w14:paraId="510F3634">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面罩特点：</w:t>
            </w:r>
          </w:p>
        </w:tc>
      </w:tr>
      <w:tr w14:paraId="3CEB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219" w:type="dxa"/>
            <w:vAlign w:val="center"/>
          </w:tcPr>
          <w:p w14:paraId="2A34C41A">
            <w:pPr>
              <w:widowControl/>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4.6.1</w:t>
            </w:r>
            <w:r>
              <w:rPr>
                <w:rFonts w:hint="eastAsia" w:ascii="宋体" w:hAnsi="宋体" w:cs="宋体"/>
                <w:color w:val="auto"/>
                <w:highlight w:val="none"/>
                <w:lang w:val="en-US" w:eastAsia="zh-CN"/>
              </w:rPr>
              <w:t>4</w:t>
            </w:r>
            <w:r>
              <w:rPr>
                <w:rFonts w:hint="eastAsia" w:ascii="宋体" w:hAnsi="宋体" w:cs="宋体"/>
                <w:color w:val="auto"/>
                <w:highlight w:val="none"/>
              </w:rPr>
              <w:t>.1</w:t>
            </w:r>
          </w:p>
        </w:tc>
        <w:tc>
          <w:tcPr>
            <w:tcW w:w="8787" w:type="dxa"/>
            <w:gridSpan w:val="2"/>
            <w:shd w:val="clear" w:color="auto" w:fill="auto"/>
          </w:tcPr>
          <w:p w14:paraId="4553DA55">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提供2种型号面罩，适用不同病人：0/0号，0/1号；（该条款适用婴儿复苏器）</w:t>
            </w:r>
          </w:p>
          <w:p w14:paraId="7DD1680B">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整体的面罩提供较好的覆盖，而且较容易清洁；</w:t>
            </w:r>
          </w:p>
          <w:p w14:paraId="79BD9D1F">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即使手比较小仍可紧握；</w:t>
            </w:r>
          </w:p>
          <w:p w14:paraId="7270F43C">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软套确保封密和让病人舒适；</w:t>
            </w:r>
          </w:p>
          <w:p w14:paraId="091C3660">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面罩十分耐用，极具经济效益；</w:t>
            </w:r>
          </w:p>
          <w:p w14:paraId="01EC7395">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在面罩有封密困难时，独特的多功能面罩盖子提供附加的支持，多功能面罩盖子上的钩扣可让急救员对病人用带固定面罩，具有可选配的头部固定带。（该条款适用于儿童、成人复苏器）</w:t>
            </w:r>
          </w:p>
          <w:p w14:paraId="620FB395">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面罩和盖子都可再次使用。</w:t>
            </w:r>
          </w:p>
        </w:tc>
      </w:tr>
      <w:tr w14:paraId="1AC5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2A817C7C">
            <w:pPr>
              <w:widowControl/>
              <w:spacing w:line="240"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4.6.1</w:t>
            </w:r>
            <w:r>
              <w:rPr>
                <w:rFonts w:hint="eastAsia" w:ascii="宋体" w:hAnsi="宋体" w:cs="宋体"/>
                <w:color w:val="auto"/>
                <w:highlight w:val="none"/>
                <w:lang w:val="en-US" w:eastAsia="zh-CN"/>
              </w:rPr>
              <w:t>5</w:t>
            </w:r>
          </w:p>
        </w:tc>
        <w:tc>
          <w:tcPr>
            <w:tcW w:w="8787" w:type="dxa"/>
            <w:gridSpan w:val="2"/>
            <w:shd w:val="clear" w:color="auto" w:fill="auto"/>
          </w:tcPr>
          <w:p w14:paraId="449171BF">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不含乳胶。</w:t>
            </w:r>
          </w:p>
        </w:tc>
      </w:tr>
      <w:tr w14:paraId="10C4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19" w:type="dxa"/>
          </w:tcPr>
          <w:p w14:paraId="24962972">
            <w:pPr>
              <w:widowControl/>
              <w:spacing w:line="240"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4.6.1</w:t>
            </w:r>
            <w:r>
              <w:rPr>
                <w:rFonts w:hint="eastAsia" w:ascii="宋体" w:hAnsi="宋体" w:cs="宋体"/>
                <w:color w:val="auto"/>
                <w:highlight w:val="none"/>
                <w:lang w:val="en-US" w:eastAsia="zh-CN"/>
              </w:rPr>
              <w:t>6</w:t>
            </w:r>
          </w:p>
        </w:tc>
        <w:tc>
          <w:tcPr>
            <w:tcW w:w="8787" w:type="dxa"/>
            <w:gridSpan w:val="2"/>
            <w:shd w:val="clear" w:color="auto" w:fill="auto"/>
          </w:tcPr>
          <w:p w14:paraId="2FC0C14C">
            <w:pPr>
              <w:widowControl/>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为了有更好的售后服务，投标时需出具该产品厂家或代理商授权书</w:t>
            </w:r>
          </w:p>
        </w:tc>
      </w:tr>
    </w:tbl>
    <w:p w14:paraId="56D78A92">
      <w:pPr>
        <w:pStyle w:val="31"/>
        <w:keepNext w:val="0"/>
        <w:keepLines w:val="0"/>
        <w:pageBreakBefore w:val="0"/>
        <w:numPr>
          <w:ilvl w:val="255"/>
          <w:numId w:val="0"/>
        </w:numPr>
        <w:kinsoku/>
        <w:wordWrap/>
        <w:overflowPunct/>
        <w:topLinePunct w:val="0"/>
        <w:autoSpaceDE/>
        <w:autoSpaceDN/>
        <w:bidi w:val="0"/>
        <w:adjustRightInd/>
        <w:snapToGrid/>
        <w:spacing w:line="240" w:lineRule="auto"/>
        <w:ind w:firstLine="482" w:firstLineChars="200"/>
        <w:contextualSpacing/>
        <w:textAlignment w:val="auto"/>
        <w:outlineLvl w:val="1"/>
        <w:rPr>
          <w:rFonts w:hint="eastAsia" w:ascii="宋体" w:hAnsi="宋体" w:cs="宋体"/>
          <w:b/>
          <w:bCs/>
          <w:color w:val="auto"/>
          <w:sz w:val="24"/>
          <w:szCs w:val="24"/>
          <w:highlight w:val="none"/>
          <w:lang w:bidi="ar"/>
        </w:rPr>
      </w:pPr>
      <w:bookmarkStart w:id="316" w:name="_Toc1802"/>
      <w:r>
        <w:rPr>
          <w:rFonts w:ascii="宋体" w:hAnsi="宋体" w:cs="宋体"/>
          <w:b/>
          <w:bCs/>
          <w:color w:val="auto"/>
          <w:sz w:val="24"/>
          <w:szCs w:val="24"/>
          <w:highlight w:val="none"/>
          <w:lang w:bidi="ar"/>
        </w:rPr>
        <w:t>四、▲配套设备</w:t>
      </w:r>
    </w:p>
    <w:p w14:paraId="25EBE59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color w:val="auto"/>
          <w:highlight w:val="none"/>
          <w:lang w:bidi="ar"/>
        </w:rPr>
      </w:pPr>
      <w:r>
        <w:rPr>
          <w:rFonts w:hint="eastAsia" w:ascii="宋体" w:hAnsi="宋体" w:cs="宋体"/>
          <w:color w:val="auto"/>
          <w:highlight w:val="none"/>
          <w:lang w:bidi="ar"/>
        </w:rPr>
        <w:t xml:space="preserve">1.车载担架系统4套（含自动上车担架+碳纤维铲式担架）；  </w:t>
      </w:r>
    </w:p>
    <w:p w14:paraId="65D2E66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color w:val="auto"/>
          <w:highlight w:val="none"/>
          <w:lang w:bidi="ar"/>
        </w:rPr>
      </w:pPr>
      <w:r>
        <w:rPr>
          <w:rFonts w:hint="eastAsia" w:ascii="宋体" w:hAnsi="宋体" w:cs="宋体"/>
          <w:color w:val="auto"/>
          <w:highlight w:val="none"/>
          <w:lang w:bidi="ar"/>
        </w:rPr>
        <w:t xml:space="preserve">2.除颤监护一体机4台；   </w:t>
      </w:r>
    </w:p>
    <w:p w14:paraId="66DE11D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color w:val="auto"/>
          <w:highlight w:val="none"/>
          <w:lang w:bidi="ar"/>
        </w:rPr>
      </w:pPr>
      <w:r>
        <w:rPr>
          <w:rFonts w:hint="eastAsia" w:ascii="宋体" w:hAnsi="宋体" w:cs="宋体"/>
          <w:color w:val="auto"/>
          <w:highlight w:val="none"/>
          <w:lang w:bidi="ar"/>
        </w:rPr>
        <w:t xml:space="preserve">3.车载呼吸机4台；  </w:t>
      </w:r>
    </w:p>
    <w:p w14:paraId="705FAB8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color w:val="auto"/>
          <w:highlight w:val="none"/>
          <w:lang w:bidi="ar"/>
        </w:rPr>
      </w:pPr>
      <w:r>
        <w:rPr>
          <w:rFonts w:hint="eastAsia" w:ascii="宋体" w:hAnsi="宋体" w:cs="宋体"/>
          <w:color w:val="auto"/>
          <w:highlight w:val="none"/>
          <w:lang w:bidi="ar"/>
        </w:rPr>
        <w:t xml:space="preserve">4.心肺复苏机1台； </w:t>
      </w:r>
    </w:p>
    <w:p w14:paraId="2143C03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color w:val="auto"/>
          <w:highlight w:val="none"/>
          <w:lang w:bidi="ar"/>
        </w:rPr>
      </w:pPr>
      <w:r>
        <w:rPr>
          <w:rFonts w:hint="eastAsia" w:ascii="宋体" w:hAnsi="宋体" w:cs="宋体"/>
          <w:color w:val="auto"/>
          <w:highlight w:val="none"/>
          <w:lang w:bidi="ar"/>
        </w:rPr>
        <w:t xml:space="preserve">5.输液泵4台；      </w:t>
      </w:r>
    </w:p>
    <w:p w14:paraId="3F30FE8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color w:val="auto"/>
          <w:highlight w:val="none"/>
          <w:lang w:bidi="ar"/>
        </w:rPr>
      </w:pPr>
      <w:r>
        <w:rPr>
          <w:rFonts w:hint="eastAsia" w:ascii="宋体" w:hAnsi="宋体" w:cs="宋体"/>
          <w:color w:val="auto"/>
          <w:highlight w:val="none"/>
          <w:lang w:bidi="ar"/>
        </w:rPr>
        <w:t xml:space="preserve">6.注射泵4台；     </w:t>
      </w:r>
    </w:p>
    <w:p w14:paraId="55A15C0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color w:val="auto"/>
          <w:highlight w:val="none"/>
          <w:lang w:bidi="ar"/>
        </w:rPr>
      </w:pPr>
      <w:r>
        <w:rPr>
          <w:rFonts w:hint="eastAsia" w:ascii="宋体" w:hAnsi="宋体" w:cs="宋体"/>
          <w:color w:val="auto"/>
          <w:highlight w:val="none"/>
          <w:lang w:bidi="ar"/>
        </w:rPr>
        <w:t xml:space="preserve">7.婴儿、儿童、成人复苏器各4套；    </w:t>
      </w:r>
    </w:p>
    <w:p w14:paraId="2A537FD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color w:val="auto"/>
          <w:highlight w:val="none"/>
          <w:lang w:bidi="ar"/>
        </w:rPr>
      </w:pPr>
      <w:r>
        <w:rPr>
          <w:rFonts w:hint="eastAsia" w:ascii="宋体" w:hAnsi="宋体" w:cs="宋体"/>
          <w:color w:val="auto"/>
          <w:highlight w:val="none"/>
          <w:lang w:bidi="ar"/>
        </w:rPr>
        <w:t xml:space="preserve">8.每辆车含车载终端（适用于浙江省急救系统，含北斗定位，含接口费）、3路摄像头，车载路由器；    </w:t>
      </w:r>
    </w:p>
    <w:p w14:paraId="605BF6A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color w:val="auto"/>
          <w:highlight w:val="none"/>
          <w:lang w:bidi="ar"/>
        </w:rPr>
      </w:pPr>
      <w:r>
        <w:rPr>
          <w:rFonts w:hint="eastAsia" w:ascii="宋体" w:hAnsi="宋体" w:cs="宋体"/>
          <w:color w:val="auto"/>
          <w:highlight w:val="none"/>
          <w:lang w:bidi="ar"/>
        </w:rPr>
        <w:t>9.急救箱4个；</w:t>
      </w:r>
    </w:p>
    <w:p w14:paraId="4313450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color w:val="auto"/>
          <w:highlight w:val="none"/>
          <w:lang w:bidi="ar"/>
        </w:rPr>
      </w:pPr>
      <w:r>
        <w:rPr>
          <w:rFonts w:hint="eastAsia" w:ascii="宋体" w:hAnsi="宋体" w:cs="宋体"/>
          <w:color w:val="auto"/>
          <w:highlight w:val="none"/>
          <w:lang w:bidi="ar"/>
        </w:rPr>
        <w:t>10.所有配套医疗设备质保2年，车载终端质保1年。</w:t>
      </w:r>
    </w:p>
    <w:p w14:paraId="554D0DBD">
      <w:pPr>
        <w:pStyle w:val="31"/>
        <w:keepNext w:val="0"/>
        <w:keepLines w:val="0"/>
        <w:pageBreakBefore w:val="0"/>
        <w:widowControl/>
        <w:numPr>
          <w:ilvl w:val="255"/>
          <w:numId w:val="0"/>
        </w:numPr>
        <w:kinsoku/>
        <w:wordWrap/>
        <w:overflowPunct/>
        <w:topLinePunct w:val="0"/>
        <w:autoSpaceDE/>
        <w:autoSpaceDN/>
        <w:bidi w:val="0"/>
        <w:adjustRightInd/>
        <w:snapToGrid/>
        <w:spacing w:line="240" w:lineRule="auto"/>
        <w:ind w:firstLine="482" w:firstLineChars="200"/>
        <w:contextualSpacing/>
        <w:textAlignment w:val="auto"/>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bidi="ar"/>
        </w:rPr>
        <w:t>五、商务要求</w:t>
      </w:r>
      <w:bookmarkEnd w:id="316"/>
    </w:p>
    <w:p w14:paraId="0814FBD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1、交货期及地点</w:t>
      </w:r>
    </w:p>
    <w:p w14:paraId="280DCAA2">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（1）交货期：合同生效后30个工作日内供货安装调试完成。</w:t>
      </w:r>
    </w:p>
    <w:p w14:paraId="342381CB">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 xml:space="preserve">（2）交货地点：龙游县人民医院指定地点。 </w:t>
      </w:r>
    </w:p>
    <w:p w14:paraId="51371386">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（3）投标人提供的中标物品，必须符合本采购文件要求；如有不符，采购人可以无条件退货，所造成的损失由中标供应商承担。更换后的零部件质保期按更换日起顺延。</w:t>
      </w:r>
    </w:p>
    <w:p w14:paraId="48F4E029">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2、专利权和产权担保</w:t>
      </w:r>
    </w:p>
    <w:p w14:paraId="75484E9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（1）专利权：乙方应保证，甲方在使用该货物或货物的任何一部分时，免受第三方提出的侵犯其专利权、商标权、著作权或其它知识产权的起诉。乙方应承担由此可能产生的一切法律责任和费用。</w:t>
      </w:r>
    </w:p>
    <w:p w14:paraId="71FD1FC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（2）产权担保：乙方保证所交付货物的所有权完全属于乙方且无任何抵押、查封等产权瑕疵。</w:t>
      </w:r>
    </w:p>
    <w:p w14:paraId="16B8CC12">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3、报价方式</w:t>
      </w:r>
    </w:p>
    <w:p w14:paraId="4A79799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报价：含车身价、运费、服务费、随车急救设备、救护车改装费、车辆购置税、车辆保险费、安装调试、检测验收、培训、质保期保障等费用。</w:t>
      </w:r>
    </w:p>
    <w:p w14:paraId="313BB39C">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4、付款方式：</w:t>
      </w:r>
    </w:p>
    <w:p w14:paraId="5A664242">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设备到货验收合格后收到发票3个月内一次性支付货款。</w:t>
      </w:r>
    </w:p>
    <w:p w14:paraId="2008CEF8">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val="zh-CN" w:bidi="ar"/>
        </w:rPr>
      </w:pPr>
      <w:r>
        <w:rPr>
          <w:rFonts w:hint="eastAsia" w:ascii="宋体" w:hAnsi="宋体" w:cs="宋体"/>
          <w:color w:val="auto"/>
          <w:highlight w:val="none"/>
          <w:lang w:bidi="ar"/>
        </w:rPr>
        <w:t>▲5、</w:t>
      </w:r>
      <w:r>
        <w:rPr>
          <w:rFonts w:hint="eastAsia" w:ascii="宋体" w:hAnsi="宋体" w:cs="宋体"/>
          <w:color w:val="auto"/>
          <w:highlight w:val="none"/>
          <w:lang w:val="zh-CN" w:bidi="ar"/>
        </w:rPr>
        <w:t>质保期及售后技术服务要求</w:t>
      </w:r>
    </w:p>
    <w:p w14:paraId="0CF8D6A4">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5.1 根据采购人按检验标准检验的结果或当地质检部门检验的结果，质保期基础车部分3年或6万公里具体按厂家质保手册执行，在保修期内所产生的相关费用由中标供应商承担。在保修期内，一旦发生质量问题，中标供应商保证在接到通知2小时响应，24小时内必须上门或者出具详细的解决方案。质保期后，中标供应商提供终生技术支持服务，保证零配件的供给。</w:t>
      </w:r>
    </w:p>
    <w:p w14:paraId="414EFD30">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5.2质保期外提供精密检修服务。若发生故障，以报修电话或传真为准，中标供应商应在72小时内响应，尽快恢复物品的正常运行；</w:t>
      </w:r>
    </w:p>
    <w:p w14:paraId="0E53E957">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5.3安装时，对终端用户进行培训，包含:操作数名、注意事项、日常保养、报警修复等；</w:t>
      </w:r>
    </w:p>
    <w:p w14:paraId="442B6C59">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5.4中标供应商与采购人签订合同时需出具针对此项目的所投车辆生产厂家的汽车经销商授权（车辆生产厂家直接投标的，可不用提供）。如中标供应商不提供或提供的不符合要求，采购人有权拒绝与中标供应商签订合同，由此给采购人造成的一切损失，中标供应商应承担全部赔偿</w:t>
      </w:r>
    </w:p>
    <w:p w14:paraId="50E85F95">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5.5其他售后服务：提供保修期内每年至少两次巡视、保养与检测，并提交相关检测报告。</w:t>
      </w:r>
    </w:p>
    <w:p w14:paraId="7DA7BB6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b/>
          <w:color w:val="auto"/>
          <w:kern w:val="0"/>
          <w:highlight w:val="none"/>
          <w:lang w:bidi="ar"/>
        </w:rPr>
      </w:pPr>
      <w:r>
        <w:rPr>
          <w:rFonts w:hint="eastAsia" w:ascii="宋体" w:hAnsi="宋体" w:cs="宋体"/>
          <w:color w:val="auto"/>
          <w:highlight w:val="none"/>
          <w:lang w:bidi="ar"/>
        </w:rPr>
        <w:t>6.验收标准：符合我国国家有关技术规范和技术标准，应与产品原始样本技术资料及标书技术文件一致。</w:t>
      </w:r>
      <w:bookmarkEnd w:id="305"/>
      <w:r>
        <w:rPr>
          <w:rFonts w:hint="eastAsia" w:ascii="宋体" w:hAnsi="宋体" w:cs="宋体"/>
          <w:color w:val="auto"/>
          <w:highlight w:val="none"/>
          <w:lang w:bidi="ar"/>
        </w:rPr>
        <w:t xml:space="preserve">   </w:t>
      </w:r>
    </w:p>
    <w:p w14:paraId="26CC79CB">
      <w:pPr>
        <w:snapToGrid w:val="0"/>
        <w:spacing w:line="312" w:lineRule="auto"/>
        <w:ind w:firstLine="482"/>
        <w:jc w:val="left"/>
        <w:rPr>
          <w:rFonts w:hint="eastAsia" w:ascii="宋体" w:hAnsi="宋体" w:cs="宋体"/>
          <w:b/>
          <w:bCs/>
          <w:color w:val="auto"/>
          <w:highlight w:val="none"/>
          <w:lang w:bidi="ar"/>
        </w:rPr>
      </w:pPr>
    </w:p>
    <w:p w14:paraId="0D691679">
      <w:pPr>
        <w:snapToGrid w:val="0"/>
        <w:spacing w:line="312" w:lineRule="auto"/>
        <w:ind w:firstLine="482"/>
        <w:jc w:val="left"/>
        <w:rPr>
          <w:rFonts w:hint="eastAsia" w:ascii="宋体" w:hAnsi="宋体" w:cs="宋体"/>
          <w:b/>
          <w:bCs/>
          <w:color w:val="auto"/>
          <w:highlight w:val="none"/>
          <w:lang w:bidi="ar"/>
        </w:rPr>
      </w:pPr>
    </w:p>
    <w:p w14:paraId="138FDC81">
      <w:pPr>
        <w:snapToGrid w:val="0"/>
        <w:spacing w:line="312" w:lineRule="auto"/>
        <w:ind w:firstLine="482"/>
        <w:jc w:val="left"/>
        <w:rPr>
          <w:rFonts w:hint="eastAsia" w:ascii="宋体" w:hAnsi="宋体" w:cs="宋体"/>
          <w:b/>
          <w:bCs/>
          <w:color w:val="auto"/>
          <w:highlight w:val="none"/>
          <w:lang w:bidi="ar"/>
        </w:rPr>
      </w:pPr>
    </w:p>
    <w:p w14:paraId="110AEB5A">
      <w:pPr>
        <w:snapToGrid w:val="0"/>
        <w:spacing w:line="312" w:lineRule="auto"/>
        <w:ind w:firstLine="482"/>
        <w:jc w:val="left"/>
        <w:rPr>
          <w:rFonts w:hint="eastAsia" w:ascii="宋体" w:hAnsi="宋体" w:cs="宋体"/>
          <w:b/>
          <w:bCs/>
          <w:color w:val="auto"/>
          <w:highlight w:val="none"/>
          <w:lang w:bidi="ar"/>
        </w:rPr>
      </w:pPr>
    </w:p>
    <w:p w14:paraId="6AF38ECB">
      <w:pPr>
        <w:snapToGrid w:val="0"/>
        <w:spacing w:line="312" w:lineRule="auto"/>
        <w:ind w:firstLine="482"/>
        <w:jc w:val="left"/>
        <w:rPr>
          <w:rFonts w:hint="eastAsia" w:ascii="宋体" w:hAnsi="宋体" w:cs="宋体"/>
          <w:b/>
          <w:bCs/>
          <w:color w:val="auto"/>
          <w:highlight w:val="none"/>
          <w:lang w:bidi="ar"/>
        </w:rPr>
      </w:pPr>
    </w:p>
    <w:p w14:paraId="26E1A90A">
      <w:pPr>
        <w:snapToGrid w:val="0"/>
        <w:spacing w:line="312" w:lineRule="auto"/>
        <w:ind w:firstLine="482"/>
        <w:jc w:val="left"/>
        <w:rPr>
          <w:rFonts w:hint="eastAsia" w:ascii="宋体" w:hAnsi="宋体" w:cs="宋体"/>
          <w:b/>
          <w:bCs/>
          <w:color w:val="auto"/>
          <w:highlight w:val="none"/>
          <w:lang w:bidi="ar"/>
        </w:rPr>
      </w:pPr>
    </w:p>
    <w:p w14:paraId="224EF84F">
      <w:pPr>
        <w:snapToGrid w:val="0"/>
        <w:spacing w:line="312" w:lineRule="auto"/>
        <w:ind w:firstLine="482"/>
        <w:jc w:val="left"/>
        <w:rPr>
          <w:rFonts w:hint="eastAsia" w:ascii="宋体" w:hAnsi="宋体" w:cs="宋体"/>
          <w:b/>
          <w:bCs/>
          <w:color w:val="auto"/>
          <w:highlight w:val="none"/>
          <w:lang w:bidi="ar"/>
        </w:rPr>
      </w:pPr>
    </w:p>
    <w:p w14:paraId="722900C4">
      <w:pPr>
        <w:snapToGrid w:val="0"/>
        <w:spacing w:line="312" w:lineRule="auto"/>
        <w:ind w:firstLine="482"/>
        <w:jc w:val="left"/>
        <w:rPr>
          <w:rFonts w:hint="eastAsia" w:ascii="宋体" w:hAnsi="宋体" w:cs="宋体"/>
          <w:b/>
          <w:bCs/>
          <w:color w:val="auto"/>
          <w:highlight w:val="none"/>
          <w:lang w:bidi="ar"/>
        </w:rPr>
      </w:pPr>
    </w:p>
    <w:p w14:paraId="05DED80B">
      <w:pPr>
        <w:snapToGrid w:val="0"/>
        <w:spacing w:line="312" w:lineRule="auto"/>
        <w:ind w:firstLine="482"/>
        <w:jc w:val="left"/>
        <w:rPr>
          <w:rFonts w:hint="eastAsia" w:ascii="宋体" w:hAnsi="宋体" w:cs="宋体"/>
          <w:b/>
          <w:bCs/>
          <w:color w:val="auto"/>
          <w:highlight w:val="none"/>
          <w:lang w:bidi="ar"/>
        </w:rPr>
      </w:pPr>
    </w:p>
    <w:p w14:paraId="41532539">
      <w:pPr>
        <w:snapToGrid w:val="0"/>
        <w:spacing w:line="312" w:lineRule="auto"/>
        <w:ind w:firstLine="482"/>
        <w:jc w:val="left"/>
        <w:rPr>
          <w:rFonts w:hint="eastAsia" w:ascii="宋体" w:hAnsi="宋体" w:cs="宋体"/>
          <w:b/>
          <w:bCs/>
          <w:color w:val="auto"/>
          <w:highlight w:val="none"/>
          <w:lang w:bidi="ar"/>
        </w:rPr>
      </w:pPr>
    </w:p>
    <w:p w14:paraId="12381D8D">
      <w:pPr>
        <w:snapToGrid w:val="0"/>
        <w:spacing w:line="312" w:lineRule="auto"/>
        <w:ind w:firstLine="482"/>
        <w:jc w:val="left"/>
        <w:rPr>
          <w:rFonts w:hint="eastAsia" w:ascii="宋体" w:hAnsi="宋体" w:cs="宋体"/>
          <w:b/>
          <w:bCs/>
          <w:color w:val="auto"/>
          <w:highlight w:val="none"/>
          <w:lang w:bidi="ar"/>
        </w:rPr>
      </w:pPr>
    </w:p>
    <w:p w14:paraId="1F0CCF70">
      <w:pPr>
        <w:snapToGrid w:val="0"/>
        <w:spacing w:line="312" w:lineRule="auto"/>
        <w:ind w:firstLine="482"/>
        <w:jc w:val="left"/>
        <w:rPr>
          <w:rFonts w:hint="eastAsia" w:ascii="宋体" w:hAnsi="宋体" w:cs="宋体"/>
          <w:b/>
          <w:bCs/>
          <w:color w:val="auto"/>
          <w:highlight w:val="none"/>
          <w:lang w:bidi="ar"/>
        </w:rPr>
      </w:pPr>
    </w:p>
    <w:p w14:paraId="6092F969">
      <w:pPr>
        <w:snapToGrid w:val="0"/>
        <w:spacing w:line="312" w:lineRule="auto"/>
        <w:ind w:firstLine="482"/>
        <w:jc w:val="left"/>
        <w:rPr>
          <w:rFonts w:hint="eastAsia" w:ascii="宋体" w:hAnsi="宋体" w:cs="宋体"/>
          <w:b/>
          <w:bCs/>
          <w:color w:val="auto"/>
          <w:highlight w:val="none"/>
          <w:lang w:bidi="ar"/>
        </w:rPr>
      </w:pPr>
    </w:p>
    <w:p w14:paraId="1CB9FD4E">
      <w:pPr>
        <w:snapToGrid w:val="0"/>
        <w:spacing w:line="312" w:lineRule="auto"/>
        <w:ind w:firstLine="482"/>
        <w:jc w:val="left"/>
        <w:rPr>
          <w:rFonts w:hint="eastAsia" w:ascii="宋体" w:hAnsi="宋体" w:cs="宋体"/>
          <w:b/>
          <w:bCs/>
          <w:color w:val="auto"/>
          <w:highlight w:val="none"/>
          <w:lang w:bidi="ar"/>
        </w:rPr>
      </w:pPr>
    </w:p>
    <w:p w14:paraId="2637610B">
      <w:pPr>
        <w:snapToGrid w:val="0"/>
        <w:spacing w:line="312" w:lineRule="auto"/>
        <w:ind w:firstLine="482"/>
        <w:jc w:val="left"/>
        <w:rPr>
          <w:rFonts w:hint="eastAsia" w:ascii="宋体" w:hAnsi="宋体" w:cs="宋体"/>
          <w:b/>
          <w:bCs/>
          <w:color w:val="auto"/>
          <w:highlight w:val="none"/>
          <w:lang w:bidi="ar"/>
        </w:rPr>
      </w:pPr>
    </w:p>
    <w:p w14:paraId="7E227465">
      <w:pPr>
        <w:snapToGrid w:val="0"/>
        <w:spacing w:line="312" w:lineRule="auto"/>
        <w:ind w:firstLine="482"/>
        <w:jc w:val="left"/>
        <w:rPr>
          <w:rFonts w:hint="eastAsia" w:ascii="宋体" w:hAnsi="宋体" w:cs="宋体"/>
          <w:b/>
          <w:bCs/>
          <w:color w:val="auto"/>
          <w:highlight w:val="none"/>
          <w:lang w:bidi="ar"/>
        </w:rPr>
      </w:pPr>
    </w:p>
    <w:bookmarkEnd w:id="303"/>
    <w:bookmarkEnd w:id="306"/>
    <w:p w14:paraId="377BFEAD">
      <w:pPr>
        <w:ind w:firstLine="0" w:firstLineChars="0"/>
        <w:rPr>
          <w:rFonts w:hint="eastAsia" w:ascii="宋体" w:hAnsi="宋体" w:cs="宋体"/>
          <w:b/>
          <w:color w:val="auto"/>
          <w:kern w:val="0"/>
          <w:sz w:val="36"/>
          <w:szCs w:val="36"/>
          <w:highlight w:val="none"/>
          <w:lang w:bidi="ar"/>
        </w:rPr>
      </w:pPr>
    </w:p>
    <w:p w14:paraId="2AE5FBAE">
      <w:pPr>
        <w:ind w:firstLine="0" w:firstLineChars="0"/>
        <w:jc w:val="center"/>
        <w:outlineLvl w:val="0"/>
        <w:rPr>
          <w:rFonts w:hint="eastAsia" w:ascii="宋体" w:hAnsi="宋体" w:cs="宋体"/>
          <w:b/>
          <w:color w:val="auto"/>
          <w:sz w:val="36"/>
          <w:szCs w:val="36"/>
          <w:highlight w:val="none"/>
        </w:rPr>
      </w:pPr>
      <w:bookmarkStart w:id="317" w:name="_Toc29120"/>
      <w:r>
        <w:rPr>
          <w:rFonts w:hint="eastAsia" w:ascii="宋体" w:hAnsi="宋体" w:cs="宋体"/>
          <w:b/>
          <w:color w:val="auto"/>
          <w:kern w:val="0"/>
          <w:sz w:val="36"/>
          <w:szCs w:val="36"/>
          <w:highlight w:val="none"/>
          <w:lang w:bidi="ar"/>
        </w:rPr>
        <w:t>第四</w:t>
      </w:r>
      <w:r>
        <w:rPr>
          <w:rFonts w:hint="eastAsia" w:ascii="宋体" w:hAnsi="宋体" w:cs="宋体"/>
          <w:b/>
          <w:color w:val="auto"/>
          <w:sz w:val="36"/>
          <w:szCs w:val="36"/>
          <w:highlight w:val="none"/>
        </w:rPr>
        <w:t>章</w:t>
      </w:r>
      <w:r>
        <w:rPr>
          <w:rFonts w:hint="eastAsia" w:ascii="宋体" w:hAnsi="宋体" w:cs="宋体"/>
          <w:color w:val="auto"/>
          <w:highlight w:val="none"/>
        </w:rPr>
        <w:t xml:space="preserve">  </w:t>
      </w:r>
      <w:r>
        <w:rPr>
          <w:rFonts w:hint="eastAsia" w:ascii="宋体" w:hAnsi="宋体" w:cs="宋体"/>
          <w:b/>
          <w:color w:val="auto"/>
          <w:kern w:val="0"/>
          <w:sz w:val="36"/>
          <w:szCs w:val="36"/>
          <w:highlight w:val="none"/>
          <w:lang w:bidi="ar"/>
        </w:rPr>
        <w:t>政府采购合同参考范本</w:t>
      </w:r>
      <w:bookmarkEnd w:id="317"/>
    </w:p>
    <w:p w14:paraId="53F50AF7">
      <w:pPr>
        <w:pStyle w:val="37"/>
        <w:widowControl w:val="0"/>
        <w:autoSpaceDE w:val="0"/>
        <w:autoSpaceDN w:val="0"/>
        <w:adjustRightInd w:val="0"/>
        <w:snapToGrid w:val="0"/>
        <w:spacing w:before="0" w:after="120" w:afterAutospacing="0" w:line="360" w:lineRule="auto"/>
        <w:ind w:firstLine="0" w:firstLineChars="0"/>
        <w:jc w:val="center"/>
        <w:rPr>
          <w:rFonts w:hint="eastAsia" w:cs="宋体"/>
          <w:color w:val="auto"/>
          <w:sz w:val="44"/>
          <w:szCs w:val="44"/>
          <w:highlight w:val="none"/>
          <w:lang w:bidi="ar"/>
        </w:rPr>
      </w:pPr>
    </w:p>
    <w:p w14:paraId="7AB28DE1">
      <w:pPr>
        <w:pStyle w:val="37"/>
        <w:widowControl w:val="0"/>
        <w:autoSpaceDE w:val="0"/>
        <w:autoSpaceDN w:val="0"/>
        <w:adjustRightInd w:val="0"/>
        <w:snapToGrid w:val="0"/>
        <w:spacing w:before="0" w:after="120" w:afterAutospacing="0" w:line="360" w:lineRule="auto"/>
        <w:ind w:firstLine="0" w:firstLineChars="0"/>
        <w:jc w:val="center"/>
        <w:rPr>
          <w:rFonts w:hint="eastAsia" w:cs="宋体"/>
          <w:color w:val="auto"/>
          <w:sz w:val="44"/>
          <w:szCs w:val="44"/>
          <w:highlight w:val="none"/>
          <w:lang w:bidi="ar"/>
        </w:rPr>
      </w:pPr>
    </w:p>
    <w:p w14:paraId="2EF9DD03">
      <w:pPr>
        <w:pStyle w:val="37"/>
        <w:widowControl w:val="0"/>
        <w:autoSpaceDE w:val="0"/>
        <w:autoSpaceDN w:val="0"/>
        <w:adjustRightInd w:val="0"/>
        <w:snapToGrid w:val="0"/>
        <w:spacing w:before="0" w:after="120" w:afterAutospacing="0" w:line="360" w:lineRule="auto"/>
        <w:ind w:firstLine="0" w:firstLineChars="0"/>
        <w:jc w:val="center"/>
        <w:outlineLvl w:val="1"/>
        <w:rPr>
          <w:rFonts w:hint="eastAsia" w:cs="宋体"/>
          <w:color w:val="auto"/>
          <w:sz w:val="52"/>
          <w:szCs w:val="52"/>
          <w:highlight w:val="none"/>
          <w:lang w:bidi="ar"/>
        </w:rPr>
      </w:pPr>
      <w:r>
        <w:rPr>
          <w:rFonts w:hint="eastAsia" w:cs="宋体"/>
          <w:color w:val="auto"/>
          <w:sz w:val="52"/>
          <w:szCs w:val="52"/>
          <w:highlight w:val="none"/>
          <w:lang w:bidi="ar"/>
        </w:rPr>
        <w:t>政府采购合同</w:t>
      </w:r>
    </w:p>
    <w:p w14:paraId="42A081B3">
      <w:pPr>
        <w:pStyle w:val="37"/>
        <w:widowControl w:val="0"/>
        <w:autoSpaceDE w:val="0"/>
        <w:autoSpaceDN w:val="0"/>
        <w:adjustRightInd w:val="0"/>
        <w:snapToGrid w:val="0"/>
        <w:spacing w:before="0" w:after="120" w:afterAutospacing="0" w:line="360" w:lineRule="auto"/>
        <w:ind w:left="480" w:leftChars="200"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lang w:bidi="ar"/>
        </w:rPr>
        <w:t xml:space="preserve"> </w:t>
      </w:r>
    </w:p>
    <w:p w14:paraId="229C800E">
      <w:pPr>
        <w:widowControl/>
        <w:spacing w:before="120" w:after="200" w:line="240" w:lineRule="atLeast"/>
        <w:ind w:firstLine="480"/>
        <w:jc w:val="left"/>
        <w:rPr>
          <w:rFonts w:hint="eastAsia" w:ascii="仿宋" w:hAnsi="仿宋" w:eastAsia="仿宋" w:cs="Times New Roman"/>
          <w:color w:val="auto"/>
          <w:highlight w:val="none"/>
        </w:rPr>
      </w:pPr>
      <w:r>
        <w:rPr>
          <w:rFonts w:hint="eastAsia" w:ascii="仿宋" w:hAnsi="仿宋" w:eastAsia="仿宋" w:cs="Times New Roman"/>
          <w:color w:val="auto"/>
          <w:kern w:val="0"/>
          <w:highlight w:val="none"/>
          <w:lang w:bidi="ar"/>
        </w:rPr>
        <w:t xml:space="preserve"> </w:t>
      </w:r>
    </w:p>
    <w:p w14:paraId="68E94C43">
      <w:pPr>
        <w:widowControl/>
        <w:spacing w:before="120" w:after="200" w:line="240" w:lineRule="atLeast"/>
        <w:ind w:left="960" w:firstLine="960" w:firstLineChars="400"/>
        <w:jc w:val="left"/>
        <w:rPr>
          <w:rFonts w:hint="eastAsia" w:ascii="宋体" w:hAnsi="宋体" w:cs="宋体"/>
          <w:color w:val="auto"/>
          <w:highlight w:val="none"/>
        </w:rPr>
      </w:pPr>
      <w:r>
        <w:rPr>
          <w:rFonts w:hint="eastAsia" w:ascii="宋体" w:hAnsi="宋体" w:cs="宋体"/>
          <w:color w:val="auto"/>
          <w:kern w:val="0"/>
          <w:highlight w:val="none"/>
          <w:lang w:bidi="ar"/>
        </w:rPr>
        <w:t>项目名称：</w:t>
      </w:r>
      <w:r>
        <w:rPr>
          <w:rFonts w:hint="eastAsia" w:ascii="宋体" w:hAnsi="宋体" w:cs="宋体"/>
          <w:color w:val="auto"/>
          <w:kern w:val="0"/>
          <w:highlight w:val="none"/>
          <w:u w:val="single"/>
          <w:lang w:bidi="ar"/>
        </w:rPr>
        <w:t xml:space="preserve">                                   </w:t>
      </w:r>
    </w:p>
    <w:p w14:paraId="591F8280">
      <w:pPr>
        <w:pStyle w:val="37"/>
        <w:widowControl w:val="0"/>
        <w:spacing w:before="120" w:beforeAutospacing="0" w:after="0" w:afterAutospacing="0" w:line="240" w:lineRule="atLeast"/>
        <w:ind w:firstLine="480"/>
        <w:jc w:val="both"/>
        <w:rPr>
          <w:rFonts w:hint="eastAsia" w:cs="宋体"/>
          <w:color w:val="auto"/>
          <w:kern w:val="2"/>
          <w:highlight w:val="none"/>
        </w:rPr>
      </w:pPr>
      <w:r>
        <w:rPr>
          <w:rFonts w:hint="eastAsia" w:cs="宋体"/>
          <w:color w:val="auto"/>
          <w:kern w:val="2"/>
          <w:highlight w:val="none"/>
          <w:lang w:bidi="ar"/>
        </w:rPr>
        <w:t xml:space="preserve"> </w:t>
      </w:r>
    </w:p>
    <w:p w14:paraId="28DE5260">
      <w:pPr>
        <w:pStyle w:val="37"/>
        <w:widowControl w:val="0"/>
        <w:spacing w:before="120" w:beforeAutospacing="0" w:after="0" w:afterAutospacing="0" w:line="240" w:lineRule="atLeast"/>
        <w:ind w:firstLine="480"/>
        <w:jc w:val="both"/>
        <w:rPr>
          <w:rFonts w:hint="eastAsia" w:cs="宋体"/>
          <w:color w:val="auto"/>
          <w:kern w:val="2"/>
          <w:highlight w:val="none"/>
        </w:rPr>
      </w:pPr>
      <w:r>
        <w:rPr>
          <w:rFonts w:hint="eastAsia" w:cs="宋体"/>
          <w:color w:val="auto"/>
          <w:kern w:val="2"/>
          <w:highlight w:val="none"/>
          <w:lang w:bidi="ar"/>
        </w:rPr>
        <w:t xml:space="preserve"> </w:t>
      </w:r>
    </w:p>
    <w:p w14:paraId="740AF999">
      <w:pPr>
        <w:widowControl/>
        <w:spacing w:beforeAutospacing="1" w:after="200"/>
        <w:ind w:firstLine="480"/>
        <w:jc w:val="left"/>
        <w:rPr>
          <w:rFonts w:hint="eastAsia" w:ascii="宋体" w:hAnsi="宋体" w:cs="宋体"/>
          <w:color w:val="auto"/>
          <w:highlight w:val="none"/>
        </w:rPr>
      </w:pPr>
      <w:r>
        <w:rPr>
          <w:rFonts w:hint="eastAsia" w:ascii="宋体" w:hAnsi="宋体" w:cs="宋体"/>
          <w:color w:val="auto"/>
          <w:kern w:val="0"/>
          <w:highlight w:val="none"/>
          <w:lang w:bidi="ar"/>
        </w:rPr>
        <w:t xml:space="preserve"> </w:t>
      </w:r>
    </w:p>
    <w:p w14:paraId="641662C8">
      <w:pPr>
        <w:widowControl/>
        <w:spacing w:before="120" w:after="200" w:line="240" w:lineRule="atLeast"/>
        <w:ind w:left="960" w:firstLine="720" w:firstLineChars="300"/>
        <w:jc w:val="left"/>
        <w:rPr>
          <w:rFonts w:hint="eastAsia" w:ascii="宋体" w:hAnsi="宋体" w:cs="宋体"/>
          <w:color w:val="auto"/>
          <w:highlight w:val="none"/>
          <w:u w:val="single"/>
        </w:rPr>
      </w:pPr>
      <w:r>
        <w:rPr>
          <w:rFonts w:hint="eastAsia" w:ascii="宋体" w:hAnsi="宋体" w:cs="宋体"/>
          <w:color w:val="auto"/>
          <w:kern w:val="0"/>
          <w:highlight w:val="none"/>
          <w:lang w:bidi="ar"/>
        </w:rPr>
        <w:t>甲方：</w:t>
      </w:r>
      <w:r>
        <w:rPr>
          <w:rFonts w:hint="eastAsia" w:ascii="宋体" w:hAnsi="宋体" w:cs="宋体"/>
          <w:color w:val="auto"/>
          <w:kern w:val="0"/>
          <w:highlight w:val="none"/>
          <w:u w:val="single"/>
          <w:lang w:bidi="ar"/>
        </w:rPr>
        <w:t xml:space="preserve">                                       </w:t>
      </w:r>
    </w:p>
    <w:p w14:paraId="49D88AC4">
      <w:pPr>
        <w:widowControl/>
        <w:spacing w:before="120" w:after="200" w:line="240" w:lineRule="atLeast"/>
        <w:ind w:firstLine="480"/>
        <w:jc w:val="left"/>
        <w:rPr>
          <w:rFonts w:hint="eastAsia" w:ascii="宋体" w:hAnsi="宋体" w:cs="宋体"/>
          <w:color w:val="auto"/>
          <w:highlight w:val="none"/>
        </w:rPr>
      </w:pPr>
      <w:r>
        <w:rPr>
          <w:rFonts w:hint="eastAsia" w:ascii="宋体" w:hAnsi="宋体" w:cs="宋体"/>
          <w:color w:val="auto"/>
          <w:kern w:val="0"/>
          <w:highlight w:val="none"/>
          <w:lang w:bidi="ar"/>
        </w:rPr>
        <w:t xml:space="preserve"> </w:t>
      </w:r>
    </w:p>
    <w:p w14:paraId="13506190">
      <w:pPr>
        <w:widowControl/>
        <w:spacing w:before="120" w:after="200" w:line="240" w:lineRule="atLeast"/>
        <w:ind w:left="960" w:firstLine="720" w:firstLineChars="300"/>
        <w:jc w:val="left"/>
        <w:rPr>
          <w:rFonts w:hint="eastAsia" w:ascii="宋体" w:hAnsi="宋体" w:cs="宋体"/>
          <w:color w:val="auto"/>
          <w:highlight w:val="none"/>
          <w:u w:val="single"/>
        </w:rPr>
      </w:pPr>
      <w:r>
        <w:rPr>
          <w:rFonts w:hint="eastAsia" w:ascii="宋体" w:hAnsi="宋体" w:cs="宋体"/>
          <w:color w:val="auto"/>
          <w:kern w:val="0"/>
          <w:highlight w:val="none"/>
          <w:lang w:bidi="ar"/>
        </w:rPr>
        <w:t>乙方：</w:t>
      </w:r>
      <w:r>
        <w:rPr>
          <w:rFonts w:hint="eastAsia" w:ascii="宋体" w:hAnsi="宋体" w:cs="宋体"/>
          <w:color w:val="auto"/>
          <w:kern w:val="0"/>
          <w:highlight w:val="none"/>
          <w:u w:val="single"/>
          <w:lang w:bidi="ar"/>
        </w:rPr>
        <w:t xml:space="preserve">                                       </w:t>
      </w:r>
    </w:p>
    <w:p w14:paraId="0DBB9B6C">
      <w:pPr>
        <w:widowControl/>
        <w:spacing w:before="120" w:after="200" w:line="240" w:lineRule="atLeast"/>
        <w:ind w:firstLine="480"/>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 xml:space="preserve"> </w:t>
      </w:r>
    </w:p>
    <w:p w14:paraId="714623FF">
      <w:pPr>
        <w:pStyle w:val="16"/>
        <w:ind w:firstLine="480"/>
        <w:rPr>
          <w:color w:val="auto"/>
          <w:highlight w:val="none"/>
        </w:rPr>
      </w:pPr>
    </w:p>
    <w:p w14:paraId="2ADFDC75">
      <w:pPr>
        <w:widowControl/>
        <w:spacing w:before="120" w:after="200" w:line="240" w:lineRule="atLeast"/>
        <w:ind w:firstLine="1680" w:firstLineChars="700"/>
        <w:jc w:val="left"/>
        <w:rPr>
          <w:rFonts w:hint="eastAsia" w:ascii="宋体" w:hAnsi="宋体" w:cs="宋体"/>
          <w:color w:val="auto"/>
          <w:highlight w:val="none"/>
          <w:u w:val="single"/>
        </w:rPr>
      </w:pPr>
      <w:r>
        <w:rPr>
          <w:rFonts w:hint="eastAsia" w:ascii="宋体" w:hAnsi="宋体" w:cs="宋体"/>
          <w:color w:val="auto"/>
          <w:kern w:val="0"/>
          <w:highlight w:val="none"/>
          <w:lang w:bidi="ar"/>
        </w:rPr>
        <w:t>签订地：</w:t>
      </w:r>
      <w:r>
        <w:rPr>
          <w:rFonts w:hint="eastAsia" w:ascii="宋体" w:hAnsi="宋体" w:cs="宋体"/>
          <w:color w:val="auto"/>
          <w:kern w:val="0"/>
          <w:highlight w:val="none"/>
          <w:u w:val="single"/>
          <w:lang w:bidi="ar"/>
        </w:rPr>
        <w:t xml:space="preserve">                                     </w:t>
      </w:r>
    </w:p>
    <w:p w14:paraId="691940DB">
      <w:pPr>
        <w:widowControl/>
        <w:spacing w:before="120" w:after="200" w:line="240" w:lineRule="atLeast"/>
        <w:ind w:firstLine="480"/>
        <w:jc w:val="left"/>
        <w:rPr>
          <w:rFonts w:hint="eastAsia" w:ascii="宋体" w:hAnsi="宋体" w:cs="宋体"/>
          <w:color w:val="auto"/>
          <w:highlight w:val="none"/>
        </w:rPr>
      </w:pPr>
      <w:r>
        <w:rPr>
          <w:rFonts w:hint="eastAsia" w:ascii="宋体" w:hAnsi="宋体" w:cs="宋体"/>
          <w:color w:val="auto"/>
          <w:kern w:val="0"/>
          <w:highlight w:val="none"/>
          <w:lang w:bidi="ar"/>
        </w:rPr>
        <w:t xml:space="preserve"> </w:t>
      </w:r>
    </w:p>
    <w:p w14:paraId="08D9EEEC">
      <w:pPr>
        <w:widowControl/>
        <w:spacing w:before="120" w:after="200" w:line="240" w:lineRule="atLeast"/>
        <w:ind w:firstLine="1680" w:firstLineChars="700"/>
        <w:jc w:val="left"/>
        <w:rPr>
          <w:rFonts w:hint="eastAsia" w:ascii="宋体" w:hAnsi="宋体" w:cs="宋体"/>
          <w:color w:val="auto"/>
          <w:highlight w:val="none"/>
          <w:u w:val="single"/>
        </w:rPr>
      </w:pPr>
      <w:r>
        <w:rPr>
          <w:rFonts w:hint="eastAsia" w:ascii="宋体" w:hAnsi="宋体" w:cs="宋体"/>
          <w:color w:val="auto"/>
          <w:kern w:val="0"/>
          <w:highlight w:val="none"/>
          <w:lang w:bidi="ar"/>
        </w:rPr>
        <w:t>签订日期：</w:t>
      </w:r>
      <w:r>
        <w:rPr>
          <w:rFonts w:hint="eastAsia" w:ascii="宋体" w:hAnsi="宋体" w:cs="宋体"/>
          <w:color w:val="auto"/>
          <w:kern w:val="0"/>
          <w:highlight w:val="none"/>
          <w:u w:val="single"/>
          <w:lang w:bidi="ar"/>
        </w:rPr>
        <w:t xml:space="preserve">               </w:t>
      </w:r>
      <w:r>
        <w:rPr>
          <w:rFonts w:hint="eastAsia" w:ascii="宋体" w:hAnsi="宋体" w:cs="宋体"/>
          <w:color w:val="auto"/>
          <w:kern w:val="0"/>
          <w:highlight w:val="none"/>
          <w:lang w:bidi="ar"/>
        </w:rPr>
        <w:t>年</w:t>
      </w:r>
      <w:r>
        <w:rPr>
          <w:rFonts w:hint="eastAsia" w:ascii="宋体" w:hAnsi="宋体" w:cs="宋体"/>
          <w:color w:val="auto"/>
          <w:kern w:val="0"/>
          <w:highlight w:val="none"/>
          <w:u w:val="single"/>
          <w:lang w:bidi="ar"/>
        </w:rPr>
        <w:t xml:space="preserve">       </w:t>
      </w:r>
      <w:r>
        <w:rPr>
          <w:rFonts w:hint="eastAsia" w:ascii="宋体" w:hAnsi="宋体" w:cs="宋体"/>
          <w:color w:val="auto"/>
          <w:kern w:val="0"/>
          <w:highlight w:val="none"/>
          <w:lang w:bidi="ar"/>
        </w:rPr>
        <w:t>月</w:t>
      </w:r>
      <w:r>
        <w:rPr>
          <w:rFonts w:hint="eastAsia" w:ascii="宋体" w:hAnsi="宋体" w:cs="宋体"/>
          <w:color w:val="auto"/>
          <w:kern w:val="0"/>
          <w:highlight w:val="none"/>
          <w:u w:val="single"/>
          <w:lang w:bidi="ar"/>
        </w:rPr>
        <w:t xml:space="preserve">       </w:t>
      </w:r>
      <w:r>
        <w:rPr>
          <w:rFonts w:hint="eastAsia" w:ascii="宋体" w:hAnsi="宋体" w:cs="宋体"/>
          <w:color w:val="auto"/>
          <w:kern w:val="0"/>
          <w:highlight w:val="none"/>
          <w:lang w:bidi="ar"/>
        </w:rPr>
        <w:t>日</w:t>
      </w:r>
    </w:p>
    <w:p w14:paraId="37306E66">
      <w:pPr>
        <w:ind w:firstLine="480"/>
        <w:rPr>
          <w:rFonts w:hint="eastAsia" w:ascii="宋体" w:hAnsi="宋体" w:cs="宋体"/>
          <w:color w:val="auto"/>
          <w:highlight w:val="none"/>
        </w:rPr>
        <w:sectPr>
          <w:headerReference r:id="rId7" w:type="first"/>
          <w:footerReference r:id="rId9" w:type="first"/>
          <w:headerReference r:id="rId5" w:type="default"/>
          <w:footerReference r:id="rId8" w:type="default"/>
          <w:headerReference r:id="rId6" w:type="even"/>
          <w:pgSz w:w="11907" w:h="16840"/>
          <w:pgMar w:top="1440" w:right="1080" w:bottom="1440" w:left="1080" w:header="737" w:footer="851" w:gutter="0"/>
          <w:pgBorders>
            <w:top w:val="thinThickSmallGap" w:color="auto" w:sz="12" w:space="10"/>
            <w:bottom w:val="thinThickSmallGap" w:color="auto" w:sz="12" w:space="10"/>
          </w:pgBorders>
          <w:cols w:space="720" w:num="1"/>
          <w:titlePg/>
          <w:docGrid w:type="lines" w:linePitch="436" w:charSpace="0"/>
        </w:sectPr>
      </w:pPr>
    </w:p>
    <w:p w14:paraId="09C01ED3">
      <w:pPr>
        <w:widowControl/>
        <w:spacing w:line="312" w:lineRule="auto"/>
        <w:ind w:firstLine="0" w:firstLineChars="0"/>
        <w:jc w:val="center"/>
        <w:outlineLvl w:val="1"/>
        <w:rPr>
          <w:rFonts w:hint="eastAsia" w:ascii="宋体" w:hAnsi="宋体" w:cs="宋体"/>
          <w:color w:val="auto"/>
          <w:sz w:val="32"/>
          <w:szCs w:val="32"/>
          <w:highlight w:val="none"/>
          <w:lang w:bidi="ar"/>
        </w:rPr>
      </w:pPr>
      <w:r>
        <w:rPr>
          <w:rFonts w:hint="eastAsia" w:ascii="宋体" w:hAnsi="宋体" w:cs="宋体"/>
          <w:color w:val="auto"/>
          <w:sz w:val="32"/>
          <w:szCs w:val="32"/>
          <w:highlight w:val="none"/>
          <w:lang w:bidi="ar"/>
        </w:rPr>
        <w:t>龙游县人民医院代120指挥中心采购救护车项目采购合同</w:t>
      </w:r>
    </w:p>
    <w:p w14:paraId="2A6B3E20">
      <w:pPr>
        <w:widowControl/>
        <w:spacing w:line="240" w:lineRule="auto"/>
        <w:ind w:firstLine="480"/>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项目名称：</w:t>
      </w:r>
      <w:r>
        <w:rPr>
          <w:rFonts w:hint="eastAsia" w:ascii="宋体" w:hAnsi="宋体" w:cs="宋体"/>
          <w:color w:val="auto"/>
          <w:kern w:val="0"/>
          <w:highlight w:val="none"/>
          <w:u w:val="single"/>
          <w:lang w:bidi="ar"/>
        </w:rPr>
        <w:t xml:space="preserve">                </w:t>
      </w:r>
    </w:p>
    <w:p w14:paraId="6F3B1150">
      <w:pPr>
        <w:widowControl/>
        <w:spacing w:line="240" w:lineRule="auto"/>
        <w:ind w:firstLine="480"/>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项目编号：</w:t>
      </w:r>
      <w:r>
        <w:rPr>
          <w:rFonts w:hint="eastAsia" w:ascii="宋体" w:hAnsi="宋体" w:cs="宋体"/>
          <w:color w:val="auto"/>
          <w:kern w:val="0"/>
          <w:highlight w:val="none"/>
          <w:u w:val="single"/>
          <w:lang w:bidi="ar"/>
        </w:rPr>
        <w:t xml:space="preserve">                </w:t>
      </w:r>
    </w:p>
    <w:p w14:paraId="48141309">
      <w:pPr>
        <w:widowControl/>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lang w:bidi="ar"/>
        </w:rPr>
        <w:t>甲方：</w:t>
      </w:r>
      <w:r>
        <w:rPr>
          <w:rFonts w:hint="eastAsia" w:ascii="宋体" w:hAnsi="宋体" w:cs="宋体"/>
          <w:color w:val="auto"/>
          <w:kern w:val="0"/>
          <w:highlight w:val="none"/>
          <w:u w:val="single"/>
          <w:lang w:bidi="ar"/>
        </w:rPr>
        <w:t xml:space="preserve">                </w:t>
      </w:r>
    </w:p>
    <w:p w14:paraId="452B2C8A">
      <w:pPr>
        <w:widowControl/>
        <w:spacing w:line="240" w:lineRule="auto"/>
        <w:ind w:firstLine="480"/>
        <w:jc w:val="left"/>
        <w:rPr>
          <w:rFonts w:hint="eastAsia" w:ascii="宋体" w:hAnsi="宋体" w:cs="宋体"/>
          <w:color w:val="auto"/>
          <w:kern w:val="0"/>
          <w:highlight w:val="none"/>
          <w:u w:val="single"/>
          <w:lang w:bidi="ar"/>
        </w:rPr>
      </w:pPr>
      <w:r>
        <w:rPr>
          <w:rFonts w:hint="eastAsia" w:ascii="宋体" w:hAnsi="宋体" w:cs="宋体"/>
          <w:color w:val="auto"/>
          <w:kern w:val="0"/>
          <w:highlight w:val="none"/>
          <w:lang w:bidi="ar"/>
        </w:rPr>
        <w:t>乙方：</w:t>
      </w:r>
      <w:r>
        <w:rPr>
          <w:rFonts w:hint="eastAsia" w:ascii="宋体" w:hAnsi="宋体" w:cs="宋体"/>
          <w:color w:val="auto"/>
          <w:kern w:val="0"/>
          <w:highlight w:val="none"/>
          <w:u w:val="single"/>
          <w:lang w:bidi="ar"/>
        </w:rPr>
        <w:t xml:space="preserve">                </w:t>
      </w:r>
    </w:p>
    <w:p w14:paraId="24589608">
      <w:pPr>
        <w:widowControl/>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u w:val="single"/>
          <w:lang w:bidi="ar"/>
        </w:rPr>
        <w:t xml:space="preserve">        </w:t>
      </w:r>
      <w:r>
        <w:rPr>
          <w:rFonts w:hint="eastAsia" w:ascii="宋体" w:hAnsi="宋体" w:cs="宋体"/>
          <w:color w:val="auto"/>
          <w:kern w:val="0"/>
          <w:highlight w:val="none"/>
          <w:lang w:bidi="ar"/>
        </w:rPr>
        <w:t>年</w:t>
      </w:r>
      <w:r>
        <w:rPr>
          <w:rFonts w:hint="eastAsia" w:ascii="宋体" w:hAnsi="宋体" w:cs="宋体"/>
          <w:color w:val="auto"/>
          <w:kern w:val="0"/>
          <w:highlight w:val="none"/>
          <w:u w:val="single"/>
          <w:lang w:bidi="ar"/>
        </w:rPr>
        <w:t xml:space="preserve">    </w:t>
      </w:r>
      <w:r>
        <w:rPr>
          <w:rFonts w:hint="eastAsia" w:ascii="宋体" w:hAnsi="宋体" w:cs="宋体"/>
          <w:color w:val="auto"/>
          <w:kern w:val="0"/>
          <w:highlight w:val="none"/>
          <w:lang w:bidi="ar"/>
        </w:rPr>
        <w:t>月</w:t>
      </w:r>
      <w:r>
        <w:rPr>
          <w:rFonts w:hint="eastAsia" w:ascii="宋体" w:hAnsi="宋体" w:cs="宋体"/>
          <w:color w:val="auto"/>
          <w:kern w:val="0"/>
          <w:highlight w:val="none"/>
          <w:u w:val="single"/>
          <w:lang w:bidi="ar"/>
        </w:rPr>
        <w:t xml:space="preserve">    </w:t>
      </w:r>
      <w:r>
        <w:rPr>
          <w:rFonts w:hint="eastAsia" w:ascii="宋体" w:hAnsi="宋体" w:cs="宋体"/>
          <w:color w:val="auto"/>
          <w:kern w:val="0"/>
          <w:highlight w:val="none"/>
          <w:lang w:bidi="ar"/>
        </w:rPr>
        <w:t>日，</w:t>
      </w:r>
      <w:r>
        <w:rPr>
          <w:rFonts w:hint="eastAsia" w:ascii="宋体" w:hAnsi="宋体" w:cs="宋体"/>
          <w:color w:val="auto"/>
          <w:kern w:val="0"/>
          <w:highlight w:val="none"/>
          <w:u w:val="single"/>
          <w:lang w:bidi="ar"/>
        </w:rPr>
        <w:t xml:space="preserve">   （采购人）   </w:t>
      </w:r>
      <w:r>
        <w:rPr>
          <w:rFonts w:hint="eastAsia" w:ascii="宋体" w:hAnsi="宋体" w:cs="宋体"/>
          <w:color w:val="auto"/>
          <w:kern w:val="0"/>
          <w:highlight w:val="none"/>
          <w:lang w:bidi="ar"/>
        </w:rPr>
        <w:t>以</w:t>
      </w:r>
      <w:r>
        <w:rPr>
          <w:rFonts w:hint="eastAsia" w:ascii="宋体" w:hAnsi="宋体" w:cs="宋体"/>
          <w:color w:val="auto"/>
          <w:kern w:val="0"/>
          <w:highlight w:val="none"/>
          <w:u w:val="single"/>
          <w:lang w:bidi="ar"/>
        </w:rPr>
        <w:t xml:space="preserve">   （政府采购方式）  </w:t>
      </w:r>
      <w:r>
        <w:rPr>
          <w:rFonts w:hint="eastAsia" w:ascii="宋体" w:hAnsi="宋体" w:cs="宋体"/>
          <w:color w:val="auto"/>
          <w:kern w:val="0"/>
          <w:highlight w:val="none"/>
          <w:lang w:bidi="ar"/>
        </w:rPr>
        <w:t>对</w:t>
      </w:r>
      <w:r>
        <w:rPr>
          <w:rFonts w:hint="eastAsia" w:ascii="宋体" w:hAnsi="宋体" w:cs="宋体"/>
          <w:color w:val="auto"/>
          <w:kern w:val="0"/>
          <w:highlight w:val="none"/>
          <w:u w:val="single"/>
          <w:lang w:bidi="ar"/>
        </w:rPr>
        <w:t xml:space="preserve">   （同前页项目名称）   </w:t>
      </w:r>
      <w:r>
        <w:rPr>
          <w:rFonts w:hint="eastAsia" w:ascii="宋体" w:hAnsi="宋体" w:cs="宋体"/>
          <w:color w:val="auto"/>
          <w:kern w:val="0"/>
          <w:highlight w:val="none"/>
          <w:lang w:bidi="ar"/>
        </w:rPr>
        <w:t>项目进行了采购。经</w:t>
      </w:r>
      <w:r>
        <w:rPr>
          <w:rFonts w:hint="eastAsia" w:ascii="宋体" w:hAnsi="宋体" w:cs="宋体"/>
          <w:color w:val="auto"/>
          <w:kern w:val="0"/>
          <w:highlight w:val="none"/>
          <w:u w:val="single"/>
          <w:lang w:bidi="ar"/>
        </w:rPr>
        <w:t xml:space="preserve">   （相关评定主体名称）   </w:t>
      </w:r>
      <w:r>
        <w:rPr>
          <w:rFonts w:hint="eastAsia" w:ascii="宋体" w:hAnsi="宋体" w:cs="宋体"/>
          <w:color w:val="auto"/>
          <w:kern w:val="0"/>
          <w:highlight w:val="none"/>
          <w:lang w:bidi="ar"/>
        </w:rPr>
        <w:t>评定，</w:t>
      </w:r>
      <w:r>
        <w:rPr>
          <w:rFonts w:hint="eastAsia" w:ascii="宋体" w:hAnsi="宋体" w:cs="宋体"/>
          <w:color w:val="auto"/>
          <w:kern w:val="0"/>
          <w:highlight w:val="none"/>
          <w:u w:val="single"/>
          <w:lang w:bidi="ar"/>
        </w:rPr>
        <w:t xml:space="preserve">   （中标人名称）</w:t>
      </w:r>
      <w:r>
        <w:rPr>
          <w:rFonts w:hint="eastAsia" w:ascii="宋体" w:hAnsi="宋体" w:cs="宋体"/>
          <w:color w:val="auto"/>
          <w:kern w:val="0"/>
          <w:highlight w:val="none"/>
          <w:lang w:bidi="ar"/>
        </w:rPr>
        <w:t>为该项目中标人。现于中标通知书发出之日起30日内，按照采购文件确定的事项签订本合同。</w:t>
      </w:r>
    </w:p>
    <w:p w14:paraId="758079F5">
      <w:pPr>
        <w:widowControl/>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lang w:bidi="ar"/>
        </w:rPr>
        <w:t>根据《中华人民共和国民法典》《中华人民共和国政府采购法》等相关法律法规之规定，按照平等、自愿、公平、诚实信用和绿色的原则，经</w:t>
      </w:r>
      <w:r>
        <w:rPr>
          <w:rFonts w:hint="eastAsia" w:ascii="宋体" w:hAnsi="宋体" w:cs="宋体"/>
          <w:color w:val="auto"/>
          <w:kern w:val="0"/>
          <w:highlight w:val="none"/>
          <w:u w:val="single"/>
          <w:lang w:bidi="ar"/>
        </w:rPr>
        <w:t xml:space="preserve">   （采购人）   </w:t>
      </w:r>
      <w:r>
        <w:rPr>
          <w:rFonts w:hint="eastAsia" w:ascii="宋体" w:hAnsi="宋体" w:cs="宋体"/>
          <w:color w:val="auto"/>
          <w:kern w:val="0"/>
          <w:highlight w:val="none"/>
          <w:lang w:bidi="ar"/>
        </w:rPr>
        <w:t>(以下简称：甲方)和</w:t>
      </w:r>
      <w:r>
        <w:rPr>
          <w:rFonts w:hint="eastAsia" w:ascii="宋体" w:hAnsi="宋体" w:cs="宋体"/>
          <w:color w:val="auto"/>
          <w:kern w:val="0"/>
          <w:highlight w:val="none"/>
          <w:u w:val="single"/>
          <w:lang w:bidi="ar"/>
        </w:rPr>
        <w:t xml:space="preserve">   （中标人名称）   </w:t>
      </w:r>
      <w:r>
        <w:rPr>
          <w:rFonts w:hint="eastAsia" w:ascii="宋体" w:hAnsi="宋体" w:cs="宋体"/>
          <w:color w:val="auto"/>
          <w:kern w:val="0"/>
          <w:highlight w:val="none"/>
          <w:lang w:bidi="ar"/>
        </w:rPr>
        <w:t>(以下简称：乙方)协商一致，约定以下合同条款，以兹共同遵守、全面履行。</w:t>
      </w:r>
    </w:p>
    <w:p w14:paraId="5CD3B007">
      <w:pPr>
        <w:spacing w:line="440" w:lineRule="exact"/>
        <w:ind w:firstLineChars="0"/>
        <w:outlineLvl w:val="1"/>
        <w:rPr>
          <w:rFonts w:hint="eastAsia" w:ascii="宋体" w:hAnsi="宋体" w:cs="宋体"/>
          <w:color w:val="auto"/>
          <w:highlight w:val="none"/>
          <w:lang w:bidi="ar"/>
        </w:rPr>
      </w:pPr>
      <w:bookmarkStart w:id="318" w:name="_Toc8615"/>
      <w:bookmarkStart w:id="319" w:name="_Toc18497"/>
      <w:r>
        <w:rPr>
          <w:rFonts w:hint="eastAsia" w:ascii="宋体" w:hAnsi="宋体" w:cs="宋体"/>
          <w:color w:val="auto"/>
          <w:highlight w:val="none"/>
          <w:lang w:bidi="ar"/>
        </w:rPr>
        <w:t>一、合同组成部分</w:t>
      </w:r>
      <w:bookmarkEnd w:id="318"/>
      <w:bookmarkEnd w:id="319"/>
    </w:p>
    <w:p w14:paraId="4014D87B">
      <w:pPr>
        <w:widowControl/>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lang w:bidi="ar"/>
        </w:rPr>
        <w:t>下列文件为本合同的组成部分，并构成一个整体，需综合解释、相互补充。如果下列文件内容出现不一致的情形，那么在保证按照招标文件确定的事项的前提下，组成本合同的多份文件的优先适用顺序如下：</w:t>
      </w:r>
    </w:p>
    <w:p w14:paraId="7AC1BBA6">
      <w:pPr>
        <w:widowControl/>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lang w:bidi="ar"/>
        </w:rPr>
        <w:t>1.本合同及其补充合同、变更协议；</w:t>
      </w:r>
    </w:p>
    <w:p w14:paraId="7548CEC1">
      <w:pPr>
        <w:widowControl/>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lang w:bidi="ar"/>
        </w:rPr>
        <w:t>2.中标通知书；</w:t>
      </w:r>
    </w:p>
    <w:p w14:paraId="0530C145">
      <w:pPr>
        <w:widowControl/>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lang w:bidi="ar"/>
        </w:rPr>
        <w:t>3.投标文件（含澄清或者说明文件）；</w:t>
      </w:r>
    </w:p>
    <w:p w14:paraId="3A7330FC">
      <w:pPr>
        <w:widowControl/>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lang w:bidi="ar"/>
        </w:rPr>
        <w:t>4.招标文件（含澄清或者修改文件）；</w:t>
      </w:r>
    </w:p>
    <w:p w14:paraId="702B00DF">
      <w:pPr>
        <w:widowControl/>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lang w:bidi="ar"/>
        </w:rPr>
        <w:t>5.其他相关采购文件。</w:t>
      </w:r>
    </w:p>
    <w:p w14:paraId="3CCD563C">
      <w:pPr>
        <w:spacing w:line="440" w:lineRule="exact"/>
        <w:ind w:firstLine="482" w:firstLineChars="0"/>
        <w:outlineLvl w:val="1"/>
        <w:rPr>
          <w:rFonts w:hint="eastAsia" w:ascii="宋体" w:hAnsi="宋体" w:cs="宋体"/>
          <w:color w:val="auto"/>
          <w:highlight w:val="none"/>
          <w:lang w:bidi="ar"/>
        </w:rPr>
      </w:pPr>
      <w:bookmarkStart w:id="320" w:name="_Toc2497"/>
      <w:bookmarkStart w:id="321" w:name="_Toc30690"/>
      <w:bookmarkStart w:id="322" w:name="_Toc4878"/>
      <w:r>
        <w:rPr>
          <w:rFonts w:hint="eastAsia" w:ascii="宋体" w:hAnsi="宋体" w:cs="宋体"/>
          <w:color w:val="auto"/>
          <w:highlight w:val="none"/>
          <w:lang w:bidi="ar"/>
        </w:rPr>
        <w:t>二、合同金额</w:t>
      </w:r>
      <w:bookmarkEnd w:id="320"/>
    </w:p>
    <w:p w14:paraId="2C7212F1">
      <w:pPr>
        <w:pStyle w:val="31"/>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1.合同总金额人民币大写：</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元，小写¥：</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元，分项价格如下：</w:t>
      </w:r>
    </w:p>
    <w:tbl>
      <w:tblPr>
        <w:tblStyle w:val="44"/>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149"/>
        <w:gridCol w:w="2898"/>
        <w:gridCol w:w="1449"/>
        <w:gridCol w:w="1449"/>
      </w:tblGrid>
      <w:tr w14:paraId="074F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2F4D648B">
            <w:pPr>
              <w:spacing w:line="44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序号</w:t>
            </w:r>
          </w:p>
        </w:tc>
        <w:tc>
          <w:tcPr>
            <w:tcW w:w="2149" w:type="dxa"/>
          </w:tcPr>
          <w:p w14:paraId="4716FCCA">
            <w:pPr>
              <w:spacing w:line="44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标的名称</w:t>
            </w:r>
          </w:p>
        </w:tc>
        <w:tc>
          <w:tcPr>
            <w:tcW w:w="2898" w:type="dxa"/>
          </w:tcPr>
          <w:p w14:paraId="57ECB87C">
            <w:pPr>
              <w:spacing w:line="44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规格型号（或服务需求）</w:t>
            </w:r>
          </w:p>
        </w:tc>
        <w:tc>
          <w:tcPr>
            <w:tcW w:w="1449" w:type="dxa"/>
          </w:tcPr>
          <w:p w14:paraId="2F6E447D">
            <w:pPr>
              <w:spacing w:line="44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数量</w:t>
            </w:r>
          </w:p>
        </w:tc>
        <w:tc>
          <w:tcPr>
            <w:tcW w:w="1449" w:type="dxa"/>
          </w:tcPr>
          <w:p w14:paraId="34464847">
            <w:pPr>
              <w:spacing w:line="44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单价（元）</w:t>
            </w:r>
          </w:p>
        </w:tc>
      </w:tr>
      <w:tr w14:paraId="410F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1244EF8C">
            <w:pPr>
              <w:spacing w:line="44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2149" w:type="dxa"/>
          </w:tcPr>
          <w:p w14:paraId="79A69736">
            <w:pPr>
              <w:spacing w:line="440" w:lineRule="exact"/>
              <w:ind w:firstLine="0" w:firstLineChars="0"/>
              <w:jc w:val="center"/>
              <w:rPr>
                <w:rFonts w:hint="eastAsia" w:ascii="宋体" w:hAnsi="宋体" w:cs="宋体"/>
                <w:color w:val="auto"/>
                <w:highlight w:val="none"/>
              </w:rPr>
            </w:pPr>
          </w:p>
        </w:tc>
        <w:tc>
          <w:tcPr>
            <w:tcW w:w="2898" w:type="dxa"/>
          </w:tcPr>
          <w:p w14:paraId="0703EC28">
            <w:pPr>
              <w:spacing w:line="440" w:lineRule="exact"/>
              <w:ind w:firstLine="0" w:firstLineChars="0"/>
              <w:jc w:val="center"/>
              <w:rPr>
                <w:rFonts w:hint="eastAsia" w:ascii="宋体" w:hAnsi="宋体" w:cs="宋体"/>
                <w:color w:val="auto"/>
                <w:highlight w:val="none"/>
              </w:rPr>
            </w:pPr>
          </w:p>
        </w:tc>
        <w:tc>
          <w:tcPr>
            <w:tcW w:w="1449" w:type="dxa"/>
          </w:tcPr>
          <w:p w14:paraId="3C875F9F">
            <w:pPr>
              <w:spacing w:line="440" w:lineRule="exact"/>
              <w:ind w:firstLine="0" w:firstLineChars="0"/>
              <w:jc w:val="center"/>
              <w:rPr>
                <w:rFonts w:hint="eastAsia" w:ascii="宋体" w:hAnsi="宋体" w:cs="宋体"/>
                <w:color w:val="auto"/>
                <w:highlight w:val="none"/>
              </w:rPr>
            </w:pPr>
          </w:p>
        </w:tc>
        <w:tc>
          <w:tcPr>
            <w:tcW w:w="1449" w:type="dxa"/>
          </w:tcPr>
          <w:p w14:paraId="306C2D3B">
            <w:pPr>
              <w:spacing w:line="440" w:lineRule="exact"/>
              <w:ind w:firstLine="0" w:firstLineChars="0"/>
              <w:jc w:val="center"/>
              <w:rPr>
                <w:rFonts w:hint="eastAsia" w:ascii="宋体" w:hAnsi="宋体" w:cs="宋体"/>
                <w:color w:val="auto"/>
                <w:highlight w:val="none"/>
              </w:rPr>
            </w:pPr>
          </w:p>
        </w:tc>
      </w:tr>
      <w:tr w14:paraId="7CC6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1D2DCAB6">
            <w:pPr>
              <w:spacing w:line="44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2</w:t>
            </w:r>
          </w:p>
        </w:tc>
        <w:tc>
          <w:tcPr>
            <w:tcW w:w="2149" w:type="dxa"/>
          </w:tcPr>
          <w:p w14:paraId="00C6657D">
            <w:pPr>
              <w:spacing w:line="440" w:lineRule="exact"/>
              <w:ind w:firstLine="0" w:firstLineChars="0"/>
              <w:jc w:val="center"/>
              <w:rPr>
                <w:rFonts w:hint="eastAsia" w:ascii="宋体" w:hAnsi="宋体" w:cs="宋体"/>
                <w:color w:val="auto"/>
                <w:highlight w:val="none"/>
              </w:rPr>
            </w:pPr>
          </w:p>
        </w:tc>
        <w:tc>
          <w:tcPr>
            <w:tcW w:w="2898" w:type="dxa"/>
          </w:tcPr>
          <w:p w14:paraId="563016D2">
            <w:pPr>
              <w:spacing w:line="440" w:lineRule="exact"/>
              <w:ind w:firstLine="0" w:firstLineChars="0"/>
              <w:jc w:val="center"/>
              <w:rPr>
                <w:rFonts w:hint="eastAsia" w:ascii="宋体" w:hAnsi="宋体" w:cs="宋体"/>
                <w:color w:val="auto"/>
                <w:highlight w:val="none"/>
              </w:rPr>
            </w:pPr>
          </w:p>
        </w:tc>
        <w:tc>
          <w:tcPr>
            <w:tcW w:w="1449" w:type="dxa"/>
          </w:tcPr>
          <w:p w14:paraId="0DE848CA">
            <w:pPr>
              <w:spacing w:line="440" w:lineRule="exact"/>
              <w:ind w:firstLine="0" w:firstLineChars="0"/>
              <w:jc w:val="center"/>
              <w:rPr>
                <w:rFonts w:hint="eastAsia" w:ascii="宋体" w:hAnsi="宋体" w:cs="宋体"/>
                <w:color w:val="auto"/>
                <w:highlight w:val="none"/>
              </w:rPr>
            </w:pPr>
          </w:p>
        </w:tc>
        <w:tc>
          <w:tcPr>
            <w:tcW w:w="1449" w:type="dxa"/>
          </w:tcPr>
          <w:p w14:paraId="233D2BCD">
            <w:pPr>
              <w:spacing w:line="440" w:lineRule="exact"/>
              <w:ind w:firstLine="0" w:firstLineChars="0"/>
              <w:jc w:val="center"/>
              <w:rPr>
                <w:rFonts w:hint="eastAsia" w:ascii="宋体" w:hAnsi="宋体" w:cs="宋体"/>
                <w:color w:val="auto"/>
                <w:highlight w:val="none"/>
              </w:rPr>
            </w:pPr>
          </w:p>
        </w:tc>
      </w:tr>
      <w:tr w14:paraId="1AAC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566229A5">
            <w:pPr>
              <w:spacing w:line="44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w:t>
            </w:r>
          </w:p>
        </w:tc>
        <w:tc>
          <w:tcPr>
            <w:tcW w:w="2149" w:type="dxa"/>
          </w:tcPr>
          <w:p w14:paraId="0EE47D94">
            <w:pPr>
              <w:spacing w:line="440" w:lineRule="exact"/>
              <w:ind w:firstLine="0" w:firstLineChars="0"/>
              <w:jc w:val="center"/>
              <w:rPr>
                <w:rFonts w:hint="eastAsia" w:ascii="宋体" w:hAnsi="宋体" w:cs="宋体"/>
                <w:color w:val="auto"/>
                <w:highlight w:val="none"/>
              </w:rPr>
            </w:pPr>
          </w:p>
        </w:tc>
        <w:tc>
          <w:tcPr>
            <w:tcW w:w="2898" w:type="dxa"/>
          </w:tcPr>
          <w:p w14:paraId="6EB25A0C">
            <w:pPr>
              <w:spacing w:line="440" w:lineRule="exact"/>
              <w:ind w:firstLine="0" w:firstLineChars="0"/>
              <w:jc w:val="center"/>
              <w:rPr>
                <w:rFonts w:hint="eastAsia" w:ascii="宋体" w:hAnsi="宋体" w:cs="宋体"/>
                <w:color w:val="auto"/>
                <w:highlight w:val="none"/>
              </w:rPr>
            </w:pPr>
          </w:p>
        </w:tc>
        <w:tc>
          <w:tcPr>
            <w:tcW w:w="1449" w:type="dxa"/>
          </w:tcPr>
          <w:p w14:paraId="4B3582E8">
            <w:pPr>
              <w:spacing w:line="440" w:lineRule="exact"/>
              <w:ind w:firstLine="0" w:firstLineChars="0"/>
              <w:jc w:val="center"/>
              <w:rPr>
                <w:rFonts w:hint="eastAsia" w:ascii="宋体" w:hAnsi="宋体" w:cs="宋体"/>
                <w:color w:val="auto"/>
                <w:highlight w:val="none"/>
              </w:rPr>
            </w:pPr>
          </w:p>
        </w:tc>
        <w:tc>
          <w:tcPr>
            <w:tcW w:w="1449" w:type="dxa"/>
          </w:tcPr>
          <w:p w14:paraId="5EEBE48F">
            <w:pPr>
              <w:spacing w:line="440" w:lineRule="exact"/>
              <w:ind w:firstLine="0" w:firstLineChars="0"/>
              <w:jc w:val="center"/>
              <w:rPr>
                <w:rFonts w:hint="eastAsia" w:ascii="宋体" w:hAnsi="宋体" w:cs="宋体"/>
                <w:color w:val="auto"/>
                <w:highlight w:val="none"/>
              </w:rPr>
            </w:pPr>
          </w:p>
        </w:tc>
      </w:tr>
      <w:tr w14:paraId="2AA9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5759CA10">
            <w:pPr>
              <w:spacing w:line="440" w:lineRule="exact"/>
              <w:ind w:firstLine="480"/>
              <w:rPr>
                <w:color w:val="auto"/>
                <w:highlight w:val="none"/>
              </w:rPr>
            </w:pPr>
            <w:r>
              <w:rPr>
                <w:rFonts w:hint="eastAsia"/>
                <w:color w:val="auto"/>
                <w:highlight w:val="none"/>
              </w:rPr>
              <w:t>合同总价（人民币大写）：</w:t>
            </w:r>
            <w:r>
              <w:rPr>
                <w:rFonts w:hint="eastAsia"/>
                <w:color w:val="auto"/>
                <w:highlight w:val="none"/>
                <w:u w:val="single"/>
              </w:rPr>
              <w:t xml:space="preserve">              </w:t>
            </w:r>
            <w:r>
              <w:rPr>
                <w:rFonts w:hint="eastAsia"/>
                <w:color w:val="auto"/>
                <w:highlight w:val="none"/>
              </w:rPr>
              <w:t>元整；小写：</w:t>
            </w:r>
            <w:r>
              <w:rPr>
                <w:rFonts w:hint="eastAsia"/>
                <w:color w:val="auto"/>
                <w:highlight w:val="none"/>
                <w:u w:val="single"/>
              </w:rPr>
              <w:t xml:space="preserve">              </w:t>
            </w:r>
            <w:r>
              <w:rPr>
                <w:rFonts w:hint="eastAsia"/>
                <w:color w:val="auto"/>
                <w:highlight w:val="none"/>
              </w:rPr>
              <w:t>元；</w:t>
            </w:r>
          </w:p>
        </w:tc>
      </w:tr>
    </w:tbl>
    <w:p w14:paraId="4A7FE042">
      <w:pPr>
        <w:spacing w:line="440" w:lineRule="exact"/>
        <w:ind w:firstLine="480"/>
        <w:outlineLvl w:val="1"/>
        <w:rPr>
          <w:rFonts w:hint="eastAsia" w:ascii="宋体" w:hAnsi="宋体" w:cs="宋体"/>
          <w:color w:val="auto"/>
          <w:highlight w:val="none"/>
          <w:lang w:bidi="ar"/>
        </w:rPr>
      </w:pPr>
      <w:bookmarkStart w:id="323" w:name="_Toc25828"/>
      <w:r>
        <w:rPr>
          <w:rFonts w:hint="eastAsia" w:ascii="宋体" w:hAnsi="宋体" w:cs="宋体"/>
          <w:color w:val="auto"/>
          <w:highlight w:val="none"/>
          <w:lang w:bidi="ar"/>
        </w:rPr>
        <w:t>三、付款方式：</w:t>
      </w:r>
      <w:bookmarkEnd w:id="323"/>
    </w:p>
    <w:p w14:paraId="26CB302D">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设备到货验收合格后收到发票3个月内一次性支付货款。</w:t>
      </w:r>
    </w:p>
    <w:p w14:paraId="5C03ECE9">
      <w:pPr>
        <w:spacing w:line="440" w:lineRule="exact"/>
        <w:ind w:firstLine="480"/>
        <w:outlineLvl w:val="1"/>
        <w:rPr>
          <w:rFonts w:hint="eastAsia" w:ascii="宋体" w:hAnsi="宋体" w:cs="宋体"/>
          <w:color w:val="auto"/>
          <w:highlight w:val="none"/>
          <w:lang w:bidi="ar"/>
        </w:rPr>
      </w:pPr>
      <w:bookmarkStart w:id="324" w:name="_Toc25159"/>
      <w:r>
        <w:rPr>
          <w:rFonts w:hint="eastAsia" w:ascii="宋体" w:hAnsi="宋体" w:cs="宋体"/>
          <w:color w:val="auto"/>
          <w:highlight w:val="none"/>
          <w:lang w:bidi="ar"/>
        </w:rPr>
        <w:t>四、标的物交付期限、地点、方式</w:t>
      </w:r>
      <w:bookmarkEnd w:id="324"/>
    </w:p>
    <w:p w14:paraId="1DA49A30">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 xml:space="preserve">交付期限：                                 </w:t>
      </w:r>
    </w:p>
    <w:p w14:paraId="4EBBDA5C">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 xml:space="preserve">交付地点：                                 </w:t>
      </w:r>
    </w:p>
    <w:p w14:paraId="17B4DABC">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 xml:space="preserve">交付方式：                                 </w:t>
      </w:r>
    </w:p>
    <w:p w14:paraId="10381393">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交付说明：在标的物交付使用时，乙方须向甲方提供发票、产品合格证、使用维修说明书、质量保证书、保修卡等须具备的相关资料和必备的附件。为甲方办理设备保修手续，并向甲方提供</w:t>
      </w:r>
      <w:r>
        <w:rPr>
          <w:rFonts w:hint="eastAsia" w:ascii="宋体" w:hAnsi="宋体" w:cs="宋体"/>
          <w:color w:val="auto"/>
          <w:highlight w:val="none"/>
          <w:lang w:eastAsia="zh-CN" w:bidi="ar"/>
        </w:rPr>
        <w:t>原厂</w:t>
      </w:r>
      <w:r>
        <w:rPr>
          <w:rFonts w:hint="eastAsia" w:ascii="宋体" w:hAnsi="宋体" w:cs="宋体"/>
          <w:color w:val="auto"/>
          <w:highlight w:val="none"/>
          <w:lang w:bidi="ar"/>
        </w:rPr>
        <w:t>服务承诺书原件。乙方须提供切实、高效、优质的售后服务，主要产品按要求提供原厂家质保承诺书。供货时，须在商品的</w:t>
      </w:r>
      <w:r>
        <w:rPr>
          <w:rFonts w:hint="eastAsia" w:ascii="宋体" w:hAnsi="宋体" w:cs="宋体"/>
          <w:color w:val="auto"/>
          <w:highlight w:val="none"/>
          <w:lang w:eastAsia="zh-CN" w:bidi="ar"/>
        </w:rPr>
        <w:t>右侧</w:t>
      </w:r>
      <w:r>
        <w:rPr>
          <w:rFonts w:hint="eastAsia" w:ascii="宋体" w:hAnsi="宋体" w:cs="宋体"/>
          <w:color w:val="auto"/>
          <w:highlight w:val="none"/>
          <w:lang w:bidi="ar"/>
        </w:rPr>
        <w:t>显著位置粘贴公司标签，注明公司名称、地址、服务电话及供货日期等。</w:t>
      </w:r>
    </w:p>
    <w:p w14:paraId="5253A77F">
      <w:pPr>
        <w:spacing w:line="440" w:lineRule="exact"/>
        <w:ind w:firstLine="480"/>
        <w:outlineLvl w:val="1"/>
        <w:rPr>
          <w:rFonts w:hint="eastAsia" w:ascii="宋体" w:hAnsi="宋体" w:cs="宋体"/>
          <w:color w:val="auto"/>
          <w:highlight w:val="none"/>
          <w:lang w:bidi="ar"/>
        </w:rPr>
      </w:pPr>
      <w:bookmarkStart w:id="325" w:name="_Toc18030"/>
      <w:r>
        <w:rPr>
          <w:rFonts w:hint="eastAsia" w:ascii="宋体" w:hAnsi="宋体" w:cs="宋体"/>
          <w:color w:val="auto"/>
          <w:highlight w:val="none"/>
          <w:lang w:bidi="ar"/>
        </w:rPr>
        <w:t>五、技术规范</w:t>
      </w:r>
      <w:bookmarkEnd w:id="325"/>
    </w:p>
    <w:p w14:paraId="6E4D9CB5">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3281C956">
      <w:pPr>
        <w:spacing w:line="440" w:lineRule="exact"/>
        <w:ind w:firstLine="480"/>
        <w:outlineLvl w:val="1"/>
        <w:rPr>
          <w:rFonts w:hint="eastAsia" w:ascii="宋体" w:hAnsi="宋体" w:cs="宋体"/>
          <w:color w:val="auto"/>
          <w:highlight w:val="none"/>
          <w:lang w:bidi="ar"/>
        </w:rPr>
      </w:pPr>
      <w:bookmarkStart w:id="326" w:name="_Toc10997"/>
      <w:r>
        <w:rPr>
          <w:rFonts w:hint="eastAsia" w:ascii="宋体" w:hAnsi="宋体" w:cs="宋体"/>
          <w:color w:val="auto"/>
          <w:highlight w:val="none"/>
          <w:lang w:bidi="ar"/>
        </w:rPr>
        <w:t>六、质保期及售后技术服务要求</w:t>
      </w:r>
      <w:bookmarkEnd w:id="326"/>
    </w:p>
    <w:p w14:paraId="3815AC34">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根据甲方按检验标准检验的结果或当地质检部门检验的结果，质保期基础车部分</w:t>
      </w:r>
      <w:r>
        <w:rPr>
          <w:rFonts w:hint="eastAsia" w:ascii="宋体" w:hAnsi="宋体" w:cs="宋体"/>
          <w:color w:val="auto"/>
          <w:highlight w:val="none"/>
          <w:u w:val="single"/>
          <w:lang w:bidi="ar"/>
        </w:rPr>
        <w:t xml:space="preserve">  年或   万公里</w:t>
      </w:r>
      <w:r>
        <w:rPr>
          <w:rFonts w:hint="eastAsia" w:ascii="宋体" w:hAnsi="宋体" w:cs="宋体"/>
          <w:color w:val="auto"/>
          <w:highlight w:val="none"/>
          <w:lang w:bidi="ar"/>
        </w:rPr>
        <w:t>具体按厂家质保手册执行，在保修期内所产生的相关费用由乙方承担。在保修期内，一旦发生质量问题，供应商保证在接到通知</w:t>
      </w:r>
      <w:r>
        <w:rPr>
          <w:rFonts w:hint="eastAsia" w:ascii="宋体" w:hAnsi="宋体" w:cs="宋体"/>
          <w:color w:val="auto"/>
          <w:highlight w:val="none"/>
          <w:u w:val="single"/>
          <w:lang w:bidi="ar"/>
        </w:rPr>
        <w:t xml:space="preserve"> </w:t>
      </w:r>
      <w:r>
        <w:rPr>
          <w:rFonts w:hint="eastAsia" w:ascii="宋体" w:hAnsi="宋体" w:cs="宋体"/>
          <w:color w:val="auto"/>
          <w:highlight w:val="none"/>
          <w:u w:val="single"/>
          <w:lang w:val="en-US" w:eastAsia="zh-CN" w:bidi="ar"/>
        </w:rPr>
        <w:t xml:space="preserve"> </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小时响应，</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小时内必须上门或者出具详细的解决方案。质保期后，供应商提供终生技术支持服务，保证零配件的供给。</w:t>
      </w:r>
    </w:p>
    <w:p w14:paraId="327C1711">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5.2质保期外提供精密检修服务，确保</w:t>
      </w:r>
      <w:r>
        <w:rPr>
          <w:rFonts w:hint="eastAsia" w:ascii="宋体" w:hAnsi="宋体" w:cs="宋体"/>
          <w:color w:val="auto"/>
          <w:highlight w:val="none"/>
          <w:u w:val="single"/>
          <w:lang w:bidi="ar"/>
        </w:rPr>
        <w:t xml:space="preserve">  </w:t>
      </w:r>
      <w:r>
        <w:rPr>
          <w:rFonts w:hint="eastAsia" w:ascii="宋体" w:hAnsi="宋体" w:cs="宋体"/>
          <w:color w:val="auto"/>
          <w:highlight w:val="none"/>
          <w:u w:val="single"/>
          <w:lang w:val="en-US" w:eastAsia="zh-CN" w:bidi="ar"/>
        </w:rPr>
        <w:t xml:space="preserve"> </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年内物品配件的稳定供应。若发生故障，以报修电话或传真为准，乙方应在</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小时内响应，尽快恢复物品的正常运行；</w:t>
      </w:r>
    </w:p>
    <w:p w14:paraId="5D8DA849">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5.3安装时，对终端用户进行培训，包含:操作数名、注意事项、日常保养、报警修复等；</w:t>
      </w:r>
    </w:p>
    <w:p w14:paraId="1E7DF2CE">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5.4乙方与甲方签订合同时需出具针对此项目的所投车辆生产厂家的汽车经销商授权（车辆生产厂家直接投标的，可不用提供）。如乙方不提供或提供的不符合要求，甲方有权拒绝与乙方签订合同，由此给甲方造成的一切损失，乙方应承担全部赔偿。</w:t>
      </w:r>
    </w:p>
    <w:p w14:paraId="60D88D18">
      <w:pPr>
        <w:widowControl/>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5.5其他售后服务：提供保修期内每年至少两次巡视、保养与检测，并提交相关检测报告。</w:t>
      </w:r>
    </w:p>
    <w:p w14:paraId="6EA9BDC3">
      <w:pPr>
        <w:widowControl/>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 xml:space="preserve">6.验收标准：符合我国国家有关技术规范和技术标准，应与产品原始样本技术资料及标书技术文件一致。   </w:t>
      </w:r>
    </w:p>
    <w:p w14:paraId="00E1DF33">
      <w:pPr>
        <w:spacing w:line="440" w:lineRule="exact"/>
        <w:ind w:firstLine="480"/>
        <w:outlineLvl w:val="1"/>
        <w:rPr>
          <w:rFonts w:hint="eastAsia" w:ascii="宋体" w:hAnsi="宋体" w:cs="宋体"/>
          <w:color w:val="auto"/>
          <w:highlight w:val="none"/>
          <w:lang w:bidi="ar"/>
        </w:rPr>
      </w:pPr>
      <w:bookmarkStart w:id="327" w:name="_Toc6295"/>
      <w:r>
        <w:rPr>
          <w:rFonts w:hint="eastAsia" w:ascii="宋体" w:hAnsi="宋体" w:cs="宋体"/>
          <w:color w:val="auto"/>
          <w:highlight w:val="none"/>
          <w:lang w:bidi="ar"/>
        </w:rPr>
        <w:t>七、知识产权</w:t>
      </w:r>
      <w:bookmarkEnd w:id="327"/>
    </w:p>
    <w:p w14:paraId="743C56A8">
      <w:pPr>
        <w:numPr>
          <w:ilvl w:val="255"/>
          <w:numId w:val="0"/>
        </w:numPr>
        <w:spacing w:line="440" w:lineRule="exact"/>
        <w:ind w:firstLine="480" w:firstLineChars="200"/>
        <w:rPr>
          <w:rFonts w:hint="eastAsia" w:ascii="宋体" w:hAnsi="宋体" w:cs="宋体"/>
          <w:color w:val="auto"/>
          <w:highlight w:val="none"/>
          <w:lang w:bidi="ar"/>
        </w:rPr>
      </w:pPr>
      <w:r>
        <w:rPr>
          <w:rFonts w:hint="eastAsia" w:ascii="宋体" w:hAnsi="宋体" w:cs="宋体"/>
          <w:color w:val="auto"/>
          <w:highlight w:val="none"/>
          <w:lang w:bidi="ar"/>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49D54E89">
      <w:pPr>
        <w:spacing w:line="440" w:lineRule="exact"/>
        <w:ind w:firstLine="480"/>
        <w:outlineLvl w:val="1"/>
        <w:rPr>
          <w:rFonts w:hint="eastAsia" w:ascii="宋体" w:hAnsi="宋体" w:cs="宋体"/>
          <w:color w:val="auto"/>
          <w:highlight w:val="none"/>
          <w:lang w:bidi="ar"/>
        </w:rPr>
      </w:pPr>
      <w:bookmarkStart w:id="328" w:name="_Toc21373"/>
      <w:r>
        <w:rPr>
          <w:rFonts w:hint="eastAsia" w:ascii="宋体" w:hAnsi="宋体" w:cs="宋体"/>
          <w:color w:val="auto"/>
          <w:highlight w:val="none"/>
          <w:lang w:bidi="ar"/>
        </w:rPr>
        <w:t>八、技术资料和保密义务</w:t>
      </w:r>
      <w:bookmarkEnd w:id="328"/>
    </w:p>
    <w:p w14:paraId="1732CB8B">
      <w:pPr>
        <w:numPr>
          <w:ilvl w:val="255"/>
          <w:numId w:val="0"/>
        </w:numPr>
        <w:spacing w:line="440" w:lineRule="exact"/>
        <w:ind w:firstLine="480" w:firstLineChars="200"/>
        <w:rPr>
          <w:rFonts w:hint="eastAsia" w:ascii="宋体" w:hAnsi="宋体" w:cs="宋体"/>
          <w:color w:val="auto"/>
          <w:highlight w:val="none"/>
          <w:lang w:bidi="ar"/>
        </w:rPr>
      </w:pPr>
      <w:r>
        <w:rPr>
          <w:rFonts w:hint="eastAsia" w:ascii="宋体" w:hAnsi="宋体" w:cs="宋体"/>
          <w:color w:val="auto"/>
          <w:highlight w:val="none"/>
          <w:lang w:bidi="ar"/>
        </w:rPr>
        <w:t>乙方有权依据合同约定和项目需要，向甲方了解有关情况，调阅有关资料等，甲方应予积极配合；</w:t>
      </w:r>
    </w:p>
    <w:p w14:paraId="12B74AF2">
      <w:pPr>
        <w:numPr>
          <w:ilvl w:val="255"/>
          <w:numId w:val="0"/>
        </w:numPr>
        <w:spacing w:line="440" w:lineRule="exact"/>
        <w:ind w:firstLine="480" w:firstLineChars="200"/>
        <w:rPr>
          <w:rFonts w:hint="eastAsia" w:ascii="宋体" w:hAnsi="宋体" w:cs="宋体"/>
          <w:color w:val="auto"/>
          <w:highlight w:val="none"/>
          <w:lang w:bidi="ar"/>
        </w:rPr>
      </w:pPr>
      <w:r>
        <w:rPr>
          <w:rFonts w:hint="eastAsia" w:ascii="宋体" w:hAnsi="宋体" w:cs="宋体"/>
          <w:color w:val="auto"/>
          <w:highlight w:val="none"/>
          <w:lang w:bidi="ar"/>
        </w:rPr>
        <w:t>乙方有义务妥善保管和保护由甲方提供的前款信息和资料等；</w:t>
      </w:r>
    </w:p>
    <w:p w14:paraId="1CC2E947">
      <w:pPr>
        <w:numPr>
          <w:ilvl w:val="255"/>
          <w:numId w:val="0"/>
        </w:numPr>
        <w:spacing w:line="440" w:lineRule="exact"/>
        <w:ind w:firstLine="480" w:firstLineChars="200"/>
        <w:rPr>
          <w:rFonts w:hint="eastAsia" w:ascii="宋体" w:hAnsi="宋体" w:cs="宋体"/>
          <w:color w:val="auto"/>
          <w:highlight w:val="none"/>
          <w:lang w:bidi="ar"/>
        </w:rPr>
      </w:pPr>
      <w:r>
        <w:rPr>
          <w:rFonts w:hint="eastAsia" w:ascii="宋体" w:hAnsi="宋体" w:cs="宋体"/>
          <w:color w:val="auto"/>
          <w:highlight w:val="none"/>
          <w:lang w:bidi="ar"/>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C7C0794">
      <w:pPr>
        <w:spacing w:line="440" w:lineRule="exact"/>
        <w:ind w:firstLine="480"/>
        <w:outlineLvl w:val="1"/>
        <w:rPr>
          <w:rFonts w:hint="eastAsia" w:ascii="宋体" w:hAnsi="宋体" w:cs="宋体"/>
          <w:color w:val="auto"/>
          <w:highlight w:val="none"/>
          <w:lang w:bidi="ar"/>
        </w:rPr>
      </w:pPr>
      <w:bookmarkStart w:id="329" w:name="_Toc22296"/>
      <w:r>
        <w:rPr>
          <w:rFonts w:hint="eastAsia" w:ascii="宋体" w:hAnsi="宋体" w:cs="宋体"/>
          <w:color w:val="auto"/>
          <w:highlight w:val="none"/>
          <w:lang w:bidi="ar"/>
        </w:rPr>
        <w:t>九、包装和运输（货物类）</w:t>
      </w:r>
      <w:bookmarkEnd w:id="329"/>
    </w:p>
    <w:p w14:paraId="3D3BC136">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3870059E">
      <w:pPr>
        <w:spacing w:line="440" w:lineRule="exact"/>
        <w:ind w:firstLine="480"/>
        <w:outlineLvl w:val="1"/>
        <w:rPr>
          <w:rFonts w:hint="eastAsia" w:ascii="宋体" w:hAnsi="宋体" w:cs="宋体"/>
          <w:color w:val="auto"/>
          <w:highlight w:val="none"/>
          <w:lang w:bidi="ar"/>
        </w:rPr>
      </w:pPr>
      <w:bookmarkStart w:id="330" w:name="_Toc12371"/>
      <w:r>
        <w:rPr>
          <w:rFonts w:hint="eastAsia" w:ascii="宋体" w:hAnsi="宋体" w:cs="宋体"/>
          <w:color w:val="auto"/>
          <w:highlight w:val="none"/>
          <w:lang w:bidi="ar"/>
        </w:rPr>
        <w:t>十、检验和验收</w:t>
      </w:r>
      <w:bookmarkEnd w:id="330"/>
    </w:p>
    <w:p w14:paraId="3C943F70">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E5278A4">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2.合同履行期间，甲方有权将履行过程中出现的问题反馈给乙方，双方当事人应以书面形式约定需要完善和改进的内容。</w:t>
      </w:r>
    </w:p>
    <w:p w14:paraId="5CEAF3F5">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3C9DE9AD">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111A6C5D">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5.检验和验收的时间、方案及标准、程序、费用等具体内容以及前述验收报告的效力如下：                                                                                                                                                                                   （特别说明：请参考采购文件要求。）</w:t>
      </w:r>
    </w:p>
    <w:p w14:paraId="3DBBEF72">
      <w:pPr>
        <w:spacing w:line="440" w:lineRule="exact"/>
        <w:ind w:firstLine="480"/>
        <w:outlineLvl w:val="1"/>
        <w:rPr>
          <w:rFonts w:hint="eastAsia" w:ascii="宋体" w:hAnsi="宋体" w:cs="宋体"/>
          <w:color w:val="auto"/>
          <w:highlight w:val="none"/>
          <w:lang w:bidi="ar"/>
        </w:rPr>
      </w:pPr>
      <w:bookmarkStart w:id="331" w:name="_Toc13739"/>
      <w:r>
        <w:rPr>
          <w:rFonts w:hint="eastAsia" w:ascii="宋体" w:hAnsi="宋体" w:cs="宋体"/>
          <w:color w:val="auto"/>
          <w:highlight w:val="none"/>
          <w:lang w:bidi="ar"/>
        </w:rPr>
        <w:t>十一、税费</w:t>
      </w:r>
      <w:bookmarkEnd w:id="331"/>
    </w:p>
    <w:p w14:paraId="6DDDC313">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本合同执行中相关的一切税费均由乙方负担。</w:t>
      </w:r>
    </w:p>
    <w:p w14:paraId="6F91A7DC">
      <w:pPr>
        <w:spacing w:line="440" w:lineRule="exact"/>
        <w:ind w:firstLine="480"/>
        <w:outlineLvl w:val="1"/>
        <w:rPr>
          <w:rFonts w:hint="eastAsia" w:ascii="宋体" w:hAnsi="宋体" w:cs="宋体"/>
          <w:color w:val="auto"/>
          <w:highlight w:val="none"/>
          <w:lang w:bidi="ar"/>
        </w:rPr>
      </w:pPr>
      <w:bookmarkStart w:id="332" w:name="_Toc31485"/>
      <w:r>
        <w:rPr>
          <w:rFonts w:hint="eastAsia" w:ascii="宋体" w:hAnsi="宋体" w:cs="宋体"/>
          <w:color w:val="auto"/>
          <w:highlight w:val="none"/>
          <w:lang w:bidi="ar"/>
        </w:rPr>
        <w:t>十二、质量保证及售后服务</w:t>
      </w:r>
      <w:bookmarkEnd w:id="332"/>
    </w:p>
    <w:p w14:paraId="41E19BC8">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1.乙方应按采购文件规定向甲方提供服务。</w:t>
      </w:r>
    </w:p>
    <w:p w14:paraId="0722210D">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2.乙方提供的服务成果在服务质量保证期内发生故障，乙方应负责免费提供后续服务。对达不到要求者，根据实际情况，经双方协商，可按以下办法处理：</w:t>
      </w:r>
    </w:p>
    <w:p w14:paraId="435A9796">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（1）重做：由乙方承担所发生的全部费用。</w:t>
      </w:r>
    </w:p>
    <w:p w14:paraId="05762140">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（2）贬值处理：由甲乙双方合议定价。</w:t>
      </w:r>
    </w:p>
    <w:p w14:paraId="1FE639DE">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（3）解除合同。</w:t>
      </w:r>
    </w:p>
    <w:p w14:paraId="5E46B42A">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3.如在过程中发生问题，乙方在接到甲方通知后在</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小时内到达甲方现场。</w:t>
      </w:r>
    </w:p>
    <w:p w14:paraId="597AAA24">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4.在服务质量保证期内，乙方应对出现的质量及安全问题负责处理解决并承担一切费用。</w:t>
      </w:r>
    </w:p>
    <w:p w14:paraId="51DDFCB8">
      <w:pPr>
        <w:spacing w:line="440" w:lineRule="exact"/>
        <w:ind w:firstLine="480"/>
        <w:outlineLvl w:val="1"/>
        <w:rPr>
          <w:rFonts w:hint="default" w:ascii="宋体" w:hAnsi="宋体" w:eastAsia="宋体" w:cs="宋体"/>
          <w:color w:val="auto"/>
          <w:highlight w:val="none"/>
          <w:lang w:val="en-US" w:eastAsia="zh-CN" w:bidi="ar"/>
        </w:rPr>
      </w:pPr>
      <w:bookmarkStart w:id="333" w:name="_Toc20904"/>
      <w:r>
        <w:rPr>
          <w:rFonts w:hint="eastAsia" w:ascii="宋体" w:hAnsi="宋体" w:cs="宋体"/>
          <w:color w:val="auto"/>
          <w:highlight w:val="none"/>
          <w:lang w:bidi="ar"/>
        </w:rPr>
        <w:t>十三、履约保证金</w:t>
      </w:r>
      <w:bookmarkEnd w:id="333"/>
      <w:r>
        <w:rPr>
          <w:rFonts w:hint="eastAsia" w:ascii="宋体" w:hAnsi="宋体" w:cs="宋体"/>
          <w:color w:val="auto"/>
          <w:highlight w:val="none"/>
          <w:lang w:val="en-US" w:eastAsia="zh-CN" w:bidi="ar"/>
        </w:rPr>
        <w:t>的缴纳与退还</w:t>
      </w:r>
    </w:p>
    <w:p w14:paraId="4C351049">
      <w:pPr>
        <w:spacing w:line="440" w:lineRule="exact"/>
        <w:ind w:left="715" w:leftChars="182" w:hanging="278" w:hangingChars="116"/>
        <w:jc w:val="left"/>
        <w:rPr>
          <w:rFonts w:hint="eastAsia" w:ascii="宋体" w:hAnsi="宋体" w:cs="宋体"/>
          <w:color w:val="auto"/>
          <w:highlight w:val="none"/>
          <w:u w:val="single"/>
          <w:lang w:bidi="ar"/>
        </w:rPr>
      </w:pPr>
      <w:r>
        <w:rPr>
          <w:rFonts w:hint="eastAsia" w:ascii="宋体" w:hAnsi="宋体" w:cs="宋体"/>
          <w:color w:val="auto"/>
          <w:highlight w:val="none"/>
          <w:lang w:val="zh-CN" w:bidi="ar"/>
        </w:rPr>
        <w:t>1.交纳金额：</w:t>
      </w:r>
      <w:r>
        <w:rPr>
          <w:rFonts w:hint="eastAsia" w:ascii="宋体" w:hAnsi="宋体" w:cs="宋体"/>
          <w:color w:val="auto"/>
          <w:highlight w:val="none"/>
          <w:lang w:bidi="ar"/>
        </w:rPr>
        <w:t>乙方</w:t>
      </w:r>
      <w:r>
        <w:rPr>
          <w:rFonts w:hint="eastAsia" w:ascii="宋体" w:hAnsi="宋体" w:cs="宋体"/>
          <w:color w:val="auto"/>
          <w:highlight w:val="none"/>
          <w:lang w:val="zh-CN" w:bidi="ar"/>
        </w:rPr>
        <w:t>须向</w:t>
      </w:r>
      <w:r>
        <w:rPr>
          <w:rFonts w:hint="eastAsia" w:ascii="宋体" w:hAnsi="宋体" w:cs="宋体"/>
          <w:color w:val="auto"/>
          <w:highlight w:val="none"/>
          <w:lang w:bidi="ar"/>
        </w:rPr>
        <w:t>甲方</w:t>
      </w:r>
      <w:r>
        <w:rPr>
          <w:rFonts w:hint="eastAsia" w:ascii="宋体" w:hAnsi="宋体" w:cs="宋体"/>
          <w:color w:val="auto"/>
          <w:highlight w:val="none"/>
          <w:lang w:val="zh-CN" w:bidi="ar"/>
        </w:rPr>
        <w:t>交纳，为合同价格的1.0%；</w:t>
      </w:r>
      <w:r>
        <w:rPr>
          <w:rFonts w:hint="eastAsia" w:ascii="宋体" w:hAnsi="宋体" w:cs="宋体"/>
          <w:color w:val="auto"/>
          <w:highlight w:val="none"/>
          <w:lang w:bidi="ar"/>
        </w:rPr>
        <w:t xml:space="preserve">即人民币大写： </w:t>
      </w:r>
      <w:r>
        <w:rPr>
          <w:rFonts w:hint="eastAsia" w:ascii="宋体" w:hAnsi="宋体" w:cs="宋体"/>
          <w:color w:val="auto"/>
          <w:highlight w:val="none"/>
          <w:u w:val="single"/>
          <w:lang w:bidi="ar"/>
        </w:rPr>
        <w:t xml:space="preserve">   </w:t>
      </w:r>
      <w:r>
        <w:rPr>
          <w:rFonts w:hint="eastAsia" w:ascii="宋体" w:hAnsi="宋体" w:cs="宋体"/>
          <w:color w:val="auto"/>
          <w:highlight w:val="none"/>
          <w:u w:val="single"/>
          <w:lang w:val="en-US" w:eastAsia="zh-CN" w:bidi="ar"/>
        </w:rPr>
        <w:t xml:space="preserve">   </w:t>
      </w:r>
      <w:r>
        <w:rPr>
          <w:rFonts w:hint="eastAsia" w:ascii="宋体" w:hAnsi="宋体" w:cs="宋体"/>
          <w:color w:val="auto"/>
          <w:highlight w:val="none"/>
          <w:u w:val="none"/>
          <w:lang w:bidi="ar"/>
        </w:rPr>
        <w:t>元；小写：</w:t>
      </w:r>
      <w:r>
        <w:rPr>
          <w:rFonts w:hint="eastAsia" w:ascii="宋体" w:hAnsi="宋体" w:cs="宋体"/>
          <w:color w:val="auto"/>
          <w:highlight w:val="none"/>
          <w:u w:val="single"/>
          <w:lang w:bidi="ar"/>
        </w:rPr>
        <w:t xml:space="preserve">¥   </w:t>
      </w:r>
      <w:r>
        <w:rPr>
          <w:rFonts w:hint="eastAsia" w:ascii="宋体" w:hAnsi="宋体" w:cs="宋体"/>
          <w:color w:val="auto"/>
          <w:highlight w:val="none"/>
          <w:u w:val="single"/>
          <w:lang w:val="en-US" w:eastAsia="zh-CN" w:bidi="ar"/>
        </w:rPr>
        <w:t xml:space="preserve">  </w:t>
      </w:r>
      <w:r>
        <w:rPr>
          <w:rFonts w:hint="eastAsia" w:ascii="宋体" w:hAnsi="宋体" w:cs="宋体"/>
          <w:color w:val="auto"/>
          <w:highlight w:val="none"/>
          <w:u w:val="single"/>
          <w:lang w:bidi="ar"/>
        </w:rPr>
        <w:t xml:space="preserve">  </w:t>
      </w:r>
      <w:r>
        <w:rPr>
          <w:rFonts w:hint="eastAsia" w:ascii="宋体" w:hAnsi="宋体" w:cs="宋体"/>
          <w:color w:val="auto"/>
          <w:highlight w:val="none"/>
          <w:u w:val="none"/>
          <w:lang w:bidi="ar"/>
        </w:rPr>
        <w:t>元。</w:t>
      </w:r>
    </w:p>
    <w:p w14:paraId="2ABE9A83">
      <w:pPr>
        <w:spacing w:line="440" w:lineRule="exact"/>
        <w:ind w:left="715" w:leftChars="182" w:hanging="278" w:hangingChars="116"/>
        <w:jc w:val="left"/>
        <w:rPr>
          <w:rFonts w:hint="eastAsia" w:ascii="宋体" w:hAnsi="宋体" w:cs="宋体"/>
          <w:color w:val="auto"/>
          <w:highlight w:val="none"/>
          <w:lang w:val="zh-CN" w:bidi="ar"/>
        </w:rPr>
      </w:pPr>
      <w:r>
        <w:rPr>
          <w:rFonts w:hint="eastAsia" w:ascii="宋体" w:hAnsi="宋体" w:cs="宋体"/>
          <w:color w:val="auto"/>
          <w:highlight w:val="none"/>
          <w:lang w:val="zh-CN" w:bidi="ar"/>
        </w:rPr>
        <w:t>2.交纳方式：汇票/支票/银行转账/银行保函</w:t>
      </w:r>
      <w:r>
        <w:rPr>
          <w:rFonts w:hint="eastAsia" w:ascii="宋体" w:hAnsi="宋体" w:cs="宋体"/>
          <w:color w:val="auto"/>
          <w:highlight w:val="none"/>
          <w:lang w:bidi="ar"/>
        </w:rPr>
        <w:t>/保险保函</w:t>
      </w:r>
      <w:r>
        <w:rPr>
          <w:rFonts w:hint="eastAsia" w:ascii="宋体" w:hAnsi="宋体" w:cs="宋体"/>
          <w:color w:val="auto"/>
          <w:highlight w:val="none"/>
          <w:lang w:val="zh-CN" w:bidi="ar"/>
        </w:rPr>
        <w:t>。</w:t>
      </w:r>
    </w:p>
    <w:p w14:paraId="6D3A4CD5">
      <w:pPr>
        <w:spacing w:line="440" w:lineRule="exact"/>
        <w:ind w:firstLine="440" w:firstLineChars="0"/>
        <w:jc w:val="left"/>
        <w:rPr>
          <w:rFonts w:hint="eastAsia" w:ascii="宋体" w:hAnsi="宋体" w:cs="宋体"/>
          <w:color w:val="auto"/>
          <w:highlight w:val="none"/>
          <w:lang w:val="zh-CN" w:bidi="ar"/>
        </w:rPr>
      </w:pPr>
      <w:r>
        <w:rPr>
          <w:rFonts w:hint="eastAsia" w:ascii="宋体" w:hAnsi="宋体" w:cs="宋体"/>
          <w:color w:val="auto"/>
          <w:highlight w:val="none"/>
          <w:lang w:val="zh-CN" w:bidi="ar"/>
        </w:rPr>
        <w:t>3.交纳时间：本项目合同签订前交纳。</w:t>
      </w:r>
    </w:p>
    <w:p w14:paraId="70A27EE3">
      <w:pPr>
        <w:widowControl/>
        <w:spacing w:line="440" w:lineRule="exact"/>
        <w:ind w:firstLine="480"/>
        <w:rPr>
          <w:rFonts w:hint="eastAsia" w:ascii="宋体" w:hAnsi="宋体" w:cs="宋体"/>
          <w:color w:val="auto"/>
          <w:highlight w:val="none"/>
          <w:lang w:val="zh-CN" w:bidi="ar"/>
        </w:rPr>
      </w:pPr>
      <w:r>
        <w:rPr>
          <w:rFonts w:hint="eastAsia" w:ascii="宋体" w:hAnsi="宋体" w:cs="宋体"/>
          <w:color w:val="auto"/>
          <w:highlight w:val="none"/>
          <w:lang w:val="zh-CN" w:bidi="ar"/>
        </w:rPr>
        <w:t>4.退还条件：</w:t>
      </w:r>
      <w:r>
        <w:rPr>
          <w:rFonts w:hint="eastAsia" w:ascii="宋体" w:hAnsi="宋体" w:cs="宋体"/>
          <w:color w:val="auto"/>
          <w:highlight w:val="none"/>
          <w:lang w:bidi="ar"/>
        </w:rPr>
        <w:t>验收合格后15日内无息退还</w:t>
      </w:r>
      <w:r>
        <w:rPr>
          <w:rFonts w:hint="eastAsia" w:ascii="宋体" w:hAnsi="宋体" w:cs="宋体"/>
          <w:color w:val="auto"/>
          <w:highlight w:val="none"/>
          <w:lang w:val="zh-CN" w:bidi="ar"/>
        </w:rPr>
        <w:t>。</w:t>
      </w:r>
    </w:p>
    <w:p w14:paraId="24EABFE1">
      <w:pPr>
        <w:spacing w:line="440" w:lineRule="exact"/>
        <w:ind w:firstLine="480"/>
        <w:outlineLvl w:val="1"/>
        <w:rPr>
          <w:rFonts w:hint="eastAsia" w:ascii="宋体" w:hAnsi="宋体" w:cs="宋体"/>
          <w:color w:val="auto"/>
          <w:highlight w:val="none"/>
          <w:lang w:bidi="ar"/>
        </w:rPr>
      </w:pPr>
      <w:bookmarkStart w:id="334" w:name="_Toc9648"/>
      <w:r>
        <w:rPr>
          <w:rFonts w:hint="eastAsia" w:ascii="宋体" w:hAnsi="宋体" w:cs="宋体"/>
          <w:color w:val="auto"/>
          <w:highlight w:val="none"/>
          <w:lang w:bidi="ar"/>
        </w:rPr>
        <w:t>十四、违约责任</w:t>
      </w:r>
      <w:bookmarkEnd w:id="334"/>
    </w:p>
    <w:p w14:paraId="5CCFE67D">
      <w:pPr>
        <w:numPr>
          <w:ilvl w:val="255"/>
          <w:numId w:val="0"/>
        </w:numPr>
        <w:spacing w:line="440" w:lineRule="exact"/>
        <w:ind w:firstLine="480" w:firstLineChars="200"/>
        <w:rPr>
          <w:rFonts w:hint="eastAsia" w:ascii="宋体" w:hAnsi="宋体" w:cs="宋体"/>
          <w:color w:val="auto"/>
          <w:highlight w:val="none"/>
          <w:lang w:bidi="ar"/>
        </w:rPr>
      </w:pPr>
      <w:r>
        <w:rPr>
          <w:rFonts w:hint="eastAsia" w:ascii="宋体" w:hAnsi="宋体" w:cs="宋体"/>
          <w:color w:val="auto"/>
          <w:highlight w:val="none"/>
          <w:lang w:bidi="ar"/>
        </w:rPr>
        <w:t>除不可抗力外，如果乙方没有按照本合同约定的期限、地点和方式交付标的物，那么甲方可要求乙方支付违约金，违约金按每迟延交付标的物一日的应交付而未交付标的物价格的万分之五计算，最高限额为本合同总价的</w:t>
      </w:r>
      <w:r>
        <w:rPr>
          <w:rFonts w:hint="eastAsia" w:ascii="宋体" w:hAnsi="宋体" w:cs="宋体"/>
          <w:color w:val="auto"/>
          <w:highlight w:val="none"/>
          <w:u w:val="single"/>
          <w:lang w:bidi="ar"/>
        </w:rPr>
        <w:t xml:space="preserve">  20   </w:t>
      </w:r>
      <w:r>
        <w:rPr>
          <w:rFonts w:hint="eastAsia" w:ascii="宋体" w:hAnsi="宋体" w:cs="宋体"/>
          <w:color w:val="auto"/>
          <w:highlight w:val="none"/>
          <w:lang w:bidi="ar"/>
        </w:rPr>
        <w:t>%；迟延交付标的物的违约金计算数额达到前述最高限额之日起，甲方有权在要求乙方支付违约金的同时，书面通知乙方解除本合同；</w:t>
      </w:r>
    </w:p>
    <w:p w14:paraId="2ECA3BC1">
      <w:pPr>
        <w:numPr>
          <w:ilvl w:val="255"/>
          <w:numId w:val="0"/>
        </w:numPr>
        <w:spacing w:line="440" w:lineRule="exact"/>
        <w:ind w:firstLine="480" w:firstLineChars="200"/>
        <w:rPr>
          <w:rFonts w:hint="eastAsia" w:ascii="宋体" w:hAnsi="宋体" w:cs="宋体"/>
          <w:color w:val="auto"/>
          <w:highlight w:val="none"/>
          <w:lang w:bidi="ar"/>
        </w:rPr>
      </w:pPr>
      <w:r>
        <w:rPr>
          <w:rFonts w:hint="eastAsia" w:ascii="宋体" w:hAnsi="宋体" w:cs="宋体"/>
          <w:color w:val="auto"/>
          <w:highlight w:val="none"/>
          <w:lang w:bidi="ar"/>
        </w:rPr>
        <w:t>除不可抗力外，如果甲方没有按照本合同约定的付款方式付款，那么乙方可要求甲方支付违约金，违约金按每迟延付款一日的应付而未付款的万分之五计算，最高限额为本合同总价的   20  %；迟延付款的违约金计算数额达到前述最高限额之日起，乙方有权在要求甲方支付违约金的同时，书面通知甲方解除本合同；</w:t>
      </w:r>
    </w:p>
    <w:p w14:paraId="1F6315A2">
      <w:pPr>
        <w:numPr>
          <w:ilvl w:val="255"/>
          <w:numId w:val="0"/>
        </w:numPr>
        <w:spacing w:line="440" w:lineRule="exact"/>
        <w:ind w:firstLine="480" w:firstLineChars="200"/>
        <w:rPr>
          <w:rFonts w:hint="eastAsia" w:ascii="宋体" w:hAnsi="宋体" w:cs="宋体"/>
          <w:color w:val="auto"/>
          <w:highlight w:val="none"/>
          <w:lang w:bidi="ar"/>
        </w:rPr>
      </w:pPr>
      <w:r>
        <w:rPr>
          <w:rFonts w:hint="eastAsia" w:ascii="宋体" w:hAnsi="宋体" w:cs="宋体"/>
          <w:color w:val="auto"/>
          <w:highlight w:val="none"/>
          <w:lang w:bidi="ar"/>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741BC5F">
      <w:pPr>
        <w:numPr>
          <w:ilvl w:val="255"/>
          <w:numId w:val="0"/>
        </w:numPr>
        <w:spacing w:line="440" w:lineRule="exact"/>
        <w:ind w:firstLine="480" w:firstLineChars="200"/>
        <w:rPr>
          <w:rFonts w:hint="eastAsia" w:ascii="宋体" w:hAnsi="宋体" w:cs="宋体"/>
          <w:color w:val="auto"/>
          <w:highlight w:val="none"/>
          <w:lang w:bidi="ar"/>
        </w:rPr>
      </w:pPr>
      <w:r>
        <w:rPr>
          <w:rFonts w:hint="eastAsia" w:ascii="宋体" w:hAnsi="宋体" w:cs="宋体"/>
          <w:color w:val="auto"/>
          <w:highlight w:val="none"/>
          <w:lang w:bidi="ar"/>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FE45E27">
      <w:pPr>
        <w:numPr>
          <w:ilvl w:val="255"/>
          <w:numId w:val="0"/>
        </w:numPr>
        <w:spacing w:line="440" w:lineRule="exact"/>
        <w:ind w:firstLine="480" w:firstLineChars="200"/>
        <w:rPr>
          <w:rFonts w:hint="eastAsia" w:ascii="宋体" w:hAnsi="宋体" w:cs="宋体"/>
          <w:color w:val="auto"/>
          <w:highlight w:val="none"/>
          <w:lang w:bidi="ar"/>
        </w:rPr>
      </w:pPr>
      <w:r>
        <w:rPr>
          <w:rFonts w:hint="eastAsia" w:ascii="宋体" w:hAnsi="宋体" w:cs="宋体"/>
          <w:color w:val="auto"/>
          <w:highlight w:val="none"/>
          <w:lang w:bidi="ar"/>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6FCEF9C">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如果出现政府采购监督管理部门在处理投诉事项期间，书面通知甲方暂停采购活动的情形，或者询问或质疑事项可能影响中标结果的，导致甲方中止履行合同的情形，均不视为甲方违约。</w:t>
      </w:r>
    </w:p>
    <w:p w14:paraId="50810DCF">
      <w:pPr>
        <w:spacing w:line="440" w:lineRule="exact"/>
        <w:ind w:firstLine="480"/>
        <w:outlineLvl w:val="1"/>
        <w:rPr>
          <w:rFonts w:hint="eastAsia" w:ascii="宋体" w:hAnsi="宋体" w:cs="宋体"/>
          <w:color w:val="auto"/>
          <w:highlight w:val="none"/>
          <w:lang w:bidi="ar"/>
        </w:rPr>
      </w:pPr>
      <w:bookmarkStart w:id="335" w:name="_Toc32171"/>
      <w:r>
        <w:rPr>
          <w:rFonts w:hint="eastAsia" w:ascii="宋体" w:hAnsi="宋体" w:cs="宋体"/>
          <w:color w:val="auto"/>
          <w:highlight w:val="none"/>
          <w:lang w:bidi="ar"/>
        </w:rPr>
        <w:t>十五、不可抗力事件处理</w:t>
      </w:r>
      <w:bookmarkEnd w:id="335"/>
    </w:p>
    <w:p w14:paraId="01FBABC0">
      <w:pPr>
        <w:widowControl/>
        <w:spacing w:line="440" w:lineRule="exact"/>
        <w:ind w:firstLine="480"/>
        <w:jc w:val="left"/>
        <w:rPr>
          <w:rFonts w:hint="eastAsia" w:ascii="宋体" w:hAnsi="宋体" w:cs="宋体"/>
          <w:color w:val="auto"/>
          <w:highlight w:val="none"/>
          <w:lang w:bidi="ar"/>
        </w:rPr>
      </w:pPr>
      <w:r>
        <w:rPr>
          <w:rFonts w:hint="eastAsia" w:ascii="宋体" w:hAnsi="宋体" w:cs="宋体"/>
          <w:color w:val="auto"/>
          <w:highlight w:val="none"/>
          <w:lang w:bidi="ar"/>
        </w:rPr>
        <w:t>1.在合同有效期内，任何一方因不可抗力事件导致不能履行合同，则合同履行期可延长，其延长期与不可抗力影响期相同。</w:t>
      </w:r>
    </w:p>
    <w:p w14:paraId="2EF8874B">
      <w:pPr>
        <w:widowControl/>
        <w:spacing w:line="440" w:lineRule="exact"/>
        <w:ind w:firstLine="480"/>
        <w:jc w:val="left"/>
        <w:rPr>
          <w:rFonts w:hint="eastAsia" w:ascii="宋体" w:hAnsi="宋体" w:cs="宋体"/>
          <w:color w:val="auto"/>
          <w:highlight w:val="none"/>
          <w:lang w:bidi="ar"/>
        </w:rPr>
      </w:pPr>
      <w:r>
        <w:rPr>
          <w:rFonts w:hint="eastAsia" w:ascii="宋体" w:hAnsi="宋体" w:cs="宋体"/>
          <w:color w:val="auto"/>
          <w:highlight w:val="none"/>
          <w:lang w:bidi="ar"/>
        </w:rPr>
        <w:t>2.不可抗力事件发生后，应立即通知对方，并寄送有关权威机构出具的证明。</w:t>
      </w:r>
    </w:p>
    <w:p w14:paraId="0F6B17FA">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3.不可抗力事件延续120天以上，双方应通过友好协商，确定是否继续履行合同。</w:t>
      </w:r>
    </w:p>
    <w:p w14:paraId="1A838021">
      <w:pPr>
        <w:spacing w:line="440" w:lineRule="exact"/>
        <w:ind w:firstLine="480"/>
        <w:outlineLvl w:val="1"/>
        <w:rPr>
          <w:rFonts w:hint="eastAsia" w:ascii="宋体" w:hAnsi="宋体" w:cs="宋体"/>
          <w:color w:val="auto"/>
          <w:highlight w:val="none"/>
          <w:lang w:bidi="ar"/>
        </w:rPr>
      </w:pPr>
      <w:bookmarkStart w:id="336" w:name="_Toc9454"/>
      <w:r>
        <w:rPr>
          <w:rFonts w:hint="eastAsia" w:ascii="宋体" w:hAnsi="宋体" w:cs="宋体"/>
          <w:color w:val="auto"/>
          <w:highlight w:val="none"/>
          <w:lang w:bidi="ar"/>
        </w:rPr>
        <w:t>十六、诉讼</w:t>
      </w:r>
      <w:bookmarkEnd w:id="336"/>
    </w:p>
    <w:p w14:paraId="41D72F34">
      <w:pPr>
        <w:spacing w:line="440" w:lineRule="exact"/>
        <w:ind w:firstLine="480"/>
        <w:rPr>
          <w:rFonts w:hint="eastAsia" w:ascii="宋体" w:hAnsi="宋体" w:cs="宋体"/>
          <w:color w:val="auto"/>
          <w:highlight w:val="none"/>
          <w:lang w:bidi="ar"/>
        </w:rPr>
      </w:pPr>
      <w:r>
        <w:rPr>
          <w:rFonts w:hint="eastAsia" w:ascii="宋体" w:hAnsi="宋体" w:cs="宋体"/>
          <w:color w:val="auto"/>
          <w:highlight w:val="none"/>
          <w:lang w:bidi="ar"/>
        </w:rPr>
        <w:t>本合同项目所在地为龙游县，双方在执行合同中所发生的一切争议，应通过协商解决。如协商不成，可向甲方所在地法院起诉。</w:t>
      </w:r>
    </w:p>
    <w:p w14:paraId="3070C677">
      <w:pPr>
        <w:spacing w:line="440" w:lineRule="exact"/>
        <w:ind w:firstLine="480"/>
        <w:outlineLvl w:val="1"/>
        <w:rPr>
          <w:rFonts w:hint="eastAsia" w:ascii="宋体" w:hAnsi="宋体" w:cs="宋体"/>
          <w:color w:val="auto"/>
          <w:highlight w:val="none"/>
          <w:lang w:bidi="ar"/>
        </w:rPr>
      </w:pPr>
      <w:r>
        <w:rPr>
          <w:rFonts w:hint="eastAsia" w:ascii="宋体" w:hAnsi="宋体" w:cs="宋体"/>
          <w:color w:val="auto"/>
          <w:highlight w:val="none"/>
          <w:lang w:bidi="ar"/>
        </w:rPr>
        <w:t>十七、廉洁购销条款</w:t>
      </w:r>
    </w:p>
    <w:p w14:paraId="717A9DF7">
      <w:pPr>
        <w:widowControl/>
        <w:spacing w:line="440" w:lineRule="exact"/>
        <w:ind w:firstLine="480"/>
        <w:jc w:val="left"/>
        <w:rPr>
          <w:rFonts w:hint="eastAsia" w:ascii="宋体" w:hAnsi="宋体" w:cs="宋体"/>
          <w:color w:val="auto"/>
          <w:highlight w:val="none"/>
          <w:lang w:bidi="ar"/>
        </w:rPr>
      </w:pPr>
      <w:r>
        <w:rPr>
          <w:rFonts w:ascii="宋体" w:hAnsi="宋体" w:cs="宋体"/>
          <w:color w:val="auto"/>
          <w:highlight w:val="none"/>
          <w:lang w:bidi="ar"/>
        </w:rPr>
        <w:t>1.</w:t>
      </w:r>
      <w:r>
        <w:rPr>
          <w:rFonts w:hint="eastAsia" w:ascii="宋体" w:hAnsi="宋体" w:cs="宋体"/>
          <w:color w:val="auto"/>
          <w:highlight w:val="none"/>
          <w:lang w:bidi="ar"/>
        </w:rPr>
        <w:t xml:space="preserve"> 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w:t>
      </w:r>
    </w:p>
    <w:p w14:paraId="080B0BAA">
      <w:pPr>
        <w:widowControl/>
        <w:spacing w:line="440" w:lineRule="exact"/>
        <w:ind w:firstLine="480"/>
        <w:jc w:val="left"/>
        <w:rPr>
          <w:rFonts w:hint="eastAsia" w:ascii="宋体" w:hAnsi="宋体" w:cs="宋体"/>
          <w:color w:val="auto"/>
          <w:highlight w:val="none"/>
          <w:lang w:bidi="ar"/>
        </w:rPr>
      </w:pPr>
      <w:r>
        <w:rPr>
          <w:rFonts w:hint="eastAsia" w:ascii="宋体" w:hAnsi="宋体" w:cs="宋体"/>
          <w:color w:val="auto"/>
          <w:highlight w:val="none"/>
          <w:lang w:bidi="ar"/>
        </w:rPr>
        <w:t>被动接受乙方给予的钱物,应予退还,无法退还的,有责任如实向有关纪检监察部门反映情况。</w:t>
      </w:r>
    </w:p>
    <w:p w14:paraId="2ACB20D9">
      <w:pPr>
        <w:widowControl/>
        <w:spacing w:line="440" w:lineRule="exact"/>
        <w:ind w:firstLine="480"/>
        <w:jc w:val="left"/>
        <w:rPr>
          <w:rFonts w:hint="eastAsia" w:ascii="宋体" w:hAnsi="宋体" w:cs="宋体"/>
          <w:color w:val="auto"/>
          <w:highlight w:val="none"/>
          <w:lang w:bidi="ar"/>
        </w:rPr>
      </w:pPr>
      <w:r>
        <w:rPr>
          <w:rFonts w:hint="eastAsia" w:ascii="宋体" w:hAnsi="宋体" w:cs="宋体"/>
          <w:color w:val="auto"/>
          <w:highlight w:val="none"/>
          <w:lang w:bidi="ar"/>
        </w:rPr>
        <w:t>2. 乙方不得以回扣、宴请等方式影响甲方工作人员采购或使用乙方产品的选择权,不得提供旅游、支付食宿费用。</w:t>
      </w:r>
    </w:p>
    <w:p w14:paraId="4DB7DF20">
      <w:pPr>
        <w:widowControl/>
        <w:spacing w:line="440" w:lineRule="exact"/>
        <w:ind w:firstLine="480"/>
        <w:jc w:val="left"/>
        <w:rPr>
          <w:rFonts w:hint="eastAsia" w:ascii="宋体" w:hAnsi="宋体" w:cs="宋体"/>
          <w:color w:val="auto"/>
          <w:highlight w:val="none"/>
          <w:lang w:bidi="ar"/>
        </w:rPr>
      </w:pPr>
      <w:r>
        <w:rPr>
          <w:rFonts w:hint="eastAsia" w:ascii="宋体" w:hAnsi="宋体" w:cs="宋体"/>
          <w:color w:val="auto"/>
          <w:highlight w:val="none"/>
          <w:lang w:bidi="ar"/>
        </w:rPr>
        <w:t>3. 乙方指定作为合同代表洽谈业务。合同代表必须在工作时间到甲方指定地点联系商谈,不得借故到甲方相关领导、部门负责人及相关工作人员家中访谈并提供任何好处费。</w:t>
      </w:r>
    </w:p>
    <w:p w14:paraId="6886B3EF">
      <w:pPr>
        <w:widowControl/>
        <w:spacing w:line="440" w:lineRule="exact"/>
        <w:ind w:firstLine="480"/>
        <w:jc w:val="left"/>
        <w:rPr>
          <w:rFonts w:hint="eastAsia" w:ascii="宋体" w:hAnsi="宋体" w:cs="宋体"/>
          <w:color w:val="auto"/>
          <w:highlight w:val="none"/>
          <w:lang w:bidi="ar"/>
        </w:rPr>
      </w:pPr>
      <w:r>
        <w:rPr>
          <w:rFonts w:hint="eastAsia" w:ascii="宋体" w:hAnsi="宋体" w:cs="宋体"/>
          <w:color w:val="auto"/>
          <w:highlight w:val="none"/>
          <w:lang w:bidi="ar"/>
        </w:rPr>
        <w:t>4. 乙方如违反条款,一经发现,甲方有权终止购销合同,并向有关卫生健康行政部门报告。如乙方被列入商业贿赂不良记录,则严格按照《国家卫生计生委关于建立医药购销领域商业贿赂不良记录的规定》(国卫法制发(2013)50号)相关规定处理。</w:t>
      </w:r>
    </w:p>
    <w:p w14:paraId="773AC716">
      <w:pPr>
        <w:widowControl/>
        <w:spacing w:line="440" w:lineRule="exact"/>
        <w:ind w:firstLine="480"/>
        <w:jc w:val="left"/>
        <w:rPr>
          <w:rFonts w:hint="eastAsia" w:ascii="宋体" w:hAnsi="宋体" w:cs="宋体"/>
          <w:color w:val="auto"/>
          <w:highlight w:val="none"/>
          <w:lang w:bidi="ar"/>
        </w:rPr>
      </w:pPr>
      <w:bookmarkStart w:id="337" w:name="_Toc24379"/>
      <w:r>
        <w:rPr>
          <w:rFonts w:hint="eastAsia" w:ascii="宋体" w:hAnsi="宋体" w:cs="宋体"/>
          <w:color w:val="auto"/>
          <w:highlight w:val="none"/>
          <w:lang w:bidi="ar"/>
        </w:rPr>
        <w:t>十八、合同生效及其他</w:t>
      </w:r>
      <w:bookmarkEnd w:id="337"/>
    </w:p>
    <w:p w14:paraId="42B1CA6B">
      <w:pPr>
        <w:widowControl/>
        <w:spacing w:line="440" w:lineRule="exact"/>
        <w:ind w:firstLine="480"/>
        <w:jc w:val="left"/>
        <w:rPr>
          <w:rFonts w:hint="eastAsia" w:ascii="宋体" w:hAnsi="宋体" w:cs="宋体"/>
          <w:color w:val="auto"/>
          <w:highlight w:val="none"/>
          <w:lang w:bidi="ar"/>
        </w:rPr>
      </w:pPr>
      <w:r>
        <w:rPr>
          <w:rFonts w:ascii="宋体" w:hAnsi="宋体" w:cs="宋体"/>
          <w:color w:val="auto"/>
          <w:highlight w:val="none"/>
          <w:lang w:bidi="ar"/>
        </w:rPr>
        <w:t>1. 合同经双方法定代表人或授权代表签字并加盖单位公章后生效。</w:t>
      </w:r>
    </w:p>
    <w:p w14:paraId="39AF5246">
      <w:pPr>
        <w:widowControl/>
        <w:spacing w:line="440" w:lineRule="exact"/>
        <w:ind w:firstLine="480"/>
        <w:jc w:val="left"/>
        <w:rPr>
          <w:rFonts w:hint="eastAsia" w:ascii="宋体" w:hAnsi="宋体" w:cs="宋体"/>
          <w:color w:val="auto"/>
          <w:highlight w:val="none"/>
          <w:lang w:bidi="ar"/>
        </w:rPr>
      </w:pPr>
      <w:r>
        <w:rPr>
          <w:rFonts w:ascii="宋体" w:hAnsi="宋体" w:cs="宋体"/>
          <w:color w:val="auto"/>
          <w:highlight w:val="none"/>
          <w:lang w:bidi="ar"/>
        </w:rPr>
        <w:t>2. 合同执行中涉及采购资金和采购内容修改或补充的，须经财政部门审批，并签书面补充协议报政府采购监督管理部门备案，方可作为主合同不可分割的一部分。</w:t>
      </w:r>
    </w:p>
    <w:p w14:paraId="15F41462">
      <w:pPr>
        <w:widowControl/>
        <w:spacing w:line="440" w:lineRule="exact"/>
        <w:ind w:firstLine="480"/>
        <w:jc w:val="left"/>
        <w:rPr>
          <w:rFonts w:hint="eastAsia" w:ascii="宋体" w:hAnsi="宋体" w:cs="宋体"/>
          <w:color w:val="auto"/>
          <w:highlight w:val="none"/>
          <w:lang w:bidi="ar"/>
        </w:rPr>
      </w:pPr>
      <w:r>
        <w:rPr>
          <w:rFonts w:ascii="宋体" w:hAnsi="宋体" w:cs="宋体"/>
          <w:color w:val="auto"/>
          <w:highlight w:val="none"/>
          <w:lang w:bidi="ar"/>
        </w:rPr>
        <w:t>3. 本合同未尽事宜，依次遵照乙方投标文件、招标文件、《合同法》等执行。</w:t>
      </w:r>
    </w:p>
    <w:p w14:paraId="4FBEBBFB">
      <w:pPr>
        <w:widowControl/>
        <w:spacing w:line="440" w:lineRule="exact"/>
        <w:ind w:firstLine="480"/>
        <w:jc w:val="left"/>
        <w:rPr>
          <w:rFonts w:hint="eastAsia" w:ascii="宋体" w:hAnsi="宋体" w:cs="宋体"/>
          <w:color w:val="auto"/>
          <w:highlight w:val="none"/>
          <w:lang w:bidi="ar"/>
        </w:rPr>
      </w:pPr>
      <w:r>
        <w:rPr>
          <w:rFonts w:ascii="宋体" w:hAnsi="宋体" w:cs="宋体"/>
          <w:color w:val="auto"/>
          <w:highlight w:val="none"/>
          <w:lang w:bidi="ar"/>
        </w:rPr>
        <w:t>4. 本合同一式</w:t>
      </w:r>
      <w:r>
        <w:rPr>
          <w:rFonts w:hint="eastAsia" w:ascii="宋体" w:hAnsi="宋体" w:cs="宋体"/>
          <w:color w:val="auto"/>
          <w:highlight w:val="none"/>
          <w:u w:val="single"/>
          <w:lang w:bidi="ar"/>
        </w:rPr>
        <w:t xml:space="preserve"> 伍</w:t>
      </w:r>
      <w:r>
        <w:rPr>
          <w:rFonts w:ascii="宋体" w:hAnsi="宋体" w:cs="宋体"/>
          <w:color w:val="auto"/>
          <w:highlight w:val="none"/>
          <w:u w:val="single"/>
          <w:lang w:bidi="ar"/>
        </w:rPr>
        <w:t xml:space="preserve"> </w:t>
      </w:r>
      <w:r>
        <w:rPr>
          <w:rFonts w:ascii="宋体" w:hAnsi="宋体" w:cs="宋体"/>
          <w:color w:val="auto"/>
          <w:highlight w:val="none"/>
          <w:lang w:bidi="ar"/>
        </w:rPr>
        <w:t>份，具有同等法律效力，甲方</w:t>
      </w:r>
      <w:r>
        <w:rPr>
          <w:rFonts w:ascii="宋体" w:hAnsi="宋体" w:cs="宋体"/>
          <w:color w:val="auto"/>
          <w:highlight w:val="none"/>
          <w:u w:val="single"/>
          <w:lang w:bidi="ar"/>
        </w:rPr>
        <w:t xml:space="preserve"> </w:t>
      </w:r>
      <w:r>
        <w:rPr>
          <w:rFonts w:hint="eastAsia" w:ascii="宋体" w:hAnsi="宋体" w:cs="宋体"/>
          <w:color w:val="auto"/>
          <w:highlight w:val="none"/>
          <w:u w:val="single"/>
          <w:lang w:bidi="ar"/>
        </w:rPr>
        <w:t>叁</w:t>
      </w:r>
      <w:r>
        <w:rPr>
          <w:rFonts w:ascii="宋体" w:hAnsi="宋体" w:cs="宋体"/>
          <w:color w:val="auto"/>
          <w:highlight w:val="none"/>
          <w:u w:val="single"/>
          <w:lang w:bidi="ar"/>
        </w:rPr>
        <w:t xml:space="preserve"> </w:t>
      </w:r>
      <w:r>
        <w:rPr>
          <w:rFonts w:ascii="宋体" w:hAnsi="宋体" w:cs="宋体"/>
          <w:color w:val="auto"/>
          <w:highlight w:val="none"/>
          <w:lang w:bidi="ar"/>
        </w:rPr>
        <w:t>份，乙方</w:t>
      </w:r>
      <w:r>
        <w:rPr>
          <w:rFonts w:ascii="宋体" w:hAnsi="宋体" w:cs="宋体"/>
          <w:color w:val="auto"/>
          <w:highlight w:val="none"/>
          <w:u w:val="single"/>
          <w:lang w:bidi="ar"/>
        </w:rPr>
        <w:t xml:space="preserve"> </w:t>
      </w:r>
      <w:r>
        <w:rPr>
          <w:rFonts w:hint="eastAsia" w:ascii="宋体" w:hAnsi="宋体" w:cs="宋体"/>
          <w:color w:val="auto"/>
          <w:highlight w:val="none"/>
          <w:u w:val="single"/>
          <w:lang w:bidi="ar"/>
        </w:rPr>
        <w:t>壹</w:t>
      </w:r>
      <w:r>
        <w:rPr>
          <w:rFonts w:ascii="宋体" w:hAnsi="宋体" w:cs="宋体"/>
          <w:color w:val="auto"/>
          <w:highlight w:val="none"/>
          <w:u w:val="single"/>
          <w:lang w:bidi="ar"/>
        </w:rPr>
        <w:t xml:space="preserve"> </w:t>
      </w:r>
      <w:r>
        <w:rPr>
          <w:rFonts w:ascii="宋体" w:hAnsi="宋体" w:cs="宋体"/>
          <w:color w:val="auto"/>
          <w:highlight w:val="none"/>
          <w:lang w:bidi="ar"/>
        </w:rPr>
        <w:t>份</w:t>
      </w:r>
      <w:r>
        <w:rPr>
          <w:rFonts w:hint="eastAsia" w:ascii="宋体" w:hAnsi="宋体" w:cs="宋体"/>
          <w:color w:val="auto"/>
          <w:highlight w:val="none"/>
          <w:lang w:bidi="ar"/>
        </w:rPr>
        <w:t>，衢州宇信工程咨询有限公司</w:t>
      </w:r>
      <w:r>
        <w:rPr>
          <w:rFonts w:ascii="宋体" w:hAnsi="宋体" w:cs="宋体"/>
          <w:color w:val="auto"/>
          <w:highlight w:val="none"/>
          <w:u w:val="single"/>
          <w:lang w:bidi="ar"/>
        </w:rPr>
        <w:t xml:space="preserve"> </w:t>
      </w:r>
      <w:r>
        <w:rPr>
          <w:rFonts w:hint="eastAsia" w:ascii="宋体" w:hAnsi="宋体" w:cs="宋体"/>
          <w:color w:val="auto"/>
          <w:highlight w:val="none"/>
          <w:u w:val="single"/>
          <w:lang w:bidi="ar"/>
        </w:rPr>
        <w:t>壹</w:t>
      </w:r>
      <w:r>
        <w:rPr>
          <w:rFonts w:ascii="宋体" w:hAnsi="宋体" w:cs="宋体"/>
          <w:color w:val="auto"/>
          <w:highlight w:val="none"/>
          <w:u w:val="single"/>
          <w:lang w:bidi="ar"/>
        </w:rPr>
        <w:t xml:space="preserve"> </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份。</w:t>
      </w:r>
    </w:p>
    <w:p w14:paraId="611D03B0">
      <w:pPr>
        <w:widowControl/>
        <w:spacing w:line="440" w:lineRule="exact"/>
        <w:ind w:firstLine="480"/>
        <w:jc w:val="left"/>
        <w:rPr>
          <w:rFonts w:hint="eastAsia" w:ascii="宋体" w:hAnsi="宋体" w:cs="宋体"/>
          <w:color w:val="auto"/>
          <w:highlight w:val="none"/>
          <w:lang w:bidi="ar"/>
        </w:rPr>
      </w:pPr>
      <w:r>
        <w:rPr>
          <w:rFonts w:ascii="宋体" w:hAnsi="宋体" w:cs="宋体"/>
          <w:color w:val="auto"/>
          <w:highlight w:val="none"/>
          <w:lang w:bidi="ar"/>
        </w:rPr>
        <w:t>5. 合同签署地： 浙江省</w:t>
      </w:r>
      <w:r>
        <w:rPr>
          <w:rFonts w:hint="eastAsia" w:ascii="宋体" w:hAnsi="宋体" w:cs="宋体"/>
          <w:color w:val="auto"/>
          <w:highlight w:val="none"/>
          <w:lang w:bidi="ar"/>
        </w:rPr>
        <w:t>龙游县</w:t>
      </w:r>
      <w:r>
        <w:rPr>
          <w:rFonts w:ascii="宋体" w:hAnsi="宋体" w:cs="宋体"/>
          <w:color w:val="auto"/>
          <w:highlight w:val="none"/>
          <w:lang w:bidi="ar"/>
        </w:rPr>
        <w:t xml:space="preserve"> </w:t>
      </w:r>
      <w:bookmarkEnd w:id="321"/>
      <w:bookmarkEnd w:id="322"/>
    </w:p>
    <w:tbl>
      <w:tblPr>
        <w:tblStyle w:val="43"/>
        <w:tblW w:w="9286" w:type="dxa"/>
        <w:jc w:val="center"/>
        <w:tblLayout w:type="fixed"/>
        <w:tblCellMar>
          <w:top w:w="0" w:type="dxa"/>
          <w:left w:w="108" w:type="dxa"/>
          <w:bottom w:w="0" w:type="dxa"/>
          <w:right w:w="108" w:type="dxa"/>
        </w:tblCellMar>
      </w:tblPr>
      <w:tblGrid>
        <w:gridCol w:w="4643"/>
        <w:gridCol w:w="4643"/>
      </w:tblGrid>
      <w:tr w14:paraId="143CA08B">
        <w:tblPrEx>
          <w:tblCellMar>
            <w:top w:w="0" w:type="dxa"/>
            <w:left w:w="108" w:type="dxa"/>
            <w:bottom w:w="0" w:type="dxa"/>
            <w:right w:w="108" w:type="dxa"/>
          </w:tblCellMar>
        </w:tblPrEx>
        <w:trPr>
          <w:trHeight w:val="469" w:hRule="atLeast"/>
          <w:jc w:val="center"/>
        </w:trPr>
        <w:tc>
          <w:tcPr>
            <w:tcW w:w="4643" w:type="dxa"/>
            <w:tcBorders>
              <w:top w:val="nil"/>
              <w:left w:val="nil"/>
              <w:bottom w:val="nil"/>
              <w:right w:val="nil"/>
            </w:tcBorders>
            <w:shd w:val="clear" w:color="auto" w:fill="auto"/>
            <w:vAlign w:val="center"/>
          </w:tcPr>
          <w:p w14:paraId="31236BE7">
            <w:pPr>
              <w:widowControl/>
              <w:adjustRightInd w:val="0"/>
              <w:snapToGrid w:val="0"/>
              <w:ind w:firstLine="0" w:firstLineChars="0"/>
              <w:jc w:val="left"/>
              <w:rPr>
                <w:rFonts w:ascii="宋体" w:cs="宋体"/>
                <w:color w:val="auto"/>
                <w:kern w:val="0"/>
                <w:highlight w:val="none"/>
              </w:rPr>
            </w:pPr>
            <w:bookmarkStart w:id="338" w:name="OLE_LINK46"/>
            <w:r>
              <w:rPr>
                <w:rFonts w:hint="eastAsia" w:ascii="宋体" w:hAnsi="宋体" w:cs="宋体"/>
                <w:color w:val="auto"/>
                <w:kern w:val="0"/>
                <w:highlight w:val="none"/>
                <w:lang w:bidi="ar"/>
              </w:rPr>
              <w:t>甲方（盖章）：</w:t>
            </w:r>
            <w:r>
              <w:rPr>
                <w:rFonts w:hint="eastAsia" w:hAnsi="宋体"/>
                <w:color w:val="auto"/>
                <w:highlight w:val="none"/>
              </w:rPr>
              <w:t>龙游县人民医院</w:t>
            </w:r>
          </w:p>
        </w:tc>
        <w:tc>
          <w:tcPr>
            <w:tcW w:w="4643" w:type="dxa"/>
            <w:tcBorders>
              <w:top w:val="nil"/>
              <w:left w:val="nil"/>
              <w:bottom w:val="nil"/>
              <w:right w:val="nil"/>
            </w:tcBorders>
            <w:shd w:val="clear" w:color="auto" w:fill="auto"/>
            <w:vAlign w:val="center"/>
          </w:tcPr>
          <w:p w14:paraId="36EF4526">
            <w:pPr>
              <w:widowControl/>
              <w:adjustRightInd w:val="0"/>
              <w:snapToGrid w:val="0"/>
              <w:ind w:firstLine="0" w:firstLineChars="0"/>
              <w:jc w:val="left"/>
              <w:rPr>
                <w:rFonts w:ascii="宋体" w:cs="宋体"/>
                <w:color w:val="auto"/>
                <w:kern w:val="0"/>
                <w:highlight w:val="none"/>
              </w:rPr>
            </w:pPr>
            <w:r>
              <w:rPr>
                <w:rFonts w:hint="eastAsia" w:ascii="宋体" w:hAnsi="宋体" w:cs="宋体"/>
                <w:color w:val="auto"/>
                <w:kern w:val="0"/>
                <w:highlight w:val="none"/>
                <w:lang w:bidi="ar"/>
              </w:rPr>
              <w:t>乙方（盖章）：</w:t>
            </w:r>
          </w:p>
        </w:tc>
      </w:tr>
      <w:tr w14:paraId="3487267C">
        <w:tblPrEx>
          <w:tblCellMar>
            <w:top w:w="0" w:type="dxa"/>
            <w:left w:w="108" w:type="dxa"/>
            <w:bottom w:w="0" w:type="dxa"/>
            <w:right w:w="108" w:type="dxa"/>
          </w:tblCellMar>
        </w:tblPrEx>
        <w:trPr>
          <w:trHeight w:val="530" w:hRule="atLeast"/>
          <w:jc w:val="center"/>
        </w:trPr>
        <w:tc>
          <w:tcPr>
            <w:tcW w:w="4643" w:type="dxa"/>
            <w:tcBorders>
              <w:top w:val="nil"/>
              <w:left w:val="nil"/>
              <w:bottom w:val="nil"/>
              <w:right w:val="nil"/>
            </w:tcBorders>
            <w:shd w:val="clear" w:color="auto" w:fill="auto"/>
          </w:tcPr>
          <w:p w14:paraId="40A5338A">
            <w:pPr>
              <w:widowControl/>
              <w:adjustRightInd w:val="0"/>
              <w:snapToGrid w:val="0"/>
              <w:ind w:firstLine="0" w:firstLineChars="0"/>
              <w:jc w:val="left"/>
              <w:rPr>
                <w:rFonts w:ascii="宋体" w:cs="宋体"/>
                <w:color w:val="auto"/>
                <w:kern w:val="0"/>
                <w:highlight w:val="none"/>
              </w:rPr>
            </w:pPr>
            <w:r>
              <w:rPr>
                <w:rFonts w:hint="eastAsia" w:ascii="宋体" w:hAnsi="宋体" w:cs="宋体"/>
                <w:color w:val="auto"/>
                <w:kern w:val="0"/>
                <w:highlight w:val="none"/>
                <w:lang w:bidi="ar"/>
              </w:rPr>
              <w:t>地址：</w:t>
            </w:r>
            <w:r>
              <w:rPr>
                <w:rFonts w:hint="eastAsia" w:hAnsi="宋体"/>
                <w:color w:val="auto"/>
                <w:highlight w:val="none"/>
              </w:rPr>
              <w:t>龙游县东华街道友钦路1号龙游县人民医院</w:t>
            </w:r>
          </w:p>
        </w:tc>
        <w:tc>
          <w:tcPr>
            <w:tcW w:w="4643" w:type="dxa"/>
            <w:tcBorders>
              <w:top w:val="nil"/>
              <w:left w:val="nil"/>
              <w:bottom w:val="nil"/>
              <w:right w:val="nil"/>
            </w:tcBorders>
            <w:shd w:val="clear" w:color="auto" w:fill="auto"/>
          </w:tcPr>
          <w:p w14:paraId="1CB706A8">
            <w:pPr>
              <w:widowControl/>
              <w:adjustRightInd w:val="0"/>
              <w:snapToGrid w:val="0"/>
              <w:ind w:firstLine="0" w:firstLineChars="0"/>
              <w:jc w:val="left"/>
              <w:rPr>
                <w:rFonts w:ascii="宋体" w:cs="宋体"/>
                <w:color w:val="auto"/>
                <w:kern w:val="0"/>
                <w:highlight w:val="none"/>
              </w:rPr>
            </w:pPr>
            <w:r>
              <w:rPr>
                <w:rFonts w:hint="eastAsia" w:ascii="宋体" w:hAnsi="宋体" w:cs="宋体"/>
                <w:color w:val="auto"/>
                <w:kern w:val="0"/>
                <w:highlight w:val="none"/>
                <w:lang w:bidi="ar"/>
              </w:rPr>
              <w:t>地址：</w:t>
            </w:r>
          </w:p>
        </w:tc>
      </w:tr>
      <w:tr w14:paraId="0CB05507">
        <w:tblPrEx>
          <w:tblCellMar>
            <w:top w:w="0" w:type="dxa"/>
            <w:left w:w="108" w:type="dxa"/>
            <w:bottom w:w="0" w:type="dxa"/>
            <w:right w:w="108" w:type="dxa"/>
          </w:tblCellMar>
        </w:tblPrEx>
        <w:trPr>
          <w:trHeight w:val="556" w:hRule="atLeast"/>
          <w:jc w:val="center"/>
        </w:trPr>
        <w:tc>
          <w:tcPr>
            <w:tcW w:w="4643" w:type="dxa"/>
            <w:tcBorders>
              <w:top w:val="nil"/>
              <w:left w:val="nil"/>
              <w:bottom w:val="nil"/>
              <w:right w:val="nil"/>
            </w:tcBorders>
            <w:shd w:val="clear" w:color="auto" w:fill="auto"/>
            <w:vAlign w:val="center"/>
          </w:tcPr>
          <w:p w14:paraId="73085B2F">
            <w:pPr>
              <w:widowControl/>
              <w:adjustRightInd w:val="0"/>
              <w:snapToGrid w:val="0"/>
              <w:ind w:firstLine="0" w:firstLineChars="0"/>
              <w:jc w:val="left"/>
              <w:rPr>
                <w:rFonts w:hint="eastAsia" w:ascii="宋体" w:hAnsi="宋体" w:cs="宋体"/>
                <w:color w:val="auto"/>
                <w:kern w:val="0"/>
                <w:highlight w:val="none"/>
                <w:lang w:bidi="ar"/>
              </w:rPr>
            </w:pPr>
            <w:r>
              <w:rPr>
                <w:rFonts w:hAnsi="宋体"/>
                <w:color w:val="auto"/>
                <w:highlight w:val="none"/>
              </w:rPr>
              <w:t>法定（授权）代表人</w:t>
            </w:r>
            <w:r>
              <w:rPr>
                <w:rFonts w:hint="eastAsia" w:hAnsi="宋体"/>
                <w:color w:val="auto"/>
                <w:highlight w:val="none"/>
              </w:rPr>
              <w:t>或主要负责人</w:t>
            </w:r>
            <w:r>
              <w:rPr>
                <w:rFonts w:hint="eastAsia" w:ascii="宋体" w:hAnsi="宋体" w:cs="宋体"/>
                <w:color w:val="auto"/>
                <w:kern w:val="0"/>
                <w:highlight w:val="none"/>
                <w:lang w:bidi="ar"/>
              </w:rPr>
              <w:t>：</w:t>
            </w:r>
          </w:p>
          <w:p w14:paraId="3FDC3984">
            <w:pPr>
              <w:widowControl/>
              <w:adjustRightInd w:val="0"/>
              <w:snapToGrid w:val="0"/>
              <w:ind w:firstLine="0" w:firstLineChars="0"/>
              <w:jc w:val="left"/>
              <w:rPr>
                <w:rFonts w:ascii="宋体" w:cs="宋体"/>
                <w:color w:val="auto"/>
                <w:kern w:val="0"/>
                <w:highlight w:val="none"/>
              </w:rPr>
            </w:pPr>
          </w:p>
        </w:tc>
        <w:tc>
          <w:tcPr>
            <w:tcW w:w="4643" w:type="dxa"/>
            <w:tcBorders>
              <w:top w:val="nil"/>
              <w:left w:val="nil"/>
              <w:bottom w:val="nil"/>
              <w:right w:val="nil"/>
            </w:tcBorders>
            <w:shd w:val="clear" w:color="auto" w:fill="auto"/>
            <w:vAlign w:val="center"/>
          </w:tcPr>
          <w:p w14:paraId="4D4141A5">
            <w:pPr>
              <w:widowControl/>
              <w:adjustRightInd w:val="0"/>
              <w:snapToGrid w:val="0"/>
              <w:ind w:firstLine="0" w:firstLineChars="0"/>
              <w:jc w:val="left"/>
              <w:rPr>
                <w:rFonts w:hint="eastAsia" w:ascii="宋体" w:hAnsi="宋体" w:cs="宋体"/>
                <w:color w:val="auto"/>
                <w:kern w:val="0"/>
                <w:highlight w:val="none"/>
                <w:lang w:bidi="ar"/>
              </w:rPr>
            </w:pPr>
            <w:r>
              <w:rPr>
                <w:rFonts w:hAnsi="宋体"/>
                <w:color w:val="auto"/>
                <w:highlight w:val="none"/>
              </w:rPr>
              <w:t>法定（授权）代表人</w:t>
            </w:r>
            <w:r>
              <w:rPr>
                <w:rFonts w:hint="eastAsia" w:hAnsi="宋体"/>
                <w:color w:val="auto"/>
                <w:highlight w:val="none"/>
              </w:rPr>
              <w:t>或主要负责人</w:t>
            </w:r>
            <w:r>
              <w:rPr>
                <w:rFonts w:hint="eastAsia" w:ascii="宋体" w:hAnsi="宋体" w:cs="宋体"/>
                <w:color w:val="auto"/>
                <w:kern w:val="0"/>
                <w:highlight w:val="none"/>
                <w:lang w:bidi="ar"/>
              </w:rPr>
              <w:t>：</w:t>
            </w:r>
          </w:p>
          <w:p w14:paraId="7E9747F4">
            <w:pPr>
              <w:widowControl/>
              <w:adjustRightInd w:val="0"/>
              <w:snapToGrid w:val="0"/>
              <w:ind w:firstLine="0" w:firstLineChars="0"/>
              <w:jc w:val="left"/>
              <w:rPr>
                <w:rFonts w:ascii="宋体" w:cs="宋体"/>
                <w:color w:val="auto"/>
                <w:kern w:val="0"/>
                <w:highlight w:val="none"/>
              </w:rPr>
            </w:pPr>
          </w:p>
        </w:tc>
      </w:tr>
      <w:tr w14:paraId="303F1022">
        <w:tblPrEx>
          <w:tblCellMar>
            <w:top w:w="0" w:type="dxa"/>
            <w:left w:w="108" w:type="dxa"/>
            <w:bottom w:w="0" w:type="dxa"/>
            <w:right w:w="108" w:type="dxa"/>
          </w:tblCellMar>
        </w:tblPrEx>
        <w:trPr>
          <w:trHeight w:val="556" w:hRule="atLeast"/>
          <w:jc w:val="center"/>
        </w:trPr>
        <w:tc>
          <w:tcPr>
            <w:tcW w:w="4643" w:type="dxa"/>
            <w:tcBorders>
              <w:top w:val="nil"/>
              <w:left w:val="nil"/>
              <w:bottom w:val="nil"/>
              <w:right w:val="nil"/>
            </w:tcBorders>
            <w:shd w:val="clear" w:color="auto" w:fill="auto"/>
            <w:vAlign w:val="center"/>
          </w:tcPr>
          <w:p w14:paraId="26712F45">
            <w:pPr>
              <w:widowControl/>
              <w:adjustRightInd w:val="0"/>
              <w:snapToGrid w:val="0"/>
              <w:ind w:firstLine="0" w:firstLineChars="0"/>
              <w:jc w:val="left"/>
              <w:rPr>
                <w:rFonts w:hint="eastAsia" w:hAnsi="宋体"/>
                <w:color w:val="auto"/>
                <w:highlight w:val="none"/>
              </w:rPr>
            </w:pPr>
            <w:r>
              <w:rPr>
                <w:rFonts w:hint="eastAsia" w:hAnsi="宋体"/>
                <w:color w:val="auto"/>
                <w:highlight w:val="none"/>
              </w:rPr>
              <w:t>经办人：</w:t>
            </w:r>
          </w:p>
        </w:tc>
        <w:tc>
          <w:tcPr>
            <w:tcW w:w="4643" w:type="dxa"/>
            <w:tcBorders>
              <w:top w:val="nil"/>
              <w:left w:val="nil"/>
              <w:bottom w:val="nil"/>
              <w:right w:val="nil"/>
            </w:tcBorders>
            <w:shd w:val="clear" w:color="auto" w:fill="auto"/>
            <w:vAlign w:val="center"/>
          </w:tcPr>
          <w:p w14:paraId="5F2F2F86">
            <w:pPr>
              <w:widowControl/>
              <w:adjustRightInd w:val="0"/>
              <w:snapToGrid w:val="0"/>
              <w:ind w:firstLine="0" w:firstLineChars="0"/>
              <w:jc w:val="left"/>
              <w:rPr>
                <w:rFonts w:hint="eastAsia" w:hAnsi="宋体"/>
                <w:color w:val="auto"/>
                <w:highlight w:val="none"/>
              </w:rPr>
            </w:pPr>
            <w:r>
              <w:rPr>
                <w:rFonts w:hint="eastAsia" w:hAnsi="宋体"/>
                <w:color w:val="auto"/>
                <w:highlight w:val="none"/>
              </w:rPr>
              <w:t>经办人：</w:t>
            </w:r>
          </w:p>
        </w:tc>
      </w:tr>
      <w:tr w14:paraId="43E9BDE2">
        <w:tblPrEx>
          <w:tblCellMar>
            <w:top w:w="0" w:type="dxa"/>
            <w:left w:w="108" w:type="dxa"/>
            <w:bottom w:w="0" w:type="dxa"/>
            <w:right w:w="108" w:type="dxa"/>
          </w:tblCellMar>
        </w:tblPrEx>
        <w:trPr>
          <w:trHeight w:val="600" w:hRule="atLeast"/>
          <w:jc w:val="center"/>
        </w:trPr>
        <w:tc>
          <w:tcPr>
            <w:tcW w:w="4643" w:type="dxa"/>
            <w:tcBorders>
              <w:top w:val="nil"/>
              <w:left w:val="nil"/>
              <w:bottom w:val="nil"/>
              <w:right w:val="nil"/>
            </w:tcBorders>
            <w:shd w:val="clear" w:color="auto" w:fill="auto"/>
            <w:vAlign w:val="center"/>
          </w:tcPr>
          <w:p w14:paraId="262CE620">
            <w:pPr>
              <w:widowControl/>
              <w:adjustRightInd w:val="0"/>
              <w:snapToGrid w:val="0"/>
              <w:ind w:firstLine="0" w:firstLineChars="0"/>
              <w:jc w:val="left"/>
              <w:rPr>
                <w:rFonts w:ascii="宋体" w:cs="宋体"/>
                <w:color w:val="auto"/>
                <w:kern w:val="0"/>
                <w:highlight w:val="none"/>
              </w:rPr>
            </w:pPr>
            <w:r>
              <w:rPr>
                <w:rFonts w:hint="eastAsia" w:ascii="宋体" w:hAnsi="宋体" w:cs="宋体"/>
                <w:color w:val="auto"/>
                <w:kern w:val="0"/>
                <w:highlight w:val="none"/>
                <w:lang w:bidi="ar"/>
              </w:rPr>
              <w:t>签订日期：2025年  月  日</w:t>
            </w:r>
          </w:p>
        </w:tc>
        <w:tc>
          <w:tcPr>
            <w:tcW w:w="4643" w:type="dxa"/>
            <w:tcBorders>
              <w:top w:val="nil"/>
              <w:left w:val="nil"/>
              <w:bottom w:val="nil"/>
              <w:right w:val="nil"/>
            </w:tcBorders>
            <w:shd w:val="clear" w:color="auto" w:fill="auto"/>
            <w:vAlign w:val="center"/>
          </w:tcPr>
          <w:p w14:paraId="238517AB">
            <w:pPr>
              <w:widowControl/>
              <w:adjustRightInd w:val="0"/>
              <w:snapToGrid w:val="0"/>
              <w:ind w:firstLine="0" w:firstLineChars="0"/>
              <w:jc w:val="left"/>
              <w:rPr>
                <w:rFonts w:ascii="宋体" w:cs="宋体"/>
                <w:color w:val="auto"/>
                <w:kern w:val="0"/>
                <w:highlight w:val="none"/>
              </w:rPr>
            </w:pPr>
            <w:r>
              <w:rPr>
                <w:rFonts w:hint="eastAsia" w:ascii="宋体" w:hAnsi="宋体" w:cs="宋体"/>
                <w:color w:val="auto"/>
                <w:kern w:val="0"/>
                <w:highlight w:val="none"/>
                <w:lang w:bidi="ar"/>
              </w:rPr>
              <w:t>签订日期：2025年  月  日</w:t>
            </w:r>
          </w:p>
        </w:tc>
      </w:tr>
      <w:tr w14:paraId="6F101606">
        <w:tblPrEx>
          <w:tblCellMar>
            <w:top w:w="0" w:type="dxa"/>
            <w:left w:w="108" w:type="dxa"/>
            <w:bottom w:w="0" w:type="dxa"/>
            <w:right w:w="108" w:type="dxa"/>
          </w:tblCellMar>
        </w:tblPrEx>
        <w:trPr>
          <w:trHeight w:val="90" w:hRule="atLeast"/>
          <w:jc w:val="center"/>
        </w:trPr>
        <w:tc>
          <w:tcPr>
            <w:tcW w:w="4643" w:type="dxa"/>
            <w:tcBorders>
              <w:top w:val="nil"/>
              <w:left w:val="nil"/>
              <w:bottom w:val="nil"/>
              <w:right w:val="nil"/>
            </w:tcBorders>
            <w:shd w:val="clear" w:color="auto" w:fill="auto"/>
            <w:vAlign w:val="center"/>
          </w:tcPr>
          <w:p w14:paraId="4AFC72D3">
            <w:pPr>
              <w:widowControl/>
              <w:adjustRightInd w:val="0"/>
              <w:snapToGrid w:val="0"/>
              <w:ind w:firstLine="480"/>
              <w:jc w:val="left"/>
              <w:rPr>
                <w:rFonts w:ascii="宋体" w:cs="宋体"/>
                <w:color w:val="auto"/>
                <w:kern w:val="0"/>
                <w:highlight w:val="none"/>
              </w:rPr>
            </w:pPr>
          </w:p>
          <w:p w14:paraId="79265ADE">
            <w:pPr>
              <w:widowControl/>
              <w:adjustRightInd w:val="0"/>
              <w:snapToGrid w:val="0"/>
              <w:ind w:firstLine="480"/>
              <w:jc w:val="left"/>
              <w:rPr>
                <w:rFonts w:ascii="宋体" w:cs="宋体"/>
                <w:color w:val="auto"/>
                <w:kern w:val="0"/>
                <w:highlight w:val="none"/>
              </w:rPr>
            </w:pPr>
          </w:p>
        </w:tc>
        <w:tc>
          <w:tcPr>
            <w:tcW w:w="4643" w:type="dxa"/>
            <w:tcBorders>
              <w:top w:val="nil"/>
              <w:left w:val="nil"/>
              <w:bottom w:val="nil"/>
              <w:right w:val="nil"/>
            </w:tcBorders>
            <w:shd w:val="clear" w:color="auto" w:fill="auto"/>
            <w:vAlign w:val="center"/>
          </w:tcPr>
          <w:p w14:paraId="4F78F9B3">
            <w:pPr>
              <w:widowControl/>
              <w:adjustRightInd w:val="0"/>
              <w:snapToGrid w:val="0"/>
              <w:ind w:firstLine="480"/>
              <w:jc w:val="left"/>
              <w:rPr>
                <w:rFonts w:ascii="宋体" w:cs="宋体"/>
                <w:color w:val="auto"/>
                <w:kern w:val="0"/>
                <w:highlight w:val="none"/>
              </w:rPr>
            </w:pPr>
          </w:p>
        </w:tc>
      </w:tr>
      <w:tr w14:paraId="64D3D4E6">
        <w:tblPrEx>
          <w:tblCellMar>
            <w:top w:w="0" w:type="dxa"/>
            <w:left w:w="108" w:type="dxa"/>
            <w:bottom w:w="0" w:type="dxa"/>
            <w:right w:w="108" w:type="dxa"/>
          </w:tblCellMar>
        </w:tblPrEx>
        <w:trPr>
          <w:trHeight w:val="551" w:hRule="atLeast"/>
          <w:jc w:val="center"/>
        </w:trPr>
        <w:tc>
          <w:tcPr>
            <w:tcW w:w="9286" w:type="dxa"/>
            <w:gridSpan w:val="2"/>
            <w:tcBorders>
              <w:top w:val="nil"/>
              <w:left w:val="nil"/>
              <w:bottom w:val="nil"/>
              <w:right w:val="nil"/>
            </w:tcBorders>
            <w:shd w:val="clear" w:color="auto" w:fill="auto"/>
            <w:vAlign w:val="center"/>
          </w:tcPr>
          <w:p w14:paraId="5729E7C1">
            <w:pPr>
              <w:ind w:firstLine="0" w:firstLineChars="0"/>
              <w:jc w:val="left"/>
              <w:rPr>
                <w:rFonts w:ascii="宋体" w:cs="宋体"/>
                <w:color w:val="auto"/>
                <w:kern w:val="0"/>
                <w:highlight w:val="none"/>
              </w:rPr>
            </w:pPr>
            <w:r>
              <w:rPr>
                <w:rFonts w:hint="eastAsia" w:ascii="宋体" w:hAnsi="宋体" w:cs="宋体"/>
                <w:color w:val="auto"/>
                <w:kern w:val="0"/>
                <w:highlight w:val="none"/>
                <w:lang w:bidi="ar"/>
              </w:rPr>
              <w:t>合同鉴证方：</w:t>
            </w:r>
          </w:p>
          <w:p w14:paraId="7DACAF73">
            <w:pPr>
              <w:ind w:firstLine="0" w:firstLineChars="0"/>
              <w:jc w:val="left"/>
              <w:rPr>
                <w:rFonts w:ascii="宋体" w:cs="宋体"/>
                <w:color w:val="auto"/>
                <w:kern w:val="0"/>
                <w:highlight w:val="none"/>
              </w:rPr>
            </w:pPr>
            <w:r>
              <w:rPr>
                <w:rFonts w:hint="eastAsia" w:ascii="宋体" w:hAnsi="宋体" w:cs="宋体"/>
                <w:color w:val="auto"/>
                <w:kern w:val="0"/>
                <w:highlight w:val="none"/>
                <w:lang w:bidi="ar"/>
              </w:rPr>
              <w:t>鉴证日期：2025年  月   日</w:t>
            </w:r>
          </w:p>
        </w:tc>
      </w:tr>
      <w:bookmarkEnd w:id="338"/>
    </w:tbl>
    <w:p w14:paraId="03C06EEF">
      <w:pPr>
        <w:spacing w:line="312" w:lineRule="auto"/>
        <w:ind w:firstLine="480"/>
        <w:rPr>
          <w:rFonts w:hint="eastAsia" w:ascii="宋体" w:hAnsi="宋体" w:cs="宋体"/>
          <w:color w:val="auto"/>
          <w:highlight w:val="none"/>
        </w:rPr>
        <w:sectPr>
          <w:pgSz w:w="11907" w:h="16840"/>
          <w:pgMar w:top="1440" w:right="1083" w:bottom="1440" w:left="1083" w:header="737" w:footer="907" w:gutter="0"/>
          <w:pgBorders>
            <w:top w:val="thinThickSmallGap" w:color="auto" w:sz="12" w:space="10"/>
            <w:bottom w:val="thinThickSmallGap" w:color="auto" w:sz="12" w:space="10"/>
          </w:pgBorders>
          <w:cols w:space="720" w:num="1"/>
          <w:titlePg/>
          <w:docGrid w:type="lines" w:linePitch="436" w:charSpace="0"/>
        </w:sectPr>
      </w:pPr>
    </w:p>
    <w:p w14:paraId="3BF6CC0D">
      <w:pPr>
        <w:pStyle w:val="2"/>
        <w:numPr>
          <w:ilvl w:val="255"/>
          <w:numId w:val="0"/>
        </w:numPr>
        <w:spacing w:beforeLines="0" w:afterLines="0"/>
        <w:rPr>
          <w:rFonts w:hint="eastAsia" w:ascii="宋体" w:hAnsi="宋体" w:cs="宋体"/>
          <w:color w:val="auto"/>
          <w:highlight w:val="none"/>
          <w:lang w:val="zh-CN"/>
        </w:rPr>
      </w:pPr>
      <w:bookmarkStart w:id="339" w:name="_Toc25052"/>
      <w:r>
        <w:rPr>
          <w:rFonts w:hint="eastAsia" w:ascii="宋体" w:hAnsi="宋体" w:cs="宋体"/>
          <w:color w:val="auto"/>
          <w:highlight w:val="none"/>
        </w:rPr>
        <w:t xml:space="preserve">第五章 </w:t>
      </w:r>
      <w:r>
        <w:rPr>
          <w:rFonts w:hint="eastAsia" w:ascii="宋体" w:hAnsi="宋体" w:cs="宋体"/>
          <w:color w:val="auto"/>
          <w:highlight w:val="none"/>
          <w:lang w:val="zh-CN"/>
        </w:rPr>
        <w:t>评标办法及评分标准</w:t>
      </w:r>
      <w:bookmarkEnd w:id="339"/>
    </w:p>
    <w:p w14:paraId="05FEF24E">
      <w:pPr>
        <w:widowControl/>
        <w:adjustRightInd w:val="0"/>
        <w:snapToGrid w:val="0"/>
        <w:spacing w:line="312" w:lineRule="auto"/>
        <w:ind w:firstLine="482"/>
        <w:outlineLvl w:val="1"/>
        <w:rPr>
          <w:rFonts w:hint="eastAsia" w:ascii="宋体" w:hAnsi="宋体" w:cs="宋体"/>
          <w:b/>
          <w:bCs/>
          <w:color w:val="auto"/>
          <w:highlight w:val="none"/>
        </w:rPr>
      </w:pPr>
      <w:bookmarkStart w:id="340" w:name="_Toc188"/>
      <w:bookmarkStart w:id="341" w:name="_Toc19184"/>
      <w:bookmarkStart w:id="342" w:name="_Toc8192"/>
      <w:bookmarkStart w:id="343" w:name="_Toc15787"/>
      <w:bookmarkStart w:id="344" w:name="_Toc2173"/>
      <w:r>
        <w:rPr>
          <w:rFonts w:hint="eastAsia" w:ascii="宋体" w:hAnsi="宋体" w:cs="宋体"/>
          <w:b/>
          <w:bCs/>
          <w:color w:val="auto"/>
          <w:highlight w:val="none"/>
        </w:rPr>
        <w:t>一、总 则</w:t>
      </w:r>
      <w:bookmarkEnd w:id="340"/>
      <w:bookmarkEnd w:id="341"/>
      <w:bookmarkEnd w:id="342"/>
      <w:bookmarkEnd w:id="343"/>
      <w:bookmarkEnd w:id="344"/>
    </w:p>
    <w:p w14:paraId="20A25D2D">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1.为公正、公平、科学地选择中标人，根据《中华人民共和国政府采购法》《政府采购货物和服务招标投标管理办法》（财政部令第 87 号）等有关规定，并结合本项目的实际，制定本办法。</w:t>
      </w:r>
    </w:p>
    <w:p w14:paraId="0FDD3BBA">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2.评标工作由采购组织机构负责组织，具体评标事务由评标委员会负责。</w:t>
      </w:r>
    </w:p>
    <w:p w14:paraId="354900C6">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评标委员会评价投标文件的响应性，对于投标人而言，除评标委员会要求其澄清、说明或者更正而提供的资料外，仅依据投标文件本身的内容，不寻求其他外部证据。如投标人提交的资质证明或其他内容不齐全，由此造成的后果由投标人自己负责。</w:t>
      </w:r>
    </w:p>
    <w:p w14:paraId="4CAF7A3B">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4.本项目评标采用不公开方式进行，评标过程独立、保密。投标人非法干预评标过程的行为将导致其投标文件作为无效处理。</w:t>
      </w:r>
    </w:p>
    <w:p w14:paraId="02F0FC29">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5.本项目评标采用不公开方式进行。</w:t>
      </w:r>
    </w:p>
    <w:p w14:paraId="72065262">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6.本项目评审采用综合评分法。</w:t>
      </w:r>
    </w:p>
    <w:p w14:paraId="77938139">
      <w:pPr>
        <w:widowControl/>
        <w:adjustRightInd w:val="0"/>
        <w:snapToGrid w:val="0"/>
        <w:spacing w:line="312" w:lineRule="auto"/>
        <w:ind w:firstLine="482"/>
        <w:outlineLvl w:val="1"/>
        <w:rPr>
          <w:rFonts w:hint="eastAsia" w:ascii="宋体" w:hAnsi="宋体" w:cs="宋体"/>
          <w:b/>
          <w:bCs/>
          <w:color w:val="auto"/>
          <w:highlight w:val="none"/>
        </w:rPr>
      </w:pPr>
      <w:bookmarkStart w:id="345" w:name="_Toc22393"/>
      <w:bookmarkStart w:id="346" w:name="_Toc19236"/>
      <w:bookmarkStart w:id="347" w:name="_Toc22433"/>
      <w:bookmarkStart w:id="348" w:name="_Toc24285"/>
      <w:bookmarkStart w:id="349" w:name="_Toc2372"/>
      <w:r>
        <w:rPr>
          <w:rFonts w:hint="eastAsia" w:ascii="宋体" w:hAnsi="宋体" w:cs="宋体"/>
          <w:b/>
          <w:bCs/>
          <w:color w:val="auto"/>
          <w:highlight w:val="none"/>
        </w:rPr>
        <w:t>二、组建评标委员会</w:t>
      </w:r>
      <w:bookmarkEnd w:id="345"/>
      <w:bookmarkEnd w:id="346"/>
      <w:bookmarkEnd w:id="347"/>
      <w:bookmarkEnd w:id="348"/>
      <w:bookmarkEnd w:id="349"/>
    </w:p>
    <w:p w14:paraId="70D14FC8">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1.采购人将根据相关规定和采购项目的特点由采购人和技术、经济等方面专家组成评标委员会，评标委员会成员人数见投标人须知前附表。</w:t>
      </w:r>
    </w:p>
    <w:p w14:paraId="28EE9109">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2.除依法组建的评标委员会成员以外，其他任何人不得参加或者替代评审。</w:t>
      </w:r>
    </w:p>
    <w:p w14:paraId="633ED6F7">
      <w:pPr>
        <w:widowControl/>
        <w:adjustRightInd w:val="0"/>
        <w:snapToGrid w:val="0"/>
        <w:spacing w:line="312" w:lineRule="auto"/>
        <w:ind w:firstLine="482"/>
        <w:outlineLvl w:val="1"/>
        <w:rPr>
          <w:rFonts w:hint="eastAsia" w:ascii="宋体" w:hAnsi="宋体" w:cs="宋体"/>
          <w:b/>
          <w:bCs/>
          <w:color w:val="auto"/>
          <w:highlight w:val="none"/>
        </w:rPr>
      </w:pPr>
      <w:bookmarkStart w:id="350" w:name="_Toc4492"/>
      <w:bookmarkStart w:id="351" w:name="_Toc2702"/>
      <w:bookmarkStart w:id="352" w:name="_Toc22583"/>
      <w:bookmarkStart w:id="353" w:name="_Toc28914"/>
      <w:bookmarkStart w:id="354" w:name="_Toc30877"/>
      <w:r>
        <w:rPr>
          <w:rFonts w:hint="eastAsia" w:ascii="宋体" w:hAnsi="宋体" w:cs="宋体"/>
          <w:b/>
          <w:bCs/>
          <w:color w:val="auto"/>
          <w:highlight w:val="none"/>
        </w:rPr>
        <w:t>三、评标原则</w:t>
      </w:r>
      <w:bookmarkEnd w:id="350"/>
      <w:bookmarkEnd w:id="351"/>
      <w:bookmarkEnd w:id="352"/>
      <w:bookmarkEnd w:id="353"/>
      <w:bookmarkEnd w:id="354"/>
    </w:p>
    <w:p w14:paraId="7CC9B39E">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1.公正、客观、审慎的原则。</w:t>
      </w:r>
    </w:p>
    <w:p w14:paraId="60FCB832">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2.严格保密原则。评标委员会及有关工作人员不得私下与投标人接触。采购人或采购组织机构对评审结果不作任何说明和解释，也不回答任何提问。</w:t>
      </w:r>
    </w:p>
    <w:p w14:paraId="5A33437C">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3.独立评审原则。任何单位和个人不得干扰、影响评审的正常进行。</w:t>
      </w:r>
    </w:p>
    <w:p w14:paraId="7BB0C668">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4.严格遵守评标方法。根据招标文件规定的评审程序、评审方法进行评审，不带任何倾向性和启发性。</w:t>
      </w:r>
    </w:p>
    <w:p w14:paraId="47B8863B">
      <w:pPr>
        <w:widowControl/>
        <w:adjustRightInd w:val="0"/>
        <w:snapToGrid w:val="0"/>
        <w:spacing w:line="312" w:lineRule="auto"/>
        <w:ind w:firstLine="482"/>
        <w:outlineLvl w:val="1"/>
        <w:rPr>
          <w:rFonts w:hint="eastAsia" w:ascii="宋体" w:hAnsi="宋体" w:cs="宋体"/>
          <w:b/>
          <w:bCs/>
          <w:color w:val="auto"/>
          <w:highlight w:val="none"/>
        </w:rPr>
      </w:pPr>
      <w:bookmarkStart w:id="355" w:name="_Toc14916"/>
      <w:bookmarkStart w:id="356" w:name="_Toc10023"/>
      <w:bookmarkStart w:id="357" w:name="_Toc14978"/>
      <w:bookmarkStart w:id="358" w:name="_Toc1861"/>
      <w:bookmarkStart w:id="359" w:name="_Toc11767"/>
      <w:r>
        <w:rPr>
          <w:rFonts w:hint="eastAsia" w:ascii="宋体" w:hAnsi="宋体" w:cs="宋体"/>
          <w:b/>
          <w:bCs/>
          <w:color w:val="auto"/>
          <w:highlight w:val="none"/>
        </w:rPr>
        <w:t>四、评标委员会履行下列职责</w:t>
      </w:r>
      <w:bookmarkEnd w:id="355"/>
      <w:bookmarkEnd w:id="356"/>
      <w:bookmarkEnd w:id="357"/>
      <w:bookmarkEnd w:id="358"/>
      <w:bookmarkEnd w:id="359"/>
    </w:p>
    <w:p w14:paraId="0D02686B">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1.熟悉和理解招标文件；</w:t>
      </w:r>
    </w:p>
    <w:p w14:paraId="306C8253">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2.审查投标人投标文件等是否满足招标文件要求，并作出评价；</w:t>
      </w:r>
    </w:p>
    <w:p w14:paraId="4DD07F7F">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3.根据需要要求采购人对招标文件作出解释；根据需要要求投标人对投标文件有关事项作出澄清、说明或者更正；</w:t>
      </w:r>
    </w:p>
    <w:p w14:paraId="52B800B4">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4.推荐中标候选人，或者受采购人委托确定中标人；</w:t>
      </w:r>
    </w:p>
    <w:p w14:paraId="77FFE3DC">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5.起草评标报告并进行签署；</w:t>
      </w:r>
    </w:p>
    <w:p w14:paraId="2ED57365">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6.向采购人、监督部门报告非法干预评标工作的行为；</w:t>
      </w:r>
    </w:p>
    <w:p w14:paraId="4DB8C8ED">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7.法律、法规和规章规定的其他职责。</w:t>
      </w:r>
    </w:p>
    <w:p w14:paraId="450100C4">
      <w:pPr>
        <w:widowControl/>
        <w:adjustRightInd w:val="0"/>
        <w:snapToGrid w:val="0"/>
        <w:spacing w:line="312" w:lineRule="auto"/>
        <w:ind w:firstLine="482"/>
        <w:outlineLvl w:val="1"/>
        <w:rPr>
          <w:rFonts w:hint="eastAsia" w:ascii="宋体" w:hAnsi="宋体" w:cs="宋体"/>
          <w:b/>
          <w:bCs/>
          <w:color w:val="auto"/>
          <w:highlight w:val="none"/>
        </w:rPr>
      </w:pPr>
      <w:bookmarkStart w:id="360" w:name="_Toc22091"/>
      <w:bookmarkStart w:id="361" w:name="_Toc17885"/>
      <w:bookmarkStart w:id="362" w:name="_Toc3581"/>
      <w:bookmarkStart w:id="363" w:name="_Toc31243"/>
      <w:bookmarkStart w:id="364" w:name="_Toc14893"/>
      <w:r>
        <w:rPr>
          <w:rFonts w:hint="eastAsia" w:ascii="宋体" w:hAnsi="宋体" w:cs="宋体"/>
          <w:b/>
          <w:bCs/>
          <w:color w:val="auto"/>
          <w:highlight w:val="none"/>
        </w:rPr>
        <w:t>五、评标工作纪律</w:t>
      </w:r>
      <w:bookmarkEnd w:id="360"/>
      <w:bookmarkEnd w:id="361"/>
      <w:bookmarkEnd w:id="362"/>
      <w:bookmarkEnd w:id="363"/>
      <w:bookmarkEnd w:id="364"/>
    </w:p>
    <w:p w14:paraId="528742C8">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评标委员会成员要严格遵守评标纪律、保密、回避等相关规定，依法独立履行评标职责，客观、公正、审慎参与评标工作；</w:t>
      </w:r>
    </w:p>
    <w:p w14:paraId="2A19DBDB">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1.严格遵守评标时间，因突发情况确实不能按时参加评标的，应事先告知招标组织机构；</w:t>
      </w:r>
    </w:p>
    <w:p w14:paraId="3D143B4C">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2.服从招标组织机构的现场管理，主动出示身份证明，进入评标区域后应主动寄存移动通讯工具；</w:t>
      </w:r>
    </w:p>
    <w:p w14:paraId="4C33AB2D">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3.与投标人或评标委员会其他成员存在利害关系的，要主动回避，自觉签订《政府采购评审人员廉洁自律承诺书》；</w:t>
      </w:r>
    </w:p>
    <w:p w14:paraId="753AABA5">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66D7D206">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5.自觉遵守职业道德，尊重采购人代表和投标人代表，配合招标组织机构回答投标人代表提出的有关异议；</w:t>
      </w:r>
    </w:p>
    <w:p w14:paraId="00A11E67">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6.不得将评标过程、结果和投标人的商业秘密透露给任何单位和个人。未公告评标结果前不准泄露评标结果，不准将评标资料带出会场；</w:t>
      </w:r>
    </w:p>
    <w:p w14:paraId="40181050">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7.评标过程中，涉及相关法律法规不清楚之处的，由采购监管部门或请示权威部门作出法定解释，涉及招标文件的由采购人和采购代理机构负责解释。</w:t>
      </w:r>
    </w:p>
    <w:p w14:paraId="76369E0F">
      <w:pPr>
        <w:widowControl/>
        <w:adjustRightInd w:val="0"/>
        <w:snapToGrid w:val="0"/>
        <w:spacing w:line="312" w:lineRule="auto"/>
        <w:ind w:firstLine="482"/>
        <w:outlineLvl w:val="1"/>
        <w:rPr>
          <w:rFonts w:hint="eastAsia" w:ascii="宋体" w:hAnsi="宋体" w:cs="宋体"/>
          <w:b/>
          <w:bCs/>
          <w:color w:val="auto"/>
          <w:highlight w:val="none"/>
        </w:rPr>
      </w:pPr>
      <w:bookmarkStart w:id="365" w:name="_Toc3099"/>
      <w:bookmarkStart w:id="366" w:name="_Toc29313"/>
      <w:bookmarkStart w:id="367" w:name="_Toc27596"/>
      <w:bookmarkStart w:id="368" w:name="_Toc8118"/>
      <w:bookmarkStart w:id="369" w:name="_Toc28202"/>
      <w:r>
        <w:rPr>
          <w:rFonts w:hint="eastAsia" w:ascii="宋体" w:hAnsi="宋体" w:cs="宋体"/>
          <w:b/>
          <w:bCs/>
          <w:color w:val="auto"/>
          <w:highlight w:val="none"/>
        </w:rPr>
        <w:t>六、评标程序</w:t>
      </w:r>
      <w:bookmarkEnd w:id="365"/>
      <w:bookmarkEnd w:id="366"/>
      <w:bookmarkEnd w:id="367"/>
      <w:bookmarkEnd w:id="368"/>
      <w:bookmarkEnd w:id="369"/>
    </w:p>
    <w:p w14:paraId="285A9851">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1.推选评标委员会组长，优先资深专家担任组长，采购人代表不得担任组长。</w:t>
      </w:r>
    </w:p>
    <w:p w14:paraId="36922070">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2.评标委员会正式评审前，应当对招标文件进行熟悉和理解，内容主要包括招标文件中投标人资格资质要求、采购项目技术、服务和商务要求、评审方法以及可能涉及签订采购合同的内容等。</w:t>
      </w:r>
    </w:p>
    <w:p w14:paraId="1EF32754">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3.评标程序：资格审查→符合性审查→商务评审→报价评审→得分汇总→编写评审报告。</w:t>
      </w:r>
    </w:p>
    <w:p w14:paraId="713895A8">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4.资格性审查</w:t>
      </w:r>
    </w:p>
    <w:p w14:paraId="22D24D90">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4.1.评标委员会应依据法律法规和本招标文件的规定对投标人资格进行审查。审查内容包</w:t>
      </w:r>
    </w:p>
    <w:p w14:paraId="78F646C8">
      <w:pPr>
        <w:widowControl/>
        <w:adjustRightInd w:val="0"/>
        <w:snapToGrid w:val="0"/>
        <w:spacing w:line="312" w:lineRule="auto"/>
        <w:ind w:firstLine="0" w:firstLineChars="0"/>
        <w:rPr>
          <w:rFonts w:hint="eastAsia" w:ascii="宋体" w:hAnsi="宋体" w:cs="宋体"/>
          <w:color w:val="auto"/>
          <w:highlight w:val="none"/>
        </w:rPr>
      </w:pPr>
      <w:r>
        <w:rPr>
          <w:rFonts w:hint="eastAsia" w:ascii="宋体" w:hAnsi="宋体" w:cs="宋体"/>
          <w:color w:val="auto"/>
          <w:highlight w:val="none"/>
        </w:rPr>
        <w:t>括：</w:t>
      </w:r>
    </w:p>
    <w:p w14:paraId="1B064CB6">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(1)是否属于禁止参加投标的投标人；</w:t>
      </w:r>
    </w:p>
    <w:p w14:paraId="5BB9A4E0">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(2)是否按照规定要求提供资格性证明材料；</w:t>
      </w:r>
    </w:p>
    <w:p w14:paraId="7BF71F81">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(3)法律法规规定的其他资格条件。</w:t>
      </w:r>
    </w:p>
    <w:p w14:paraId="52809AE9">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4.2.经资格审查不符合招标文件要求的投标文件，即终止其参与投标资格。不符合的理由由投标人在系统上确认，投标人拒绝确认的不影响评标委员会作出的不合格裁定。</w:t>
      </w:r>
    </w:p>
    <w:p w14:paraId="2AC3D103">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5.符合性审查</w:t>
      </w:r>
    </w:p>
    <w:p w14:paraId="353616F0">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5.1.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w:t>
      </w:r>
    </w:p>
    <w:p w14:paraId="771ACD86">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未实质性响应的理由由投标人在系统上及开标现场确认。投标人拒绝确认的不影响评标委员会作出的不合格裁定。评标委员会不再进行后续评审。</w:t>
      </w:r>
    </w:p>
    <w:p w14:paraId="5A4B93CD">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5.2.如果确定投标人无资格履行合同，其投标将被拒绝。</w:t>
      </w:r>
    </w:p>
    <w:p w14:paraId="2071FEB5">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6.投标文件评审</w:t>
      </w:r>
    </w:p>
    <w:p w14:paraId="50453A6C">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评标委员会应当按照本招标文件中规定的评标方法和评分标准，对有效的投标文件进行技术、服务、商务等方面评估，综合比较与评价。详见本章第十条。</w:t>
      </w:r>
    </w:p>
    <w:p w14:paraId="0ADF24D1">
      <w:pPr>
        <w:widowControl/>
        <w:adjustRightInd w:val="0"/>
        <w:snapToGrid w:val="0"/>
        <w:spacing w:line="312" w:lineRule="auto"/>
        <w:ind w:firstLine="482"/>
        <w:jc w:val="left"/>
        <w:outlineLvl w:val="1"/>
        <w:rPr>
          <w:rFonts w:hint="eastAsia" w:ascii="宋体" w:hAnsi="宋体" w:cs="宋体"/>
          <w:b/>
          <w:bCs/>
          <w:color w:val="auto"/>
          <w:highlight w:val="none"/>
        </w:rPr>
      </w:pPr>
      <w:bookmarkStart w:id="370" w:name="_Toc7227"/>
      <w:bookmarkStart w:id="371" w:name="_Toc9066"/>
      <w:bookmarkStart w:id="372" w:name="_Toc25472"/>
      <w:bookmarkStart w:id="373" w:name="_Toc6220"/>
      <w:bookmarkStart w:id="374" w:name="_Toc1652"/>
      <w:r>
        <w:rPr>
          <w:rFonts w:hint="eastAsia" w:ascii="宋体" w:hAnsi="宋体" w:cs="宋体"/>
          <w:b/>
          <w:bCs/>
          <w:color w:val="auto"/>
          <w:highlight w:val="none"/>
        </w:rPr>
        <w:t>七、澄清、说明或修正</w:t>
      </w:r>
      <w:bookmarkEnd w:id="370"/>
      <w:bookmarkEnd w:id="371"/>
      <w:bookmarkEnd w:id="372"/>
      <w:bookmarkEnd w:id="373"/>
      <w:bookmarkEnd w:id="374"/>
    </w:p>
    <w:p w14:paraId="2D9428C3">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14:paraId="27EC9B94">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2.投标文件报价出现前后不一致的（如有），按照下列规定修正：</w:t>
      </w:r>
    </w:p>
    <w:p w14:paraId="3B195555">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2.1.开标时，投标文件中开标一览表（报价表）内容与投标文件中明细表内容不一致的，以开标一览表（报价表）为准；</w:t>
      </w:r>
    </w:p>
    <w:p w14:paraId="55EB6C2E">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2.2.大写金额与小写金额不一致的，以大写金额为准。但大写金额出现文字错误，导致金额无法判断的除外；</w:t>
      </w:r>
    </w:p>
    <w:p w14:paraId="43A1F36F">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2.3.总价金额与按单价汇总金额不一致的，以单价汇总金额计算结果为准。但单价金额出现计算错误、明显人为工作失误的除外；</w:t>
      </w:r>
    </w:p>
    <w:p w14:paraId="3704B12E">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2.4.单价金额小数点有明显错位的，应以总价为准，并修改单价；</w:t>
      </w:r>
    </w:p>
    <w:p w14:paraId="4A0E12F8">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2.5.对不同语言文本投标文件的解释发生异议的，以中文文本为准。</w:t>
      </w:r>
    </w:p>
    <w:p w14:paraId="18FA8518">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5DD0AAC1">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3.澄清说明答复函须由投标人法定代表人或授权代理人签字和盖章。如果投标人不接受对其错误的更正，其投标将被拒绝。</w:t>
      </w:r>
    </w:p>
    <w:p w14:paraId="2933A16E">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4.请投标人在评审期间保持电话畅通，如未及时接听电话，视为放弃澄清、说明或补正的权利，视同默认采购结果，事后不得对采购相关人员、采购过程及结果提出异议。责任由投标人自负。</w:t>
      </w:r>
    </w:p>
    <w:p w14:paraId="3CC4C158">
      <w:pPr>
        <w:widowControl/>
        <w:adjustRightInd w:val="0"/>
        <w:snapToGrid w:val="0"/>
        <w:spacing w:line="312" w:lineRule="auto"/>
        <w:ind w:firstLine="482"/>
        <w:jc w:val="left"/>
        <w:outlineLvl w:val="1"/>
        <w:rPr>
          <w:rFonts w:hint="eastAsia" w:ascii="宋体" w:hAnsi="宋体" w:cs="宋体"/>
          <w:b/>
          <w:bCs/>
          <w:color w:val="auto"/>
          <w:highlight w:val="none"/>
        </w:rPr>
      </w:pPr>
      <w:bookmarkStart w:id="375" w:name="_Toc2666"/>
      <w:bookmarkStart w:id="376" w:name="_Toc10753"/>
      <w:bookmarkStart w:id="377" w:name="_Toc30288"/>
      <w:bookmarkStart w:id="378" w:name="_Toc2937"/>
      <w:bookmarkStart w:id="379" w:name="_Toc5361"/>
      <w:r>
        <w:rPr>
          <w:rFonts w:hint="eastAsia" w:ascii="宋体" w:hAnsi="宋体" w:cs="宋体"/>
          <w:b/>
          <w:bCs/>
          <w:color w:val="auto"/>
          <w:highlight w:val="none"/>
        </w:rPr>
        <w:t>八、推荐中标候选人</w:t>
      </w:r>
      <w:bookmarkEnd w:id="375"/>
      <w:bookmarkEnd w:id="376"/>
      <w:bookmarkEnd w:id="377"/>
      <w:bookmarkEnd w:id="378"/>
      <w:bookmarkEnd w:id="379"/>
    </w:p>
    <w:p w14:paraId="633A1247">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按照投标人综合得分由高到低顺序排列推荐中标候选人。综合得分相同的，按资信技术分由高到低排列。得分且投标报价相同的并列。投标文件满足招标文件全部实质性要求，且按照评审因素的量化指标评审得分最高的投标人为排名第一的中标候选人。</w:t>
      </w:r>
    </w:p>
    <w:p w14:paraId="45DC084E">
      <w:pPr>
        <w:widowControl/>
        <w:adjustRightInd w:val="0"/>
        <w:snapToGrid w:val="0"/>
        <w:spacing w:line="312" w:lineRule="auto"/>
        <w:ind w:firstLine="482"/>
        <w:jc w:val="left"/>
        <w:outlineLvl w:val="1"/>
        <w:rPr>
          <w:rFonts w:hint="eastAsia" w:ascii="宋体" w:hAnsi="宋体" w:cs="宋体"/>
          <w:b/>
          <w:bCs/>
          <w:color w:val="auto"/>
          <w:highlight w:val="none"/>
        </w:rPr>
      </w:pPr>
      <w:bookmarkStart w:id="380" w:name="_Toc4901"/>
      <w:bookmarkStart w:id="381" w:name="_Toc2541"/>
      <w:bookmarkStart w:id="382" w:name="_Toc23075"/>
      <w:bookmarkStart w:id="383" w:name="_Toc28595"/>
      <w:bookmarkStart w:id="384" w:name="_Toc20898"/>
      <w:r>
        <w:rPr>
          <w:rFonts w:hint="eastAsia" w:ascii="宋体" w:hAnsi="宋体" w:cs="宋体"/>
          <w:b/>
          <w:bCs/>
          <w:color w:val="auto"/>
          <w:highlight w:val="none"/>
        </w:rPr>
        <w:t>九、评审报告</w:t>
      </w:r>
      <w:bookmarkEnd w:id="380"/>
      <w:bookmarkEnd w:id="381"/>
      <w:bookmarkEnd w:id="382"/>
      <w:bookmarkEnd w:id="383"/>
      <w:bookmarkEnd w:id="384"/>
    </w:p>
    <w:p w14:paraId="2537825D">
      <w:pPr>
        <w:widowControl/>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评标委员会编写评标报告，并提出综合得分由高到低排序名单及理由，评标报告由评标委员会成员签字。</w:t>
      </w:r>
    </w:p>
    <w:p w14:paraId="5D90DE15">
      <w:pPr>
        <w:widowControl/>
        <w:adjustRightInd w:val="0"/>
        <w:snapToGrid w:val="0"/>
        <w:spacing w:line="312" w:lineRule="auto"/>
        <w:ind w:firstLine="482"/>
        <w:outlineLvl w:val="1"/>
        <w:rPr>
          <w:rFonts w:hint="eastAsia" w:ascii="宋体" w:hAnsi="宋体" w:cs="宋体"/>
          <w:color w:val="auto"/>
          <w:highlight w:val="none"/>
        </w:rPr>
      </w:pPr>
      <w:bookmarkStart w:id="385" w:name="_Toc1569"/>
      <w:bookmarkStart w:id="386" w:name="_Toc26869"/>
      <w:bookmarkStart w:id="387" w:name="_Toc1109"/>
      <w:bookmarkStart w:id="388" w:name="_Toc23871"/>
      <w:bookmarkStart w:id="389" w:name="_Toc4586"/>
      <w:r>
        <w:rPr>
          <w:rFonts w:hint="eastAsia" w:ascii="宋体" w:hAnsi="宋体" w:cs="宋体"/>
          <w:b/>
          <w:bCs/>
          <w:color w:val="auto"/>
          <w:highlight w:val="none"/>
        </w:rPr>
        <w:t>十、评标细则及标准</w:t>
      </w:r>
      <w:bookmarkEnd w:id="385"/>
      <w:bookmarkEnd w:id="386"/>
      <w:bookmarkEnd w:id="387"/>
      <w:bookmarkEnd w:id="388"/>
      <w:bookmarkEnd w:id="389"/>
    </w:p>
    <w:p w14:paraId="19A4C397">
      <w:pPr>
        <w:widowControl/>
        <w:adjustRightInd w:val="0"/>
        <w:snapToGrid w:val="0"/>
        <w:spacing w:line="312" w:lineRule="auto"/>
        <w:ind w:firstLine="480"/>
        <w:outlineLvl w:val="1"/>
        <w:rPr>
          <w:rFonts w:hint="eastAsia" w:ascii="宋体" w:hAnsi="宋体" w:cs="宋体"/>
          <w:color w:val="auto"/>
          <w:highlight w:val="none"/>
        </w:rPr>
      </w:pPr>
      <w:bookmarkStart w:id="390" w:name="_Toc13521"/>
      <w:bookmarkStart w:id="391" w:name="_Toc29667"/>
      <w:bookmarkStart w:id="392" w:name="_Toc27181"/>
      <w:bookmarkStart w:id="393" w:name="_Toc15617"/>
      <w:bookmarkStart w:id="394" w:name="_Toc21720"/>
      <w:r>
        <w:rPr>
          <w:rFonts w:hint="eastAsia" w:ascii="宋体" w:hAnsi="宋体" w:cs="宋体"/>
          <w:color w:val="auto"/>
          <w:highlight w:val="none"/>
        </w:rPr>
        <w:t>1.评标委员会成员根据本办法，对有效的投标文件进行商务、技术等方面评估，综合比较与评价，由各成员独立评分，打分时保留小数1位，每人一份评分表，并签名。在汇总得分时，如果发现某一单项评分超过评分细则规定的分值范围，则该份评分表无效。</w:t>
      </w:r>
      <w:bookmarkEnd w:id="390"/>
      <w:bookmarkEnd w:id="391"/>
      <w:bookmarkEnd w:id="392"/>
      <w:bookmarkEnd w:id="393"/>
      <w:bookmarkEnd w:id="394"/>
    </w:p>
    <w:p w14:paraId="60F04A46">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2.加权汇总每项评分因素的得分，得出每个有效投标人的综合得分。投标人资信商务技术部分最终得分为各成员的有效评分的算术平均值。计算时保留小数二位（第三位四舍五入）。</w:t>
      </w:r>
    </w:p>
    <w:p w14:paraId="7D5E5823">
      <w:pPr>
        <w:widowControl/>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3.综合评分明细表</w:t>
      </w:r>
    </w:p>
    <w:tbl>
      <w:tblPr>
        <w:tblStyle w:val="44"/>
        <w:tblW w:w="10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962"/>
        <w:gridCol w:w="5760"/>
        <w:gridCol w:w="1209"/>
        <w:gridCol w:w="1045"/>
      </w:tblGrid>
      <w:tr w14:paraId="1CB7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Align w:val="center"/>
          </w:tcPr>
          <w:p w14:paraId="27682875">
            <w:pPr>
              <w:widowControl/>
              <w:ind w:firstLine="0" w:firstLineChars="0"/>
              <w:jc w:val="center"/>
              <w:rPr>
                <w:rFonts w:hint="eastAsia" w:ascii="宋体" w:hAnsi="宋体" w:cs="宋体"/>
                <w:color w:val="auto"/>
                <w:highlight w:val="none"/>
              </w:rPr>
            </w:pPr>
            <w:bookmarkStart w:id="395" w:name="OLE_LINK55"/>
            <w:r>
              <w:rPr>
                <w:rFonts w:hint="eastAsia" w:ascii="宋体" w:hAnsi="宋体" w:cs="宋体"/>
                <w:color w:val="auto"/>
                <w:kern w:val="0"/>
                <w:highlight w:val="none"/>
              </w:rPr>
              <w:t>评分内容</w:t>
            </w:r>
          </w:p>
        </w:tc>
        <w:tc>
          <w:tcPr>
            <w:tcW w:w="6538" w:type="dxa"/>
            <w:gridSpan w:val="2"/>
            <w:vAlign w:val="center"/>
          </w:tcPr>
          <w:p w14:paraId="61E4E027">
            <w:pPr>
              <w:widowControl/>
              <w:ind w:firstLine="0" w:firstLineChars="0"/>
              <w:jc w:val="center"/>
              <w:rPr>
                <w:rFonts w:hint="eastAsia" w:ascii="宋体" w:hAnsi="宋体" w:cs="宋体"/>
                <w:color w:val="auto"/>
                <w:highlight w:val="none"/>
              </w:rPr>
            </w:pPr>
            <w:r>
              <w:rPr>
                <w:rFonts w:hint="eastAsia" w:ascii="宋体" w:hAnsi="宋体" w:cs="宋体"/>
                <w:color w:val="auto"/>
                <w:highlight w:val="none"/>
              </w:rPr>
              <w:t>评分内容和标准</w:t>
            </w:r>
          </w:p>
        </w:tc>
        <w:tc>
          <w:tcPr>
            <w:tcW w:w="1176" w:type="dxa"/>
            <w:vAlign w:val="center"/>
          </w:tcPr>
          <w:p w14:paraId="2478153B">
            <w:pPr>
              <w:widowControl/>
              <w:ind w:firstLine="0" w:firstLineChars="0"/>
              <w:jc w:val="center"/>
              <w:rPr>
                <w:rFonts w:hint="eastAsia" w:ascii="宋体" w:hAnsi="宋体" w:cs="宋体"/>
                <w:color w:val="auto"/>
                <w:highlight w:val="none"/>
              </w:rPr>
            </w:pPr>
            <w:r>
              <w:rPr>
                <w:rFonts w:hint="eastAsia" w:ascii="宋体" w:hAnsi="宋体" w:cs="宋体"/>
                <w:color w:val="auto"/>
                <w:highlight w:val="none"/>
              </w:rPr>
              <w:t>分值区间</w:t>
            </w:r>
          </w:p>
        </w:tc>
        <w:tc>
          <w:tcPr>
            <w:tcW w:w="1015" w:type="dxa"/>
            <w:vAlign w:val="center"/>
          </w:tcPr>
          <w:p w14:paraId="2DD342D7">
            <w:pPr>
              <w:widowControl/>
              <w:ind w:firstLine="0" w:firstLineChars="0"/>
              <w:jc w:val="center"/>
              <w:rPr>
                <w:rFonts w:hint="eastAsia" w:ascii="宋体" w:hAnsi="宋体" w:cs="宋体"/>
                <w:color w:val="auto"/>
                <w:highlight w:val="none"/>
              </w:rPr>
            </w:pPr>
            <w:r>
              <w:rPr>
                <w:rFonts w:hint="eastAsia" w:ascii="宋体" w:hAnsi="宋体" w:cs="宋体"/>
                <w:color w:val="auto"/>
                <w:highlight w:val="none"/>
              </w:rPr>
              <w:t>主客观分</w:t>
            </w:r>
          </w:p>
        </w:tc>
      </w:tr>
      <w:tr w14:paraId="06F1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Align w:val="center"/>
          </w:tcPr>
          <w:p w14:paraId="580E9E5B">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报价部分</w:t>
            </w:r>
          </w:p>
          <w:p w14:paraId="43DDFD33">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（30分）</w:t>
            </w:r>
          </w:p>
        </w:tc>
        <w:tc>
          <w:tcPr>
            <w:tcW w:w="6538" w:type="dxa"/>
            <w:gridSpan w:val="2"/>
            <w:vAlign w:val="center"/>
          </w:tcPr>
          <w:p w14:paraId="364755D6">
            <w:pPr>
              <w:widowControl/>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本项目最高限价：人民币208万元，评标基准价为满足评标要求且</w:t>
            </w:r>
            <w:r>
              <w:rPr>
                <w:rFonts w:hint="eastAsia" w:ascii="宋体" w:hAnsi="宋体" w:cs="宋体"/>
                <w:color w:val="auto"/>
                <w:kern w:val="0"/>
                <w:highlight w:val="none"/>
                <w:lang w:val="zh-CN"/>
              </w:rPr>
              <w:t>投标最低</w:t>
            </w:r>
            <w:r>
              <w:rPr>
                <w:rFonts w:hint="eastAsia" w:ascii="宋体" w:hAnsi="宋体" w:cs="宋体"/>
                <w:color w:val="auto"/>
                <w:kern w:val="0"/>
                <w:highlight w:val="none"/>
              </w:rPr>
              <w:t>的投标报价</w:t>
            </w:r>
            <w:r>
              <w:rPr>
                <w:rFonts w:hint="eastAsia" w:ascii="宋体" w:hAnsi="宋体" w:cs="宋体"/>
                <w:color w:val="auto"/>
                <w:kern w:val="0"/>
                <w:highlight w:val="none"/>
                <w:lang w:val="zh-CN"/>
              </w:rPr>
              <w:t>为评标基准价</w:t>
            </w:r>
            <w:r>
              <w:rPr>
                <w:rFonts w:hint="eastAsia" w:ascii="宋体" w:hAnsi="宋体" w:cs="宋体"/>
                <w:color w:val="auto"/>
                <w:kern w:val="0"/>
                <w:highlight w:val="none"/>
              </w:rPr>
              <w:t>，投标报价得分=(评标基准价／投标人最终报价)×30%×100，四舍五入，保留两位小数。报价高于最高限价的，为无效投标文件。</w:t>
            </w:r>
          </w:p>
          <w:p w14:paraId="69B4B115">
            <w:pPr>
              <w:widowControl/>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注：对小型和微型企业产品的价格给予10%的扣除,用扣除后的价格参与评审。</w:t>
            </w:r>
          </w:p>
        </w:tc>
        <w:tc>
          <w:tcPr>
            <w:tcW w:w="1176" w:type="dxa"/>
            <w:vAlign w:val="center"/>
          </w:tcPr>
          <w:p w14:paraId="53FA5143">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0-30分</w:t>
            </w:r>
          </w:p>
        </w:tc>
        <w:tc>
          <w:tcPr>
            <w:tcW w:w="1015" w:type="dxa"/>
            <w:vAlign w:val="center"/>
          </w:tcPr>
          <w:p w14:paraId="450C60FD">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w:t>
            </w:r>
          </w:p>
        </w:tc>
      </w:tr>
      <w:tr w14:paraId="2FF7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vAlign w:val="center"/>
          </w:tcPr>
          <w:p w14:paraId="7FCA86EB">
            <w:pPr>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商务资信分</w:t>
            </w:r>
          </w:p>
          <w:p w14:paraId="17A6DC49">
            <w:pPr>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（32分）</w:t>
            </w:r>
          </w:p>
        </w:tc>
        <w:tc>
          <w:tcPr>
            <w:tcW w:w="936" w:type="dxa"/>
            <w:vAlign w:val="center"/>
          </w:tcPr>
          <w:p w14:paraId="775D9A2F">
            <w:pPr>
              <w:widowControl/>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业绩</w:t>
            </w:r>
          </w:p>
        </w:tc>
        <w:tc>
          <w:tcPr>
            <w:tcW w:w="5602" w:type="dxa"/>
            <w:vAlign w:val="center"/>
          </w:tcPr>
          <w:p w14:paraId="5CF0E9B8">
            <w:pPr>
              <w:widowControl/>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投标人自2021年1月1日至今（以合同签订时间为准）承担过同类品牌救护车供货业绩的，每提供1个得1分，最高得2分。</w:t>
            </w:r>
          </w:p>
          <w:p w14:paraId="2143205F">
            <w:pPr>
              <w:widowControl/>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注：需提供相关采购合同原件扫描件，否则不得分。</w:t>
            </w:r>
          </w:p>
        </w:tc>
        <w:tc>
          <w:tcPr>
            <w:tcW w:w="1176" w:type="dxa"/>
            <w:vAlign w:val="center"/>
          </w:tcPr>
          <w:p w14:paraId="273D9EE6">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0-2分</w:t>
            </w:r>
          </w:p>
        </w:tc>
        <w:tc>
          <w:tcPr>
            <w:tcW w:w="1015" w:type="dxa"/>
            <w:vAlign w:val="center"/>
          </w:tcPr>
          <w:p w14:paraId="0205B4DA">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highlight w:val="none"/>
              </w:rPr>
              <w:t>客观分</w:t>
            </w:r>
          </w:p>
        </w:tc>
      </w:tr>
      <w:tr w14:paraId="5095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14:paraId="4CB80BE5">
            <w:pPr>
              <w:ind w:firstLine="0" w:firstLineChars="0"/>
              <w:jc w:val="center"/>
              <w:rPr>
                <w:rFonts w:hint="eastAsia" w:ascii="宋体" w:hAnsi="宋体" w:cs="宋体"/>
                <w:color w:val="auto"/>
                <w:kern w:val="0"/>
                <w:highlight w:val="none"/>
              </w:rPr>
            </w:pPr>
          </w:p>
        </w:tc>
        <w:tc>
          <w:tcPr>
            <w:tcW w:w="936" w:type="dxa"/>
            <w:vAlign w:val="center"/>
          </w:tcPr>
          <w:p w14:paraId="4BAD28AE">
            <w:pPr>
              <w:widowControl/>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技术参数响应性</w:t>
            </w:r>
          </w:p>
          <w:p w14:paraId="4CFE88E8">
            <w:pPr>
              <w:widowControl/>
              <w:spacing w:line="240" w:lineRule="auto"/>
              <w:ind w:firstLine="0" w:firstLineChars="0"/>
              <w:jc w:val="center"/>
              <w:rPr>
                <w:rFonts w:hint="eastAsia" w:ascii="宋体" w:hAnsi="宋体" w:cs="宋体"/>
                <w:color w:val="auto"/>
                <w:kern w:val="0"/>
                <w:highlight w:val="none"/>
              </w:rPr>
            </w:pPr>
          </w:p>
        </w:tc>
        <w:tc>
          <w:tcPr>
            <w:tcW w:w="5602" w:type="dxa"/>
            <w:vAlign w:val="center"/>
          </w:tcPr>
          <w:p w14:paraId="5BD7031F">
            <w:pPr>
              <w:widowControl/>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投标人所投车辆技术参数完全满足或优于招标文件第三</w:t>
            </w:r>
            <w:r>
              <w:rPr>
                <w:rFonts w:hint="eastAsia" w:ascii="宋体" w:hAnsi="宋体" w:cs="宋体"/>
                <w:color w:val="auto"/>
                <w:highlight w:val="none"/>
                <w:lang w:val="en-US" w:eastAsia="zh-CN"/>
              </w:rPr>
              <w:t xml:space="preserve">章 </w:t>
            </w:r>
            <w:r>
              <w:rPr>
                <w:rFonts w:hint="eastAsia" w:ascii="宋体" w:hAnsi="宋体" w:cs="宋体"/>
                <w:color w:val="auto"/>
                <w:highlight w:val="none"/>
              </w:rPr>
              <w:t>采购</w:t>
            </w:r>
            <w:r>
              <w:rPr>
                <w:rFonts w:hint="eastAsia" w:ascii="宋体" w:hAnsi="宋体" w:cs="宋体"/>
                <w:color w:val="auto"/>
                <w:highlight w:val="none"/>
                <w:lang w:val="en-US" w:eastAsia="zh-CN"/>
              </w:rPr>
              <w:t>内容及要求</w:t>
            </w:r>
            <w:r>
              <w:rPr>
                <w:rFonts w:hint="eastAsia" w:ascii="宋体" w:hAnsi="宋体" w:cs="宋体"/>
                <w:color w:val="auto"/>
                <w:highlight w:val="none"/>
              </w:rPr>
              <w:t>中车辆技术参数要求的得满分30分，标“▲”为实质性条款负偏离作无效标处理，标“★”为重要条款每负偏离一条扣</w:t>
            </w:r>
            <w:r>
              <w:rPr>
                <w:rFonts w:hint="eastAsia" w:ascii="宋体" w:hAnsi="宋体" w:cs="宋体"/>
                <w:color w:val="auto"/>
                <w:highlight w:val="none"/>
                <w:lang w:val="en-US" w:eastAsia="zh-CN"/>
              </w:rPr>
              <w:t>2</w:t>
            </w:r>
            <w:r>
              <w:rPr>
                <w:rFonts w:hint="eastAsia" w:ascii="宋体" w:hAnsi="宋体" w:cs="宋体"/>
                <w:color w:val="auto"/>
                <w:highlight w:val="none"/>
              </w:rPr>
              <w:t>分，其他条款每负偏离一条扣</w:t>
            </w:r>
            <w:r>
              <w:rPr>
                <w:rFonts w:hint="eastAsia" w:ascii="宋体" w:hAnsi="宋体" w:cs="宋体"/>
                <w:color w:val="auto"/>
                <w:highlight w:val="none"/>
                <w:lang w:val="en-US" w:eastAsia="zh-CN"/>
              </w:rPr>
              <w:t>0.05</w:t>
            </w:r>
            <w:r>
              <w:rPr>
                <w:rFonts w:hint="eastAsia" w:ascii="宋体" w:hAnsi="宋体" w:cs="宋体"/>
                <w:color w:val="auto"/>
                <w:highlight w:val="none"/>
              </w:rPr>
              <w:t>分，扣完为止。</w:t>
            </w:r>
          </w:p>
          <w:p w14:paraId="629FAA1B">
            <w:pPr>
              <w:widowControl/>
              <w:numPr>
                <w:ilvl w:val="255"/>
                <w:numId w:val="0"/>
              </w:numPr>
              <w:spacing w:line="240" w:lineRule="auto"/>
              <w:jc w:val="left"/>
              <w:rPr>
                <w:rFonts w:hint="eastAsia" w:ascii="宋体" w:hAnsi="宋体" w:cs="宋体"/>
                <w:color w:val="auto"/>
                <w:highlight w:val="none"/>
              </w:rPr>
            </w:pPr>
            <w:r>
              <w:rPr>
                <w:rFonts w:hint="eastAsia" w:ascii="宋体" w:hAnsi="宋体" w:cs="宋体"/>
                <w:color w:val="auto"/>
                <w:highlight w:val="none"/>
              </w:rPr>
              <w:t>注：标“★”须</w:t>
            </w:r>
            <w:r>
              <w:rPr>
                <w:rFonts w:hint="eastAsia" w:ascii="宋体" w:hAnsi="宋体" w:cs="宋体"/>
                <w:color w:val="auto"/>
                <w:highlight w:val="none"/>
                <w:lang w:val="zh-CN"/>
              </w:rPr>
              <w:t>提供证明材料的以证明资料</w:t>
            </w:r>
            <w:r>
              <w:rPr>
                <w:rFonts w:hint="eastAsia" w:ascii="宋体" w:hAnsi="宋体" w:cs="宋体"/>
                <w:color w:val="auto"/>
                <w:highlight w:val="none"/>
                <w:lang w:val="en-US" w:eastAsia="zh-CN"/>
              </w:rPr>
              <w:t>扫描件</w:t>
            </w:r>
            <w:r>
              <w:rPr>
                <w:rFonts w:hint="eastAsia" w:ascii="宋体" w:hAnsi="宋体" w:cs="宋体"/>
                <w:color w:val="auto"/>
                <w:highlight w:val="none"/>
                <w:lang w:val="zh-CN"/>
              </w:rPr>
              <w:t>为准</w:t>
            </w:r>
            <w:r>
              <w:rPr>
                <w:rFonts w:hint="eastAsia" w:ascii="宋体" w:hAnsi="宋体" w:cs="宋体"/>
                <w:color w:val="auto"/>
                <w:highlight w:val="none"/>
              </w:rPr>
              <w:t>，否则不得分。</w:t>
            </w:r>
          </w:p>
        </w:tc>
        <w:tc>
          <w:tcPr>
            <w:tcW w:w="1176" w:type="dxa"/>
            <w:vAlign w:val="center"/>
          </w:tcPr>
          <w:p w14:paraId="224DB297">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0-30分</w:t>
            </w:r>
          </w:p>
        </w:tc>
        <w:tc>
          <w:tcPr>
            <w:tcW w:w="1015" w:type="dxa"/>
            <w:vAlign w:val="center"/>
          </w:tcPr>
          <w:p w14:paraId="19C90A19">
            <w:pPr>
              <w:widowControl/>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客观分</w:t>
            </w:r>
          </w:p>
        </w:tc>
      </w:tr>
      <w:tr w14:paraId="40B7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vAlign w:val="center"/>
          </w:tcPr>
          <w:p w14:paraId="0402EF73">
            <w:pPr>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技术分（38分）</w:t>
            </w:r>
          </w:p>
        </w:tc>
        <w:tc>
          <w:tcPr>
            <w:tcW w:w="936" w:type="dxa"/>
            <w:vMerge w:val="restart"/>
            <w:vAlign w:val="center"/>
          </w:tcPr>
          <w:p w14:paraId="7FA8CB17">
            <w:pPr>
              <w:spacing w:line="400" w:lineRule="exact"/>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车辆性能</w:t>
            </w:r>
          </w:p>
          <w:p w14:paraId="09843A07">
            <w:pPr>
              <w:widowControl/>
              <w:spacing w:line="240" w:lineRule="auto"/>
              <w:ind w:firstLine="0" w:firstLineChars="0"/>
              <w:jc w:val="center"/>
              <w:rPr>
                <w:rFonts w:hint="eastAsia" w:ascii="宋体" w:hAnsi="宋体" w:cs="宋体"/>
                <w:color w:val="auto"/>
                <w:kern w:val="0"/>
                <w:highlight w:val="none"/>
              </w:rPr>
            </w:pPr>
          </w:p>
        </w:tc>
        <w:tc>
          <w:tcPr>
            <w:tcW w:w="5602" w:type="dxa"/>
            <w:vAlign w:val="center"/>
          </w:tcPr>
          <w:p w14:paraId="30B2DE02">
            <w:pPr>
              <w:widowControl/>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车辆的先进性情况。包括车辆主要部件性能指标优劣、配套部件性能指标优劣：要求主要部件内容完整、技术指标搭配合理，配套部件内容完整、技术指标搭配合理。本项最高得4分；未提供车辆先进性情况说明的不得分。</w:t>
            </w:r>
          </w:p>
          <w:p w14:paraId="58FBC6CB">
            <w:pPr>
              <w:widowControl/>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备注：主要部件指底盘、发动机、车身、电气设备和轮胎；配套部件指发动机配件、传动系配件、制动系配件、转向系配件、行走系配件、电器仪表系配件、汽车灯具。</w:t>
            </w:r>
          </w:p>
          <w:p w14:paraId="4E06524E">
            <w:pPr>
              <w:widowControl/>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2）使用寿命长短情况及相应的保障措施科学合理：要求车辆使用寿命时间长、相应的保障措施科学合理。本项最高得4分；提供既往同种车辆使用寿命长短情况及相应的保障措施证明文件，未提供的不得分。</w:t>
            </w:r>
          </w:p>
          <w:p w14:paraId="63905E23">
            <w:pPr>
              <w:widowControl/>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3）车辆稳定性情况包括车辆使用故障率低，维修保养频率低及相应的保障措施科学合理：要求车辆使用故障率低、维修保养频率低、相应的保障措施科学合理。本项最高得3分；提供既往同种车辆稳定性情况的证明文件，未提供的不得分。</w:t>
            </w:r>
          </w:p>
          <w:p w14:paraId="347862D2">
            <w:pPr>
              <w:widowControl/>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4）车辆可靠性情况包括车辆连续作业时间长度及相应的保障措施科学合理：要求车辆连续作业时间长、相应的保障措施科学合理。本项最高得3分；提供既往同种车辆可靠性情况证明文件，未提供的不得分。</w:t>
            </w:r>
          </w:p>
        </w:tc>
        <w:tc>
          <w:tcPr>
            <w:tcW w:w="1176" w:type="dxa"/>
            <w:vAlign w:val="center"/>
          </w:tcPr>
          <w:p w14:paraId="0973E0AB">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0-14分</w:t>
            </w:r>
          </w:p>
        </w:tc>
        <w:tc>
          <w:tcPr>
            <w:tcW w:w="1015" w:type="dxa"/>
            <w:vAlign w:val="center"/>
          </w:tcPr>
          <w:p w14:paraId="3D7EB373">
            <w:pPr>
              <w:widowControl/>
              <w:spacing w:line="240" w:lineRule="auto"/>
              <w:ind w:firstLine="0" w:firstLineChars="0"/>
              <w:jc w:val="center"/>
              <w:rPr>
                <w:rFonts w:hint="eastAsia" w:ascii="宋体" w:hAnsi="宋体" w:cs="宋体"/>
                <w:color w:val="auto"/>
                <w:highlight w:val="none"/>
              </w:rPr>
            </w:pPr>
            <w:r>
              <w:rPr>
                <w:rFonts w:hint="eastAsia" w:ascii="宋体" w:hAnsi="宋体" w:cs="宋体"/>
                <w:color w:val="auto"/>
                <w:kern w:val="0"/>
                <w:highlight w:val="none"/>
              </w:rPr>
              <w:t>主观分</w:t>
            </w:r>
          </w:p>
        </w:tc>
      </w:tr>
      <w:tr w14:paraId="48BA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14:paraId="4881B139">
            <w:pPr>
              <w:ind w:firstLine="0" w:firstLineChars="0"/>
              <w:jc w:val="center"/>
              <w:rPr>
                <w:rFonts w:hint="eastAsia" w:ascii="宋体" w:hAnsi="宋体" w:cs="宋体"/>
                <w:color w:val="auto"/>
                <w:kern w:val="0"/>
                <w:highlight w:val="none"/>
              </w:rPr>
            </w:pPr>
          </w:p>
        </w:tc>
        <w:tc>
          <w:tcPr>
            <w:tcW w:w="936" w:type="dxa"/>
            <w:vAlign w:val="center"/>
          </w:tcPr>
          <w:p w14:paraId="3278A52F">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highlight w:val="none"/>
              </w:rPr>
              <w:t>车辆交接验收方案</w:t>
            </w:r>
          </w:p>
        </w:tc>
        <w:tc>
          <w:tcPr>
            <w:tcW w:w="5602" w:type="dxa"/>
            <w:vAlign w:val="center"/>
          </w:tcPr>
          <w:p w14:paraId="5965CEDE">
            <w:pPr>
              <w:widowControl/>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评委根据投标人提供的交接验收方案进行评议：要求交接验收方案有明确的内容及流程，内容详细完整、流程清晰明确可执行，本项最高得6分；无交接验收方案不得分。</w:t>
            </w:r>
          </w:p>
          <w:p w14:paraId="31BE0FD6">
            <w:pPr>
              <w:widowControl/>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交接验收内容指供货时甲乙双方需要为交车时的准备工作和车辆验收时乙方需要提供的车辆技术规格和要求（及车辆技术指标）的证明资料及验收的流程步骤。</w:t>
            </w:r>
          </w:p>
        </w:tc>
        <w:tc>
          <w:tcPr>
            <w:tcW w:w="1176" w:type="dxa"/>
            <w:vAlign w:val="center"/>
          </w:tcPr>
          <w:p w14:paraId="637261E0">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0-6分</w:t>
            </w:r>
          </w:p>
        </w:tc>
        <w:tc>
          <w:tcPr>
            <w:tcW w:w="1015" w:type="dxa"/>
            <w:vAlign w:val="center"/>
          </w:tcPr>
          <w:p w14:paraId="3621C61D">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r>
      <w:tr w14:paraId="158D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14:paraId="233A456F">
            <w:pPr>
              <w:ind w:firstLine="0" w:firstLineChars="0"/>
              <w:jc w:val="center"/>
              <w:rPr>
                <w:rFonts w:hint="eastAsia" w:ascii="宋体" w:hAnsi="宋体" w:cs="宋体"/>
                <w:color w:val="auto"/>
                <w:kern w:val="0"/>
                <w:highlight w:val="none"/>
              </w:rPr>
            </w:pPr>
          </w:p>
        </w:tc>
        <w:tc>
          <w:tcPr>
            <w:tcW w:w="936" w:type="dxa"/>
            <w:vAlign w:val="center"/>
          </w:tcPr>
          <w:p w14:paraId="0D867D95">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highlight w:val="none"/>
              </w:rPr>
              <w:t>技术服务和技术培训方案</w:t>
            </w:r>
          </w:p>
        </w:tc>
        <w:tc>
          <w:tcPr>
            <w:tcW w:w="5602" w:type="dxa"/>
            <w:vAlign w:val="center"/>
          </w:tcPr>
          <w:p w14:paraId="7B8C70D3">
            <w:pPr>
              <w:widowControl/>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highlight w:val="none"/>
              </w:rPr>
              <w:t>评委根据投标人所提供的技术培训服务内容进行评议，包括培训时间安排是否合理、培训内容是否全面、培训人员是否齐全、培训次数是否合理、培训场地安排是否合理进行打分（0-8分）。</w:t>
            </w:r>
          </w:p>
        </w:tc>
        <w:tc>
          <w:tcPr>
            <w:tcW w:w="1176" w:type="dxa"/>
            <w:vAlign w:val="center"/>
          </w:tcPr>
          <w:p w14:paraId="55D15B97">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0-8分</w:t>
            </w:r>
          </w:p>
        </w:tc>
        <w:tc>
          <w:tcPr>
            <w:tcW w:w="1015" w:type="dxa"/>
            <w:vAlign w:val="center"/>
          </w:tcPr>
          <w:p w14:paraId="5BB3A352">
            <w:pPr>
              <w:widowControl/>
              <w:spacing w:line="240" w:lineRule="auto"/>
              <w:ind w:firstLine="0" w:firstLineChars="0"/>
              <w:jc w:val="center"/>
              <w:rPr>
                <w:rFonts w:hint="eastAsia" w:ascii="宋体" w:hAnsi="宋体" w:cs="宋体"/>
                <w:color w:val="auto"/>
                <w:highlight w:val="none"/>
              </w:rPr>
            </w:pPr>
            <w:r>
              <w:rPr>
                <w:rFonts w:hint="eastAsia" w:ascii="宋体" w:hAnsi="宋体" w:cs="宋体"/>
                <w:color w:val="auto"/>
                <w:kern w:val="0"/>
                <w:highlight w:val="none"/>
              </w:rPr>
              <w:t>主观分</w:t>
            </w:r>
          </w:p>
        </w:tc>
      </w:tr>
      <w:tr w14:paraId="14CE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14:paraId="6A538A3C">
            <w:pPr>
              <w:ind w:firstLine="0" w:firstLineChars="0"/>
              <w:jc w:val="center"/>
              <w:rPr>
                <w:rFonts w:hint="eastAsia" w:ascii="宋体" w:hAnsi="宋体" w:cs="宋体"/>
                <w:color w:val="auto"/>
                <w:kern w:val="0"/>
                <w:highlight w:val="none"/>
              </w:rPr>
            </w:pPr>
          </w:p>
        </w:tc>
        <w:tc>
          <w:tcPr>
            <w:tcW w:w="936" w:type="dxa"/>
            <w:vAlign w:val="center"/>
          </w:tcPr>
          <w:p w14:paraId="21EB216D">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售后服务方案</w:t>
            </w:r>
          </w:p>
        </w:tc>
        <w:tc>
          <w:tcPr>
            <w:tcW w:w="5602" w:type="dxa"/>
            <w:vAlign w:val="center"/>
          </w:tcPr>
          <w:p w14:paraId="546E0F37">
            <w:pPr>
              <w:widowControl/>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评委根据投标人提供的售后服务内容、响应时间、售后服务便捷性及相应的措施包括售后服务内容完善、响应时间合理、及时进行打分：</w:t>
            </w:r>
          </w:p>
          <w:p w14:paraId="1D4A88CD">
            <w:pPr>
              <w:widowControl/>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售后服务内容完整齐全、响应时间优于采购需求且相应的措施合理有效、售后服务便捷性措施合理的最高得7-8分；</w:t>
            </w:r>
          </w:p>
          <w:p w14:paraId="4F6ECF74">
            <w:pPr>
              <w:widowControl/>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售后服务内容较为完整、响应时间满足采购需求且相应的措施合理有效、有售后服务便捷性保障措施的最高得4-6分；</w:t>
            </w:r>
          </w:p>
          <w:p w14:paraId="69196AB5">
            <w:pPr>
              <w:widowControl/>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售后服务方案内容不完整但尚不影响履约的最高得1-3分；</w:t>
            </w:r>
          </w:p>
          <w:p w14:paraId="0F1F8C3B">
            <w:pPr>
              <w:widowControl/>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无售后服务方案不得分。</w:t>
            </w:r>
          </w:p>
        </w:tc>
        <w:tc>
          <w:tcPr>
            <w:tcW w:w="1176" w:type="dxa"/>
            <w:vAlign w:val="center"/>
          </w:tcPr>
          <w:p w14:paraId="48536B2E">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0-8分</w:t>
            </w:r>
          </w:p>
        </w:tc>
        <w:tc>
          <w:tcPr>
            <w:tcW w:w="1015" w:type="dxa"/>
            <w:vAlign w:val="center"/>
          </w:tcPr>
          <w:p w14:paraId="4343A2F2">
            <w:pPr>
              <w:widowControl/>
              <w:spacing w:line="240" w:lineRule="auto"/>
              <w:ind w:firstLine="0" w:firstLineChars="0"/>
              <w:jc w:val="center"/>
              <w:rPr>
                <w:rFonts w:hint="eastAsia" w:ascii="宋体" w:hAnsi="宋体" w:cs="宋体"/>
                <w:color w:val="auto"/>
                <w:highlight w:val="none"/>
              </w:rPr>
            </w:pPr>
            <w:r>
              <w:rPr>
                <w:rFonts w:hint="eastAsia" w:ascii="宋体" w:hAnsi="宋体" w:cs="宋体"/>
                <w:color w:val="auto"/>
                <w:kern w:val="0"/>
                <w:highlight w:val="none"/>
              </w:rPr>
              <w:t>主观分</w:t>
            </w:r>
          </w:p>
        </w:tc>
      </w:tr>
      <w:tr w14:paraId="7BA5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14:paraId="623D21B5">
            <w:pPr>
              <w:ind w:firstLine="0" w:firstLineChars="0"/>
              <w:jc w:val="center"/>
              <w:rPr>
                <w:rFonts w:hint="eastAsia" w:ascii="宋体" w:hAnsi="宋体" w:cs="宋体"/>
                <w:color w:val="auto"/>
                <w:kern w:val="0"/>
                <w:highlight w:val="none"/>
              </w:rPr>
            </w:pPr>
          </w:p>
        </w:tc>
        <w:tc>
          <w:tcPr>
            <w:tcW w:w="936" w:type="dxa"/>
            <w:vAlign w:val="center"/>
          </w:tcPr>
          <w:p w14:paraId="5E4305F4">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质保期承诺</w:t>
            </w:r>
          </w:p>
        </w:tc>
        <w:tc>
          <w:tcPr>
            <w:tcW w:w="5602" w:type="dxa"/>
            <w:vAlign w:val="center"/>
          </w:tcPr>
          <w:p w14:paraId="4C483C61">
            <w:pPr>
              <w:widowControl/>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基础车部分3年或6万公里具体按厂家质保手册执行，医疗舱部分3年或6万公里，</w:t>
            </w:r>
            <w:r>
              <w:rPr>
                <w:rFonts w:hint="eastAsia" w:ascii="宋体" w:hAnsi="宋体" w:cs="宋体"/>
                <w:color w:val="auto"/>
                <w:kern w:val="0"/>
                <w:highlight w:val="none"/>
                <w:lang w:val="en-US" w:eastAsia="zh-CN"/>
              </w:rPr>
              <w:t>承诺</w:t>
            </w:r>
            <w:r>
              <w:rPr>
                <w:rFonts w:hint="eastAsia" w:ascii="宋体" w:hAnsi="宋体" w:cs="宋体"/>
                <w:color w:val="auto"/>
                <w:kern w:val="0"/>
                <w:highlight w:val="none"/>
              </w:rPr>
              <w:t>每增加1年（4年或8万公里）得1分，（5年或10万公里）得2分，最高得2分。</w:t>
            </w:r>
          </w:p>
          <w:p w14:paraId="0A412DCF">
            <w:pPr>
              <w:widowControl/>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注：须提供承诺函并加盖电子公章，否则不得分。</w:t>
            </w:r>
          </w:p>
        </w:tc>
        <w:tc>
          <w:tcPr>
            <w:tcW w:w="1176" w:type="dxa"/>
            <w:vAlign w:val="center"/>
          </w:tcPr>
          <w:p w14:paraId="01870624">
            <w:pPr>
              <w:widowControl/>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0-2分</w:t>
            </w:r>
          </w:p>
        </w:tc>
        <w:tc>
          <w:tcPr>
            <w:tcW w:w="1015" w:type="dxa"/>
            <w:vAlign w:val="center"/>
          </w:tcPr>
          <w:p w14:paraId="34033F70">
            <w:pPr>
              <w:widowControl/>
              <w:spacing w:line="240" w:lineRule="auto"/>
              <w:ind w:firstLine="0" w:firstLineChars="0"/>
              <w:jc w:val="left"/>
              <w:rPr>
                <w:rFonts w:hint="eastAsia" w:ascii="宋体" w:hAnsi="宋体" w:cs="宋体"/>
                <w:color w:val="auto"/>
                <w:highlight w:val="none"/>
              </w:rPr>
            </w:pPr>
            <w:r>
              <w:rPr>
                <w:rFonts w:hint="eastAsia" w:ascii="宋体" w:hAnsi="宋体" w:cs="宋体"/>
                <w:color w:val="auto"/>
                <w:kern w:val="0"/>
                <w:highlight w:val="none"/>
              </w:rPr>
              <w:t>主观分</w:t>
            </w:r>
          </w:p>
        </w:tc>
      </w:tr>
      <w:bookmarkEnd w:id="395"/>
    </w:tbl>
    <w:p w14:paraId="154E8842">
      <w:pPr>
        <w:pStyle w:val="41"/>
        <w:tabs>
          <w:tab w:val="left" w:pos="0"/>
        </w:tabs>
        <w:adjustRightInd w:val="0"/>
        <w:snapToGrid w:val="0"/>
        <w:spacing w:before="156" w:beforeLines="50" w:line="312" w:lineRule="auto"/>
        <w:ind w:firstLine="482" w:firstLineChars="0"/>
        <w:outlineLvl w:val="1"/>
        <w:rPr>
          <w:rFonts w:hint="eastAsia" w:ascii="宋体" w:hAnsi="宋体" w:cs="宋体"/>
          <w:b/>
          <w:bCs/>
          <w:color w:val="auto"/>
          <w:sz w:val="28"/>
          <w:szCs w:val="28"/>
          <w:highlight w:val="none"/>
        </w:rPr>
      </w:pPr>
      <w:bookmarkStart w:id="396" w:name="_Toc17738"/>
      <w:bookmarkStart w:id="397" w:name="_Toc1139"/>
      <w:bookmarkStart w:id="398" w:name="_Toc30956"/>
      <w:bookmarkStart w:id="399" w:name="_Toc30076"/>
      <w:bookmarkStart w:id="400" w:name="_Toc24709"/>
      <w:r>
        <w:rPr>
          <w:rFonts w:hint="eastAsia" w:ascii="宋体" w:hAnsi="宋体" w:cs="宋体"/>
          <w:b/>
          <w:bCs/>
          <w:color w:val="auto"/>
          <w:sz w:val="28"/>
          <w:szCs w:val="28"/>
          <w:highlight w:val="none"/>
        </w:rPr>
        <w:t>十一、投标或中标无效情形</w:t>
      </w:r>
      <w:bookmarkEnd w:id="396"/>
      <w:bookmarkEnd w:id="397"/>
      <w:bookmarkEnd w:id="398"/>
      <w:bookmarkEnd w:id="399"/>
      <w:bookmarkEnd w:id="400"/>
    </w:p>
    <w:p w14:paraId="00CE054D">
      <w:pPr>
        <w:pStyle w:val="41"/>
        <w:tabs>
          <w:tab w:val="left" w:pos="420"/>
        </w:tabs>
        <w:adjustRightInd w:val="0"/>
        <w:snapToGrid w:val="0"/>
        <w:spacing w:line="312" w:lineRule="auto"/>
        <w:ind w:firstLine="482" w:firstLineChars="0"/>
        <w:rPr>
          <w:rFonts w:hint="eastAsia" w:ascii="宋体" w:hAnsi="宋体" w:cs="宋体"/>
          <w:color w:val="auto"/>
          <w:highlight w:val="none"/>
        </w:rPr>
      </w:pPr>
      <w:r>
        <w:rPr>
          <w:rFonts w:hint="eastAsia" w:ascii="宋体" w:hAnsi="宋体" w:cs="宋体"/>
          <w:color w:val="auto"/>
          <w:highlight w:val="none"/>
        </w:rPr>
        <w:t>招标采购中，有下列情形之一的，投标或中标无效：</w:t>
      </w:r>
    </w:p>
    <w:p w14:paraId="7AAE0CB9">
      <w:pPr>
        <w:pStyle w:val="41"/>
        <w:numPr>
          <w:ilvl w:val="0"/>
          <w:numId w:val="2"/>
        </w:numP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不符合本次采购投标人资格要求或超范围经营的。</w:t>
      </w:r>
    </w:p>
    <w:p w14:paraId="022B066E">
      <w:pPr>
        <w:pStyle w:val="41"/>
        <w:numPr>
          <w:ilvl w:val="0"/>
          <w:numId w:val="2"/>
        </w:numP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提供虚假材料及证明文件的。</w:t>
      </w:r>
    </w:p>
    <w:p w14:paraId="47A2544C">
      <w:pPr>
        <w:pStyle w:val="41"/>
        <w:numPr>
          <w:ilvl w:val="0"/>
          <w:numId w:val="2"/>
        </w:numP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投标报价高于最高限价的。</w:t>
      </w:r>
    </w:p>
    <w:p w14:paraId="3988B324">
      <w:pPr>
        <w:pStyle w:val="41"/>
        <w:numPr>
          <w:ilvl w:val="0"/>
          <w:numId w:val="2"/>
        </w:numP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未按招标文件要求签章的。</w:t>
      </w:r>
    </w:p>
    <w:p w14:paraId="4C4D3A27">
      <w:pPr>
        <w:pStyle w:val="41"/>
        <w:numPr>
          <w:ilvl w:val="0"/>
          <w:numId w:val="2"/>
        </w:numP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本招标文件载明属无效处理情形的。</w:t>
      </w:r>
    </w:p>
    <w:p w14:paraId="49BCCE59">
      <w:pPr>
        <w:pStyle w:val="41"/>
        <w:numPr>
          <w:ilvl w:val="0"/>
          <w:numId w:val="2"/>
        </w:numP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投标文件含有采购人不能接受的附加条件的。</w:t>
      </w:r>
    </w:p>
    <w:p w14:paraId="6B45008D">
      <w:pPr>
        <w:pStyle w:val="41"/>
        <w:numPr>
          <w:ilvl w:val="0"/>
          <w:numId w:val="2"/>
        </w:numP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中标人无正当理由拖延或者不与采购人签订采购合同的。</w:t>
      </w:r>
    </w:p>
    <w:p w14:paraId="5133015B">
      <w:pPr>
        <w:pStyle w:val="41"/>
        <w:numPr>
          <w:ilvl w:val="0"/>
          <w:numId w:val="2"/>
        </w:numP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本招标文件提出要求响应而未响应实质性条款（带▲号）的，或评标委员会认定有重大偏离或保留的。</w:t>
      </w:r>
    </w:p>
    <w:p w14:paraId="2CC7DBB3">
      <w:pPr>
        <w:pStyle w:val="41"/>
        <w:numPr>
          <w:ilvl w:val="0"/>
          <w:numId w:val="2"/>
        </w:numPr>
        <w:tabs>
          <w:tab w:val="left" w:pos="420"/>
        </w:tabs>
        <w:adjustRightInd w:val="0"/>
        <w:snapToGrid w:val="0"/>
        <w:spacing w:line="312" w:lineRule="auto"/>
        <w:ind w:left="0" w:firstLine="482" w:firstLineChars="0"/>
        <w:rPr>
          <w:rFonts w:hint="eastAsia" w:ascii="宋体" w:hAnsi="宋体" w:cs="宋体"/>
          <w:bCs/>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评标委员会认为投标人的报价明显低于其他通过符合性审查投标人的报价，有可能影响产品质量或者不能诚信履约，投标人不能证明其报价合理性的。</w:t>
      </w:r>
    </w:p>
    <w:p w14:paraId="0A441B20">
      <w:pPr>
        <w:pStyle w:val="41"/>
        <w:numPr>
          <w:ilvl w:val="0"/>
          <w:numId w:val="2"/>
        </w:numP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不符合法律法规和招标文件规定的其他实质性要求和无效情形的。</w:t>
      </w:r>
    </w:p>
    <w:p w14:paraId="71D15DD5">
      <w:pPr>
        <w:pStyle w:val="41"/>
        <w:tabs>
          <w:tab w:val="left" w:pos="0"/>
        </w:tabs>
        <w:adjustRightInd w:val="0"/>
        <w:snapToGrid w:val="0"/>
        <w:spacing w:line="312" w:lineRule="auto"/>
        <w:ind w:firstLine="482" w:firstLineChars="0"/>
        <w:outlineLvl w:val="1"/>
        <w:rPr>
          <w:rFonts w:hint="eastAsia" w:ascii="宋体" w:hAnsi="宋体" w:cs="宋体"/>
          <w:b/>
          <w:bCs/>
          <w:color w:val="auto"/>
          <w:sz w:val="28"/>
          <w:szCs w:val="28"/>
          <w:highlight w:val="none"/>
        </w:rPr>
      </w:pPr>
      <w:bookmarkStart w:id="401" w:name="_Toc8244"/>
      <w:bookmarkStart w:id="402" w:name="_Toc2574"/>
      <w:bookmarkStart w:id="403" w:name="_Toc31285"/>
      <w:bookmarkStart w:id="404" w:name="_Toc6701"/>
      <w:bookmarkStart w:id="405" w:name="_Toc7559"/>
      <w:r>
        <w:rPr>
          <w:rFonts w:hint="eastAsia" w:ascii="宋体" w:hAnsi="宋体" w:cs="宋体"/>
          <w:b/>
          <w:bCs/>
          <w:color w:val="auto"/>
          <w:sz w:val="28"/>
          <w:szCs w:val="28"/>
          <w:highlight w:val="none"/>
        </w:rPr>
        <w:t>十二、串通投标情形</w:t>
      </w:r>
      <w:bookmarkEnd w:id="401"/>
      <w:bookmarkEnd w:id="402"/>
      <w:bookmarkEnd w:id="403"/>
      <w:bookmarkEnd w:id="404"/>
      <w:bookmarkEnd w:id="405"/>
    </w:p>
    <w:p w14:paraId="0809B1F6">
      <w:pPr>
        <w:pStyle w:val="41"/>
        <w:tabs>
          <w:tab w:val="left" w:pos="420"/>
        </w:tabs>
        <w:adjustRightInd w:val="0"/>
        <w:snapToGrid w:val="0"/>
        <w:spacing w:line="312" w:lineRule="auto"/>
        <w:ind w:firstLine="482" w:firstLineChars="0"/>
        <w:rPr>
          <w:rFonts w:hint="eastAsia" w:ascii="宋体" w:hAnsi="宋体" w:cs="宋体"/>
          <w:color w:val="auto"/>
          <w:highlight w:val="none"/>
        </w:rPr>
      </w:pPr>
      <w:r>
        <w:rPr>
          <w:rFonts w:hint="eastAsia" w:ascii="宋体" w:hAnsi="宋体" w:cs="宋体"/>
          <w:color w:val="auto"/>
          <w:highlight w:val="none"/>
        </w:rPr>
        <w:t>招标采购中，有下列情形之一的，视为投标人串通投标，其投标无效：</w:t>
      </w:r>
    </w:p>
    <w:p w14:paraId="76FCEE53">
      <w:pPr>
        <w:pStyle w:val="41"/>
        <w:numPr>
          <w:ilvl w:val="0"/>
          <w:numId w:val="9"/>
        </w:numPr>
        <w:tabs>
          <w:tab w:val="left" w:pos="420"/>
          <w:tab w:val="clear" w:pos="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不同投标人的投标文件由同一单位或者个人编制；</w:t>
      </w:r>
    </w:p>
    <w:p w14:paraId="604FDCB0">
      <w:pPr>
        <w:pStyle w:val="41"/>
        <w:numPr>
          <w:ilvl w:val="0"/>
          <w:numId w:val="9"/>
        </w:numPr>
        <w:tabs>
          <w:tab w:val="left" w:pos="420"/>
          <w:tab w:val="clear" w:pos="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不同投标人委托同一单位或者个人办理投标事宜；</w:t>
      </w:r>
    </w:p>
    <w:p w14:paraId="72D23390">
      <w:pPr>
        <w:pStyle w:val="41"/>
        <w:numPr>
          <w:ilvl w:val="0"/>
          <w:numId w:val="9"/>
        </w:numPr>
        <w:tabs>
          <w:tab w:val="left" w:pos="420"/>
          <w:tab w:val="clear" w:pos="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不同投标人的投标文件载明的项目管理成员或者联系人员为同一人；</w:t>
      </w:r>
    </w:p>
    <w:p w14:paraId="0510FD2C">
      <w:pPr>
        <w:pStyle w:val="41"/>
        <w:numPr>
          <w:ilvl w:val="0"/>
          <w:numId w:val="9"/>
        </w:numPr>
        <w:tabs>
          <w:tab w:val="left" w:pos="420"/>
          <w:tab w:val="clear" w:pos="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不同投标人的投标文件异常一致或者投标报价呈规律性差异；</w:t>
      </w:r>
    </w:p>
    <w:p w14:paraId="77CD3D26">
      <w:pPr>
        <w:pStyle w:val="41"/>
        <w:numPr>
          <w:ilvl w:val="0"/>
          <w:numId w:val="9"/>
        </w:numPr>
        <w:tabs>
          <w:tab w:val="left" w:pos="420"/>
          <w:tab w:val="clear" w:pos="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不同投标人的投标文件相互上传。</w:t>
      </w:r>
    </w:p>
    <w:p w14:paraId="17AFD58A">
      <w:pPr>
        <w:pStyle w:val="41"/>
        <w:tabs>
          <w:tab w:val="left" w:pos="0"/>
        </w:tabs>
        <w:adjustRightInd w:val="0"/>
        <w:snapToGrid w:val="0"/>
        <w:spacing w:line="312" w:lineRule="auto"/>
        <w:ind w:firstLine="482" w:firstLineChars="0"/>
        <w:outlineLvl w:val="1"/>
        <w:rPr>
          <w:rFonts w:hint="eastAsia" w:ascii="宋体" w:hAnsi="宋体" w:cs="宋体"/>
          <w:b/>
          <w:bCs/>
          <w:color w:val="auto"/>
          <w:sz w:val="28"/>
          <w:szCs w:val="28"/>
          <w:highlight w:val="none"/>
        </w:rPr>
      </w:pPr>
      <w:bookmarkStart w:id="406" w:name="_Toc4992"/>
      <w:bookmarkStart w:id="407" w:name="_Toc17124"/>
      <w:bookmarkStart w:id="408" w:name="_Toc19384"/>
      <w:bookmarkStart w:id="409" w:name="_Toc15730"/>
      <w:bookmarkStart w:id="410" w:name="_Toc10465"/>
      <w:r>
        <w:rPr>
          <w:rFonts w:hint="eastAsia" w:ascii="宋体" w:hAnsi="宋体" w:cs="宋体"/>
          <w:b/>
          <w:bCs/>
          <w:color w:val="auto"/>
          <w:sz w:val="28"/>
          <w:szCs w:val="28"/>
          <w:highlight w:val="none"/>
        </w:rPr>
        <w:t>十三、废标情形</w:t>
      </w:r>
      <w:bookmarkEnd w:id="406"/>
      <w:bookmarkEnd w:id="407"/>
      <w:bookmarkEnd w:id="408"/>
      <w:bookmarkEnd w:id="409"/>
      <w:bookmarkEnd w:id="410"/>
    </w:p>
    <w:p w14:paraId="4F9FD6FD">
      <w:pPr>
        <w:pStyle w:val="41"/>
        <w:numPr>
          <w:ilvl w:val="255"/>
          <w:numId w:val="0"/>
        </w:numPr>
        <w:tabs>
          <w:tab w:val="left" w:pos="0"/>
        </w:tabs>
        <w:spacing w:line="312" w:lineRule="auto"/>
        <w:ind w:firstLine="480" w:firstLineChars="200"/>
        <w:rPr>
          <w:rFonts w:hint="eastAsia" w:ascii="宋体" w:hAnsi="宋体" w:cs="宋体"/>
          <w:color w:val="auto"/>
          <w:highlight w:val="none"/>
        </w:rPr>
      </w:pPr>
      <w:r>
        <w:rPr>
          <w:rFonts w:hint="eastAsia" w:ascii="宋体" w:hAnsi="宋体" w:cs="宋体"/>
          <w:color w:val="auto"/>
          <w:highlight w:val="none"/>
        </w:rPr>
        <w:t>招标采购中，出现下列情形之一的，应予废标：</w:t>
      </w:r>
    </w:p>
    <w:p w14:paraId="4207892B">
      <w:pPr>
        <w:pStyle w:val="41"/>
        <w:numPr>
          <w:ilvl w:val="0"/>
          <w:numId w:val="10"/>
        </w:numPr>
        <w:spacing w:line="312" w:lineRule="auto"/>
        <w:ind w:firstLine="480"/>
        <w:rPr>
          <w:rFonts w:hint="eastAsia" w:ascii="宋体" w:hAnsi="宋体" w:cs="宋体"/>
          <w:color w:val="auto"/>
          <w:highlight w:val="none"/>
        </w:rPr>
      </w:pPr>
      <w:r>
        <w:rPr>
          <w:rFonts w:hint="eastAsia" w:ascii="宋体" w:hAnsi="宋体" w:cs="宋体"/>
          <w:color w:val="auto"/>
          <w:highlight w:val="none"/>
        </w:rPr>
        <w:t>投标截止时间止提交投标文件的投标人不足3家或者对招标文件作实质性响应的投标人不足3家的；</w:t>
      </w:r>
    </w:p>
    <w:p w14:paraId="3626079F">
      <w:pPr>
        <w:pStyle w:val="41"/>
        <w:numPr>
          <w:ilvl w:val="0"/>
          <w:numId w:val="10"/>
        </w:numPr>
        <w:tabs>
          <w:tab w:val="left" w:pos="420"/>
          <w:tab w:val="clear" w:pos="0"/>
        </w:tabs>
        <w:spacing w:line="312" w:lineRule="auto"/>
        <w:ind w:firstLine="480"/>
        <w:rPr>
          <w:rFonts w:hint="eastAsia" w:ascii="宋体" w:hAnsi="宋体" w:cs="宋体"/>
          <w:color w:val="auto"/>
          <w:highlight w:val="none"/>
        </w:rPr>
      </w:pPr>
      <w:r>
        <w:rPr>
          <w:rFonts w:hint="eastAsia" w:ascii="宋体" w:hAnsi="宋体" w:cs="宋体"/>
          <w:color w:val="auto"/>
          <w:highlight w:val="none"/>
        </w:rPr>
        <w:t>出现影响采购公正的违法、违规行为的；</w:t>
      </w:r>
    </w:p>
    <w:p w14:paraId="6BFF1FCC">
      <w:pPr>
        <w:pStyle w:val="41"/>
        <w:numPr>
          <w:ilvl w:val="0"/>
          <w:numId w:val="10"/>
        </w:numPr>
        <w:tabs>
          <w:tab w:val="left" w:pos="420"/>
          <w:tab w:val="clear" w:pos="0"/>
        </w:tabs>
        <w:spacing w:line="312" w:lineRule="auto"/>
        <w:ind w:firstLine="480"/>
        <w:rPr>
          <w:rFonts w:hint="eastAsia" w:ascii="宋体" w:hAnsi="宋体" w:cs="宋体"/>
          <w:color w:val="auto"/>
          <w:highlight w:val="none"/>
        </w:rPr>
      </w:pPr>
      <w:r>
        <w:rPr>
          <w:rFonts w:hint="eastAsia" w:ascii="宋体" w:hAnsi="宋体" w:cs="宋体"/>
          <w:color w:val="auto"/>
          <w:highlight w:val="none"/>
        </w:rPr>
        <w:t>因重大变故，采购任务取消的；</w:t>
      </w:r>
    </w:p>
    <w:p w14:paraId="3573C86D">
      <w:pPr>
        <w:pStyle w:val="41"/>
        <w:numPr>
          <w:ilvl w:val="0"/>
          <w:numId w:val="10"/>
        </w:numPr>
        <w:spacing w:line="312" w:lineRule="auto"/>
        <w:ind w:firstLine="480"/>
        <w:rPr>
          <w:rFonts w:hint="eastAsia" w:ascii="宋体" w:hAnsi="宋体" w:cs="宋体"/>
          <w:color w:val="auto"/>
          <w:highlight w:val="none"/>
        </w:rPr>
      </w:pPr>
      <w:r>
        <w:rPr>
          <w:rFonts w:hint="eastAsia" w:ascii="宋体" w:hAnsi="宋体" w:cs="宋体"/>
          <w:color w:val="auto"/>
          <w:highlight w:val="none"/>
        </w:rPr>
        <w:t>投标人的报价均超过采购预算或采购控制价的；</w:t>
      </w:r>
    </w:p>
    <w:p w14:paraId="35DCC60E">
      <w:pPr>
        <w:pStyle w:val="41"/>
        <w:numPr>
          <w:ilvl w:val="0"/>
          <w:numId w:val="10"/>
        </w:numPr>
        <w:spacing w:line="312" w:lineRule="auto"/>
        <w:ind w:firstLine="480"/>
        <w:rPr>
          <w:rFonts w:hint="eastAsia" w:ascii="宋体" w:hAnsi="宋体" w:cs="宋体"/>
          <w:color w:val="auto"/>
          <w:highlight w:val="none"/>
        </w:rPr>
      </w:pPr>
      <w:r>
        <w:rPr>
          <w:rFonts w:hint="eastAsia" w:ascii="宋体" w:hAnsi="宋体" w:cs="宋体"/>
          <w:color w:val="auto"/>
          <w:highlight w:val="none"/>
        </w:rPr>
        <w:t>法律法规以及招标文件规定的其他废标情形的。</w:t>
      </w:r>
    </w:p>
    <w:p w14:paraId="71A6D35C">
      <w:pPr>
        <w:pStyle w:val="2"/>
        <w:numPr>
          <w:ilvl w:val="0"/>
          <w:numId w:val="0"/>
        </w:numPr>
        <w:spacing w:before="312" w:after="312"/>
        <w:ind w:left="432" w:hanging="432"/>
        <w:rPr>
          <w:rFonts w:hint="eastAsia" w:ascii="宋体" w:hAnsi="宋体" w:cs="宋体"/>
          <w:color w:val="auto"/>
          <w:highlight w:val="none"/>
        </w:rPr>
      </w:pPr>
      <w:bookmarkStart w:id="411" w:name="_Toc6136"/>
      <w:r>
        <w:rPr>
          <w:rFonts w:hint="eastAsia" w:ascii="宋体" w:hAnsi="宋体" w:cs="宋体"/>
          <w:color w:val="auto"/>
          <w:highlight w:val="none"/>
        </w:rPr>
        <w:t>第六章  投标文件格式</w:t>
      </w:r>
      <w:bookmarkEnd w:id="411"/>
    </w:p>
    <w:tbl>
      <w:tblPr>
        <w:tblStyle w:val="43"/>
        <w:tblW w:w="8960"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960"/>
      </w:tblGrid>
      <w:tr w14:paraId="43216D80">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PrEx>
        <w:trPr>
          <w:trHeight w:val="11530" w:hRule="atLeast"/>
          <w:jc w:val="center"/>
        </w:trPr>
        <w:tc>
          <w:tcPr>
            <w:tcW w:w="8960" w:type="dxa"/>
            <w:tcBorders>
              <w:top w:val="double" w:color="666699" w:sz="4" w:space="0"/>
              <w:left w:val="double" w:color="666699" w:sz="4" w:space="0"/>
              <w:bottom w:val="double" w:color="666699" w:sz="4" w:space="0"/>
              <w:right w:val="double" w:color="666699" w:sz="4" w:space="0"/>
            </w:tcBorders>
            <w:shd w:val="clear" w:color="auto" w:fill="FCFEEA"/>
          </w:tcPr>
          <w:p w14:paraId="28076D2E">
            <w:pPr>
              <w:snapToGrid w:val="0"/>
              <w:spacing w:line="420" w:lineRule="exact"/>
              <w:ind w:firstLine="602"/>
              <w:jc w:val="center"/>
              <w:rPr>
                <w:rFonts w:hint="eastAsia" w:ascii="宋体" w:hAnsi="宋体" w:cs="宋体"/>
                <w:b/>
                <w:color w:val="auto"/>
                <w:sz w:val="30"/>
                <w:highlight w:val="none"/>
              </w:rPr>
            </w:pPr>
          </w:p>
          <w:p w14:paraId="3FF441D2">
            <w:pPr>
              <w:pStyle w:val="16"/>
              <w:ind w:firstLine="839"/>
              <w:rPr>
                <w:rFonts w:hint="eastAsia" w:ascii="宋体" w:hAnsi="宋体" w:cs="宋体"/>
                <w:b/>
                <w:bCs w:val="0"/>
                <w:color w:val="auto"/>
                <w:spacing w:val="-11"/>
                <w:sz w:val="44"/>
                <w:szCs w:val="44"/>
                <w:highlight w:val="none"/>
                <w:u w:val="single"/>
                <w:lang w:val="zh-CN"/>
              </w:rPr>
            </w:pPr>
          </w:p>
          <w:p w14:paraId="188DF367">
            <w:pPr>
              <w:pStyle w:val="16"/>
              <w:ind w:firstLine="839"/>
              <w:jc w:val="center"/>
              <w:rPr>
                <w:rFonts w:hint="eastAsia" w:ascii="宋体" w:hAnsi="宋体" w:cs="宋体"/>
                <w:b/>
                <w:bCs w:val="0"/>
                <w:color w:val="auto"/>
                <w:spacing w:val="-11"/>
                <w:sz w:val="44"/>
                <w:szCs w:val="44"/>
                <w:highlight w:val="none"/>
                <w:u w:val="single"/>
                <w:lang w:val="zh-CN"/>
              </w:rPr>
            </w:pPr>
          </w:p>
          <w:p w14:paraId="18BF6F4B">
            <w:pPr>
              <w:pStyle w:val="32"/>
              <w:ind w:left="0"/>
              <w:jc w:val="center"/>
              <w:rPr>
                <w:color w:val="auto"/>
                <w:highlight w:val="none"/>
              </w:rPr>
            </w:pPr>
            <w:r>
              <w:rPr>
                <w:rFonts w:hint="eastAsia" w:ascii="宋体" w:hAnsi="宋体" w:cs="宋体"/>
                <w:b/>
                <w:color w:val="auto"/>
                <w:spacing w:val="-11"/>
                <w:sz w:val="44"/>
                <w:szCs w:val="44"/>
                <w:highlight w:val="none"/>
                <w:u w:val="single"/>
                <w:lang w:val="zh-CN"/>
              </w:rPr>
              <w:t>龙游县人民医院代120指挥中心采购救护车项目</w:t>
            </w:r>
          </w:p>
          <w:p w14:paraId="031D3E8E">
            <w:pPr>
              <w:pStyle w:val="17"/>
              <w:rPr>
                <w:rFonts w:hint="eastAsia" w:ascii="宋体" w:hAnsi="宋体" w:cs="宋体"/>
                <w:b/>
                <w:bCs w:val="0"/>
                <w:color w:val="auto"/>
                <w:spacing w:val="-11"/>
                <w:sz w:val="44"/>
                <w:szCs w:val="44"/>
                <w:highlight w:val="none"/>
              </w:rPr>
            </w:pPr>
          </w:p>
          <w:p w14:paraId="13F58ACE">
            <w:pPr>
              <w:pStyle w:val="32"/>
              <w:rPr>
                <w:color w:val="auto"/>
                <w:highlight w:val="none"/>
              </w:rPr>
            </w:pPr>
          </w:p>
          <w:p w14:paraId="4DDAC3AC">
            <w:pPr>
              <w:ind w:firstLine="480"/>
              <w:rPr>
                <w:color w:val="auto"/>
                <w:highlight w:val="none"/>
              </w:rPr>
            </w:pPr>
          </w:p>
          <w:p w14:paraId="5C918F39">
            <w:pPr>
              <w:ind w:firstLine="480"/>
              <w:rPr>
                <w:color w:val="auto"/>
                <w:highlight w:val="none"/>
              </w:rPr>
            </w:pPr>
          </w:p>
          <w:p w14:paraId="57307391">
            <w:pPr>
              <w:pStyle w:val="63"/>
              <w:rPr>
                <w:color w:val="auto"/>
                <w:highlight w:val="none"/>
              </w:rPr>
            </w:pPr>
          </w:p>
          <w:p w14:paraId="78CE7729">
            <w:pPr>
              <w:pStyle w:val="16"/>
              <w:spacing w:line="720" w:lineRule="auto"/>
              <w:ind w:firstLine="0" w:firstLineChars="0"/>
              <w:jc w:val="center"/>
              <w:rPr>
                <w:rFonts w:hint="eastAsia" w:ascii="宋体" w:hAnsi="宋体" w:cs="宋体"/>
                <w:b/>
                <w:color w:val="auto"/>
                <w:sz w:val="44"/>
                <w:szCs w:val="44"/>
                <w:highlight w:val="none"/>
              </w:rPr>
            </w:pPr>
            <w:r>
              <w:rPr>
                <w:rFonts w:hint="eastAsia" w:ascii="宋体" w:hAnsi="宋体" w:cs="宋体"/>
                <w:b/>
                <w:bCs w:val="0"/>
                <w:color w:val="auto"/>
                <w:spacing w:val="-11"/>
                <w:sz w:val="44"/>
                <w:szCs w:val="44"/>
                <w:highlight w:val="none"/>
              </w:rPr>
              <w:t>资格文件/</w:t>
            </w:r>
            <w:r>
              <w:rPr>
                <w:rFonts w:hint="eastAsia" w:ascii="宋体" w:hAnsi="宋体" w:cs="宋体"/>
                <w:b/>
                <w:color w:val="auto"/>
                <w:sz w:val="44"/>
                <w:szCs w:val="44"/>
                <w:highlight w:val="none"/>
              </w:rPr>
              <w:t>资信商务技术文件/报价文件</w:t>
            </w:r>
          </w:p>
          <w:p w14:paraId="23BE58E8">
            <w:pPr>
              <w:ind w:firstLine="480"/>
              <w:rPr>
                <w:rFonts w:hint="eastAsia" w:ascii="宋体" w:hAnsi="宋体" w:cs="宋体"/>
                <w:color w:val="auto"/>
                <w:highlight w:val="none"/>
              </w:rPr>
            </w:pPr>
          </w:p>
          <w:p w14:paraId="58657D3E">
            <w:pPr>
              <w:pStyle w:val="16"/>
              <w:ind w:firstLine="480"/>
              <w:rPr>
                <w:rFonts w:hint="eastAsia" w:ascii="宋体" w:hAnsi="宋体" w:cs="宋体"/>
                <w:color w:val="auto"/>
                <w:highlight w:val="none"/>
              </w:rPr>
            </w:pPr>
          </w:p>
          <w:p w14:paraId="48829FDF">
            <w:pPr>
              <w:pStyle w:val="50"/>
              <w:ind w:firstLine="480"/>
              <w:rPr>
                <w:rFonts w:hint="eastAsia" w:ascii="宋体" w:hAnsi="宋体" w:cs="宋体"/>
                <w:color w:val="auto"/>
                <w:highlight w:val="none"/>
              </w:rPr>
            </w:pPr>
          </w:p>
          <w:p w14:paraId="563BFA83">
            <w:pPr>
              <w:spacing w:line="420" w:lineRule="exact"/>
              <w:ind w:firstLine="0" w:firstLineChars="0"/>
              <w:rPr>
                <w:rFonts w:hint="eastAsia" w:ascii="宋体" w:hAnsi="宋体" w:cs="宋体"/>
                <w:b/>
                <w:color w:val="auto"/>
                <w:sz w:val="32"/>
                <w:highlight w:val="none"/>
              </w:rPr>
            </w:pPr>
          </w:p>
          <w:p w14:paraId="56065EE3">
            <w:pPr>
              <w:pStyle w:val="16"/>
              <w:ind w:firstLine="0" w:firstLineChars="0"/>
              <w:rPr>
                <w:rFonts w:hint="eastAsia" w:ascii="宋体" w:hAnsi="宋体" w:cs="宋体"/>
                <w:color w:val="auto"/>
                <w:highlight w:val="none"/>
              </w:rPr>
            </w:pPr>
          </w:p>
          <w:p w14:paraId="4D730880">
            <w:pPr>
              <w:spacing w:line="420" w:lineRule="exact"/>
              <w:ind w:firstLine="0" w:firstLineChars="0"/>
              <w:rPr>
                <w:rFonts w:hint="eastAsia" w:ascii="宋体" w:hAnsi="宋体" w:cs="宋体"/>
                <w:b/>
                <w:color w:val="auto"/>
                <w:sz w:val="32"/>
                <w:highlight w:val="none"/>
              </w:rPr>
            </w:pPr>
          </w:p>
          <w:p w14:paraId="5119EEC4">
            <w:pPr>
              <w:spacing w:line="360" w:lineRule="auto"/>
              <w:ind w:firstLine="640"/>
              <w:rPr>
                <w:rFonts w:hint="eastAsia" w:ascii="宋体" w:hAns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rPr>
              <w:t xml:space="preserve">      LYCG2025YX-003            </w:t>
            </w:r>
          </w:p>
          <w:p w14:paraId="6AE9ADFE">
            <w:pPr>
              <w:spacing w:line="360" w:lineRule="auto"/>
              <w:ind w:firstLine="640"/>
              <w:rPr>
                <w:rFonts w:hint="eastAsia" w:ascii="宋体" w:hAnsi="宋体" w:cs="宋体"/>
                <w:color w:val="auto"/>
                <w:sz w:val="32"/>
                <w:highlight w:val="none"/>
              </w:rPr>
            </w:pPr>
            <w:r>
              <w:rPr>
                <w:rFonts w:hint="eastAsia" w:ascii="宋体" w:hAnsi="宋体" w:cs="宋体"/>
                <w:color w:val="auto"/>
                <w:sz w:val="32"/>
                <w:highlight w:val="none"/>
              </w:rPr>
              <w:t>投 标 人：</w:t>
            </w:r>
            <w:r>
              <w:rPr>
                <w:rFonts w:hint="eastAsia" w:ascii="宋体" w:hAnsi="宋体" w:cs="宋体"/>
                <w:color w:val="auto"/>
                <w:sz w:val="32"/>
                <w:highlight w:val="none"/>
                <w:u w:val="single"/>
              </w:rPr>
              <w:t xml:space="preserve">    （全称）（加盖公章）           </w:t>
            </w:r>
          </w:p>
          <w:p w14:paraId="21C4CC7B">
            <w:pPr>
              <w:spacing w:line="360" w:lineRule="auto"/>
              <w:ind w:firstLine="640"/>
              <w:rPr>
                <w:rFonts w:hint="eastAsia" w:ascii="宋体" w:hAnsi="宋体" w:cs="宋体"/>
                <w:color w:val="auto"/>
                <w:sz w:val="32"/>
                <w:highlight w:val="none"/>
              </w:rPr>
            </w:pPr>
            <w:r>
              <w:rPr>
                <w:rFonts w:hint="eastAsia" w:ascii="宋体" w:hAnsi="宋体" w:cs="宋体"/>
                <w:color w:val="auto"/>
                <w:sz w:val="32"/>
                <w:highlight w:val="none"/>
              </w:rPr>
              <w:t>法定代表人或授权代表人签字或盖章：</w:t>
            </w:r>
            <w:r>
              <w:rPr>
                <w:rFonts w:hint="eastAsia" w:ascii="宋体" w:hAnsi="宋体" w:cs="宋体"/>
                <w:color w:val="auto"/>
                <w:sz w:val="32"/>
                <w:highlight w:val="none"/>
                <w:u w:val="single"/>
              </w:rPr>
              <w:t xml:space="preserve">           </w:t>
            </w:r>
          </w:p>
          <w:p w14:paraId="15E5510B">
            <w:pPr>
              <w:pStyle w:val="12"/>
              <w:ind w:firstLine="640"/>
              <w:rPr>
                <w:rFonts w:hint="eastAsia" w:ascii="宋体" w:hAnsi="宋体" w:cs="宋体"/>
                <w:color w:val="auto"/>
                <w:sz w:val="32"/>
                <w:highlight w:val="none"/>
              </w:rPr>
            </w:pPr>
            <w:r>
              <w:rPr>
                <w:rFonts w:hint="eastAsia" w:ascii="宋体" w:hAnsi="宋体" w:cs="宋体"/>
                <w:color w:val="auto"/>
                <w:sz w:val="32"/>
                <w:highlight w:val="none"/>
              </w:rPr>
              <w:t>地址：</w:t>
            </w:r>
            <w:r>
              <w:rPr>
                <w:rFonts w:hint="eastAsia" w:ascii="宋体" w:hAnsi="宋体" w:cs="宋体"/>
                <w:color w:val="auto"/>
                <w:sz w:val="32"/>
                <w:highlight w:val="none"/>
                <w:u w:val="single"/>
              </w:rPr>
              <w:t xml:space="preserve">                          </w:t>
            </w:r>
          </w:p>
          <w:p w14:paraId="1962DBFB">
            <w:pPr>
              <w:spacing w:line="360" w:lineRule="auto"/>
              <w:ind w:firstLine="0" w:firstLineChars="0"/>
              <w:jc w:val="center"/>
              <w:rPr>
                <w:rFonts w:hint="eastAsia" w:ascii="宋体" w:hAnsi="宋体" w:cs="宋体"/>
                <w:color w:val="auto"/>
                <w:highlight w:val="none"/>
              </w:rPr>
            </w:pPr>
            <w:r>
              <w:rPr>
                <w:rFonts w:hint="eastAsia" w:ascii="宋体" w:hAnsi="宋体" w:cs="宋体"/>
                <w:color w:val="auto"/>
                <w:sz w:val="32"/>
                <w:highlight w:val="none"/>
              </w:rPr>
              <w:t>二〇二五年    月    日</w:t>
            </w:r>
          </w:p>
          <w:p w14:paraId="009DDC84">
            <w:pPr>
              <w:adjustRightInd w:val="0"/>
              <w:snapToGrid w:val="0"/>
              <w:spacing w:line="360" w:lineRule="auto"/>
              <w:ind w:firstLine="480"/>
              <w:rPr>
                <w:rFonts w:hint="eastAsia" w:ascii="宋体" w:hAnsi="宋体" w:cs="宋体"/>
                <w:color w:val="auto"/>
                <w:highlight w:val="none"/>
              </w:rPr>
            </w:pPr>
          </w:p>
        </w:tc>
      </w:tr>
    </w:tbl>
    <w:p w14:paraId="74728E28">
      <w:pPr>
        <w:pStyle w:val="2"/>
        <w:numPr>
          <w:ilvl w:val="0"/>
          <w:numId w:val="0"/>
        </w:numPr>
        <w:spacing w:before="312" w:after="312"/>
        <w:rPr>
          <w:rFonts w:hint="eastAsia" w:ascii="宋体" w:hAnsi="宋体" w:cs="宋体"/>
          <w:color w:val="auto"/>
          <w:sz w:val="30"/>
          <w:szCs w:val="30"/>
          <w:highlight w:val="none"/>
        </w:rPr>
      </w:pPr>
      <w:bookmarkStart w:id="412" w:name="_Toc6917"/>
      <w:bookmarkStart w:id="413" w:name="_Toc9336"/>
      <w:bookmarkStart w:id="414" w:name="_Toc24312"/>
      <w:bookmarkStart w:id="415" w:name="_Toc8274"/>
      <w:bookmarkStart w:id="416" w:name="_Toc31092"/>
      <w:r>
        <w:rPr>
          <w:rFonts w:hint="eastAsia" w:ascii="宋体" w:hAnsi="宋体" w:cs="宋体"/>
          <w:color w:val="auto"/>
          <w:sz w:val="30"/>
          <w:szCs w:val="30"/>
          <w:highlight w:val="none"/>
        </w:rPr>
        <w:t>投标人客观分自评分指引表</w:t>
      </w:r>
      <w:bookmarkEnd w:id="412"/>
      <w:bookmarkEnd w:id="413"/>
      <w:bookmarkEnd w:id="414"/>
      <w:bookmarkEnd w:id="415"/>
      <w:bookmarkEnd w:id="416"/>
    </w:p>
    <w:tbl>
      <w:tblPr>
        <w:tblStyle w:val="43"/>
        <w:tblW w:w="49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7"/>
        <w:gridCol w:w="2440"/>
        <w:gridCol w:w="2599"/>
        <w:gridCol w:w="1779"/>
        <w:gridCol w:w="2111"/>
      </w:tblGrid>
      <w:tr w14:paraId="0B4D2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511" w:type="pct"/>
            <w:vAlign w:val="center"/>
          </w:tcPr>
          <w:p w14:paraId="69C484D9">
            <w:pPr>
              <w:pStyle w:val="16"/>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序号</w:t>
            </w:r>
          </w:p>
        </w:tc>
        <w:tc>
          <w:tcPr>
            <w:tcW w:w="1226" w:type="pct"/>
            <w:vAlign w:val="center"/>
          </w:tcPr>
          <w:p w14:paraId="33295D76">
            <w:pPr>
              <w:pStyle w:val="16"/>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评分标准</w:t>
            </w:r>
          </w:p>
        </w:tc>
        <w:tc>
          <w:tcPr>
            <w:tcW w:w="1306" w:type="pct"/>
            <w:vAlign w:val="center"/>
          </w:tcPr>
          <w:p w14:paraId="54F34F88">
            <w:pPr>
              <w:pStyle w:val="16"/>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投标文件页码</w:t>
            </w:r>
          </w:p>
        </w:tc>
        <w:tc>
          <w:tcPr>
            <w:tcW w:w="894" w:type="pct"/>
            <w:vAlign w:val="center"/>
          </w:tcPr>
          <w:p w14:paraId="153F022E">
            <w:pPr>
              <w:pStyle w:val="16"/>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得分</w:t>
            </w:r>
          </w:p>
        </w:tc>
        <w:tc>
          <w:tcPr>
            <w:tcW w:w="1061" w:type="pct"/>
            <w:vAlign w:val="center"/>
          </w:tcPr>
          <w:p w14:paraId="2D435629">
            <w:pPr>
              <w:pStyle w:val="16"/>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说明</w:t>
            </w:r>
          </w:p>
        </w:tc>
      </w:tr>
      <w:tr w14:paraId="29118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11" w:type="pct"/>
            <w:vAlign w:val="center"/>
          </w:tcPr>
          <w:p w14:paraId="29C170C5">
            <w:pPr>
              <w:pStyle w:val="16"/>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w:t>
            </w:r>
          </w:p>
        </w:tc>
        <w:tc>
          <w:tcPr>
            <w:tcW w:w="1226" w:type="pct"/>
            <w:vAlign w:val="center"/>
          </w:tcPr>
          <w:p w14:paraId="7D0FF148">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306" w:type="pct"/>
            <w:vAlign w:val="center"/>
          </w:tcPr>
          <w:p w14:paraId="67A84E71">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894" w:type="pct"/>
            <w:vAlign w:val="center"/>
          </w:tcPr>
          <w:p w14:paraId="3ED6257C">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061" w:type="pct"/>
            <w:vAlign w:val="center"/>
          </w:tcPr>
          <w:p w14:paraId="3868D71F">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r>
      <w:tr w14:paraId="55F79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11" w:type="pct"/>
            <w:vAlign w:val="center"/>
          </w:tcPr>
          <w:p w14:paraId="20A587E6">
            <w:pPr>
              <w:pStyle w:val="16"/>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2</w:t>
            </w:r>
          </w:p>
        </w:tc>
        <w:tc>
          <w:tcPr>
            <w:tcW w:w="1226" w:type="pct"/>
            <w:vAlign w:val="center"/>
          </w:tcPr>
          <w:p w14:paraId="095B4B50">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306" w:type="pct"/>
            <w:vAlign w:val="center"/>
          </w:tcPr>
          <w:p w14:paraId="0E64FDDA">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894" w:type="pct"/>
            <w:vAlign w:val="center"/>
          </w:tcPr>
          <w:p w14:paraId="536B5A1A">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061" w:type="pct"/>
            <w:vAlign w:val="center"/>
          </w:tcPr>
          <w:p w14:paraId="586C8357">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r>
      <w:tr w14:paraId="110C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11" w:type="pct"/>
            <w:vAlign w:val="center"/>
          </w:tcPr>
          <w:p w14:paraId="155D13D8">
            <w:pPr>
              <w:pStyle w:val="16"/>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3</w:t>
            </w:r>
          </w:p>
        </w:tc>
        <w:tc>
          <w:tcPr>
            <w:tcW w:w="1226" w:type="pct"/>
            <w:vAlign w:val="center"/>
          </w:tcPr>
          <w:p w14:paraId="2ECEFAE5">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306" w:type="pct"/>
            <w:vAlign w:val="center"/>
          </w:tcPr>
          <w:p w14:paraId="557BEA39">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894" w:type="pct"/>
            <w:vAlign w:val="center"/>
          </w:tcPr>
          <w:p w14:paraId="0DD56E0B">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061" w:type="pct"/>
            <w:vAlign w:val="center"/>
          </w:tcPr>
          <w:p w14:paraId="4FEB4D99">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r>
      <w:tr w14:paraId="4EBC2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11" w:type="pct"/>
            <w:vAlign w:val="center"/>
          </w:tcPr>
          <w:p w14:paraId="32A8F09D">
            <w:pPr>
              <w:pStyle w:val="16"/>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w:t>
            </w:r>
          </w:p>
        </w:tc>
        <w:tc>
          <w:tcPr>
            <w:tcW w:w="1226" w:type="pct"/>
            <w:vAlign w:val="center"/>
          </w:tcPr>
          <w:p w14:paraId="16237BE6">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306" w:type="pct"/>
            <w:vAlign w:val="center"/>
          </w:tcPr>
          <w:p w14:paraId="6A54D741">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894" w:type="pct"/>
            <w:vAlign w:val="center"/>
          </w:tcPr>
          <w:p w14:paraId="53D2DB5D">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061" w:type="pct"/>
            <w:vAlign w:val="center"/>
          </w:tcPr>
          <w:p w14:paraId="5B365733">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r>
      <w:tr w14:paraId="24B96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1737" w:type="pct"/>
            <w:gridSpan w:val="2"/>
            <w:vAlign w:val="center"/>
          </w:tcPr>
          <w:p w14:paraId="23146694">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合计得分</w:t>
            </w:r>
          </w:p>
        </w:tc>
        <w:tc>
          <w:tcPr>
            <w:tcW w:w="1306" w:type="pct"/>
            <w:vAlign w:val="center"/>
          </w:tcPr>
          <w:p w14:paraId="60B002DF">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894" w:type="pct"/>
            <w:vAlign w:val="center"/>
          </w:tcPr>
          <w:p w14:paraId="5B6B0D50">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061" w:type="pct"/>
            <w:vAlign w:val="center"/>
          </w:tcPr>
          <w:p w14:paraId="34EA89E9">
            <w:pPr>
              <w:pStyle w:val="16"/>
              <w:tabs>
                <w:tab w:val="left" w:pos="0"/>
                <w:tab w:val="left" w:pos="993"/>
                <w:tab w:val="left" w:pos="1134"/>
              </w:tabs>
              <w:adjustRightInd w:val="0"/>
              <w:ind w:firstLine="560"/>
              <w:jc w:val="center"/>
              <w:rPr>
                <w:rFonts w:hint="eastAsia" w:ascii="宋体" w:hAnsi="宋体" w:cs="宋体"/>
                <w:color w:val="auto"/>
                <w:sz w:val="28"/>
                <w:szCs w:val="28"/>
                <w:highlight w:val="none"/>
              </w:rPr>
            </w:pPr>
          </w:p>
        </w:tc>
      </w:tr>
    </w:tbl>
    <w:p w14:paraId="7894FCFD">
      <w:pPr>
        <w:adjustRightInd w:val="0"/>
        <w:snapToGrid w:val="0"/>
        <w:ind w:firstLine="0" w:firstLineChars="0"/>
        <w:jc w:val="center"/>
        <w:rPr>
          <w:rFonts w:cs="宋体"/>
          <w:color w:val="auto"/>
          <w:spacing w:val="113"/>
          <w:sz w:val="36"/>
          <w:highlight w:val="none"/>
        </w:rPr>
      </w:pPr>
    </w:p>
    <w:p w14:paraId="06BA72E5">
      <w:pPr>
        <w:adjustRightInd w:val="0"/>
        <w:snapToGrid w:val="0"/>
        <w:ind w:firstLine="0" w:firstLineChars="0"/>
        <w:jc w:val="center"/>
        <w:rPr>
          <w:rFonts w:cs="宋体"/>
          <w:color w:val="auto"/>
          <w:spacing w:val="113"/>
          <w:sz w:val="36"/>
          <w:highlight w:val="none"/>
        </w:rPr>
      </w:pPr>
    </w:p>
    <w:p w14:paraId="39D66DC5">
      <w:pPr>
        <w:adjustRightInd w:val="0"/>
        <w:snapToGrid w:val="0"/>
        <w:ind w:firstLine="0" w:firstLineChars="0"/>
        <w:jc w:val="center"/>
        <w:rPr>
          <w:rFonts w:cs="宋体"/>
          <w:color w:val="auto"/>
          <w:spacing w:val="113"/>
          <w:sz w:val="36"/>
          <w:highlight w:val="none"/>
        </w:rPr>
      </w:pPr>
    </w:p>
    <w:p w14:paraId="723DE958">
      <w:pPr>
        <w:adjustRightInd w:val="0"/>
        <w:snapToGrid w:val="0"/>
        <w:ind w:firstLine="0" w:firstLineChars="0"/>
        <w:jc w:val="center"/>
        <w:rPr>
          <w:rFonts w:cs="宋体"/>
          <w:color w:val="auto"/>
          <w:spacing w:val="113"/>
          <w:sz w:val="36"/>
          <w:highlight w:val="none"/>
        </w:rPr>
      </w:pPr>
    </w:p>
    <w:p w14:paraId="4C2DB972">
      <w:pPr>
        <w:adjustRightInd w:val="0"/>
        <w:snapToGrid w:val="0"/>
        <w:ind w:firstLine="0" w:firstLineChars="0"/>
        <w:jc w:val="center"/>
        <w:rPr>
          <w:rFonts w:cs="宋体"/>
          <w:color w:val="auto"/>
          <w:spacing w:val="113"/>
          <w:sz w:val="36"/>
          <w:highlight w:val="none"/>
        </w:rPr>
      </w:pPr>
    </w:p>
    <w:p w14:paraId="11303A96">
      <w:pPr>
        <w:adjustRightInd w:val="0"/>
        <w:snapToGrid w:val="0"/>
        <w:ind w:firstLine="0" w:firstLineChars="0"/>
        <w:jc w:val="center"/>
        <w:rPr>
          <w:rFonts w:cs="宋体"/>
          <w:color w:val="auto"/>
          <w:spacing w:val="113"/>
          <w:sz w:val="36"/>
          <w:highlight w:val="none"/>
        </w:rPr>
      </w:pPr>
    </w:p>
    <w:p w14:paraId="02443CC0">
      <w:pPr>
        <w:adjustRightInd w:val="0"/>
        <w:snapToGrid w:val="0"/>
        <w:ind w:firstLine="0" w:firstLineChars="0"/>
        <w:jc w:val="center"/>
        <w:rPr>
          <w:rFonts w:cs="宋体"/>
          <w:color w:val="auto"/>
          <w:spacing w:val="113"/>
          <w:sz w:val="36"/>
          <w:highlight w:val="none"/>
        </w:rPr>
      </w:pPr>
    </w:p>
    <w:p w14:paraId="0EDB4454">
      <w:pPr>
        <w:adjustRightInd w:val="0"/>
        <w:snapToGrid w:val="0"/>
        <w:ind w:firstLine="0" w:firstLineChars="0"/>
        <w:jc w:val="center"/>
        <w:rPr>
          <w:rFonts w:cs="宋体"/>
          <w:color w:val="auto"/>
          <w:spacing w:val="113"/>
          <w:sz w:val="36"/>
          <w:highlight w:val="none"/>
        </w:rPr>
      </w:pPr>
    </w:p>
    <w:p w14:paraId="0CD9154D">
      <w:pPr>
        <w:adjustRightInd w:val="0"/>
        <w:snapToGrid w:val="0"/>
        <w:ind w:firstLine="0" w:firstLineChars="0"/>
        <w:jc w:val="center"/>
        <w:rPr>
          <w:rFonts w:cs="宋体"/>
          <w:color w:val="auto"/>
          <w:spacing w:val="113"/>
          <w:sz w:val="36"/>
          <w:highlight w:val="none"/>
        </w:rPr>
      </w:pPr>
    </w:p>
    <w:p w14:paraId="7F12D9B9">
      <w:pPr>
        <w:adjustRightInd w:val="0"/>
        <w:snapToGrid w:val="0"/>
        <w:ind w:firstLine="0" w:firstLineChars="0"/>
        <w:jc w:val="center"/>
        <w:rPr>
          <w:rFonts w:cs="宋体"/>
          <w:color w:val="auto"/>
          <w:spacing w:val="113"/>
          <w:sz w:val="36"/>
          <w:highlight w:val="none"/>
        </w:rPr>
      </w:pPr>
    </w:p>
    <w:p w14:paraId="11379B9A">
      <w:pPr>
        <w:adjustRightInd w:val="0"/>
        <w:snapToGrid w:val="0"/>
        <w:ind w:firstLine="0" w:firstLineChars="0"/>
        <w:jc w:val="center"/>
        <w:rPr>
          <w:rFonts w:cs="宋体"/>
          <w:color w:val="auto"/>
          <w:spacing w:val="113"/>
          <w:sz w:val="36"/>
          <w:highlight w:val="none"/>
        </w:rPr>
      </w:pPr>
    </w:p>
    <w:p w14:paraId="1D590D22">
      <w:pPr>
        <w:adjustRightInd w:val="0"/>
        <w:snapToGrid w:val="0"/>
        <w:ind w:firstLine="0" w:firstLineChars="0"/>
        <w:rPr>
          <w:rFonts w:cs="宋体"/>
          <w:color w:val="auto"/>
          <w:spacing w:val="113"/>
          <w:sz w:val="36"/>
          <w:highlight w:val="none"/>
        </w:rPr>
      </w:pPr>
    </w:p>
    <w:p w14:paraId="7C598EF0">
      <w:pPr>
        <w:adjustRightInd w:val="0"/>
        <w:snapToGrid w:val="0"/>
        <w:ind w:firstLine="0" w:firstLineChars="0"/>
        <w:jc w:val="center"/>
        <w:rPr>
          <w:rFonts w:cs="宋体"/>
          <w:color w:val="auto"/>
          <w:sz w:val="36"/>
          <w:highlight w:val="none"/>
        </w:rPr>
      </w:pPr>
      <w:r>
        <w:rPr>
          <w:rFonts w:hint="eastAsia" w:cs="宋体"/>
          <w:color w:val="auto"/>
          <w:spacing w:val="113"/>
          <w:sz w:val="36"/>
          <w:highlight w:val="none"/>
        </w:rPr>
        <w:t>目</w:t>
      </w:r>
      <w:r>
        <w:rPr>
          <w:rFonts w:hint="eastAsia" w:cs="宋体"/>
          <w:color w:val="auto"/>
          <w:sz w:val="36"/>
          <w:highlight w:val="none"/>
        </w:rPr>
        <w:t>录</w:t>
      </w:r>
    </w:p>
    <w:p w14:paraId="12CD993B">
      <w:pPr>
        <w:pStyle w:val="36"/>
        <w:widowControl w:val="0"/>
        <w:adjustRightInd w:val="0"/>
        <w:snapToGrid w:val="0"/>
        <w:ind w:right="960" w:rightChars="400" w:firstLine="560"/>
        <w:jc w:val="both"/>
        <w:rPr>
          <w:rFonts w:cs="宋体"/>
          <w:color w:val="auto"/>
          <w:sz w:val="28"/>
          <w:szCs w:val="28"/>
          <w:highlight w:val="none"/>
        </w:rPr>
      </w:pPr>
      <w:r>
        <w:rPr>
          <w:rFonts w:hint="eastAsia" w:cs="宋体"/>
          <w:color w:val="auto"/>
          <w:sz w:val="28"/>
          <w:szCs w:val="28"/>
          <w:highlight w:val="none"/>
        </w:rPr>
        <w:t>【根据投标文件组成内容和提供的格式编制投标文件，并编制目录】</w:t>
      </w:r>
    </w:p>
    <w:p w14:paraId="747C32A3">
      <w:pPr>
        <w:ind w:firstLine="0" w:firstLineChars="0"/>
        <w:rPr>
          <w:rFonts w:hint="eastAsia" w:ascii="宋体" w:hAnsi="宋体" w:cs="宋体"/>
          <w:b/>
          <w:bCs/>
          <w:color w:val="auto"/>
          <w:highlight w:val="none"/>
        </w:rPr>
      </w:pPr>
    </w:p>
    <w:p w14:paraId="5BAF9EFC">
      <w:pPr>
        <w:ind w:firstLine="0" w:firstLineChars="0"/>
        <w:rPr>
          <w:rFonts w:hint="eastAsia" w:ascii="宋体" w:hAnsi="宋体" w:cs="宋体"/>
          <w:b/>
          <w:bCs/>
          <w:color w:val="auto"/>
          <w:highlight w:val="none"/>
        </w:rPr>
      </w:pPr>
    </w:p>
    <w:p w14:paraId="7B73087A">
      <w:pPr>
        <w:pStyle w:val="40"/>
        <w:ind w:firstLine="422"/>
        <w:rPr>
          <w:rFonts w:hAnsi="宋体" w:cs="宋体"/>
          <w:b/>
          <w:bCs/>
          <w:color w:val="auto"/>
          <w:highlight w:val="none"/>
        </w:rPr>
      </w:pPr>
    </w:p>
    <w:p w14:paraId="071935D9">
      <w:pPr>
        <w:pStyle w:val="41"/>
        <w:ind w:firstLine="482"/>
        <w:rPr>
          <w:rFonts w:hint="eastAsia" w:ascii="宋体" w:hAnsi="宋体" w:cs="宋体"/>
          <w:b/>
          <w:bCs/>
          <w:color w:val="auto"/>
          <w:highlight w:val="none"/>
        </w:rPr>
      </w:pPr>
    </w:p>
    <w:p w14:paraId="6D336D51">
      <w:pPr>
        <w:pStyle w:val="42"/>
        <w:rPr>
          <w:rFonts w:hint="eastAsia" w:ascii="宋体" w:hAnsi="宋体" w:cs="宋体"/>
          <w:b/>
          <w:bCs/>
          <w:color w:val="auto"/>
          <w:highlight w:val="none"/>
        </w:rPr>
      </w:pPr>
    </w:p>
    <w:p w14:paraId="68F5B210">
      <w:pPr>
        <w:pStyle w:val="42"/>
        <w:rPr>
          <w:rFonts w:hint="eastAsia" w:ascii="宋体" w:hAnsi="宋体" w:cs="宋体"/>
          <w:b/>
          <w:bCs/>
          <w:color w:val="auto"/>
          <w:highlight w:val="none"/>
        </w:rPr>
      </w:pPr>
    </w:p>
    <w:p w14:paraId="34BCF08C">
      <w:pPr>
        <w:pStyle w:val="42"/>
        <w:rPr>
          <w:rFonts w:hint="eastAsia" w:ascii="宋体" w:hAnsi="宋体" w:cs="宋体"/>
          <w:b/>
          <w:bCs/>
          <w:color w:val="auto"/>
          <w:highlight w:val="none"/>
        </w:rPr>
      </w:pPr>
    </w:p>
    <w:p w14:paraId="4F64F171">
      <w:pPr>
        <w:pStyle w:val="42"/>
        <w:rPr>
          <w:rFonts w:hint="eastAsia" w:ascii="宋体" w:hAnsi="宋体" w:cs="宋体"/>
          <w:b/>
          <w:bCs/>
          <w:color w:val="auto"/>
          <w:highlight w:val="none"/>
        </w:rPr>
      </w:pPr>
    </w:p>
    <w:p w14:paraId="6E8F59EF">
      <w:pPr>
        <w:pStyle w:val="42"/>
        <w:rPr>
          <w:rFonts w:hint="eastAsia" w:ascii="宋体" w:hAnsi="宋体" w:cs="宋体"/>
          <w:b/>
          <w:bCs/>
          <w:color w:val="auto"/>
          <w:highlight w:val="none"/>
        </w:rPr>
      </w:pPr>
    </w:p>
    <w:p w14:paraId="0C7A1685">
      <w:pPr>
        <w:pStyle w:val="42"/>
        <w:rPr>
          <w:rFonts w:hint="eastAsia" w:ascii="宋体" w:hAnsi="宋体" w:cs="宋体"/>
          <w:b/>
          <w:bCs/>
          <w:color w:val="auto"/>
          <w:highlight w:val="none"/>
        </w:rPr>
      </w:pPr>
    </w:p>
    <w:p w14:paraId="42BEA6FC">
      <w:pPr>
        <w:pStyle w:val="42"/>
        <w:rPr>
          <w:rFonts w:hint="eastAsia" w:ascii="宋体" w:hAnsi="宋体" w:cs="宋体"/>
          <w:b/>
          <w:bCs/>
          <w:color w:val="auto"/>
          <w:highlight w:val="none"/>
        </w:rPr>
      </w:pPr>
    </w:p>
    <w:p w14:paraId="2718F401">
      <w:pPr>
        <w:pStyle w:val="42"/>
        <w:rPr>
          <w:rFonts w:hint="eastAsia" w:ascii="宋体" w:hAnsi="宋体" w:cs="宋体"/>
          <w:b/>
          <w:bCs/>
          <w:color w:val="auto"/>
          <w:highlight w:val="none"/>
        </w:rPr>
      </w:pPr>
    </w:p>
    <w:p w14:paraId="035597C5">
      <w:pPr>
        <w:pStyle w:val="42"/>
        <w:rPr>
          <w:rFonts w:hint="eastAsia" w:ascii="宋体" w:hAnsi="宋体" w:cs="宋体"/>
          <w:b/>
          <w:bCs/>
          <w:color w:val="auto"/>
          <w:highlight w:val="none"/>
        </w:rPr>
      </w:pPr>
    </w:p>
    <w:p w14:paraId="05AC0609">
      <w:pPr>
        <w:pStyle w:val="42"/>
        <w:rPr>
          <w:rFonts w:hint="eastAsia" w:ascii="宋体" w:hAnsi="宋体" w:cs="宋体"/>
          <w:b/>
          <w:bCs/>
          <w:color w:val="auto"/>
          <w:highlight w:val="none"/>
        </w:rPr>
      </w:pPr>
    </w:p>
    <w:p w14:paraId="337033DA">
      <w:pPr>
        <w:pStyle w:val="42"/>
        <w:rPr>
          <w:rFonts w:hint="eastAsia" w:ascii="宋体" w:hAnsi="宋体" w:cs="宋体"/>
          <w:b/>
          <w:bCs/>
          <w:color w:val="auto"/>
          <w:highlight w:val="none"/>
        </w:rPr>
      </w:pPr>
    </w:p>
    <w:p w14:paraId="72820EF4">
      <w:pPr>
        <w:pStyle w:val="42"/>
        <w:rPr>
          <w:rFonts w:hint="eastAsia" w:ascii="宋体" w:hAnsi="宋体" w:cs="宋体"/>
          <w:b/>
          <w:bCs/>
          <w:color w:val="auto"/>
          <w:highlight w:val="none"/>
        </w:rPr>
      </w:pPr>
    </w:p>
    <w:p w14:paraId="0284A1E7">
      <w:pPr>
        <w:pStyle w:val="42"/>
        <w:rPr>
          <w:rFonts w:hint="eastAsia" w:ascii="宋体" w:hAnsi="宋体" w:cs="宋体"/>
          <w:b/>
          <w:bCs/>
          <w:color w:val="auto"/>
          <w:highlight w:val="none"/>
        </w:rPr>
      </w:pPr>
    </w:p>
    <w:p w14:paraId="3543C6C1">
      <w:pPr>
        <w:pStyle w:val="42"/>
        <w:rPr>
          <w:rFonts w:hint="eastAsia" w:ascii="宋体" w:hAnsi="宋体" w:cs="宋体"/>
          <w:b/>
          <w:bCs/>
          <w:color w:val="auto"/>
          <w:highlight w:val="none"/>
        </w:rPr>
      </w:pPr>
    </w:p>
    <w:p w14:paraId="042C9790">
      <w:pPr>
        <w:pStyle w:val="42"/>
        <w:rPr>
          <w:rFonts w:hint="eastAsia" w:ascii="宋体" w:hAnsi="宋体" w:cs="宋体"/>
          <w:b/>
          <w:bCs/>
          <w:color w:val="auto"/>
          <w:highlight w:val="none"/>
        </w:rPr>
      </w:pPr>
    </w:p>
    <w:p w14:paraId="3DBF1155">
      <w:pPr>
        <w:pStyle w:val="42"/>
        <w:rPr>
          <w:rFonts w:hint="eastAsia" w:ascii="宋体" w:hAnsi="宋体" w:cs="宋体"/>
          <w:b/>
          <w:bCs/>
          <w:color w:val="auto"/>
          <w:highlight w:val="none"/>
        </w:rPr>
      </w:pPr>
    </w:p>
    <w:p w14:paraId="6608AF30">
      <w:pPr>
        <w:pStyle w:val="42"/>
        <w:rPr>
          <w:rFonts w:hint="eastAsia" w:ascii="宋体" w:hAnsi="宋体" w:cs="宋体"/>
          <w:b/>
          <w:bCs/>
          <w:color w:val="auto"/>
          <w:highlight w:val="none"/>
        </w:rPr>
      </w:pPr>
    </w:p>
    <w:p w14:paraId="76359EF3">
      <w:pPr>
        <w:pStyle w:val="42"/>
        <w:rPr>
          <w:rFonts w:hint="eastAsia" w:ascii="宋体" w:hAnsi="宋体" w:cs="宋体"/>
          <w:b/>
          <w:bCs/>
          <w:color w:val="auto"/>
          <w:highlight w:val="none"/>
        </w:rPr>
      </w:pPr>
    </w:p>
    <w:p w14:paraId="021FBA4E">
      <w:pPr>
        <w:pStyle w:val="42"/>
        <w:rPr>
          <w:rFonts w:hint="eastAsia" w:ascii="宋体" w:hAnsi="宋体" w:cs="宋体"/>
          <w:b/>
          <w:bCs/>
          <w:color w:val="auto"/>
          <w:highlight w:val="none"/>
        </w:rPr>
      </w:pPr>
    </w:p>
    <w:p w14:paraId="163AF6B7">
      <w:pPr>
        <w:pStyle w:val="42"/>
        <w:rPr>
          <w:rFonts w:hint="eastAsia" w:ascii="宋体" w:hAnsi="宋体" w:cs="宋体"/>
          <w:b/>
          <w:bCs/>
          <w:color w:val="auto"/>
          <w:highlight w:val="none"/>
        </w:rPr>
      </w:pPr>
    </w:p>
    <w:p w14:paraId="6F177CAF">
      <w:pPr>
        <w:pStyle w:val="42"/>
        <w:rPr>
          <w:rFonts w:hint="eastAsia" w:ascii="宋体" w:hAnsi="宋体" w:cs="宋体"/>
          <w:b/>
          <w:bCs/>
          <w:color w:val="auto"/>
          <w:highlight w:val="none"/>
        </w:rPr>
      </w:pPr>
    </w:p>
    <w:p w14:paraId="73172AE0">
      <w:pPr>
        <w:pStyle w:val="42"/>
        <w:rPr>
          <w:rFonts w:hint="eastAsia" w:ascii="宋体" w:hAnsi="宋体" w:cs="宋体"/>
          <w:b/>
          <w:bCs/>
          <w:color w:val="auto"/>
          <w:highlight w:val="none"/>
        </w:rPr>
      </w:pPr>
    </w:p>
    <w:p w14:paraId="5AD4C364">
      <w:pPr>
        <w:pStyle w:val="42"/>
        <w:rPr>
          <w:rFonts w:hint="eastAsia" w:ascii="宋体" w:hAnsi="宋体" w:cs="宋体"/>
          <w:b/>
          <w:bCs/>
          <w:color w:val="auto"/>
          <w:highlight w:val="none"/>
        </w:rPr>
      </w:pPr>
    </w:p>
    <w:p w14:paraId="2F58C273">
      <w:pPr>
        <w:pStyle w:val="42"/>
        <w:rPr>
          <w:rFonts w:hint="eastAsia" w:ascii="宋体" w:hAnsi="宋体" w:cs="宋体"/>
          <w:b/>
          <w:bCs/>
          <w:color w:val="auto"/>
          <w:highlight w:val="none"/>
        </w:rPr>
      </w:pPr>
    </w:p>
    <w:p w14:paraId="7B287790">
      <w:pPr>
        <w:pStyle w:val="42"/>
        <w:rPr>
          <w:rFonts w:hint="eastAsia" w:ascii="宋体" w:hAnsi="宋体" w:cs="宋体"/>
          <w:b/>
          <w:bCs/>
          <w:color w:val="auto"/>
          <w:highlight w:val="none"/>
        </w:rPr>
      </w:pPr>
    </w:p>
    <w:p w14:paraId="5A7FBB95">
      <w:pPr>
        <w:pStyle w:val="42"/>
        <w:rPr>
          <w:rFonts w:hint="eastAsia" w:ascii="宋体" w:hAnsi="宋体" w:cs="宋体"/>
          <w:b/>
          <w:bCs/>
          <w:color w:val="auto"/>
          <w:highlight w:val="none"/>
        </w:rPr>
      </w:pPr>
    </w:p>
    <w:p w14:paraId="714C2F19">
      <w:pPr>
        <w:pStyle w:val="42"/>
        <w:rPr>
          <w:rFonts w:hint="eastAsia" w:ascii="宋体" w:hAnsi="宋体" w:cs="宋体"/>
          <w:b/>
          <w:bCs/>
          <w:color w:val="auto"/>
          <w:highlight w:val="none"/>
        </w:rPr>
      </w:pPr>
    </w:p>
    <w:p w14:paraId="12B7C879">
      <w:pPr>
        <w:pStyle w:val="42"/>
        <w:rPr>
          <w:rFonts w:hint="eastAsia" w:ascii="宋体" w:hAnsi="宋体" w:cs="宋体"/>
          <w:b/>
          <w:bCs/>
          <w:color w:val="auto"/>
          <w:highlight w:val="none"/>
        </w:rPr>
      </w:pPr>
    </w:p>
    <w:p w14:paraId="2F927D22">
      <w:pPr>
        <w:pStyle w:val="42"/>
        <w:rPr>
          <w:rFonts w:hint="eastAsia" w:ascii="宋体" w:hAnsi="宋体" w:cs="宋体"/>
          <w:b/>
          <w:bCs/>
          <w:color w:val="auto"/>
          <w:highlight w:val="none"/>
        </w:rPr>
      </w:pPr>
    </w:p>
    <w:p w14:paraId="21D75D84">
      <w:pPr>
        <w:pStyle w:val="42"/>
        <w:rPr>
          <w:rFonts w:hint="eastAsia" w:ascii="宋体" w:hAnsi="宋体" w:cs="宋体"/>
          <w:b/>
          <w:bCs/>
          <w:color w:val="auto"/>
          <w:highlight w:val="none"/>
        </w:rPr>
      </w:pPr>
    </w:p>
    <w:p w14:paraId="5E2B5476">
      <w:pPr>
        <w:pStyle w:val="42"/>
        <w:rPr>
          <w:rFonts w:hint="eastAsia" w:ascii="宋体" w:hAnsi="宋体" w:cs="宋体"/>
          <w:b/>
          <w:bCs/>
          <w:color w:val="auto"/>
          <w:highlight w:val="none"/>
        </w:rPr>
      </w:pPr>
    </w:p>
    <w:p w14:paraId="3F5425F5">
      <w:pPr>
        <w:pStyle w:val="42"/>
        <w:rPr>
          <w:rFonts w:hint="eastAsia" w:ascii="宋体" w:hAnsi="宋体" w:cs="宋体"/>
          <w:b/>
          <w:bCs/>
          <w:color w:val="auto"/>
          <w:highlight w:val="none"/>
        </w:rPr>
      </w:pPr>
    </w:p>
    <w:p w14:paraId="1A4101D8">
      <w:pPr>
        <w:pStyle w:val="42"/>
        <w:rPr>
          <w:rFonts w:hint="eastAsia" w:ascii="宋体" w:hAnsi="宋体" w:cs="宋体"/>
          <w:b/>
          <w:bCs/>
          <w:color w:val="auto"/>
          <w:highlight w:val="none"/>
        </w:rPr>
      </w:pPr>
    </w:p>
    <w:p w14:paraId="4AF08D24">
      <w:pPr>
        <w:pStyle w:val="42"/>
        <w:rPr>
          <w:rFonts w:hint="eastAsia" w:ascii="宋体" w:hAnsi="宋体" w:cs="宋体"/>
          <w:b/>
          <w:bCs/>
          <w:color w:val="auto"/>
          <w:highlight w:val="none"/>
        </w:rPr>
      </w:pPr>
    </w:p>
    <w:p w14:paraId="09637779">
      <w:pPr>
        <w:pStyle w:val="42"/>
        <w:rPr>
          <w:rFonts w:hint="eastAsia" w:ascii="宋体" w:hAnsi="宋体" w:cs="宋体"/>
          <w:b/>
          <w:bCs/>
          <w:color w:val="auto"/>
          <w:highlight w:val="none"/>
        </w:rPr>
      </w:pPr>
    </w:p>
    <w:p w14:paraId="47EB04D2">
      <w:pPr>
        <w:ind w:firstLine="0" w:firstLineChars="0"/>
        <w:outlineLvl w:val="0"/>
        <w:rPr>
          <w:rFonts w:hint="eastAsia" w:ascii="宋体" w:hAnsi="宋体" w:cs="宋体"/>
          <w:b/>
          <w:bCs/>
          <w:color w:val="auto"/>
          <w:highlight w:val="none"/>
        </w:rPr>
      </w:pPr>
      <w:r>
        <w:rPr>
          <w:rFonts w:hint="eastAsia" w:ascii="宋体" w:hAnsi="宋体" w:cs="宋体"/>
          <w:b/>
          <w:bCs/>
          <w:color w:val="auto"/>
          <w:highlight w:val="none"/>
        </w:rPr>
        <w:t>附件1</w:t>
      </w:r>
    </w:p>
    <w:p w14:paraId="1E24B80B">
      <w:pPr>
        <w:ind w:firstLine="0" w:firstLineChars="0"/>
        <w:jc w:val="center"/>
        <w:outlineLvl w:val="0"/>
        <w:rPr>
          <w:rFonts w:hint="eastAsia" w:ascii="宋体" w:hAnsi="宋体" w:cs="宋体"/>
          <w:b/>
          <w:color w:val="auto"/>
          <w:highlight w:val="none"/>
        </w:rPr>
      </w:pPr>
      <w:bookmarkStart w:id="417" w:name="_Toc32708"/>
      <w:bookmarkStart w:id="418" w:name="_Toc7669"/>
      <w:bookmarkStart w:id="419" w:name="_Toc12466"/>
      <w:r>
        <w:rPr>
          <w:rFonts w:hint="eastAsia" w:ascii="宋体" w:hAnsi="宋体" w:cs="宋体"/>
          <w:b/>
          <w:color w:val="auto"/>
          <w:sz w:val="32"/>
          <w:szCs w:val="32"/>
          <w:highlight w:val="none"/>
          <w:lang w:bidi="ar"/>
        </w:rPr>
        <w:t>投标人基本情况表</w:t>
      </w:r>
      <w:bookmarkEnd w:id="417"/>
      <w:bookmarkEnd w:id="418"/>
      <w:bookmarkEnd w:id="419"/>
    </w:p>
    <w:tbl>
      <w:tblPr>
        <w:tblStyle w:val="43"/>
        <w:tblW w:w="10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912"/>
        <w:gridCol w:w="2313"/>
        <w:gridCol w:w="2912"/>
      </w:tblGrid>
      <w:tr w14:paraId="22E3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0" w:type="dxa"/>
            <w:gridSpan w:val="4"/>
            <w:vAlign w:val="center"/>
          </w:tcPr>
          <w:p w14:paraId="01B549FA">
            <w:pPr>
              <w:snapToGrid w:val="0"/>
              <w:spacing w:before="93" w:beforeLines="30" w:after="93" w:afterLines="30" w:line="240" w:lineRule="auto"/>
              <w:ind w:firstLine="480"/>
              <w:jc w:val="center"/>
              <w:rPr>
                <w:rFonts w:cs="宋体"/>
                <w:color w:val="auto"/>
                <w:highlight w:val="none"/>
              </w:rPr>
            </w:pPr>
            <w:r>
              <w:rPr>
                <w:rFonts w:hint="eastAsia" w:cs="宋体"/>
                <w:color w:val="auto"/>
                <w:highlight w:val="none"/>
              </w:rPr>
              <w:t>投标人信息</w:t>
            </w:r>
          </w:p>
        </w:tc>
      </w:tr>
      <w:tr w14:paraId="2AAE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14D6FC21">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投标人名称</w:t>
            </w:r>
          </w:p>
        </w:tc>
        <w:tc>
          <w:tcPr>
            <w:tcW w:w="8137" w:type="dxa"/>
            <w:gridSpan w:val="3"/>
            <w:vAlign w:val="center"/>
          </w:tcPr>
          <w:p w14:paraId="16934446">
            <w:pPr>
              <w:snapToGrid w:val="0"/>
              <w:spacing w:before="93" w:beforeLines="30" w:after="93" w:afterLines="30" w:line="240" w:lineRule="auto"/>
              <w:ind w:firstLine="480"/>
              <w:rPr>
                <w:rFonts w:cs="宋体"/>
                <w:color w:val="auto"/>
                <w:highlight w:val="none"/>
              </w:rPr>
            </w:pPr>
          </w:p>
        </w:tc>
      </w:tr>
      <w:tr w14:paraId="2C8E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14BE10DE">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联合体</w:t>
            </w:r>
          </w:p>
        </w:tc>
        <w:tc>
          <w:tcPr>
            <w:tcW w:w="2912" w:type="dxa"/>
            <w:vAlign w:val="center"/>
          </w:tcPr>
          <w:p w14:paraId="5A99CDD1">
            <w:pPr>
              <w:snapToGrid w:val="0"/>
              <w:spacing w:before="93" w:beforeLines="30" w:after="93" w:afterLines="30" w:line="240" w:lineRule="auto"/>
              <w:ind w:firstLine="480"/>
              <w:rPr>
                <w:rFonts w:cs="宋体"/>
                <w:color w:val="auto"/>
                <w:highlight w:val="none"/>
              </w:rPr>
            </w:pPr>
            <w:r>
              <w:rPr>
                <w:rFonts w:hint="eastAsia" w:cs="宋体"/>
                <w:color w:val="auto"/>
                <w:highlight w:val="none"/>
              </w:rPr>
              <w:t>是□    否□</w:t>
            </w:r>
          </w:p>
        </w:tc>
        <w:tc>
          <w:tcPr>
            <w:tcW w:w="2313" w:type="dxa"/>
            <w:vAlign w:val="center"/>
          </w:tcPr>
          <w:p w14:paraId="5979BB78">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联合体成员单位</w:t>
            </w:r>
          </w:p>
        </w:tc>
        <w:tc>
          <w:tcPr>
            <w:tcW w:w="2912" w:type="dxa"/>
            <w:vAlign w:val="center"/>
          </w:tcPr>
          <w:p w14:paraId="2E19BDB1">
            <w:pPr>
              <w:snapToGrid w:val="0"/>
              <w:spacing w:before="93" w:beforeLines="30" w:after="93" w:afterLines="30" w:line="240" w:lineRule="auto"/>
              <w:ind w:firstLine="480"/>
              <w:rPr>
                <w:rFonts w:cs="宋体"/>
                <w:color w:val="auto"/>
                <w:highlight w:val="none"/>
              </w:rPr>
            </w:pPr>
          </w:p>
        </w:tc>
      </w:tr>
      <w:tr w14:paraId="7A3A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032580DF">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性质</w:t>
            </w:r>
          </w:p>
        </w:tc>
        <w:tc>
          <w:tcPr>
            <w:tcW w:w="8137" w:type="dxa"/>
            <w:gridSpan w:val="3"/>
            <w:vAlign w:val="center"/>
          </w:tcPr>
          <w:p w14:paraId="50CD9785">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国有□     国有控股□     私营□     事业单位□</w:t>
            </w:r>
          </w:p>
        </w:tc>
      </w:tr>
      <w:tr w14:paraId="5342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35F6E531">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统一社会信用代码</w:t>
            </w:r>
          </w:p>
        </w:tc>
        <w:tc>
          <w:tcPr>
            <w:tcW w:w="2912" w:type="dxa"/>
            <w:vAlign w:val="center"/>
          </w:tcPr>
          <w:p w14:paraId="5BC3518E">
            <w:pPr>
              <w:snapToGrid w:val="0"/>
              <w:spacing w:before="93" w:beforeLines="30" w:after="93" w:afterLines="30" w:line="240" w:lineRule="auto"/>
              <w:ind w:firstLine="0" w:firstLineChars="0"/>
              <w:rPr>
                <w:rFonts w:cs="宋体"/>
                <w:color w:val="auto"/>
                <w:highlight w:val="none"/>
              </w:rPr>
            </w:pPr>
          </w:p>
        </w:tc>
        <w:tc>
          <w:tcPr>
            <w:tcW w:w="2313" w:type="dxa"/>
            <w:vAlign w:val="center"/>
          </w:tcPr>
          <w:p w14:paraId="6F1C9CBC">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注册资本</w:t>
            </w:r>
          </w:p>
        </w:tc>
        <w:tc>
          <w:tcPr>
            <w:tcW w:w="2912" w:type="dxa"/>
            <w:vAlign w:val="center"/>
          </w:tcPr>
          <w:p w14:paraId="37B5C492">
            <w:pPr>
              <w:snapToGrid w:val="0"/>
              <w:spacing w:before="93" w:beforeLines="30" w:after="93" w:afterLines="30" w:line="240" w:lineRule="auto"/>
              <w:ind w:firstLine="0" w:firstLineChars="0"/>
              <w:rPr>
                <w:rFonts w:cs="宋体"/>
                <w:color w:val="auto"/>
                <w:highlight w:val="none"/>
              </w:rPr>
            </w:pPr>
          </w:p>
        </w:tc>
      </w:tr>
      <w:tr w14:paraId="3BD9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46CAE254">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法定代表人</w:t>
            </w:r>
          </w:p>
        </w:tc>
        <w:tc>
          <w:tcPr>
            <w:tcW w:w="2912" w:type="dxa"/>
            <w:vAlign w:val="center"/>
          </w:tcPr>
          <w:p w14:paraId="70598A0D">
            <w:pPr>
              <w:snapToGrid w:val="0"/>
              <w:spacing w:before="93" w:beforeLines="30" w:after="93" w:afterLines="30" w:line="240" w:lineRule="auto"/>
              <w:ind w:firstLine="0" w:firstLineChars="0"/>
              <w:rPr>
                <w:rFonts w:cs="宋体"/>
                <w:color w:val="auto"/>
                <w:highlight w:val="none"/>
              </w:rPr>
            </w:pPr>
          </w:p>
        </w:tc>
        <w:tc>
          <w:tcPr>
            <w:tcW w:w="2313" w:type="dxa"/>
            <w:vAlign w:val="center"/>
          </w:tcPr>
          <w:p w14:paraId="36121740">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技术负责人</w:t>
            </w:r>
          </w:p>
        </w:tc>
        <w:tc>
          <w:tcPr>
            <w:tcW w:w="2912" w:type="dxa"/>
            <w:vAlign w:val="center"/>
          </w:tcPr>
          <w:p w14:paraId="6F12B5E8">
            <w:pPr>
              <w:snapToGrid w:val="0"/>
              <w:spacing w:before="93" w:beforeLines="30" w:after="93" w:afterLines="30" w:line="240" w:lineRule="auto"/>
              <w:ind w:firstLine="0" w:firstLineChars="0"/>
              <w:rPr>
                <w:rFonts w:cs="宋体"/>
                <w:color w:val="auto"/>
                <w:highlight w:val="none"/>
              </w:rPr>
            </w:pPr>
          </w:p>
        </w:tc>
      </w:tr>
      <w:tr w14:paraId="63B2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23025673">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通信地址</w:t>
            </w:r>
          </w:p>
        </w:tc>
        <w:tc>
          <w:tcPr>
            <w:tcW w:w="2912" w:type="dxa"/>
            <w:vAlign w:val="center"/>
          </w:tcPr>
          <w:p w14:paraId="2BBB33C6">
            <w:pPr>
              <w:snapToGrid w:val="0"/>
              <w:spacing w:before="93" w:beforeLines="30" w:after="93" w:afterLines="30" w:line="240" w:lineRule="auto"/>
              <w:ind w:firstLine="0" w:firstLineChars="0"/>
              <w:rPr>
                <w:rFonts w:cs="宋体"/>
                <w:color w:val="auto"/>
                <w:highlight w:val="none"/>
              </w:rPr>
            </w:pPr>
          </w:p>
        </w:tc>
        <w:tc>
          <w:tcPr>
            <w:tcW w:w="2313" w:type="dxa"/>
            <w:vAlign w:val="center"/>
          </w:tcPr>
          <w:p w14:paraId="47BDFD09">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邮政编码</w:t>
            </w:r>
          </w:p>
        </w:tc>
        <w:tc>
          <w:tcPr>
            <w:tcW w:w="2912" w:type="dxa"/>
            <w:vAlign w:val="center"/>
          </w:tcPr>
          <w:p w14:paraId="5EA10E65">
            <w:pPr>
              <w:snapToGrid w:val="0"/>
              <w:spacing w:before="93" w:beforeLines="30" w:after="93" w:afterLines="30" w:line="240" w:lineRule="auto"/>
              <w:ind w:firstLine="0" w:firstLineChars="0"/>
              <w:rPr>
                <w:rFonts w:cs="宋体"/>
                <w:color w:val="auto"/>
                <w:highlight w:val="none"/>
              </w:rPr>
            </w:pPr>
          </w:p>
        </w:tc>
      </w:tr>
      <w:tr w14:paraId="3F1C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44A298DE">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公司电话</w:t>
            </w:r>
          </w:p>
        </w:tc>
        <w:tc>
          <w:tcPr>
            <w:tcW w:w="2912" w:type="dxa"/>
            <w:vAlign w:val="center"/>
          </w:tcPr>
          <w:p w14:paraId="2CCF530B">
            <w:pPr>
              <w:snapToGrid w:val="0"/>
              <w:spacing w:before="93" w:beforeLines="30" w:after="93" w:afterLines="30" w:line="240" w:lineRule="auto"/>
              <w:ind w:firstLine="0" w:firstLineChars="0"/>
              <w:rPr>
                <w:rFonts w:cs="宋体"/>
                <w:color w:val="auto"/>
                <w:highlight w:val="none"/>
              </w:rPr>
            </w:pPr>
          </w:p>
        </w:tc>
        <w:tc>
          <w:tcPr>
            <w:tcW w:w="2313" w:type="dxa"/>
            <w:vAlign w:val="center"/>
          </w:tcPr>
          <w:p w14:paraId="28B19108">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传真</w:t>
            </w:r>
          </w:p>
        </w:tc>
        <w:tc>
          <w:tcPr>
            <w:tcW w:w="2912" w:type="dxa"/>
            <w:vAlign w:val="center"/>
          </w:tcPr>
          <w:p w14:paraId="3F15B70C">
            <w:pPr>
              <w:snapToGrid w:val="0"/>
              <w:spacing w:before="93" w:beforeLines="30" w:after="93" w:afterLines="30" w:line="240" w:lineRule="auto"/>
              <w:ind w:firstLine="0" w:firstLineChars="0"/>
              <w:rPr>
                <w:rFonts w:cs="宋体"/>
                <w:color w:val="auto"/>
                <w:highlight w:val="none"/>
              </w:rPr>
            </w:pPr>
          </w:p>
        </w:tc>
      </w:tr>
      <w:tr w14:paraId="612D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369F82C7">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公司网址</w:t>
            </w:r>
          </w:p>
        </w:tc>
        <w:tc>
          <w:tcPr>
            <w:tcW w:w="2912" w:type="dxa"/>
            <w:vAlign w:val="center"/>
          </w:tcPr>
          <w:p w14:paraId="2068CD09">
            <w:pPr>
              <w:snapToGrid w:val="0"/>
              <w:spacing w:before="93" w:beforeLines="30" w:after="93" w:afterLines="30" w:line="240" w:lineRule="auto"/>
              <w:ind w:firstLine="0" w:firstLineChars="0"/>
              <w:rPr>
                <w:rFonts w:cs="宋体"/>
                <w:color w:val="auto"/>
                <w:highlight w:val="none"/>
              </w:rPr>
            </w:pPr>
          </w:p>
        </w:tc>
        <w:tc>
          <w:tcPr>
            <w:tcW w:w="2313" w:type="dxa"/>
            <w:vAlign w:val="center"/>
          </w:tcPr>
          <w:p w14:paraId="6F8E8358">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电子邮箱</w:t>
            </w:r>
          </w:p>
        </w:tc>
        <w:tc>
          <w:tcPr>
            <w:tcW w:w="2912" w:type="dxa"/>
            <w:vAlign w:val="center"/>
          </w:tcPr>
          <w:p w14:paraId="4951C632">
            <w:pPr>
              <w:snapToGrid w:val="0"/>
              <w:spacing w:before="93" w:beforeLines="30" w:after="93" w:afterLines="30" w:line="240" w:lineRule="auto"/>
              <w:ind w:firstLine="0" w:firstLineChars="0"/>
              <w:rPr>
                <w:rFonts w:cs="宋体"/>
                <w:color w:val="auto"/>
                <w:highlight w:val="none"/>
              </w:rPr>
            </w:pPr>
          </w:p>
        </w:tc>
      </w:tr>
      <w:tr w14:paraId="213D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235BC996">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开户银行</w:t>
            </w:r>
          </w:p>
        </w:tc>
        <w:tc>
          <w:tcPr>
            <w:tcW w:w="2912" w:type="dxa"/>
            <w:vAlign w:val="center"/>
          </w:tcPr>
          <w:p w14:paraId="1351409C">
            <w:pPr>
              <w:snapToGrid w:val="0"/>
              <w:spacing w:before="93" w:beforeLines="30" w:after="93" w:afterLines="30" w:line="240" w:lineRule="auto"/>
              <w:ind w:firstLine="0" w:firstLineChars="0"/>
              <w:rPr>
                <w:rFonts w:cs="宋体"/>
                <w:color w:val="auto"/>
                <w:highlight w:val="none"/>
              </w:rPr>
            </w:pPr>
          </w:p>
        </w:tc>
        <w:tc>
          <w:tcPr>
            <w:tcW w:w="2313" w:type="dxa"/>
            <w:vAlign w:val="center"/>
          </w:tcPr>
          <w:p w14:paraId="2F284E3B">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账号</w:t>
            </w:r>
          </w:p>
        </w:tc>
        <w:tc>
          <w:tcPr>
            <w:tcW w:w="2912" w:type="dxa"/>
            <w:vAlign w:val="center"/>
          </w:tcPr>
          <w:p w14:paraId="384DF1B2">
            <w:pPr>
              <w:snapToGrid w:val="0"/>
              <w:spacing w:before="93" w:beforeLines="30" w:after="93" w:afterLines="30" w:line="240" w:lineRule="auto"/>
              <w:ind w:firstLine="0" w:firstLineChars="0"/>
              <w:rPr>
                <w:rFonts w:cs="宋体"/>
                <w:color w:val="auto"/>
                <w:highlight w:val="none"/>
              </w:rPr>
            </w:pPr>
          </w:p>
        </w:tc>
      </w:tr>
      <w:tr w14:paraId="23C3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Merge w:val="restart"/>
            <w:vAlign w:val="center"/>
          </w:tcPr>
          <w:p w14:paraId="6279D052">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人员情况</w:t>
            </w:r>
          </w:p>
        </w:tc>
        <w:tc>
          <w:tcPr>
            <w:tcW w:w="8137" w:type="dxa"/>
            <w:gridSpan w:val="3"/>
            <w:vAlign w:val="center"/>
          </w:tcPr>
          <w:p w14:paraId="7639D591">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项目经理:            电话：</w:t>
            </w:r>
          </w:p>
        </w:tc>
      </w:tr>
      <w:tr w14:paraId="6239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Merge w:val="continue"/>
            <w:vAlign w:val="center"/>
          </w:tcPr>
          <w:p w14:paraId="0F78D3D5">
            <w:pPr>
              <w:snapToGrid w:val="0"/>
              <w:spacing w:before="93" w:beforeLines="30" w:after="93" w:afterLines="30" w:line="240" w:lineRule="auto"/>
              <w:ind w:firstLine="0" w:firstLineChars="0"/>
              <w:rPr>
                <w:rFonts w:cs="宋体"/>
                <w:color w:val="auto"/>
                <w:highlight w:val="none"/>
              </w:rPr>
            </w:pPr>
          </w:p>
        </w:tc>
        <w:tc>
          <w:tcPr>
            <w:tcW w:w="8137" w:type="dxa"/>
            <w:gridSpan w:val="3"/>
            <w:vAlign w:val="center"/>
          </w:tcPr>
          <w:p w14:paraId="29635178">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高级职称人数:    人，中级职称人数:    人，初级职称人数:    人</w:t>
            </w:r>
          </w:p>
        </w:tc>
      </w:tr>
      <w:tr w14:paraId="0FBD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393" w:type="dxa"/>
            <w:vAlign w:val="center"/>
          </w:tcPr>
          <w:p w14:paraId="496031E0">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经营范围</w:t>
            </w:r>
          </w:p>
        </w:tc>
        <w:tc>
          <w:tcPr>
            <w:tcW w:w="8137" w:type="dxa"/>
            <w:gridSpan w:val="3"/>
            <w:vAlign w:val="center"/>
          </w:tcPr>
          <w:p w14:paraId="0A66404F">
            <w:pPr>
              <w:snapToGrid w:val="0"/>
              <w:spacing w:before="93" w:beforeLines="30" w:after="93" w:afterLines="30" w:line="240" w:lineRule="auto"/>
              <w:ind w:firstLine="0" w:firstLineChars="0"/>
              <w:rPr>
                <w:rFonts w:cs="宋体"/>
                <w:color w:val="auto"/>
                <w:highlight w:val="none"/>
              </w:rPr>
            </w:pPr>
          </w:p>
        </w:tc>
      </w:tr>
      <w:tr w14:paraId="54A1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0154F741">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企业资质</w:t>
            </w:r>
          </w:p>
        </w:tc>
        <w:tc>
          <w:tcPr>
            <w:tcW w:w="8137" w:type="dxa"/>
            <w:gridSpan w:val="3"/>
            <w:vAlign w:val="center"/>
          </w:tcPr>
          <w:p w14:paraId="339E2293">
            <w:pPr>
              <w:snapToGrid w:val="0"/>
              <w:spacing w:before="93" w:beforeLines="30" w:after="93" w:afterLines="30" w:line="240" w:lineRule="auto"/>
              <w:ind w:firstLine="0" w:firstLineChars="0"/>
              <w:rPr>
                <w:rFonts w:cs="宋体"/>
                <w:color w:val="auto"/>
                <w:highlight w:val="none"/>
              </w:rPr>
            </w:pPr>
          </w:p>
        </w:tc>
      </w:tr>
      <w:tr w14:paraId="73FF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46CCA952">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备注</w:t>
            </w:r>
          </w:p>
        </w:tc>
        <w:tc>
          <w:tcPr>
            <w:tcW w:w="8137" w:type="dxa"/>
            <w:gridSpan w:val="3"/>
            <w:vAlign w:val="center"/>
          </w:tcPr>
          <w:p w14:paraId="34888269">
            <w:pPr>
              <w:snapToGrid w:val="0"/>
              <w:spacing w:before="93" w:beforeLines="30" w:after="93" w:afterLines="30" w:line="240" w:lineRule="auto"/>
              <w:ind w:firstLine="0" w:firstLineChars="0"/>
              <w:rPr>
                <w:rFonts w:cs="宋体"/>
                <w:color w:val="auto"/>
                <w:highlight w:val="none"/>
              </w:rPr>
            </w:pPr>
          </w:p>
        </w:tc>
      </w:tr>
      <w:tr w14:paraId="1E8A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0" w:type="dxa"/>
            <w:gridSpan w:val="4"/>
            <w:vAlign w:val="center"/>
          </w:tcPr>
          <w:p w14:paraId="36315B5C">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投标人联系人信息</w:t>
            </w:r>
          </w:p>
        </w:tc>
      </w:tr>
      <w:tr w14:paraId="54D7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49448D41">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姓名</w:t>
            </w:r>
          </w:p>
        </w:tc>
        <w:tc>
          <w:tcPr>
            <w:tcW w:w="2912" w:type="dxa"/>
            <w:vAlign w:val="center"/>
          </w:tcPr>
          <w:p w14:paraId="65EBD09A">
            <w:pPr>
              <w:snapToGrid w:val="0"/>
              <w:spacing w:before="93" w:beforeLines="30" w:after="93" w:afterLines="30" w:line="240" w:lineRule="auto"/>
              <w:ind w:firstLine="0" w:firstLineChars="0"/>
              <w:rPr>
                <w:rFonts w:cs="宋体"/>
                <w:color w:val="auto"/>
                <w:highlight w:val="none"/>
              </w:rPr>
            </w:pPr>
          </w:p>
        </w:tc>
        <w:tc>
          <w:tcPr>
            <w:tcW w:w="2313" w:type="dxa"/>
            <w:vAlign w:val="center"/>
          </w:tcPr>
          <w:p w14:paraId="22AE838E">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移动电话</w:t>
            </w:r>
          </w:p>
        </w:tc>
        <w:tc>
          <w:tcPr>
            <w:tcW w:w="2912" w:type="dxa"/>
            <w:vAlign w:val="center"/>
          </w:tcPr>
          <w:p w14:paraId="1BF9AFBC">
            <w:pPr>
              <w:snapToGrid w:val="0"/>
              <w:spacing w:before="93" w:beforeLines="30" w:after="93" w:afterLines="30" w:line="240" w:lineRule="auto"/>
              <w:ind w:firstLine="0" w:firstLineChars="0"/>
              <w:rPr>
                <w:rFonts w:cs="宋体"/>
                <w:color w:val="auto"/>
                <w:highlight w:val="none"/>
              </w:rPr>
            </w:pPr>
          </w:p>
        </w:tc>
      </w:tr>
      <w:tr w14:paraId="3448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6C79D823">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电子邮箱</w:t>
            </w:r>
          </w:p>
        </w:tc>
        <w:tc>
          <w:tcPr>
            <w:tcW w:w="2912" w:type="dxa"/>
            <w:vAlign w:val="center"/>
          </w:tcPr>
          <w:p w14:paraId="1965A636">
            <w:pPr>
              <w:snapToGrid w:val="0"/>
              <w:spacing w:before="93" w:beforeLines="30" w:after="93" w:afterLines="30" w:line="240" w:lineRule="auto"/>
              <w:ind w:firstLine="0" w:firstLineChars="0"/>
              <w:rPr>
                <w:rFonts w:cs="宋体"/>
                <w:color w:val="auto"/>
                <w:highlight w:val="none"/>
              </w:rPr>
            </w:pPr>
          </w:p>
        </w:tc>
        <w:tc>
          <w:tcPr>
            <w:tcW w:w="2313" w:type="dxa"/>
            <w:vAlign w:val="center"/>
          </w:tcPr>
          <w:p w14:paraId="6BA623E1">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固定电话</w:t>
            </w:r>
          </w:p>
        </w:tc>
        <w:tc>
          <w:tcPr>
            <w:tcW w:w="2912" w:type="dxa"/>
            <w:vAlign w:val="center"/>
          </w:tcPr>
          <w:p w14:paraId="5FBB6CC4">
            <w:pPr>
              <w:snapToGrid w:val="0"/>
              <w:spacing w:before="93" w:beforeLines="30" w:after="93" w:afterLines="30" w:line="240" w:lineRule="auto"/>
              <w:ind w:firstLine="0" w:firstLineChars="0"/>
              <w:rPr>
                <w:rFonts w:cs="宋体"/>
                <w:color w:val="auto"/>
                <w:highlight w:val="none"/>
              </w:rPr>
            </w:pPr>
          </w:p>
        </w:tc>
      </w:tr>
      <w:tr w14:paraId="5D0D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0" w:type="dxa"/>
            <w:gridSpan w:val="4"/>
            <w:vAlign w:val="center"/>
          </w:tcPr>
          <w:p w14:paraId="5DC15602">
            <w:pP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企业简介：（可另附页或企业对外宣传手册）</w:t>
            </w:r>
          </w:p>
        </w:tc>
      </w:tr>
    </w:tbl>
    <w:p w14:paraId="66FD1328">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 xml:space="preserve"> </w:t>
      </w:r>
    </w:p>
    <w:p w14:paraId="15D4C092">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投标人名称（盖章）:</w:t>
      </w:r>
    </w:p>
    <w:p w14:paraId="1DEC6F1E">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法定代表人或授权代理人（签字或盖章）:</w:t>
      </w:r>
    </w:p>
    <w:p w14:paraId="126F8FB8">
      <w:pPr>
        <w:widowControl/>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lang w:bidi="ar"/>
        </w:rPr>
        <w:t>日期:2025年   月   日</w:t>
      </w:r>
    </w:p>
    <w:p w14:paraId="66F06BAF">
      <w:pPr>
        <w:ind w:firstLine="480"/>
        <w:rPr>
          <w:rFonts w:hint="eastAsia" w:ascii="宋体" w:hAnsi="宋体" w:cs="宋体"/>
          <w:bCs/>
          <w:color w:val="auto"/>
          <w:highlight w:val="none"/>
        </w:rPr>
        <w:sectPr>
          <w:pgSz w:w="11906" w:h="16838"/>
          <w:pgMar w:top="1440" w:right="1080" w:bottom="1440" w:left="1080" w:header="737" w:footer="907" w:gutter="0"/>
          <w:pgBorders>
            <w:top w:val="thinThickSmallGap" w:color="auto" w:sz="12" w:space="10"/>
            <w:bottom w:val="thinThickSmallGap" w:color="auto" w:sz="12" w:space="10"/>
          </w:pgBorders>
          <w:cols w:space="720" w:num="1"/>
          <w:docGrid w:type="lines" w:linePitch="312" w:charSpace="0"/>
        </w:sectPr>
      </w:pPr>
    </w:p>
    <w:p w14:paraId="79713A28">
      <w:pPr>
        <w:ind w:firstLine="0" w:firstLineChars="0"/>
        <w:outlineLvl w:val="0"/>
        <w:rPr>
          <w:rFonts w:hint="eastAsia" w:ascii="宋体" w:hAnsi="宋体" w:cs="宋体"/>
          <w:color w:val="auto"/>
          <w:highlight w:val="none"/>
        </w:rPr>
      </w:pPr>
      <w:r>
        <w:rPr>
          <w:rFonts w:hint="eastAsia" w:ascii="宋体" w:hAnsi="宋体" w:cs="宋体"/>
          <w:b/>
          <w:bCs/>
          <w:color w:val="auto"/>
          <w:highlight w:val="none"/>
        </w:rPr>
        <w:t>附件2</w:t>
      </w:r>
    </w:p>
    <w:p w14:paraId="07D11276">
      <w:pPr>
        <w:spacing w:line="360" w:lineRule="auto"/>
        <w:ind w:firstLine="0" w:firstLineChars="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符合参加政府采购活动应当具备的一般条件的承诺函</w:t>
      </w:r>
    </w:p>
    <w:p w14:paraId="7ABDEB24">
      <w:pPr>
        <w:ind w:firstLine="480"/>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龙游县人民医院</w:t>
      </w:r>
      <w:r>
        <w:rPr>
          <w:rFonts w:hint="eastAsia" w:ascii="宋体" w:hAnsi="宋体" w:cs="宋体"/>
          <w:color w:val="auto"/>
          <w:highlight w:val="none"/>
        </w:rPr>
        <w:t>：</w:t>
      </w:r>
    </w:p>
    <w:p w14:paraId="62F2BFB5">
      <w:pPr>
        <w:pStyle w:val="36"/>
        <w:ind w:firstLine="480"/>
        <w:rPr>
          <w:color w:val="auto"/>
          <w:highlight w:val="none"/>
        </w:rPr>
      </w:pPr>
      <w:r>
        <w:rPr>
          <w:color w:val="auto"/>
          <w:highlight w:val="none"/>
        </w:rPr>
        <w:t>我方参加</w:t>
      </w:r>
      <w:r>
        <w:rPr>
          <w:color w:val="auto"/>
          <w:highlight w:val="none"/>
          <w:u w:val="single"/>
        </w:rPr>
        <w:t>项目</w:t>
      </w:r>
      <w:r>
        <w:rPr>
          <w:rFonts w:hint="eastAsia"/>
          <w:color w:val="auto"/>
          <w:highlight w:val="none"/>
          <w:u w:val="single"/>
        </w:rPr>
        <w:t>名称</w:t>
      </w:r>
      <w:r>
        <w:rPr>
          <w:color w:val="auto"/>
          <w:highlight w:val="none"/>
          <w:u w:val="single"/>
        </w:rPr>
        <w:t>（项目编号)</w:t>
      </w:r>
      <w:r>
        <w:rPr>
          <w:color w:val="auto"/>
          <w:highlight w:val="none"/>
        </w:rPr>
        <w:t>政府采购活动，郑重承诺：</w:t>
      </w:r>
    </w:p>
    <w:p w14:paraId="15B177DF">
      <w:pPr>
        <w:pStyle w:val="36"/>
        <w:ind w:firstLine="480"/>
        <w:outlineLvl w:val="1"/>
        <w:rPr>
          <w:rFonts w:hint="eastAsia" w:ascii="宋体" w:hAnsi="宋体" w:cs="宋体"/>
          <w:color w:val="auto"/>
          <w:highlight w:val="none"/>
        </w:rPr>
      </w:pPr>
      <w:bookmarkStart w:id="420" w:name="_Toc17960"/>
      <w:bookmarkStart w:id="421" w:name="_Toc24699"/>
      <w:bookmarkStart w:id="422" w:name="_Toc30732"/>
      <w:bookmarkStart w:id="423" w:name="_Toc12364"/>
      <w:bookmarkStart w:id="424" w:name="_Toc23734"/>
      <w:r>
        <w:rPr>
          <w:rFonts w:hint="eastAsia" w:ascii="宋体" w:hAnsi="宋体" w:cs="宋体"/>
          <w:color w:val="auto"/>
          <w:highlight w:val="none"/>
        </w:rPr>
        <w:t>一、具备《中华人民共和国政府采购法》第二十二条规定的条件：</w:t>
      </w:r>
      <w:bookmarkEnd w:id="420"/>
      <w:bookmarkEnd w:id="421"/>
      <w:bookmarkEnd w:id="422"/>
      <w:bookmarkEnd w:id="423"/>
      <w:bookmarkEnd w:id="424"/>
    </w:p>
    <w:p w14:paraId="545055D1">
      <w:pPr>
        <w:pStyle w:val="36"/>
        <w:ind w:firstLine="480"/>
        <w:rPr>
          <w:rFonts w:hint="eastAsia" w:ascii="宋体" w:hAnsi="宋体" w:cs="宋体"/>
          <w:color w:val="auto"/>
          <w:highlight w:val="none"/>
        </w:rPr>
      </w:pPr>
      <w:r>
        <w:rPr>
          <w:rFonts w:hint="eastAsia" w:ascii="宋体" w:hAnsi="宋体" w:cs="宋体"/>
          <w:color w:val="auto"/>
          <w:highlight w:val="none"/>
        </w:rPr>
        <w:t>1.具有独立承担民事责任的能力；</w:t>
      </w:r>
    </w:p>
    <w:p w14:paraId="28F9086C">
      <w:pPr>
        <w:pStyle w:val="36"/>
        <w:ind w:firstLine="480"/>
        <w:rPr>
          <w:rFonts w:hint="eastAsia" w:ascii="宋体" w:hAnsi="宋体" w:cs="宋体"/>
          <w:color w:val="auto"/>
          <w:highlight w:val="none"/>
        </w:rPr>
      </w:pPr>
      <w:r>
        <w:rPr>
          <w:rFonts w:hint="eastAsia" w:ascii="宋体" w:hAnsi="宋体" w:cs="宋体"/>
          <w:color w:val="auto"/>
          <w:highlight w:val="none"/>
        </w:rPr>
        <w:t>2.具有良好的商业信誉和健全的财务会计制度；</w:t>
      </w:r>
    </w:p>
    <w:p w14:paraId="74C4D45F">
      <w:pPr>
        <w:pStyle w:val="36"/>
        <w:ind w:firstLine="480"/>
        <w:rPr>
          <w:rFonts w:hint="eastAsia" w:ascii="宋体" w:hAnsi="宋体" w:cs="宋体"/>
          <w:color w:val="auto"/>
          <w:highlight w:val="none"/>
        </w:rPr>
      </w:pPr>
      <w:r>
        <w:rPr>
          <w:rFonts w:hint="eastAsia" w:ascii="宋体" w:hAnsi="宋体" w:cs="宋体"/>
          <w:color w:val="auto"/>
          <w:highlight w:val="none"/>
        </w:rPr>
        <w:t>3.具有履行合同所必需的设备和专业技术能力；</w:t>
      </w:r>
    </w:p>
    <w:p w14:paraId="3E14491B">
      <w:pPr>
        <w:pStyle w:val="36"/>
        <w:ind w:firstLine="480"/>
        <w:rPr>
          <w:rFonts w:hint="eastAsia" w:ascii="宋体" w:hAnsi="宋体" w:cs="宋体"/>
          <w:color w:val="auto"/>
          <w:highlight w:val="none"/>
        </w:rPr>
      </w:pPr>
      <w:r>
        <w:rPr>
          <w:rFonts w:hint="eastAsia" w:ascii="宋体" w:hAnsi="宋体" w:cs="宋体"/>
          <w:color w:val="auto"/>
          <w:highlight w:val="none"/>
        </w:rPr>
        <w:t>4.有依法缴纳税收和社会保障资金的良好记录；</w:t>
      </w:r>
    </w:p>
    <w:p w14:paraId="2B456FBF">
      <w:pPr>
        <w:pStyle w:val="36"/>
        <w:ind w:firstLine="480"/>
        <w:rPr>
          <w:rFonts w:hint="eastAsia" w:ascii="宋体" w:hAnsi="宋体" w:cs="宋体"/>
          <w:color w:val="auto"/>
          <w:highlight w:val="none"/>
        </w:rPr>
      </w:pPr>
      <w:r>
        <w:rPr>
          <w:rFonts w:hint="eastAsia" w:ascii="宋体" w:hAnsi="宋体" w:cs="宋体"/>
          <w:color w:val="auto"/>
          <w:highlight w:val="none"/>
        </w:rPr>
        <w:t>5.参加政府采购活动前三年内，在经营活动中没有重大违法记录；</w:t>
      </w:r>
    </w:p>
    <w:p w14:paraId="21DCAB2F">
      <w:pPr>
        <w:pStyle w:val="36"/>
        <w:ind w:firstLine="480"/>
        <w:rPr>
          <w:rFonts w:hint="eastAsia" w:ascii="宋体" w:hAnsi="宋体" w:cs="宋体"/>
          <w:color w:val="auto"/>
          <w:highlight w:val="none"/>
        </w:rPr>
      </w:pPr>
      <w:r>
        <w:rPr>
          <w:rFonts w:hint="eastAsia" w:ascii="宋体" w:hAnsi="宋体" w:cs="宋体"/>
          <w:color w:val="auto"/>
          <w:highlight w:val="none"/>
        </w:rPr>
        <w:t>6.具有法律、行政法规规定的其他条件。</w:t>
      </w:r>
    </w:p>
    <w:p w14:paraId="299FF7C7">
      <w:pPr>
        <w:pStyle w:val="36"/>
        <w:ind w:firstLine="480"/>
        <w:rPr>
          <w:rFonts w:hint="eastAsia" w:ascii="宋体" w:hAnsi="宋体" w:cs="宋体"/>
          <w:color w:val="auto"/>
          <w:highlight w:val="none"/>
        </w:rPr>
      </w:pPr>
      <w:r>
        <w:rPr>
          <w:rFonts w:hint="eastAsia" w:ascii="宋体" w:hAnsi="宋体" w:cs="宋体"/>
          <w:color w:val="auto"/>
          <w:highlight w:val="none"/>
        </w:rPr>
        <w:t>二、未被“信用中国”（www.creditchina.gov.cn)、中国政府采购网（www.ccgp.gov.cn）列入失信被执行人、重大税收违法案件当事人名单、政府采购严重违法失信行为记录名单。</w:t>
      </w:r>
    </w:p>
    <w:p w14:paraId="78F14EA1">
      <w:pPr>
        <w:pStyle w:val="36"/>
        <w:ind w:firstLine="480"/>
        <w:outlineLvl w:val="1"/>
        <w:rPr>
          <w:rFonts w:hint="eastAsia" w:ascii="宋体" w:hAnsi="宋体" w:cs="宋体"/>
          <w:color w:val="auto"/>
          <w:highlight w:val="none"/>
        </w:rPr>
      </w:pPr>
      <w:bookmarkStart w:id="425" w:name="_Toc7996"/>
      <w:bookmarkStart w:id="426" w:name="_Toc11632"/>
      <w:bookmarkStart w:id="427" w:name="_Toc27521"/>
      <w:bookmarkStart w:id="428" w:name="_Toc26101"/>
      <w:bookmarkStart w:id="429" w:name="_Toc15622"/>
      <w:r>
        <w:rPr>
          <w:rFonts w:hint="eastAsia" w:ascii="宋体" w:hAnsi="宋体" w:cs="宋体"/>
          <w:color w:val="auto"/>
          <w:highlight w:val="none"/>
        </w:rPr>
        <w:t>三、没有下列情形：</w:t>
      </w:r>
      <w:bookmarkEnd w:id="425"/>
      <w:bookmarkEnd w:id="426"/>
      <w:bookmarkEnd w:id="427"/>
      <w:bookmarkEnd w:id="428"/>
      <w:bookmarkEnd w:id="429"/>
    </w:p>
    <w:p w14:paraId="5C625F50">
      <w:pPr>
        <w:pStyle w:val="36"/>
        <w:ind w:firstLine="480"/>
        <w:rPr>
          <w:rFonts w:hint="eastAsia" w:ascii="宋体" w:hAnsi="宋体" w:cs="宋体"/>
          <w:color w:val="auto"/>
          <w:highlight w:val="none"/>
        </w:rPr>
      </w:pPr>
      <w:r>
        <w:rPr>
          <w:rFonts w:hint="eastAsia" w:ascii="宋体" w:hAnsi="宋体" w:cs="宋体"/>
          <w:color w:val="auto"/>
          <w:highlight w:val="none"/>
        </w:rPr>
        <w:t>1.单位负责人为同一人或者存在直接控股、管理关系的不同投标人参加同一合同项下的政府采购活动的；</w:t>
      </w:r>
    </w:p>
    <w:p w14:paraId="44EF5E66">
      <w:pPr>
        <w:pStyle w:val="36"/>
        <w:ind w:firstLine="480"/>
        <w:rPr>
          <w:rFonts w:hint="eastAsia" w:ascii="宋体" w:hAnsi="宋体" w:cs="宋体"/>
          <w:color w:val="auto"/>
          <w:highlight w:val="none"/>
        </w:rPr>
      </w:pPr>
      <w:r>
        <w:rPr>
          <w:rFonts w:hint="eastAsia" w:ascii="宋体" w:hAnsi="宋体" w:cs="宋体"/>
          <w:color w:val="auto"/>
          <w:highlight w:val="none"/>
        </w:rPr>
        <w:t>2.为采购项目提供整体设计、规范编制或者项目管理、监理、检测等服务后再参加该采购项目的其他采购活动的。</w:t>
      </w:r>
    </w:p>
    <w:p w14:paraId="2E053CD5">
      <w:pPr>
        <w:pStyle w:val="36"/>
        <w:ind w:firstLine="480"/>
        <w:rPr>
          <w:rFonts w:hint="eastAsia" w:ascii="宋体" w:hAnsi="宋体" w:cs="宋体"/>
          <w:color w:val="auto"/>
          <w:highlight w:val="none"/>
        </w:rPr>
      </w:pPr>
      <w:r>
        <w:rPr>
          <w:rFonts w:hint="eastAsia" w:ascii="宋体" w:hAnsi="宋体" w:cs="宋体"/>
          <w:color w:val="auto"/>
          <w:highlight w:val="none"/>
        </w:rPr>
        <w:t>我方对上述承诺的内</w:t>
      </w:r>
      <w:r>
        <w:rPr>
          <w:rFonts w:hint="eastAsia" w:ascii="宋体" w:hAnsi="宋体" w:cs="宋体"/>
          <w:color w:val="auto"/>
          <w:highlight w:val="none"/>
          <w:lang w:eastAsia="zh-CN"/>
        </w:rPr>
        <w:t>容和</w:t>
      </w:r>
      <w:r>
        <w:rPr>
          <w:rFonts w:hint="eastAsia" w:ascii="宋体" w:hAnsi="宋体" w:cs="宋体"/>
          <w:color w:val="auto"/>
          <w:highlight w:val="none"/>
        </w:rPr>
        <w:t>事项真实性负责，如有虚假，由我方承担相关法律责任。</w:t>
      </w:r>
    </w:p>
    <w:p w14:paraId="19FB7FB0">
      <w:pPr>
        <w:ind w:firstLine="480"/>
        <w:rPr>
          <w:rFonts w:hint="eastAsia" w:ascii="宋体" w:hAnsi="宋体" w:cs="宋体"/>
          <w:color w:val="auto"/>
          <w:highlight w:val="none"/>
        </w:rPr>
      </w:pPr>
    </w:p>
    <w:p w14:paraId="605E4147">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投标人名称（盖章）:</w:t>
      </w:r>
    </w:p>
    <w:p w14:paraId="1AFB1F6E">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法定代表人或授权代理人（签字或盖章）:</w:t>
      </w:r>
    </w:p>
    <w:p w14:paraId="2EF1823F">
      <w:pPr>
        <w:widowControl/>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lang w:bidi="ar"/>
        </w:rPr>
        <w:t>日期:2025年   月   日</w:t>
      </w:r>
    </w:p>
    <w:p w14:paraId="021E8913">
      <w:pPr>
        <w:pStyle w:val="40"/>
        <w:rPr>
          <w:rFonts w:hAnsi="宋体" w:cs="宋体"/>
          <w:color w:val="auto"/>
          <w:highlight w:val="none"/>
        </w:rPr>
      </w:pPr>
    </w:p>
    <w:p w14:paraId="687D5DBD">
      <w:pPr>
        <w:ind w:firstLine="480"/>
        <w:rPr>
          <w:rFonts w:hint="eastAsia" w:ascii="宋体" w:hAnsi="宋体" w:cs="宋体"/>
          <w:color w:val="auto"/>
          <w:highlight w:val="none"/>
        </w:rPr>
      </w:pPr>
    </w:p>
    <w:p w14:paraId="2C821293">
      <w:pPr>
        <w:pStyle w:val="40"/>
        <w:rPr>
          <w:rFonts w:hAnsi="宋体" w:cs="宋体"/>
          <w:color w:val="auto"/>
          <w:highlight w:val="none"/>
        </w:rPr>
      </w:pPr>
    </w:p>
    <w:p w14:paraId="150F6600">
      <w:pPr>
        <w:ind w:firstLine="480"/>
        <w:rPr>
          <w:color w:val="auto"/>
          <w:highlight w:val="none"/>
          <w:lang w:val="zh-CN"/>
        </w:rPr>
      </w:pPr>
    </w:p>
    <w:p w14:paraId="5E56B696">
      <w:pPr>
        <w:pStyle w:val="37"/>
        <w:snapToGrid w:val="0"/>
        <w:spacing w:after="120"/>
        <w:ind w:firstLine="0" w:firstLineChars="0"/>
        <w:rPr>
          <w:rFonts w:hint="eastAsia" w:cs="宋体"/>
          <w:b/>
          <w:bCs/>
          <w:color w:val="auto"/>
          <w:kern w:val="2"/>
          <w:highlight w:val="none"/>
          <w:lang w:bidi="ar"/>
        </w:rPr>
        <w:sectPr>
          <w:headerReference r:id="rId11" w:type="first"/>
          <w:footerReference r:id="rId14" w:type="first"/>
          <w:footerReference r:id="rId12" w:type="default"/>
          <w:headerReference r:id="rId10" w:type="even"/>
          <w:footerReference r:id="rId13" w:type="even"/>
          <w:pgSz w:w="11906" w:h="16838"/>
          <w:pgMar w:top="1440" w:right="1080" w:bottom="1440" w:left="1080" w:header="737" w:footer="907" w:gutter="0"/>
          <w:pgBorders>
            <w:top w:val="thinThickSmallGap" w:color="auto" w:sz="12" w:space="10"/>
            <w:bottom w:val="thinThickSmallGap" w:color="auto" w:sz="12" w:space="10"/>
          </w:pgBorders>
          <w:cols w:space="720" w:num="1"/>
          <w:docGrid w:type="lines" w:linePitch="312" w:charSpace="0"/>
        </w:sectPr>
      </w:pPr>
    </w:p>
    <w:p w14:paraId="531D9235">
      <w:pPr>
        <w:spacing w:line="360" w:lineRule="auto"/>
        <w:ind w:firstLine="0" w:firstLineChars="0"/>
        <w:jc w:val="left"/>
        <w:outlineLvl w:val="1"/>
        <w:rPr>
          <w:rFonts w:hint="eastAsia" w:ascii="宋体" w:hAnsi="宋体" w:cs="宋体"/>
          <w:b/>
          <w:color w:val="auto"/>
          <w:highlight w:val="none"/>
        </w:rPr>
      </w:pPr>
      <w:bookmarkStart w:id="430" w:name="_Toc15480"/>
      <w:bookmarkStart w:id="431" w:name="_Toc16637"/>
      <w:bookmarkStart w:id="432" w:name="_Toc28888"/>
      <w:bookmarkStart w:id="433" w:name="_Toc1222"/>
      <w:bookmarkStart w:id="434" w:name="_Toc2790"/>
      <w:r>
        <w:rPr>
          <w:rFonts w:hint="eastAsia" w:ascii="宋体" w:hAnsi="宋体" w:cs="宋体"/>
          <w:b/>
          <w:color w:val="auto"/>
          <w:highlight w:val="none"/>
          <w:lang w:bidi="ar"/>
        </w:rPr>
        <w:t>附件3</w:t>
      </w:r>
      <w:bookmarkEnd w:id="430"/>
    </w:p>
    <w:p w14:paraId="307ED59E">
      <w:pPr>
        <w:widowControl/>
        <w:spacing w:line="360" w:lineRule="auto"/>
        <w:ind w:firstLine="0" w:firstLineChars="0"/>
        <w:jc w:val="center"/>
        <w:rPr>
          <w:rFonts w:hint="eastAsia" w:ascii="宋体" w:hAnsi="宋体" w:cs="宋体"/>
          <w:color w:val="auto"/>
          <w:highlight w:val="none"/>
          <w:lang w:bidi="ar"/>
        </w:rPr>
      </w:pPr>
      <w:r>
        <w:rPr>
          <w:rFonts w:hint="eastAsia" w:ascii="宋体" w:hAnsi="宋体" w:cs="宋体"/>
          <w:b/>
          <w:color w:val="auto"/>
          <w:sz w:val="28"/>
          <w:szCs w:val="28"/>
          <w:highlight w:val="none"/>
          <w:lang w:bidi="ar"/>
        </w:rPr>
        <w:t>在经营活动中没有行贿犯罪记录声明书</w:t>
      </w:r>
    </w:p>
    <w:p w14:paraId="0CD5EA7D">
      <w:pPr>
        <w:spacing w:line="480" w:lineRule="auto"/>
        <w:ind w:firstLine="960" w:firstLineChars="400"/>
        <w:rPr>
          <w:rFonts w:hint="eastAsia" w:ascii="宋体" w:hAnsi="宋体" w:cs="宋体"/>
          <w:color w:val="auto"/>
          <w:highlight w:val="none"/>
        </w:rPr>
      </w:pPr>
      <w:r>
        <w:rPr>
          <w:rFonts w:hint="eastAsia" w:ascii="宋体" w:hAnsi="宋体" w:cs="宋体"/>
          <w:color w:val="auto"/>
          <w:highlight w:val="none"/>
          <w:lang w:bidi="ar"/>
        </w:rPr>
        <w:t>致：</w:t>
      </w:r>
      <w:r>
        <w:rPr>
          <w:rFonts w:hint="eastAsia" w:ascii="宋体" w:hAnsi="宋体" w:cs="宋体"/>
          <w:color w:val="auto"/>
          <w:highlight w:val="none"/>
          <w:u w:val="single"/>
          <w:lang w:bidi="ar"/>
        </w:rPr>
        <w:t>龙游县人民医院</w:t>
      </w:r>
      <w:r>
        <w:rPr>
          <w:rFonts w:hint="eastAsia" w:ascii="宋体" w:hAnsi="宋体" w:cs="宋体"/>
          <w:color w:val="auto"/>
          <w:highlight w:val="none"/>
          <w:lang w:bidi="ar"/>
        </w:rPr>
        <w:t>：</w:t>
      </w:r>
    </w:p>
    <w:p w14:paraId="059179F5">
      <w:pPr>
        <w:spacing w:line="480" w:lineRule="auto"/>
        <w:ind w:firstLine="960" w:firstLineChars="400"/>
        <w:rPr>
          <w:rFonts w:hint="eastAsia" w:ascii="宋体" w:hAnsi="宋体" w:cs="宋体"/>
          <w:color w:val="auto"/>
          <w:highlight w:val="none"/>
        </w:rPr>
      </w:pPr>
      <w:r>
        <w:rPr>
          <w:rFonts w:hint="eastAsia" w:ascii="宋体" w:hAnsi="宋体" w:cs="宋体"/>
          <w:color w:val="auto"/>
          <w:highlight w:val="none"/>
          <w:lang w:bidi="ar"/>
        </w:rPr>
        <w:t>我方</w:t>
      </w:r>
      <w:r>
        <w:rPr>
          <w:rFonts w:hint="eastAsia" w:ascii="宋体" w:hAnsi="宋体" w:cs="宋体"/>
          <w:color w:val="auto"/>
          <w:highlight w:val="none"/>
          <w:u w:val="single"/>
          <w:lang w:bidi="ar"/>
        </w:rPr>
        <w:t>（投标人名称）</w:t>
      </w:r>
      <w:r>
        <w:rPr>
          <w:rFonts w:hint="eastAsia" w:ascii="宋体" w:hAnsi="宋体" w:cs="宋体"/>
          <w:color w:val="auto"/>
          <w:highlight w:val="none"/>
          <w:lang w:bidi="ar"/>
        </w:rPr>
        <w:t>郑重声明：我单位参加采购活动前三年内，供应商、法定代表人没有行贿犯罪等重大违法记录。</w:t>
      </w:r>
    </w:p>
    <w:p w14:paraId="3900567D">
      <w:pPr>
        <w:spacing w:line="480" w:lineRule="auto"/>
        <w:ind w:firstLine="480"/>
        <w:rPr>
          <w:rFonts w:hint="eastAsia" w:ascii="宋体" w:hAnsi="宋体" w:cs="宋体"/>
          <w:color w:val="auto"/>
          <w:highlight w:val="none"/>
        </w:rPr>
      </w:pPr>
      <w:r>
        <w:rPr>
          <w:rFonts w:hint="eastAsia" w:ascii="宋体" w:hAnsi="宋体" w:cs="宋体"/>
          <w:color w:val="auto"/>
          <w:highlight w:val="none"/>
          <w:lang w:bidi="ar"/>
        </w:rPr>
        <w:t>本单位对上述承诺的内容和事项真实性负责，如有虚假，由我单位承担相关法律责任。</w:t>
      </w:r>
    </w:p>
    <w:p w14:paraId="5D02D2E0">
      <w:pPr>
        <w:spacing w:line="480" w:lineRule="auto"/>
        <w:ind w:firstLine="480"/>
        <w:rPr>
          <w:rFonts w:hint="eastAsia" w:ascii="宋体" w:hAnsi="宋体" w:cs="宋体"/>
          <w:color w:val="auto"/>
          <w:highlight w:val="none"/>
        </w:rPr>
      </w:pPr>
      <w:r>
        <w:rPr>
          <w:rFonts w:hint="eastAsia" w:ascii="宋体" w:hAnsi="宋体" w:cs="宋体"/>
          <w:color w:val="auto"/>
          <w:highlight w:val="none"/>
          <w:lang w:bidi="ar"/>
        </w:rPr>
        <w:t>特此声明！</w:t>
      </w:r>
    </w:p>
    <w:p w14:paraId="5060B091">
      <w:pPr>
        <w:adjustRightInd w:val="0"/>
        <w:snapToGrid w:val="0"/>
        <w:spacing w:line="360" w:lineRule="auto"/>
        <w:ind w:firstLine="4080" w:firstLineChars="1700"/>
        <w:textAlignment w:val="baseline"/>
        <w:rPr>
          <w:rFonts w:hint="eastAsia" w:ascii="宋体" w:hAnsi="宋体" w:cs="宋体"/>
          <w:color w:val="auto"/>
          <w:highlight w:val="none"/>
        </w:rPr>
      </w:pPr>
    </w:p>
    <w:p w14:paraId="286298AC">
      <w:pPr>
        <w:adjustRightInd w:val="0"/>
        <w:snapToGrid w:val="0"/>
        <w:spacing w:line="360" w:lineRule="auto"/>
        <w:ind w:firstLine="4080" w:firstLineChars="1700"/>
        <w:textAlignment w:val="baseline"/>
        <w:rPr>
          <w:rFonts w:hint="eastAsia" w:ascii="宋体" w:hAnsi="宋体" w:cs="宋体"/>
          <w:color w:val="auto"/>
          <w:highlight w:val="none"/>
        </w:rPr>
      </w:pPr>
    </w:p>
    <w:p w14:paraId="6987CAD6">
      <w:pPr>
        <w:adjustRightInd w:val="0"/>
        <w:snapToGrid w:val="0"/>
        <w:spacing w:line="360" w:lineRule="auto"/>
        <w:ind w:firstLine="0" w:firstLineChars="0"/>
        <w:textAlignment w:val="baseline"/>
        <w:rPr>
          <w:rFonts w:hint="eastAsia" w:ascii="宋体" w:hAnsi="宋体" w:cs="宋体"/>
          <w:color w:val="auto"/>
          <w:highlight w:val="none"/>
        </w:rPr>
      </w:pPr>
    </w:p>
    <w:p w14:paraId="197D511B">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投标人名称（盖章）:</w:t>
      </w:r>
    </w:p>
    <w:p w14:paraId="779D38B8">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法定代表人或授权代理人（签字或盖章）:</w:t>
      </w:r>
    </w:p>
    <w:p w14:paraId="6595E8B9">
      <w:pPr>
        <w:widowControl/>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lang w:bidi="ar"/>
        </w:rPr>
        <w:t>日期:2025年   月   日</w:t>
      </w:r>
    </w:p>
    <w:p w14:paraId="430DE10A">
      <w:pPr>
        <w:ind w:firstLine="0" w:firstLineChars="0"/>
        <w:jc w:val="center"/>
        <w:rPr>
          <w:rFonts w:hint="eastAsia" w:ascii="宋体" w:hAnsi="宋体" w:cs="宋体"/>
          <w:b/>
          <w:bCs/>
          <w:color w:val="auto"/>
          <w:sz w:val="32"/>
          <w:szCs w:val="32"/>
          <w:highlight w:val="none"/>
          <w:lang w:bidi="ar"/>
        </w:rPr>
      </w:pPr>
    </w:p>
    <w:p w14:paraId="067F22B0">
      <w:pPr>
        <w:ind w:firstLine="0" w:firstLineChars="0"/>
        <w:jc w:val="center"/>
        <w:rPr>
          <w:rFonts w:hint="eastAsia" w:ascii="宋体" w:hAnsi="宋体" w:cs="宋体"/>
          <w:b/>
          <w:bCs/>
          <w:color w:val="auto"/>
          <w:sz w:val="32"/>
          <w:szCs w:val="32"/>
          <w:highlight w:val="none"/>
          <w:lang w:bidi="ar"/>
        </w:rPr>
      </w:pPr>
    </w:p>
    <w:p w14:paraId="56627C8C">
      <w:pPr>
        <w:ind w:firstLine="0" w:firstLineChars="0"/>
        <w:jc w:val="center"/>
        <w:rPr>
          <w:rFonts w:hint="eastAsia" w:ascii="宋体" w:hAnsi="宋体" w:cs="宋体"/>
          <w:b/>
          <w:bCs/>
          <w:color w:val="auto"/>
          <w:sz w:val="32"/>
          <w:szCs w:val="32"/>
          <w:highlight w:val="none"/>
          <w:lang w:bidi="ar"/>
        </w:rPr>
      </w:pPr>
    </w:p>
    <w:p w14:paraId="1B50F30F">
      <w:pPr>
        <w:ind w:firstLine="0" w:firstLineChars="0"/>
        <w:jc w:val="center"/>
        <w:rPr>
          <w:rFonts w:hint="eastAsia" w:ascii="宋体" w:hAnsi="宋体" w:cs="宋体"/>
          <w:b/>
          <w:bCs/>
          <w:color w:val="auto"/>
          <w:sz w:val="32"/>
          <w:szCs w:val="32"/>
          <w:highlight w:val="none"/>
          <w:lang w:bidi="ar"/>
        </w:rPr>
      </w:pPr>
    </w:p>
    <w:p w14:paraId="0B894505">
      <w:pPr>
        <w:ind w:firstLine="0" w:firstLineChars="0"/>
        <w:jc w:val="center"/>
        <w:rPr>
          <w:rFonts w:hint="eastAsia" w:ascii="宋体" w:hAnsi="宋体" w:cs="宋体"/>
          <w:b/>
          <w:bCs/>
          <w:color w:val="auto"/>
          <w:sz w:val="32"/>
          <w:szCs w:val="32"/>
          <w:highlight w:val="none"/>
          <w:lang w:bidi="ar"/>
        </w:rPr>
      </w:pPr>
    </w:p>
    <w:p w14:paraId="2C2977A1">
      <w:pPr>
        <w:ind w:firstLine="0" w:firstLineChars="0"/>
        <w:jc w:val="center"/>
        <w:rPr>
          <w:rFonts w:hint="eastAsia" w:ascii="宋体" w:hAnsi="宋体" w:cs="宋体"/>
          <w:b/>
          <w:bCs/>
          <w:color w:val="auto"/>
          <w:sz w:val="32"/>
          <w:szCs w:val="32"/>
          <w:highlight w:val="none"/>
          <w:lang w:bidi="ar"/>
        </w:rPr>
      </w:pPr>
    </w:p>
    <w:p w14:paraId="4DDF38C6">
      <w:pPr>
        <w:ind w:firstLine="0" w:firstLineChars="0"/>
        <w:jc w:val="center"/>
        <w:rPr>
          <w:rFonts w:hint="eastAsia" w:ascii="宋体" w:hAnsi="宋体" w:cs="宋体"/>
          <w:b/>
          <w:bCs/>
          <w:color w:val="auto"/>
          <w:sz w:val="32"/>
          <w:szCs w:val="32"/>
          <w:highlight w:val="none"/>
          <w:lang w:bidi="ar"/>
        </w:rPr>
      </w:pPr>
    </w:p>
    <w:p w14:paraId="0791E33E">
      <w:pPr>
        <w:ind w:firstLine="0" w:firstLineChars="0"/>
        <w:jc w:val="center"/>
        <w:rPr>
          <w:rFonts w:hint="eastAsia" w:ascii="宋体" w:hAnsi="宋体" w:cs="宋体"/>
          <w:b/>
          <w:bCs/>
          <w:color w:val="auto"/>
          <w:sz w:val="32"/>
          <w:szCs w:val="32"/>
          <w:highlight w:val="none"/>
          <w:lang w:bidi="ar"/>
        </w:rPr>
      </w:pPr>
    </w:p>
    <w:p w14:paraId="02C776CD">
      <w:pPr>
        <w:ind w:firstLine="0" w:firstLineChars="0"/>
        <w:jc w:val="center"/>
        <w:rPr>
          <w:rFonts w:hint="eastAsia" w:ascii="宋体" w:hAnsi="宋体" w:cs="宋体"/>
          <w:b/>
          <w:bCs/>
          <w:color w:val="auto"/>
          <w:sz w:val="32"/>
          <w:szCs w:val="32"/>
          <w:highlight w:val="none"/>
          <w:lang w:bidi="ar"/>
        </w:rPr>
      </w:pPr>
    </w:p>
    <w:p w14:paraId="39254F92">
      <w:pPr>
        <w:ind w:firstLine="0" w:firstLineChars="0"/>
        <w:jc w:val="center"/>
        <w:rPr>
          <w:rFonts w:hint="eastAsia" w:ascii="宋体" w:hAnsi="宋体" w:cs="宋体"/>
          <w:b/>
          <w:bCs/>
          <w:color w:val="auto"/>
          <w:sz w:val="32"/>
          <w:szCs w:val="32"/>
          <w:highlight w:val="none"/>
          <w:lang w:bidi="ar"/>
        </w:rPr>
      </w:pPr>
    </w:p>
    <w:p w14:paraId="676A5740">
      <w:pPr>
        <w:pStyle w:val="3"/>
        <w:numPr>
          <w:ilvl w:val="255"/>
          <w:numId w:val="0"/>
        </w:numPr>
        <w:spacing w:before="156" w:after="156"/>
        <w:jc w:val="both"/>
        <w:rPr>
          <w:color w:val="auto"/>
          <w:highlight w:val="none"/>
        </w:rPr>
      </w:pPr>
    </w:p>
    <w:p w14:paraId="75A22077">
      <w:pPr>
        <w:ind w:firstLine="0" w:firstLineChars="0"/>
        <w:jc w:val="center"/>
        <w:rPr>
          <w:rFonts w:hint="eastAsia" w:ascii="宋体" w:hAnsi="宋体" w:cs="宋体"/>
          <w:b/>
          <w:bCs/>
          <w:color w:val="auto"/>
          <w:sz w:val="32"/>
          <w:szCs w:val="32"/>
          <w:highlight w:val="none"/>
          <w:lang w:bidi="ar"/>
        </w:rPr>
      </w:pPr>
    </w:p>
    <w:p w14:paraId="67C47CD9">
      <w:pPr>
        <w:numPr>
          <w:ilvl w:val="255"/>
          <w:numId w:val="0"/>
        </w:numPr>
        <w:spacing w:line="360" w:lineRule="auto"/>
        <w:jc w:val="left"/>
        <w:rPr>
          <w:rFonts w:hint="eastAsia" w:ascii="宋体" w:hAnsi="宋体" w:cs="宋体"/>
          <w:b/>
          <w:color w:val="auto"/>
          <w:highlight w:val="none"/>
          <w:lang w:bidi="ar"/>
        </w:rPr>
      </w:pPr>
    </w:p>
    <w:p w14:paraId="77F68857">
      <w:pPr>
        <w:numPr>
          <w:ilvl w:val="255"/>
          <w:numId w:val="0"/>
        </w:numPr>
        <w:spacing w:line="360" w:lineRule="auto"/>
        <w:jc w:val="left"/>
        <w:outlineLvl w:val="1"/>
        <w:rPr>
          <w:rFonts w:hint="eastAsia" w:ascii="宋体" w:hAnsi="宋体" w:cs="宋体"/>
          <w:b/>
          <w:color w:val="auto"/>
          <w:highlight w:val="none"/>
        </w:rPr>
      </w:pPr>
      <w:bookmarkStart w:id="435" w:name="_Toc17257"/>
      <w:r>
        <w:rPr>
          <w:rFonts w:hint="eastAsia" w:ascii="宋体" w:hAnsi="宋体" w:cs="宋体"/>
          <w:b/>
          <w:color w:val="auto"/>
          <w:highlight w:val="none"/>
          <w:lang w:bidi="ar"/>
        </w:rPr>
        <w:t>附件4</w:t>
      </w:r>
      <w:bookmarkEnd w:id="435"/>
    </w:p>
    <w:p w14:paraId="47D966F1">
      <w:pPr>
        <w:ind w:firstLine="0" w:firstLineChars="0"/>
        <w:jc w:val="center"/>
        <w:outlineLvl w:val="1"/>
        <w:rPr>
          <w:rFonts w:hint="eastAsia" w:ascii="宋体" w:hAnsi="宋体" w:cs="宋体"/>
          <w:color w:val="auto"/>
          <w:highlight w:val="none"/>
        </w:rPr>
      </w:pPr>
      <w:bookmarkStart w:id="436" w:name="_Toc20134"/>
      <w:r>
        <w:rPr>
          <w:rFonts w:hint="eastAsia" w:ascii="宋体" w:hAnsi="宋体" w:cs="宋体"/>
          <w:b/>
          <w:bCs/>
          <w:color w:val="auto"/>
          <w:sz w:val="32"/>
          <w:szCs w:val="32"/>
          <w:highlight w:val="none"/>
          <w:lang w:bidi="ar"/>
        </w:rPr>
        <w:t>投标声明函</w:t>
      </w:r>
      <w:bookmarkEnd w:id="436"/>
    </w:p>
    <w:p w14:paraId="7A4F16C5">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致：（采购人）：</w:t>
      </w:r>
    </w:p>
    <w:p w14:paraId="472980FF">
      <w:pPr>
        <w:spacing w:line="312" w:lineRule="auto"/>
        <w:ind w:firstLine="480"/>
        <w:rPr>
          <w:rFonts w:hint="eastAsia" w:ascii="宋体" w:hAnsi="宋体" w:cs="宋体"/>
          <w:color w:val="auto"/>
          <w:highlight w:val="none"/>
        </w:rPr>
      </w:pPr>
      <w:r>
        <w:rPr>
          <w:rFonts w:hint="eastAsia" w:ascii="宋体" w:hAnsi="宋体" w:cs="宋体"/>
          <w:color w:val="auto"/>
          <w:highlight w:val="none"/>
          <w:u w:val="single"/>
          <w:lang w:bidi="ar"/>
        </w:rPr>
        <w:t>(供应商全称)</w:t>
      </w:r>
      <w:r>
        <w:rPr>
          <w:rFonts w:hint="eastAsia" w:ascii="宋体" w:hAnsi="宋体" w:cs="宋体"/>
          <w:color w:val="auto"/>
          <w:highlight w:val="none"/>
          <w:lang w:bidi="ar"/>
        </w:rPr>
        <w:t>授权(全权代表姓名</w:t>
      </w:r>
      <w:r>
        <w:rPr>
          <w:rFonts w:hint="eastAsia" w:ascii="宋体" w:hAnsi="宋体" w:cs="宋体"/>
          <w:color w:val="auto"/>
          <w:highlight w:val="none"/>
          <w:u w:val="single"/>
          <w:lang w:bidi="ar"/>
        </w:rPr>
        <w:t>)       (</w:t>
      </w:r>
      <w:r>
        <w:rPr>
          <w:rFonts w:hint="eastAsia" w:ascii="宋体" w:hAnsi="宋体" w:cs="宋体"/>
          <w:color w:val="auto"/>
          <w:highlight w:val="none"/>
          <w:lang w:bidi="ar"/>
        </w:rPr>
        <w:t>职务、职称)为全权代表，参加贵方组织的龙游县人民医院代120指挥中心采购救护车项目</w:t>
      </w:r>
      <w:r>
        <w:rPr>
          <w:rFonts w:hint="eastAsia" w:ascii="宋体" w:hAnsi="宋体" w:cs="宋体"/>
          <w:color w:val="auto"/>
          <w:highlight w:val="none"/>
          <w:u w:val="single"/>
          <w:lang w:bidi="ar"/>
        </w:rPr>
        <w:t>(项目编号：</w:t>
      </w:r>
      <w:r>
        <w:rPr>
          <w:rFonts w:hint="eastAsia" w:ascii="宋体" w:hAnsi="宋体" w:cs="宋体"/>
          <w:strike w:val="0"/>
          <w:color w:val="auto"/>
          <w:highlight w:val="none"/>
          <w:u w:val="single"/>
          <w:lang w:eastAsia="zh-CN" w:bidi="ar"/>
        </w:rPr>
        <w:t>LYCG2025YX-003</w:t>
      </w:r>
      <w:r>
        <w:rPr>
          <w:rFonts w:hint="eastAsia" w:ascii="宋体" w:hAnsi="宋体" w:cs="宋体"/>
          <w:color w:val="auto"/>
          <w:highlight w:val="none"/>
          <w:u w:val="single"/>
          <w:lang w:bidi="ar"/>
        </w:rPr>
        <w:t>)</w:t>
      </w:r>
      <w:r>
        <w:rPr>
          <w:rFonts w:hint="eastAsia" w:ascii="宋体" w:hAnsi="宋体" w:cs="宋体"/>
          <w:color w:val="auto"/>
          <w:highlight w:val="none"/>
          <w:lang w:bidi="ar"/>
        </w:rPr>
        <w:t>招标的有关活动，并对此项目进行投标。为此：</w:t>
      </w:r>
    </w:p>
    <w:p w14:paraId="1E46932D">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1.我方同意在供应商投标须知规定的开标日期起遵守本投标书中的承诺且在投标有效期满之前均具有约束力。</w:t>
      </w:r>
    </w:p>
    <w:p w14:paraId="1488E557">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2.我方承诺已经具备《中华人民共和国政府采购法》中规定的参加政府采购活动的供应商应当具备的条件：</w:t>
      </w:r>
    </w:p>
    <w:p w14:paraId="62D2F2BA">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 xml:space="preserve">（一）具有独立承担民事责任的能力； </w:t>
      </w:r>
    </w:p>
    <w:p w14:paraId="51B6A548">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 xml:space="preserve">（二）具有良好的商业信誉和健全的财务会计制度； </w:t>
      </w:r>
    </w:p>
    <w:p w14:paraId="66EFA195">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 xml:space="preserve">（三）具有履行合同所必需的设备和专业技术能力； </w:t>
      </w:r>
    </w:p>
    <w:p w14:paraId="1216B696">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 xml:space="preserve">（四）有依法缴纳税收和社会保障资金的良好记录； </w:t>
      </w:r>
    </w:p>
    <w:p w14:paraId="0C6749B9">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 xml:space="preserve">（五）参加政府采购活动前三年内，在经营活动中没有重大违法记录； </w:t>
      </w:r>
    </w:p>
    <w:p w14:paraId="7183FEA5">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 xml:space="preserve">（六）法律、行政法规规定的其他条件。 </w:t>
      </w:r>
    </w:p>
    <w:p w14:paraId="6FCCE1DF">
      <w:pPr>
        <w:spacing w:line="312" w:lineRule="auto"/>
        <w:ind w:firstLine="480"/>
        <w:outlineLvl w:val="0"/>
        <w:rPr>
          <w:rFonts w:hint="eastAsia" w:ascii="宋体" w:hAnsi="宋体" w:cs="宋体"/>
          <w:color w:val="auto"/>
          <w:highlight w:val="none"/>
        </w:rPr>
      </w:pPr>
      <w:bookmarkStart w:id="437" w:name="_Toc26027"/>
      <w:r>
        <w:rPr>
          <w:rFonts w:hint="eastAsia" w:ascii="宋体" w:hAnsi="宋体" w:cs="宋体"/>
          <w:color w:val="auto"/>
          <w:highlight w:val="none"/>
          <w:lang w:bidi="ar"/>
        </w:rPr>
        <w:t>（七）没有违反政府采购法规、政策的记录；</w:t>
      </w:r>
      <w:bookmarkEnd w:id="437"/>
    </w:p>
    <w:p w14:paraId="22021170">
      <w:pPr>
        <w:spacing w:line="312" w:lineRule="auto"/>
        <w:ind w:firstLine="480"/>
        <w:outlineLvl w:val="0"/>
        <w:rPr>
          <w:rFonts w:hint="eastAsia" w:ascii="宋体" w:hAnsi="宋体" w:cs="宋体"/>
          <w:color w:val="auto"/>
          <w:highlight w:val="none"/>
        </w:rPr>
      </w:pPr>
      <w:bookmarkStart w:id="438" w:name="_Toc27547"/>
      <w:r>
        <w:rPr>
          <w:rFonts w:hint="eastAsia" w:ascii="宋体" w:hAnsi="宋体" w:cs="宋体"/>
          <w:color w:val="auto"/>
          <w:highlight w:val="none"/>
          <w:lang w:bidi="ar"/>
        </w:rPr>
        <w:t>（八）没有发生重大经济纠纷和走私犯罪记录。</w:t>
      </w:r>
      <w:bookmarkEnd w:id="438"/>
    </w:p>
    <w:p w14:paraId="4463BF0B">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3.提供编制和提交招标文件须知规定的全部投标文件，具体内容为：</w:t>
      </w:r>
    </w:p>
    <w:p w14:paraId="41A4DC2B">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(1)资格文件；</w:t>
      </w:r>
    </w:p>
    <w:p w14:paraId="6C9F28EC">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(2)资信商务技术文件；</w:t>
      </w:r>
    </w:p>
    <w:p w14:paraId="30F1D4A1">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(3)报价文件；</w:t>
      </w:r>
    </w:p>
    <w:p w14:paraId="4876F7BC">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(4)投标须知要求供应商提交的全部文件；</w:t>
      </w:r>
    </w:p>
    <w:p w14:paraId="170AB992">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(5)按招标文件要求提供和交付的货物和服务的投标报价详见开标一览表；</w:t>
      </w:r>
    </w:p>
    <w:p w14:paraId="117DDA74">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(6)保证忠实地执行双方所签订的合同，并承担合同规定的责任和义务；</w:t>
      </w:r>
    </w:p>
    <w:p w14:paraId="24324166">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(7)保证遵守招标文件中的其他有关规定。</w:t>
      </w:r>
    </w:p>
    <w:p w14:paraId="3703B4CE">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4.我方完全理解贵方不一定要接受最低价的投标。</w:t>
      </w:r>
    </w:p>
    <w:p w14:paraId="243C1901">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5.我方愿意向贵方提供任何与该项投标有关的数据、情况和服务资料。若贵方需要，我方愿意提供我方做出的一切承诺的证明材料。</w:t>
      </w:r>
    </w:p>
    <w:p w14:paraId="309810DC">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6.我方已详细审核全部招标文件，包括招标文件修改书（如有的话）、参考资料及有关附件，确认无误。我方完全理解并接受招标文件的各项规定和要求，对招标文件的合理性、合法性不再有异议。</w:t>
      </w:r>
    </w:p>
    <w:p w14:paraId="54CB8510">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EBC990C">
      <w:pPr>
        <w:spacing w:line="312" w:lineRule="auto"/>
        <w:ind w:firstLine="480"/>
        <w:outlineLvl w:val="1"/>
        <w:rPr>
          <w:rFonts w:hint="eastAsia" w:ascii="宋体" w:hAnsi="宋体" w:cs="宋体"/>
          <w:color w:val="auto"/>
          <w:highlight w:val="none"/>
        </w:rPr>
      </w:pPr>
      <w:bookmarkStart w:id="439" w:name="_Toc22851"/>
      <w:r>
        <w:rPr>
          <w:rFonts w:hint="eastAsia" w:ascii="宋体" w:hAnsi="宋体" w:cs="宋体"/>
          <w:color w:val="auto"/>
          <w:highlight w:val="none"/>
          <w:lang w:bidi="ar"/>
        </w:rPr>
        <w:t>(1)提供虚假材料谋取中标、成交的；</w:t>
      </w:r>
      <w:bookmarkEnd w:id="439"/>
    </w:p>
    <w:p w14:paraId="444819DB">
      <w:pPr>
        <w:spacing w:line="312" w:lineRule="auto"/>
        <w:ind w:firstLine="480"/>
        <w:outlineLvl w:val="1"/>
        <w:rPr>
          <w:rFonts w:hint="eastAsia" w:ascii="宋体" w:hAnsi="宋体" w:cs="宋体"/>
          <w:color w:val="auto"/>
          <w:highlight w:val="none"/>
        </w:rPr>
      </w:pPr>
      <w:bookmarkStart w:id="440" w:name="_Toc12434"/>
      <w:r>
        <w:rPr>
          <w:rFonts w:hint="eastAsia" w:ascii="宋体" w:hAnsi="宋体" w:cs="宋体"/>
          <w:color w:val="auto"/>
          <w:highlight w:val="none"/>
          <w:lang w:bidi="ar"/>
        </w:rPr>
        <w:t>(2)采取不正当手段诋毁、排挤其他供应商的；</w:t>
      </w:r>
      <w:bookmarkEnd w:id="440"/>
    </w:p>
    <w:p w14:paraId="1D14BEC0">
      <w:pPr>
        <w:spacing w:line="312" w:lineRule="auto"/>
        <w:ind w:firstLine="480"/>
        <w:outlineLvl w:val="1"/>
        <w:rPr>
          <w:rFonts w:hint="eastAsia" w:ascii="宋体" w:hAnsi="宋体" w:cs="宋体"/>
          <w:color w:val="auto"/>
          <w:highlight w:val="none"/>
        </w:rPr>
      </w:pPr>
      <w:bookmarkStart w:id="441" w:name="_Toc11710"/>
      <w:r>
        <w:rPr>
          <w:rFonts w:hint="eastAsia" w:ascii="宋体" w:hAnsi="宋体" w:cs="宋体"/>
          <w:color w:val="auto"/>
          <w:highlight w:val="none"/>
          <w:lang w:bidi="ar"/>
        </w:rPr>
        <w:t>(3)与采购人、其他供应商或者招标代理机构恶意串通的；</w:t>
      </w:r>
      <w:bookmarkEnd w:id="441"/>
    </w:p>
    <w:p w14:paraId="3FE69D92">
      <w:pPr>
        <w:spacing w:line="312" w:lineRule="auto"/>
        <w:ind w:firstLine="480"/>
        <w:outlineLvl w:val="1"/>
        <w:rPr>
          <w:rFonts w:hint="eastAsia" w:ascii="宋体" w:hAnsi="宋体" w:cs="宋体"/>
          <w:color w:val="auto"/>
          <w:highlight w:val="none"/>
        </w:rPr>
      </w:pPr>
      <w:bookmarkStart w:id="442" w:name="_Toc16676"/>
      <w:r>
        <w:rPr>
          <w:rFonts w:hint="eastAsia" w:ascii="宋体" w:hAnsi="宋体" w:cs="宋体"/>
          <w:color w:val="auto"/>
          <w:highlight w:val="none"/>
          <w:lang w:bidi="ar"/>
        </w:rPr>
        <w:t>(4)向采购人、招标代理机构行贿或者提供其他不正当利益的；</w:t>
      </w:r>
      <w:bookmarkEnd w:id="442"/>
    </w:p>
    <w:p w14:paraId="0D37D15E">
      <w:pPr>
        <w:spacing w:line="312" w:lineRule="auto"/>
        <w:ind w:firstLine="480"/>
        <w:outlineLvl w:val="1"/>
        <w:rPr>
          <w:rFonts w:hint="eastAsia" w:ascii="宋体" w:hAnsi="宋体" w:cs="宋体"/>
          <w:color w:val="auto"/>
          <w:highlight w:val="none"/>
        </w:rPr>
      </w:pPr>
      <w:bookmarkStart w:id="443" w:name="_Toc27044"/>
      <w:r>
        <w:rPr>
          <w:rFonts w:hint="eastAsia" w:ascii="宋体" w:hAnsi="宋体" w:cs="宋体"/>
          <w:color w:val="auto"/>
          <w:highlight w:val="none"/>
          <w:lang w:bidi="ar"/>
        </w:rPr>
        <w:t>(5)在招标采购过程中与采购人进行协商谈判的；</w:t>
      </w:r>
      <w:bookmarkEnd w:id="443"/>
    </w:p>
    <w:p w14:paraId="3167C922">
      <w:pPr>
        <w:spacing w:line="312" w:lineRule="auto"/>
        <w:ind w:firstLine="480"/>
        <w:outlineLvl w:val="1"/>
        <w:rPr>
          <w:rFonts w:hint="eastAsia" w:ascii="宋体" w:hAnsi="宋体" w:cs="宋体"/>
          <w:color w:val="auto"/>
          <w:highlight w:val="none"/>
        </w:rPr>
      </w:pPr>
      <w:bookmarkStart w:id="444" w:name="_Toc32190"/>
      <w:r>
        <w:rPr>
          <w:rFonts w:hint="eastAsia" w:ascii="宋体" w:hAnsi="宋体" w:cs="宋体"/>
          <w:color w:val="auto"/>
          <w:highlight w:val="none"/>
          <w:lang w:bidi="ar"/>
        </w:rPr>
        <w:t>(6)拒绝有关部门监督检查或提供虚假情况的。</w:t>
      </w:r>
      <w:bookmarkEnd w:id="444"/>
    </w:p>
    <w:p w14:paraId="759BE9DA">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供应商有前款第(1)至(4)项情形之一的，中标、成交无效。</w:t>
      </w:r>
    </w:p>
    <w:p w14:paraId="79673B7D">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08622ED0">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 xml:space="preserve">法定（授权）代表人（签字或盖章）：                    </w:t>
      </w:r>
      <w:r>
        <w:rPr>
          <w:rFonts w:hint="eastAsia" w:ascii="宋体" w:hAnsi="宋体" w:cs="宋体"/>
          <w:color w:val="auto"/>
          <w:highlight w:val="none"/>
          <w:lang w:bidi="ar"/>
        </w:rPr>
        <w:tab/>
      </w:r>
    </w:p>
    <w:p w14:paraId="39AA938A">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 xml:space="preserve">供应商盖 章：                       </w:t>
      </w:r>
    </w:p>
    <w:p w14:paraId="5FEAF4E4">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 xml:space="preserve">联系电话：           传真：              电子邮件：              </w:t>
      </w:r>
    </w:p>
    <w:p w14:paraId="53C1ADE9">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 xml:space="preserve">联系地址：                                                    </w:t>
      </w:r>
    </w:p>
    <w:p w14:paraId="4839B0BD">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 xml:space="preserve">邮政编码：                     传真号码：                     </w:t>
      </w:r>
    </w:p>
    <w:p w14:paraId="683E2E7B">
      <w:pPr>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 xml:space="preserve">日期：        年    </w:t>
      </w:r>
      <w:r>
        <w:rPr>
          <w:rFonts w:hint="eastAsia" w:ascii="宋体" w:hAnsi="宋体" w:cs="宋体"/>
          <w:color w:val="auto"/>
          <w:highlight w:val="none"/>
          <w:lang w:bidi="ar"/>
        </w:rPr>
        <w:tab/>
      </w:r>
      <w:r>
        <w:rPr>
          <w:rFonts w:hint="eastAsia" w:ascii="宋体" w:hAnsi="宋体" w:cs="宋体"/>
          <w:color w:val="auto"/>
          <w:highlight w:val="none"/>
          <w:lang w:bidi="ar"/>
        </w:rPr>
        <w:t>月    日</w:t>
      </w:r>
    </w:p>
    <w:p w14:paraId="348A0D22">
      <w:pPr>
        <w:ind w:firstLine="482"/>
        <w:rPr>
          <w:rFonts w:hint="eastAsia" w:ascii="宋体" w:hAnsi="宋体" w:cs="宋体"/>
          <w:b/>
          <w:bCs/>
          <w:color w:val="auto"/>
          <w:highlight w:val="none"/>
        </w:rPr>
      </w:pPr>
      <w:r>
        <w:rPr>
          <w:rFonts w:hint="eastAsia" w:ascii="宋体" w:hAnsi="宋体" w:cs="宋体"/>
          <w:b/>
          <w:bCs/>
          <w:color w:val="auto"/>
          <w:highlight w:val="none"/>
          <w:lang w:bidi="ar"/>
        </w:rPr>
        <w:t>注：未按照本投标声明函要求填报的将被视为非实质性响应，从而可能导致该投标文件被拒绝。</w:t>
      </w:r>
    </w:p>
    <w:p w14:paraId="2F26B322">
      <w:pPr>
        <w:ind w:firstLine="0" w:firstLineChars="0"/>
        <w:rPr>
          <w:rFonts w:hint="eastAsia" w:ascii="宋体" w:hAnsi="宋体" w:cs="宋体"/>
          <w:color w:val="auto"/>
          <w:highlight w:val="none"/>
        </w:rPr>
      </w:pPr>
      <w:r>
        <w:rPr>
          <w:rFonts w:hint="eastAsia" w:ascii="宋体" w:hAnsi="宋体" w:cs="宋体"/>
          <w:color w:val="auto"/>
          <w:highlight w:val="none"/>
          <w:lang w:bidi="ar"/>
        </w:rPr>
        <w:t xml:space="preserve"> </w:t>
      </w:r>
    </w:p>
    <w:p w14:paraId="7AB2FAC3">
      <w:pPr>
        <w:pStyle w:val="37"/>
        <w:widowControl w:val="0"/>
        <w:spacing w:before="0" w:after="120" w:afterAutospacing="0"/>
        <w:ind w:left="480" w:leftChars="200" w:firstLine="480"/>
        <w:jc w:val="both"/>
        <w:rPr>
          <w:rFonts w:hint="eastAsia" w:cs="宋体"/>
          <w:color w:val="auto"/>
          <w:kern w:val="2"/>
          <w:highlight w:val="none"/>
        </w:rPr>
      </w:pPr>
      <w:r>
        <w:rPr>
          <w:rFonts w:hint="eastAsia" w:cs="宋体"/>
          <w:color w:val="auto"/>
          <w:kern w:val="2"/>
          <w:highlight w:val="none"/>
          <w:lang w:bidi="ar"/>
        </w:rPr>
        <w:t xml:space="preserve"> </w:t>
      </w:r>
    </w:p>
    <w:p w14:paraId="3F4AFBC2">
      <w:pPr>
        <w:spacing w:line="360" w:lineRule="auto"/>
        <w:ind w:firstLine="0" w:firstLineChars="0"/>
        <w:jc w:val="left"/>
        <w:rPr>
          <w:rFonts w:hint="eastAsia" w:ascii="宋体" w:hAnsi="宋体" w:cs="宋体"/>
          <w:b/>
          <w:color w:val="auto"/>
          <w:highlight w:val="none"/>
          <w:lang w:bidi="ar"/>
        </w:rPr>
      </w:pPr>
      <w:r>
        <w:rPr>
          <w:rFonts w:hint="eastAsia" w:ascii="宋体" w:hAnsi="宋体" w:cs="宋体"/>
          <w:b/>
          <w:color w:val="auto"/>
          <w:highlight w:val="none"/>
          <w:lang w:bidi="ar"/>
        </w:rPr>
        <w:t xml:space="preserve"> </w:t>
      </w:r>
    </w:p>
    <w:p w14:paraId="3AA91120">
      <w:pPr>
        <w:spacing w:line="360" w:lineRule="auto"/>
        <w:ind w:firstLine="0" w:firstLineChars="0"/>
        <w:jc w:val="left"/>
        <w:rPr>
          <w:rFonts w:hint="eastAsia" w:ascii="宋体" w:hAnsi="宋体" w:cs="宋体"/>
          <w:b/>
          <w:color w:val="auto"/>
          <w:highlight w:val="none"/>
          <w:lang w:bidi="ar"/>
        </w:rPr>
      </w:pPr>
    </w:p>
    <w:p w14:paraId="0302D5B1">
      <w:pPr>
        <w:spacing w:line="360" w:lineRule="auto"/>
        <w:ind w:firstLine="0" w:firstLineChars="0"/>
        <w:jc w:val="left"/>
        <w:rPr>
          <w:rFonts w:hint="eastAsia" w:ascii="宋体" w:hAnsi="宋体" w:cs="宋体"/>
          <w:b/>
          <w:color w:val="auto"/>
          <w:highlight w:val="none"/>
          <w:lang w:bidi="ar"/>
        </w:rPr>
      </w:pPr>
    </w:p>
    <w:p w14:paraId="1ECC8B58">
      <w:pPr>
        <w:spacing w:line="360" w:lineRule="auto"/>
        <w:ind w:firstLine="0" w:firstLineChars="0"/>
        <w:jc w:val="left"/>
        <w:rPr>
          <w:rFonts w:hint="eastAsia" w:ascii="宋体" w:hAnsi="宋体" w:cs="宋体"/>
          <w:b/>
          <w:color w:val="auto"/>
          <w:highlight w:val="none"/>
          <w:lang w:bidi="ar"/>
        </w:rPr>
      </w:pPr>
    </w:p>
    <w:p w14:paraId="280A709C">
      <w:pPr>
        <w:spacing w:line="360" w:lineRule="auto"/>
        <w:ind w:firstLine="482"/>
        <w:jc w:val="left"/>
        <w:rPr>
          <w:rFonts w:hint="eastAsia" w:ascii="宋体" w:hAnsi="宋体" w:cs="宋体"/>
          <w:b/>
          <w:color w:val="auto"/>
          <w:highlight w:val="none"/>
          <w:lang w:bidi="ar"/>
        </w:rPr>
      </w:pPr>
      <w:r>
        <w:rPr>
          <w:rFonts w:hint="eastAsia" w:ascii="宋体" w:hAnsi="宋体" w:cs="宋体"/>
          <w:b/>
          <w:color w:val="auto"/>
          <w:highlight w:val="none"/>
          <w:lang w:bidi="ar"/>
        </w:rPr>
        <w:t xml:space="preserve"> </w:t>
      </w:r>
    </w:p>
    <w:p w14:paraId="338EDFA6">
      <w:pPr>
        <w:pStyle w:val="3"/>
        <w:numPr>
          <w:ilvl w:val="255"/>
          <w:numId w:val="0"/>
        </w:numPr>
        <w:spacing w:before="156" w:after="156"/>
        <w:jc w:val="both"/>
        <w:rPr>
          <w:rFonts w:hint="eastAsia" w:ascii="宋体" w:hAnsi="宋体" w:cs="宋体"/>
          <w:b/>
          <w:color w:val="auto"/>
          <w:highlight w:val="none"/>
          <w:lang w:bidi="ar"/>
        </w:rPr>
      </w:pPr>
    </w:p>
    <w:p w14:paraId="0B26A804">
      <w:pPr>
        <w:ind w:firstLine="480"/>
        <w:rPr>
          <w:color w:val="auto"/>
          <w:highlight w:val="none"/>
        </w:rPr>
      </w:pPr>
    </w:p>
    <w:p w14:paraId="65086A95">
      <w:pPr>
        <w:ind w:firstLine="480"/>
        <w:rPr>
          <w:color w:val="auto"/>
          <w:highlight w:val="none"/>
        </w:rPr>
      </w:pPr>
    </w:p>
    <w:p w14:paraId="0EEDBAC3">
      <w:pPr>
        <w:spacing w:line="360" w:lineRule="auto"/>
        <w:ind w:firstLine="0" w:firstLineChars="0"/>
        <w:jc w:val="left"/>
        <w:rPr>
          <w:rFonts w:hint="eastAsia" w:ascii="宋体" w:hAnsi="宋体" w:cs="宋体"/>
          <w:b/>
          <w:color w:val="auto"/>
          <w:highlight w:val="none"/>
          <w:lang w:bidi="ar"/>
        </w:rPr>
      </w:pPr>
      <w:r>
        <w:rPr>
          <w:rFonts w:hint="eastAsia" w:ascii="宋体" w:hAnsi="宋体" w:cs="宋体"/>
          <w:b/>
          <w:color w:val="auto"/>
          <w:highlight w:val="none"/>
          <w:lang w:bidi="ar"/>
        </w:rPr>
        <w:t xml:space="preserve"> </w:t>
      </w:r>
    </w:p>
    <w:p w14:paraId="51227C24">
      <w:pPr>
        <w:spacing w:line="360" w:lineRule="auto"/>
        <w:ind w:firstLine="0" w:firstLineChars="0"/>
        <w:jc w:val="left"/>
        <w:outlineLvl w:val="1"/>
        <w:rPr>
          <w:rFonts w:hint="eastAsia" w:ascii="宋体" w:hAnsi="宋体" w:cs="宋体"/>
          <w:b/>
          <w:color w:val="auto"/>
          <w:highlight w:val="none"/>
        </w:rPr>
      </w:pPr>
      <w:bookmarkStart w:id="445" w:name="_Toc14223"/>
      <w:r>
        <w:rPr>
          <w:rFonts w:hint="eastAsia" w:ascii="宋体" w:hAnsi="宋体" w:cs="宋体"/>
          <w:b/>
          <w:color w:val="auto"/>
          <w:highlight w:val="none"/>
          <w:lang w:bidi="ar"/>
        </w:rPr>
        <w:t>附件5</w:t>
      </w:r>
      <w:bookmarkEnd w:id="445"/>
    </w:p>
    <w:p w14:paraId="33015ED9">
      <w:pPr>
        <w:pStyle w:val="3"/>
        <w:numPr>
          <w:ilvl w:val="255"/>
          <w:numId w:val="0"/>
        </w:numPr>
        <w:spacing w:before="156" w:after="156"/>
        <w:ind w:left="-575"/>
        <w:rPr>
          <w:rFonts w:hint="eastAsia" w:ascii="宋体" w:hAnsi="宋体" w:cs="宋体"/>
          <w:b/>
          <w:color w:val="auto"/>
          <w:szCs w:val="30"/>
          <w:highlight w:val="none"/>
          <w:lang w:bidi="ar"/>
        </w:rPr>
      </w:pPr>
      <w:bookmarkStart w:id="446" w:name="_Toc2799"/>
      <w:r>
        <w:rPr>
          <w:rFonts w:ascii="宋体" w:hAnsi="宋体" w:cs="宋体"/>
          <w:b/>
          <w:color w:val="auto"/>
          <w:szCs w:val="30"/>
          <w:highlight w:val="none"/>
          <w:lang w:bidi="ar"/>
        </w:rPr>
        <w:t>（一）法定代表人身份证明</w:t>
      </w:r>
      <w:bookmarkEnd w:id="446"/>
    </w:p>
    <w:p w14:paraId="56A088A4">
      <w:pPr>
        <w:spacing w:line="440" w:lineRule="exact"/>
        <w:ind w:firstLine="400"/>
        <w:rPr>
          <w:rFonts w:hint="eastAsia" w:ascii="宋体" w:hAnsi="宋体" w:cs="宋体"/>
          <w:color w:val="auto"/>
          <w:highlight w:val="none"/>
        </w:rPr>
      </w:pPr>
      <w:r>
        <w:rPr>
          <w:rFonts w:hint="eastAsia" w:ascii="宋体" w:hAnsi="宋体" w:cs="宋体"/>
          <w:color w:val="auto"/>
          <w:sz w:val="20"/>
          <w:szCs w:val="20"/>
          <w:highlight w:val="none"/>
          <w:lang w:bidi="ar"/>
        </w:rPr>
        <w:t xml:space="preserve"> </w:t>
      </w:r>
    </w:p>
    <w:p w14:paraId="67A6E54D">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供应商名称：</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 xml:space="preserve"> </w:t>
      </w:r>
    </w:p>
    <w:p w14:paraId="08B7A021">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单位性质：</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 xml:space="preserve"> </w:t>
      </w:r>
    </w:p>
    <w:p w14:paraId="0786CDB6">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地址：</w:t>
      </w:r>
      <w:r>
        <w:rPr>
          <w:rFonts w:hint="eastAsia" w:ascii="宋体" w:hAnsi="宋体" w:cs="宋体"/>
          <w:color w:val="auto"/>
          <w:highlight w:val="none"/>
          <w:u w:val="single"/>
          <w:lang w:bidi="ar"/>
        </w:rPr>
        <w:t xml:space="preserve">                                   </w:t>
      </w:r>
    </w:p>
    <w:p w14:paraId="598E69AD">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成立时间：</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年</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月</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日</w:t>
      </w:r>
    </w:p>
    <w:p w14:paraId="4778F248">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经营期限：</w:t>
      </w:r>
      <w:r>
        <w:rPr>
          <w:rFonts w:hint="eastAsia" w:ascii="宋体" w:hAnsi="宋体" w:cs="宋体"/>
          <w:color w:val="auto"/>
          <w:highlight w:val="none"/>
          <w:u w:val="single"/>
          <w:lang w:bidi="ar"/>
        </w:rPr>
        <w:t xml:space="preserve">                               </w:t>
      </w:r>
    </w:p>
    <w:p w14:paraId="05F3853C">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姓名：</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 xml:space="preserve"> 性别：</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年龄：</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职务：</w:t>
      </w:r>
      <w:r>
        <w:rPr>
          <w:rFonts w:hint="eastAsia" w:ascii="宋体" w:hAnsi="宋体" w:cs="宋体"/>
          <w:color w:val="auto"/>
          <w:highlight w:val="none"/>
          <w:u w:val="single"/>
          <w:lang w:bidi="ar"/>
        </w:rPr>
        <w:t xml:space="preserve">        联系号码：</w:t>
      </w:r>
    </w:p>
    <w:p w14:paraId="6A4AF070">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系</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 xml:space="preserve"> （供应商名称）的法定代表人。</w:t>
      </w:r>
    </w:p>
    <w:p w14:paraId="57F6E7E1">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特此证明。</w:t>
      </w:r>
    </w:p>
    <w:p w14:paraId="362A91DC">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1A2A66B6">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67B31A06">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 xml:space="preserve">                          供应商：</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（盖单位章）</w:t>
      </w:r>
    </w:p>
    <w:p w14:paraId="5CFA4413">
      <w:pPr>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 xml:space="preserve">               </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年</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月</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 xml:space="preserve">日      </w:t>
      </w:r>
    </w:p>
    <w:p w14:paraId="08127C53">
      <w:pPr>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48383373">
      <w:pPr>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2F1A9E91">
      <w:pPr>
        <w:pStyle w:val="37"/>
        <w:snapToGrid w:val="0"/>
        <w:spacing w:before="0" w:after="0"/>
        <w:ind w:left="960" w:leftChars="400" w:firstLine="560"/>
        <w:jc w:val="both"/>
        <w:rPr>
          <w:rFonts w:hint="eastAsia" w:cs="宋体"/>
          <w:color w:val="auto"/>
          <w:sz w:val="28"/>
          <w:szCs w:val="28"/>
          <w:highlight w:val="none"/>
        </w:rPr>
      </w:pPr>
      <w:r>
        <w:rPr>
          <w:rFonts w:hint="eastAsia" w:cs="宋体"/>
          <w:color w:val="auto"/>
          <w:sz w:val="28"/>
          <w:szCs w:val="28"/>
          <w:highlight w:val="none"/>
          <w:lang w:bidi="ar"/>
        </w:rPr>
        <w:t xml:space="preserve"> </w:t>
      </w:r>
    </w:p>
    <w:p w14:paraId="2B41E7B6">
      <w:pPr>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1A62EC17">
      <w:pPr>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6007DFF5">
      <w:pPr>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29279D49">
      <w:pPr>
        <w:pStyle w:val="37"/>
        <w:widowControl w:val="0"/>
        <w:spacing w:before="0" w:beforeAutospacing="0" w:after="0" w:afterAutospacing="0"/>
        <w:ind w:firstLine="480"/>
        <w:rPr>
          <w:rFonts w:hint="eastAsia" w:cs="宋体"/>
          <w:bCs/>
          <w:color w:val="auto"/>
          <w:kern w:val="2"/>
          <w:highlight w:val="none"/>
        </w:rPr>
      </w:pPr>
      <w:r>
        <w:rPr>
          <w:rFonts w:hint="eastAsia" w:cs="宋体"/>
          <w:bCs/>
          <w:color w:val="auto"/>
          <w:kern w:val="2"/>
          <w:highlight w:val="none"/>
          <w:lang w:bidi="ar"/>
        </w:rPr>
        <w:t xml:space="preserve"> </w:t>
      </w:r>
    </w:p>
    <w:p w14:paraId="6FC9C6D8">
      <w:pPr>
        <w:widowControl/>
        <w:ind w:firstLine="480"/>
        <w:rPr>
          <w:rFonts w:hint="eastAsia" w:ascii="宋体" w:hAnsi="宋体" w:cs="宋体"/>
          <w:bCs/>
          <w:color w:val="auto"/>
          <w:highlight w:val="none"/>
        </w:rPr>
      </w:pPr>
      <w:r>
        <w:rPr>
          <w:rFonts w:hint="eastAsia" w:ascii="宋体" w:hAnsi="宋体" w:cs="宋体"/>
          <w:bCs/>
          <w:color w:val="auto"/>
          <w:highlight w:val="none"/>
        </w:rPr>
        <w:t xml:space="preserve"> </w:t>
      </w:r>
    </w:p>
    <w:p w14:paraId="2ADE37B1">
      <w:pPr>
        <w:pStyle w:val="3"/>
        <w:numPr>
          <w:ilvl w:val="255"/>
          <w:numId w:val="0"/>
        </w:numPr>
        <w:spacing w:before="156" w:after="156"/>
        <w:jc w:val="both"/>
        <w:rPr>
          <w:rFonts w:hint="eastAsia" w:ascii="宋体" w:hAnsi="宋体" w:cs="宋体"/>
          <w:color w:val="auto"/>
          <w:highlight w:val="none"/>
        </w:rPr>
      </w:pPr>
    </w:p>
    <w:p w14:paraId="2A0B5872">
      <w:pPr>
        <w:ind w:firstLine="480"/>
        <w:rPr>
          <w:color w:val="auto"/>
          <w:highlight w:val="none"/>
        </w:rPr>
      </w:pPr>
    </w:p>
    <w:p w14:paraId="104CCA69">
      <w:pPr>
        <w:ind w:firstLine="0" w:firstLineChars="0"/>
        <w:rPr>
          <w:rFonts w:hint="eastAsia" w:ascii="宋体" w:hAnsi="宋体" w:cs="宋体"/>
          <w:b/>
          <w:bCs/>
          <w:color w:val="auto"/>
          <w:sz w:val="30"/>
          <w:szCs w:val="30"/>
          <w:highlight w:val="none"/>
        </w:rPr>
      </w:pPr>
    </w:p>
    <w:p w14:paraId="6CFDCC13">
      <w:pPr>
        <w:ind w:firstLine="0" w:firstLineChars="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bidi="ar"/>
        </w:rPr>
        <w:t>（二）法定代表人授权委托书</w:t>
      </w:r>
    </w:p>
    <w:p w14:paraId="5F8ADC01">
      <w:pPr>
        <w:snapToGrid w:val="0"/>
        <w:ind w:firstLine="482"/>
        <w:jc w:val="center"/>
        <w:rPr>
          <w:rFonts w:hint="eastAsia" w:ascii="宋体" w:hAnsi="宋体" w:cs="宋体"/>
          <w:b/>
          <w:color w:val="auto"/>
          <w:highlight w:val="none"/>
        </w:rPr>
      </w:pPr>
      <w:r>
        <w:rPr>
          <w:rFonts w:hint="eastAsia" w:ascii="宋体" w:hAnsi="宋体" w:cs="宋体"/>
          <w:b/>
          <w:color w:val="auto"/>
          <w:highlight w:val="none"/>
          <w:lang w:bidi="ar"/>
        </w:rPr>
        <w:t xml:space="preserve"> </w:t>
      </w:r>
    </w:p>
    <w:p w14:paraId="6D26E9CD">
      <w:pPr>
        <w:ind w:firstLine="480"/>
        <w:rPr>
          <w:rFonts w:hint="eastAsia" w:ascii="宋体" w:hAnsi="宋体" w:cs="宋体"/>
          <w:color w:val="auto"/>
          <w:highlight w:val="none"/>
        </w:rPr>
      </w:pPr>
      <w:r>
        <w:rPr>
          <w:rFonts w:hint="eastAsia" w:ascii="宋体" w:hAnsi="宋体" w:cs="宋体"/>
          <w:color w:val="auto"/>
          <w:highlight w:val="none"/>
          <w:lang w:bidi="ar"/>
        </w:rPr>
        <w:t xml:space="preserve">本人 </w:t>
      </w:r>
      <w:r>
        <w:rPr>
          <w:rFonts w:hint="eastAsia" w:ascii="宋体" w:hAnsi="宋体" w:cs="宋体"/>
          <w:color w:val="auto"/>
          <w:highlight w:val="none"/>
          <w:u w:val="single"/>
          <w:lang w:bidi="ar"/>
        </w:rPr>
        <w:t xml:space="preserve"> （姓名）  </w:t>
      </w:r>
      <w:r>
        <w:rPr>
          <w:rFonts w:hint="eastAsia" w:ascii="宋体" w:hAnsi="宋体" w:cs="宋体"/>
          <w:color w:val="auto"/>
          <w:highlight w:val="none"/>
          <w:lang w:bidi="ar"/>
        </w:rPr>
        <w:t>系</w:t>
      </w:r>
      <w:r>
        <w:rPr>
          <w:rFonts w:hint="eastAsia" w:ascii="宋体" w:hAnsi="宋体" w:cs="宋体"/>
          <w:color w:val="auto"/>
          <w:highlight w:val="none"/>
          <w:u w:val="single"/>
          <w:lang w:bidi="ar"/>
        </w:rPr>
        <w:t xml:space="preserve">        （供应商名称）      </w:t>
      </w:r>
      <w:r>
        <w:rPr>
          <w:rFonts w:hint="eastAsia" w:ascii="宋体" w:hAnsi="宋体" w:cs="宋体"/>
          <w:color w:val="auto"/>
          <w:highlight w:val="none"/>
          <w:lang w:bidi="ar"/>
        </w:rPr>
        <w:t>的法定代表人，现授权</w:t>
      </w:r>
      <w:r>
        <w:rPr>
          <w:rFonts w:hint="eastAsia" w:ascii="宋体" w:hAnsi="宋体" w:cs="宋体"/>
          <w:color w:val="auto"/>
          <w:highlight w:val="none"/>
          <w:u w:val="single"/>
          <w:lang w:bidi="ar"/>
        </w:rPr>
        <w:t xml:space="preserve">     （姓名）  （   身份证号码   ）</w:t>
      </w:r>
      <w:r>
        <w:rPr>
          <w:rFonts w:hint="eastAsia" w:ascii="宋体" w:hAnsi="宋体" w:cs="宋体"/>
          <w:color w:val="auto"/>
          <w:highlight w:val="none"/>
          <w:lang w:bidi="ar"/>
        </w:rPr>
        <w:t>为我方代理人。授权代理人根据授权对</w:t>
      </w:r>
      <w:r>
        <w:rPr>
          <w:rFonts w:hint="eastAsia" w:ascii="宋体" w:hAnsi="宋体" w:cs="宋体"/>
          <w:color w:val="auto"/>
          <w:highlight w:val="none"/>
          <w:u w:val="single"/>
          <w:lang w:bidi="ar"/>
        </w:rPr>
        <w:t xml:space="preserve">   （项目名称）（项目编号）  投</w:t>
      </w:r>
      <w:r>
        <w:rPr>
          <w:rFonts w:hint="eastAsia" w:ascii="宋体" w:hAnsi="宋体" w:cs="宋体"/>
          <w:color w:val="auto"/>
          <w:highlight w:val="none"/>
          <w:lang w:bidi="ar"/>
        </w:rPr>
        <w:t>标，以我方名义签署、澄清、说明、补正、提交、撤回、修改投标文件，签订合同和处理有关事宜，其法律后果由我方承担。</w:t>
      </w:r>
    </w:p>
    <w:p w14:paraId="08E45CB4">
      <w:pPr>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3BC5295A">
      <w:pPr>
        <w:ind w:firstLine="480"/>
        <w:rPr>
          <w:rFonts w:hint="eastAsia" w:ascii="宋体" w:hAnsi="宋体" w:cs="宋体"/>
          <w:color w:val="auto"/>
          <w:highlight w:val="none"/>
        </w:rPr>
      </w:pPr>
      <w:r>
        <w:rPr>
          <w:rFonts w:hint="eastAsia" w:ascii="宋体" w:hAnsi="宋体" w:cs="宋体"/>
          <w:color w:val="auto"/>
          <w:highlight w:val="none"/>
          <w:lang w:bidi="ar"/>
        </w:rPr>
        <w:t>委托期限：2025年  月  日—2025年  月  日止。</w:t>
      </w:r>
    </w:p>
    <w:p w14:paraId="15D031DF">
      <w:pPr>
        <w:ind w:firstLine="480"/>
        <w:rPr>
          <w:rFonts w:hint="eastAsia" w:ascii="宋体" w:hAnsi="宋体" w:cs="宋体"/>
          <w:color w:val="auto"/>
          <w:highlight w:val="none"/>
        </w:rPr>
      </w:pPr>
      <w:r>
        <w:rPr>
          <w:rFonts w:hint="eastAsia" w:ascii="宋体" w:hAnsi="宋体" w:cs="宋体"/>
          <w:color w:val="auto"/>
          <w:highlight w:val="none"/>
          <w:lang w:bidi="ar"/>
        </w:rPr>
        <w:t>授权代理人无转委托权。</w:t>
      </w:r>
    </w:p>
    <w:p w14:paraId="6F15F91F">
      <w:pPr>
        <w:snapToGrid w:val="0"/>
        <w:spacing w:line="312" w:lineRule="auto"/>
        <w:ind w:firstLine="0" w:firstLineChars="0"/>
        <w:rPr>
          <w:rFonts w:hint="eastAsia" w:ascii="宋体" w:hAnsi="宋体" w:cs="宋体"/>
          <w:color w:val="auto"/>
          <w:highlight w:val="none"/>
        </w:rPr>
      </w:pPr>
      <w:r>
        <w:rPr>
          <w:rFonts w:hint="eastAsia" w:ascii="宋体" w:hAnsi="宋体" w:cs="宋体"/>
          <w:color w:val="auto"/>
          <w:highlight w:val="none"/>
          <w:lang w:bidi="ar"/>
        </w:rPr>
        <w:t xml:space="preserve"> </w:t>
      </w:r>
    </w:p>
    <w:p w14:paraId="3903148C">
      <w:pPr>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4638031E">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供应商名称（盖章）:</w:t>
      </w:r>
    </w:p>
    <w:p w14:paraId="6DDC81F1">
      <w:pPr>
        <w:adjustRightInd w:val="0"/>
        <w:snapToGrid w:val="0"/>
        <w:spacing w:line="360" w:lineRule="auto"/>
        <w:ind w:firstLine="4080" w:firstLineChars="1700"/>
        <w:textAlignment w:val="baseline"/>
        <w:rPr>
          <w:rFonts w:hint="eastAsia" w:ascii="宋体" w:hAnsi="宋体" w:cs="宋体"/>
          <w:color w:val="auto"/>
          <w:highlight w:val="none"/>
          <w:u w:val="single"/>
        </w:rPr>
      </w:pPr>
      <w:r>
        <w:rPr>
          <w:rFonts w:hint="eastAsia" w:ascii="宋体" w:hAnsi="宋体" w:cs="宋体"/>
          <w:color w:val="auto"/>
          <w:highlight w:val="none"/>
          <w:lang w:bidi="ar"/>
        </w:rPr>
        <w:t>法定代表人（签字或盖章）:</w:t>
      </w:r>
    </w:p>
    <w:p w14:paraId="3F71F7E8">
      <w:pPr>
        <w:adjustRightInd w:val="0"/>
        <w:snapToGrid w:val="0"/>
        <w:spacing w:line="360" w:lineRule="auto"/>
        <w:ind w:firstLine="4080" w:firstLineChars="1700"/>
        <w:textAlignment w:val="baseline"/>
        <w:rPr>
          <w:rFonts w:hint="eastAsia" w:ascii="宋体" w:hAnsi="宋体" w:cs="宋体"/>
          <w:color w:val="auto"/>
          <w:highlight w:val="none"/>
          <w:u w:val="single"/>
        </w:rPr>
      </w:pPr>
      <w:r>
        <w:rPr>
          <w:rFonts w:hint="eastAsia" w:ascii="宋体" w:hAnsi="宋体" w:cs="宋体"/>
          <w:color w:val="auto"/>
          <w:highlight w:val="none"/>
          <w:lang w:bidi="ar"/>
        </w:rPr>
        <w:t>法定代表人移动电话:</w:t>
      </w:r>
    </w:p>
    <w:p w14:paraId="124054C7">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授权代理人移动电话:</w:t>
      </w:r>
    </w:p>
    <w:p w14:paraId="4901136F">
      <w:pPr>
        <w:ind w:right="440" w:firstLine="4080" w:firstLineChars="1700"/>
        <w:rPr>
          <w:rFonts w:hint="eastAsia" w:ascii="宋体" w:hAnsi="宋体" w:cs="宋体"/>
          <w:b/>
          <w:bCs/>
          <w:color w:val="auto"/>
          <w:highlight w:val="none"/>
        </w:rPr>
      </w:pPr>
      <w:r>
        <w:rPr>
          <w:rFonts w:hint="eastAsia" w:ascii="宋体" w:hAnsi="宋体" w:cs="宋体"/>
          <w:bCs/>
          <w:color w:val="auto"/>
          <w:highlight w:val="none"/>
          <w:lang w:bidi="ar"/>
        </w:rPr>
        <w:t>授权委托日期：   年   月  日</w:t>
      </w:r>
    </w:p>
    <w:p w14:paraId="49536B8E">
      <w:pPr>
        <w:spacing w:line="360" w:lineRule="exact"/>
        <w:ind w:left="2699" w:firstLine="480"/>
        <w:rPr>
          <w:rFonts w:hint="eastAsia" w:ascii="宋体" w:hAnsi="宋体" w:cs="宋体"/>
          <w:color w:val="auto"/>
          <w:kern w:val="0"/>
          <w:highlight w:val="none"/>
        </w:rPr>
      </w:pPr>
      <w:r>
        <w:rPr>
          <w:rFonts w:hint="eastAsia" w:ascii="宋体" w:hAnsi="宋体" w:cs="宋体"/>
          <w:color w:val="auto"/>
          <w:kern w:val="0"/>
          <w:highlight w:val="none"/>
          <w:lang w:bidi="ar"/>
        </w:rPr>
        <w:t xml:space="preserve"> </w:t>
      </w:r>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B6F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56" w:type="dxa"/>
            <w:tcBorders>
              <w:top w:val="single" w:color="auto" w:sz="4" w:space="0"/>
              <w:left w:val="single" w:color="auto" w:sz="4" w:space="0"/>
              <w:bottom w:val="single" w:color="auto" w:sz="4" w:space="0"/>
              <w:right w:val="single" w:color="auto" w:sz="4" w:space="0"/>
            </w:tcBorders>
            <w:shd w:val="clear" w:color="auto" w:fill="auto"/>
          </w:tcPr>
          <w:p w14:paraId="20520573">
            <w:pPr>
              <w:adjustRightInd w:val="0"/>
              <w:snapToGrid w:val="0"/>
              <w:spacing w:line="360" w:lineRule="exact"/>
              <w:ind w:firstLine="480"/>
              <w:jc w:val="center"/>
              <w:rPr>
                <w:rFonts w:hint="eastAsia" w:ascii="宋体" w:hAnsi="宋体" w:cs="宋体"/>
                <w:color w:val="auto"/>
                <w:kern w:val="0"/>
                <w:highlight w:val="none"/>
              </w:rPr>
            </w:pPr>
          </w:p>
          <w:p w14:paraId="05A7BE9C">
            <w:pPr>
              <w:adjustRightInd w:val="0"/>
              <w:snapToGrid w:val="0"/>
              <w:spacing w:line="360" w:lineRule="exact"/>
              <w:ind w:firstLine="480"/>
              <w:jc w:val="center"/>
              <w:rPr>
                <w:rFonts w:hint="eastAsia" w:ascii="宋体" w:hAnsi="宋体" w:cs="宋体"/>
                <w:color w:val="auto"/>
                <w:kern w:val="0"/>
                <w:highlight w:val="none"/>
              </w:rPr>
            </w:pPr>
          </w:p>
          <w:p w14:paraId="0F481222">
            <w:pPr>
              <w:adjustRightInd w:val="0"/>
              <w:snapToGrid w:val="0"/>
              <w:spacing w:line="360" w:lineRule="exact"/>
              <w:ind w:firstLine="480"/>
              <w:jc w:val="center"/>
              <w:rPr>
                <w:rFonts w:hint="eastAsia" w:ascii="宋体" w:hAnsi="宋体" w:cs="宋体"/>
                <w:color w:val="auto"/>
                <w:kern w:val="0"/>
                <w:highlight w:val="none"/>
              </w:rPr>
            </w:pPr>
            <w:r>
              <w:rPr>
                <w:rFonts w:hint="eastAsia" w:ascii="宋体" w:hAnsi="宋体" w:cs="宋体"/>
                <w:color w:val="auto"/>
                <w:kern w:val="0"/>
                <w:highlight w:val="none"/>
                <w:lang w:bidi="ar"/>
              </w:rPr>
              <w:t>粘贴法人授权代表身份证复印影印件</w:t>
            </w:r>
          </w:p>
          <w:p w14:paraId="5AEC6350">
            <w:pPr>
              <w:adjustRightInd w:val="0"/>
              <w:snapToGrid w:val="0"/>
              <w:spacing w:line="360" w:lineRule="exact"/>
              <w:ind w:firstLine="480"/>
              <w:jc w:val="center"/>
              <w:rPr>
                <w:rFonts w:hint="eastAsia" w:ascii="宋体" w:hAnsi="宋体" w:cs="宋体"/>
                <w:color w:val="auto"/>
                <w:kern w:val="0"/>
                <w:highlight w:val="none"/>
              </w:rPr>
            </w:pPr>
          </w:p>
          <w:p w14:paraId="39AAE069">
            <w:pPr>
              <w:adjustRightInd w:val="0"/>
              <w:snapToGrid w:val="0"/>
              <w:spacing w:line="360" w:lineRule="exact"/>
              <w:ind w:firstLine="480"/>
              <w:jc w:val="center"/>
              <w:rPr>
                <w:rFonts w:hint="eastAsia" w:ascii="宋体" w:hAnsi="宋体" w:cs="宋体"/>
                <w:color w:val="auto"/>
                <w:kern w:val="0"/>
                <w:highlight w:val="none"/>
              </w:rPr>
            </w:pPr>
          </w:p>
        </w:tc>
      </w:tr>
    </w:tbl>
    <w:p w14:paraId="3F3CED3D">
      <w:pPr>
        <w:adjustRightInd w:val="0"/>
        <w:snapToGrid w:val="0"/>
        <w:spacing w:line="360" w:lineRule="exact"/>
        <w:ind w:firstLine="480"/>
        <w:jc w:val="center"/>
        <w:rPr>
          <w:rFonts w:hint="eastAsia" w:ascii="宋体" w:hAnsi="宋体" w:cs="宋体"/>
          <w:color w:val="auto"/>
          <w:kern w:val="0"/>
          <w:highlight w:val="none"/>
        </w:rPr>
      </w:pPr>
      <w:r>
        <w:rPr>
          <w:rFonts w:hint="eastAsia" w:ascii="宋体" w:hAnsi="宋体" w:cs="宋体"/>
          <w:color w:val="auto"/>
          <w:kern w:val="0"/>
          <w:highlight w:val="none"/>
          <w:lang w:bidi="ar"/>
        </w:rPr>
        <w:t xml:space="preserve"> </w:t>
      </w:r>
    </w:p>
    <w:p w14:paraId="1F661B33">
      <w:pPr>
        <w:adjustRightInd w:val="0"/>
        <w:snapToGrid w:val="0"/>
        <w:spacing w:line="360" w:lineRule="exact"/>
        <w:ind w:firstLine="480"/>
        <w:jc w:val="center"/>
        <w:rPr>
          <w:rFonts w:hint="eastAsia" w:ascii="宋体" w:hAnsi="宋体" w:cs="宋体"/>
          <w:color w:val="auto"/>
          <w:kern w:val="0"/>
          <w:highlight w:val="none"/>
        </w:rPr>
      </w:pPr>
      <w:r>
        <w:rPr>
          <w:rFonts w:hint="eastAsia" w:ascii="宋体" w:hAnsi="宋体" w:cs="宋体"/>
          <w:color w:val="auto"/>
          <w:kern w:val="0"/>
          <w:highlight w:val="none"/>
          <w:lang w:bidi="ar"/>
        </w:rPr>
        <w:t xml:space="preserve"> </w:t>
      </w:r>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0F05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tcBorders>
              <w:top w:val="single" w:color="auto" w:sz="4" w:space="0"/>
              <w:left w:val="single" w:color="auto" w:sz="4" w:space="0"/>
              <w:bottom w:val="single" w:color="auto" w:sz="4" w:space="0"/>
              <w:right w:val="single" w:color="auto" w:sz="4" w:space="0"/>
            </w:tcBorders>
            <w:shd w:val="clear" w:color="auto" w:fill="auto"/>
          </w:tcPr>
          <w:p w14:paraId="2B2E256E">
            <w:pPr>
              <w:adjustRightInd w:val="0"/>
              <w:snapToGrid w:val="0"/>
              <w:spacing w:line="360" w:lineRule="exact"/>
              <w:ind w:firstLine="480"/>
              <w:jc w:val="center"/>
              <w:rPr>
                <w:rFonts w:hint="eastAsia" w:ascii="宋体" w:hAnsi="宋体" w:cs="宋体"/>
                <w:color w:val="auto"/>
                <w:kern w:val="0"/>
                <w:highlight w:val="none"/>
              </w:rPr>
            </w:pPr>
          </w:p>
          <w:p w14:paraId="245EC5C1">
            <w:pPr>
              <w:adjustRightInd w:val="0"/>
              <w:snapToGrid w:val="0"/>
              <w:spacing w:line="360" w:lineRule="exact"/>
              <w:ind w:firstLine="480"/>
              <w:jc w:val="center"/>
              <w:rPr>
                <w:rFonts w:hint="eastAsia" w:ascii="宋体" w:hAnsi="宋体" w:cs="宋体"/>
                <w:color w:val="auto"/>
                <w:kern w:val="0"/>
                <w:highlight w:val="none"/>
              </w:rPr>
            </w:pPr>
          </w:p>
          <w:p w14:paraId="62D539F4">
            <w:pPr>
              <w:adjustRightInd w:val="0"/>
              <w:snapToGrid w:val="0"/>
              <w:spacing w:line="360" w:lineRule="exact"/>
              <w:ind w:firstLine="480"/>
              <w:jc w:val="center"/>
              <w:rPr>
                <w:rFonts w:hint="eastAsia" w:ascii="宋体" w:hAnsi="宋体" w:cs="宋体"/>
                <w:color w:val="auto"/>
                <w:kern w:val="0"/>
                <w:highlight w:val="none"/>
              </w:rPr>
            </w:pPr>
            <w:r>
              <w:rPr>
                <w:rFonts w:hint="eastAsia" w:ascii="宋体" w:hAnsi="宋体" w:cs="宋体"/>
                <w:color w:val="auto"/>
                <w:kern w:val="0"/>
                <w:highlight w:val="none"/>
                <w:lang w:bidi="ar"/>
              </w:rPr>
              <w:t>粘贴法人身份证复印影印件</w:t>
            </w:r>
          </w:p>
          <w:p w14:paraId="291D325D">
            <w:pPr>
              <w:adjustRightInd w:val="0"/>
              <w:snapToGrid w:val="0"/>
              <w:spacing w:line="360" w:lineRule="exact"/>
              <w:ind w:firstLine="480"/>
              <w:jc w:val="center"/>
              <w:rPr>
                <w:rFonts w:hint="eastAsia" w:ascii="宋体" w:hAnsi="宋体" w:cs="宋体"/>
                <w:color w:val="auto"/>
                <w:kern w:val="0"/>
                <w:highlight w:val="none"/>
              </w:rPr>
            </w:pPr>
          </w:p>
          <w:p w14:paraId="6021E2C4">
            <w:pPr>
              <w:adjustRightInd w:val="0"/>
              <w:snapToGrid w:val="0"/>
              <w:spacing w:line="360" w:lineRule="exact"/>
              <w:ind w:firstLine="480"/>
              <w:jc w:val="center"/>
              <w:rPr>
                <w:rFonts w:hint="eastAsia" w:ascii="宋体" w:hAnsi="宋体" w:cs="宋体"/>
                <w:color w:val="auto"/>
                <w:kern w:val="0"/>
                <w:highlight w:val="none"/>
              </w:rPr>
            </w:pPr>
          </w:p>
        </w:tc>
      </w:tr>
    </w:tbl>
    <w:p w14:paraId="59D6E419">
      <w:pPr>
        <w:ind w:firstLine="0" w:firstLineChars="0"/>
        <w:jc w:val="left"/>
        <w:rPr>
          <w:rFonts w:hint="eastAsia" w:ascii="宋体" w:hAnsi="宋体" w:cs="宋体"/>
          <w:b/>
          <w:bCs/>
          <w:color w:val="auto"/>
          <w:highlight w:val="none"/>
          <w:lang w:bidi="ar"/>
        </w:rPr>
      </w:pPr>
      <w:r>
        <w:rPr>
          <w:rFonts w:hint="eastAsia" w:ascii="宋体" w:hAnsi="宋体" w:cs="宋体"/>
          <w:b/>
          <w:bCs/>
          <w:color w:val="auto"/>
          <w:highlight w:val="none"/>
          <w:lang w:bidi="ar"/>
        </w:rPr>
        <w:t xml:space="preserve"> </w:t>
      </w:r>
    </w:p>
    <w:p w14:paraId="23F9801B">
      <w:pPr>
        <w:ind w:firstLine="0" w:firstLineChars="0"/>
        <w:rPr>
          <w:rFonts w:hint="eastAsia" w:ascii="宋体" w:hAnsi="宋体" w:cs="宋体"/>
          <w:b/>
          <w:bCs/>
          <w:color w:val="auto"/>
          <w:highlight w:val="none"/>
          <w:lang w:bidi="ar"/>
        </w:rPr>
      </w:pPr>
    </w:p>
    <w:p w14:paraId="35B44A4D">
      <w:pPr>
        <w:ind w:firstLine="0" w:firstLineChars="0"/>
        <w:rPr>
          <w:rFonts w:hint="eastAsia" w:ascii="宋体" w:hAnsi="宋体" w:cs="宋体"/>
          <w:b/>
          <w:bCs/>
          <w:color w:val="auto"/>
          <w:highlight w:val="none"/>
          <w:lang w:bidi="ar"/>
        </w:rPr>
      </w:pPr>
    </w:p>
    <w:p w14:paraId="6093322E">
      <w:pPr>
        <w:ind w:firstLine="0" w:firstLineChars="0"/>
        <w:rPr>
          <w:rFonts w:hint="eastAsia" w:ascii="宋体" w:hAnsi="宋体" w:cs="宋体"/>
          <w:b/>
          <w:bCs/>
          <w:color w:val="auto"/>
          <w:sz w:val="30"/>
          <w:szCs w:val="30"/>
          <w:highlight w:val="none"/>
          <w:lang w:bidi="ar"/>
        </w:rPr>
      </w:pPr>
      <w:r>
        <w:rPr>
          <w:rFonts w:hint="eastAsia" w:ascii="宋体" w:hAnsi="宋体" w:cs="宋体"/>
          <w:b/>
          <w:bCs/>
          <w:color w:val="auto"/>
          <w:highlight w:val="none"/>
          <w:lang w:bidi="ar"/>
        </w:rPr>
        <w:t>附件6</w:t>
      </w:r>
    </w:p>
    <w:p w14:paraId="09F8F01F">
      <w:pPr>
        <w:ind w:firstLine="0" w:firstLineChars="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bidi="ar"/>
        </w:rPr>
        <w:t>同类业绩一览表</w:t>
      </w:r>
    </w:p>
    <w:p w14:paraId="2E208DD6">
      <w:pPr>
        <w:ind w:firstLine="480"/>
        <w:rPr>
          <w:rFonts w:cs="宋体"/>
          <w:color w:val="auto"/>
          <w:highlight w:val="none"/>
        </w:rPr>
      </w:pPr>
      <w:r>
        <w:rPr>
          <w:rFonts w:hint="eastAsia" w:ascii="宋体" w:hAnsi="宋体" w:cs="宋体"/>
          <w:color w:val="auto"/>
          <w:highlight w:val="none"/>
          <w:lang w:bidi="ar"/>
        </w:rPr>
        <w:t>项目名称：</w:t>
      </w:r>
    </w:p>
    <w:p w14:paraId="31EE038A">
      <w:pPr>
        <w:ind w:firstLine="480"/>
        <w:rPr>
          <w:rFonts w:cs="宋体"/>
          <w:color w:val="auto"/>
          <w:highlight w:val="none"/>
        </w:rPr>
      </w:pPr>
      <w:r>
        <w:rPr>
          <w:rFonts w:hint="eastAsia" w:ascii="宋体" w:hAnsi="宋体" w:cs="宋体"/>
          <w:color w:val="auto"/>
          <w:highlight w:val="none"/>
          <w:lang w:bidi="ar"/>
        </w:rPr>
        <w:t>项目编号：</w:t>
      </w:r>
    </w:p>
    <w:tbl>
      <w:tblPr>
        <w:tblStyle w:val="43"/>
        <w:tblW w:w="956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34"/>
        <w:gridCol w:w="1243"/>
        <w:gridCol w:w="1832"/>
        <w:gridCol w:w="1425"/>
        <w:gridCol w:w="1565"/>
        <w:gridCol w:w="1767"/>
      </w:tblGrid>
      <w:tr w14:paraId="494245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12"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130A92D6">
            <w:pPr>
              <w:snapToGrid w:val="0"/>
              <w:ind w:firstLine="0" w:firstLineChars="0"/>
              <w:jc w:val="center"/>
              <w:rPr>
                <w:rFonts w:cs="Times New Roman"/>
                <w:color w:val="auto"/>
                <w:highlight w:val="none"/>
              </w:rPr>
            </w:pPr>
            <w:r>
              <w:rPr>
                <w:rFonts w:hint="eastAsia" w:ascii="宋体" w:hAnsi="宋体" w:cs="宋体"/>
                <w:color w:val="auto"/>
                <w:highlight w:val="none"/>
                <w:lang w:bidi="ar"/>
              </w:rPr>
              <w:t>采购人名称</w:t>
            </w:r>
          </w:p>
        </w:tc>
        <w:tc>
          <w:tcPr>
            <w:tcW w:w="1243" w:type="dxa"/>
            <w:tcBorders>
              <w:top w:val="single" w:color="auto" w:sz="4" w:space="0"/>
              <w:left w:val="nil"/>
              <w:bottom w:val="single" w:color="auto" w:sz="4" w:space="0"/>
              <w:right w:val="single" w:color="auto" w:sz="4" w:space="0"/>
            </w:tcBorders>
            <w:shd w:val="clear" w:color="auto" w:fill="auto"/>
            <w:vAlign w:val="center"/>
          </w:tcPr>
          <w:p w14:paraId="17AFDD15">
            <w:pPr>
              <w:snapToGrid w:val="0"/>
              <w:ind w:firstLine="0" w:firstLineChars="0"/>
              <w:jc w:val="center"/>
              <w:rPr>
                <w:rFonts w:cs="Times New Roman"/>
                <w:color w:val="auto"/>
                <w:highlight w:val="none"/>
              </w:rPr>
            </w:pPr>
            <w:r>
              <w:rPr>
                <w:rFonts w:hint="eastAsia" w:ascii="宋体" w:hAnsi="宋体" w:cs="宋体"/>
                <w:color w:val="auto"/>
                <w:highlight w:val="none"/>
                <w:lang w:bidi="ar"/>
              </w:rPr>
              <w:t>项目名称</w:t>
            </w:r>
          </w:p>
        </w:tc>
        <w:tc>
          <w:tcPr>
            <w:tcW w:w="1832" w:type="dxa"/>
            <w:tcBorders>
              <w:top w:val="single" w:color="auto" w:sz="4" w:space="0"/>
              <w:left w:val="nil"/>
              <w:bottom w:val="nil"/>
              <w:right w:val="single" w:color="auto" w:sz="4" w:space="0"/>
            </w:tcBorders>
            <w:shd w:val="clear" w:color="auto" w:fill="auto"/>
            <w:vAlign w:val="center"/>
          </w:tcPr>
          <w:p w14:paraId="50C13117">
            <w:pPr>
              <w:snapToGrid w:val="0"/>
              <w:ind w:firstLine="0" w:firstLineChars="0"/>
              <w:jc w:val="center"/>
              <w:rPr>
                <w:rFonts w:cs="Times New Roman"/>
                <w:color w:val="auto"/>
                <w:highlight w:val="none"/>
              </w:rPr>
            </w:pPr>
            <w:r>
              <w:rPr>
                <w:rFonts w:hint="eastAsia" w:ascii="宋体" w:hAnsi="宋体" w:cs="宋体"/>
                <w:color w:val="auto"/>
                <w:highlight w:val="none"/>
                <w:lang w:bidi="ar"/>
              </w:rPr>
              <w:t>项目简要描述</w:t>
            </w:r>
          </w:p>
        </w:tc>
        <w:tc>
          <w:tcPr>
            <w:tcW w:w="1425" w:type="dxa"/>
            <w:tcBorders>
              <w:top w:val="single" w:color="auto" w:sz="4" w:space="0"/>
              <w:left w:val="nil"/>
              <w:bottom w:val="single" w:color="auto" w:sz="4" w:space="0"/>
              <w:right w:val="single" w:color="auto" w:sz="4" w:space="0"/>
            </w:tcBorders>
            <w:shd w:val="clear" w:color="auto" w:fill="auto"/>
            <w:vAlign w:val="center"/>
          </w:tcPr>
          <w:p w14:paraId="1E851D9E">
            <w:pPr>
              <w:snapToGrid w:val="0"/>
              <w:ind w:firstLine="0" w:firstLineChars="0"/>
              <w:jc w:val="center"/>
              <w:rPr>
                <w:rFonts w:cs="Times New Roman"/>
                <w:color w:val="auto"/>
                <w:highlight w:val="none"/>
              </w:rPr>
            </w:pPr>
            <w:r>
              <w:rPr>
                <w:rFonts w:hint="eastAsia" w:ascii="宋体" w:hAnsi="宋体" w:cs="宋体"/>
                <w:color w:val="auto"/>
                <w:highlight w:val="none"/>
                <w:lang w:bidi="ar"/>
              </w:rPr>
              <w:t>合同价格</w:t>
            </w:r>
          </w:p>
        </w:tc>
        <w:tc>
          <w:tcPr>
            <w:tcW w:w="1565" w:type="dxa"/>
            <w:tcBorders>
              <w:top w:val="single" w:color="auto" w:sz="4" w:space="0"/>
              <w:left w:val="nil"/>
              <w:bottom w:val="nil"/>
              <w:right w:val="single" w:color="auto" w:sz="4" w:space="0"/>
            </w:tcBorders>
            <w:shd w:val="clear" w:color="auto" w:fill="auto"/>
            <w:vAlign w:val="center"/>
          </w:tcPr>
          <w:p w14:paraId="73CDFD34">
            <w:pPr>
              <w:snapToGrid w:val="0"/>
              <w:ind w:firstLine="0" w:firstLineChars="0"/>
              <w:jc w:val="center"/>
              <w:rPr>
                <w:rFonts w:cs="Times New Roman"/>
                <w:color w:val="auto"/>
                <w:highlight w:val="none"/>
              </w:rPr>
            </w:pPr>
            <w:r>
              <w:rPr>
                <w:rFonts w:hint="eastAsia" w:ascii="宋体" w:hAnsi="宋体" w:cs="宋体"/>
                <w:color w:val="auto"/>
                <w:highlight w:val="none"/>
                <w:lang w:bidi="ar"/>
              </w:rPr>
              <w:t>合同签订时间</w:t>
            </w:r>
          </w:p>
        </w:tc>
        <w:tc>
          <w:tcPr>
            <w:tcW w:w="1767" w:type="dxa"/>
            <w:tcBorders>
              <w:top w:val="single" w:color="auto" w:sz="4" w:space="0"/>
              <w:left w:val="nil"/>
              <w:bottom w:val="single" w:color="auto" w:sz="4" w:space="0"/>
              <w:right w:val="single" w:color="auto" w:sz="4" w:space="0"/>
            </w:tcBorders>
            <w:shd w:val="clear" w:color="auto" w:fill="auto"/>
            <w:vAlign w:val="center"/>
          </w:tcPr>
          <w:p w14:paraId="4077A6AE">
            <w:pPr>
              <w:snapToGrid w:val="0"/>
              <w:ind w:firstLine="0" w:firstLineChars="0"/>
              <w:jc w:val="center"/>
              <w:rPr>
                <w:rFonts w:cs="Times New Roman"/>
                <w:color w:val="auto"/>
                <w:highlight w:val="none"/>
              </w:rPr>
            </w:pPr>
            <w:r>
              <w:rPr>
                <w:rFonts w:hint="eastAsia" w:ascii="宋体" w:hAnsi="宋体" w:cs="宋体"/>
                <w:color w:val="auto"/>
                <w:highlight w:val="none"/>
                <w:lang w:bidi="ar"/>
              </w:rPr>
              <w:t>采购人联系人及联系电话</w:t>
            </w:r>
          </w:p>
        </w:tc>
      </w:tr>
      <w:tr w14:paraId="74AA99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0E72A14B">
            <w:pPr>
              <w:snapToGrid w:val="0"/>
              <w:spacing w:before="50" w:after="156" w:afterLines="50"/>
              <w:ind w:firstLine="480"/>
              <w:jc w:val="center"/>
              <w:rPr>
                <w:rFonts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5EA26BC6">
            <w:pPr>
              <w:snapToGrid w:val="0"/>
              <w:spacing w:before="50" w:after="156" w:afterLines="50"/>
              <w:ind w:firstLine="480"/>
              <w:jc w:val="center"/>
              <w:rPr>
                <w:rFonts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180D673E">
            <w:pPr>
              <w:snapToGrid w:val="0"/>
              <w:spacing w:before="50" w:after="156" w:afterLines="50"/>
              <w:ind w:firstLine="480"/>
              <w:jc w:val="center"/>
              <w:rPr>
                <w:rFonts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553E86F8">
            <w:pPr>
              <w:snapToGrid w:val="0"/>
              <w:spacing w:before="50" w:after="156" w:afterLines="50"/>
              <w:ind w:firstLine="480"/>
              <w:jc w:val="center"/>
              <w:rPr>
                <w:rFonts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5ACCC2F1">
            <w:pPr>
              <w:snapToGrid w:val="0"/>
              <w:spacing w:before="50" w:after="156" w:afterLines="50"/>
              <w:ind w:firstLine="480"/>
              <w:jc w:val="center"/>
              <w:rPr>
                <w:rFonts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7C5F7223">
            <w:pPr>
              <w:snapToGrid w:val="0"/>
              <w:spacing w:before="50" w:after="156" w:afterLines="50"/>
              <w:ind w:firstLine="480"/>
              <w:jc w:val="center"/>
              <w:rPr>
                <w:rFonts w:cs="Times New Roman"/>
                <w:color w:val="auto"/>
                <w:highlight w:val="none"/>
              </w:rPr>
            </w:pPr>
          </w:p>
        </w:tc>
      </w:tr>
      <w:tr w14:paraId="7188B13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4FD78B4C">
            <w:pPr>
              <w:snapToGrid w:val="0"/>
              <w:spacing w:before="50" w:after="156" w:afterLines="50"/>
              <w:ind w:firstLine="480"/>
              <w:jc w:val="center"/>
              <w:rPr>
                <w:rFonts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1B07B4A9">
            <w:pPr>
              <w:snapToGrid w:val="0"/>
              <w:spacing w:before="50" w:after="156" w:afterLines="50"/>
              <w:ind w:firstLine="480"/>
              <w:jc w:val="center"/>
              <w:rPr>
                <w:rFonts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11AA66E7">
            <w:pPr>
              <w:snapToGrid w:val="0"/>
              <w:spacing w:before="50" w:after="156" w:afterLines="50"/>
              <w:ind w:firstLine="480"/>
              <w:jc w:val="center"/>
              <w:rPr>
                <w:rFonts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513A6589">
            <w:pPr>
              <w:snapToGrid w:val="0"/>
              <w:spacing w:before="50" w:after="156" w:afterLines="50"/>
              <w:ind w:firstLine="480"/>
              <w:jc w:val="center"/>
              <w:rPr>
                <w:rFonts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48562CC2">
            <w:pPr>
              <w:snapToGrid w:val="0"/>
              <w:spacing w:before="50" w:after="156" w:afterLines="50"/>
              <w:ind w:firstLine="480"/>
              <w:jc w:val="center"/>
              <w:rPr>
                <w:rFonts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2CFFEF36">
            <w:pPr>
              <w:snapToGrid w:val="0"/>
              <w:spacing w:before="50" w:after="156" w:afterLines="50"/>
              <w:ind w:firstLine="480"/>
              <w:jc w:val="center"/>
              <w:rPr>
                <w:rFonts w:cs="Times New Roman"/>
                <w:color w:val="auto"/>
                <w:highlight w:val="none"/>
              </w:rPr>
            </w:pPr>
          </w:p>
        </w:tc>
      </w:tr>
      <w:tr w14:paraId="4619F6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2402CF6A">
            <w:pPr>
              <w:snapToGrid w:val="0"/>
              <w:spacing w:before="50" w:after="156" w:afterLines="50"/>
              <w:ind w:firstLine="480"/>
              <w:jc w:val="center"/>
              <w:rPr>
                <w:rFonts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1ADBDFEA">
            <w:pPr>
              <w:snapToGrid w:val="0"/>
              <w:spacing w:before="50" w:after="156" w:afterLines="50"/>
              <w:ind w:firstLine="480"/>
              <w:jc w:val="center"/>
              <w:rPr>
                <w:rFonts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0029D5A6">
            <w:pPr>
              <w:snapToGrid w:val="0"/>
              <w:spacing w:before="50" w:after="156" w:afterLines="50"/>
              <w:ind w:firstLine="480"/>
              <w:jc w:val="center"/>
              <w:rPr>
                <w:rFonts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5FF5F946">
            <w:pPr>
              <w:snapToGrid w:val="0"/>
              <w:spacing w:before="50" w:after="156" w:afterLines="50"/>
              <w:ind w:firstLine="480"/>
              <w:jc w:val="center"/>
              <w:rPr>
                <w:rFonts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7A68E691">
            <w:pPr>
              <w:snapToGrid w:val="0"/>
              <w:spacing w:before="50" w:after="156" w:afterLines="50"/>
              <w:ind w:firstLine="480"/>
              <w:jc w:val="center"/>
              <w:rPr>
                <w:rFonts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256245BC">
            <w:pPr>
              <w:snapToGrid w:val="0"/>
              <w:spacing w:before="50" w:after="156" w:afterLines="50"/>
              <w:ind w:firstLine="480"/>
              <w:jc w:val="center"/>
              <w:rPr>
                <w:rFonts w:cs="Times New Roman"/>
                <w:color w:val="auto"/>
                <w:highlight w:val="none"/>
              </w:rPr>
            </w:pPr>
          </w:p>
        </w:tc>
      </w:tr>
      <w:tr w14:paraId="460722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6D2262FF">
            <w:pPr>
              <w:snapToGrid w:val="0"/>
              <w:spacing w:before="50" w:after="156" w:afterLines="50"/>
              <w:ind w:firstLine="480"/>
              <w:jc w:val="center"/>
              <w:rPr>
                <w:rFonts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5B3CB15E">
            <w:pPr>
              <w:snapToGrid w:val="0"/>
              <w:spacing w:before="50" w:after="156" w:afterLines="50"/>
              <w:ind w:firstLine="480"/>
              <w:jc w:val="center"/>
              <w:rPr>
                <w:rFonts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426D502B">
            <w:pPr>
              <w:snapToGrid w:val="0"/>
              <w:spacing w:before="50" w:after="156" w:afterLines="50"/>
              <w:ind w:firstLine="480"/>
              <w:jc w:val="center"/>
              <w:rPr>
                <w:rFonts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76A96679">
            <w:pPr>
              <w:snapToGrid w:val="0"/>
              <w:spacing w:before="50" w:after="156" w:afterLines="50"/>
              <w:ind w:firstLine="480"/>
              <w:jc w:val="center"/>
              <w:rPr>
                <w:rFonts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5BCD1C87">
            <w:pPr>
              <w:snapToGrid w:val="0"/>
              <w:spacing w:before="50" w:after="156" w:afterLines="50"/>
              <w:ind w:firstLine="480"/>
              <w:jc w:val="center"/>
              <w:rPr>
                <w:rFonts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66CC4886">
            <w:pPr>
              <w:snapToGrid w:val="0"/>
              <w:spacing w:before="50" w:after="156" w:afterLines="50"/>
              <w:ind w:firstLine="480"/>
              <w:jc w:val="center"/>
              <w:rPr>
                <w:rFonts w:cs="Times New Roman"/>
                <w:color w:val="auto"/>
                <w:highlight w:val="none"/>
              </w:rPr>
            </w:pPr>
          </w:p>
        </w:tc>
      </w:tr>
      <w:tr w14:paraId="0CD3D1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1AC6892B">
            <w:pPr>
              <w:snapToGrid w:val="0"/>
              <w:spacing w:before="50" w:after="156" w:afterLines="50"/>
              <w:ind w:firstLine="480"/>
              <w:jc w:val="center"/>
              <w:rPr>
                <w:rFonts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4D8904B2">
            <w:pPr>
              <w:snapToGrid w:val="0"/>
              <w:spacing w:before="50" w:after="156" w:afterLines="50"/>
              <w:ind w:firstLine="480"/>
              <w:jc w:val="center"/>
              <w:rPr>
                <w:rFonts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1C8604D8">
            <w:pPr>
              <w:snapToGrid w:val="0"/>
              <w:spacing w:before="50" w:after="156" w:afterLines="50"/>
              <w:ind w:firstLine="480"/>
              <w:jc w:val="center"/>
              <w:rPr>
                <w:rFonts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5C74A6B0">
            <w:pPr>
              <w:snapToGrid w:val="0"/>
              <w:spacing w:before="50" w:after="156" w:afterLines="50"/>
              <w:ind w:firstLine="480"/>
              <w:jc w:val="center"/>
              <w:rPr>
                <w:rFonts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022B8E13">
            <w:pPr>
              <w:snapToGrid w:val="0"/>
              <w:spacing w:before="50" w:after="156" w:afterLines="50"/>
              <w:ind w:firstLine="480"/>
              <w:jc w:val="center"/>
              <w:rPr>
                <w:rFonts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5BF6241A">
            <w:pPr>
              <w:snapToGrid w:val="0"/>
              <w:spacing w:before="50" w:after="156" w:afterLines="50"/>
              <w:ind w:firstLine="480"/>
              <w:jc w:val="center"/>
              <w:rPr>
                <w:rFonts w:cs="Times New Roman"/>
                <w:color w:val="auto"/>
                <w:highlight w:val="none"/>
              </w:rPr>
            </w:pPr>
          </w:p>
        </w:tc>
      </w:tr>
      <w:tr w14:paraId="6DCC503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3529C286">
            <w:pPr>
              <w:snapToGrid w:val="0"/>
              <w:spacing w:before="50" w:after="156" w:afterLines="50"/>
              <w:ind w:firstLine="480"/>
              <w:jc w:val="center"/>
              <w:rPr>
                <w:rFonts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1E185C75">
            <w:pPr>
              <w:snapToGrid w:val="0"/>
              <w:spacing w:before="50" w:after="156" w:afterLines="50"/>
              <w:ind w:firstLine="480"/>
              <w:jc w:val="center"/>
              <w:rPr>
                <w:rFonts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279FBCD0">
            <w:pPr>
              <w:snapToGrid w:val="0"/>
              <w:spacing w:before="50" w:after="156" w:afterLines="50"/>
              <w:ind w:firstLine="480"/>
              <w:jc w:val="center"/>
              <w:rPr>
                <w:rFonts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361B35E7">
            <w:pPr>
              <w:snapToGrid w:val="0"/>
              <w:spacing w:before="50" w:after="156" w:afterLines="50"/>
              <w:ind w:firstLine="480"/>
              <w:jc w:val="center"/>
              <w:rPr>
                <w:rFonts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4CEFBD8D">
            <w:pPr>
              <w:snapToGrid w:val="0"/>
              <w:spacing w:before="50" w:after="156" w:afterLines="50"/>
              <w:ind w:firstLine="480"/>
              <w:jc w:val="center"/>
              <w:rPr>
                <w:rFonts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2447B3E0">
            <w:pPr>
              <w:snapToGrid w:val="0"/>
              <w:spacing w:before="50" w:after="156" w:afterLines="50"/>
              <w:ind w:firstLine="480"/>
              <w:jc w:val="center"/>
              <w:rPr>
                <w:rFonts w:cs="Times New Roman"/>
                <w:color w:val="auto"/>
                <w:highlight w:val="none"/>
              </w:rPr>
            </w:pPr>
          </w:p>
        </w:tc>
      </w:tr>
      <w:tr w14:paraId="3FA7D9D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522D745E">
            <w:pPr>
              <w:snapToGrid w:val="0"/>
              <w:spacing w:before="50" w:after="156" w:afterLines="50"/>
              <w:ind w:firstLine="480"/>
              <w:jc w:val="center"/>
              <w:rPr>
                <w:rFonts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34D60AB3">
            <w:pPr>
              <w:snapToGrid w:val="0"/>
              <w:spacing w:before="50" w:after="156" w:afterLines="50"/>
              <w:ind w:firstLine="480"/>
              <w:jc w:val="center"/>
              <w:rPr>
                <w:rFonts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1265329F">
            <w:pPr>
              <w:snapToGrid w:val="0"/>
              <w:spacing w:before="50" w:after="156" w:afterLines="50"/>
              <w:ind w:firstLine="480"/>
              <w:jc w:val="center"/>
              <w:rPr>
                <w:rFonts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4F53BD13">
            <w:pPr>
              <w:snapToGrid w:val="0"/>
              <w:spacing w:before="50" w:after="156" w:afterLines="50"/>
              <w:ind w:firstLine="480"/>
              <w:jc w:val="center"/>
              <w:rPr>
                <w:rFonts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5A896E66">
            <w:pPr>
              <w:snapToGrid w:val="0"/>
              <w:spacing w:before="50" w:after="156" w:afterLines="50"/>
              <w:ind w:firstLine="480"/>
              <w:jc w:val="center"/>
              <w:rPr>
                <w:rFonts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655D197E">
            <w:pPr>
              <w:snapToGrid w:val="0"/>
              <w:spacing w:before="50" w:after="156" w:afterLines="50"/>
              <w:ind w:firstLine="480"/>
              <w:jc w:val="center"/>
              <w:rPr>
                <w:rFonts w:cs="Times New Roman"/>
                <w:color w:val="auto"/>
                <w:highlight w:val="none"/>
              </w:rPr>
            </w:pPr>
          </w:p>
        </w:tc>
      </w:tr>
    </w:tbl>
    <w:p w14:paraId="255C78CD">
      <w:pPr>
        <w:ind w:firstLine="480"/>
        <w:rPr>
          <w:rFonts w:cs="宋体"/>
          <w:color w:val="auto"/>
          <w:highlight w:val="none"/>
        </w:rPr>
      </w:pPr>
      <w:r>
        <w:rPr>
          <w:rFonts w:hint="eastAsia" w:ascii="宋体" w:hAnsi="宋体" w:cs="宋体"/>
          <w:color w:val="auto"/>
          <w:highlight w:val="none"/>
          <w:lang w:bidi="ar"/>
        </w:rPr>
        <w:t>注：供应商可按上述的格式自行编制。</w:t>
      </w:r>
    </w:p>
    <w:p w14:paraId="679321B1">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 xml:space="preserve"> </w:t>
      </w:r>
    </w:p>
    <w:p w14:paraId="12807F9C">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 xml:space="preserve"> </w:t>
      </w:r>
    </w:p>
    <w:p w14:paraId="66AC4442">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 xml:space="preserve"> </w:t>
      </w:r>
    </w:p>
    <w:p w14:paraId="79C387D7">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投标人名称（盖章）:</w:t>
      </w:r>
    </w:p>
    <w:p w14:paraId="5D3F4A93">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法定代表人或授权代理人（签字或盖章）:</w:t>
      </w:r>
    </w:p>
    <w:p w14:paraId="601CD2D3">
      <w:pPr>
        <w:widowControl/>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lang w:bidi="ar"/>
        </w:rPr>
        <w:t>日期:2025年   月   日</w:t>
      </w:r>
    </w:p>
    <w:p w14:paraId="4CD0D84C">
      <w:pPr>
        <w:ind w:firstLine="0" w:firstLineChars="0"/>
        <w:jc w:val="center"/>
        <w:rPr>
          <w:rFonts w:hint="eastAsia" w:ascii="宋体" w:hAnsi="宋体" w:cs="宋体"/>
          <w:b/>
          <w:bCs/>
          <w:color w:val="auto"/>
          <w:sz w:val="30"/>
          <w:szCs w:val="30"/>
          <w:highlight w:val="none"/>
          <w:lang w:bidi="ar"/>
        </w:rPr>
      </w:pPr>
    </w:p>
    <w:p w14:paraId="0306A7D1">
      <w:pPr>
        <w:ind w:firstLine="0" w:firstLineChars="0"/>
        <w:jc w:val="center"/>
        <w:rPr>
          <w:rFonts w:hint="eastAsia" w:ascii="宋体" w:hAnsi="宋体" w:cs="宋体"/>
          <w:b/>
          <w:bCs/>
          <w:color w:val="auto"/>
          <w:sz w:val="30"/>
          <w:szCs w:val="30"/>
          <w:highlight w:val="none"/>
          <w:lang w:bidi="ar"/>
        </w:rPr>
      </w:pPr>
    </w:p>
    <w:p w14:paraId="3160A5FD">
      <w:pPr>
        <w:ind w:firstLine="0" w:firstLineChars="0"/>
        <w:jc w:val="center"/>
        <w:rPr>
          <w:rFonts w:hint="eastAsia" w:ascii="宋体" w:hAnsi="宋体" w:cs="宋体"/>
          <w:b/>
          <w:bCs/>
          <w:color w:val="auto"/>
          <w:sz w:val="30"/>
          <w:szCs w:val="30"/>
          <w:highlight w:val="none"/>
          <w:lang w:bidi="ar"/>
        </w:rPr>
      </w:pPr>
    </w:p>
    <w:p w14:paraId="63CCA311">
      <w:pPr>
        <w:ind w:firstLine="0" w:firstLineChars="0"/>
        <w:jc w:val="center"/>
        <w:rPr>
          <w:rFonts w:hint="eastAsia" w:ascii="宋体" w:hAnsi="宋体" w:cs="宋体"/>
          <w:b/>
          <w:bCs/>
          <w:color w:val="auto"/>
          <w:sz w:val="30"/>
          <w:szCs w:val="30"/>
          <w:highlight w:val="none"/>
          <w:lang w:bidi="ar"/>
        </w:rPr>
      </w:pPr>
      <w:r>
        <w:rPr>
          <w:rFonts w:hint="eastAsia" w:ascii="宋体" w:hAnsi="宋体" w:cs="宋体"/>
          <w:b/>
          <w:bCs/>
          <w:color w:val="auto"/>
          <w:sz w:val="30"/>
          <w:szCs w:val="30"/>
          <w:highlight w:val="none"/>
          <w:lang w:bidi="ar"/>
        </w:rPr>
        <w:t xml:space="preserve"> </w:t>
      </w:r>
    </w:p>
    <w:p w14:paraId="3C98B0F2">
      <w:pPr>
        <w:spacing w:line="240" w:lineRule="auto"/>
        <w:ind w:firstLine="0" w:firstLineChars="0"/>
        <w:outlineLvl w:val="1"/>
        <w:rPr>
          <w:rFonts w:hint="eastAsia" w:ascii="宋体" w:hAnsi="宋体" w:cs="宋体"/>
          <w:b/>
          <w:bCs/>
          <w:color w:val="auto"/>
          <w:highlight w:val="none"/>
          <w:lang w:bidi="ar"/>
        </w:rPr>
      </w:pPr>
      <w:bookmarkStart w:id="447" w:name="_Toc9415"/>
    </w:p>
    <w:p w14:paraId="48C911B9">
      <w:pPr>
        <w:spacing w:line="240" w:lineRule="auto"/>
        <w:ind w:firstLine="0" w:firstLineChars="0"/>
        <w:outlineLvl w:val="1"/>
        <w:rPr>
          <w:rFonts w:hint="eastAsia" w:ascii="宋体" w:hAnsi="宋体" w:cs="宋体"/>
          <w:b/>
          <w:color w:val="auto"/>
          <w:sz w:val="30"/>
          <w:szCs w:val="30"/>
          <w:highlight w:val="none"/>
        </w:rPr>
      </w:pPr>
      <w:r>
        <w:rPr>
          <w:rFonts w:hint="eastAsia" w:ascii="宋体" w:hAnsi="宋体" w:cs="宋体"/>
          <w:b/>
          <w:bCs/>
          <w:color w:val="auto"/>
          <w:highlight w:val="none"/>
          <w:lang w:bidi="ar"/>
        </w:rPr>
        <w:t>附件7</w:t>
      </w:r>
      <w:bookmarkEnd w:id="447"/>
    </w:p>
    <w:p w14:paraId="64B9CFEE">
      <w:pPr>
        <w:widowControl/>
        <w:spacing w:line="240" w:lineRule="auto"/>
        <w:ind w:firstLine="0" w:firstLineChars="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产品配置及主要技术参数</w:t>
      </w:r>
    </w:p>
    <w:p w14:paraId="476AC29D">
      <w:pPr>
        <w:widowControl/>
        <w:snapToGrid w:val="0"/>
        <w:spacing w:line="240" w:lineRule="auto"/>
        <w:ind w:firstLine="480"/>
        <w:rPr>
          <w:rFonts w:hint="eastAsia" w:ascii="宋体" w:hAnsi="宋体" w:cs="宋体"/>
          <w:color w:val="auto"/>
          <w:highlight w:val="none"/>
          <w:lang w:bidi="ar"/>
        </w:rPr>
      </w:pPr>
      <w:r>
        <w:rPr>
          <w:rFonts w:hint="eastAsia" w:ascii="宋体" w:hAnsi="宋体" w:cs="宋体"/>
          <w:color w:val="auto"/>
          <w:highlight w:val="none"/>
          <w:lang w:bidi="ar"/>
        </w:rPr>
        <w:t>项目名称：</w:t>
      </w:r>
    </w:p>
    <w:p w14:paraId="65B8E31D">
      <w:pPr>
        <w:pStyle w:val="21"/>
        <w:spacing w:line="440" w:lineRule="atLeast"/>
        <w:ind w:firstLine="480"/>
        <w:rPr>
          <w:rFonts w:hint="eastAsia" w:hAnsi="宋体" w:cs="Arial"/>
          <w:bCs/>
          <w:color w:val="auto"/>
          <w:sz w:val="36"/>
          <w:szCs w:val="36"/>
          <w:highlight w:val="none"/>
        </w:rPr>
      </w:pPr>
      <w:r>
        <w:rPr>
          <w:rFonts w:hint="eastAsia" w:hAnsi="宋体" w:cs="宋体"/>
          <w:color w:val="auto"/>
          <w:szCs w:val="24"/>
          <w:highlight w:val="none"/>
          <w:lang w:bidi="ar"/>
        </w:rPr>
        <w:t>项目编号：</w:t>
      </w:r>
      <w:r>
        <w:rPr>
          <w:rFonts w:hint="eastAsia" w:hAnsi="宋体" w:cs="Arial"/>
          <w:bCs/>
          <w:color w:val="auto"/>
          <w:sz w:val="22"/>
          <w:szCs w:val="22"/>
          <w:highlight w:val="none"/>
          <w:u w:val="single"/>
        </w:rPr>
        <w:t xml:space="preserve">            </w:t>
      </w:r>
      <w:r>
        <w:rPr>
          <w:rFonts w:hint="eastAsia" w:hAnsi="宋体" w:cs="Arial"/>
          <w:bCs/>
          <w:color w:val="auto"/>
          <w:sz w:val="22"/>
          <w:szCs w:val="22"/>
          <w:highlight w:val="none"/>
        </w:rPr>
        <w:t xml:space="preserve"> </w:t>
      </w:r>
    </w:p>
    <w:tbl>
      <w:tblPr>
        <w:tblStyle w:val="43"/>
        <w:tblW w:w="9323" w:type="dxa"/>
        <w:jc w:val="center"/>
        <w:tblLayout w:type="fixed"/>
        <w:tblCellMar>
          <w:top w:w="0" w:type="dxa"/>
          <w:left w:w="108" w:type="dxa"/>
          <w:bottom w:w="0" w:type="dxa"/>
          <w:right w:w="108" w:type="dxa"/>
        </w:tblCellMar>
      </w:tblPr>
      <w:tblGrid>
        <w:gridCol w:w="747"/>
        <w:gridCol w:w="1678"/>
        <w:gridCol w:w="1559"/>
        <w:gridCol w:w="2820"/>
        <w:gridCol w:w="1061"/>
        <w:gridCol w:w="1222"/>
        <w:gridCol w:w="236"/>
      </w:tblGrid>
      <w:tr w14:paraId="05E4E085">
        <w:tblPrEx>
          <w:tblCellMar>
            <w:top w:w="0" w:type="dxa"/>
            <w:left w:w="108" w:type="dxa"/>
            <w:bottom w:w="0" w:type="dxa"/>
            <w:right w:w="108" w:type="dxa"/>
          </w:tblCellMar>
        </w:tblPrEx>
        <w:trPr>
          <w:trHeight w:val="499" w:hRule="atLeast"/>
          <w:tblHeader/>
          <w:jc w:val="center"/>
        </w:trPr>
        <w:tc>
          <w:tcPr>
            <w:tcW w:w="747" w:type="dxa"/>
            <w:tcBorders>
              <w:top w:val="single" w:color="auto" w:sz="4" w:space="0"/>
              <w:left w:val="single" w:color="auto" w:sz="4" w:space="0"/>
              <w:bottom w:val="single" w:color="auto" w:sz="4" w:space="0"/>
              <w:right w:val="single" w:color="auto" w:sz="4" w:space="0"/>
            </w:tcBorders>
            <w:vAlign w:val="center"/>
          </w:tcPr>
          <w:p w14:paraId="00EDC6D3">
            <w:pPr>
              <w:widowControl/>
              <w:ind w:firstLine="0" w:firstLineChars="0"/>
              <w:jc w:val="center"/>
              <w:rPr>
                <w:rFonts w:ascii="宋体"/>
                <w:color w:val="auto"/>
                <w:sz w:val="22"/>
                <w:szCs w:val="22"/>
                <w:highlight w:val="none"/>
              </w:rPr>
            </w:pPr>
            <w:r>
              <w:rPr>
                <w:rFonts w:hint="eastAsia" w:ascii="宋体"/>
                <w:color w:val="auto"/>
                <w:sz w:val="22"/>
                <w:szCs w:val="22"/>
                <w:highlight w:val="none"/>
              </w:rPr>
              <w:t>序号</w:t>
            </w:r>
          </w:p>
        </w:tc>
        <w:tc>
          <w:tcPr>
            <w:tcW w:w="1678" w:type="dxa"/>
            <w:tcBorders>
              <w:top w:val="single" w:color="auto" w:sz="4" w:space="0"/>
              <w:left w:val="nil"/>
              <w:bottom w:val="single" w:color="auto" w:sz="4" w:space="0"/>
              <w:right w:val="single" w:color="auto" w:sz="4" w:space="0"/>
            </w:tcBorders>
            <w:vAlign w:val="center"/>
          </w:tcPr>
          <w:p w14:paraId="3CF146B9">
            <w:pPr>
              <w:widowControl/>
              <w:ind w:firstLine="0" w:firstLineChars="0"/>
              <w:jc w:val="center"/>
              <w:rPr>
                <w:rFonts w:ascii="宋体"/>
                <w:color w:val="auto"/>
                <w:sz w:val="22"/>
                <w:szCs w:val="22"/>
                <w:highlight w:val="none"/>
              </w:rPr>
            </w:pPr>
            <w:r>
              <w:rPr>
                <w:rFonts w:hint="eastAsia" w:ascii="宋体"/>
                <w:color w:val="auto"/>
                <w:sz w:val="22"/>
                <w:szCs w:val="22"/>
                <w:highlight w:val="none"/>
              </w:rPr>
              <w:t>产品名称</w:t>
            </w:r>
          </w:p>
        </w:tc>
        <w:tc>
          <w:tcPr>
            <w:tcW w:w="1559" w:type="dxa"/>
            <w:tcBorders>
              <w:top w:val="single" w:color="auto" w:sz="4" w:space="0"/>
              <w:left w:val="nil"/>
              <w:bottom w:val="single" w:color="auto" w:sz="4" w:space="0"/>
              <w:right w:val="single" w:color="auto" w:sz="4" w:space="0"/>
            </w:tcBorders>
            <w:vAlign w:val="center"/>
          </w:tcPr>
          <w:p w14:paraId="0F32F849">
            <w:pPr>
              <w:widowControl/>
              <w:ind w:firstLine="0" w:firstLineChars="0"/>
              <w:jc w:val="center"/>
              <w:rPr>
                <w:rFonts w:ascii="宋体"/>
                <w:color w:val="auto"/>
                <w:sz w:val="22"/>
                <w:szCs w:val="22"/>
                <w:highlight w:val="none"/>
              </w:rPr>
            </w:pPr>
            <w:r>
              <w:rPr>
                <w:rFonts w:hint="eastAsia" w:ascii="宋体"/>
                <w:color w:val="auto"/>
                <w:sz w:val="22"/>
                <w:szCs w:val="22"/>
                <w:highlight w:val="none"/>
              </w:rPr>
              <w:t>品牌</w:t>
            </w:r>
          </w:p>
        </w:tc>
        <w:tc>
          <w:tcPr>
            <w:tcW w:w="2820" w:type="dxa"/>
            <w:tcBorders>
              <w:top w:val="single" w:color="auto" w:sz="4" w:space="0"/>
              <w:left w:val="nil"/>
              <w:bottom w:val="single" w:color="auto" w:sz="4" w:space="0"/>
              <w:right w:val="single" w:color="auto" w:sz="4" w:space="0"/>
            </w:tcBorders>
            <w:vAlign w:val="center"/>
          </w:tcPr>
          <w:p w14:paraId="316BB5A1">
            <w:pPr>
              <w:widowControl/>
              <w:ind w:firstLine="0" w:firstLineChars="0"/>
              <w:jc w:val="center"/>
              <w:rPr>
                <w:rFonts w:ascii="宋体"/>
                <w:color w:val="auto"/>
                <w:sz w:val="22"/>
                <w:szCs w:val="22"/>
                <w:highlight w:val="none"/>
              </w:rPr>
            </w:pPr>
            <w:r>
              <w:rPr>
                <w:rFonts w:hint="eastAsia" w:ascii="宋体"/>
                <w:color w:val="auto"/>
                <w:sz w:val="22"/>
                <w:szCs w:val="22"/>
                <w:highlight w:val="none"/>
              </w:rPr>
              <w:t>规格型号</w:t>
            </w:r>
          </w:p>
        </w:tc>
        <w:tc>
          <w:tcPr>
            <w:tcW w:w="1061" w:type="dxa"/>
            <w:tcBorders>
              <w:top w:val="single" w:color="auto" w:sz="4" w:space="0"/>
              <w:left w:val="nil"/>
              <w:bottom w:val="single" w:color="auto" w:sz="4" w:space="0"/>
              <w:right w:val="single" w:color="auto" w:sz="4" w:space="0"/>
            </w:tcBorders>
            <w:vAlign w:val="center"/>
          </w:tcPr>
          <w:p w14:paraId="0C23A24E">
            <w:pPr>
              <w:widowControl/>
              <w:ind w:firstLine="0" w:firstLineChars="0"/>
              <w:jc w:val="center"/>
              <w:rPr>
                <w:rFonts w:ascii="宋体"/>
                <w:color w:val="auto"/>
                <w:sz w:val="22"/>
                <w:szCs w:val="22"/>
                <w:highlight w:val="none"/>
              </w:rPr>
            </w:pPr>
            <w:r>
              <w:rPr>
                <w:rFonts w:hint="eastAsia" w:ascii="宋体"/>
                <w:color w:val="auto"/>
                <w:sz w:val="22"/>
                <w:szCs w:val="22"/>
                <w:highlight w:val="none"/>
              </w:rPr>
              <w:t>单位</w:t>
            </w:r>
          </w:p>
        </w:tc>
        <w:tc>
          <w:tcPr>
            <w:tcW w:w="1222" w:type="dxa"/>
            <w:tcBorders>
              <w:top w:val="single" w:color="auto" w:sz="4" w:space="0"/>
              <w:left w:val="nil"/>
              <w:bottom w:val="single" w:color="auto" w:sz="4" w:space="0"/>
              <w:right w:val="single" w:color="auto" w:sz="4" w:space="0"/>
            </w:tcBorders>
            <w:vAlign w:val="center"/>
          </w:tcPr>
          <w:p w14:paraId="4E164262">
            <w:pPr>
              <w:widowControl/>
              <w:ind w:firstLine="0" w:firstLineChars="0"/>
              <w:jc w:val="center"/>
              <w:rPr>
                <w:rFonts w:ascii="宋体"/>
                <w:color w:val="auto"/>
                <w:sz w:val="22"/>
                <w:szCs w:val="22"/>
                <w:highlight w:val="none"/>
              </w:rPr>
            </w:pPr>
            <w:r>
              <w:rPr>
                <w:rFonts w:hint="eastAsia" w:ascii="宋体"/>
                <w:color w:val="auto"/>
                <w:sz w:val="22"/>
                <w:szCs w:val="22"/>
                <w:highlight w:val="none"/>
              </w:rPr>
              <w:t>数量</w:t>
            </w:r>
          </w:p>
        </w:tc>
        <w:tc>
          <w:tcPr>
            <w:tcW w:w="236" w:type="dxa"/>
            <w:vAlign w:val="center"/>
          </w:tcPr>
          <w:p w14:paraId="46FD7E58">
            <w:pPr>
              <w:widowControl/>
              <w:ind w:firstLine="440"/>
              <w:jc w:val="center"/>
              <w:rPr>
                <w:rFonts w:ascii="宋体"/>
                <w:color w:val="auto"/>
                <w:sz w:val="22"/>
                <w:szCs w:val="22"/>
                <w:highlight w:val="none"/>
              </w:rPr>
            </w:pPr>
          </w:p>
        </w:tc>
      </w:tr>
      <w:tr w14:paraId="62FDBC3D">
        <w:tblPrEx>
          <w:tblCellMar>
            <w:top w:w="0" w:type="dxa"/>
            <w:left w:w="108" w:type="dxa"/>
            <w:bottom w:w="0" w:type="dxa"/>
            <w:right w:w="108" w:type="dxa"/>
          </w:tblCellMar>
        </w:tblPrEx>
        <w:trPr>
          <w:gridAfter w:val="1"/>
          <w:wAfter w:w="236" w:type="dxa"/>
          <w:trHeight w:val="499" w:hRule="atLeast"/>
          <w:tblHeader/>
          <w:jc w:val="center"/>
        </w:trPr>
        <w:tc>
          <w:tcPr>
            <w:tcW w:w="747" w:type="dxa"/>
            <w:tcBorders>
              <w:top w:val="single" w:color="auto" w:sz="4" w:space="0"/>
              <w:left w:val="single" w:color="auto" w:sz="4" w:space="0"/>
              <w:bottom w:val="single" w:color="auto" w:sz="4" w:space="0"/>
              <w:right w:val="single" w:color="auto" w:sz="4" w:space="0"/>
            </w:tcBorders>
            <w:vAlign w:val="center"/>
          </w:tcPr>
          <w:p w14:paraId="38860D08">
            <w:pPr>
              <w:widowControl/>
              <w:ind w:firstLine="440"/>
              <w:jc w:val="center"/>
              <w:rPr>
                <w:rFonts w:ascii="宋体"/>
                <w:color w:val="auto"/>
                <w:sz w:val="22"/>
                <w:szCs w:val="22"/>
                <w:highlight w:val="none"/>
              </w:rPr>
            </w:pPr>
          </w:p>
        </w:tc>
        <w:tc>
          <w:tcPr>
            <w:tcW w:w="1678" w:type="dxa"/>
            <w:tcBorders>
              <w:top w:val="single" w:color="auto" w:sz="4" w:space="0"/>
              <w:left w:val="nil"/>
              <w:bottom w:val="single" w:color="auto" w:sz="4" w:space="0"/>
              <w:right w:val="single" w:color="auto" w:sz="4" w:space="0"/>
            </w:tcBorders>
            <w:vAlign w:val="center"/>
          </w:tcPr>
          <w:p w14:paraId="09AEC706">
            <w:pPr>
              <w:widowControl/>
              <w:ind w:firstLine="440"/>
              <w:jc w:val="center"/>
              <w:rPr>
                <w:rFonts w:ascii="宋体"/>
                <w:color w:val="auto"/>
                <w:sz w:val="22"/>
                <w:szCs w:val="22"/>
                <w:highlight w:val="none"/>
              </w:rPr>
            </w:pPr>
          </w:p>
        </w:tc>
        <w:tc>
          <w:tcPr>
            <w:tcW w:w="1559" w:type="dxa"/>
            <w:tcBorders>
              <w:top w:val="single" w:color="auto" w:sz="4" w:space="0"/>
              <w:left w:val="nil"/>
              <w:bottom w:val="single" w:color="auto" w:sz="4" w:space="0"/>
              <w:right w:val="single" w:color="auto" w:sz="4" w:space="0"/>
            </w:tcBorders>
          </w:tcPr>
          <w:p w14:paraId="1115DFDD">
            <w:pPr>
              <w:widowControl/>
              <w:ind w:firstLine="440"/>
              <w:jc w:val="center"/>
              <w:rPr>
                <w:rFonts w:ascii="宋体"/>
                <w:color w:val="auto"/>
                <w:sz w:val="22"/>
                <w:szCs w:val="22"/>
                <w:highlight w:val="none"/>
              </w:rPr>
            </w:pPr>
          </w:p>
        </w:tc>
        <w:tc>
          <w:tcPr>
            <w:tcW w:w="2820" w:type="dxa"/>
            <w:tcBorders>
              <w:top w:val="single" w:color="auto" w:sz="4" w:space="0"/>
              <w:left w:val="nil"/>
              <w:bottom w:val="single" w:color="auto" w:sz="4" w:space="0"/>
              <w:right w:val="single" w:color="auto" w:sz="4" w:space="0"/>
            </w:tcBorders>
            <w:vAlign w:val="center"/>
          </w:tcPr>
          <w:p w14:paraId="0F39DAFC">
            <w:pPr>
              <w:widowControl/>
              <w:ind w:firstLine="440"/>
              <w:jc w:val="center"/>
              <w:rPr>
                <w:rFonts w:ascii="宋体"/>
                <w:color w:val="auto"/>
                <w:sz w:val="22"/>
                <w:szCs w:val="22"/>
                <w:highlight w:val="none"/>
              </w:rPr>
            </w:pPr>
          </w:p>
        </w:tc>
        <w:tc>
          <w:tcPr>
            <w:tcW w:w="1061" w:type="dxa"/>
            <w:tcBorders>
              <w:top w:val="single" w:color="auto" w:sz="4" w:space="0"/>
              <w:left w:val="nil"/>
              <w:bottom w:val="single" w:color="auto" w:sz="4" w:space="0"/>
              <w:right w:val="single" w:color="auto" w:sz="4" w:space="0"/>
            </w:tcBorders>
            <w:vAlign w:val="center"/>
          </w:tcPr>
          <w:p w14:paraId="3992A3C7">
            <w:pPr>
              <w:widowControl/>
              <w:ind w:firstLine="440"/>
              <w:jc w:val="center"/>
              <w:rPr>
                <w:rFonts w:ascii="宋体"/>
                <w:color w:val="auto"/>
                <w:sz w:val="22"/>
                <w:szCs w:val="22"/>
                <w:highlight w:val="none"/>
              </w:rPr>
            </w:pPr>
          </w:p>
        </w:tc>
        <w:tc>
          <w:tcPr>
            <w:tcW w:w="1222" w:type="dxa"/>
            <w:tcBorders>
              <w:top w:val="single" w:color="auto" w:sz="4" w:space="0"/>
              <w:left w:val="nil"/>
              <w:bottom w:val="single" w:color="auto" w:sz="4" w:space="0"/>
              <w:right w:val="single" w:color="auto" w:sz="4" w:space="0"/>
            </w:tcBorders>
            <w:vAlign w:val="center"/>
          </w:tcPr>
          <w:p w14:paraId="49A1E5E7">
            <w:pPr>
              <w:widowControl/>
              <w:ind w:firstLine="440"/>
              <w:jc w:val="center"/>
              <w:rPr>
                <w:rFonts w:ascii="宋体"/>
                <w:color w:val="auto"/>
                <w:sz w:val="22"/>
                <w:szCs w:val="22"/>
                <w:highlight w:val="none"/>
              </w:rPr>
            </w:pPr>
          </w:p>
        </w:tc>
      </w:tr>
      <w:tr w14:paraId="5D04ED37">
        <w:tblPrEx>
          <w:tblCellMar>
            <w:top w:w="0" w:type="dxa"/>
            <w:left w:w="108" w:type="dxa"/>
            <w:bottom w:w="0" w:type="dxa"/>
            <w:right w:w="108" w:type="dxa"/>
          </w:tblCellMar>
        </w:tblPrEx>
        <w:trPr>
          <w:gridAfter w:val="1"/>
          <w:wAfter w:w="236" w:type="dxa"/>
          <w:trHeight w:val="499" w:hRule="atLeast"/>
          <w:tblHeader/>
          <w:jc w:val="center"/>
        </w:trPr>
        <w:tc>
          <w:tcPr>
            <w:tcW w:w="747" w:type="dxa"/>
            <w:tcBorders>
              <w:top w:val="single" w:color="auto" w:sz="4" w:space="0"/>
              <w:left w:val="single" w:color="auto" w:sz="4" w:space="0"/>
              <w:bottom w:val="single" w:color="auto" w:sz="4" w:space="0"/>
              <w:right w:val="single" w:color="auto" w:sz="4" w:space="0"/>
            </w:tcBorders>
            <w:vAlign w:val="center"/>
          </w:tcPr>
          <w:p w14:paraId="3B2B4A86">
            <w:pPr>
              <w:widowControl/>
              <w:ind w:firstLine="440"/>
              <w:jc w:val="center"/>
              <w:rPr>
                <w:rFonts w:ascii="宋体"/>
                <w:color w:val="auto"/>
                <w:sz w:val="22"/>
                <w:szCs w:val="22"/>
                <w:highlight w:val="none"/>
              </w:rPr>
            </w:pPr>
          </w:p>
        </w:tc>
        <w:tc>
          <w:tcPr>
            <w:tcW w:w="1678" w:type="dxa"/>
            <w:tcBorders>
              <w:top w:val="single" w:color="auto" w:sz="4" w:space="0"/>
              <w:left w:val="nil"/>
              <w:bottom w:val="single" w:color="auto" w:sz="4" w:space="0"/>
              <w:right w:val="single" w:color="auto" w:sz="4" w:space="0"/>
            </w:tcBorders>
            <w:vAlign w:val="center"/>
          </w:tcPr>
          <w:p w14:paraId="06D6D2C5">
            <w:pPr>
              <w:widowControl/>
              <w:ind w:firstLine="440"/>
              <w:jc w:val="center"/>
              <w:rPr>
                <w:rFonts w:ascii="宋体"/>
                <w:color w:val="auto"/>
                <w:sz w:val="22"/>
                <w:szCs w:val="22"/>
                <w:highlight w:val="none"/>
              </w:rPr>
            </w:pPr>
          </w:p>
        </w:tc>
        <w:tc>
          <w:tcPr>
            <w:tcW w:w="1559" w:type="dxa"/>
            <w:tcBorders>
              <w:top w:val="single" w:color="auto" w:sz="4" w:space="0"/>
              <w:left w:val="nil"/>
              <w:bottom w:val="single" w:color="auto" w:sz="4" w:space="0"/>
              <w:right w:val="single" w:color="auto" w:sz="4" w:space="0"/>
            </w:tcBorders>
          </w:tcPr>
          <w:p w14:paraId="7A608C1B">
            <w:pPr>
              <w:widowControl/>
              <w:ind w:firstLine="440"/>
              <w:jc w:val="center"/>
              <w:rPr>
                <w:rFonts w:ascii="宋体"/>
                <w:color w:val="auto"/>
                <w:sz w:val="22"/>
                <w:szCs w:val="22"/>
                <w:highlight w:val="none"/>
              </w:rPr>
            </w:pPr>
          </w:p>
        </w:tc>
        <w:tc>
          <w:tcPr>
            <w:tcW w:w="2820" w:type="dxa"/>
            <w:tcBorders>
              <w:top w:val="single" w:color="auto" w:sz="4" w:space="0"/>
              <w:left w:val="nil"/>
              <w:bottom w:val="single" w:color="auto" w:sz="4" w:space="0"/>
              <w:right w:val="single" w:color="auto" w:sz="4" w:space="0"/>
            </w:tcBorders>
            <w:vAlign w:val="center"/>
          </w:tcPr>
          <w:p w14:paraId="64EBDF05">
            <w:pPr>
              <w:widowControl/>
              <w:ind w:firstLine="440"/>
              <w:jc w:val="center"/>
              <w:rPr>
                <w:rFonts w:ascii="宋体"/>
                <w:color w:val="auto"/>
                <w:sz w:val="22"/>
                <w:szCs w:val="22"/>
                <w:highlight w:val="none"/>
              </w:rPr>
            </w:pPr>
          </w:p>
        </w:tc>
        <w:tc>
          <w:tcPr>
            <w:tcW w:w="1061" w:type="dxa"/>
            <w:tcBorders>
              <w:top w:val="single" w:color="auto" w:sz="4" w:space="0"/>
              <w:left w:val="nil"/>
              <w:bottom w:val="single" w:color="auto" w:sz="4" w:space="0"/>
              <w:right w:val="single" w:color="auto" w:sz="4" w:space="0"/>
            </w:tcBorders>
            <w:vAlign w:val="center"/>
          </w:tcPr>
          <w:p w14:paraId="47D79C5B">
            <w:pPr>
              <w:widowControl/>
              <w:ind w:firstLine="440"/>
              <w:jc w:val="center"/>
              <w:rPr>
                <w:rFonts w:ascii="宋体"/>
                <w:color w:val="auto"/>
                <w:sz w:val="22"/>
                <w:szCs w:val="22"/>
                <w:highlight w:val="none"/>
              </w:rPr>
            </w:pPr>
          </w:p>
        </w:tc>
        <w:tc>
          <w:tcPr>
            <w:tcW w:w="1222" w:type="dxa"/>
            <w:tcBorders>
              <w:top w:val="single" w:color="auto" w:sz="4" w:space="0"/>
              <w:left w:val="nil"/>
              <w:bottom w:val="single" w:color="auto" w:sz="4" w:space="0"/>
              <w:right w:val="single" w:color="auto" w:sz="4" w:space="0"/>
            </w:tcBorders>
            <w:vAlign w:val="center"/>
          </w:tcPr>
          <w:p w14:paraId="35962B39">
            <w:pPr>
              <w:widowControl/>
              <w:ind w:firstLine="440"/>
              <w:jc w:val="center"/>
              <w:rPr>
                <w:rFonts w:ascii="宋体"/>
                <w:color w:val="auto"/>
                <w:sz w:val="22"/>
                <w:szCs w:val="22"/>
                <w:highlight w:val="none"/>
              </w:rPr>
            </w:pPr>
          </w:p>
        </w:tc>
      </w:tr>
      <w:tr w14:paraId="593260CE">
        <w:tblPrEx>
          <w:tblCellMar>
            <w:top w:w="0" w:type="dxa"/>
            <w:left w:w="108" w:type="dxa"/>
            <w:bottom w:w="0" w:type="dxa"/>
            <w:right w:w="108" w:type="dxa"/>
          </w:tblCellMar>
        </w:tblPrEx>
        <w:trPr>
          <w:gridAfter w:val="1"/>
          <w:wAfter w:w="236" w:type="dxa"/>
          <w:trHeight w:val="499" w:hRule="atLeast"/>
          <w:tblHeader/>
          <w:jc w:val="center"/>
        </w:trPr>
        <w:tc>
          <w:tcPr>
            <w:tcW w:w="747" w:type="dxa"/>
            <w:tcBorders>
              <w:top w:val="single" w:color="auto" w:sz="4" w:space="0"/>
              <w:left w:val="single" w:color="auto" w:sz="4" w:space="0"/>
              <w:bottom w:val="single" w:color="auto" w:sz="4" w:space="0"/>
              <w:right w:val="single" w:color="auto" w:sz="4" w:space="0"/>
            </w:tcBorders>
            <w:vAlign w:val="center"/>
          </w:tcPr>
          <w:p w14:paraId="210D4A13">
            <w:pPr>
              <w:widowControl/>
              <w:ind w:firstLine="440"/>
              <w:jc w:val="center"/>
              <w:rPr>
                <w:rFonts w:ascii="宋体"/>
                <w:color w:val="auto"/>
                <w:sz w:val="22"/>
                <w:szCs w:val="22"/>
                <w:highlight w:val="none"/>
              </w:rPr>
            </w:pPr>
          </w:p>
        </w:tc>
        <w:tc>
          <w:tcPr>
            <w:tcW w:w="1678" w:type="dxa"/>
            <w:tcBorders>
              <w:top w:val="single" w:color="auto" w:sz="4" w:space="0"/>
              <w:left w:val="nil"/>
              <w:bottom w:val="single" w:color="auto" w:sz="4" w:space="0"/>
              <w:right w:val="single" w:color="auto" w:sz="4" w:space="0"/>
            </w:tcBorders>
            <w:vAlign w:val="center"/>
          </w:tcPr>
          <w:p w14:paraId="15DF6E62">
            <w:pPr>
              <w:widowControl/>
              <w:ind w:firstLine="440"/>
              <w:jc w:val="center"/>
              <w:rPr>
                <w:rFonts w:ascii="宋体"/>
                <w:color w:val="auto"/>
                <w:sz w:val="22"/>
                <w:szCs w:val="22"/>
                <w:highlight w:val="none"/>
              </w:rPr>
            </w:pPr>
          </w:p>
        </w:tc>
        <w:tc>
          <w:tcPr>
            <w:tcW w:w="1559" w:type="dxa"/>
            <w:tcBorders>
              <w:top w:val="single" w:color="auto" w:sz="4" w:space="0"/>
              <w:left w:val="nil"/>
              <w:bottom w:val="single" w:color="auto" w:sz="4" w:space="0"/>
              <w:right w:val="single" w:color="auto" w:sz="4" w:space="0"/>
            </w:tcBorders>
          </w:tcPr>
          <w:p w14:paraId="379A50E9">
            <w:pPr>
              <w:widowControl/>
              <w:ind w:firstLine="440"/>
              <w:jc w:val="center"/>
              <w:rPr>
                <w:rFonts w:ascii="宋体"/>
                <w:color w:val="auto"/>
                <w:sz w:val="22"/>
                <w:szCs w:val="22"/>
                <w:highlight w:val="none"/>
              </w:rPr>
            </w:pPr>
          </w:p>
        </w:tc>
        <w:tc>
          <w:tcPr>
            <w:tcW w:w="2820" w:type="dxa"/>
            <w:tcBorders>
              <w:top w:val="single" w:color="auto" w:sz="4" w:space="0"/>
              <w:left w:val="nil"/>
              <w:bottom w:val="single" w:color="auto" w:sz="4" w:space="0"/>
              <w:right w:val="single" w:color="auto" w:sz="4" w:space="0"/>
            </w:tcBorders>
            <w:vAlign w:val="center"/>
          </w:tcPr>
          <w:p w14:paraId="361ED409">
            <w:pPr>
              <w:widowControl/>
              <w:ind w:firstLine="440"/>
              <w:jc w:val="center"/>
              <w:rPr>
                <w:rFonts w:ascii="宋体"/>
                <w:color w:val="auto"/>
                <w:sz w:val="22"/>
                <w:szCs w:val="22"/>
                <w:highlight w:val="none"/>
              </w:rPr>
            </w:pPr>
          </w:p>
        </w:tc>
        <w:tc>
          <w:tcPr>
            <w:tcW w:w="1061" w:type="dxa"/>
            <w:tcBorders>
              <w:top w:val="single" w:color="auto" w:sz="4" w:space="0"/>
              <w:left w:val="nil"/>
              <w:bottom w:val="single" w:color="auto" w:sz="4" w:space="0"/>
              <w:right w:val="single" w:color="auto" w:sz="4" w:space="0"/>
            </w:tcBorders>
            <w:vAlign w:val="center"/>
          </w:tcPr>
          <w:p w14:paraId="57B92B7E">
            <w:pPr>
              <w:widowControl/>
              <w:ind w:firstLine="440"/>
              <w:jc w:val="center"/>
              <w:rPr>
                <w:rFonts w:ascii="宋体"/>
                <w:color w:val="auto"/>
                <w:sz w:val="22"/>
                <w:szCs w:val="22"/>
                <w:highlight w:val="none"/>
              </w:rPr>
            </w:pPr>
          </w:p>
        </w:tc>
        <w:tc>
          <w:tcPr>
            <w:tcW w:w="1222" w:type="dxa"/>
            <w:tcBorders>
              <w:top w:val="single" w:color="auto" w:sz="4" w:space="0"/>
              <w:left w:val="nil"/>
              <w:bottom w:val="single" w:color="auto" w:sz="4" w:space="0"/>
              <w:right w:val="single" w:color="auto" w:sz="4" w:space="0"/>
            </w:tcBorders>
            <w:vAlign w:val="center"/>
          </w:tcPr>
          <w:p w14:paraId="75C672E3">
            <w:pPr>
              <w:widowControl/>
              <w:ind w:firstLine="440"/>
              <w:jc w:val="center"/>
              <w:rPr>
                <w:rFonts w:ascii="宋体"/>
                <w:color w:val="auto"/>
                <w:sz w:val="22"/>
                <w:szCs w:val="22"/>
                <w:highlight w:val="none"/>
              </w:rPr>
            </w:pPr>
          </w:p>
        </w:tc>
      </w:tr>
      <w:tr w14:paraId="4E5F7507">
        <w:tblPrEx>
          <w:tblCellMar>
            <w:top w:w="0" w:type="dxa"/>
            <w:left w:w="108" w:type="dxa"/>
            <w:bottom w:w="0" w:type="dxa"/>
            <w:right w:w="108" w:type="dxa"/>
          </w:tblCellMar>
        </w:tblPrEx>
        <w:trPr>
          <w:gridAfter w:val="1"/>
          <w:wAfter w:w="236" w:type="dxa"/>
          <w:trHeight w:val="90" w:hRule="atLeast"/>
          <w:tblHeader/>
          <w:jc w:val="center"/>
        </w:trPr>
        <w:tc>
          <w:tcPr>
            <w:tcW w:w="747" w:type="dxa"/>
            <w:tcBorders>
              <w:top w:val="single" w:color="auto" w:sz="4" w:space="0"/>
              <w:left w:val="single" w:color="auto" w:sz="4" w:space="0"/>
              <w:bottom w:val="single" w:color="auto" w:sz="4" w:space="0"/>
              <w:right w:val="single" w:color="auto" w:sz="4" w:space="0"/>
            </w:tcBorders>
            <w:vAlign w:val="center"/>
          </w:tcPr>
          <w:p w14:paraId="7CB89FDD">
            <w:pPr>
              <w:ind w:firstLine="480"/>
              <w:rPr>
                <w:color w:val="auto"/>
                <w:highlight w:val="none"/>
              </w:rPr>
            </w:pPr>
          </w:p>
          <w:p w14:paraId="51D9EA1A">
            <w:pPr>
              <w:ind w:firstLine="480"/>
              <w:rPr>
                <w:color w:val="auto"/>
                <w:highlight w:val="none"/>
              </w:rPr>
            </w:pPr>
          </w:p>
        </w:tc>
        <w:tc>
          <w:tcPr>
            <w:tcW w:w="1678" w:type="dxa"/>
            <w:tcBorders>
              <w:top w:val="single" w:color="auto" w:sz="4" w:space="0"/>
              <w:left w:val="nil"/>
              <w:bottom w:val="single" w:color="auto" w:sz="4" w:space="0"/>
              <w:right w:val="single" w:color="auto" w:sz="4" w:space="0"/>
            </w:tcBorders>
            <w:vAlign w:val="center"/>
          </w:tcPr>
          <w:p w14:paraId="2FF6DB5C">
            <w:pPr>
              <w:ind w:firstLine="480"/>
              <w:rPr>
                <w:color w:val="auto"/>
                <w:highlight w:val="none"/>
              </w:rPr>
            </w:pPr>
          </w:p>
        </w:tc>
        <w:tc>
          <w:tcPr>
            <w:tcW w:w="1559" w:type="dxa"/>
            <w:tcBorders>
              <w:top w:val="single" w:color="auto" w:sz="4" w:space="0"/>
              <w:left w:val="nil"/>
              <w:bottom w:val="single" w:color="auto" w:sz="4" w:space="0"/>
              <w:right w:val="single" w:color="auto" w:sz="4" w:space="0"/>
            </w:tcBorders>
          </w:tcPr>
          <w:p w14:paraId="2C4A3230">
            <w:pPr>
              <w:ind w:firstLine="480"/>
              <w:rPr>
                <w:color w:val="auto"/>
                <w:highlight w:val="none"/>
              </w:rPr>
            </w:pPr>
          </w:p>
        </w:tc>
        <w:tc>
          <w:tcPr>
            <w:tcW w:w="2820" w:type="dxa"/>
            <w:tcBorders>
              <w:top w:val="single" w:color="auto" w:sz="4" w:space="0"/>
              <w:left w:val="nil"/>
              <w:bottom w:val="single" w:color="auto" w:sz="4" w:space="0"/>
              <w:right w:val="single" w:color="auto" w:sz="4" w:space="0"/>
            </w:tcBorders>
            <w:vAlign w:val="center"/>
          </w:tcPr>
          <w:p w14:paraId="35742624">
            <w:pPr>
              <w:ind w:firstLine="480"/>
              <w:rPr>
                <w:color w:val="auto"/>
                <w:highlight w:val="none"/>
              </w:rPr>
            </w:pPr>
          </w:p>
        </w:tc>
        <w:tc>
          <w:tcPr>
            <w:tcW w:w="1061" w:type="dxa"/>
            <w:tcBorders>
              <w:top w:val="single" w:color="auto" w:sz="4" w:space="0"/>
              <w:left w:val="nil"/>
              <w:bottom w:val="single" w:color="auto" w:sz="4" w:space="0"/>
              <w:right w:val="single" w:color="auto" w:sz="4" w:space="0"/>
            </w:tcBorders>
            <w:vAlign w:val="center"/>
          </w:tcPr>
          <w:p w14:paraId="43E81097">
            <w:pPr>
              <w:ind w:firstLine="480"/>
              <w:rPr>
                <w:color w:val="auto"/>
                <w:highlight w:val="none"/>
              </w:rPr>
            </w:pPr>
          </w:p>
        </w:tc>
        <w:tc>
          <w:tcPr>
            <w:tcW w:w="1222" w:type="dxa"/>
            <w:tcBorders>
              <w:top w:val="single" w:color="auto" w:sz="4" w:space="0"/>
              <w:left w:val="nil"/>
              <w:bottom w:val="single" w:color="auto" w:sz="4" w:space="0"/>
              <w:right w:val="single" w:color="auto" w:sz="4" w:space="0"/>
            </w:tcBorders>
            <w:vAlign w:val="center"/>
          </w:tcPr>
          <w:p w14:paraId="38D13EB5">
            <w:pPr>
              <w:ind w:firstLine="480"/>
              <w:rPr>
                <w:color w:val="auto"/>
                <w:highlight w:val="none"/>
              </w:rPr>
            </w:pPr>
          </w:p>
        </w:tc>
      </w:tr>
      <w:tr w14:paraId="691022A5">
        <w:tblPrEx>
          <w:tblCellMar>
            <w:top w:w="0" w:type="dxa"/>
            <w:left w:w="108" w:type="dxa"/>
            <w:bottom w:w="0" w:type="dxa"/>
            <w:right w:w="108" w:type="dxa"/>
          </w:tblCellMar>
        </w:tblPrEx>
        <w:trPr>
          <w:gridAfter w:val="1"/>
          <w:wAfter w:w="236" w:type="dxa"/>
          <w:trHeight w:val="499" w:hRule="atLeast"/>
          <w:tblHeader/>
          <w:jc w:val="center"/>
        </w:trPr>
        <w:tc>
          <w:tcPr>
            <w:tcW w:w="747" w:type="dxa"/>
            <w:tcBorders>
              <w:top w:val="single" w:color="auto" w:sz="4" w:space="0"/>
              <w:left w:val="single" w:color="auto" w:sz="4" w:space="0"/>
              <w:bottom w:val="single" w:color="auto" w:sz="4" w:space="0"/>
              <w:right w:val="single" w:color="auto" w:sz="4" w:space="0"/>
            </w:tcBorders>
            <w:vAlign w:val="center"/>
          </w:tcPr>
          <w:p w14:paraId="3F196E20">
            <w:pPr>
              <w:widowControl/>
              <w:ind w:firstLine="440"/>
              <w:jc w:val="center"/>
              <w:rPr>
                <w:rFonts w:ascii="宋体"/>
                <w:color w:val="auto"/>
                <w:sz w:val="22"/>
                <w:szCs w:val="22"/>
                <w:highlight w:val="none"/>
              </w:rPr>
            </w:pPr>
          </w:p>
        </w:tc>
        <w:tc>
          <w:tcPr>
            <w:tcW w:w="1678" w:type="dxa"/>
            <w:tcBorders>
              <w:top w:val="single" w:color="auto" w:sz="4" w:space="0"/>
              <w:left w:val="nil"/>
              <w:bottom w:val="single" w:color="auto" w:sz="4" w:space="0"/>
              <w:right w:val="single" w:color="auto" w:sz="4" w:space="0"/>
            </w:tcBorders>
            <w:vAlign w:val="center"/>
          </w:tcPr>
          <w:p w14:paraId="4DA2A0A2">
            <w:pPr>
              <w:widowControl/>
              <w:ind w:firstLine="440"/>
              <w:jc w:val="center"/>
              <w:rPr>
                <w:rFonts w:ascii="宋体"/>
                <w:color w:val="auto"/>
                <w:sz w:val="22"/>
                <w:szCs w:val="22"/>
                <w:highlight w:val="none"/>
              </w:rPr>
            </w:pPr>
          </w:p>
        </w:tc>
        <w:tc>
          <w:tcPr>
            <w:tcW w:w="1559" w:type="dxa"/>
            <w:tcBorders>
              <w:top w:val="single" w:color="auto" w:sz="4" w:space="0"/>
              <w:left w:val="nil"/>
              <w:bottom w:val="single" w:color="auto" w:sz="4" w:space="0"/>
              <w:right w:val="single" w:color="auto" w:sz="4" w:space="0"/>
            </w:tcBorders>
          </w:tcPr>
          <w:p w14:paraId="72F94CFA">
            <w:pPr>
              <w:widowControl/>
              <w:ind w:firstLine="440"/>
              <w:jc w:val="center"/>
              <w:rPr>
                <w:rFonts w:ascii="宋体"/>
                <w:color w:val="auto"/>
                <w:sz w:val="22"/>
                <w:szCs w:val="22"/>
                <w:highlight w:val="none"/>
              </w:rPr>
            </w:pPr>
          </w:p>
        </w:tc>
        <w:tc>
          <w:tcPr>
            <w:tcW w:w="2820" w:type="dxa"/>
            <w:tcBorders>
              <w:top w:val="single" w:color="auto" w:sz="4" w:space="0"/>
              <w:left w:val="nil"/>
              <w:bottom w:val="single" w:color="auto" w:sz="4" w:space="0"/>
              <w:right w:val="single" w:color="auto" w:sz="4" w:space="0"/>
            </w:tcBorders>
            <w:vAlign w:val="center"/>
          </w:tcPr>
          <w:p w14:paraId="610B02C3">
            <w:pPr>
              <w:widowControl/>
              <w:ind w:firstLine="440"/>
              <w:jc w:val="center"/>
              <w:rPr>
                <w:rFonts w:ascii="宋体"/>
                <w:color w:val="auto"/>
                <w:sz w:val="22"/>
                <w:szCs w:val="22"/>
                <w:highlight w:val="none"/>
              </w:rPr>
            </w:pPr>
          </w:p>
        </w:tc>
        <w:tc>
          <w:tcPr>
            <w:tcW w:w="1061" w:type="dxa"/>
            <w:tcBorders>
              <w:top w:val="single" w:color="auto" w:sz="4" w:space="0"/>
              <w:left w:val="nil"/>
              <w:bottom w:val="single" w:color="auto" w:sz="4" w:space="0"/>
              <w:right w:val="single" w:color="auto" w:sz="4" w:space="0"/>
            </w:tcBorders>
            <w:vAlign w:val="center"/>
          </w:tcPr>
          <w:p w14:paraId="7E75DB10">
            <w:pPr>
              <w:widowControl/>
              <w:ind w:firstLine="440"/>
              <w:jc w:val="center"/>
              <w:rPr>
                <w:rFonts w:ascii="宋体"/>
                <w:color w:val="auto"/>
                <w:sz w:val="22"/>
                <w:szCs w:val="22"/>
                <w:highlight w:val="none"/>
              </w:rPr>
            </w:pPr>
          </w:p>
        </w:tc>
        <w:tc>
          <w:tcPr>
            <w:tcW w:w="1222" w:type="dxa"/>
            <w:tcBorders>
              <w:top w:val="single" w:color="auto" w:sz="4" w:space="0"/>
              <w:left w:val="nil"/>
              <w:bottom w:val="single" w:color="auto" w:sz="4" w:space="0"/>
              <w:right w:val="single" w:color="auto" w:sz="4" w:space="0"/>
            </w:tcBorders>
            <w:vAlign w:val="center"/>
          </w:tcPr>
          <w:p w14:paraId="0A61E80E">
            <w:pPr>
              <w:widowControl/>
              <w:ind w:firstLine="440"/>
              <w:jc w:val="center"/>
              <w:rPr>
                <w:rFonts w:ascii="宋体"/>
                <w:color w:val="auto"/>
                <w:sz w:val="22"/>
                <w:szCs w:val="22"/>
                <w:highlight w:val="none"/>
              </w:rPr>
            </w:pPr>
          </w:p>
        </w:tc>
      </w:tr>
      <w:tr w14:paraId="661D4AC2">
        <w:tblPrEx>
          <w:tblCellMar>
            <w:top w:w="0" w:type="dxa"/>
            <w:left w:w="108" w:type="dxa"/>
            <w:bottom w:w="0" w:type="dxa"/>
            <w:right w:w="108" w:type="dxa"/>
          </w:tblCellMar>
        </w:tblPrEx>
        <w:trPr>
          <w:gridAfter w:val="1"/>
          <w:wAfter w:w="236" w:type="dxa"/>
          <w:trHeight w:val="499" w:hRule="atLeast"/>
          <w:tblHeader/>
          <w:jc w:val="center"/>
        </w:trPr>
        <w:tc>
          <w:tcPr>
            <w:tcW w:w="747" w:type="dxa"/>
            <w:tcBorders>
              <w:top w:val="single" w:color="auto" w:sz="4" w:space="0"/>
              <w:left w:val="single" w:color="auto" w:sz="4" w:space="0"/>
              <w:bottom w:val="single" w:color="auto" w:sz="4" w:space="0"/>
              <w:right w:val="single" w:color="auto" w:sz="4" w:space="0"/>
            </w:tcBorders>
            <w:vAlign w:val="center"/>
          </w:tcPr>
          <w:p w14:paraId="2B0E11AC">
            <w:pPr>
              <w:widowControl/>
              <w:ind w:firstLine="440"/>
              <w:jc w:val="center"/>
              <w:rPr>
                <w:rFonts w:ascii="宋体"/>
                <w:color w:val="auto"/>
                <w:sz w:val="22"/>
                <w:szCs w:val="22"/>
                <w:highlight w:val="none"/>
              </w:rPr>
            </w:pPr>
          </w:p>
        </w:tc>
        <w:tc>
          <w:tcPr>
            <w:tcW w:w="1678" w:type="dxa"/>
            <w:tcBorders>
              <w:top w:val="single" w:color="auto" w:sz="4" w:space="0"/>
              <w:left w:val="nil"/>
              <w:bottom w:val="single" w:color="auto" w:sz="4" w:space="0"/>
              <w:right w:val="single" w:color="auto" w:sz="4" w:space="0"/>
            </w:tcBorders>
            <w:vAlign w:val="center"/>
          </w:tcPr>
          <w:p w14:paraId="55C8C561">
            <w:pPr>
              <w:widowControl/>
              <w:ind w:firstLine="440"/>
              <w:jc w:val="center"/>
              <w:rPr>
                <w:rFonts w:ascii="宋体"/>
                <w:color w:val="auto"/>
                <w:sz w:val="22"/>
                <w:szCs w:val="22"/>
                <w:highlight w:val="none"/>
              </w:rPr>
            </w:pPr>
          </w:p>
        </w:tc>
        <w:tc>
          <w:tcPr>
            <w:tcW w:w="1559" w:type="dxa"/>
            <w:tcBorders>
              <w:top w:val="single" w:color="auto" w:sz="4" w:space="0"/>
              <w:left w:val="nil"/>
              <w:bottom w:val="single" w:color="auto" w:sz="4" w:space="0"/>
              <w:right w:val="single" w:color="auto" w:sz="4" w:space="0"/>
            </w:tcBorders>
          </w:tcPr>
          <w:p w14:paraId="12490889">
            <w:pPr>
              <w:widowControl/>
              <w:ind w:firstLine="440"/>
              <w:jc w:val="center"/>
              <w:rPr>
                <w:rFonts w:ascii="宋体"/>
                <w:color w:val="auto"/>
                <w:sz w:val="22"/>
                <w:szCs w:val="22"/>
                <w:highlight w:val="none"/>
              </w:rPr>
            </w:pPr>
          </w:p>
        </w:tc>
        <w:tc>
          <w:tcPr>
            <w:tcW w:w="2820" w:type="dxa"/>
            <w:tcBorders>
              <w:top w:val="single" w:color="auto" w:sz="4" w:space="0"/>
              <w:left w:val="nil"/>
              <w:bottom w:val="single" w:color="auto" w:sz="4" w:space="0"/>
              <w:right w:val="single" w:color="auto" w:sz="4" w:space="0"/>
            </w:tcBorders>
            <w:vAlign w:val="center"/>
          </w:tcPr>
          <w:p w14:paraId="16D931A2">
            <w:pPr>
              <w:widowControl/>
              <w:ind w:firstLine="440"/>
              <w:jc w:val="center"/>
              <w:rPr>
                <w:rFonts w:ascii="宋体"/>
                <w:color w:val="auto"/>
                <w:sz w:val="22"/>
                <w:szCs w:val="22"/>
                <w:highlight w:val="none"/>
              </w:rPr>
            </w:pPr>
          </w:p>
        </w:tc>
        <w:tc>
          <w:tcPr>
            <w:tcW w:w="1061" w:type="dxa"/>
            <w:tcBorders>
              <w:top w:val="single" w:color="auto" w:sz="4" w:space="0"/>
              <w:left w:val="nil"/>
              <w:bottom w:val="single" w:color="auto" w:sz="4" w:space="0"/>
              <w:right w:val="single" w:color="auto" w:sz="4" w:space="0"/>
            </w:tcBorders>
            <w:vAlign w:val="center"/>
          </w:tcPr>
          <w:p w14:paraId="2551E0BB">
            <w:pPr>
              <w:widowControl/>
              <w:ind w:firstLine="440"/>
              <w:jc w:val="center"/>
              <w:rPr>
                <w:rFonts w:ascii="宋体"/>
                <w:color w:val="auto"/>
                <w:sz w:val="22"/>
                <w:szCs w:val="22"/>
                <w:highlight w:val="none"/>
              </w:rPr>
            </w:pPr>
          </w:p>
        </w:tc>
        <w:tc>
          <w:tcPr>
            <w:tcW w:w="1222" w:type="dxa"/>
            <w:tcBorders>
              <w:top w:val="single" w:color="auto" w:sz="4" w:space="0"/>
              <w:left w:val="nil"/>
              <w:bottom w:val="single" w:color="auto" w:sz="4" w:space="0"/>
              <w:right w:val="single" w:color="auto" w:sz="4" w:space="0"/>
            </w:tcBorders>
            <w:vAlign w:val="center"/>
          </w:tcPr>
          <w:p w14:paraId="51272758">
            <w:pPr>
              <w:widowControl/>
              <w:ind w:firstLine="440"/>
              <w:jc w:val="center"/>
              <w:rPr>
                <w:rFonts w:ascii="宋体"/>
                <w:color w:val="auto"/>
                <w:sz w:val="22"/>
                <w:szCs w:val="22"/>
                <w:highlight w:val="none"/>
              </w:rPr>
            </w:pPr>
          </w:p>
        </w:tc>
      </w:tr>
      <w:tr w14:paraId="35124DDB">
        <w:tblPrEx>
          <w:tblCellMar>
            <w:top w:w="0" w:type="dxa"/>
            <w:left w:w="108" w:type="dxa"/>
            <w:bottom w:w="0" w:type="dxa"/>
            <w:right w:w="108" w:type="dxa"/>
          </w:tblCellMar>
        </w:tblPrEx>
        <w:trPr>
          <w:gridAfter w:val="1"/>
          <w:wAfter w:w="236" w:type="dxa"/>
          <w:trHeight w:val="499" w:hRule="atLeast"/>
          <w:tblHeader/>
          <w:jc w:val="center"/>
        </w:trPr>
        <w:tc>
          <w:tcPr>
            <w:tcW w:w="747" w:type="dxa"/>
            <w:tcBorders>
              <w:top w:val="single" w:color="auto" w:sz="4" w:space="0"/>
              <w:left w:val="single" w:color="auto" w:sz="4" w:space="0"/>
              <w:bottom w:val="single" w:color="auto" w:sz="4" w:space="0"/>
              <w:right w:val="single" w:color="auto" w:sz="4" w:space="0"/>
            </w:tcBorders>
            <w:vAlign w:val="center"/>
          </w:tcPr>
          <w:p w14:paraId="0CC9F4FB">
            <w:pPr>
              <w:widowControl/>
              <w:ind w:firstLine="440"/>
              <w:jc w:val="center"/>
              <w:rPr>
                <w:rFonts w:ascii="宋体"/>
                <w:color w:val="auto"/>
                <w:sz w:val="22"/>
                <w:szCs w:val="22"/>
                <w:highlight w:val="none"/>
              </w:rPr>
            </w:pPr>
          </w:p>
        </w:tc>
        <w:tc>
          <w:tcPr>
            <w:tcW w:w="1678" w:type="dxa"/>
            <w:tcBorders>
              <w:top w:val="single" w:color="auto" w:sz="4" w:space="0"/>
              <w:left w:val="nil"/>
              <w:bottom w:val="single" w:color="auto" w:sz="4" w:space="0"/>
              <w:right w:val="single" w:color="auto" w:sz="4" w:space="0"/>
            </w:tcBorders>
            <w:vAlign w:val="center"/>
          </w:tcPr>
          <w:p w14:paraId="3AC8085E">
            <w:pPr>
              <w:widowControl/>
              <w:ind w:firstLine="440"/>
              <w:jc w:val="center"/>
              <w:rPr>
                <w:rFonts w:ascii="宋体"/>
                <w:color w:val="auto"/>
                <w:sz w:val="22"/>
                <w:szCs w:val="22"/>
                <w:highlight w:val="none"/>
              </w:rPr>
            </w:pPr>
          </w:p>
        </w:tc>
        <w:tc>
          <w:tcPr>
            <w:tcW w:w="1559" w:type="dxa"/>
            <w:tcBorders>
              <w:top w:val="single" w:color="auto" w:sz="4" w:space="0"/>
              <w:left w:val="nil"/>
              <w:bottom w:val="single" w:color="auto" w:sz="4" w:space="0"/>
              <w:right w:val="single" w:color="auto" w:sz="4" w:space="0"/>
            </w:tcBorders>
          </w:tcPr>
          <w:p w14:paraId="26F5C70E">
            <w:pPr>
              <w:widowControl/>
              <w:ind w:firstLine="440"/>
              <w:jc w:val="center"/>
              <w:rPr>
                <w:rFonts w:ascii="宋体"/>
                <w:color w:val="auto"/>
                <w:sz w:val="22"/>
                <w:szCs w:val="22"/>
                <w:highlight w:val="none"/>
              </w:rPr>
            </w:pPr>
          </w:p>
        </w:tc>
        <w:tc>
          <w:tcPr>
            <w:tcW w:w="2820" w:type="dxa"/>
            <w:tcBorders>
              <w:top w:val="single" w:color="auto" w:sz="4" w:space="0"/>
              <w:left w:val="nil"/>
              <w:bottom w:val="single" w:color="auto" w:sz="4" w:space="0"/>
              <w:right w:val="single" w:color="auto" w:sz="4" w:space="0"/>
            </w:tcBorders>
            <w:vAlign w:val="center"/>
          </w:tcPr>
          <w:p w14:paraId="3DE233CF">
            <w:pPr>
              <w:widowControl/>
              <w:ind w:firstLine="440"/>
              <w:jc w:val="center"/>
              <w:rPr>
                <w:rFonts w:ascii="宋体"/>
                <w:color w:val="auto"/>
                <w:sz w:val="22"/>
                <w:szCs w:val="22"/>
                <w:highlight w:val="none"/>
              </w:rPr>
            </w:pPr>
          </w:p>
        </w:tc>
        <w:tc>
          <w:tcPr>
            <w:tcW w:w="1061" w:type="dxa"/>
            <w:tcBorders>
              <w:top w:val="single" w:color="auto" w:sz="4" w:space="0"/>
              <w:left w:val="nil"/>
              <w:bottom w:val="single" w:color="auto" w:sz="4" w:space="0"/>
              <w:right w:val="single" w:color="auto" w:sz="4" w:space="0"/>
            </w:tcBorders>
            <w:vAlign w:val="center"/>
          </w:tcPr>
          <w:p w14:paraId="29EA703B">
            <w:pPr>
              <w:widowControl/>
              <w:ind w:firstLine="440"/>
              <w:jc w:val="center"/>
              <w:rPr>
                <w:rFonts w:ascii="宋体"/>
                <w:color w:val="auto"/>
                <w:sz w:val="22"/>
                <w:szCs w:val="22"/>
                <w:highlight w:val="none"/>
              </w:rPr>
            </w:pPr>
          </w:p>
        </w:tc>
        <w:tc>
          <w:tcPr>
            <w:tcW w:w="1222" w:type="dxa"/>
            <w:tcBorders>
              <w:top w:val="single" w:color="auto" w:sz="4" w:space="0"/>
              <w:left w:val="nil"/>
              <w:bottom w:val="single" w:color="auto" w:sz="4" w:space="0"/>
              <w:right w:val="single" w:color="auto" w:sz="4" w:space="0"/>
            </w:tcBorders>
            <w:vAlign w:val="center"/>
          </w:tcPr>
          <w:p w14:paraId="21E04DB8">
            <w:pPr>
              <w:widowControl/>
              <w:ind w:firstLine="440"/>
              <w:jc w:val="center"/>
              <w:rPr>
                <w:rFonts w:ascii="宋体"/>
                <w:color w:val="auto"/>
                <w:sz w:val="22"/>
                <w:szCs w:val="22"/>
                <w:highlight w:val="none"/>
              </w:rPr>
            </w:pPr>
          </w:p>
        </w:tc>
      </w:tr>
      <w:tr w14:paraId="02DAB838">
        <w:tblPrEx>
          <w:tblCellMar>
            <w:top w:w="0" w:type="dxa"/>
            <w:left w:w="108" w:type="dxa"/>
            <w:bottom w:w="0" w:type="dxa"/>
            <w:right w:w="108" w:type="dxa"/>
          </w:tblCellMar>
        </w:tblPrEx>
        <w:trPr>
          <w:gridAfter w:val="1"/>
          <w:wAfter w:w="236" w:type="dxa"/>
          <w:trHeight w:val="499" w:hRule="atLeast"/>
          <w:tblHeader/>
          <w:jc w:val="center"/>
        </w:trPr>
        <w:tc>
          <w:tcPr>
            <w:tcW w:w="747" w:type="dxa"/>
            <w:tcBorders>
              <w:top w:val="single" w:color="auto" w:sz="4" w:space="0"/>
              <w:left w:val="single" w:color="auto" w:sz="4" w:space="0"/>
              <w:bottom w:val="single" w:color="auto" w:sz="4" w:space="0"/>
              <w:right w:val="single" w:color="auto" w:sz="4" w:space="0"/>
            </w:tcBorders>
            <w:vAlign w:val="center"/>
          </w:tcPr>
          <w:p w14:paraId="1A41A560">
            <w:pPr>
              <w:widowControl/>
              <w:ind w:firstLine="440"/>
              <w:jc w:val="center"/>
              <w:rPr>
                <w:rFonts w:ascii="宋体"/>
                <w:color w:val="auto"/>
                <w:sz w:val="22"/>
                <w:szCs w:val="22"/>
                <w:highlight w:val="none"/>
              </w:rPr>
            </w:pPr>
          </w:p>
        </w:tc>
        <w:tc>
          <w:tcPr>
            <w:tcW w:w="1678" w:type="dxa"/>
            <w:tcBorders>
              <w:top w:val="single" w:color="auto" w:sz="4" w:space="0"/>
              <w:left w:val="nil"/>
              <w:bottom w:val="single" w:color="auto" w:sz="4" w:space="0"/>
              <w:right w:val="single" w:color="auto" w:sz="4" w:space="0"/>
            </w:tcBorders>
            <w:vAlign w:val="center"/>
          </w:tcPr>
          <w:p w14:paraId="63720D0B">
            <w:pPr>
              <w:widowControl/>
              <w:ind w:firstLine="440"/>
              <w:jc w:val="center"/>
              <w:rPr>
                <w:rFonts w:ascii="宋体"/>
                <w:color w:val="auto"/>
                <w:sz w:val="22"/>
                <w:szCs w:val="22"/>
                <w:highlight w:val="none"/>
              </w:rPr>
            </w:pPr>
          </w:p>
        </w:tc>
        <w:tc>
          <w:tcPr>
            <w:tcW w:w="1559" w:type="dxa"/>
            <w:tcBorders>
              <w:top w:val="single" w:color="auto" w:sz="4" w:space="0"/>
              <w:left w:val="nil"/>
              <w:bottom w:val="single" w:color="auto" w:sz="4" w:space="0"/>
              <w:right w:val="single" w:color="auto" w:sz="4" w:space="0"/>
            </w:tcBorders>
          </w:tcPr>
          <w:p w14:paraId="296B4F8A">
            <w:pPr>
              <w:widowControl/>
              <w:ind w:firstLine="440"/>
              <w:jc w:val="center"/>
              <w:rPr>
                <w:rFonts w:ascii="宋体"/>
                <w:color w:val="auto"/>
                <w:sz w:val="22"/>
                <w:szCs w:val="22"/>
                <w:highlight w:val="none"/>
              </w:rPr>
            </w:pPr>
          </w:p>
        </w:tc>
        <w:tc>
          <w:tcPr>
            <w:tcW w:w="2820" w:type="dxa"/>
            <w:tcBorders>
              <w:top w:val="single" w:color="auto" w:sz="4" w:space="0"/>
              <w:left w:val="nil"/>
              <w:bottom w:val="single" w:color="auto" w:sz="4" w:space="0"/>
              <w:right w:val="single" w:color="auto" w:sz="4" w:space="0"/>
            </w:tcBorders>
            <w:vAlign w:val="center"/>
          </w:tcPr>
          <w:p w14:paraId="14D7343B">
            <w:pPr>
              <w:widowControl/>
              <w:ind w:firstLine="440"/>
              <w:jc w:val="center"/>
              <w:rPr>
                <w:rFonts w:ascii="宋体"/>
                <w:color w:val="auto"/>
                <w:sz w:val="22"/>
                <w:szCs w:val="22"/>
                <w:highlight w:val="none"/>
              </w:rPr>
            </w:pPr>
          </w:p>
        </w:tc>
        <w:tc>
          <w:tcPr>
            <w:tcW w:w="1061" w:type="dxa"/>
            <w:tcBorders>
              <w:top w:val="single" w:color="auto" w:sz="4" w:space="0"/>
              <w:left w:val="nil"/>
              <w:bottom w:val="single" w:color="auto" w:sz="4" w:space="0"/>
              <w:right w:val="single" w:color="auto" w:sz="4" w:space="0"/>
            </w:tcBorders>
            <w:vAlign w:val="center"/>
          </w:tcPr>
          <w:p w14:paraId="1EFB7FC5">
            <w:pPr>
              <w:widowControl/>
              <w:ind w:firstLine="440"/>
              <w:jc w:val="center"/>
              <w:rPr>
                <w:rFonts w:ascii="宋体"/>
                <w:color w:val="auto"/>
                <w:sz w:val="22"/>
                <w:szCs w:val="22"/>
                <w:highlight w:val="none"/>
              </w:rPr>
            </w:pPr>
          </w:p>
        </w:tc>
        <w:tc>
          <w:tcPr>
            <w:tcW w:w="1222" w:type="dxa"/>
            <w:tcBorders>
              <w:top w:val="single" w:color="auto" w:sz="4" w:space="0"/>
              <w:left w:val="nil"/>
              <w:bottom w:val="single" w:color="auto" w:sz="4" w:space="0"/>
              <w:right w:val="single" w:color="auto" w:sz="4" w:space="0"/>
            </w:tcBorders>
            <w:vAlign w:val="center"/>
          </w:tcPr>
          <w:p w14:paraId="31617538">
            <w:pPr>
              <w:widowControl/>
              <w:ind w:firstLine="440"/>
              <w:jc w:val="center"/>
              <w:rPr>
                <w:rFonts w:ascii="宋体"/>
                <w:color w:val="auto"/>
                <w:sz w:val="22"/>
                <w:szCs w:val="22"/>
                <w:highlight w:val="none"/>
              </w:rPr>
            </w:pPr>
          </w:p>
        </w:tc>
      </w:tr>
      <w:tr w14:paraId="6391D1C4">
        <w:tblPrEx>
          <w:tblCellMar>
            <w:top w:w="0" w:type="dxa"/>
            <w:left w:w="108" w:type="dxa"/>
            <w:bottom w:w="0" w:type="dxa"/>
            <w:right w:w="108" w:type="dxa"/>
          </w:tblCellMar>
        </w:tblPrEx>
        <w:trPr>
          <w:gridAfter w:val="1"/>
          <w:wAfter w:w="236" w:type="dxa"/>
          <w:trHeight w:val="499" w:hRule="atLeast"/>
          <w:tblHeader/>
          <w:jc w:val="center"/>
        </w:trPr>
        <w:tc>
          <w:tcPr>
            <w:tcW w:w="747" w:type="dxa"/>
            <w:tcBorders>
              <w:top w:val="single" w:color="auto" w:sz="4" w:space="0"/>
              <w:left w:val="single" w:color="auto" w:sz="4" w:space="0"/>
              <w:bottom w:val="single" w:color="auto" w:sz="4" w:space="0"/>
              <w:right w:val="single" w:color="auto" w:sz="4" w:space="0"/>
            </w:tcBorders>
            <w:vAlign w:val="center"/>
          </w:tcPr>
          <w:p w14:paraId="1BD9EBC7">
            <w:pPr>
              <w:widowControl/>
              <w:ind w:firstLine="440"/>
              <w:jc w:val="center"/>
              <w:rPr>
                <w:rFonts w:ascii="宋体"/>
                <w:color w:val="auto"/>
                <w:sz w:val="22"/>
                <w:szCs w:val="22"/>
                <w:highlight w:val="none"/>
              </w:rPr>
            </w:pPr>
          </w:p>
        </w:tc>
        <w:tc>
          <w:tcPr>
            <w:tcW w:w="1678" w:type="dxa"/>
            <w:tcBorders>
              <w:top w:val="single" w:color="auto" w:sz="4" w:space="0"/>
              <w:left w:val="nil"/>
              <w:bottom w:val="single" w:color="auto" w:sz="4" w:space="0"/>
              <w:right w:val="single" w:color="auto" w:sz="4" w:space="0"/>
            </w:tcBorders>
            <w:vAlign w:val="center"/>
          </w:tcPr>
          <w:p w14:paraId="1236E3F3">
            <w:pPr>
              <w:widowControl/>
              <w:ind w:firstLine="440"/>
              <w:jc w:val="center"/>
              <w:rPr>
                <w:rFonts w:ascii="宋体"/>
                <w:color w:val="auto"/>
                <w:sz w:val="22"/>
                <w:szCs w:val="22"/>
                <w:highlight w:val="none"/>
              </w:rPr>
            </w:pPr>
          </w:p>
        </w:tc>
        <w:tc>
          <w:tcPr>
            <w:tcW w:w="1559" w:type="dxa"/>
            <w:tcBorders>
              <w:top w:val="single" w:color="auto" w:sz="4" w:space="0"/>
              <w:left w:val="nil"/>
              <w:bottom w:val="single" w:color="auto" w:sz="4" w:space="0"/>
              <w:right w:val="single" w:color="auto" w:sz="4" w:space="0"/>
            </w:tcBorders>
          </w:tcPr>
          <w:p w14:paraId="5ED3A3AA">
            <w:pPr>
              <w:widowControl/>
              <w:ind w:firstLine="440"/>
              <w:jc w:val="center"/>
              <w:rPr>
                <w:rFonts w:ascii="宋体"/>
                <w:color w:val="auto"/>
                <w:sz w:val="22"/>
                <w:szCs w:val="22"/>
                <w:highlight w:val="none"/>
              </w:rPr>
            </w:pPr>
          </w:p>
        </w:tc>
        <w:tc>
          <w:tcPr>
            <w:tcW w:w="2820" w:type="dxa"/>
            <w:tcBorders>
              <w:top w:val="single" w:color="auto" w:sz="4" w:space="0"/>
              <w:left w:val="nil"/>
              <w:bottom w:val="single" w:color="auto" w:sz="4" w:space="0"/>
              <w:right w:val="single" w:color="auto" w:sz="4" w:space="0"/>
            </w:tcBorders>
            <w:vAlign w:val="center"/>
          </w:tcPr>
          <w:p w14:paraId="783A880C">
            <w:pPr>
              <w:widowControl/>
              <w:ind w:firstLine="440"/>
              <w:jc w:val="center"/>
              <w:rPr>
                <w:rFonts w:ascii="宋体"/>
                <w:color w:val="auto"/>
                <w:sz w:val="22"/>
                <w:szCs w:val="22"/>
                <w:highlight w:val="none"/>
              </w:rPr>
            </w:pPr>
          </w:p>
        </w:tc>
        <w:tc>
          <w:tcPr>
            <w:tcW w:w="1061" w:type="dxa"/>
            <w:tcBorders>
              <w:top w:val="single" w:color="auto" w:sz="4" w:space="0"/>
              <w:left w:val="nil"/>
              <w:bottom w:val="single" w:color="auto" w:sz="4" w:space="0"/>
              <w:right w:val="single" w:color="auto" w:sz="4" w:space="0"/>
            </w:tcBorders>
            <w:vAlign w:val="center"/>
          </w:tcPr>
          <w:p w14:paraId="788225A6">
            <w:pPr>
              <w:widowControl/>
              <w:ind w:firstLine="440"/>
              <w:jc w:val="center"/>
              <w:rPr>
                <w:rFonts w:ascii="宋体"/>
                <w:color w:val="auto"/>
                <w:sz w:val="22"/>
                <w:szCs w:val="22"/>
                <w:highlight w:val="none"/>
              </w:rPr>
            </w:pPr>
          </w:p>
        </w:tc>
        <w:tc>
          <w:tcPr>
            <w:tcW w:w="1222" w:type="dxa"/>
            <w:tcBorders>
              <w:top w:val="single" w:color="auto" w:sz="4" w:space="0"/>
              <w:left w:val="nil"/>
              <w:bottom w:val="single" w:color="auto" w:sz="4" w:space="0"/>
              <w:right w:val="single" w:color="auto" w:sz="4" w:space="0"/>
            </w:tcBorders>
            <w:vAlign w:val="center"/>
          </w:tcPr>
          <w:p w14:paraId="33EB43B9">
            <w:pPr>
              <w:widowControl/>
              <w:ind w:firstLine="440"/>
              <w:jc w:val="center"/>
              <w:rPr>
                <w:rFonts w:ascii="宋体"/>
                <w:color w:val="auto"/>
                <w:sz w:val="22"/>
                <w:szCs w:val="22"/>
                <w:highlight w:val="none"/>
              </w:rPr>
            </w:pPr>
          </w:p>
        </w:tc>
      </w:tr>
      <w:tr w14:paraId="04EC10AD">
        <w:tblPrEx>
          <w:tblCellMar>
            <w:top w:w="0" w:type="dxa"/>
            <w:left w:w="108" w:type="dxa"/>
            <w:bottom w:w="0" w:type="dxa"/>
            <w:right w:w="108" w:type="dxa"/>
          </w:tblCellMar>
        </w:tblPrEx>
        <w:trPr>
          <w:gridAfter w:val="1"/>
          <w:wAfter w:w="236" w:type="dxa"/>
          <w:trHeight w:val="499" w:hRule="atLeast"/>
          <w:tblHeader/>
          <w:jc w:val="center"/>
        </w:trPr>
        <w:tc>
          <w:tcPr>
            <w:tcW w:w="747" w:type="dxa"/>
            <w:tcBorders>
              <w:top w:val="single" w:color="auto" w:sz="4" w:space="0"/>
              <w:left w:val="single" w:color="auto" w:sz="4" w:space="0"/>
              <w:bottom w:val="single" w:color="auto" w:sz="4" w:space="0"/>
              <w:right w:val="single" w:color="auto" w:sz="4" w:space="0"/>
            </w:tcBorders>
            <w:vAlign w:val="center"/>
          </w:tcPr>
          <w:p w14:paraId="6C2949EE">
            <w:pPr>
              <w:widowControl/>
              <w:ind w:firstLine="440"/>
              <w:jc w:val="center"/>
              <w:rPr>
                <w:rFonts w:ascii="宋体"/>
                <w:color w:val="auto"/>
                <w:sz w:val="22"/>
                <w:szCs w:val="22"/>
                <w:highlight w:val="none"/>
              </w:rPr>
            </w:pPr>
          </w:p>
        </w:tc>
        <w:tc>
          <w:tcPr>
            <w:tcW w:w="1678" w:type="dxa"/>
            <w:tcBorders>
              <w:top w:val="single" w:color="auto" w:sz="4" w:space="0"/>
              <w:left w:val="nil"/>
              <w:bottom w:val="single" w:color="auto" w:sz="4" w:space="0"/>
              <w:right w:val="single" w:color="auto" w:sz="4" w:space="0"/>
            </w:tcBorders>
            <w:vAlign w:val="center"/>
          </w:tcPr>
          <w:p w14:paraId="070627BA">
            <w:pPr>
              <w:widowControl/>
              <w:ind w:firstLine="440"/>
              <w:jc w:val="center"/>
              <w:rPr>
                <w:rFonts w:ascii="宋体"/>
                <w:color w:val="auto"/>
                <w:sz w:val="22"/>
                <w:szCs w:val="22"/>
                <w:highlight w:val="none"/>
              </w:rPr>
            </w:pPr>
          </w:p>
        </w:tc>
        <w:tc>
          <w:tcPr>
            <w:tcW w:w="1559" w:type="dxa"/>
            <w:tcBorders>
              <w:top w:val="single" w:color="auto" w:sz="4" w:space="0"/>
              <w:left w:val="nil"/>
              <w:bottom w:val="single" w:color="auto" w:sz="4" w:space="0"/>
              <w:right w:val="single" w:color="auto" w:sz="4" w:space="0"/>
            </w:tcBorders>
          </w:tcPr>
          <w:p w14:paraId="122EAC37">
            <w:pPr>
              <w:widowControl/>
              <w:ind w:firstLine="440"/>
              <w:jc w:val="center"/>
              <w:rPr>
                <w:rFonts w:ascii="宋体"/>
                <w:color w:val="auto"/>
                <w:sz w:val="22"/>
                <w:szCs w:val="22"/>
                <w:highlight w:val="none"/>
              </w:rPr>
            </w:pPr>
          </w:p>
        </w:tc>
        <w:tc>
          <w:tcPr>
            <w:tcW w:w="2820" w:type="dxa"/>
            <w:tcBorders>
              <w:top w:val="single" w:color="auto" w:sz="4" w:space="0"/>
              <w:left w:val="nil"/>
              <w:bottom w:val="single" w:color="auto" w:sz="4" w:space="0"/>
              <w:right w:val="single" w:color="auto" w:sz="4" w:space="0"/>
            </w:tcBorders>
            <w:vAlign w:val="center"/>
          </w:tcPr>
          <w:p w14:paraId="239182D0">
            <w:pPr>
              <w:widowControl/>
              <w:ind w:firstLine="440"/>
              <w:jc w:val="center"/>
              <w:rPr>
                <w:rFonts w:ascii="宋体"/>
                <w:color w:val="auto"/>
                <w:sz w:val="22"/>
                <w:szCs w:val="22"/>
                <w:highlight w:val="none"/>
              </w:rPr>
            </w:pPr>
          </w:p>
        </w:tc>
        <w:tc>
          <w:tcPr>
            <w:tcW w:w="1061" w:type="dxa"/>
            <w:tcBorders>
              <w:top w:val="single" w:color="auto" w:sz="4" w:space="0"/>
              <w:left w:val="nil"/>
              <w:bottom w:val="single" w:color="auto" w:sz="4" w:space="0"/>
              <w:right w:val="single" w:color="auto" w:sz="4" w:space="0"/>
            </w:tcBorders>
            <w:vAlign w:val="center"/>
          </w:tcPr>
          <w:p w14:paraId="20542E52">
            <w:pPr>
              <w:widowControl/>
              <w:ind w:firstLine="440"/>
              <w:jc w:val="center"/>
              <w:rPr>
                <w:rFonts w:ascii="宋体"/>
                <w:color w:val="auto"/>
                <w:sz w:val="22"/>
                <w:szCs w:val="22"/>
                <w:highlight w:val="none"/>
              </w:rPr>
            </w:pPr>
          </w:p>
        </w:tc>
        <w:tc>
          <w:tcPr>
            <w:tcW w:w="1222" w:type="dxa"/>
            <w:tcBorders>
              <w:top w:val="single" w:color="auto" w:sz="4" w:space="0"/>
              <w:left w:val="nil"/>
              <w:bottom w:val="single" w:color="auto" w:sz="4" w:space="0"/>
              <w:right w:val="single" w:color="auto" w:sz="4" w:space="0"/>
            </w:tcBorders>
            <w:vAlign w:val="center"/>
          </w:tcPr>
          <w:p w14:paraId="5881C193">
            <w:pPr>
              <w:widowControl/>
              <w:ind w:firstLine="440"/>
              <w:jc w:val="center"/>
              <w:rPr>
                <w:rFonts w:ascii="宋体"/>
                <w:color w:val="auto"/>
                <w:sz w:val="22"/>
                <w:szCs w:val="22"/>
                <w:highlight w:val="none"/>
              </w:rPr>
            </w:pPr>
          </w:p>
        </w:tc>
      </w:tr>
      <w:tr w14:paraId="25FF00BA">
        <w:tblPrEx>
          <w:tblCellMar>
            <w:top w:w="0" w:type="dxa"/>
            <w:left w:w="108" w:type="dxa"/>
            <w:bottom w:w="0" w:type="dxa"/>
            <w:right w:w="108" w:type="dxa"/>
          </w:tblCellMar>
        </w:tblPrEx>
        <w:trPr>
          <w:gridAfter w:val="1"/>
          <w:wAfter w:w="236" w:type="dxa"/>
          <w:trHeight w:val="499" w:hRule="atLeast"/>
          <w:tblHeader/>
          <w:jc w:val="center"/>
        </w:trPr>
        <w:tc>
          <w:tcPr>
            <w:tcW w:w="747" w:type="dxa"/>
            <w:tcBorders>
              <w:top w:val="single" w:color="auto" w:sz="4" w:space="0"/>
              <w:left w:val="single" w:color="auto" w:sz="4" w:space="0"/>
              <w:bottom w:val="single" w:color="auto" w:sz="4" w:space="0"/>
              <w:right w:val="single" w:color="auto" w:sz="4" w:space="0"/>
            </w:tcBorders>
            <w:vAlign w:val="center"/>
          </w:tcPr>
          <w:p w14:paraId="6F488261">
            <w:pPr>
              <w:widowControl/>
              <w:ind w:firstLine="440"/>
              <w:jc w:val="center"/>
              <w:rPr>
                <w:rFonts w:ascii="宋体"/>
                <w:color w:val="auto"/>
                <w:sz w:val="22"/>
                <w:szCs w:val="22"/>
                <w:highlight w:val="none"/>
              </w:rPr>
            </w:pPr>
          </w:p>
        </w:tc>
        <w:tc>
          <w:tcPr>
            <w:tcW w:w="1678" w:type="dxa"/>
            <w:tcBorders>
              <w:top w:val="single" w:color="auto" w:sz="4" w:space="0"/>
              <w:left w:val="nil"/>
              <w:bottom w:val="single" w:color="auto" w:sz="4" w:space="0"/>
              <w:right w:val="single" w:color="auto" w:sz="4" w:space="0"/>
            </w:tcBorders>
            <w:vAlign w:val="center"/>
          </w:tcPr>
          <w:p w14:paraId="4BBEB2A8">
            <w:pPr>
              <w:widowControl/>
              <w:ind w:firstLine="440"/>
              <w:jc w:val="center"/>
              <w:rPr>
                <w:rFonts w:ascii="宋体"/>
                <w:color w:val="auto"/>
                <w:sz w:val="22"/>
                <w:szCs w:val="22"/>
                <w:highlight w:val="none"/>
              </w:rPr>
            </w:pPr>
          </w:p>
        </w:tc>
        <w:tc>
          <w:tcPr>
            <w:tcW w:w="1559" w:type="dxa"/>
            <w:tcBorders>
              <w:top w:val="single" w:color="auto" w:sz="4" w:space="0"/>
              <w:left w:val="nil"/>
              <w:bottom w:val="single" w:color="auto" w:sz="4" w:space="0"/>
              <w:right w:val="single" w:color="auto" w:sz="4" w:space="0"/>
            </w:tcBorders>
          </w:tcPr>
          <w:p w14:paraId="6DD8B4C4">
            <w:pPr>
              <w:widowControl/>
              <w:ind w:firstLine="440"/>
              <w:jc w:val="center"/>
              <w:rPr>
                <w:rFonts w:ascii="宋体"/>
                <w:color w:val="auto"/>
                <w:sz w:val="22"/>
                <w:szCs w:val="22"/>
                <w:highlight w:val="none"/>
              </w:rPr>
            </w:pPr>
          </w:p>
        </w:tc>
        <w:tc>
          <w:tcPr>
            <w:tcW w:w="2820" w:type="dxa"/>
            <w:tcBorders>
              <w:top w:val="single" w:color="auto" w:sz="4" w:space="0"/>
              <w:left w:val="nil"/>
              <w:bottom w:val="single" w:color="auto" w:sz="4" w:space="0"/>
              <w:right w:val="single" w:color="auto" w:sz="4" w:space="0"/>
            </w:tcBorders>
            <w:vAlign w:val="center"/>
          </w:tcPr>
          <w:p w14:paraId="2D9BA5F6">
            <w:pPr>
              <w:widowControl/>
              <w:ind w:firstLine="440"/>
              <w:jc w:val="center"/>
              <w:rPr>
                <w:rFonts w:ascii="宋体"/>
                <w:color w:val="auto"/>
                <w:sz w:val="22"/>
                <w:szCs w:val="22"/>
                <w:highlight w:val="none"/>
              </w:rPr>
            </w:pPr>
          </w:p>
        </w:tc>
        <w:tc>
          <w:tcPr>
            <w:tcW w:w="1061" w:type="dxa"/>
            <w:tcBorders>
              <w:top w:val="single" w:color="auto" w:sz="4" w:space="0"/>
              <w:left w:val="nil"/>
              <w:bottom w:val="single" w:color="auto" w:sz="4" w:space="0"/>
              <w:right w:val="single" w:color="auto" w:sz="4" w:space="0"/>
            </w:tcBorders>
            <w:vAlign w:val="center"/>
          </w:tcPr>
          <w:p w14:paraId="473A916E">
            <w:pPr>
              <w:widowControl/>
              <w:ind w:firstLine="440"/>
              <w:jc w:val="center"/>
              <w:rPr>
                <w:rFonts w:ascii="宋体"/>
                <w:color w:val="auto"/>
                <w:sz w:val="22"/>
                <w:szCs w:val="22"/>
                <w:highlight w:val="none"/>
              </w:rPr>
            </w:pPr>
          </w:p>
        </w:tc>
        <w:tc>
          <w:tcPr>
            <w:tcW w:w="1222" w:type="dxa"/>
            <w:tcBorders>
              <w:top w:val="single" w:color="auto" w:sz="4" w:space="0"/>
              <w:left w:val="nil"/>
              <w:bottom w:val="single" w:color="auto" w:sz="4" w:space="0"/>
              <w:right w:val="single" w:color="auto" w:sz="4" w:space="0"/>
            </w:tcBorders>
            <w:vAlign w:val="center"/>
          </w:tcPr>
          <w:p w14:paraId="2CE9F23E">
            <w:pPr>
              <w:widowControl/>
              <w:ind w:firstLine="440"/>
              <w:jc w:val="center"/>
              <w:rPr>
                <w:rFonts w:ascii="宋体"/>
                <w:color w:val="auto"/>
                <w:sz w:val="22"/>
                <w:szCs w:val="22"/>
                <w:highlight w:val="none"/>
              </w:rPr>
            </w:pPr>
          </w:p>
        </w:tc>
      </w:tr>
    </w:tbl>
    <w:p w14:paraId="42CBAEFF">
      <w:pPr>
        <w:autoSpaceDE w:val="0"/>
        <w:autoSpaceDN w:val="0"/>
        <w:adjustRightInd w:val="0"/>
        <w:spacing w:line="460" w:lineRule="atLeast"/>
        <w:ind w:firstLine="520"/>
        <w:rPr>
          <w:rFonts w:ascii="宋体"/>
          <w:color w:val="auto"/>
          <w:sz w:val="22"/>
          <w:szCs w:val="22"/>
          <w:highlight w:val="none"/>
          <w:lang w:val="zh-CN"/>
        </w:rPr>
      </w:pPr>
      <w:r>
        <w:rPr>
          <w:rFonts w:hint="eastAsia" w:ascii="宋体"/>
          <w:color w:val="auto"/>
          <w:spacing w:val="20"/>
          <w:sz w:val="22"/>
          <w:szCs w:val="22"/>
          <w:highlight w:val="none"/>
        </w:rPr>
        <w:t>注：货物详细配置、技术应另页描述。</w:t>
      </w:r>
    </w:p>
    <w:p w14:paraId="1B0534CC">
      <w:pPr>
        <w:adjustRightInd w:val="0"/>
        <w:snapToGrid w:val="0"/>
        <w:spacing w:line="360" w:lineRule="auto"/>
        <w:ind w:firstLine="4080" w:firstLineChars="1700"/>
        <w:textAlignment w:val="baseline"/>
        <w:rPr>
          <w:rFonts w:hint="eastAsia" w:ascii="宋体" w:hAnsi="宋体" w:cs="宋体"/>
          <w:color w:val="auto"/>
          <w:highlight w:val="none"/>
          <w:lang w:bidi="ar"/>
        </w:rPr>
      </w:pPr>
    </w:p>
    <w:p w14:paraId="31C72684">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投标人名称（盖章）:</w:t>
      </w:r>
    </w:p>
    <w:p w14:paraId="401D5677">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法定代表人或授权代理人（签字或盖章）:</w:t>
      </w:r>
    </w:p>
    <w:p w14:paraId="408AFC21">
      <w:pPr>
        <w:widowControl/>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lang w:bidi="ar"/>
        </w:rPr>
        <w:t>日期:2025年   月   日</w:t>
      </w:r>
    </w:p>
    <w:p w14:paraId="2EF76338">
      <w:pPr>
        <w:widowControl/>
        <w:ind w:firstLine="0" w:firstLineChars="0"/>
        <w:jc w:val="center"/>
        <w:rPr>
          <w:rFonts w:hint="eastAsia" w:ascii="宋体" w:hAnsi="宋体" w:cs="宋体"/>
          <w:b/>
          <w:bCs/>
          <w:color w:val="auto"/>
          <w:sz w:val="32"/>
          <w:szCs w:val="32"/>
          <w:highlight w:val="none"/>
        </w:rPr>
      </w:pPr>
    </w:p>
    <w:p w14:paraId="63A61E07">
      <w:pPr>
        <w:widowControl/>
        <w:ind w:firstLine="0" w:firstLineChars="0"/>
        <w:jc w:val="center"/>
        <w:rPr>
          <w:rFonts w:hint="eastAsia" w:ascii="宋体" w:hAnsi="宋体" w:cs="宋体"/>
          <w:b/>
          <w:bCs/>
          <w:color w:val="auto"/>
          <w:sz w:val="32"/>
          <w:szCs w:val="32"/>
          <w:highlight w:val="none"/>
        </w:rPr>
      </w:pPr>
    </w:p>
    <w:p w14:paraId="76DAE5B4">
      <w:pPr>
        <w:widowControl/>
        <w:ind w:firstLine="0" w:firstLineChars="0"/>
        <w:jc w:val="center"/>
        <w:rPr>
          <w:rFonts w:hint="eastAsia" w:ascii="宋体" w:hAnsi="宋体" w:cs="宋体"/>
          <w:b/>
          <w:bCs/>
          <w:color w:val="auto"/>
          <w:sz w:val="32"/>
          <w:szCs w:val="32"/>
          <w:highlight w:val="none"/>
        </w:rPr>
      </w:pPr>
    </w:p>
    <w:p w14:paraId="46AB3190">
      <w:pPr>
        <w:widowControl/>
        <w:ind w:firstLine="0" w:firstLineChars="0"/>
        <w:jc w:val="center"/>
        <w:rPr>
          <w:rFonts w:hint="eastAsia" w:ascii="宋体" w:hAnsi="宋体" w:cs="宋体"/>
          <w:b/>
          <w:bCs/>
          <w:color w:val="auto"/>
          <w:sz w:val="32"/>
          <w:szCs w:val="32"/>
          <w:highlight w:val="none"/>
        </w:rPr>
      </w:pPr>
    </w:p>
    <w:p w14:paraId="30992EDD">
      <w:pPr>
        <w:widowControl/>
        <w:ind w:firstLine="0" w:firstLineChars="0"/>
        <w:jc w:val="center"/>
        <w:rPr>
          <w:rFonts w:hint="eastAsia" w:ascii="宋体" w:hAnsi="宋体" w:cs="宋体"/>
          <w:b/>
          <w:bCs/>
          <w:color w:val="auto"/>
          <w:sz w:val="32"/>
          <w:szCs w:val="32"/>
          <w:highlight w:val="none"/>
        </w:rPr>
      </w:pPr>
    </w:p>
    <w:p w14:paraId="7FA7AE0C">
      <w:pPr>
        <w:widowControl/>
        <w:ind w:firstLine="0" w:firstLineChars="0"/>
        <w:rPr>
          <w:rFonts w:hint="eastAsia" w:ascii="宋体" w:hAnsi="宋体" w:cs="宋体"/>
          <w:b/>
          <w:bCs/>
          <w:color w:val="auto"/>
          <w:sz w:val="32"/>
          <w:szCs w:val="32"/>
          <w:highlight w:val="none"/>
        </w:rPr>
      </w:pPr>
    </w:p>
    <w:p w14:paraId="5ECCF36D">
      <w:pPr>
        <w:ind w:firstLine="0" w:firstLineChars="0"/>
        <w:outlineLvl w:val="1"/>
        <w:rPr>
          <w:rFonts w:hint="eastAsia" w:ascii="宋体" w:hAnsi="宋体" w:cs="宋体"/>
          <w:b/>
          <w:bCs/>
          <w:color w:val="auto"/>
          <w:highlight w:val="none"/>
        </w:rPr>
      </w:pPr>
      <w:bookmarkStart w:id="448" w:name="_Toc6153"/>
      <w:r>
        <w:rPr>
          <w:rFonts w:hint="eastAsia" w:ascii="宋体" w:hAnsi="宋体" w:cs="宋体"/>
          <w:b/>
          <w:bCs/>
          <w:color w:val="auto"/>
          <w:highlight w:val="none"/>
          <w:lang w:bidi="ar"/>
        </w:rPr>
        <w:t>附件8</w:t>
      </w:r>
      <w:bookmarkEnd w:id="448"/>
    </w:p>
    <w:p w14:paraId="77A37A2E">
      <w:pPr>
        <w:widowControl/>
        <w:ind w:firstLine="0" w:firstLineChars="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技术需求响应表</w:t>
      </w:r>
    </w:p>
    <w:p w14:paraId="559331E4">
      <w:pPr>
        <w:widowControl/>
        <w:snapToGrid w:val="0"/>
        <w:spacing w:line="240" w:lineRule="auto"/>
        <w:ind w:firstLine="480"/>
        <w:rPr>
          <w:rFonts w:hint="eastAsia" w:ascii="宋体" w:hAnsi="宋体" w:cs="宋体"/>
          <w:color w:val="auto"/>
          <w:highlight w:val="none"/>
          <w:lang w:bidi="ar"/>
        </w:rPr>
      </w:pPr>
      <w:r>
        <w:rPr>
          <w:rFonts w:hint="eastAsia" w:ascii="宋体" w:hAnsi="宋体" w:cs="宋体"/>
          <w:color w:val="auto"/>
          <w:highlight w:val="none"/>
          <w:lang w:bidi="ar"/>
        </w:rPr>
        <w:t>项目名称：</w:t>
      </w:r>
    </w:p>
    <w:p w14:paraId="0AEDE959">
      <w:pPr>
        <w:widowControl/>
        <w:snapToGrid w:val="0"/>
        <w:spacing w:line="240" w:lineRule="auto"/>
        <w:ind w:firstLine="480"/>
        <w:rPr>
          <w:color w:val="auto"/>
          <w:highlight w:val="none"/>
        </w:rPr>
      </w:pPr>
      <w:r>
        <w:rPr>
          <w:rFonts w:hint="eastAsia" w:ascii="宋体" w:hAnsi="宋体" w:cs="宋体"/>
          <w:color w:val="auto"/>
          <w:highlight w:val="none"/>
          <w:lang w:bidi="ar"/>
        </w:rPr>
        <w:t xml:space="preserve">项目编号： </w:t>
      </w:r>
    </w:p>
    <w:tbl>
      <w:tblPr>
        <w:tblStyle w:val="43"/>
        <w:tblW w:w="104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3"/>
        <w:gridCol w:w="1427"/>
        <w:gridCol w:w="2509"/>
        <w:gridCol w:w="2317"/>
        <w:gridCol w:w="1446"/>
        <w:gridCol w:w="1918"/>
      </w:tblGrid>
      <w:tr w14:paraId="03055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53" w:type="dxa"/>
            <w:vAlign w:val="center"/>
          </w:tcPr>
          <w:p w14:paraId="641DB5ED">
            <w:pP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序号</w:t>
            </w:r>
          </w:p>
        </w:tc>
        <w:tc>
          <w:tcPr>
            <w:tcW w:w="1427" w:type="dxa"/>
            <w:vAlign w:val="center"/>
          </w:tcPr>
          <w:p w14:paraId="62D92095">
            <w:pP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名称</w:t>
            </w:r>
          </w:p>
        </w:tc>
        <w:tc>
          <w:tcPr>
            <w:tcW w:w="2509" w:type="dxa"/>
            <w:vAlign w:val="center"/>
          </w:tcPr>
          <w:p w14:paraId="3EC3EC04">
            <w:pPr>
              <w:ind w:firstLine="0" w:firstLineChars="0"/>
              <w:jc w:val="center"/>
              <w:rPr>
                <w:rFonts w:hint="eastAsia" w:ascii="宋体" w:hAnsi="宋体" w:cs="宋体"/>
                <w:color w:val="auto"/>
                <w:spacing w:val="-12"/>
                <w:highlight w:val="none"/>
              </w:rPr>
            </w:pPr>
            <w:r>
              <w:rPr>
                <w:rFonts w:hint="eastAsia" w:ascii="宋体" w:hAnsi="宋体" w:cs="宋体"/>
                <w:color w:val="auto"/>
                <w:highlight w:val="none"/>
              </w:rPr>
              <w:t>招标文件技术需求要求</w:t>
            </w:r>
          </w:p>
        </w:tc>
        <w:tc>
          <w:tcPr>
            <w:tcW w:w="2317" w:type="dxa"/>
            <w:vAlign w:val="center"/>
          </w:tcPr>
          <w:p w14:paraId="7D4220E7">
            <w:pP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投标文件技术需求响应</w:t>
            </w:r>
          </w:p>
        </w:tc>
        <w:tc>
          <w:tcPr>
            <w:tcW w:w="1446" w:type="dxa"/>
            <w:vAlign w:val="center"/>
          </w:tcPr>
          <w:p w14:paraId="6CF53ABF">
            <w:pP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偏离情况</w:t>
            </w:r>
          </w:p>
        </w:tc>
        <w:tc>
          <w:tcPr>
            <w:tcW w:w="1918" w:type="dxa"/>
            <w:vAlign w:val="center"/>
          </w:tcPr>
          <w:p w14:paraId="16DBA2E8">
            <w:pP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偏离说明</w:t>
            </w:r>
          </w:p>
        </w:tc>
      </w:tr>
      <w:tr w14:paraId="495DD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853" w:type="dxa"/>
            <w:vAlign w:val="center"/>
          </w:tcPr>
          <w:p w14:paraId="7F3244BB">
            <w:pP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1427" w:type="dxa"/>
            <w:vAlign w:val="center"/>
          </w:tcPr>
          <w:p w14:paraId="4683ADB3">
            <w:pPr>
              <w:autoSpaceDE w:val="0"/>
              <w:autoSpaceDN w:val="0"/>
              <w:adjustRightInd w:val="0"/>
              <w:ind w:firstLine="480"/>
              <w:jc w:val="center"/>
              <w:rPr>
                <w:rFonts w:hint="eastAsia" w:ascii="宋体" w:hAnsi="宋体" w:cs="宋体"/>
                <w:color w:val="auto"/>
                <w:highlight w:val="none"/>
              </w:rPr>
            </w:pPr>
          </w:p>
        </w:tc>
        <w:tc>
          <w:tcPr>
            <w:tcW w:w="2509" w:type="dxa"/>
            <w:vAlign w:val="center"/>
          </w:tcPr>
          <w:p w14:paraId="44AB8EDC">
            <w:pPr>
              <w:autoSpaceDE w:val="0"/>
              <w:autoSpaceDN w:val="0"/>
              <w:adjustRightInd w:val="0"/>
              <w:ind w:firstLine="480"/>
              <w:jc w:val="center"/>
              <w:rPr>
                <w:rFonts w:hint="eastAsia" w:ascii="宋体" w:hAnsi="宋体" w:cs="宋体"/>
                <w:color w:val="auto"/>
                <w:highlight w:val="none"/>
              </w:rPr>
            </w:pPr>
          </w:p>
        </w:tc>
        <w:tc>
          <w:tcPr>
            <w:tcW w:w="2317" w:type="dxa"/>
            <w:vAlign w:val="center"/>
          </w:tcPr>
          <w:p w14:paraId="049457CE">
            <w:pPr>
              <w:autoSpaceDE w:val="0"/>
              <w:autoSpaceDN w:val="0"/>
              <w:adjustRightInd w:val="0"/>
              <w:ind w:firstLine="480"/>
              <w:jc w:val="center"/>
              <w:rPr>
                <w:rFonts w:hint="eastAsia" w:ascii="宋体" w:hAnsi="宋体" w:cs="宋体"/>
                <w:color w:val="auto"/>
                <w:highlight w:val="none"/>
              </w:rPr>
            </w:pPr>
          </w:p>
        </w:tc>
        <w:tc>
          <w:tcPr>
            <w:tcW w:w="1446" w:type="dxa"/>
            <w:vAlign w:val="center"/>
          </w:tcPr>
          <w:p w14:paraId="49F9310F">
            <w:pPr>
              <w:autoSpaceDE w:val="0"/>
              <w:autoSpaceDN w:val="0"/>
              <w:adjustRightInd w:val="0"/>
              <w:ind w:firstLine="480"/>
              <w:jc w:val="center"/>
              <w:rPr>
                <w:rFonts w:hint="eastAsia" w:ascii="宋体" w:hAnsi="宋体" w:cs="宋体"/>
                <w:color w:val="auto"/>
                <w:highlight w:val="none"/>
              </w:rPr>
            </w:pPr>
          </w:p>
        </w:tc>
        <w:tc>
          <w:tcPr>
            <w:tcW w:w="1918" w:type="dxa"/>
            <w:vAlign w:val="center"/>
          </w:tcPr>
          <w:p w14:paraId="77DBE144">
            <w:pPr>
              <w:autoSpaceDE w:val="0"/>
              <w:autoSpaceDN w:val="0"/>
              <w:adjustRightInd w:val="0"/>
              <w:ind w:firstLine="480"/>
              <w:jc w:val="center"/>
              <w:rPr>
                <w:rFonts w:hint="eastAsia" w:ascii="宋体" w:hAnsi="宋体" w:cs="宋体"/>
                <w:color w:val="auto"/>
                <w:highlight w:val="none"/>
              </w:rPr>
            </w:pPr>
          </w:p>
        </w:tc>
      </w:tr>
      <w:tr w14:paraId="7A23A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853" w:type="dxa"/>
            <w:vAlign w:val="center"/>
          </w:tcPr>
          <w:p w14:paraId="31494861">
            <w:pP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2</w:t>
            </w:r>
          </w:p>
        </w:tc>
        <w:tc>
          <w:tcPr>
            <w:tcW w:w="1427" w:type="dxa"/>
            <w:vAlign w:val="center"/>
          </w:tcPr>
          <w:p w14:paraId="636A6D54">
            <w:pPr>
              <w:autoSpaceDE w:val="0"/>
              <w:autoSpaceDN w:val="0"/>
              <w:adjustRightInd w:val="0"/>
              <w:ind w:firstLine="480"/>
              <w:jc w:val="center"/>
              <w:rPr>
                <w:rFonts w:hint="eastAsia" w:ascii="宋体" w:hAnsi="宋体" w:cs="宋体"/>
                <w:color w:val="auto"/>
                <w:highlight w:val="none"/>
              </w:rPr>
            </w:pPr>
          </w:p>
        </w:tc>
        <w:tc>
          <w:tcPr>
            <w:tcW w:w="2509" w:type="dxa"/>
            <w:vAlign w:val="center"/>
          </w:tcPr>
          <w:p w14:paraId="04F12349">
            <w:pPr>
              <w:autoSpaceDE w:val="0"/>
              <w:autoSpaceDN w:val="0"/>
              <w:adjustRightInd w:val="0"/>
              <w:ind w:firstLine="480"/>
              <w:jc w:val="center"/>
              <w:rPr>
                <w:rFonts w:hint="eastAsia" w:ascii="宋体" w:hAnsi="宋体" w:cs="宋体"/>
                <w:color w:val="auto"/>
                <w:highlight w:val="none"/>
              </w:rPr>
            </w:pPr>
          </w:p>
        </w:tc>
        <w:tc>
          <w:tcPr>
            <w:tcW w:w="2317" w:type="dxa"/>
            <w:vAlign w:val="center"/>
          </w:tcPr>
          <w:p w14:paraId="31E34CFC">
            <w:pPr>
              <w:autoSpaceDE w:val="0"/>
              <w:autoSpaceDN w:val="0"/>
              <w:adjustRightInd w:val="0"/>
              <w:ind w:firstLine="480"/>
              <w:jc w:val="center"/>
              <w:rPr>
                <w:rFonts w:hint="eastAsia" w:ascii="宋体" w:hAnsi="宋体" w:cs="宋体"/>
                <w:color w:val="auto"/>
                <w:highlight w:val="none"/>
              </w:rPr>
            </w:pPr>
          </w:p>
        </w:tc>
        <w:tc>
          <w:tcPr>
            <w:tcW w:w="1446" w:type="dxa"/>
            <w:vAlign w:val="center"/>
          </w:tcPr>
          <w:p w14:paraId="780D327D">
            <w:pPr>
              <w:autoSpaceDE w:val="0"/>
              <w:autoSpaceDN w:val="0"/>
              <w:adjustRightInd w:val="0"/>
              <w:ind w:firstLine="480"/>
              <w:jc w:val="center"/>
              <w:rPr>
                <w:rFonts w:hint="eastAsia" w:ascii="宋体" w:hAnsi="宋体" w:cs="宋体"/>
                <w:color w:val="auto"/>
                <w:highlight w:val="none"/>
              </w:rPr>
            </w:pPr>
          </w:p>
        </w:tc>
        <w:tc>
          <w:tcPr>
            <w:tcW w:w="1918" w:type="dxa"/>
            <w:vAlign w:val="center"/>
          </w:tcPr>
          <w:p w14:paraId="2D56E889">
            <w:pPr>
              <w:autoSpaceDE w:val="0"/>
              <w:autoSpaceDN w:val="0"/>
              <w:adjustRightInd w:val="0"/>
              <w:ind w:firstLine="480"/>
              <w:jc w:val="center"/>
              <w:rPr>
                <w:rFonts w:hint="eastAsia" w:ascii="宋体" w:hAnsi="宋体" w:cs="宋体"/>
                <w:color w:val="auto"/>
                <w:highlight w:val="none"/>
              </w:rPr>
            </w:pPr>
          </w:p>
        </w:tc>
      </w:tr>
      <w:tr w14:paraId="77158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853" w:type="dxa"/>
            <w:vAlign w:val="center"/>
          </w:tcPr>
          <w:p w14:paraId="44769F9F">
            <w:pP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w:t>
            </w:r>
          </w:p>
        </w:tc>
        <w:tc>
          <w:tcPr>
            <w:tcW w:w="1427" w:type="dxa"/>
            <w:vAlign w:val="center"/>
          </w:tcPr>
          <w:p w14:paraId="15D66B82">
            <w:pPr>
              <w:autoSpaceDE w:val="0"/>
              <w:autoSpaceDN w:val="0"/>
              <w:adjustRightInd w:val="0"/>
              <w:ind w:firstLine="480"/>
              <w:jc w:val="center"/>
              <w:rPr>
                <w:rFonts w:hint="eastAsia" w:ascii="宋体" w:hAnsi="宋体" w:cs="宋体"/>
                <w:color w:val="auto"/>
                <w:highlight w:val="none"/>
              </w:rPr>
            </w:pPr>
          </w:p>
        </w:tc>
        <w:tc>
          <w:tcPr>
            <w:tcW w:w="2509" w:type="dxa"/>
            <w:vAlign w:val="center"/>
          </w:tcPr>
          <w:p w14:paraId="5DE71E69">
            <w:pPr>
              <w:autoSpaceDE w:val="0"/>
              <w:autoSpaceDN w:val="0"/>
              <w:adjustRightInd w:val="0"/>
              <w:ind w:firstLine="480"/>
              <w:jc w:val="center"/>
              <w:rPr>
                <w:rFonts w:hint="eastAsia" w:ascii="宋体" w:hAnsi="宋体" w:cs="宋体"/>
                <w:color w:val="auto"/>
                <w:highlight w:val="none"/>
              </w:rPr>
            </w:pPr>
          </w:p>
        </w:tc>
        <w:tc>
          <w:tcPr>
            <w:tcW w:w="2317" w:type="dxa"/>
            <w:vAlign w:val="center"/>
          </w:tcPr>
          <w:p w14:paraId="0686873A">
            <w:pPr>
              <w:autoSpaceDE w:val="0"/>
              <w:autoSpaceDN w:val="0"/>
              <w:adjustRightInd w:val="0"/>
              <w:ind w:firstLine="480"/>
              <w:jc w:val="center"/>
              <w:rPr>
                <w:rFonts w:hint="eastAsia" w:ascii="宋体" w:hAnsi="宋体" w:cs="宋体"/>
                <w:color w:val="auto"/>
                <w:highlight w:val="none"/>
              </w:rPr>
            </w:pPr>
          </w:p>
        </w:tc>
        <w:tc>
          <w:tcPr>
            <w:tcW w:w="1446" w:type="dxa"/>
            <w:vAlign w:val="center"/>
          </w:tcPr>
          <w:p w14:paraId="71FE70D1">
            <w:pPr>
              <w:autoSpaceDE w:val="0"/>
              <w:autoSpaceDN w:val="0"/>
              <w:adjustRightInd w:val="0"/>
              <w:ind w:firstLine="480"/>
              <w:jc w:val="center"/>
              <w:rPr>
                <w:rFonts w:hint="eastAsia" w:ascii="宋体" w:hAnsi="宋体" w:cs="宋体"/>
                <w:color w:val="auto"/>
                <w:highlight w:val="none"/>
              </w:rPr>
            </w:pPr>
          </w:p>
        </w:tc>
        <w:tc>
          <w:tcPr>
            <w:tcW w:w="1918" w:type="dxa"/>
            <w:vAlign w:val="center"/>
          </w:tcPr>
          <w:p w14:paraId="493AFD55">
            <w:pPr>
              <w:autoSpaceDE w:val="0"/>
              <w:autoSpaceDN w:val="0"/>
              <w:adjustRightInd w:val="0"/>
              <w:ind w:firstLine="480"/>
              <w:jc w:val="center"/>
              <w:rPr>
                <w:rFonts w:hint="eastAsia" w:ascii="宋体" w:hAnsi="宋体" w:cs="宋体"/>
                <w:color w:val="auto"/>
                <w:highlight w:val="none"/>
              </w:rPr>
            </w:pPr>
          </w:p>
        </w:tc>
      </w:tr>
      <w:tr w14:paraId="35551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853" w:type="dxa"/>
            <w:vAlign w:val="center"/>
          </w:tcPr>
          <w:p w14:paraId="0FC2FCA8">
            <w:pP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w:t>
            </w:r>
          </w:p>
        </w:tc>
        <w:tc>
          <w:tcPr>
            <w:tcW w:w="1427" w:type="dxa"/>
            <w:vAlign w:val="center"/>
          </w:tcPr>
          <w:p w14:paraId="46636B4F">
            <w:pPr>
              <w:autoSpaceDE w:val="0"/>
              <w:autoSpaceDN w:val="0"/>
              <w:adjustRightInd w:val="0"/>
              <w:ind w:firstLine="480"/>
              <w:jc w:val="center"/>
              <w:rPr>
                <w:rFonts w:hint="eastAsia" w:ascii="宋体" w:hAnsi="宋体" w:cs="宋体"/>
                <w:color w:val="auto"/>
                <w:highlight w:val="none"/>
              </w:rPr>
            </w:pPr>
          </w:p>
        </w:tc>
        <w:tc>
          <w:tcPr>
            <w:tcW w:w="2509" w:type="dxa"/>
            <w:vAlign w:val="center"/>
          </w:tcPr>
          <w:p w14:paraId="6F188AF7">
            <w:pPr>
              <w:autoSpaceDE w:val="0"/>
              <w:autoSpaceDN w:val="0"/>
              <w:adjustRightInd w:val="0"/>
              <w:ind w:firstLine="480"/>
              <w:jc w:val="center"/>
              <w:rPr>
                <w:rFonts w:hint="eastAsia" w:ascii="宋体" w:hAnsi="宋体" w:cs="宋体"/>
                <w:color w:val="auto"/>
                <w:highlight w:val="none"/>
              </w:rPr>
            </w:pPr>
          </w:p>
        </w:tc>
        <w:tc>
          <w:tcPr>
            <w:tcW w:w="2317" w:type="dxa"/>
            <w:vAlign w:val="center"/>
          </w:tcPr>
          <w:p w14:paraId="1B981AB2">
            <w:pPr>
              <w:autoSpaceDE w:val="0"/>
              <w:autoSpaceDN w:val="0"/>
              <w:adjustRightInd w:val="0"/>
              <w:ind w:firstLine="480"/>
              <w:jc w:val="center"/>
              <w:rPr>
                <w:rFonts w:hint="eastAsia" w:ascii="宋体" w:hAnsi="宋体" w:cs="宋体"/>
                <w:color w:val="auto"/>
                <w:highlight w:val="none"/>
              </w:rPr>
            </w:pPr>
          </w:p>
        </w:tc>
        <w:tc>
          <w:tcPr>
            <w:tcW w:w="1446" w:type="dxa"/>
            <w:vAlign w:val="center"/>
          </w:tcPr>
          <w:p w14:paraId="3544E6F9">
            <w:pPr>
              <w:autoSpaceDE w:val="0"/>
              <w:autoSpaceDN w:val="0"/>
              <w:adjustRightInd w:val="0"/>
              <w:ind w:firstLine="480"/>
              <w:jc w:val="center"/>
              <w:rPr>
                <w:rFonts w:hint="eastAsia" w:ascii="宋体" w:hAnsi="宋体" w:cs="宋体"/>
                <w:color w:val="auto"/>
                <w:highlight w:val="none"/>
              </w:rPr>
            </w:pPr>
          </w:p>
        </w:tc>
        <w:tc>
          <w:tcPr>
            <w:tcW w:w="1918" w:type="dxa"/>
            <w:vAlign w:val="center"/>
          </w:tcPr>
          <w:p w14:paraId="2F5D9CCC">
            <w:pPr>
              <w:autoSpaceDE w:val="0"/>
              <w:autoSpaceDN w:val="0"/>
              <w:adjustRightInd w:val="0"/>
              <w:ind w:firstLine="480"/>
              <w:jc w:val="center"/>
              <w:rPr>
                <w:rFonts w:hint="eastAsia" w:ascii="宋体" w:hAnsi="宋体" w:cs="宋体"/>
                <w:color w:val="auto"/>
                <w:highlight w:val="none"/>
              </w:rPr>
            </w:pPr>
          </w:p>
        </w:tc>
      </w:tr>
      <w:tr w14:paraId="24BA5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853" w:type="dxa"/>
            <w:vAlign w:val="center"/>
          </w:tcPr>
          <w:p w14:paraId="1D3C8EAD">
            <w:pPr>
              <w:autoSpaceDE w:val="0"/>
              <w:autoSpaceDN w:val="0"/>
              <w:adjustRightIn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w:t>
            </w:r>
          </w:p>
        </w:tc>
        <w:tc>
          <w:tcPr>
            <w:tcW w:w="1427" w:type="dxa"/>
            <w:vAlign w:val="center"/>
          </w:tcPr>
          <w:p w14:paraId="373A3AAC">
            <w:pPr>
              <w:autoSpaceDE w:val="0"/>
              <w:autoSpaceDN w:val="0"/>
              <w:adjustRightInd w:val="0"/>
              <w:ind w:firstLine="480"/>
              <w:jc w:val="center"/>
              <w:rPr>
                <w:rFonts w:hint="eastAsia" w:ascii="宋体" w:hAnsi="宋体" w:cs="宋体"/>
                <w:color w:val="auto"/>
                <w:highlight w:val="none"/>
              </w:rPr>
            </w:pPr>
          </w:p>
        </w:tc>
        <w:tc>
          <w:tcPr>
            <w:tcW w:w="2509" w:type="dxa"/>
            <w:vAlign w:val="center"/>
          </w:tcPr>
          <w:p w14:paraId="4FE99853">
            <w:pPr>
              <w:autoSpaceDE w:val="0"/>
              <w:autoSpaceDN w:val="0"/>
              <w:adjustRightInd w:val="0"/>
              <w:ind w:firstLine="480"/>
              <w:jc w:val="center"/>
              <w:rPr>
                <w:rFonts w:hint="eastAsia" w:ascii="宋体" w:hAnsi="宋体" w:cs="宋体"/>
                <w:color w:val="auto"/>
                <w:highlight w:val="none"/>
              </w:rPr>
            </w:pPr>
          </w:p>
        </w:tc>
        <w:tc>
          <w:tcPr>
            <w:tcW w:w="2317" w:type="dxa"/>
            <w:vAlign w:val="center"/>
          </w:tcPr>
          <w:p w14:paraId="4F8578B3">
            <w:pPr>
              <w:autoSpaceDE w:val="0"/>
              <w:autoSpaceDN w:val="0"/>
              <w:adjustRightInd w:val="0"/>
              <w:ind w:firstLine="480"/>
              <w:jc w:val="center"/>
              <w:rPr>
                <w:rFonts w:hint="eastAsia" w:ascii="宋体" w:hAnsi="宋体" w:cs="宋体"/>
                <w:color w:val="auto"/>
                <w:highlight w:val="none"/>
              </w:rPr>
            </w:pPr>
          </w:p>
        </w:tc>
        <w:tc>
          <w:tcPr>
            <w:tcW w:w="1446" w:type="dxa"/>
            <w:vAlign w:val="center"/>
          </w:tcPr>
          <w:p w14:paraId="4E744EFB">
            <w:pPr>
              <w:autoSpaceDE w:val="0"/>
              <w:autoSpaceDN w:val="0"/>
              <w:adjustRightInd w:val="0"/>
              <w:ind w:firstLine="480"/>
              <w:jc w:val="center"/>
              <w:rPr>
                <w:rFonts w:hint="eastAsia" w:ascii="宋体" w:hAnsi="宋体" w:cs="宋体"/>
                <w:color w:val="auto"/>
                <w:highlight w:val="none"/>
              </w:rPr>
            </w:pPr>
          </w:p>
        </w:tc>
        <w:tc>
          <w:tcPr>
            <w:tcW w:w="1918" w:type="dxa"/>
            <w:vAlign w:val="center"/>
          </w:tcPr>
          <w:p w14:paraId="5F06D8DC">
            <w:pPr>
              <w:autoSpaceDE w:val="0"/>
              <w:autoSpaceDN w:val="0"/>
              <w:adjustRightInd w:val="0"/>
              <w:ind w:firstLine="480"/>
              <w:jc w:val="center"/>
              <w:rPr>
                <w:rFonts w:hint="eastAsia" w:ascii="宋体" w:hAnsi="宋体" w:cs="宋体"/>
                <w:color w:val="auto"/>
                <w:highlight w:val="none"/>
              </w:rPr>
            </w:pPr>
          </w:p>
        </w:tc>
      </w:tr>
    </w:tbl>
    <w:p w14:paraId="1C784F50">
      <w:pPr>
        <w:snapToGrid w:val="0"/>
        <w:spacing w:line="520" w:lineRule="exact"/>
        <w:ind w:firstLine="480"/>
        <w:rPr>
          <w:rFonts w:hint="eastAsia" w:ascii="宋体" w:hAnsi="宋体" w:cs="宋体"/>
          <w:bCs/>
          <w:color w:val="auto"/>
          <w:highlight w:val="none"/>
        </w:rPr>
      </w:pPr>
      <w:r>
        <w:rPr>
          <w:rFonts w:hint="eastAsia" w:ascii="宋体" w:hAnsi="宋体" w:cs="宋体"/>
          <w:bCs/>
          <w:color w:val="auto"/>
          <w:highlight w:val="none"/>
        </w:rPr>
        <w:t>注：</w:t>
      </w:r>
    </w:p>
    <w:p w14:paraId="4E876CC1">
      <w:pPr>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1.供应商应根据投标设备的性能指标、对照招标文件要求在“偏离情况”栏注明“正偏离”、“负偏离”或“无偏离”。</w:t>
      </w:r>
    </w:p>
    <w:p w14:paraId="3C6406E6">
      <w:pPr>
        <w:widowControl/>
        <w:spacing w:line="312" w:lineRule="auto"/>
        <w:ind w:firstLine="480"/>
        <w:rPr>
          <w:rFonts w:hint="eastAsia" w:ascii="宋体" w:hAnsi="宋体" w:cs="宋体"/>
          <w:color w:val="auto"/>
          <w:kern w:val="0"/>
          <w:highlight w:val="none"/>
        </w:rPr>
      </w:pPr>
      <w:r>
        <w:rPr>
          <w:rFonts w:hint="eastAsia" w:ascii="宋体" w:hAnsi="宋体" w:cs="宋体"/>
          <w:color w:val="auto"/>
          <w:kern w:val="0"/>
          <w:highlight w:val="none"/>
        </w:rPr>
        <w:t>2.详细的产品清单及货物简要说明（注明品牌型号及具体参数）；</w:t>
      </w:r>
    </w:p>
    <w:p w14:paraId="646976C6">
      <w:pPr>
        <w:spacing w:line="312" w:lineRule="auto"/>
        <w:ind w:firstLine="480"/>
        <w:rPr>
          <w:rFonts w:hint="eastAsia" w:ascii="宋体" w:hAnsi="宋体" w:cs="宋体"/>
          <w:color w:val="auto"/>
          <w:kern w:val="0"/>
          <w:highlight w:val="none"/>
        </w:rPr>
      </w:pPr>
      <w:r>
        <w:rPr>
          <w:rFonts w:hint="eastAsia" w:ascii="宋体" w:hAnsi="宋体" w:cs="宋体"/>
          <w:color w:val="auto"/>
          <w:kern w:val="0"/>
          <w:highlight w:val="none"/>
        </w:rPr>
        <w:t>3.提供能详细描述投标产品主要技术参数、性能的证明材料</w:t>
      </w:r>
      <w:r>
        <w:rPr>
          <w:rFonts w:hint="eastAsia" w:ascii="宋体" w:hAnsi="宋体" w:cs="宋体"/>
          <w:bCs/>
          <w:color w:val="auto"/>
          <w:kern w:val="0"/>
          <w:highlight w:val="none"/>
        </w:rPr>
        <w:t>。</w:t>
      </w:r>
    </w:p>
    <w:p w14:paraId="3CFE863C">
      <w:pPr>
        <w:adjustRightInd w:val="0"/>
        <w:snapToGrid w:val="0"/>
        <w:spacing w:line="360" w:lineRule="auto"/>
        <w:ind w:firstLine="4080" w:firstLineChars="1700"/>
        <w:textAlignment w:val="baseline"/>
        <w:rPr>
          <w:rFonts w:hint="eastAsia" w:ascii="宋体" w:hAnsi="宋体" w:cs="宋体"/>
          <w:color w:val="auto"/>
          <w:highlight w:val="none"/>
          <w:lang w:bidi="ar"/>
        </w:rPr>
      </w:pPr>
    </w:p>
    <w:p w14:paraId="0B7092C0">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投标人名称（盖章）:</w:t>
      </w:r>
    </w:p>
    <w:p w14:paraId="78BA9940">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法定代表人或授权代理人（签字或盖章）:</w:t>
      </w:r>
    </w:p>
    <w:p w14:paraId="299633B9">
      <w:pPr>
        <w:widowControl/>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lang w:bidi="ar"/>
        </w:rPr>
        <w:t>日期:2025年   月   日</w:t>
      </w:r>
    </w:p>
    <w:p w14:paraId="024B0346">
      <w:pPr>
        <w:ind w:firstLine="0" w:firstLineChars="0"/>
        <w:outlineLvl w:val="1"/>
        <w:rPr>
          <w:rFonts w:hint="eastAsia" w:ascii="宋体" w:hAnsi="宋体" w:cs="宋体"/>
          <w:b/>
          <w:bCs/>
          <w:color w:val="auto"/>
          <w:highlight w:val="none"/>
        </w:rPr>
      </w:pPr>
      <w:r>
        <w:rPr>
          <w:rFonts w:hint="eastAsia" w:ascii="宋体" w:hAnsi="宋体" w:cs="Arial"/>
          <w:bCs/>
          <w:color w:val="auto"/>
          <w:sz w:val="22"/>
          <w:szCs w:val="22"/>
          <w:highlight w:val="none"/>
          <w:lang w:bidi="ar"/>
        </w:rPr>
        <w:br w:type="page"/>
      </w:r>
      <w:bookmarkStart w:id="449" w:name="_Toc17877"/>
      <w:r>
        <w:rPr>
          <w:rFonts w:hint="eastAsia" w:ascii="宋体" w:hAnsi="宋体" w:cs="宋体"/>
          <w:b/>
          <w:bCs/>
          <w:color w:val="auto"/>
          <w:highlight w:val="none"/>
          <w:lang w:bidi="ar"/>
        </w:rPr>
        <w:t>附件9</w:t>
      </w:r>
      <w:bookmarkEnd w:id="449"/>
    </w:p>
    <w:p w14:paraId="12C93759">
      <w:pPr>
        <w:ind w:firstLine="200" w:firstLineChars="0"/>
        <w:jc w:val="center"/>
        <w:rPr>
          <w:rFonts w:cs="宋体"/>
          <w:b/>
          <w:color w:val="auto"/>
          <w:sz w:val="28"/>
          <w:szCs w:val="28"/>
          <w:highlight w:val="none"/>
        </w:rPr>
      </w:pPr>
      <w:r>
        <w:rPr>
          <w:rFonts w:hint="eastAsia" w:ascii="宋体" w:hAnsi="宋体" w:cs="宋体"/>
          <w:b/>
          <w:bCs/>
          <w:color w:val="auto"/>
          <w:sz w:val="30"/>
          <w:szCs w:val="30"/>
          <w:highlight w:val="none"/>
          <w:lang w:bidi="ar"/>
        </w:rPr>
        <w:t>商务条款响应（偏离）表</w:t>
      </w:r>
    </w:p>
    <w:p w14:paraId="4C5D1D89">
      <w:pPr>
        <w:snapToGrid w:val="0"/>
        <w:spacing w:before="50" w:after="50"/>
        <w:ind w:firstLine="240" w:firstLineChars="100"/>
        <w:rPr>
          <w:rFonts w:cs="宋体"/>
          <w:color w:val="auto"/>
          <w:highlight w:val="none"/>
        </w:rPr>
      </w:pPr>
      <w:r>
        <w:rPr>
          <w:rFonts w:hint="eastAsia" w:ascii="宋体" w:hAnsi="宋体" w:cs="宋体"/>
          <w:color w:val="auto"/>
          <w:highlight w:val="none"/>
          <w:lang w:bidi="ar"/>
        </w:rPr>
        <w:t>项目名称：</w:t>
      </w:r>
    </w:p>
    <w:p w14:paraId="2B42F733">
      <w:pPr>
        <w:snapToGrid w:val="0"/>
        <w:spacing w:before="50" w:after="50"/>
        <w:ind w:firstLine="240" w:firstLineChars="100"/>
        <w:rPr>
          <w:rFonts w:cs="宋体"/>
          <w:color w:val="auto"/>
          <w:spacing w:val="20"/>
          <w:highlight w:val="none"/>
        </w:rPr>
      </w:pPr>
      <w:r>
        <w:rPr>
          <w:rFonts w:hint="eastAsia" w:ascii="宋体" w:hAnsi="宋体" w:cs="宋体"/>
          <w:color w:val="auto"/>
          <w:highlight w:val="none"/>
          <w:lang w:bidi="ar"/>
        </w:rPr>
        <w:t>项目编号：</w:t>
      </w:r>
      <w:r>
        <w:rPr>
          <w:rFonts w:hint="eastAsia" w:cs="宋体"/>
          <w:color w:val="auto"/>
          <w:highlight w:val="none"/>
          <w:lang w:bidi="ar"/>
        </w:rPr>
        <w:t xml:space="preserve">             </w:t>
      </w:r>
    </w:p>
    <w:tbl>
      <w:tblPr>
        <w:tblStyle w:val="43"/>
        <w:tblW w:w="101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3"/>
        <w:gridCol w:w="1678"/>
        <w:gridCol w:w="4388"/>
        <w:gridCol w:w="982"/>
        <w:gridCol w:w="2264"/>
      </w:tblGrid>
      <w:tr w14:paraId="3CA4C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0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3121E9E">
            <w:pPr>
              <w:adjustRightInd w:val="0"/>
              <w:snapToGrid w:val="0"/>
              <w:ind w:firstLine="0" w:firstLineChars="0"/>
              <w:jc w:val="center"/>
              <w:rPr>
                <w:rFonts w:cs="宋体"/>
                <w:color w:val="auto"/>
                <w:spacing w:val="20"/>
                <w:highlight w:val="none"/>
              </w:rPr>
            </w:pPr>
            <w:r>
              <w:rPr>
                <w:rFonts w:hint="eastAsia" w:ascii="宋体" w:hAnsi="宋体" w:cs="宋体"/>
                <w:color w:val="auto"/>
                <w:spacing w:val="20"/>
                <w:highlight w:val="none"/>
                <w:lang w:bidi="ar"/>
              </w:rPr>
              <w:t>序号</w:t>
            </w:r>
          </w:p>
        </w:tc>
        <w:tc>
          <w:tcPr>
            <w:tcW w:w="16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92D6AFE">
            <w:pPr>
              <w:adjustRightInd w:val="0"/>
              <w:snapToGrid w:val="0"/>
              <w:ind w:firstLine="0" w:firstLineChars="0"/>
              <w:jc w:val="center"/>
              <w:rPr>
                <w:rFonts w:cs="宋体"/>
                <w:color w:val="auto"/>
                <w:spacing w:val="20"/>
                <w:highlight w:val="none"/>
              </w:rPr>
            </w:pPr>
            <w:r>
              <w:rPr>
                <w:rFonts w:hint="eastAsia" w:ascii="宋体" w:hAnsi="宋体" w:cs="宋体"/>
                <w:color w:val="auto"/>
                <w:spacing w:val="20"/>
                <w:highlight w:val="none"/>
                <w:lang w:bidi="ar"/>
              </w:rPr>
              <w:t>内</w:t>
            </w:r>
            <w:r>
              <w:rPr>
                <w:rFonts w:hint="eastAsia" w:cs="宋体"/>
                <w:color w:val="auto"/>
                <w:spacing w:val="20"/>
                <w:highlight w:val="none"/>
                <w:lang w:bidi="ar"/>
              </w:rPr>
              <w:t xml:space="preserve"> </w:t>
            </w:r>
            <w:r>
              <w:rPr>
                <w:rFonts w:hint="eastAsia" w:ascii="宋体" w:hAnsi="宋体" w:cs="宋体"/>
                <w:color w:val="auto"/>
                <w:spacing w:val="20"/>
                <w:highlight w:val="none"/>
                <w:lang w:bidi="ar"/>
              </w:rPr>
              <w:t>容</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E6E52B6">
            <w:pPr>
              <w:adjustRightInd w:val="0"/>
              <w:snapToGrid w:val="0"/>
              <w:ind w:firstLine="0" w:firstLineChars="0"/>
              <w:jc w:val="center"/>
              <w:rPr>
                <w:rFonts w:cs="宋体"/>
                <w:color w:val="auto"/>
                <w:spacing w:val="20"/>
                <w:highlight w:val="none"/>
              </w:rPr>
            </w:pPr>
            <w:r>
              <w:rPr>
                <w:rFonts w:hint="eastAsia" w:ascii="宋体" w:hAnsi="宋体" w:cs="宋体"/>
                <w:color w:val="auto"/>
                <w:spacing w:val="20"/>
                <w:highlight w:val="none"/>
                <w:lang w:bidi="ar"/>
              </w:rPr>
              <w:t>文件要求</w:t>
            </w:r>
          </w:p>
        </w:tc>
        <w:tc>
          <w:tcPr>
            <w:tcW w:w="98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967F20C">
            <w:pPr>
              <w:adjustRightInd w:val="0"/>
              <w:snapToGrid w:val="0"/>
              <w:ind w:firstLine="0" w:firstLineChars="0"/>
              <w:jc w:val="center"/>
              <w:rPr>
                <w:rFonts w:cs="宋体"/>
                <w:color w:val="auto"/>
                <w:spacing w:val="20"/>
                <w:highlight w:val="none"/>
              </w:rPr>
            </w:pPr>
            <w:r>
              <w:rPr>
                <w:rFonts w:hint="eastAsia" w:ascii="宋体" w:hAnsi="宋体" w:cs="宋体"/>
                <w:color w:val="auto"/>
                <w:spacing w:val="20"/>
                <w:highlight w:val="none"/>
                <w:lang w:bidi="ar"/>
              </w:rPr>
              <w:t>是否响应</w:t>
            </w:r>
          </w:p>
        </w:tc>
        <w:tc>
          <w:tcPr>
            <w:tcW w:w="226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BD9FB6">
            <w:pPr>
              <w:adjustRightInd w:val="0"/>
              <w:snapToGrid w:val="0"/>
              <w:ind w:firstLine="0" w:firstLineChars="0"/>
              <w:jc w:val="center"/>
              <w:rPr>
                <w:rFonts w:cs="宋体"/>
                <w:color w:val="auto"/>
                <w:spacing w:val="20"/>
                <w:highlight w:val="none"/>
              </w:rPr>
            </w:pPr>
            <w:r>
              <w:rPr>
                <w:rFonts w:hint="eastAsia" w:ascii="宋体" w:hAnsi="宋体" w:cs="宋体"/>
                <w:color w:val="auto"/>
                <w:spacing w:val="20"/>
                <w:highlight w:val="none"/>
                <w:lang w:bidi="ar"/>
              </w:rPr>
              <w:t>备注</w:t>
            </w:r>
          </w:p>
        </w:tc>
      </w:tr>
      <w:tr w14:paraId="34531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6" w:hRule="atLeast"/>
        </w:trPr>
        <w:tc>
          <w:tcPr>
            <w:tcW w:w="80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922CB07">
            <w:pPr>
              <w:adjustRightInd w:val="0"/>
              <w:snapToGrid w:val="0"/>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lang w:bidi="ar"/>
              </w:rPr>
              <w:t>1</w:t>
            </w:r>
          </w:p>
        </w:tc>
        <w:tc>
          <w:tcPr>
            <w:tcW w:w="16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6D39259">
            <w:pPr>
              <w:adjustRightInd w:val="0"/>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lang w:bidi="ar"/>
              </w:rPr>
              <w:t>供货期</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DA2531F">
            <w:pPr>
              <w:adjustRightInd w:val="0"/>
              <w:ind w:firstLine="200" w:firstLineChars="0"/>
              <w:jc w:val="center"/>
              <w:rPr>
                <w:rFonts w:hint="eastAsia" w:ascii="宋体" w:hAnsi="宋体" w:cs="宋体"/>
                <w:color w:val="auto"/>
                <w:spacing w:val="20"/>
                <w:highlight w:val="none"/>
              </w:rPr>
            </w:pPr>
          </w:p>
        </w:tc>
        <w:tc>
          <w:tcPr>
            <w:tcW w:w="98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75BB097">
            <w:pPr>
              <w:adjustRightInd w:val="0"/>
              <w:snapToGrid w:val="0"/>
              <w:ind w:firstLine="0" w:firstLineChars="0"/>
              <w:jc w:val="center"/>
              <w:rPr>
                <w:rFonts w:hint="eastAsia" w:ascii="宋体" w:hAnsi="宋体" w:cs="宋体"/>
                <w:color w:val="auto"/>
                <w:spacing w:val="20"/>
                <w:highlight w:val="none"/>
              </w:rPr>
            </w:pPr>
          </w:p>
        </w:tc>
        <w:tc>
          <w:tcPr>
            <w:tcW w:w="2264" w:type="dxa"/>
            <w:vMerge w:val="restart"/>
            <w:tcBorders>
              <w:top w:val="nil"/>
              <w:left w:val="single" w:color="auto" w:sz="6" w:space="0"/>
              <w:bottom w:val="single" w:color="auto" w:sz="6" w:space="0"/>
              <w:right w:val="single" w:color="auto" w:sz="6" w:space="0"/>
            </w:tcBorders>
            <w:shd w:val="clear" w:color="auto" w:fill="auto"/>
            <w:noWrap/>
            <w:vAlign w:val="center"/>
          </w:tcPr>
          <w:p w14:paraId="53927303">
            <w:pPr>
              <w:adjustRightInd w:val="0"/>
              <w:snapToGrid w:val="0"/>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lang w:bidi="ar"/>
              </w:rPr>
              <w:t>对于商务条款的任何负偏离，直接作无效标处理。</w:t>
            </w:r>
          </w:p>
        </w:tc>
      </w:tr>
      <w:tr w14:paraId="4DF83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0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1E5A67E">
            <w:pPr>
              <w:adjustRightInd w:val="0"/>
              <w:snapToGrid w:val="0"/>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lang w:bidi="ar"/>
              </w:rPr>
              <w:t>2</w:t>
            </w:r>
          </w:p>
        </w:tc>
        <w:tc>
          <w:tcPr>
            <w:tcW w:w="16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2312796">
            <w:pPr>
              <w:adjustRightInd w:val="0"/>
              <w:snapToGrid w:val="0"/>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lang w:bidi="ar"/>
              </w:rPr>
              <w:t>付款方式</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2C86A0E">
            <w:pPr>
              <w:adjustRightInd w:val="0"/>
              <w:snapToGrid w:val="0"/>
              <w:ind w:firstLine="0" w:firstLineChars="0"/>
              <w:jc w:val="center"/>
              <w:rPr>
                <w:rFonts w:hint="eastAsia" w:ascii="宋体" w:hAnsi="宋体" w:cs="宋体"/>
                <w:color w:val="auto"/>
                <w:spacing w:val="20"/>
                <w:highlight w:val="none"/>
              </w:rPr>
            </w:pPr>
          </w:p>
        </w:tc>
        <w:tc>
          <w:tcPr>
            <w:tcW w:w="98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D995647">
            <w:pPr>
              <w:adjustRightInd w:val="0"/>
              <w:snapToGrid w:val="0"/>
              <w:ind w:firstLine="0" w:firstLineChars="0"/>
              <w:jc w:val="center"/>
              <w:rPr>
                <w:rFonts w:hint="eastAsia" w:ascii="宋体" w:hAnsi="宋体" w:cs="宋体"/>
                <w:color w:val="auto"/>
                <w:spacing w:val="20"/>
                <w:highlight w:val="none"/>
              </w:rPr>
            </w:pPr>
          </w:p>
        </w:tc>
        <w:tc>
          <w:tcPr>
            <w:tcW w:w="2264" w:type="dxa"/>
            <w:vMerge w:val="continue"/>
            <w:tcBorders>
              <w:top w:val="nil"/>
              <w:left w:val="single" w:color="auto" w:sz="6" w:space="0"/>
              <w:bottom w:val="single" w:color="auto" w:sz="6" w:space="0"/>
              <w:right w:val="single" w:color="auto" w:sz="6" w:space="0"/>
            </w:tcBorders>
            <w:shd w:val="clear" w:color="auto" w:fill="auto"/>
            <w:noWrap/>
            <w:vAlign w:val="center"/>
          </w:tcPr>
          <w:p w14:paraId="5E8FCEAA">
            <w:pPr>
              <w:ind w:firstLine="400"/>
              <w:rPr>
                <w:rFonts w:cs="Times New Roman"/>
                <w:color w:val="auto"/>
                <w:sz w:val="20"/>
                <w:szCs w:val="20"/>
                <w:highlight w:val="none"/>
              </w:rPr>
            </w:pPr>
          </w:p>
        </w:tc>
      </w:tr>
      <w:tr w14:paraId="4D119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42" w:hRule="atLeast"/>
        </w:trPr>
        <w:tc>
          <w:tcPr>
            <w:tcW w:w="80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7630198">
            <w:pPr>
              <w:adjustRightInd w:val="0"/>
              <w:snapToGrid w:val="0"/>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lang w:bidi="ar"/>
              </w:rPr>
              <w:t>3</w:t>
            </w:r>
          </w:p>
        </w:tc>
        <w:tc>
          <w:tcPr>
            <w:tcW w:w="16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C4105B3">
            <w:pPr>
              <w:adjustRightInd w:val="0"/>
              <w:snapToGrid w:val="0"/>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lang w:bidi="ar"/>
              </w:rPr>
              <w:t>……</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58489EF">
            <w:pPr>
              <w:adjustRightInd w:val="0"/>
              <w:snapToGrid w:val="0"/>
              <w:ind w:firstLine="0" w:firstLineChars="0"/>
              <w:jc w:val="center"/>
              <w:rPr>
                <w:rFonts w:hint="eastAsia" w:ascii="宋体" w:hAnsi="宋体" w:cs="宋体"/>
                <w:color w:val="auto"/>
                <w:spacing w:val="20"/>
                <w:highlight w:val="none"/>
              </w:rPr>
            </w:pPr>
          </w:p>
        </w:tc>
        <w:tc>
          <w:tcPr>
            <w:tcW w:w="98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8AC4A7F">
            <w:pPr>
              <w:adjustRightInd w:val="0"/>
              <w:snapToGrid w:val="0"/>
              <w:ind w:firstLine="0" w:firstLineChars="0"/>
              <w:jc w:val="center"/>
              <w:rPr>
                <w:rFonts w:hint="eastAsia" w:ascii="宋体" w:hAnsi="宋体" w:cs="宋体"/>
                <w:color w:val="auto"/>
                <w:spacing w:val="20"/>
                <w:highlight w:val="none"/>
              </w:rPr>
            </w:pPr>
          </w:p>
        </w:tc>
        <w:tc>
          <w:tcPr>
            <w:tcW w:w="226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4B2DE94">
            <w:pPr>
              <w:adjustRightInd w:val="0"/>
              <w:snapToGrid w:val="0"/>
              <w:ind w:firstLine="0" w:firstLineChars="0"/>
              <w:jc w:val="center"/>
              <w:rPr>
                <w:rFonts w:hint="eastAsia" w:ascii="宋体" w:hAnsi="宋体" w:cs="宋体"/>
                <w:color w:val="auto"/>
                <w:spacing w:val="20"/>
                <w:highlight w:val="none"/>
              </w:rPr>
            </w:pPr>
          </w:p>
        </w:tc>
      </w:tr>
    </w:tbl>
    <w:p w14:paraId="360AD559">
      <w:pPr>
        <w:widowControl/>
        <w:adjustRightInd w:val="0"/>
        <w:snapToGrid w:val="0"/>
        <w:spacing w:line="36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bidi="ar"/>
        </w:rPr>
        <w:t xml:space="preserve"> </w:t>
      </w:r>
    </w:p>
    <w:p w14:paraId="58A79777">
      <w:pPr>
        <w:pStyle w:val="37"/>
        <w:widowControl w:val="0"/>
        <w:spacing w:before="0" w:beforeAutospacing="0" w:after="0" w:afterAutospacing="0"/>
        <w:ind w:firstLine="480"/>
        <w:rPr>
          <w:rFonts w:hint="eastAsia" w:cs="宋体"/>
          <w:bCs/>
          <w:color w:val="auto"/>
          <w:kern w:val="2"/>
          <w:highlight w:val="none"/>
        </w:rPr>
      </w:pPr>
      <w:r>
        <w:rPr>
          <w:rFonts w:hint="eastAsia" w:cs="宋体"/>
          <w:bCs/>
          <w:color w:val="auto"/>
          <w:kern w:val="2"/>
          <w:highlight w:val="none"/>
          <w:lang w:bidi="ar"/>
        </w:rPr>
        <w:t xml:space="preserve"> </w:t>
      </w:r>
    </w:p>
    <w:p w14:paraId="306A8BCB">
      <w:pPr>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0281C33E">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投标人名称（盖章）:</w:t>
      </w:r>
    </w:p>
    <w:p w14:paraId="472BC27E">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法定代表人或授权代理人（签字或盖章）:</w:t>
      </w:r>
    </w:p>
    <w:p w14:paraId="74D1329D">
      <w:pPr>
        <w:widowControl/>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lang w:bidi="ar"/>
        </w:rPr>
        <w:t>日期:2025年   月   日</w:t>
      </w:r>
    </w:p>
    <w:p w14:paraId="188FB5E3">
      <w:pPr>
        <w:pStyle w:val="37"/>
        <w:widowControl w:val="0"/>
        <w:spacing w:before="0" w:beforeAutospacing="0" w:after="0" w:afterAutospacing="0"/>
        <w:ind w:firstLine="480"/>
        <w:rPr>
          <w:rFonts w:hint="eastAsia" w:cs="宋体"/>
          <w:bCs/>
          <w:color w:val="auto"/>
          <w:kern w:val="2"/>
          <w:highlight w:val="none"/>
        </w:rPr>
      </w:pPr>
      <w:r>
        <w:rPr>
          <w:rFonts w:hint="eastAsia" w:cs="宋体"/>
          <w:bCs/>
          <w:color w:val="auto"/>
          <w:kern w:val="2"/>
          <w:highlight w:val="none"/>
          <w:lang w:bidi="ar"/>
        </w:rPr>
        <w:t xml:space="preserve"> </w:t>
      </w:r>
    </w:p>
    <w:p w14:paraId="5C417AE3">
      <w:pPr>
        <w:widowControl/>
        <w:ind w:firstLine="480"/>
        <w:rPr>
          <w:rFonts w:hint="eastAsia" w:ascii="宋体" w:hAnsi="宋体" w:cs="宋体"/>
          <w:bCs/>
          <w:color w:val="auto"/>
          <w:highlight w:val="none"/>
        </w:rPr>
      </w:pPr>
      <w:r>
        <w:rPr>
          <w:rFonts w:hint="eastAsia" w:ascii="宋体" w:hAnsi="宋体" w:cs="宋体"/>
          <w:bCs/>
          <w:color w:val="auto"/>
          <w:highlight w:val="none"/>
        </w:rPr>
        <w:t xml:space="preserve"> </w:t>
      </w:r>
    </w:p>
    <w:p w14:paraId="571443DC">
      <w:pPr>
        <w:ind w:firstLine="480"/>
        <w:rPr>
          <w:rFonts w:cs="Times New Roman"/>
          <w:color w:val="auto"/>
          <w:highlight w:val="none"/>
        </w:rPr>
      </w:pPr>
      <w:r>
        <w:rPr>
          <w:rFonts w:cs="Times New Roman"/>
          <w:color w:val="auto"/>
          <w:highlight w:val="none"/>
          <w:lang w:bidi="ar"/>
        </w:rPr>
        <w:t xml:space="preserve"> </w:t>
      </w:r>
    </w:p>
    <w:p w14:paraId="3F7C3041">
      <w:pPr>
        <w:ind w:firstLine="0" w:firstLine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 xml:space="preserve"> </w:t>
      </w:r>
    </w:p>
    <w:p w14:paraId="1A540595">
      <w:pPr>
        <w:ind w:firstLine="0" w:firstLine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 xml:space="preserve"> </w:t>
      </w:r>
    </w:p>
    <w:p w14:paraId="2466E20C">
      <w:pPr>
        <w:ind w:firstLine="0" w:firstLine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 xml:space="preserve"> </w:t>
      </w:r>
    </w:p>
    <w:p w14:paraId="19FAB3B0">
      <w:pPr>
        <w:ind w:firstLine="0" w:firstLine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 xml:space="preserve"> </w:t>
      </w:r>
    </w:p>
    <w:p w14:paraId="41CC2BCC">
      <w:pPr>
        <w:ind w:firstLine="643"/>
        <w:jc w:val="center"/>
        <w:rPr>
          <w:rFonts w:hint="eastAsia" w:ascii="宋体" w:hAnsi="宋体" w:cs="宋体"/>
          <w:b/>
          <w:color w:val="auto"/>
          <w:sz w:val="32"/>
          <w:szCs w:val="32"/>
          <w:highlight w:val="none"/>
          <w:lang w:bidi="ar"/>
        </w:rPr>
      </w:pPr>
    </w:p>
    <w:p w14:paraId="50B9082D">
      <w:pPr>
        <w:ind w:firstLine="0" w:firstLineChars="0"/>
        <w:rPr>
          <w:rFonts w:hint="eastAsia" w:ascii="宋体" w:hAnsi="宋体" w:cs="宋体"/>
          <w:b/>
          <w:bCs/>
          <w:color w:val="auto"/>
          <w:highlight w:val="none"/>
          <w:lang w:bidi="ar"/>
        </w:rPr>
      </w:pPr>
    </w:p>
    <w:p w14:paraId="657B82BB">
      <w:pPr>
        <w:ind w:firstLine="0" w:firstLineChars="0"/>
        <w:outlineLvl w:val="0"/>
        <w:rPr>
          <w:rFonts w:cs="Times New Roman"/>
          <w:color w:val="auto"/>
          <w:highlight w:val="none"/>
        </w:rPr>
      </w:pPr>
      <w:bookmarkStart w:id="450" w:name="_Toc2025"/>
      <w:r>
        <w:rPr>
          <w:rFonts w:hint="eastAsia" w:ascii="宋体" w:hAnsi="宋体" w:cs="宋体"/>
          <w:b/>
          <w:bCs/>
          <w:color w:val="auto"/>
          <w:highlight w:val="none"/>
          <w:lang w:bidi="ar"/>
        </w:rPr>
        <w:t>附件10</w:t>
      </w:r>
      <w:bookmarkEnd w:id="450"/>
    </w:p>
    <w:p w14:paraId="4E533EB6">
      <w:pPr>
        <w:spacing w:line="360" w:lineRule="auto"/>
        <w:ind w:firstLine="0" w:firstLineChars="0"/>
        <w:jc w:val="center"/>
        <w:rPr>
          <w:rFonts w:hint="eastAsia" w:ascii="宋体" w:hAnsi="宋体" w:cs="Times New Roman"/>
          <w:color w:val="auto"/>
          <w:spacing w:val="-4"/>
          <w:highlight w:val="none"/>
        </w:rPr>
      </w:pPr>
      <w:r>
        <w:rPr>
          <w:rFonts w:hint="eastAsia" w:ascii="宋体" w:hAnsi="宋体" w:cs="宋体"/>
          <w:b/>
          <w:color w:val="auto"/>
          <w:spacing w:val="-4"/>
          <w:sz w:val="32"/>
          <w:szCs w:val="32"/>
          <w:highlight w:val="none"/>
          <w:lang w:bidi="ar"/>
        </w:rPr>
        <w:t>开标一览表</w:t>
      </w:r>
      <w:r>
        <w:rPr>
          <w:rFonts w:hint="eastAsia" w:ascii="宋体" w:hAnsi="宋体" w:cs="Times New Roman"/>
          <w:color w:val="auto"/>
          <w:spacing w:val="-4"/>
          <w:highlight w:val="none"/>
          <w:lang w:bidi="ar"/>
        </w:rPr>
        <w:t xml:space="preserve"> </w:t>
      </w:r>
    </w:p>
    <w:p w14:paraId="6A99B2D7">
      <w:pPr>
        <w:spacing w:line="360" w:lineRule="auto"/>
        <w:ind w:firstLine="720" w:firstLineChars="300"/>
        <w:rPr>
          <w:rFonts w:hint="eastAsia" w:ascii="宋体" w:hAnsi="宋体" w:cs="Times New Roman"/>
          <w:color w:val="auto"/>
          <w:spacing w:val="-4"/>
          <w:highlight w:val="none"/>
          <w:u w:val="single"/>
        </w:rPr>
      </w:pPr>
      <w:r>
        <w:rPr>
          <w:rFonts w:hint="eastAsia" w:cs="宋体"/>
          <w:color w:val="auto"/>
          <w:highlight w:val="none"/>
          <w:lang w:bidi="ar"/>
        </w:rPr>
        <w:t xml:space="preserve"> </w:t>
      </w:r>
      <w:r>
        <w:rPr>
          <w:rFonts w:hint="eastAsia" w:ascii="宋体" w:hAnsi="宋体" w:cs="Times New Roman"/>
          <w:color w:val="auto"/>
          <w:spacing w:val="-4"/>
          <w:highlight w:val="none"/>
          <w:lang w:bidi="ar"/>
        </w:rPr>
        <w:t xml:space="preserve">                                                           </w:t>
      </w:r>
      <w:r>
        <w:rPr>
          <w:rFonts w:hint="eastAsia" w:ascii="宋体" w:hAnsi="宋体" w:cs="宋体"/>
          <w:color w:val="auto"/>
          <w:spacing w:val="-4"/>
          <w:highlight w:val="none"/>
          <w:lang w:bidi="ar"/>
        </w:rPr>
        <w:t>货币形式：</w:t>
      </w:r>
      <w:r>
        <w:rPr>
          <w:rFonts w:hint="eastAsia" w:ascii="宋体" w:hAnsi="宋体" w:cs="宋体"/>
          <w:color w:val="auto"/>
          <w:spacing w:val="-4"/>
          <w:highlight w:val="none"/>
          <w:u w:val="single"/>
          <w:lang w:bidi="ar"/>
        </w:rPr>
        <w:t>人民币/元</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3"/>
        <w:gridCol w:w="6973"/>
      </w:tblGrid>
      <w:tr w14:paraId="09B57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733" w:type="dxa"/>
            <w:vAlign w:val="center"/>
          </w:tcPr>
          <w:p w14:paraId="256EE36F">
            <w:pPr>
              <w:adjustRightInd w:val="0"/>
              <w:snapToGrid w:val="0"/>
              <w:spacing w:line="312" w:lineRule="auto"/>
              <w:ind w:firstLine="0" w:firstLineChars="0"/>
              <w:jc w:val="center"/>
              <w:rPr>
                <w:rFonts w:hint="eastAsia" w:ascii="宋体" w:hAnsi="宋体" w:cs="宋体"/>
                <w:color w:val="auto"/>
                <w:highlight w:val="none"/>
              </w:rPr>
            </w:pPr>
          </w:p>
          <w:p w14:paraId="2A17E06F">
            <w:pP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项目编号</w:t>
            </w:r>
          </w:p>
        </w:tc>
        <w:tc>
          <w:tcPr>
            <w:tcW w:w="6973" w:type="dxa"/>
          </w:tcPr>
          <w:p w14:paraId="7109C442">
            <w:pPr>
              <w:adjustRightInd w:val="0"/>
              <w:snapToGrid w:val="0"/>
              <w:spacing w:line="312" w:lineRule="auto"/>
              <w:ind w:firstLine="480"/>
              <w:rPr>
                <w:rFonts w:hint="eastAsia" w:ascii="宋体" w:hAnsi="宋体" w:cs="宋体"/>
                <w:color w:val="auto"/>
                <w:highlight w:val="none"/>
              </w:rPr>
            </w:pPr>
          </w:p>
          <w:p w14:paraId="1EBB1230">
            <w:pPr>
              <w:adjustRightInd w:val="0"/>
              <w:snapToGrid w:val="0"/>
              <w:spacing w:line="312" w:lineRule="auto"/>
              <w:ind w:firstLine="480"/>
              <w:rPr>
                <w:rFonts w:hint="eastAsia" w:ascii="宋体" w:hAnsi="宋体" w:cs="宋体"/>
                <w:color w:val="auto"/>
                <w:highlight w:val="none"/>
              </w:rPr>
            </w:pPr>
          </w:p>
        </w:tc>
      </w:tr>
      <w:tr w14:paraId="3A430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733" w:type="dxa"/>
            <w:vAlign w:val="center"/>
          </w:tcPr>
          <w:p w14:paraId="11E8479D">
            <w:pPr>
              <w:adjustRightInd w:val="0"/>
              <w:snapToGrid w:val="0"/>
              <w:spacing w:line="312" w:lineRule="auto"/>
              <w:ind w:firstLine="0" w:firstLineChars="0"/>
              <w:jc w:val="center"/>
              <w:rPr>
                <w:rFonts w:hint="eastAsia" w:ascii="宋体" w:hAnsi="宋体" w:cs="宋体"/>
                <w:color w:val="auto"/>
                <w:highlight w:val="none"/>
              </w:rPr>
            </w:pPr>
          </w:p>
          <w:p w14:paraId="170FFE2C">
            <w:pP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项目名称</w:t>
            </w:r>
          </w:p>
        </w:tc>
        <w:tc>
          <w:tcPr>
            <w:tcW w:w="6973" w:type="dxa"/>
          </w:tcPr>
          <w:p w14:paraId="5B9690EF">
            <w:pPr>
              <w:adjustRightInd w:val="0"/>
              <w:snapToGrid w:val="0"/>
              <w:spacing w:line="312" w:lineRule="auto"/>
              <w:ind w:firstLine="480"/>
              <w:rPr>
                <w:rFonts w:hint="eastAsia" w:ascii="宋体" w:hAnsi="宋体" w:cs="宋体"/>
                <w:color w:val="auto"/>
                <w:highlight w:val="none"/>
              </w:rPr>
            </w:pPr>
          </w:p>
        </w:tc>
      </w:tr>
      <w:tr w14:paraId="4621A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733" w:type="dxa"/>
            <w:vAlign w:val="center"/>
          </w:tcPr>
          <w:p w14:paraId="398DFB4A">
            <w:pP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供货期</w:t>
            </w:r>
          </w:p>
        </w:tc>
        <w:tc>
          <w:tcPr>
            <w:tcW w:w="6973" w:type="dxa"/>
          </w:tcPr>
          <w:p w14:paraId="16EE117D">
            <w:pPr>
              <w:adjustRightInd w:val="0"/>
              <w:snapToGrid w:val="0"/>
              <w:spacing w:line="312" w:lineRule="auto"/>
              <w:ind w:firstLine="480"/>
              <w:rPr>
                <w:rFonts w:hint="eastAsia" w:ascii="宋体" w:hAnsi="宋体" w:cs="宋体"/>
                <w:color w:val="auto"/>
                <w:highlight w:val="none"/>
              </w:rPr>
            </w:pPr>
          </w:p>
        </w:tc>
      </w:tr>
      <w:tr w14:paraId="67BFC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1" w:hRule="atLeast"/>
          <w:jc w:val="center"/>
        </w:trPr>
        <w:tc>
          <w:tcPr>
            <w:tcW w:w="2733" w:type="dxa"/>
            <w:vAlign w:val="center"/>
          </w:tcPr>
          <w:p w14:paraId="13FB72E8">
            <w:pP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w:t>
            </w:r>
            <w:r>
              <w:rPr>
                <w:rFonts w:hint="eastAsia" w:ascii="宋体" w:hAnsi="宋体" w:cs="宋体"/>
                <w:color w:val="auto"/>
                <w:highlight w:val="none"/>
                <w:lang w:bidi="ar"/>
              </w:rPr>
              <w:t>报价</w:t>
            </w:r>
          </w:p>
        </w:tc>
        <w:tc>
          <w:tcPr>
            <w:tcW w:w="6973" w:type="dxa"/>
            <w:vAlign w:val="center"/>
          </w:tcPr>
          <w:p w14:paraId="3073DBB0">
            <w:pPr>
              <w:adjustRightInd w:val="0"/>
              <w:snapToGrid w:val="0"/>
              <w:spacing w:line="312"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lang w:bidi="ar"/>
              </w:rPr>
              <w:t>元</w:t>
            </w:r>
            <w:r>
              <w:rPr>
                <w:rFonts w:hint="eastAsia" w:ascii="宋体" w:hAnsi="宋体" w:cs="宋体"/>
                <w:color w:val="auto"/>
                <w:highlight w:val="none"/>
              </w:rPr>
              <w:t>；小写¥：</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lang w:bidi="ar"/>
              </w:rPr>
              <w:t>元</w:t>
            </w:r>
            <w:r>
              <w:rPr>
                <w:rFonts w:hint="eastAsia" w:ascii="宋体" w:hAnsi="宋体" w:cs="宋体"/>
                <w:color w:val="auto"/>
                <w:highlight w:val="none"/>
              </w:rPr>
              <w:t>；</w:t>
            </w:r>
          </w:p>
        </w:tc>
      </w:tr>
    </w:tbl>
    <w:p w14:paraId="43F3870D">
      <w:pPr>
        <w:adjustRightInd w:val="0"/>
        <w:snapToGrid w:val="0"/>
        <w:spacing w:line="312" w:lineRule="auto"/>
        <w:ind w:firstLine="480"/>
        <w:outlineLvl w:val="0"/>
        <w:rPr>
          <w:rFonts w:hint="eastAsia" w:ascii="宋体" w:hAnsi="宋体" w:cs="宋体"/>
          <w:color w:val="auto"/>
          <w:highlight w:val="none"/>
        </w:rPr>
      </w:pPr>
      <w:bookmarkStart w:id="451" w:name="_Toc30902"/>
      <w:r>
        <w:rPr>
          <w:rFonts w:hint="eastAsia" w:ascii="宋体" w:hAnsi="宋体" w:cs="宋体"/>
          <w:color w:val="auto"/>
          <w:highlight w:val="none"/>
        </w:rPr>
        <w:t>注：采用印刷体打印，字迹清晰，不得随意改变格式。</w:t>
      </w:r>
      <w:bookmarkEnd w:id="451"/>
    </w:p>
    <w:p w14:paraId="7090D3F6">
      <w:pPr>
        <w:snapToGrid w:val="0"/>
        <w:spacing w:line="480" w:lineRule="exact"/>
        <w:ind w:firstLine="3840" w:firstLineChars="1600"/>
        <w:rPr>
          <w:rFonts w:cs="Times New Roman"/>
          <w:color w:val="auto"/>
          <w:highlight w:val="none"/>
        </w:rPr>
      </w:pPr>
      <w:r>
        <w:rPr>
          <w:rFonts w:hint="eastAsia" w:ascii="宋体" w:hAnsi="宋体" w:cs="Times New Roman"/>
          <w:color w:val="auto"/>
          <w:highlight w:val="none"/>
          <w:lang w:bidi="ar"/>
        </w:rPr>
        <w:t xml:space="preserve"> </w:t>
      </w:r>
      <w:r>
        <w:rPr>
          <w:rFonts w:cs="Times New Roman"/>
          <w:color w:val="auto"/>
          <w:highlight w:val="none"/>
          <w:lang w:bidi="ar"/>
        </w:rPr>
        <w:t xml:space="preserve"> </w:t>
      </w:r>
    </w:p>
    <w:p w14:paraId="7F208730">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投标人名称（盖章）:</w:t>
      </w:r>
    </w:p>
    <w:p w14:paraId="1DEF4256">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法定代表人或授权代理人（签字或盖章）:</w:t>
      </w:r>
    </w:p>
    <w:p w14:paraId="7ED0A77E">
      <w:pPr>
        <w:widowControl/>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lang w:bidi="ar"/>
        </w:rPr>
        <w:t>日期:2025年   月   日</w:t>
      </w:r>
    </w:p>
    <w:p w14:paraId="25B68D34">
      <w:pPr>
        <w:pStyle w:val="12"/>
        <w:ind w:firstLine="0" w:firstLineChars="0"/>
        <w:rPr>
          <w:color w:val="auto"/>
          <w:highlight w:val="none"/>
        </w:rPr>
      </w:pPr>
    </w:p>
    <w:p w14:paraId="6753C441">
      <w:pPr>
        <w:pStyle w:val="37"/>
        <w:snapToGrid w:val="0"/>
        <w:spacing w:after="120"/>
        <w:ind w:firstLine="0" w:firstLineChars="0"/>
        <w:rPr>
          <w:rFonts w:hint="eastAsia" w:cs="宋体"/>
          <w:b/>
          <w:bCs/>
          <w:color w:val="auto"/>
          <w:kern w:val="2"/>
          <w:highlight w:val="none"/>
          <w:lang w:bidi="ar"/>
        </w:rPr>
      </w:pPr>
    </w:p>
    <w:p w14:paraId="139CCC94">
      <w:pPr>
        <w:pStyle w:val="37"/>
        <w:snapToGrid w:val="0"/>
        <w:spacing w:after="120"/>
        <w:ind w:firstLine="0" w:firstLineChars="0"/>
        <w:rPr>
          <w:rFonts w:hint="eastAsia" w:cs="宋体"/>
          <w:b/>
          <w:bCs/>
          <w:color w:val="auto"/>
          <w:kern w:val="2"/>
          <w:highlight w:val="none"/>
          <w:lang w:bidi="ar"/>
        </w:rPr>
      </w:pPr>
    </w:p>
    <w:p w14:paraId="016110E0">
      <w:pPr>
        <w:pStyle w:val="37"/>
        <w:snapToGrid w:val="0"/>
        <w:spacing w:after="120"/>
        <w:ind w:firstLine="0" w:firstLineChars="0"/>
        <w:rPr>
          <w:rFonts w:hint="eastAsia" w:cs="宋体"/>
          <w:b/>
          <w:bCs/>
          <w:color w:val="auto"/>
          <w:kern w:val="2"/>
          <w:highlight w:val="none"/>
          <w:lang w:bidi="ar"/>
        </w:rPr>
      </w:pPr>
    </w:p>
    <w:p w14:paraId="03D12351">
      <w:pPr>
        <w:pStyle w:val="37"/>
        <w:snapToGrid w:val="0"/>
        <w:spacing w:after="120"/>
        <w:ind w:firstLine="0" w:firstLineChars="0"/>
        <w:rPr>
          <w:rFonts w:hint="eastAsia" w:cs="宋体"/>
          <w:b/>
          <w:bCs/>
          <w:color w:val="auto"/>
          <w:kern w:val="2"/>
          <w:highlight w:val="none"/>
          <w:lang w:bidi="ar"/>
        </w:rPr>
      </w:pPr>
    </w:p>
    <w:p w14:paraId="094487E9">
      <w:pPr>
        <w:pStyle w:val="37"/>
        <w:snapToGrid w:val="0"/>
        <w:spacing w:after="120"/>
        <w:ind w:firstLine="0" w:firstLineChars="0"/>
        <w:rPr>
          <w:rFonts w:hint="eastAsia" w:cs="宋体"/>
          <w:b/>
          <w:bCs/>
          <w:color w:val="auto"/>
          <w:kern w:val="2"/>
          <w:highlight w:val="none"/>
          <w:lang w:bidi="ar"/>
        </w:rPr>
      </w:pPr>
    </w:p>
    <w:p w14:paraId="251EBE6F">
      <w:pPr>
        <w:pStyle w:val="37"/>
        <w:snapToGrid w:val="0"/>
        <w:spacing w:after="120"/>
        <w:ind w:firstLine="0" w:firstLineChars="0"/>
        <w:rPr>
          <w:rFonts w:hint="eastAsia" w:cs="宋体"/>
          <w:b/>
          <w:bCs/>
          <w:color w:val="auto"/>
          <w:kern w:val="2"/>
          <w:highlight w:val="none"/>
          <w:lang w:bidi="ar"/>
        </w:rPr>
      </w:pPr>
    </w:p>
    <w:p w14:paraId="277C7928">
      <w:pPr>
        <w:pStyle w:val="37"/>
        <w:snapToGrid w:val="0"/>
        <w:spacing w:after="120"/>
        <w:ind w:firstLine="0" w:firstLineChars="0"/>
        <w:rPr>
          <w:rFonts w:hint="eastAsia" w:cs="宋体"/>
          <w:b/>
          <w:bCs/>
          <w:color w:val="auto"/>
          <w:kern w:val="2"/>
          <w:highlight w:val="none"/>
          <w:lang w:bidi="ar"/>
        </w:rPr>
      </w:pPr>
      <w:r>
        <w:rPr>
          <w:rFonts w:hint="eastAsia" w:cs="宋体"/>
          <w:b/>
          <w:bCs/>
          <w:color w:val="auto"/>
          <w:kern w:val="2"/>
          <w:highlight w:val="none"/>
          <w:lang w:bidi="ar"/>
        </w:rPr>
        <w:t>附件11</w:t>
      </w:r>
    </w:p>
    <w:p w14:paraId="6D40AE7F">
      <w:pPr>
        <w:spacing w:line="360" w:lineRule="auto"/>
        <w:ind w:firstLine="0" w:firstLineChars="0"/>
        <w:jc w:val="center"/>
        <w:rPr>
          <w:rFonts w:hint="eastAsia" w:ascii="宋体" w:hAnsi="宋体" w:cs="宋体"/>
          <w:b/>
          <w:color w:val="auto"/>
          <w:spacing w:val="-4"/>
          <w:sz w:val="32"/>
          <w:szCs w:val="32"/>
          <w:highlight w:val="none"/>
          <w:lang w:bidi="ar"/>
        </w:rPr>
      </w:pPr>
      <w:r>
        <w:rPr>
          <w:rFonts w:hint="eastAsia" w:ascii="宋体" w:hAnsi="宋体" w:cs="宋体"/>
          <w:b/>
          <w:color w:val="auto"/>
          <w:spacing w:val="-4"/>
          <w:sz w:val="32"/>
          <w:szCs w:val="32"/>
          <w:highlight w:val="none"/>
          <w:lang w:bidi="ar"/>
        </w:rPr>
        <w:t>投标价格组成明细表</w:t>
      </w:r>
    </w:p>
    <w:p w14:paraId="65733C77">
      <w:pPr>
        <w:pStyle w:val="21"/>
        <w:adjustRightInd w:val="0"/>
        <w:spacing w:line="300" w:lineRule="auto"/>
        <w:ind w:firstLine="0" w:firstLineChars="0"/>
        <w:rPr>
          <w:rFonts w:hint="eastAsia" w:hAnsi="宋体" w:cs="宋体"/>
          <w:color w:val="auto"/>
          <w:highlight w:val="none"/>
          <w:lang w:bidi="ar"/>
        </w:rPr>
      </w:pPr>
      <w:r>
        <w:rPr>
          <w:rFonts w:hint="eastAsia" w:hAnsi="宋体" w:cs="宋体"/>
          <w:color w:val="auto"/>
          <w:highlight w:val="none"/>
          <w:lang w:bidi="ar"/>
        </w:rPr>
        <w:t>项目名称：</w:t>
      </w:r>
    </w:p>
    <w:p w14:paraId="10E384AA">
      <w:pPr>
        <w:pStyle w:val="21"/>
        <w:adjustRightInd w:val="0"/>
        <w:spacing w:line="300" w:lineRule="auto"/>
        <w:ind w:firstLine="0" w:firstLineChars="0"/>
        <w:jc w:val="center"/>
        <w:rPr>
          <w:rFonts w:hint="eastAsia" w:hAnsi="宋体" w:cs="宋体"/>
          <w:color w:val="auto"/>
          <w:highlight w:val="none"/>
          <w:lang w:bidi="ar"/>
        </w:rPr>
      </w:pPr>
      <w:r>
        <w:rPr>
          <w:rFonts w:hint="eastAsia" w:hAnsi="宋体" w:cs="宋体"/>
          <w:color w:val="auto"/>
          <w:highlight w:val="none"/>
          <w:lang w:bidi="ar"/>
        </w:rPr>
        <w:t>项目编号：                                                  货币形式：人民币/元</w:t>
      </w:r>
    </w:p>
    <w:tbl>
      <w:tblPr>
        <w:tblStyle w:val="4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33B216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036522A9">
            <w:pPr>
              <w:pStyle w:val="21"/>
              <w:adjustRightInd w:val="0"/>
              <w:snapToGrid w:val="0"/>
              <w:spacing w:line="300" w:lineRule="auto"/>
              <w:ind w:firstLine="0" w:firstLineChars="0"/>
              <w:rPr>
                <w:rFonts w:ascii="Times New Roman" w:hAnsi="Times New Roman"/>
                <w:color w:val="auto"/>
                <w:highlight w:val="none"/>
              </w:rPr>
            </w:pPr>
            <w:bookmarkStart w:id="452" w:name="_Toc32433"/>
            <w:bookmarkStart w:id="453" w:name="_Toc10056"/>
            <w:bookmarkStart w:id="454" w:name="_Toc3130"/>
            <w:r>
              <w:rPr>
                <w:rFonts w:ascii="Times New Roman" w:hAnsi="Times New Roman"/>
                <w:color w:val="auto"/>
                <w:highlight w:val="none"/>
              </w:rPr>
              <w:t>序号</w:t>
            </w:r>
          </w:p>
        </w:tc>
        <w:tc>
          <w:tcPr>
            <w:tcW w:w="1603" w:type="dxa"/>
            <w:vAlign w:val="center"/>
          </w:tcPr>
          <w:p w14:paraId="59EF6A03">
            <w:pPr>
              <w:pStyle w:val="21"/>
              <w:adjustRightInd w:val="0"/>
              <w:snapToGrid w:val="0"/>
              <w:spacing w:line="300" w:lineRule="auto"/>
              <w:ind w:firstLine="0" w:firstLineChars="0"/>
              <w:rPr>
                <w:rFonts w:ascii="Times New Roman" w:hAnsi="Times New Roman"/>
                <w:color w:val="auto"/>
                <w:highlight w:val="none"/>
              </w:rPr>
            </w:pPr>
            <w:r>
              <w:rPr>
                <w:rFonts w:ascii="Times New Roman" w:hAnsi="Times New Roman"/>
                <w:color w:val="auto"/>
                <w:highlight w:val="none"/>
              </w:rPr>
              <w:t>设备材料名称</w:t>
            </w:r>
          </w:p>
        </w:tc>
        <w:tc>
          <w:tcPr>
            <w:tcW w:w="1275" w:type="dxa"/>
            <w:vAlign w:val="center"/>
          </w:tcPr>
          <w:p w14:paraId="50C2CCE8">
            <w:pPr>
              <w:pStyle w:val="21"/>
              <w:adjustRightInd w:val="0"/>
              <w:snapToGrid w:val="0"/>
              <w:spacing w:line="300" w:lineRule="auto"/>
              <w:ind w:firstLine="0" w:firstLineChars="0"/>
              <w:rPr>
                <w:rFonts w:ascii="Times New Roman" w:hAnsi="Times New Roman"/>
                <w:color w:val="auto"/>
                <w:highlight w:val="none"/>
              </w:rPr>
            </w:pPr>
            <w:r>
              <w:rPr>
                <w:rFonts w:ascii="Times New Roman" w:hAnsi="Times New Roman"/>
                <w:color w:val="auto"/>
                <w:highlight w:val="none"/>
              </w:rPr>
              <w:t>规格型号</w:t>
            </w:r>
          </w:p>
        </w:tc>
        <w:tc>
          <w:tcPr>
            <w:tcW w:w="720" w:type="dxa"/>
            <w:vAlign w:val="center"/>
          </w:tcPr>
          <w:p w14:paraId="5C3BB5A0">
            <w:pPr>
              <w:pStyle w:val="21"/>
              <w:adjustRightInd w:val="0"/>
              <w:snapToGrid w:val="0"/>
              <w:spacing w:line="300" w:lineRule="auto"/>
              <w:ind w:firstLine="0" w:firstLineChars="0"/>
              <w:rPr>
                <w:rFonts w:ascii="Times New Roman" w:hAnsi="Times New Roman"/>
                <w:color w:val="auto"/>
                <w:highlight w:val="none"/>
              </w:rPr>
            </w:pPr>
            <w:r>
              <w:rPr>
                <w:rFonts w:ascii="Times New Roman" w:hAnsi="Times New Roman"/>
                <w:color w:val="auto"/>
                <w:highlight w:val="none"/>
              </w:rPr>
              <w:t>数量</w:t>
            </w:r>
          </w:p>
        </w:tc>
        <w:tc>
          <w:tcPr>
            <w:tcW w:w="720" w:type="dxa"/>
            <w:vAlign w:val="center"/>
          </w:tcPr>
          <w:p w14:paraId="79B390B1">
            <w:pPr>
              <w:pStyle w:val="21"/>
              <w:adjustRightInd w:val="0"/>
              <w:snapToGrid w:val="0"/>
              <w:spacing w:line="300" w:lineRule="auto"/>
              <w:ind w:firstLine="0" w:firstLineChars="0"/>
              <w:rPr>
                <w:rFonts w:ascii="Times New Roman" w:hAnsi="Times New Roman"/>
                <w:color w:val="auto"/>
                <w:highlight w:val="none"/>
              </w:rPr>
            </w:pPr>
            <w:r>
              <w:rPr>
                <w:rFonts w:ascii="Times New Roman" w:hAnsi="Times New Roman"/>
                <w:color w:val="auto"/>
                <w:highlight w:val="none"/>
              </w:rPr>
              <w:t>单位</w:t>
            </w:r>
          </w:p>
        </w:tc>
        <w:tc>
          <w:tcPr>
            <w:tcW w:w="1538" w:type="dxa"/>
            <w:vAlign w:val="center"/>
          </w:tcPr>
          <w:p w14:paraId="78C2C0C5">
            <w:pPr>
              <w:pStyle w:val="21"/>
              <w:adjustRightInd w:val="0"/>
              <w:snapToGrid w:val="0"/>
              <w:spacing w:line="300" w:lineRule="auto"/>
              <w:ind w:firstLine="0" w:firstLineChars="0"/>
              <w:rPr>
                <w:rFonts w:ascii="Times New Roman" w:hAnsi="Times New Roman"/>
                <w:color w:val="auto"/>
                <w:highlight w:val="none"/>
              </w:rPr>
            </w:pPr>
            <w:r>
              <w:rPr>
                <w:rFonts w:ascii="Times New Roman" w:hAnsi="Times New Roman"/>
                <w:color w:val="auto"/>
                <w:highlight w:val="none"/>
              </w:rPr>
              <w:t>制造商/产地/品牌</w:t>
            </w:r>
          </w:p>
        </w:tc>
        <w:tc>
          <w:tcPr>
            <w:tcW w:w="937" w:type="dxa"/>
            <w:vAlign w:val="center"/>
          </w:tcPr>
          <w:p w14:paraId="626A4A1D">
            <w:pPr>
              <w:pStyle w:val="21"/>
              <w:adjustRightInd w:val="0"/>
              <w:snapToGrid w:val="0"/>
              <w:spacing w:line="300" w:lineRule="auto"/>
              <w:ind w:firstLine="0" w:firstLineChars="0"/>
              <w:rPr>
                <w:rFonts w:ascii="Times New Roman" w:hAnsi="Times New Roman"/>
                <w:color w:val="auto"/>
                <w:highlight w:val="none"/>
              </w:rPr>
            </w:pPr>
            <w:r>
              <w:rPr>
                <w:rFonts w:ascii="Times New Roman" w:hAnsi="Times New Roman"/>
                <w:color w:val="auto"/>
                <w:highlight w:val="none"/>
              </w:rPr>
              <w:t>单价</w:t>
            </w:r>
            <w:r>
              <w:rPr>
                <w:rFonts w:hint="eastAsia" w:ascii="Times New Roman" w:hAnsi="Times New Roman"/>
                <w:color w:val="auto"/>
                <w:highlight w:val="none"/>
              </w:rPr>
              <w:t>（元）</w:t>
            </w:r>
          </w:p>
        </w:tc>
        <w:tc>
          <w:tcPr>
            <w:tcW w:w="976" w:type="dxa"/>
            <w:vAlign w:val="center"/>
          </w:tcPr>
          <w:p w14:paraId="22AA20D0">
            <w:pPr>
              <w:pStyle w:val="21"/>
              <w:adjustRightInd w:val="0"/>
              <w:snapToGrid w:val="0"/>
              <w:spacing w:line="300" w:lineRule="auto"/>
              <w:ind w:firstLine="0" w:firstLineChars="0"/>
              <w:rPr>
                <w:rFonts w:ascii="Times New Roman" w:hAnsi="Times New Roman"/>
                <w:color w:val="auto"/>
                <w:highlight w:val="none"/>
              </w:rPr>
            </w:pPr>
            <w:r>
              <w:rPr>
                <w:rFonts w:ascii="Times New Roman" w:hAnsi="Times New Roman"/>
                <w:color w:val="auto"/>
                <w:highlight w:val="none"/>
              </w:rPr>
              <w:t>合价</w:t>
            </w:r>
            <w:r>
              <w:rPr>
                <w:rFonts w:hint="eastAsia" w:ascii="Times New Roman" w:hAnsi="Times New Roman"/>
                <w:color w:val="auto"/>
                <w:highlight w:val="none"/>
              </w:rPr>
              <w:t>（元）</w:t>
            </w:r>
          </w:p>
        </w:tc>
        <w:tc>
          <w:tcPr>
            <w:tcW w:w="816" w:type="dxa"/>
            <w:vAlign w:val="center"/>
          </w:tcPr>
          <w:p w14:paraId="73B9A313">
            <w:pPr>
              <w:pStyle w:val="21"/>
              <w:adjustRightInd w:val="0"/>
              <w:snapToGrid w:val="0"/>
              <w:spacing w:line="300" w:lineRule="auto"/>
              <w:ind w:firstLine="0" w:firstLineChars="0"/>
              <w:rPr>
                <w:rFonts w:ascii="Times New Roman" w:hAnsi="Times New Roman"/>
                <w:color w:val="auto"/>
                <w:highlight w:val="none"/>
              </w:rPr>
            </w:pPr>
            <w:r>
              <w:rPr>
                <w:rFonts w:ascii="Times New Roman" w:hAnsi="Times New Roman"/>
                <w:color w:val="auto"/>
                <w:highlight w:val="none"/>
              </w:rPr>
              <w:t>备注</w:t>
            </w:r>
          </w:p>
        </w:tc>
      </w:tr>
      <w:tr w14:paraId="5D7DC4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206A335">
            <w:pPr>
              <w:pStyle w:val="21"/>
              <w:adjustRightInd w:val="0"/>
              <w:snapToGrid w:val="0"/>
              <w:spacing w:line="300" w:lineRule="auto"/>
              <w:ind w:firstLine="0" w:firstLineChars="0"/>
              <w:jc w:val="center"/>
              <w:rPr>
                <w:rFonts w:hint="eastAsia" w:hAnsi="宋体" w:cs="宋体"/>
                <w:color w:val="auto"/>
                <w:highlight w:val="none"/>
              </w:rPr>
            </w:pPr>
            <w:r>
              <w:rPr>
                <w:rFonts w:hint="eastAsia" w:hAnsi="宋体" w:cs="宋体"/>
                <w:color w:val="auto"/>
                <w:highlight w:val="none"/>
              </w:rPr>
              <w:t>1</w:t>
            </w:r>
          </w:p>
        </w:tc>
        <w:tc>
          <w:tcPr>
            <w:tcW w:w="1603" w:type="dxa"/>
            <w:vAlign w:val="center"/>
          </w:tcPr>
          <w:p w14:paraId="63B01832">
            <w:pPr>
              <w:pStyle w:val="21"/>
              <w:adjustRightInd w:val="0"/>
              <w:snapToGrid w:val="0"/>
              <w:spacing w:line="300" w:lineRule="auto"/>
              <w:ind w:firstLine="0" w:firstLineChars="0"/>
              <w:jc w:val="center"/>
              <w:rPr>
                <w:rFonts w:hint="eastAsia" w:hAnsi="宋体" w:cs="宋体"/>
                <w:color w:val="auto"/>
                <w:highlight w:val="none"/>
              </w:rPr>
            </w:pPr>
          </w:p>
        </w:tc>
        <w:tc>
          <w:tcPr>
            <w:tcW w:w="1275" w:type="dxa"/>
            <w:vAlign w:val="center"/>
          </w:tcPr>
          <w:p w14:paraId="759D1E3D">
            <w:pPr>
              <w:pStyle w:val="21"/>
              <w:adjustRightInd w:val="0"/>
              <w:snapToGrid w:val="0"/>
              <w:spacing w:line="300" w:lineRule="auto"/>
              <w:ind w:firstLine="0" w:firstLineChars="0"/>
              <w:jc w:val="center"/>
              <w:rPr>
                <w:rFonts w:hint="eastAsia" w:hAnsi="宋体" w:cs="宋体"/>
                <w:color w:val="auto"/>
                <w:highlight w:val="none"/>
              </w:rPr>
            </w:pPr>
          </w:p>
        </w:tc>
        <w:tc>
          <w:tcPr>
            <w:tcW w:w="720" w:type="dxa"/>
            <w:vAlign w:val="center"/>
          </w:tcPr>
          <w:p w14:paraId="279DEF77">
            <w:pPr>
              <w:pStyle w:val="21"/>
              <w:adjustRightInd w:val="0"/>
              <w:snapToGrid w:val="0"/>
              <w:spacing w:line="300" w:lineRule="auto"/>
              <w:ind w:firstLine="0" w:firstLineChars="0"/>
              <w:jc w:val="center"/>
              <w:rPr>
                <w:rFonts w:hint="eastAsia" w:hAnsi="宋体" w:cs="宋体"/>
                <w:color w:val="auto"/>
                <w:highlight w:val="none"/>
              </w:rPr>
            </w:pPr>
          </w:p>
        </w:tc>
        <w:tc>
          <w:tcPr>
            <w:tcW w:w="720" w:type="dxa"/>
            <w:vAlign w:val="center"/>
          </w:tcPr>
          <w:p w14:paraId="70F871E2">
            <w:pPr>
              <w:pStyle w:val="21"/>
              <w:adjustRightInd w:val="0"/>
              <w:snapToGrid w:val="0"/>
              <w:spacing w:line="300" w:lineRule="auto"/>
              <w:ind w:firstLine="0" w:firstLineChars="0"/>
              <w:jc w:val="center"/>
              <w:rPr>
                <w:rFonts w:hint="eastAsia" w:hAnsi="宋体" w:cs="宋体"/>
                <w:color w:val="auto"/>
                <w:highlight w:val="none"/>
              </w:rPr>
            </w:pPr>
          </w:p>
        </w:tc>
        <w:tc>
          <w:tcPr>
            <w:tcW w:w="1538" w:type="dxa"/>
            <w:vAlign w:val="center"/>
          </w:tcPr>
          <w:p w14:paraId="0635DA26">
            <w:pPr>
              <w:pStyle w:val="21"/>
              <w:adjustRightInd w:val="0"/>
              <w:snapToGrid w:val="0"/>
              <w:spacing w:line="300" w:lineRule="auto"/>
              <w:ind w:firstLine="0" w:firstLineChars="0"/>
              <w:jc w:val="center"/>
              <w:rPr>
                <w:rFonts w:hint="eastAsia" w:hAnsi="宋体" w:cs="宋体"/>
                <w:color w:val="auto"/>
                <w:highlight w:val="none"/>
              </w:rPr>
            </w:pPr>
          </w:p>
        </w:tc>
        <w:tc>
          <w:tcPr>
            <w:tcW w:w="937" w:type="dxa"/>
            <w:vAlign w:val="center"/>
          </w:tcPr>
          <w:p w14:paraId="5AFE9EC6">
            <w:pPr>
              <w:pStyle w:val="21"/>
              <w:adjustRightInd w:val="0"/>
              <w:snapToGrid w:val="0"/>
              <w:spacing w:line="300" w:lineRule="auto"/>
              <w:ind w:firstLine="0" w:firstLineChars="0"/>
              <w:jc w:val="center"/>
              <w:rPr>
                <w:rFonts w:hint="eastAsia" w:hAnsi="宋体" w:cs="宋体"/>
                <w:color w:val="auto"/>
                <w:highlight w:val="none"/>
              </w:rPr>
            </w:pPr>
          </w:p>
        </w:tc>
        <w:tc>
          <w:tcPr>
            <w:tcW w:w="976" w:type="dxa"/>
            <w:vAlign w:val="center"/>
          </w:tcPr>
          <w:p w14:paraId="751DE9E5">
            <w:pPr>
              <w:pStyle w:val="21"/>
              <w:adjustRightInd w:val="0"/>
              <w:snapToGrid w:val="0"/>
              <w:spacing w:line="300" w:lineRule="auto"/>
              <w:ind w:firstLine="0" w:firstLineChars="0"/>
              <w:jc w:val="center"/>
              <w:rPr>
                <w:rFonts w:hint="eastAsia" w:hAnsi="宋体" w:cs="宋体"/>
                <w:color w:val="auto"/>
                <w:highlight w:val="none"/>
              </w:rPr>
            </w:pPr>
          </w:p>
        </w:tc>
        <w:tc>
          <w:tcPr>
            <w:tcW w:w="816" w:type="dxa"/>
            <w:vAlign w:val="center"/>
          </w:tcPr>
          <w:p w14:paraId="17A2D979">
            <w:pPr>
              <w:pStyle w:val="21"/>
              <w:adjustRightInd w:val="0"/>
              <w:snapToGrid w:val="0"/>
              <w:spacing w:line="300" w:lineRule="auto"/>
              <w:ind w:firstLine="0" w:firstLineChars="0"/>
              <w:jc w:val="center"/>
              <w:rPr>
                <w:rFonts w:hint="eastAsia" w:hAnsi="宋体" w:cs="宋体"/>
                <w:color w:val="auto"/>
                <w:highlight w:val="none"/>
              </w:rPr>
            </w:pPr>
          </w:p>
        </w:tc>
      </w:tr>
      <w:tr w14:paraId="4CAA1E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CE2C940">
            <w:pPr>
              <w:pStyle w:val="21"/>
              <w:adjustRightInd w:val="0"/>
              <w:snapToGrid w:val="0"/>
              <w:spacing w:line="300" w:lineRule="auto"/>
              <w:ind w:firstLine="0" w:firstLineChars="0"/>
              <w:jc w:val="center"/>
              <w:rPr>
                <w:rFonts w:hint="eastAsia" w:hAnsi="宋体" w:cs="宋体"/>
                <w:color w:val="auto"/>
                <w:highlight w:val="none"/>
              </w:rPr>
            </w:pPr>
            <w:r>
              <w:rPr>
                <w:rFonts w:hint="eastAsia" w:hAnsi="宋体" w:cs="宋体"/>
                <w:color w:val="auto"/>
                <w:highlight w:val="none"/>
              </w:rPr>
              <w:t>2</w:t>
            </w:r>
          </w:p>
        </w:tc>
        <w:tc>
          <w:tcPr>
            <w:tcW w:w="1603" w:type="dxa"/>
            <w:vAlign w:val="center"/>
          </w:tcPr>
          <w:p w14:paraId="634F6F32">
            <w:pPr>
              <w:pStyle w:val="21"/>
              <w:adjustRightInd w:val="0"/>
              <w:snapToGrid w:val="0"/>
              <w:spacing w:line="300" w:lineRule="auto"/>
              <w:ind w:firstLine="0" w:firstLineChars="0"/>
              <w:jc w:val="center"/>
              <w:rPr>
                <w:rFonts w:hint="eastAsia" w:hAnsi="宋体" w:cs="宋体"/>
                <w:color w:val="auto"/>
                <w:highlight w:val="none"/>
              </w:rPr>
            </w:pPr>
          </w:p>
        </w:tc>
        <w:tc>
          <w:tcPr>
            <w:tcW w:w="1275" w:type="dxa"/>
            <w:vAlign w:val="center"/>
          </w:tcPr>
          <w:p w14:paraId="7969ADEC">
            <w:pPr>
              <w:pStyle w:val="21"/>
              <w:adjustRightInd w:val="0"/>
              <w:snapToGrid w:val="0"/>
              <w:spacing w:line="300" w:lineRule="auto"/>
              <w:ind w:firstLine="0" w:firstLineChars="0"/>
              <w:jc w:val="center"/>
              <w:rPr>
                <w:rFonts w:hint="eastAsia" w:hAnsi="宋体" w:cs="宋体"/>
                <w:color w:val="auto"/>
                <w:highlight w:val="none"/>
              </w:rPr>
            </w:pPr>
          </w:p>
        </w:tc>
        <w:tc>
          <w:tcPr>
            <w:tcW w:w="720" w:type="dxa"/>
            <w:vAlign w:val="center"/>
          </w:tcPr>
          <w:p w14:paraId="664231FD">
            <w:pPr>
              <w:pStyle w:val="21"/>
              <w:adjustRightInd w:val="0"/>
              <w:snapToGrid w:val="0"/>
              <w:spacing w:line="300" w:lineRule="auto"/>
              <w:ind w:firstLine="0" w:firstLineChars="0"/>
              <w:jc w:val="center"/>
              <w:rPr>
                <w:rFonts w:hint="eastAsia" w:hAnsi="宋体" w:cs="宋体"/>
                <w:color w:val="auto"/>
                <w:highlight w:val="none"/>
              </w:rPr>
            </w:pPr>
          </w:p>
        </w:tc>
        <w:tc>
          <w:tcPr>
            <w:tcW w:w="720" w:type="dxa"/>
            <w:vAlign w:val="center"/>
          </w:tcPr>
          <w:p w14:paraId="1484AF79">
            <w:pPr>
              <w:pStyle w:val="21"/>
              <w:adjustRightInd w:val="0"/>
              <w:snapToGrid w:val="0"/>
              <w:spacing w:line="300" w:lineRule="auto"/>
              <w:ind w:firstLine="0" w:firstLineChars="0"/>
              <w:jc w:val="center"/>
              <w:rPr>
                <w:rFonts w:hint="eastAsia" w:hAnsi="宋体" w:cs="宋体"/>
                <w:color w:val="auto"/>
                <w:highlight w:val="none"/>
              </w:rPr>
            </w:pPr>
          </w:p>
        </w:tc>
        <w:tc>
          <w:tcPr>
            <w:tcW w:w="1538" w:type="dxa"/>
            <w:vAlign w:val="center"/>
          </w:tcPr>
          <w:p w14:paraId="414C7266">
            <w:pPr>
              <w:pStyle w:val="21"/>
              <w:adjustRightInd w:val="0"/>
              <w:snapToGrid w:val="0"/>
              <w:spacing w:line="300" w:lineRule="auto"/>
              <w:ind w:firstLine="0" w:firstLineChars="0"/>
              <w:jc w:val="center"/>
              <w:rPr>
                <w:rFonts w:hint="eastAsia" w:hAnsi="宋体" w:cs="宋体"/>
                <w:color w:val="auto"/>
                <w:highlight w:val="none"/>
              </w:rPr>
            </w:pPr>
          </w:p>
        </w:tc>
        <w:tc>
          <w:tcPr>
            <w:tcW w:w="937" w:type="dxa"/>
            <w:vAlign w:val="center"/>
          </w:tcPr>
          <w:p w14:paraId="2CCD8ACC">
            <w:pPr>
              <w:pStyle w:val="21"/>
              <w:adjustRightInd w:val="0"/>
              <w:snapToGrid w:val="0"/>
              <w:spacing w:line="300" w:lineRule="auto"/>
              <w:ind w:firstLine="0" w:firstLineChars="0"/>
              <w:jc w:val="center"/>
              <w:rPr>
                <w:rFonts w:hint="eastAsia" w:hAnsi="宋体" w:cs="宋体"/>
                <w:color w:val="auto"/>
                <w:highlight w:val="none"/>
              </w:rPr>
            </w:pPr>
          </w:p>
        </w:tc>
        <w:tc>
          <w:tcPr>
            <w:tcW w:w="976" w:type="dxa"/>
            <w:vAlign w:val="center"/>
          </w:tcPr>
          <w:p w14:paraId="6452827C">
            <w:pPr>
              <w:pStyle w:val="21"/>
              <w:adjustRightInd w:val="0"/>
              <w:snapToGrid w:val="0"/>
              <w:spacing w:line="300" w:lineRule="auto"/>
              <w:ind w:firstLine="0" w:firstLineChars="0"/>
              <w:jc w:val="center"/>
              <w:rPr>
                <w:rFonts w:hint="eastAsia" w:hAnsi="宋体" w:cs="宋体"/>
                <w:color w:val="auto"/>
                <w:highlight w:val="none"/>
              </w:rPr>
            </w:pPr>
          </w:p>
        </w:tc>
        <w:tc>
          <w:tcPr>
            <w:tcW w:w="816" w:type="dxa"/>
            <w:vAlign w:val="center"/>
          </w:tcPr>
          <w:p w14:paraId="4C64A8BC">
            <w:pPr>
              <w:pStyle w:val="21"/>
              <w:adjustRightInd w:val="0"/>
              <w:snapToGrid w:val="0"/>
              <w:spacing w:line="300" w:lineRule="auto"/>
              <w:ind w:firstLine="0" w:firstLineChars="0"/>
              <w:jc w:val="center"/>
              <w:rPr>
                <w:rFonts w:hint="eastAsia" w:hAnsi="宋体" w:cs="宋体"/>
                <w:color w:val="auto"/>
                <w:highlight w:val="none"/>
              </w:rPr>
            </w:pPr>
          </w:p>
        </w:tc>
      </w:tr>
      <w:tr w14:paraId="5E1CC2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55CEA53">
            <w:pPr>
              <w:pStyle w:val="21"/>
              <w:adjustRightInd w:val="0"/>
              <w:snapToGrid w:val="0"/>
              <w:spacing w:line="300" w:lineRule="auto"/>
              <w:ind w:firstLine="0" w:firstLineChars="0"/>
              <w:jc w:val="center"/>
              <w:rPr>
                <w:rFonts w:hint="eastAsia" w:hAnsi="宋体" w:cs="宋体"/>
                <w:color w:val="auto"/>
                <w:highlight w:val="none"/>
              </w:rPr>
            </w:pPr>
            <w:r>
              <w:rPr>
                <w:rFonts w:hint="eastAsia" w:hAnsi="宋体" w:cs="宋体"/>
                <w:color w:val="auto"/>
                <w:highlight w:val="none"/>
              </w:rPr>
              <w:t>3</w:t>
            </w:r>
          </w:p>
        </w:tc>
        <w:tc>
          <w:tcPr>
            <w:tcW w:w="1603" w:type="dxa"/>
            <w:vAlign w:val="center"/>
          </w:tcPr>
          <w:p w14:paraId="48963FA1">
            <w:pPr>
              <w:pStyle w:val="21"/>
              <w:adjustRightInd w:val="0"/>
              <w:snapToGrid w:val="0"/>
              <w:spacing w:line="300" w:lineRule="auto"/>
              <w:ind w:firstLine="0" w:firstLineChars="0"/>
              <w:jc w:val="center"/>
              <w:rPr>
                <w:rFonts w:hint="eastAsia" w:hAnsi="宋体" w:cs="宋体"/>
                <w:color w:val="auto"/>
                <w:highlight w:val="none"/>
              </w:rPr>
            </w:pPr>
          </w:p>
        </w:tc>
        <w:tc>
          <w:tcPr>
            <w:tcW w:w="1275" w:type="dxa"/>
            <w:vAlign w:val="center"/>
          </w:tcPr>
          <w:p w14:paraId="4713D649">
            <w:pPr>
              <w:pStyle w:val="21"/>
              <w:adjustRightInd w:val="0"/>
              <w:snapToGrid w:val="0"/>
              <w:spacing w:line="300" w:lineRule="auto"/>
              <w:ind w:firstLine="0" w:firstLineChars="0"/>
              <w:jc w:val="center"/>
              <w:rPr>
                <w:rFonts w:hint="eastAsia" w:hAnsi="宋体" w:cs="宋体"/>
                <w:color w:val="auto"/>
                <w:highlight w:val="none"/>
              </w:rPr>
            </w:pPr>
          </w:p>
        </w:tc>
        <w:tc>
          <w:tcPr>
            <w:tcW w:w="720" w:type="dxa"/>
            <w:vAlign w:val="center"/>
          </w:tcPr>
          <w:p w14:paraId="5F107D58">
            <w:pPr>
              <w:pStyle w:val="21"/>
              <w:adjustRightInd w:val="0"/>
              <w:snapToGrid w:val="0"/>
              <w:spacing w:line="300" w:lineRule="auto"/>
              <w:ind w:firstLine="0" w:firstLineChars="0"/>
              <w:jc w:val="center"/>
              <w:rPr>
                <w:rFonts w:hint="eastAsia" w:hAnsi="宋体" w:cs="宋体"/>
                <w:color w:val="auto"/>
                <w:highlight w:val="none"/>
              </w:rPr>
            </w:pPr>
          </w:p>
        </w:tc>
        <w:tc>
          <w:tcPr>
            <w:tcW w:w="720" w:type="dxa"/>
            <w:vAlign w:val="center"/>
          </w:tcPr>
          <w:p w14:paraId="16A5761C">
            <w:pPr>
              <w:pStyle w:val="21"/>
              <w:adjustRightInd w:val="0"/>
              <w:snapToGrid w:val="0"/>
              <w:spacing w:line="300" w:lineRule="auto"/>
              <w:ind w:firstLine="0" w:firstLineChars="0"/>
              <w:jc w:val="center"/>
              <w:rPr>
                <w:rFonts w:hint="eastAsia" w:hAnsi="宋体" w:cs="宋体"/>
                <w:color w:val="auto"/>
                <w:highlight w:val="none"/>
              </w:rPr>
            </w:pPr>
          </w:p>
        </w:tc>
        <w:tc>
          <w:tcPr>
            <w:tcW w:w="1538" w:type="dxa"/>
            <w:vAlign w:val="center"/>
          </w:tcPr>
          <w:p w14:paraId="64B0BB2E">
            <w:pPr>
              <w:pStyle w:val="21"/>
              <w:adjustRightInd w:val="0"/>
              <w:snapToGrid w:val="0"/>
              <w:spacing w:line="300" w:lineRule="auto"/>
              <w:ind w:firstLine="0" w:firstLineChars="0"/>
              <w:jc w:val="center"/>
              <w:rPr>
                <w:rFonts w:hint="eastAsia" w:hAnsi="宋体" w:cs="宋体"/>
                <w:color w:val="auto"/>
                <w:highlight w:val="none"/>
              </w:rPr>
            </w:pPr>
          </w:p>
        </w:tc>
        <w:tc>
          <w:tcPr>
            <w:tcW w:w="937" w:type="dxa"/>
            <w:vAlign w:val="center"/>
          </w:tcPr>
          <w:p w14:paraId="6B09B797">
            <w:pPr>
              <w:pStyle w:val="21"/>
              <w:adjustRightInd w:val="0"/>
              <w:snapToGrid w:val="0"/>
              <w:spacing w:line="300" w:lineRule="auto"/>
              <w:ind w:firstLine="0" w:firstLineChars="0"/>
              <w:jc w:val="center"/>
              <w:rPr>
                <w:rFonts w:hint="eastAsia" w:hAnsi="宋体" w:cs="宋体"/>
                <w:color w:val="auto"/>
                <w:highlight w:val="none"/>
              </w:rPr>
            </w:pPr>
          </w:p>
        </w:tc>
        <w:tc>
          <w:tcPr>
            <w:tcW w:w="976" w:type="dxa"/>
            <w:vAlign w:val="center"/>
          </w:tcPr>
          <w:p w14:paraId="6ED4FA90">
            <w:pPr>
              <w:pStyle w:val="21"/>
              <w:adjustRightInd w:val="0"/>
              <w:snapToGrid w:val="0"/>
              <w:spacing w:line="300" w:lineRule="auto"/>
              <w:ind w:firstLine="0" w:firstLineChars="0"/>
              <w:jc w:val="center"/>
              <w:rPr>
                <w:rFonts w:hint="eastAsia" w:hAnsi="宋体" w:cs="宋体"/>
                <w:color w:val="auto"/>
                <w:highlight w:val="none"/>
              </w:rPr>
            </w:pPr>
          </w:p>
        </w:tc>
        <w:tc>
          <w:tcPr>
            <w:tcW w:w="816" w:type="dxa"/>
            <w:vAlign w:val="center"/>
          </w:tcPr>
          <w:p w14:paraId="7B9D56ED">
            <w:pPr>
              <w:pStyle w:val="21"/>
              <w:adjustRightInd w:val="0"/>
              <w:snapToGrid w:val="0"/>
              <w:spacing w:line="300" w:lineRule="auto"/>
              <w:ind w:firstLine="0" w:firstLineChars="0"/>
              <w:jc w:val="center"/>
              <w:rPr>
                <w:rFonts w:hint="eastAsia" w:hAnsi="宋体" w:cs="宋体"/>
                <w:color w:val="auto"/>
                <w:highlight w:val="none"/>
              </w:rPr>
            </w:pPr>
          </w:p>
        </w:tc>
      </w:tr>
      <w:tr w14:paraId="6C3F43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10625535">
            <w:pPr>
              <w:pStyle w:val="21"/>
              <w:adjustRightInd w:val="0"/>
              <w:snapToGrid w:val="0"/>
              <w:spacing w:line="300" w:lineRule="auto"/>
              <w:ind w:firstLine="0" w:firstLineChars="0"/>
              <w:jc w:val="center"/>
              <w:rPr>
                <w:rFonts w:hint="eastAsia" w:hAnsi="宋体" w:cs="宋体"/>
                <w:color w:val="auto"/>
                <w:highlight w:val="none"/>
              </w:rPr>
            </w:pPr>
          </w:p>
        </w:tc>
        <w:tc>
          <w:tcPr>
            <w:tcW w:w="1603" w:type="dxa"/>
            <w:vAlign w:val="center"/>
          </w:tcPr>
          <w:p w14:paraId="276B7BC4">
            <w:pPr>
              <w:pStyle w:val="21"/>
              <w:adjustRightInd w:val="0"/>
              <w:snapToGrid w:val="0"/>
              <w:spacing w:line="300" w:lineRule="auto"/>
              <w:ind w:firstLine="0" w:firstLineChars="0"/>
              <w:jc w:val="center"/>
              <w:rPr>
                <w:rFonts w:hint="eastAsia" w:hAnsi="宋体" w:cs="宋体"/>
                <w:color w:val="auto"/>
                <w:highlight w:val="none"/>
              </w:rPr>
            </w:pPr>
          </w:p>
        </w:tc>
        <w:tc>
          <w:tcPr>
            <w:tcW w:w="1275" w:type="dxa"/>
            <w:vAlign w:val="center"/>
          </w:tcPr>
          <w:p w14:paraId="6177D9CE">
            <w:pPr>
              <w:pStyle w:val="21"/>
              <w:adjustRightInd w:val="0"/>
              <w:snapToGrid w:val="0"/>
              <w:spacing w:line="300" w:lineRule="auto"/>
              <w:ind w:firstLine="0" w:firstLineChars="0"/>
              <w:jc w:val="center"/>
              <w:rPr>
                <w:rFonts w:hint="eastAsia" w:hAnsi="宋体" w:cs="宋体"/>
                <w:color w:val="auto"/>
                <w:highlight w:val="none"/>
              </w:rPr>
            </w:pPr>
          </w:p>
        </w:tc>
        <w:tc>
          <w:tcPr>
            <w:tcW w:w="720" w:type="dxa"/>
            <w:vAlign w:val="center"/>
          </w:tcPr>
          <w:p w14:paraId="4DEB983D">
            <w:pPr>
              <w:pStyle w:val="21"/>
              <w:adjustRightInd w:val="0"/>
              <w:snapToGrid w:val="0"/>
              <w:spacing w:line="300" w:lineRule="auto"/>
              <w:ind w:firstLine="0" w:firstLineChars="0"/>
              <w:jc w:val="center"/>
              <w:rPr>
                <w:rFonts w:hint="eastAsia" w:hAnsi="宋体" w:cs="宋体"/>
                <w:color w:val="auto"/>
                <w:highlight w:val="none"/>
              </w:rPr>
            </w:pPr>
          </w:p>
        </w:tc>
        <w:tc>
          <w:tcPr>
            <w:tcW w:w="720" w:type="dxa"/>
            <w:vAlign w:val="center"/>
          </w:tcPr>
          <w:p w14:paraId="623C4548">
            <w:pPr>
              <w:pStyle w:val="21"/>
              <w:adjustRightInd w:val="0"/>
              <w:snapToGrid w:val="0"/>
              <w:spacing w:line="300" w:lineRule="auto"/>
              <w:ind w:firstLine="0" w:firstLineChars="0"/>
              <w:jc w:val="center"/>
              <w:rPr>
                <w:rFonts w:hint="eastAsia" w:hAnsi="宋体" w:cs="宋体"/>
                <w:color w:val="auto"/>
                <w:highlight w:val="none"/>
              </w:rPr>
            </w:pPr>
          </w:p>
        </w:tc>
        <w:tc>
          <w:tcPr>
            <w:tcW w:w="1538" w:type="dxa"/>
            <w:vAlign w:val="center"/>
          </w:tcPr>
          <w:p w14:paraId="3D3AD54A">
            <w:pPr>
              <w:pStyle w:val="21"/>
              <w:adjustRightInd w:val="0"/>
              <w:snapToGrid w:val="0"/>
              <w:spacing w:line="300" w:lineRule="auto"/>
              <w:ind w:firstLine="0" w:firstLineChars="0"/>
              <w:jc w:val="center"/>
              <w:rPr>
                <w:rFonts w:hint="eastAsia" w:hAnsi="宋体" w:cs="宋体"/>
                <w:color w:val="auto"/>
                <w:highlight w:val="none"/>
              </w:rPr>
            </w:pPr>
          </w:p>
        </w:tc>
        <w:tc>
          <w:tcPr>
            <w:tcW w:w="937" w:type="dxa"/>
            <w:vAlign w:val="center"/>
          </w:tcPr>
          <w:p w14:paraId="15155492">
            <w:pPr>
              <w:pStyle w:val="21"/>
              <w:adjustRightInd w:val="0"/>
              <w:snapToGrid w:val="0"/>
              <w:spacing w:line="300" w:lineRule="auto"/>
              <w:ind w:firstLine="0" w:firstLineChars="0"/>
              <w:jc w:val="center"/>
              <w:rPr>
                <w:rFonts w:hint="eastAsia" w:hAnsi="宋体" w:cs="宋体"/>
                <w:color w:val="auto"/>
                <w:highlight w:val="none"/>
              </w:rPr>
            </w:pPr>
          </w:p>
        </w:tc>
        <w:tc>
          <w:tcPr>
            <w:tcW w:w="976" w:type="dxa"/>
            <w:vAlign w:val="center"/>
          </w:tcPr>
          <w:p w14:paraId="6E5A32F6">
            <w:pPr>
              <w:pStyle w:val="21"/>
              <w:adjustRightInd w:val="0"/>
              <w:snapToGrid w:val="0"/>
              <w:spacing w:line="300" w:lineRule="auto"/>
              <w:ind w:firstLine="0" w:firstLineChars="0"/>
              <w:jc w:val="center"/>
              <w:rPr>
                <w:rFonts w:hint="eastAsia" w:hAnsi="宋体" w:cs="宋体"/>
                <w:color w:val="auto"/>
                <w:highlight w:val="none"/>
              </w:rPr>
            </w:pPr>
          </w:p>
        </w:tc>
        <w:tc>
          <w:tcPr>
            <w:tcW w:w="816" w:type="dxa"/>
            <w:vAlign w:val="center"/>
          </w:tcPr>
          <w:p w14:paraId="156203FA">
            <w:pPr>
              <w:pStyle w:val="21"/>
              <w:adjustRightInd w:val="0"/>
              <w:snapToGrid w:val="0"/>
              <w:spacing w:line="300" w:lineRule="auto"/>
              <w:ind w:firstLine="0" w:firstLineChars="0"/>
              <w:jc w:val="center"/>
              <w:rPr>
                <w:rFonts w:hint="eastAsia" w:hAnsi="宋体" w:cs="宋体"/>
                <w:color w:val="auto"/>
                <w:highlight w:val="none"/>
              </w:rPr>
            </w:pPr>
          </w:p>
        </w:tc>
      </w:tr>
      <w:tr w14:paraId="3C4ED1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01" w:type="dxa"/>
            <w:gridSpan w:val="9"/>
            <w:vAlign w:val="center"/>
          </w:tcPr>
          <w:p w14:paraId="52204DA0">
            <w:pPr>
              <w:pStyle w:val="21"/>
              <w:adjustRightInd w:val="0"/>
              <w:snapToGrid w:val="0"/>
              <w:spacing w:line="300" w:lineRule="auto"/>
              <w:ind w:firstLine="0" w:firstLineChars="0"/>
              <w:jc w:val="left"/>
              <w:rPr>
                <w:rFonts w:hint="eastAsia" w:hAnsi="宋体" w:cs="宋体"/>
                <w:color w:val="auto"/>
                <w:highlight w:val="none"/>
              </w:rPr>
            </w:pPr>
            <w:r>
              <w:rPr>
                <w:rFonts w:hint="eastAsia" w:hAnsi="宋体" w:cs="宋体"/>
                <w:color w:val="auto"/>
                <w:highlight w:val="none"/>
              </w:rPr>
              <w:t>投标总价：人民币大写：</w:t>
            </w:r>
            <w:r>
              <w:rPr>
                <w:rFonts w:hint="eastAsia" w:hAnsi="宋体" w:cs="宋体"/>
                <w:color w:val="auto"/>
                <w:highlight w:val="none"/>
                <w:u w:val="single"/>
              </w:rPr>
              <w:t xml:space="preserve">        </w:t>
            </w:r>
            <w:r>
              <w:rPr>
                <w:rFonts w:hint="eastAsia" w:hAnsi="宋体" w:cs="宋体"/>
                <w:color w:val="auto"/>
                <w:szCs w:val="24"/>
                <w:highlight w:val="none"/>
                <w:lang w:bidi="ar"/>
              </w:rPr>
              <w:t>元</w:t>
            </w:r>
            <w:r>
              <w:rPr>
                <w:rFonts w:hint="eastAsia" w:hAnsi="宋体" w:cs="宋体"/>
                <w:color w:val="auto"/>
                <w:highlight w:val="none"/>
              </w:rPr>
              <w:t>；小写¥：</w:t>
            </w:r>
            <w:r>
              <w:rPr>
                <w:rFonts w:hint="eastAsia" w:hAnsi="宋体" w:cs="宋体"/>
                <w:color w:val="auto"/>
                <w:highlight w:val="none"/>
                <w:u w:val="single"/>
              </w:rPr>
              <w:t xml:space="preserve">        </w:t>
            </w:r>
            <w:r>
              <w:rPr>
                <w:rFonts w:hint="eastAsia" w:hAnsi="宋体" w:cs="宋体"/>
                <w:color w:val="auto"/>
                <w:szCs w:val="24"/>
                <w:highlight w:val="none"/>
                <w:lang w:bidi="ar"/>
              </w:rPr>
              <w:t>元</w:t>
            </w:r>
            <w:r>
              <w:rPr>
                <w:rFonts w:hint="eastAsia" w:hAnsi="宋体" w:cs="宋体"/>
                <w:color w:val="auto"/>
                <w:highlight w:val="none"/>
              </w:rPr>
              <w:t>；</w:t>
            </w:r>
          </w:p>
        </w:tc>
      </w:tr>
    </w:tbl>
    <w:p w14:paraId="36D1E920">
      <w:pPr>
        <w:pStyle w:val="21"/>
        <w:adjustRightInd w:val="0"/>
        <w:snapToGrid w:val="0"/>
        <w:spacing w:line="300" w:lineRule="auto"/>
        <w:ind w:firstLine="480"/>
        <w:rPr>
          <w:rFonts w:ascii="Times New Roman" w:hAnsi="Times New Roman"/>
          <w:color w:val="auto"/>
          <w:highlight w:val="none"/>
        </w:rPr>
      </w:pPr>
    </w:p>
    <w:p w14:paraId="2DE94ED0">
      <w:pPr>
        <w:pStyle w:val="21"/>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14:paraId="6A814166">
      <w:pPr>
        <w:pStyle w:val="21"/>
        <w:adjustRightInd w:val="0"/>
        <w:snapToGrid w:val="0"/>
        <w:spacing w:line="300" w:lineRule="auto"/>
        <w:ind w:firstLine="480"/>
        <w:rPr>
          <w:rFonts w:hint="eastAsia" w:hAnsi="宋体" w:cs="宋体"/>
          <w:color w:val="auto"/>
          <w:szCs w:val="24"/>
          <w:highlight w:val="none"/>
          <w:lang w:bidi="ar"/>
        </w:rPr>
      </w:pPr>
      <w:r>
        <w:rPr>
          <w:rFonts w:hint="eastAsia" w:hAnsi="宋体" w:cs="宋体"/>
          <w:color w:val="auto"/>
          <w:szCs w:val="24"/>
          <w:highlight w:val="none"/>
          <w:lang w:bidi="ar"/>
        </w:rPr>
        <w:t>1）本项目价格包括设备费及相关服务费。</w:t>
      </w:r>
    </w:p>
    <w:p w14:paraId="7BB6DCF6">
      <w:pPr>
        <w:pStyle w:val="21"/>
        <w:adjustRightInd w:val="0"/>
        <w:snapToGrid w:val="0"/>
        <w:spacing w:line="300" w:lineRule="auto"/>
        <w:ind w:firstLine="480"/>
        <w:rPr>
          <w:rFonts w:hint="eastAsia" w:hAnsi="宋体" w:cs="宋体"/>
          <w:color w:val="auto"/>
          <w:szCs w:val="24"/>
          <w:highlight w:val="none"/>
          <w:lang w:bidi="ar"/>
        </w:rPr>
      </w:pPr>
      <w:r>
        <w:rPr>
          <w:rFonts w:hint="eastAsia" w:hAnsi="宋体" w:cs="宋体"/>
          <w:color w:val="auto"/>
          <w:szCs w:val="24"/>
          <w:highlight w:val="none"/>
          <w:lang w:bidi="ar"/>
        </w:rPr>
        <w:t>2）</w:t>
      </w:r>
      <w:r>
        <w:rPr>
          <w:rFonts w:hint="eastAsia" w:hAnsi="宋体" w:cs="宋体"/>
          <w:color w:val="auto"/>
          <w:szCs w:val="24"/>
          <w:highlight w:val="none"/>
          <w:lang w:bidi="ar"/>
        </w:rPr>
        <w:tab/>
      </w:r>
      <w:r>
        <w:rPr>
          <w:rFonts w:hint="eastAsia" w:hAnsi="宋体" w:cs="宋体"/>
          <w:color w:val="auto"/>
          <w:szCs w:val="24"/>
          <w:highlight w:val="none"/>
          <w:lang w:bidi="ar"/>
        </w:rPr>
        <w:t>设备费包括设备本体、随机配送（备品备件、另配件、专用工具）的所有费用。</w:t>
      </w:r>
    </w:p>
    <w:p w14:paraId="3147D3B0">
      <w:pPr>
        <w:pStyle w:val="21"/>
        <w:adjustRightInd w:val="0"/>
        <w:snapToGrid w:val="0"/>
        <w:spacing w:line="300" w:lineRule="auto"/>
        <w:ind w:firstLine="480"/>
        <w:rPr>
          <w:rFonts w:ascii="Times New Roman" w:hAnsi="Times New Roman"/>
          <w:color w:val="auto"/>
          <w:highlight w:val="none"/>
        </w:rPr>
      </w:pPr>
      <w:r>
        <w:rPr>
          <w:rFonts w:hint="eastAsia" w:hAnsi="宋体" w:cs="宋体"/>
          <w:color w:val="auto"/>
          <w:szCs w:val="24"/>
          <w:highlight w:val="none"/>
          <w:lang w:bidi="ar"/>
        </w:rPr>
        <w:t>3）</w:t>
      </w:r>
      <w:r>
        <w:rPr>
          <w:rFonts w:hint="eastAsia" w:hAnsi="宋体" w:cs="宋体"/>
          <w:color w:val="auto"/>
          <w:szCs w:val="24"/>
          <w:highlight w:val="none"/>
          <w:lang w:bidi="ar"/>
        </w:rPr>
        <w:tab/>
      </w:r>
      <w:r>
        <w:rPr>
          <w:rFonts w:hint="eastAsia" w:hAnsi="宋体" w:cs="宋体"/>
          <w:color w:val="auto"/>
          <w:szCs w:val="24"/>
          <w:highlight w:val="none"/>
          <w:lang w:bidi="ar"/>
        </w:rPr>
        <w:t>相关服务费包括运杂费、保险费、到货验收、保管、安装、调试、试运行、检验、验收合格、交付使用、保修期内的</w:t>
      </w:r>
      <w:r>
        <w:rPr>
          <w:rFonts w:ascii="Times New Roman" w:hAnsi="Times New Roman"/>
          <w:color w:val="auto"/>
          <w:highlight w:val="none"/>
        </w:rPr>
        <w:t>售后服务及采购文件规定的其他费用等所涉及全部费用。</w:t>
      </w:r>
    </w:p>
    <w:p w14:paraId="2B90C667">
      <w:pPr>
        <w:ind w:firstLine="4800" w:firstLineChars="2000"/>
        <w:rPr>
          <w:rFonts w:hint="eastAsia" w:ascii="宋体" w:hAnsi="宋体" w:cs="宋体"/>
          <w:color w:val="auto"/>
          <w:highlight w:val="none"/>
          <w:lang w:bidi="ar"/>
        </w:rPr>
      </w:pPr>
    </w:p>
    <w:p w14:paraId="6C18317C">
      <w:pPr>
        <w:ind w:firstLine="4800" w:firstLineChars="2000"/>
        <w:rPr>
          <w:rFonts w:hint="eastAsia" w:ascii="宋体" w:hAnsi="宋体" w:cs="宋体"/>
          <w:color w:val="auto"/>
          <w:highlight w:val="none"/>
          <w:lang w:bidi="ar"/>
        </w:rPr>
      </w:pPr>
    </w:p>
    <w:p w14:paraId="772F5A9A">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投标人名称（盖章）:</w:t>
      </w:r>
    </w:p>
    <w:p w14:paraId="6EB3D02F">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法定代表人或授权代理人（签字或盖章）:</w:t>
      </w:r>
    </w:p>
    <w:p w14:paraId="0346A03A">
      <w:pPr>
        <w:widowControl/>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lang w:bidi="ar"/>
        </w:rPr>
        <w:t>日期:2025年   月   日</w:t>
      </w:r>
    </w:p>
    <w:p w14:paraId="477D7C01">
      <w:pPr>
        <w:pStyle w:val="37"/>
        <w:snapToGrid w:val="0"/>
        <w:spacing w:after="120"/>
        <w:ind w:firstLine="0" w:firstLineChars="0"/>
        <w:rPr>
          <w:rFonts w:hint="eastAsia" w:cs="宋体"/>
          <w:b/>
          <w:bCs/>
          <w:color w:val="auto"/>
          <w:kern w:val="2"/>
          <w:highlight w:val="none"/>
          <w:lang w:bidi="ar"/>
        </w:rPr>
      </w:pPr>
    </w:p>
    <w:p w14:paraId="340B0F47">
      <w:pPr>
        <w:pStyle w:val="37"/>
        <w:snapToGrid w:val="0"/>
        <w:spacing w:after="120"/>
        <w:ind w:firstLine="0" w:firstLineChars="0"/>
        <w:rPr>
          <w:rFonts w:hint="eastAsia" w:cs="宋体"/>
          <w:b/>
          <w:bCs/>
          <w:color w:val="auto"/>
          <w:kern w:val="2"/>
          <w:highlight w:val="none"/>
          <w:lang w:bidi="ar"/>
        </w:rPr>
      </w:pPr>
    </w:p>
    <w:p w14:paraId="2755EA44">
      <w:pPr>
        <w:pStyle w:val="37"/>
        <w:snapToGrid w:val="0"/>
        <w:spacing w:after="120"/>
        <w:ind w:firstLine="0" w:firstLineChars="0"/>
        <w:rPr>
          <w:rFonts w:hint="eastAsia" w:cs="宋体"/>
          <w:b/>
          <w:bCs/>
          <w:color w:val="auto"/>
          <w:kern w:val="2"/>
          <w:highlight w:val="none"/>
          <w:lang w:bidi="ar"/>
        </w:rPr>
      </w:pPr>
    </w:p>
    <w:p w14:paraId="2608F385">
      <w:pPr>
        <w:pStyle w:val="37"/>
        <w:snapToGrid w:val="0"/>
        <w:spacing w:after="120"/>
        <w:ind w:firstLine="0" w:firstLineChars="0"/>
        <w:rPr>
          <w:rFonts w:hint="eastAsia" w:cs="宋体"/>
          <w:b/>
          <w:bCs/>
          <w:color w:val="auto"/>
          <w:kern w:val="2"/>
          <w:highlight w:val="none"/>
          <w:lang w:bidi="ar"/>
        </w:rPr>
      </w:pPr>
    </w:p>
    <w:p w14:paraId="4072ED5D">
      <w:pPr>
        <w:pStyle w:val="37"/>
        <w:snapToGrid w:val="0"/>
        <w:spacing w:after="120"/>
        <w:ind w:firstLine="0" w:firstLineChars="0"/>
        <w:outlineLvl w:val="0"/>
        <w:rPr>
          <w:rFonts w:ascii="Times New Roman" w:hAnsi="Times New Roman" w:cs="Times New Roman"/>
          <w:color w:val="auto"/>
          <w:kern w:val="2"/>
          <w:highlight w:val="none"/>
        </w:rPr>
      </w:pPr>
      <w:bookmarkStart w:id="455" w:name="_Toc29923"/>
      <w:r>
        <w:rPr>
          <w:rFonts w:hint="eastAsia" w:cs="宋体"/>
          <w:b/>
          <w:bCs/>
          <w:color w:val="auto"/>
          <w:kern w:val="2"/>
          <w:highlight w:val="none"/>
          <w:lang w:bidi="ar"/>
        </w:rPr>
        <w:t>附件12</w:t>
      </w:r>
      <w:bookmarkEnd w:id="455"/>
    </w:p>
    <w:p w14:paraId="1408DD88">
      <w:pPr>
        <w:widowControl/>
        <w:spacing w:line="360" w:lineRule="auto"/>
        <w:ind w:firstLine="0" w:firstLineChars="0"/>
        <w:jc w:val="center"/>
        <w:outlineLvl w:val="0"/>
        <w:rPr>
          <w:rFonts w:hint="eastAsia" w:ascii="宋体" w:hAnsi="宋体" w:cs="宋体"/>
          <w:b/>
          <w:color w:val="auto"/>
          <w:sz w:val="28"/>
          <w:szCs w:val="28"/>
          <w:highlight w:val="none"/>
        </w:rPr>
      </w:pPr>
      <w:bookmarkStart w:id="456" w:name="_Toc31119"/>
      <w:r>
        <w:rPr>
          <w:rFonts w:hint="eastAsia" w:ascii="宋体" w:hAnsi="宋体" w:cs="宋体"/>
          <w:b/>
          <w:color w:val="auto"/>
          <w:sz w:val="28"/>
          <w:szCs w:val="28"/>
          <w:highlight w:val="none"/>
        </w:rPr>
        <w:t>中小企业声明函（货物）</w:t>
      </w:r>
      <w:bookmarkEnd w:id="452"/>
      <w:bookmarkEnd w:id="453"/>
      <w:bookmarkEnd w:id="454"/>
      <w:bookmarkEnd w:id="456"/>
    </w:p>
    <w:p w14:paraId="33276E98">
      <w:pPr>
        <w:pStyle w:val="40"/>
        <w:tabs>
          <w:tab w:val="left" w:pos="0"/>
        </w:tabs>
        <w:spacing w:after="0" w:line="360" w:lineRule="auto"/>
        <w:ind w:firstLine="480"/>
        <w:rPr>
          <w:rFonts w:hAnsi="宋体" w:cs="宋体"/>
          <w:color w:val="auto"/>
          <w:sz w:val="24"/>
          <w:szCs w:val="24"/>
          <w:highlight w:val="none"/>
        </w:rPr>
      </w:pPr>
      <w:r>
        <w:rPr>
          <w:rFonts w:hAnsi="宋体" w:cs="宋体"/>
          <w:color w:val="auto"/>
          <w:sz w:val="24"/>
          <w:szCs w:val="24"/>
          <w:highlight w:val="none"/>
        </w:rPr>
        <w:t>本公司（联合体）郑重声明，根据《政府采购促进中小企业发展管理办法》（财库﹝2020﹞46号）的规定，本公司</w:t>
      </w:r>
      <w:r>
        <w:rPr>
          <w:rFonts w:hAnsi="宋体" w:cs="宋体"/>
          <w:color w:val="auto"/>
          <w:sz w:val="24"/>
          <w:szCs w:val="24"/>
          <w:highlight w:val="none"/>
          <w:u w:val="single"/>
        </w:rPr>
        <w:t xml:space="preserve"> （联合体） </w:t>
      </w:r>
      <w:r>
        <w:rPr>
          <w:rFonts w:hAnsi="宋体" w:cs="宋体"/>
          <w:color w:val="auto"/>
          <w:sz w:val="24"/>
          <w:szCs w:val="24"/>
          <w:highlight w:val="none"/>
        </w:rPr>
        <w:t>参加</w:t>
      </w:r>
      <w:r>
        <w:rPr>
          <w:rFonts w:hAnsi="宋体" w:cs="宋体"/>
          <w:color w:val="auto"/>
          <w:sz w:val="24"/>
          <w:szCs w:val="24"/>
          <w:highlight w:val="none"/>
          <w:u w:val="single"/>
        </w:rPr>
        <w:t xml:space="preserve"> （单位名称） </w:t>
      </w:r>
      <w:r>
        <w:rPr>
          <w:rFonts w:hAnsi="宋体" w:cs="宋体"/>
          <w:color w:val="auto"/>
          <w:sz w:val="24"/>
          <w:szCs w:val="24"/>
          <w:highlight w:val="none"/>
        </w:rPr>
        <w:t>的</w:t>
      </w:r>
      <w:r>
        <w:rPr>
          <w:rFonts w:hAnsi="宋体" w:cs="宋体"/>
          <w:color w:val="auto"/>
          <w:sz w:val="24"/>
          <w:szCs w:val="24"/>
          <w:highlight w:val="none"/>
          <w:u w:val="single"/>
        </w:rPr>
        <w:t xml:space="preserve"> （项目名称）</w:t>
      </w:r>
      <w:r>
        <w:rPr>
          <w:rFonts w:hAnsi="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0ACA7BF0">
      <w:pPr>
        <w:pStyle w:val="40"/>
        <w:tabs>
          <w:tab w:val="left" w:pos="0"/>
        </w:tabs>
        <w:spacing w:after="0" w:line="360" w:lineRule="auto"/>
        <w:ind w:firstLine="480"/>
        <w:rPr>
          <w:rFonts w:hAnsi="宋体" w:cs="宋体"/>
          <w:color w:val="auto"/>
          <w:sz w:val="24"/>
          <w:szCs w:val="24"/>
          <w:highlight w:val="none"/>
        </w:rPr>
      </w:pPr>
      <w:r>
        <w:rPr>
          <w:rFonts w:hAnsi="宋体" w:cs="宋体"/>
          <w:color w:val="auto"/>
          <w:sz w:val="24"/>
          <w:szCs w:val="24"/>
          <w:highlight w:val="none"/>
        </w:rPr>
        <w:t>1.</w:t>
      </w:r>
      <w:r>
        <w:rPr>
          <w:rFonts w:hAnsi="宋体" w:cs="宋体"/>
          <w:color w:val="auto"/>
          <w:sz w:val="24"/>
          <w:szCs w:val="24"/>
          <w:highlight w:val="none"/>
          <w:u w:val="single"/>
        </w:rPr>
        <w:t>（标的名称）</w:t>
      </w:r>
      <w:r>
        <w:rPr>
          <w:rFonts w:hAnsi="宋体" w:cs="宋体"/>
          <w:color w:val="auto"/>
          <w:sz w:val="24"/>
          <w:szCs w:val="24"/>
          <w:highlight w:val="none"/>
        </w:rPr>
        <w:t>，属于</w:t>
      </w:r>
      <w:r>
        <w:rPr>
          <w:rFonts w:hAnsi="宋体" w:cs="宋体"/>
          <w:color w:val="auto"/>
          <w:sz w:val="24"/>
          <w:szCs w:val="24"/>
          <w:highlight w:val="none"/>
          <w:u w:val="single"/>
        </w:rPr>
        <w:t>（采购文件中明确的所属行业）</w:t>
      </w:r>
      <w:r>
        <w:rPr>
          <w:rFonts w:hAnsi="宋体" w:cs="宋体"/>
          <w:color w:val="auto"/>
          <w:sz w:val="24"/>
          <w:szCs w:val="24"/>
          <w:highlight w:val="none"/>
        </w:rPr>
        <w:t>行业；制造商为</w:t>
      </w:r>
      <w:r>
        <w:rPr>
          <w:rFonts w:hAnsi="宋体" w:cs="宋体"/>
          <w:color w:val="auto"/>
          <w:sz w:val="24"/>
          <w:szCs w:val="24"/>
          <w:highlight w:val="none"/>
          <w:u w:val="single"/>
        </w:rPr>
        <w:t>（企业名称）</w:t>
      </w:r>
      <w:r>
        <w:rPr>
          <w:rFonts w:hAnsi="宋体" w:cs="宋体"/>
          <w:color w:val="auto"/>
          <w:sz w:val="24"/>
          <w:szCs w:val="24"/>
          <w:highlight w:val="none"/>
        </w:rPr>
        <w:t>，从业人员</w:t>
      </w:r>
      <w:r>
        <w:rPr>
          <w:rFonts w:hAnsi="宋体" w:cs="宋体"/>
          <w:color w:val="auto"/>
          <w:sz w:val="24"/>
          <w:szCs w:val="24"/>
          <w:highlight w:val="none"/>
          <w:u w:val="single"/>
        </w:rPr>
        <w:t>xxx</w:t>
      </w:r>
      <w:r>
        <w:rPr>
          <w:rFonts w:hAnsi="宋体" w:cs="宋体"/>
          <w:color w:val="auto"/>
          <w:sz w:val="24"/>
          <w:szCs w:val="24"/>
          <w:highlight w:val="none"/>
        </w:rPr>
        <w:t>人，营业收入为</w:t>
      </w:r>
      <w:r>
        <w:rPr>
          <w:rFonts w:hAnsi="宋体" w:cs="宋体"/>
          <w:color w:val="auto"/>
          <w:sz w:val="24"/>
          <w:szCs w:val="24"/>
          <w:highlight w:val="none"/>
          <w:u w:val="single"/>
        </w:rPr>
        <w:t>xxx</w:t>
      </w:r>
      <w:r>
        <w:rPr>
          <w:rFonts w:hAnsi="宋体" w:cs="宋体"/>
          <w:color w:val="auto"/>
          <w:sz w:val="24"/>
          <w:szCs w:val="24"/>
          <w:highlight w:val="none"/>
        </w:rPr>
        <w:t>万元，资产总额为</w:t>
      </w:r>
      <w:r>
        <w:rPr>
          <w:rFonts w:hAnsi="宋体" w:cs="宋体"/>
          <w:color w:val="auto"/>
          <w:sz w:val="24"/>
          <w:szCs w:val="24"/>
          <w:highlight w:val="none"/>
          <w:u w:val="single"/>
        </w:rPr>
        <w:t>xxx</w:t>
      </w:r>
      <w:r>
        <w:rPr>
          <w:rFonts w:hAnsi="宋体" w:cs="宋体"/>
          <w:color w:val="auto"/>
          <w:sz w:val="24"/>
          <w:szCs w:val="24"/>
          <w:highlight w:val="none"/>
        </w:rPr>
        <w:t>万元，属于（中型企业、小型企业、微型企业）；</w:t>
      </w:r>
    </w:p>
    <w:p w14:paraId="15015AF1">
      <w:pPr>
        <w:pStyle w:val="40"/>
        <w:tabs>
          <w:tab w:val="left" w:pos="0"/>
        </w:tabs>
        <w:spacing w:after="0" w:line="360" w:lineRule="auto"/>
        <w:ind w:firstLine="480"/>
        <w:rPr>
          <w:rFonts w:hAnsi="宋体" w:cs="宋体"/>
          <w:color w:val="auto"/>
          <w:sz w:val="24"/>
          <w:szCs w:val="24"/>
          <w:highlight w:val="none"/>
        </w:rPr>
      </w:pPr>
      <w:r>
        <w:rPr>
          <w:rFonts w:hAnsi="宋体" w:cs="宋体"/>
          <w:color w:val="auto"/>
          <w:sz w:val="24"/>
          <w:szCs w:val="24"/>
          <w:highlight w:val="none"/>
        </w:rPr>
        <w:t>2.</w:t>
      </w:r>
      <w:r>
        <w:rPr>
          <w:rFonts w:hAnsi="宋体" w:cs="宋体"/>
          <w:color w:val="auto"/>
          <w:sz w:val="24"/>
          <w:szCs w:val="24"/>
          <w:highlight w:val="none"/>
          <w:u w:val="single"/>
        </w:rPr>
        <w:t>（标的名称）</w:t>
      </w:r>
      <w:r>
        <w:rPr>
          <w:rFonts w:hAnsi="宋体" w:cs="宋体"/>
          <w:color w:val="auto"/>
          <w:sz w:val="24"/>
          <w:szCs w:val="24"/>
          <w:highlight w:val="none"/>
        </w:rPr>
        <w:t>，属于</w:t>
      </w:r>
      <w:r>
        <w:rPr>
          <w:rFonts w:hAnsi="宋体" w:cs="宋体"/>
          <w:color w:val="auto"/>
          <w:sz w:val="24"/>
          <w:szCs w:val="24"/>
          <w:highlight w:val="none"/>
          <w:u w:val="single"/>
        </w:rPr>
        <w:t>（采购文件中明确的所属行业）</w:t>
      </w:r>
      <w:r>
        <w:rPr>
          <w:rFonts w:hAnsi="宋体" w:cs="宋体"/>
          <w:color w:val="auto"/>
          <w:sz w:val="24"/>
          <w:szCs w:val="24"/>
          <w:highlight w:val="none"/>
        </w:rPr>
        <w:t>行业；制造商为</w:t>
      </w:r>
      <w:r>
        <w:rPr>
          <w:rFonts w:hAnsi="宋体" w:cs="宋体"/>
          <w:color w:val="auto"/>
          <w:sz w:val="24"/>
          <w:szCs w:val="24"/>
          <w:highlight w:val="none"/>
          <w:u w:val="single"/>
        </w:rPr>
        <w:t>（企业名称）</w:t>
      </w:r>
      <w:r>
        <w:rPr>
          <w:rFonts w:hAnsi="宋体" w:cs="宋体"/>
          <w:color w:val="auto"/>
          <w:sz w:val="24"/>
          <w:szCs w:val="24"/>
          <w:highlight w:val="none"/>
        </w:rPr>
        <w:t>，从业人员</w:t>
      </w:r>
      <w:r>
        <w:rPr>
          <w:rFonts w:hAnsi="宋体" w:cs="宋体"/>
          <w:color w:val="auto"/>
          <w:sz w:val="24"/>
          <w:szCs w:val="24"/>
          <w:highlight w:val="none"/>
          <w:u w:val="single"/>
        </w:rPr>
        <w:t>xxx</w:t>
      </w:r>
      <w:r>
        <w:rPr>
          <w:rFonts w:hAnsi="宋体" w:cs="宋体"/>
          <w:color w:val="auto"/>
          <w:sz w:val="24"/>
          <w:szCs w:val="24"/>
          <w:highlight w:val="none"/>
        </w:rPr>
        <w:t>人，营业收入为</w:t>
      </w:r>
      <w:r>
        <w:rPr>
          <w:rFonts w:hAnsi="宋体" w:cs="宋体"/>
          <w:color w:val="auto"/>
          <w:sz w:val="24"/>
          <w:szCs w:val="24"/>
          <w:highlight w:val="none"/>
          <w:u w:val="single"/>
        </w:rPr>
        <w:t>xxx</w:t>
      </w:r>
      <w:r>
        <w:rPr>
          <w:rFonts w:hAnsi="宋体" w:cs="宋体"/>
          <w:color w:val="auto"/>
          <w:sz w:val="24"/>
          <w:szCs w:val="24"/>
          <w:highlight w:val="none"/>
        </w:rPr>
        <w:t>万元，资产总额为</w:t>
      </w:r>
      <w:r>
        <w:rPr>
          <w:rFonts w:hAnsi="宋体" w:cs="宋体"/>
          <w:color w:val="auto"/>
          <w:sz w:val="24"/>
          <w:szCs w:val="24"/>
          <w:highlight w:val="none"/>
          <w:u w:val="single"/>
        </w:rPr>
        <w:t>xxx</w:t>
      </w:r>
      <w:r>
        <w:rPr>
          <w:rFonts w:hAnsi="宋体" w:cs="宋体"/>
          <w:color w:val="auto"/>
          <w:sz w:val="24"/>
          <w:szCs w:val="24"/>
          <w:highlight w:val="none"/>
        </w:rPr>
        <w:t>万元，属于（中型企业、小型企业、微型企业）；</w:t>
      </w:r>
    </w:p>
    <w:p w14:paraId="700A7E3A">
      <w:pPr>
        <w:widowControl/>
        <w:spacing w:line="440" w:lineRule="exact"/>
        <w:ind w:firstLine="480"/>
        <w:jc w:val="left"/>
        <w:rPr>
          <w:rFonts w:hint="eastAsia" w:ascii="宋体" w:hAnsi="宋体" w:cs="宋体"/>
          <w:color w:val="auto"/>
          <w:kern w:val="0"/>
          <w:highlight w:val="none"/>
        </w:rPr>
      </w:pPr>
      <w:r>
        <w:rPr>
          <w:rFonts w:hint="eastAsia" w:ascii="宋体" w:hAnsi="宋体" w:cs="宋体"/>
          <w:color w:val="auto"/>
          <w:kern w:val="0"/>
          <w:highlight w:val="none"/>
        </w:rPr>
        <w:t>……</w:t>
      </w:r>
    </w:p>
    <w:p w14:paraId="5D997D7D">
      <w:pPr>
        <w:widowControl/>
        <w:spacing w:line="440" w:lineRule="exact"/>
        <w:ind w:firstLine="480"/>
        <w:jc w:val="left"/>
        <w:rPr>
          <w:rFonts w:hint="eastAsia" w:ascii="宋体" w:hAnsi="宋体" w:cs="宋体"/>
          <w:color w:val="auto"/>
          <w:kern w:val="0"/>
          <w:highlight w:val="none"/>
        </w:rPr>
      </w:pPr>
      <w:r>
        <w:rPr>
          <w:rFonts w:hint="eastAsia" w:ascii="宋体" w:hAnsi="宋体" w:cs="宋体"/>
          <w:color w:val="auto"/>
          <w:kern w:val="0"/>
          <w:highlight w:val="none"/>
        </w:rPr>
        <w:t>以上企业，不属于大企业的分支机构，不存在控股股东为大企业的情形，也不存在与大企业的负责人为同一人的情形。</w:t>
      </w:r>
    </w:p>
    <w:p w14:paraId="64701F84">
      <w:pPr>
        <w:widowControl/>
        <w:spacing w:line="440" w:lineRule="exact"/>
        <w:ind w:firstLine="480"/>
        <w:jc w:val="left"/>
        <w:rPr>
          <w:rFonts w:hint="eastAsia" w:ascii="宋体" w:hAnsi="宋体" w:cs="宋体"/>
          <w:color w:val="auto"/>
          <w:kern w:val="0"/>
          <w:highlight w:val="none"/>
        </w:rPr>
      </w:pPr>
      <w:r>
        <w:rPr>
          <w:rFonts w:hint="eastAsia" w:ascii="宋体" w:hAnsi="宋体" w:cs="宋体"/>
          <w:color w:val="auto"/>
          <w:kern w:val="0"/>
          <w:highlight w:val="none"/>
        </w:rPr>
        <w:t>本企业对上述声明内容的真实性负责。如有虚假，将依法承担相应责任。</w:t>
      </w:r>
    </w:p>
    <w:p w14:paraId="3C75F580">
      <w:pPr>
        <w:widowControl/>
        <w:spacing w:line="440" w:lineRule="exact"/>
        <w:ind w:firstLine="480"/>
        <w:jc w:val="left"/>
        <w:rPr>
          <w:rFonts w:hint="eastAsia" w:ascii="宋体" w:hAnsi="宋体" w:cs="宋体"/>
          <w:color w:val="auto"/>
          <w:kern w:val="0"/>
          <w:highlight w:val="none"/>
        </w:rPr>
      </w:pPr>
    </w:p>
    <w:p w14:paraId="14581495">
      <w:pPr>
        <w:tabs>
          <w:tab w:val="left" w:pos="4860"/>
        </w:tabs>
        <w:spacing w:line="588" w:lineRule="exact"/>
        <w:ind w:right="1560" w:firstLine="480"/>
        <w:jc w:val="right"/>
        <w:rPr>
          <w:rFonts w:hint="eastAsia" w:ascii="宋体" w:hAnsi="宋体" w:cs="宋体"/>
          <w:color w:val="auto"/>
          <w:highlight w:val="none"/>
        </w:rPr>
      </w:pPr>
      <w:r>
        <w:rPr>
          <w:rFonts w:hint="eastAsia" w:ascii="宋体" w:hAnsi="宋体" w:cs="宋体"/>
          <w:color w:val="auto"/>
          <w:kern w:val="0"/>
          <w:highlight w:val="none"/>
        </w:rPr>
        <w:t xml:space="preserve">                                    </w:t>
      </w:r>
      <w:r>
        <w:rPr>
          <w:rFonts w:hint="eastAsia" w:ascii="宋体" w:hAnsi="宋体" w:cs="宋体"/>
          <w:color w:val="auto"/>
          <w:highlight w:val="none"/>
        </w:rPr>
        <w:t>单位名称（盖章）：</w:t>
      </w:r>
    </w:p>
    <w:p w14:paraId="121A4CE2">
      <w:pPr>
        <w:widowControl/>
        <w:spacing w:line="440" w:lineRule="exact"/>
        <w:ind w:firstLine="480"/>
        <w:jc w:val="center"/>
        <w:rPr>
          <w:rFonts w:hint="eastAsia" w:ascii="宋体" w:hAnsi="宋体" w:cs="宋体"/>
          <w:color w:val="auto"/>
          <w:kern w:val="0"/>
          <w:highlight w:val="none"/>
        </w:rPr>
      </w:pPr>
    </w:p>
    <w:p w14:paraId="160428C9">
      <w:pPr>
        <w:widowControl/>
        <w:spacing w:line="440" w:lineRule="exact"/>
        <w:ind w:firstLine="480"/>
        <w:jc w:val="center"/>
        <w:rPr>
          <w:rFonts w:hint="eastAsia" w:ascii="宋体" w:hAnsi="宋体" w:cs="宋体"/>
          <w:color w:val="auto"/>
          <w:kern w:val="0"/>
          <w:highlight w:val="none"/>
        </w:rPr>
      </w:pPr>
      <w:r>
        <w:rPr>
          <w:rFonts w:hint="eastAsia" w:ascii="宋体" w:hAnsi="宋体" w:cs="宋体"/>
          <w:color w:val="auto"/>
          <w:kern w:val="0"/>
          <w:highlight w:val="none"/>
        </w:rPr>
        <w:t xml:space="preserve">                          日  期：</w:t>
      </w:r>
    </w:p>
    <w:p w14:paraId="389D60B7">
      <w:pPr>
        <w:spacing w:line="360" w:lineRule="auto"/>
        <w:ind w:firstLine="0" w:firstLineChars="0"/>
        <w:jc w:val="left"/>
        <w:rPr>
          <w:rFonts w:hint="eastAsia" w:ascii="仿宋" w:hAnsi="仿宋" w:eastAsia="仿宋" w:cs="仿宋"/>
          <w:color w:val="auto"/>
          <w:highlight w:val="none"/>
        </w:rPr>
      </w:pPr>
    </w:p>
    <w:p w14:paraId="08942114">
      <w:pPr>
        <w:widowControl/>
        <w:spacing w:line="312" w:lineRule="auto"/>
        <w:ind w:firstLine="480"/>
        <w:jc w:val="left"/>
        <w:rPr>
          <w:rFonts w:hint="eastAsia" w:ascii="宋体" w:hAnsi="宋体" w:cs="宋体"/>
          <w:color w:val="auto"/>
          <w:kern w:val="0"/>
          <w:highlight w:val="none"/>
        </w:rPr>
      </w:pPr>
      <w:r>
        <w:rPr>
          <w:rFonts w:hint="eastAsia" w:ascii="宋体" w:hAnsi="宋体" w:cs="宋体"/>
          <w:color w:val="auto"/>
          <w:kern w:val="0"/>
          <w:highlight w:val="none"/>
        </w:rPr>
        <w:t>注意事项：</w:t>
      </w:r>
    </w:p>
    <w:p w14:paraId="35C5B284">
      <w:pPr>
        <w:widowControl/>
        <w:spacing w:line="312" w:lineRule="auto"/>
        <w:ind w:firstLine="480"/>
        <w:jc w:val="left"/>
        <w:rPr>
          <w:rFonts w:hint="eastAsia" w:ascii="宋体" w:hAnsi="宋体" w:cs="宋体"/>
          <w:color w:val="auto"/>
          <w:kern w:val="0"/>
          <w:highlight w:val="none"/>
        </w:rPr>
      </w:pPr>
      <w:r>
        <w:rPr>
          <w:rFonts w:hint="eastAsia" w:ascii="宋体" w:hAnsi="宋体" w:cs="宋体"/>
          <w:color w:val="auto"/>
          <w:kern w:val="0"/>
          <w:highlight w:val="none"/>
        </w:rPr>
        <w:t>1.中标/成交供应商享受本办法规定的中小企业扶持政策的，其《中小企业声明函》随中标结果同时公告，接受社会监督。</w:t>
      </w:r>
    </w:p>
    <w:p w14:paraId="7C5E38E8">
      <w:pPr>
        <w:widowControl/>
        <w:spacing w:line="312" w:lineRule="auto"/>
        <w:ind w:firstLine="480"/>
        <w:jc w:val="left"/>
        <w:rPr>
          <w:rFonts w:hint="eastAsia" w:ascii="宋体" w:hAnsi="宋体" w:cs="宋体"/>
          <w:color w:val="auto"/>
          <w:kern w:val="0"/>
          <w:highlight w:val="none"/>
        </w:rPr>
      </w:pPr>
      <w:r>
        <w:rPr>
          <w:rFonts w:hint="eastAsia" w:ascii="宋体" w:hAnsi="宋体" w:cs="宋体"/>
          <w:color w:val="auto"/>
          <w:kern w:val="0"/>
          <w:highlight w:val="none"/>
        </w:rPr>
        <w:t>2.供应商提供的《中小企业声明函》与事实不符的，依照《</w:t>
      </w:r>
      <w:r>
        <w:rPr>
          <w:rFonts w:hint="eastAsia" w:ascii="宋体" w:hAnsi="宋体" w:cs="宋体"/>
          <w:color w:val="auto"/>
          <w:kern w:val="0"/>
          <w:highlight w:val="none"/>
          <w:lang w:eastAsia="zh-CN"/>
        </w:rPr>
        <w:t>中华人民共和国政府采购法</w:t>
      </w:r>
      <w:r>
        <w:rPr>
          <w:rFonts w:hint="eastAsia" w:ascii="宋体" w:hAnsi="宋体" w:cs="宋体"/>
          <w:color w:val="auto"/>
          <w:kern w:val="0"/>
          <w:highlight w:val="none"/>
        </w:rPr>
        <w:t>》第七十七条第一款的规定追究法律责任。</w:t>
      </w:r>
    </w:p>
    <w:p w14:paraId="45BA1D02">
      <w:pPr>
        <w:spacing w:line="360" w:lineRule="auto"/>
        <w:ind w:firstLine="0" w:firstLineChars="0"/>
        <w:jc w:val="center"/>
        <w:rPr>
          <w:rFonts w:hint="eastAsia" w:ascii="宋体" w:hAnsi="宋体" w:cs="宋体"/>
          <w:b/>
          <w:color w:val="auto"/>
          <w:sz w:val="30"/>
          <w:szCs w:val="30"/>
          <w:highlight w:val="none"/>
          <w:lang w:val="zh-CN"/>
        </w:rPr>
      </w:pPr>
      <w:r>
        <w:rPr>
          <w:rFonts w:hint="eastAsia" w:ascii="宋体" w:hAnsi="宋体" w:cs="宋体"/>
          <w:color w:val="auto"/>
          <w:kern w:val="0"/>
          <w:highlight w:val="none"/>
        </w:rPr>
        <w:t>3.从业人员、营业收入、资产总额填报上一年度数据，无上一年度数据的新成立企业可不填报。</w:t>
      </w:r>
    </w:p>
    <w:p w14:paraId="0FF7B1F7">
      <w:pPr>
        <w:spacing w:line="360" w:lineRule="auto"/>
        <w:ind w:firstLine="0" w:firstLineChars="0"/>
        <w:jc w:val="center"/>
        <w:rPr>
          <w:rFonts w:hint="eastAsia" w:ascii="宋体" w:hAnsi="宋体" w:cs="宋体"/>
          <w:b/>
          <w:color w:val="auto"/>
          <w:sz w:val="30"/>
          <w:szCs w:val="30"/>
          <w:highlight w:val="none"/>
          <w:lang w:val="zh-CN"/>
        </w:rPr>
      </w:pPr>
    </w:p>
    <w:p w14:paraId="2C731B36">
      <w:pPr>
        <w:spacing w:line="360" w:lineRule="auto"/>
        <w:ind w:firstLine="0" w:firstLineChars="0"/>
        <w:rPr>
          <w:rFonts w:hint="eastAsia" w:ascii="宋体" w:hAnsi="宋体" w:cs="宋体"/>
          <w:b/>
          <w:color w:val="auto"/>
          <w:sz w:val="30"/>
          <w:szCs w:val="30"/>
          <w:highlight w:val="none"/>
          <w:lang w:bidi="ar"/>
        </w:rPr>
      </w:pPr>
    </w:p>
    <w:p w14:paraId="56E7AF39">
      <w:pPr>
        <w:spacing w:line="360" w:lineRule="auto"/>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监狱企业声明函</w:t>
      </w:r>
    </w:p>
    <w:p w14:paraId="1139F7ED">
      <w:pPr>
        <w:spacing w:line="360" w:lineRule="auto"/>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【非监狱企业不需提供】</w:t>
      </w:r>
    </w:p>
    <w:p w14:paraId="77E8E6E2">
      <w:pPr>
        <w:widowControl/>
        <w:adjustRightInd w:val="0"/>
        <w:snapToGrid w:val="0"/>
        <w:ind w:firstLine="480"/>
        <w:jc w:val="left"/>
        <w:rPr>
          <w:rFonts w:hint="eastAsia" w:ascii="宋体" w:hAnsi="宋体" w:cs="宋体"/>
          <w:color w:val="auto"/>
          <w:highlight w:val="none"/>
        </w:rPr>
      </w:pPr>
      <w:r>
        <w:rPr>
          <w:rFonts w:hint="eastAsia" w:ascii="宋体" w:hAnsi="宋体" w:cs="宋体"/>
          <w:color w:val="auto"/>
          <w:highlight w:val="none"/>
          <w:lang w:bidi="ar"/>
        </w:rPr>
        <w:t>本企业郑重声明，根据《关于政府采购支持监狱企业发展有关问题的通知》（财库〔2014〕68号）的规定，本企业为</w:t>
      </w:r>
      <w:r>
        <w:rPr>
          <w:rFonts w:hint="eastAsia" w:ascii="宋体" w:hAnsi="宋体" w:cs="宋体"/>
          <w:color w:val="auto"/>
          <w:highlight w:val="none"/>
          <w:u w:val="single"/>
          <w:lang w:bidi="ar"/>
        </w:rPr>
        <w:t>监狱企业</w:t>
      </w:r>
      <w:r>
        <w:rPr>
          <w:rFonts w:hint="eastAsia" w:ascii="宋体" w:hAnsi="宋体" w:cs="宋体"/>
          <w:color w:val="auto"/>
          <w:highlight w:val="none"/>
          <w:lang w:bidi="ar"/>
        </w:rPr>
        <w:t>。</w:t>
      </w:r>
    </w:p>
    <w:p w14:paraId="3CEE5740">
      <w:pPr>
        <w:widowControl/>
        <w:adjustRightInd w:val="0"/>
        <w:snapToGrid w:val="0"/>
        <w:ind w:firstLine="480"/>
        <w:jc w:val="left"/>
        <w:rPr>
          <w:rFonts w:hint="eastAsia" w:ascii="宋体" w:hAnsi="宋体" w:cs="宋体"/>
          <w:color w:val="auto"/>
          <w:highlight w:val="none"/>
        </w:rPr>
      </w:pPr>
      <w:r>
        <w:rPr>
          <w:rFonts w:hint="eastAsia" w:ascii="宋体" w:hAnsi="宋体" w:cs="宋体"/>
          <w:color w:val="auto"/>
          <w:highlight w:val="none"/>
          <w:lang w:bidi="ar"/>
        </w:rPr>
        <w:t>根据上述标准，我企业属于</w:t>
      </w:r>
      <w:r>
        <w:rPr>
          <w:rFonts w:hint="eastAsia" w:ascii="宋体" w:hAnsi="宋体" w:cs="宋体"/>
          <w:color w:val="auto"/>
          <w:highlight w:val="none"/>
          <w:u w:val="single"/>
          <w:lang w:bidi="ar"/>
        </w:rPr>
        <w:t>监狱企业</w:t>
      </w:r>
      <w:r>
        <w:rPr>
          <w:rFonts w:hint="eastAsia" w:ascii="宋体" w:hAnsi="宋体" w:cs="宋体"/>
          <w:color w:val="auto"/>
          <w:highlight w:val="none"/>
          <w:lang w:bidi="ar"/>
        </w:rPr>
        <w:t>的理由为：</w:t>
      </w:r>
    </w:p>
    <w:p w14:paraId="1E960280">
      <w:pPr>
        <w:widowControl/>
        <w:adjustRightInd w:val="0"/>
        <w:snapToGrid w:val="0"/>
        <w:ind w:firstLine="480"/>
        <w:rPr>
          <w:rFonts w:hint="eastAsia" w:ascii="宋体" w:hAnsi="宋体" w:cs="宋体"/>
          <w:color w:val="auto"/>
          <w:highlight w:val="none"/>
        </w:rPr>
      </w:pPr>
      <w:r>
        <w:rPr>
          <w:rFonts w:hint="eastAsia" w:ascii="宋体" w:hAnsi="宋体" w:cs="宋体"/>
          <w:color w:val="auto"/>
          <w:highlight w:val="none"/>
          <w:lang w:bidi="ar"/>
        </w:rPr>
        <w:t>本企业为参加（项目名称：</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）（项目编号：</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）采购活动提供本企业的产品。</w:t>
      </w:r>
    </w:p>
    <w:p w14:paraId="7BEAB094">
      <w:pPr>
        <w:widowControl/>
        <w:adjustRightInd w:val="0"/>
        <w:snapToGrid w:val="0"/>
        <w:ind w:firstLine="480"/>
        <w:rPr>
          <w:rFonts w:hint="eastAsia" w:ascii="宋体" w:hAnsi="宋体" w:cs="宋体"/>
          <w:color w:val="auto"/>
          <w:highlight w:val="none"/>
        </w:rPr>
      </w:pPr>
      <w:r>
        <w:rPr>
          <w:rFonts w:hint="eastAsia" w:ascii="宋体" w:hAnsi="宋体" w:cs="宋体"/>
          <w:color w:val="auto"/>
          <w:highlight w:val="none"/>
          <w:lang w:bidi="ar"/>
        </w:rPr>
        <w:t>本企业对上述声明的真实性负责。如有虚假，将依法承担相应责任。</w:t>
      </w:r>
    </w:p>
    <w:p w14:paraId="758513ED">
      <w:pP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0D5A562C">
      <w:pP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5DA89F30">
      <w:pP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28EFE009">
      <w:pPr>
        <w:adjustRightInd w:val="0"/>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15728CD1">
      <w:pP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6690F5B4">
      <w:pP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622EFB0A">
      <w:pP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3F61AA1D">
      <w:pP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20C80190">
      <w:pPr>
        <w:adjustRightInd w:val="0"/>
        <w:snapToGrid w:val="0"/>
        <w:ind w:firstLine="5040" w:firstLineChars="2100"/>
        <w:rPr>
          <w:rFonts w:hint="eastAsia" w:ascii="宋体" w:hAnsi="宋体" w:cs="宋体"/>
          <w:color w:val="auto"/>
          <w:highlight w:val="none"/>
          <w:u w:val="single"/>
        </w:rPr>
      </w:pPr>
      <w:r>
        <w:rPr>
          <w:rFonts w:hint="eastAsia" w:ascii="宋体" w:hAnsi="宋体" w:cs="宋体"/>
          <w:color w:val="auto"/>
          <w:highlight w:val="none"/>
          <w:lang w:bidi="ar"/>
        </w:rPr>
        <w:t>供应商名称（盖章）：</w:t>
      </w:r>
      <w:r>
        <w:rPr>
          <w:rFonts w:hint="eastAsia" w:ascii="宋体" w:hAnsi="宋体" w:cs="宋体"/>
          <w:color w:val="auto"/>
          <w:highlight w:val="none"/>
          <w:u w:val="single"/>
          <w:lang w:bidi="ar"/>
        </w:rPr>
        <w:t xml:space="preserve">                    </w:t>
      </w:r>
    </w:p>
    <w:p w14:paraId="33F0C1C9">
      <w:pPr>
        <w:adjustRightInd w:val="0"/>
        <w:snapToGrid w:val="0"/>
        <w:ind w:firstLine="3600" w:firstLineChars="1500"/>
        <w:rPr>
          <w:rFonts w:hint="eastAsia" w:ascii="宋体" w:hAnsi="宋体" w:cs="宋体"/>
          <w:color w:val="auto"/>
          <w:highlight w:val="none"/>
        </w:rPr>
      </w:pPr>
      <w:r>
        <w:rPr>
          <w:rFonts w:hint="eastAsia" w:ascii="宋体" w:hAnsi="宋体" w:cs="宋体"/>
          <w:color w:val="auto"/>
          <w:highlight w:val="none"/>
          <w:lang w:bidi="ar"/>
        </w:rPr>
        <w:t xml:space="preserve"> </w:t>
      </w:r>
    </w:p>
    <w:p w14:paraId="36471902">
      <w:pPr>
        <w:adjustRightInd w:val="0"/>
        <w:snapToGrid w:val="0"/>
        <w:ind w:firstLine="5040" w:firstLineChars="2100"/>
        <w:rPr>
          <w:rFonts w:hint="eastAsia" w:ascii="宋体" w:hAnsi="宋体" w:cs="宋体"/>
          <w:color w:val="auto"/>
          <w:highlight w:val="none"/>
        </w:rPr>
      </w:pPr>
      <w:r>
        <w:rPr>
          <w:rFonts w:hint="eastAsia" w:ascii="宋体" w:hAnsi="宋体" w:cs="宋体"/>
          <w:color w:val="auto"/>
          <w:highlight w:val="none"/>
          <w:lang w:bidi="ar"/>
        </w:rPr>
        <w:t>日期：    年   月   日</w:t>
      </w:r>
    </w:p>
    <w:p w14:paraId="60972529">
      <w:pPr>
        <w:widowControl/>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21798205">
      <w:pPr>
        <w:widowControl/>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4D7DB16A">
      <w:pPr>
        <w:widowControl/>
        <w:snapToGrid w:val="0"/>
        <w:ind w:firstLine="480"/>
        <w:rPr>
          <w:rFonts w:hint="eastAsia" w:ascii="宋体" w:hAnsi="宋体" w:cs="宋体"/>
          <w:color w:val="auto"/>
          <w:highlight w:val="none"/>
        </w:rPr>
      </w:pPr>
      <w:r>
        <w:rPr>
          <w:rFonts w:hint="eastAsia" w:ascii="宋体" w:hAnsi="宋体" w:cs="宋体"/>
          <w:color w:val="auto"/>
          <w:highlight w:val="none"/>
          <w:lang w:bidi="ar"/>
        </w:rPr>
        <w:t>供应商为监狱企业提供此函。</w:t>
      </w:r>
    </w:p>
    <w:p w14:paraId="6A0C00CE">
      <w:pPr>
        <w:widowControl/>
        <w:snapToGrid w:val="0"/>
        <w:ind w:firstLine="480"/>
        <w:rPr>
          <w:rFonts w:hint="eastAsia" w:ascii="宋体" w:hAnsi="宋体" w:cs="宋体"/>
          <w:bCs/>
          <w:color w:val="auto"/>
          <w:highlight w:val="none"/>
        </w:rPr>
      </w:pPr>
      <w:r>
        <w:rPr>
          <w:rFonts w:hint="eastAsia" w:ascii="宋体" w:hAnsi="宋体" w:cs="宋体"/>
          <w:color w:val="auto"/>
          <w:highlight w:val="none"/>
          <w:lang w:bidi="ar"/>
        </w:rPr>
        <w:t>监狱企业参加政府采购活动时，应当提供由省级以上监狱管理局、戒毒管理局（含新疆生产建设兵团）出具的属于监狱企业的证明文件。</w:t>
      </w:r>
    </w:p>
    <w:p w14:paraId="6987BBBF">
      <w:pPr>
        <w:adjustRightInd w:val="0"/>
        <w:snapToGrid w:val="0"/>
        <w:ind w:firstLine="0" w:firstLineChars="0"/>
        <w:jc w:val="center"/>
        <w:textAlignment w:val="baseline"/>
        <w:rPr>
          <w:rFonts w:hint="eastAsia" w:ascii="宋体" w:hAnsi="宋体" w:cs="宋体"/>
          <w:b/>
          <w:bCs/>
          <w:color w:val="auto"/>
          <w:sz w:val="28"/>
          <w:szCs w:val="28"/>
          <w:highlight w:val="none"/>
          <w:lang w:bidi="ar"/>
        </w:rPr>
      </w:pPr>
    </w:p>
    <w:p w14:paraId="173A7138">
      <w:pPr>
        <w:adjustRightInd w:val="0"/>
        <w:snapToGrid w:val="0"/>
        <w:ind w:firstLine="0" w:firstLineChars="0"/>
        <w:jc w:val="center"/>
        <w:textAlignment w:val="baseline"/>
        <w:rPr>
          <w:rFonts w:hint="eastAsia" w:ascii="宋体" w:hAnsi="宋体" w:cs="宋体"/>
          <w:b/>
          <w:bCs/>
          <w:color w:val="auto"/>
          <w:sz w:val="28"/>
          <w:szCs w:val="28"/>
          <w:highlight w:val="none"/>
          <w:lang w:bidi="ar"/>
        </w:rPr>
      </w:pPr>
    </w:p>
    <w:p w14:paraId="38163B39">
      <w:pPr>
        <w:adjustRightInd w:val="0"/>
        <w:snapToGrid w:val="0"/>
        <w:ind w:firstLine="0" w:firstLineChars="0"/>
        <w:jc w:val="center"/>
        <w:textAlignment w:val="baseline"/>
        <w:rPr>
          <w:rFonts w:hint="eastAsia" w:ascii="宋体" w:hAnsi="宋体" w:cs="宋体"/>
          <w:b/>
          <w:bCs/>
          <w:color w:val="auto"/>
          <w:sz w:val="28"/>
          <w:szCs w:val="28"/>
          <w:highlight w:val="none"/>
          <w:lang w:bidi="ar"/>
        </w:rPr>
      </w:pPr>
    </w:p>
    <w:p w14:paraId="47EAD74B">
      <w:pPr>
        <w:adjustRightInd w:val="0"/>
        <w:snapToGrid w:val="0"/>
        <w:ind w:firstLine="0" w:firstLineChars="0"/>
        <w:jc w:val="center"/>
        <w:textAlignment w:val="baseline"/>
        <w:outlineLvl w:val="0"/>
        <w:rPr>
          <w:rFonts w:hint="eastAsia" w:ascii="宋体" w:hAnsi="宋体" w:cs="Times New Roman"/>
          <w:color w:val="auto"/>
          <w:sz w:val="28"/>
          <w:szCs w:val="28"/>
          <w:highlight w:val="none"/>
        </w:rPr>
      </w:pPr>
      <w:bookmarkStart w:id="457" w:name="_Toc32261"/>
      <w:bookmarkStart w:id="458" w:name="_Toc4386"/>
      <w:r>
        <w:rPr>
          <w:rFonts w:hint="eastAsia" w:ascii="宋体" w:hAnsi="宋体" w:cs="宋体"/>
          <w:b/>
          <w:bCs/>
          <w:color w:val="auto"/>
          <w:sz w:val="28"/>
          <w:szCs w:val="28"/>
          <w:highlight w:val="none"/>
          <w:lang w:bidi="ar"/>
        </w:rPr>
        <w:t>残疾人福利性单位声明函</w:t>
      </w:r>
      <w:bookmarkEnd w:id="457"/>
      <w:bookmarkEnd w:id="458"/>
    </w:p>
    <w:p w14:paraId="17522D11">
      <w:pPr>
        <w:autoSpaceDE w:val="0"/>
        <w:autoSpaceDN w:val="0"/>
        <w:adjustRightInd w:val="0"/>
        <w:snapToGrid w:val="0"/>
        <w:spacing w:after="312" w:afterLines="100"/>
        <w:ind w:firstLine="0" w:firstLineChars="0"/>
        <w:jc w:val="center"/>
        <w:outlineLvl w:val="0"/>
        <w:rPr>
          <w:rFonts w:hint="eastAsia" w:ascii="宋体" w:hAnsi="宋体" w:cs="Times New Roman"/>
          <w:color w:val="auto"/>
          <w:sz w:val="28"/>
          <w:szCs w:val="28"/>
          <w:highlight w:val="none"/>
        </w:rPr>
      </w:pPr>
      <w:bookmarkStart w:id="459" w:name="_Toc26128"/>
      <w:bookmarkStart w:id="460" w:name="_Toc13621"/>
      <w:r>
        <w:rPr>
          <w:rFonts w:hint="eastAsia" w:ascii="宋体" w:hAnsi="宋体" w:cs="宋体"/>
          <w:color w:val="auto"/>
          <w:sz w:val="28"/>
          <w:szCs w:val="28"/>
          <w:highlight w:val="none"/>
          <w:lang w:bidi="ar"/>
        </w:rPr>
        <w:t>【非残疾人福利性单位不需提供】</w:t>
      </w:r>
      <w:bookmarkEnd w:id="459"/>
      <w:bookmarkEnd w:id="460"/>
    </w:p>
    <w:p w14:paraId="4697B054">
      <w:pPr>
        <w:snapToGrid w:val="0"/>
        <w:ind w:firstLine="480"/>
        <w:rPr>
          <w:rFonts w:hint="eastAsia" w:ascii="宋体" w:hAnsi="宋体" w:cs="宋体"/>
          <w:color w:val="auto"/>
          <w:highlight w:val="none"/>
          <w:lang w:bidi="ar"/>
        </w:rPr>
      </w:pPr>
      <w:r>
        <w:rPr>
          <w:rFonts w:hint="eastAsia" w:ascii="宋体" w:hAnsi="宋体" w:cs="宋体"/>
          <w:color w:val="auto"/>
          <w:highlight w:val="none"/>
          <w:lang w:bidi="ar"/>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highlight w:val="none"/>
          <w:u w:val="single"/>
          <w:lang w:bidi="ar"/>
        </w:rPr>
        <w:t>（采购人名称）</w:t>
      </w:r>
      <w:r>
        <w:rPr>
          <w:rFonts w:hint="eastAsia" w:ascii="宋体" w:hAnsi="宋体" w:cs="宋体"/>
          <w:color w:val="auto"/>
          <w:highlight w:val="none"/>
          <w:lang w:bidi="ar"/>
        </w:rPr>
        <w:t>单位的</w:t>
      </w:r>
      <w:r>
        <w:rPr>
          <w:rFonts w:hint="eastAsia" w:ascii="宋体" w:hAnsi="宋体" w:cs="宋体"/>
          <w:color w:val="auto"/>
          <w:highlight w:val="none"/>
          <w:u w:val="single"/>
          <w:lang w:bidi="ar"/>
        </w:rPr>
        <w:t>（项目名称）</w:t>
      </w:r>
      <w:r>
        <w:rPr>
          <w:rFonts w:hint="eastAsia" w:ascii="宋体" w:hAnsi="宋体" w:cs="宋体"/>
          <w:color w:val="auto"/>
          <w:highlight w:val="none"/>
          <w:lang w:bidi="ar"/>
        </w:rPr>
        <w:t>项目采购活动提供本单位制造的货物（由本单位承担工程/提供服务），或者提供其他残疾人福利性单位制造的货物（不包括使用非残疾人福利性单位注册商标的货物）。</w:t>
      </w:r>
    </w:p>
    <w:p w14:paraId="44546779">
      <w:pPr>
        <w:snapToGrid w:val="0"/>
        <w:ind w:firstLine="480"/>
        <w:rPr>
          <w:rFonts w:hint="eastAsia" w:ascii="宋体" w:hAnsi="宋体" w:cs="Times New Roman"/>
          <w:color w:val="auto"/>
          <w:highlight w:val="none"/>
        </w:rPr>
      </w:pPr>
      <w:r>
        <w:rPr>
          <w:rFonts w:hint="eastAsia" w:ascii="宋体" w:hAnsi="宋体" w:cs="宋体"/>
          <w:color w:val="auto"/>
          <w:highlight w:val="none"/>
          <w:lang w:bidi="ar"/>
        </w:rPr>
        <w:t>本单位对上述声明的真实性负责。如有虚假，将依法承担相应责任。</w:t>
      </w:r>
    </w:p>
    <w:p w14:paraId="75126871">
      <w:pPr>
        <w:snapToGrid w:val="0"/>
        <w:ind w:firstLine="480"/>
        <w:rPr>
          <w:rFonts w:hint="eastAsia" w:ascii="宋体" w:hAnsi="宋体" w:cs="Times New Roman"/>
          <w:color w:val="auto"/>
          <w:highlight w:val="none"/>
        </w:rPr>
      </w:pPr>
      <w:r>
        <w:rPr>
          <w:rFonts w:hint="eastAsia" w:ascii="宋体" w:hAnsi="宋体" w:cs="Times New Roman"/>
          <w:color w:val="auto"/>
          <w:highlight w:val="none"/>
          <w:lang w:bidi="ar"/>
        </w:rPr>
        <w:t xml:space="preserve"> </w:t>
      </w:r>
    </w:p>
    <w:p w14:paraId="5E3DAEEF">
      <w:pPr>
        <w:snapToGrid w:val="0"/>
        <w:ind w:firstLine="480"/>
        <w:rPr>
          <w:rFonts w:hint="eastAsia" w:ascii="宋体" w:hAnsi="宋体" w:cs="Times New Roman"/>
          <w:color w:val="auto"/>
          <w:highlight w:val="none"/>
        </w:rPr>
      </w:pPr>
    </w:p>
    <w:p w14:paraId="7F6CF8A3">
      <w:pPr>
        <w:adjustRightInd w:val="0"/>
        <w:snapToGrid w:val="0"/>
        <w:ind w:firstLine="480"/>
        <w:rPr>
          <w:rFonts w:hint="eastAsia" w:ascii="宋体" w:hAnsi="宋体" w:cs="Times New Roman"/>
          <w:color w:val="auto"/>
          <w:highlight w:val="none"/>
        </w:rPr>
      </w:pPr>
      <w:r>
        <w:rPr>
          <w:rFonts w:hint="eastAsia" w:ascii="宋体" w:hAnsi="宋体" w:cs="Times New Roman"/>
          <w:color w:val="auto"/>
          <w:highlight w:val="none"/>
          <w:lang w:bidi="ar"/>
        </w:rPr>
        <w:t xml:space="preserve"> </w:t>
      </w:r>
    </w:p>
    <w:p w14:paraId="128B820C">
      <w:pPr>
        <w:adjustRightInd w:val="0"/>
        <w:snapToGrid w:val="0"/>
        <w:ind w:firstLine="4080" w:firstLineChars="1700"/>
        <w:rPr>
          <w:rFonts w:hint="eastAsia" w:ascii="宋体" w:hAnsi="宋体" w:cs="Times New Roman"/>
          <w:color w:val="auto"/>
          <w:highlight w:val="none"/>
          <w:u w:val="single"/>
        </w:rPr>
      </w:pPr>
      <w:r>
        <w:rPr>
          <w:rFonts w:hint="eastAsia" w:ascii="宋体" w:hAnsi="宋体" w:cs="宋体"/>
          <w:color w:val="auto"/>
          <w:highlight w:val="none"/>
          <w:lang w:bidi="ar"/>
        </w:rPr>
        <w:t>供应商名称（盖章）：</w:t>
      </w:r>
      <w:r>
        <w:rPr>
          <w:rFonts w:hint="eastAsia" w:ascii="宋体" w:hAnsi="宋体" w:cs="Times New Roman"/>
          <w:color w:val="auto"/>
          <w:highlight w:val="none"/>
          <w:u w:val="single"/>
          <w:lang w:bidi="ar"/>
        </w:rPr>
        <w:t xml:space="preserve">                    </w:t>
      </w:r>
    </w:p>
    <w:p w14:paraId="0D08D184">
      <w:pPr>
        <w:adjustRightInd w:val="0"/>
        <w:snapToGrid w:val="0"/>
        <w:ind w:firstLine="3600" w:firstLineChars="1500"/>
        <w:rPr>
          <w:rFonts w:hint="eastAsia" w:ascii="宋体" w:hAnsi="宋体" w:cs="Times New Roman"/>
          <w:color w:val="auto"/>
          <w:highlight w:val="none"/>
        </w:rPr>
      </w:pPr>
      <w:r>
        <w:rPr>
          <w:rFonts w:hint="eastAsia" w:ascii="宋体" w:hAnsi="宋体" w:cs="Times New Roman"/>
          <w:color w:val="auto"/>
          <w:highlight w:val="none"/>
          <w:lang w:bidi="ar"/>
        </w:rPr>
        <w:t xml:space="preserve"> </w:t>
      </w:r>
    </w:p>
    <w:p w14:paraId="265A6F8D">
      <w:pPr>
        <w:adjustRightInd w:val="0"/>
        <w:snapToGrid w:val="0"/>
        <w:ind w:firstLine="4080" w:firstLineChars="1700"/>
        <w:rPr>
          <w:rFonts w:hint="eastAsia" w:ascii="宋体" w:hAnsi="宋体" w:cs="Times New Roman"/>
          <w:color w:val="auto"/>
          <w:highlight w:val="none"/>
        </w:rPr>
      </w:pPr>
      <w:r>
        <w:rPr>
          <w:rFonts w:hint="eastAsia" w:ascii="宋体" w:hAnsi="宋体" w:cs="宋体"/>
          <w:color w:val="auto"/>
          <w:highlight w:val="none"/>
          <w:lang w:bidi="ar"/>
        </w:rPr>
        <w:t>日期：</w:t>
      </w:r>
      <w:r>
        <w:rPr>
          <w:rFonts w:hint="eastAsia" w:ascii="宋体" w:hAnsi="宋体" w:cs="Times New Roman"/>
          <w:color w:val="auto"/>
          <w:highlight w:val="none"/>
          <w:lang w:bidi="ar"/>
        </w:rPr>
        <w:t xml:space="preserve">    </w:t>
      </w:r>
      <w:r>
        <w:rPr>
          <w:rFonts w:hint="eastAsia" w:ascii="宋体" w:hAnsi="宋体" w:cs="宋体"/>
          <w:color w:val="auto"/>
          <w:highlight w:val="none"/>
          <w:lang w:bidi="ar"/>
        </w:rPr>
        <w:t>年</w:t>
      </w:r>
      <w:r>
        <w:rPr>
          <w:rFonts w:hint="eastAsia" w:ascii="宋体" w:hAnsi="宋体" w:cs="Times New Roman"/>
          <w:color w:val="auto"/>
          <w:highlight w:val="none"/>
          <w:lang w:bidi="ar"/>
        </w:rPr>
        <w:t xml:space="preserve">   </w:t>
      </w:r>
      <w:r>
        <w:rPr>
          <w:rFonts w:hint="eastAsia" w:ascii="宋体" w:hAnsi="宋体" w:cs="宋体"/>
          <w:color w:val="auto"/>
          <w:highlight w:val="none"/>
          <w:lang w:bidi="ar"/>
        </w:rPr>
        <w:t>月</w:t>
      </w:r>
      <w:r>
        <w:rPr>
          <w:rFonts w:hint="eastAsia" w:ascii="宋体" w:hAnsi="宋体" w:cs="Times New Roman"/>
          <w:color w:val="auto"/>
          <w:highlight w:val="none"/>
          <w:lang w:bidi="ar"/>
        </w:rPr>
        <w:t xml:space="preserve">  </w:t>
      </w:r>
      <w:r>
        <w:rPr>
          <w:rFonts w:hint="eastAsia" w:ascii="宋体" w:hAnsi="宋体" w:cs="宋体"/>
          <w:color w:val="auto"/>
          <w:highlight w:val="none"/>
          <w:lang w:bidi="ar"/>
        </w:rPr>
        <w:t>日</w:t>
      </w:r>
    </w:p>
    <w:p w14:paraId="76762958">
      <w:pPr>
        <w:adjustRightInd w:val="0"/>
        <w:snapToGrid w:val="0"/>
        <w:ind w:firstLine="480"/>
        <w:rPr>
          <w:rFonts w:hint="eastAsia" w:ascii="宋体" w:hAnsi="宋体" w:cs="Times New Roman"/>
          <w:color w:val="auto"/>
          <w:highlight w:val="none"/>
        </w:rPr>
      </w:pPr>
      <w:r>
        <w:rPr>
          <w:rFonts w:hint="eastAsia" w:ascii="宋体" w:hAnsi="宋体" w:cs="Times New Roman"/>
          <w:color w:val="auto"/>
          <w:highlight w:val="none"/>
          <w:lang w:bidi="ar"/>
        </w:rPr>
        <w:t xml:space="preserve"> </w:t>
      </w:r>
    </w:p>
    <w:p w14:paraId="2E1D0CDB">
      <w:pPr>
        <w:adjustRightInd w:val="0"/>
        <w:snapToGrid w:val="0"/>
        <w:ind w:firstLine="480"/>
        <w:rPr>
          <w:rFonts w:hint="eastAsia" w:ascii="宋体" w:hAnsi="宋体" w:cs="Times New Roman"/>
          <w:color w:val="auto"/>
          <w:highlight w:val="none"/>
        </w:rPr>
      </w:pPr>
      <w:r>
        <w:rPr>
          <w:rFonts w:hint="eastAsia" w:ascii="宋体" w:hAnsi="宋体" w:cs="Times New Roman"/>
          <w:color w:val="auto"/>
          <w:highlight w:val="none"/>
          <w:lang w:bidi="ar"/>
        </w:rPr>
        <w:t xml:space="preserve">  </w:t>
      </w:r>
    </w:p>
    <w:p w14:paraId="2B82F903">
      <w:pPr>
        <w:adjustRightInd w:val="0"/>
        <w:snapToGrid w:val="0"/>
        <w:ind w:firstLine="480"/>
        <w:rPr>
          <w:rFonts w:hint="eastAsia" w:ascii="宋体" w:hAnsi="宋体" w:cs="Times New Roman"/>
          <w:color w:val="auto"/>
          <w:highlight w:val="none"/>
        </w:rPr>
      </w:pPr>
      <w:r>
        <w:rPr>
          <w:rFonts w:hint="eastAsia" w:ascii="宋体" w:hAnsi="宋体" w:cs="Times New Roman"/>
          <w:color w:val="auto"/>
          <w:highlight w:val="none"/>
          <w:lang w:bidi="ar"/>
        </w:rPr>
        <w:t xml:space="preserve"> </w:t>
      </w:r>
    </w:p>
    <w:p w14:paraId="5A97BE8E">
      <w:pPr>
        <w:adjustRightInd w:val="0"/>
        <w:snapToGrid w:val="0"/>
        <w:ind w:firstLine="480"/>
        <w:rPr>
          <w:rFonts w:hint="eastAsia" w:ascii="宋体" w:hAnsi="宋体" w:cs="Times New Roman"/>
          <w:color w:val="auto"/>
          <w:highlight w:val="none"/>
        </w:rPr>
      </w:pPr>
      <w:r>
        <w:rPr>
          <w:rFonts w:hint="eastAsia" w:ascii="宋体" w:hAnsi="宋体" w:cs="宋体"/>
          <w:color w:val="auto"/>
          <w:highlight w:val="none"/>
          <w:lang w:bidi="ar"/>
        </w:rPr>
        <w:t>供应商为残疾人福利性单位提供此函。</w:t>
      </w:r>
    </w:p>
    <w:p w14:paraId="0A763EF5">
      <w:pPr>
        <w:spacing w:beforeAutospacing="1" w:after="120" w:line="240" w:lineRule="auto"/>
        <w:ind w:firstLine="480"/>
        <w:rPr>
          <w:rFonts w:hint="eastAsia" w:ascii="宋体" w:hAnsi="宋体" w:cs="宋体"/>
          <w:b/>
          <w:bCs/>
          <w:color w:val="auto"/>
          <w:highlight w:val="none"/>
        </w:rPr>
      </w:pPr>
      <w:r>
        <w:rPr>
          <w:rFonts w:hint="eastAsia" w:ascii="宋体" w:hAnsi="宋体" w:cs="宋体"/>
          <w:color w:val="auto"/>
          <w:highlight w:val="none"/>
          <w:lang w:bidi="ar"/>
        </w:rPr>
        <w:t>备注：中标供应商为残疾人福利性单位的，应当随中标结果同时公告其《残疾人福利性单位声明函》，接受社会监督。</w:t>
      </w:r>
    </w:p>
    <w:p w14:paraId="7559E9A9">
      <w:pPr>
        <w:ind w:firstLine="480"/>
        <w:rPr>
          <w:color w:val="auto"/>
          <w:highlight w:val="none"/>
        </w:rPr>
      </w:pPr>
    </w:p>
    <w:bookmarkEnd w:id="431"/>
    <w:bookmarkEnd w:id="432"/>
    <w:bookmarkEnd w:id="433"/>
    <w:bookmarkEnd w:id="434"/>
    <w:p w14:paraId="1565DC21">
      <w:pPr>
        <w:ind w:firstLine="0" w:firstLineChars="0"/>
        <w:rPr>
          <w:color w:val="auto"/>
          <w:highlight w:val="none"/>
        </w:rPr>
      </w:pPr>
    </w:p>
    <w:sectPr>
      <w:headerReference r:id="rId15" w:type="default"/>
      <w:footerReference r:id="rId16" w:type="default"/>
      <w:pgSz w:w="11906" w:h="16838"/>
      <w:pgMar w:top="1440" w:right="1080" w:bottom="1440" w:left="1080" w:header="737" w:footer="850" w:gutter="0"/>
      <w:pgBorders>
        <w:top w:val="thinThickSmallGap" w:color="auto" w:sz="12" w:space="10"/>
        <w:bottom w:val="thinThickSmallGap" w:color="auto" w:sz="12" w:space="1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Helvetica">
    <w:panose1 w:val="020B0504020202030204"/>
    <w:charset w:val="00"/>
    <w:family w:val="swiss"/>
    <w:pitch w:val="default"/>
    <w:sig w:usb0="00000007" w:usb1="00000000" w:usb2="00000000" w:usb3="00000000" w:csb0="00000093" w:csb1="00000000"/>
  </w:font>
  <w:font w:name="ヒラギノ角ゴ Pro W3">
    <w:altName w:val="Yu Gothic UI Light"/>
    <w:panose1 w:val="00000000000000000000"/>
    <w:charset w:val="80"/>
    <w:family w:val="auto"/>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AdobeSongStd-Light">
    <w:altName w:val="宋体"/>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492A">
    <w:pPr>
      <w:pStyle w:val="2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B884B">
                          <w:pPr>
                            <w:pStyle w:val="26"/>
                            <w:ind w:firstLine="361"/>
                            <w:rPr>
                              <w:rFonts w:hint="eastAsia" w:ascii="宋体" w:hAnsi="宋体" w:cs="宋体"/>
                              <w:b/>
                              <w:bCs/>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hint="eastAsia" w:ascii="宋体" w:hAnsi="宋体" w:cs="宋体"/>
                              <w:b/>
                              <w:bCs/>
                            </w:rPr>
                            <w:t>2</w:t>
                          </w:r>
                          <w:r>
                            <w:rPr>
                              <w:rFonts w:hint="eastAsia" w:ascii="宋体" w:hAnsi="宋体" w:cs="宋体"/>
                              <w:b/>
                              <w:bCs/>
                            </w:rPr>
                            <w:fldChar w:fldCharType="end"/>
                          </w:r>
                          <w:r>
                            <w:rPr>
                              <w:rFonts w:hint="eastAsia" w:ascii="宋体" w:hAnsi="宋体" w:cs="宋体"/>
                              <w:b/>
                              <w:bCs/>
                            </w:rPr>
                            <w:t xml:space="preserve"> 页 共 </w:t>
                          </w:r>
                          <w:r>
                            <w:rPr>
                              <w:rFonts w:hint="eastAsia" w:ascii="宋体" w:hAnsi="宋体" w:cs="宋体"/>
                              <w:b/>
                              <w:bCs/>
                            </w:rPr>
                            <w:fldChar w:fldCharType="begin"/>
                          </w:r>
                          <w:r>
                            <w:rPr>
                              <w:rFonts w:hint="eastAsia" w:ascii="宋体" w:hAnsi="宋体" w:cs="宋体"/>
                              <w:b/>
                              <w:bCs/>
                            </w:rPr>
                            <w:instrText xml:space="preserve"> NUMPAGES  \* MERGEFORMAT </w:instrText>
                          </w:r>
                          <w:r>
                            <w:rPr>
                              <w:rFonts w:hint="eastAsia" w:ascii="宋体" w:hAnsi="宋体" w:cs="宋体"/>
                              <w:b/>
                              <w:bCs/>
                            </w:rPr>
                            <w:fldChar w:fldCharType="separate"/>
                          </w:r>
                          <w:r>
                            <w:rPr>
                              <w:rFonts w:hint="eastAsia" w:ascii="宋体" w:hAnsi="宋体" w:cs="宋体"/>
                              <w:b/>
                              <w:bCs/>
                            </w:rPr>
                            <w:t>61</w:t>
                          </w:r>
                          <w:r>
                            <w:rPr>
                              <w:rFonts w:hint="eastAsia" w:ascii="宋体" w:hAnsi="宋体" w:cs="宋体"/>
                              <w:b/>
                              <w:bCs/>
                            </w:rPr>
                            <w:fldChar w:fldCharType="end"/>
                          </w:r>
                          <w:r>
                            <w:rPr>
                              <w:rFonts w:hint="eastAsia" w:ascii="宋体" w:hAnsi="宋体" w:cs="宋体"/>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65B884B">
                    <w:pPr>
                      <w:pStyle w:val="26"/>
                      <w:ind w:firstLine="361"/>
                      <w:rPr>
                        <w:rFonts w:hint="eastAsia" w:ascii="宋体" w:hAnsi="宋体" w:cs="宋体"/>
                        <w:b/>
                        <w:bCs/>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hint="eastAsia" w:ascii="宋体" w:hAnsi="宋体" w:cs="宋体"/>
                        <w:b/>
                        <w:bCs/>
                      </w:rPr>
                      <w:t>2</w:t>
                    </w:r>
                    <w:r>
                      <w:rPr>
                        <w:rFonts w:hint="eastAsia" w:ascii="宋体" w:hAnsi="宋体" w:cs="宋体"/>
                        <w:b/>
                        <w:bCs/>
                      </w:rPr>
                      <w:fldChar w:fldCharType="end"/>
                    </w:r>
                    <w:r>
                      <w:rPr>
                        <w:rFonts w:hint="eastAsia" w:ascii="宋体" w:hAnsi="宋体" w:cs="宋体"/>
                        <w:b/>
                        <w:bCs/>
                      </w:rPr>
                      <w:t xml:space="preserve"> 页 共 </w:t>
                    </w:r>
                    <w:r>
                      <w:rPr>
                        <w:rFonts w:hint="eastAsia" w:ascii="宋体" w:hAnsi="宋体" w:cs="宋体"/>
                        <w:b/>
                        <w:bCs/>
                      </w:rPr>
                      <w:fldChar w:fldCharType="begin"/>
                    </w:r>
                    <w:r>
                      <w:rPr>
                        <w:rFonts w:hint="eastAsia" w:ascii="宋体" w:hAnsi="宋体" w:cs="宋体"/>
                        <w:b/>
                        <w:bCs/>
                      </w:rPr>
                      <w:instrText xml:space="preserve"> NUMPAGES  \* MERGEFORMAT </w:instrText>
                    </w:r>
                    <w:r>
                      <w:rPr>
                        <w:rFonts w:hint="eastAsia" w:ascii="宋体" w:hAnsi="宋体" w:cs="宋体"/>
                        <w:b/>
                        <w:bCs/>
                      </w:rPr>
                      <w:fldChar w:fldCharType="separate"/>
                    </w:r>
                    <w:r>
                      <w:rPr>
                        <w:rFonts w:hint="eastAsia" w:ascii="宋体" w:hAnsi="宋体" w:cs="宋体"/>
                        <w:b/>
                        <w:bCs/>
                      </w:rPr>
                      <w:t>61</w:t>
                    </w:r>
                    <w:r>
                      <w:rPr>
                        <w:rFonts w:hint="eastAsia" w:ascii="宋体" w:hAnsi="宋体" w:cs="宋体"/>
                        <w:b/>
                        <w:bCs/>
                      </w:rPr>
                      <w:fldChar w:fldCharType="end"/>
                    </w:r>
                    <w:r>
                      <w:rPr>
                        <w:rFonts w:hint="eastAsia" w:ascii="宋体" w:hAnsi="宋体" w:cs="宋体"/>
                        <w:b/>
                        <w:bCs/>
                      </w:rPr>
                      <w:t xml:space="preserve"> 页</w:t>
                    </w:r>
                  </w:p>
                </w:txbxContent>
              </v:textbox>
            </v:shape>
          </w:pict>
        </mc:Fallback>
      </mc:AlternateContent>
    </w:r>
    <w:r>
      <w:rPr>
        <w:rFonts w:ascii="宋体" w:hAnsi="宋体"/>
        <w:b/>
        <w:bCs/>
        <w:i/>
        <w:iCs/>
        <w:color w:val="00B050"/>
      </w:rPr>
      <w:drawing>
        <wp:anchor distT="0" distB="0" distL="114300" distR="114300" simplePos="0" relativeHeight="251663360" behindDoc="1" locked="0" layoutInCell="1" allowOverlap="1">
          <wp:simplePos x="0" y="0"/>
          <wp:positionH relativeFrom="column">
            <wp:posOffset>8890</wp:posOffset>
          </wp:positionH>
          <wp:positionV relativeFrom="page">
            <wp:posOffset>9935845</wp:posOffset>
          </wp:positionV>
          <wp:extent cx="927735" cy="173990"/>
          <wp:effectExtent l="0" t="0" r="5715" b="35560"/>
          <wp:wrapTight wrapText="bothSides">
            <wp:wrapPolygon>
              <wp:start x="0" y="0"/>
              <wp:lineTo x="0" y="18920"/>
              <wp:lineTo x="21290" y="18920"/>
              <wp:lineTo x="21290" y="0"/>
              <wp:lineTo x="0" y="0"/>
            </wp:wrapPolygon>
          </wp:wrapTight>
          <wp:docPr id="6" name="图片 6"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0788654(1)"/>
                  <pic:cNvPicPr>
                    <a:picLocks noChangeAspect="1"/>
                  </pic:cNvPicPr>
                </pic:nvPicPr>
                <pic:blipFill>
                  <a:blip r:embed="rId1"/>
                  <a:stretch>
                    <a:fillRect/>
                  </a:stretch>
                </pic:blipFill>
                <pic:spPr>
                  <a:xfrm>
                    <a:off x="0" y="0"/>
                    <a:ext cx="927735" cy="17399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9EFEA">
    <w:pPr>
      <w:pStyle w:val="26"/>
      <w:ind w:firstLine="361"/>
    </w:pPr>
    <w:r>
      <w:rPr>
        <w:rFonts w:ascii="宋体" w:hAnsi="宋体"/>
        <w:b/>
        <w:bCs/>
        <w:i/>
        <w:iCs/>
        <w:color w:val="00B050"/>
      </w:rPr>
      <w:drawing>
        <wp:anchor distT="0" distB="0" distL="114300" distR="114300" simplePos="0" relativeHeight="251666432" behindDoc="1" locked="0" layoutInCell="1" allowOverlap="1">
          <wp:simplePos x="0" y="0"/>
          <wp:positionH relativeFrom="column">
            <wp:posOffset>44450</wp:posOffset>
          </wp:positionH>
          <wp:positionV relativeFrom="page">
            <wp:posOffset>9946005</wp:posOffset>
          </wp:positionV>
          <wp:extent cx="927735" cy="173990"/>
          <wp:effectExtent l="0" t="0" r="5715" b="16510"/>
          <wp:wrapTight wrapText="bothSides">
            <wp:wrapPolygon>
              <wp:start x="0" y="0"/>
              <wp:lineTo x="0" y="18920"/>
              <wp:lineTo x="21290" y="18920"/>
              <wp:lineTo x="21290" y="0"/>
              <wp:lineTo x="0" y="0"/>
            </wp:wrapPolygon>
          </wp:wrapTight>
          <wp:docPr id="2" name="图片 2"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0788654(1)"/>
                  <pic:cNvPicPr>
                    <a:picLocks noChangeAspect="1"/>
                  </pic:cNvPicPr>
                </pic:nvPicPr>
                <pic:blipFill>
                  <a:blip r:embed="rId1"/>
                  <a:stretch>
                    <a:fillRect/>
                  </a:stretch>
                </pic:blipFill>
                <pic:spPr>
                  <a:xfrm>
                    <a:off x="0" y="0"/>
                    <a:ext cx="927735" cy="173990"/>
                  </a:xfrm>
                  <a:prstGeom prst="rect">
                    <a:avLst/>
                  </a:prstGeom>
                </pic:spPr>
              </pic:pic>
            </a:graphicData>
          </a:graphic>
        </wp:anchor>
      </w:drawing>
    </w:r>
    <w:r>
      <mc:AlternateContent>
        <mc:Choice Requires="wps">
          <w:drawing>
            <wp:anchor distT="0" distB="0" distL="114300" distR="114300" simplePos="0" relativeHeight="251665408" behindDoc="0" locked="0" layoutInCell="1" allowOverlap="1">
              <wp:simplePos x="0" y="0"/>
              <wp:positionH relativeFrom="margin">
                <wp:posOffset>2217420</wp:posOffset>
              </wp:positionH>
              <wp:positionV relativeFrom="paragraph">
                <wp:posOffset>-39370</wp:posOffset>
              </wp:positionV>
              <wp:extent cx="1361440" cy="3632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61440" cy="363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C0D15">
                          <w:pPr>
                            <w:pStyle w:val="26"/>
                            <w:ind w:firstLine="361"/>
                            <w:rPr>
                              <w:rFonts w:hint="eastAsia" w:ascii="宋体" w:hAnsi="宋体" w:cs="宋体"/>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hint="eastAsia" w:ascii="宋体" w:hAnsi="宋体" w:cs="宋体"/>
                              <w:b/>
                              <w:bCs/>
                            </w:rPr>
                            <w:t>1</w:t>
                          </w:r>
                          <w:r>
                            <w:rPr>
                              <w:rFonts w:hint="eastAsia" w:ascii="宋体" w:hAnsi="宋体" w:cs="宋体"/>
                              <w:b/>
                              <w:bCs/>
                            </w:rPr>
                            <w:fldChar w:fldCharType="end"/>
                          </w:r>
                          <w:r>
                            <w:rPr>
                              <w:rFonts w:hint="eastAsia" w:ascii="宋体" w:hAnsi="宋体" w:cs="宋体"/>
                              <w:b/>
                              <w:bCs/>
                            </w:rPr>
                            <w:t xml:space="preserve"> 页 共 </w:t>
                          </w:r>
                          <w:r>
                            <w:rPr>
                              <w:rFonts w:hint="eastAsia" w:ascii="宋体" w:hAnsi="宋体" w:cs="宋体"/>
                              <w:b/>
                              <w:bCs/>
                            </w:rPr>
                            <w:fldChar w:fldCharType="begin"/>
                          </w:r>
                          <w:r>
                            <w:rPr>
                              <w:rFonts w:hint="eastAsia" w:ascii="宋体" w:hAnsi="宋体" w:cs="宋体"/>
                              <w:b/>
                              <w:bCs/>
                            </w:rPr>
                            <w:instrText xml:space="preserve"> NUMPAGES  \* MERGEFORMAT </w:instrText>
                          </w:r>
                          <w:r>
                            <w:rPr>
                              <w:rFonts w:hint="eastAsia" w:ascii="宋体" w:hAnsi="宋体" w:cs="宋体"/>
                              <w:b/>
                              <w:bCs/>
                            </w:rPr>
                            <w:fldChar w:fldCharType="separate"/>
                          </w:r>
                          <w:r>
                            <w:rPr>
                              <w:rFonts w:hint="eastAsia" w:ascii="宋体" w:hAnsi="宋体" w:cs="宋体"/>
                              <w:b/>
                              <w:bCs/>
                            </w:rPr>
                            <w:t>61</w:t>
                          </w:r>
                          <w:r>
                            <w:rPr>
                              <w:rFonts w:hint="eastAsia" w:ascii="宋体" w:hAnsi="宋体" w:cs="宋体"/>
                              <w:b/>
                              <w:bCs/>
                            </w:rPr>
                            <w:fldChar w:fldCharType="end"/>
                          </w:r>
                          <w:r>
                            <w:rPr>
                              <w:rFonts w:hint="eastAsia" w:ascii="宋体" w:hAnsi="宋体" w:cs="宋体"/>
                              <w:b/>
                              <w:bCs/>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4.6pt;margin-top:-3.1pt;height:28.6pt;width:107.2pt;mso-position-horizontal-relative:margin;z-index:251665408;mso-width-relative:page;mso-height-relative:page;" filled="f" stroked="f" coordsize="21600,21600" o:gfxdata="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aBhp2AAAAAkBAAAPAAAAAAAAAAEAIAAAACIAAABkcnMvZG93bnJldi54&#10;bWxQSwECFAAUAAAACACHTuJAPMtKMDMCAABWBAAADgAAAAAAAAABACAAAAAnAQAAZHJzL2Uyb0Rv&#10;Yy54bWxQSwUGAAAAAAYABgBZAQAAzAUAAAAA&#10;">
              <v:fill on="f" focussize="0,0"/>
              <v:stroke on="f" weight="0.5pt"/>
              <v:imagedata o:title=""/>
              <o:lock v:ext="edit" aspectratio="f"/>
              <v:textbox inset="0mm,0mm,0mm,0mm">
                <w:txbxContent>
                  <w:p w14:paraId="620C0D15">
                    <w:pPr>
                      <w:pStyle w:val="26"/>
                      <w:ind w:firstLine="361"/>
                      <w:rPr>
                        <w:rFonts w:hint="eastAsia" w:ascii="宋体" w:hAnsi="宋体" w:cs="宋体"/>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hint="eastAsia" w:ascii="宋体" w:hAnsi="宋体" w:cs="宋体"/>
                        <w:b/>
                        <w:bCs/>
                      </w:rPr>
                      <w:t>1</w:t>
                    </w:r>
                    <w:r>
                      <w:rPr>
                        <w:rFonts w:hint="eastAsia" w:ascii="宋体" w:hAnsi="宋体" w:cs="宋体"/>
                        <w:b/>
                        <w:bCs/>
                      </w:rPr>
                      <w:fldChar w:fldCharType="end"/>
                    </w:r>
                    <w:r>
                      <w:rPr>
                        <w:rFonts w:hint="eastAsia" w:ascii="宋体" w:hAnsi="宋体" w:cs="宋体"/>
                        <w:b/>
                        <w:bCs/>
                      </w:rPr>
                      <w:t xml:space="preserve"> 页 共 </w:t>
                    </w:r>
                    <w:r>
                      <w:rPr>
                        <w:rFonts w:hint="eastAsia" w:ascii="宋体" w:hAnsi="宋体" w:cs="宋体"/>
                        <w:b/>
                        <w:bCs/>
                      </w:rPr>
                      <w:fldChar w:fldCharType="begin"/>
                    </w:r>
                    <w:r>
                      <w:rPr>
                        <w:rFonts w:hint="eastAsia" w:ascii="宋体" w:hAnsi="宋体" w:cs="宋体"/>
                        <w:b/>
                        <w:bCs/>
                      </w:rPr>
                      <w:instrText xml:space="preserve"> NUMPAGES  \* MERGEFORMAT </w:instrText>
                    </w:r>
                    <w:r>
                      <w:rPr>
                        <w:rFonts w:hint="eastAsia" w:ascii="宋体" w:hAnsi="宋体" w:cs="宋体"/>
                        <w:b/>
                        <w:bCs/>
                      </w:rPr>
                      <w:fldChar w:fldCharType="separate"/>
                    </w:r>
                    <w:r>
                      <w:rPr>
                        <w:rFonts w:hint="eastAsia" w:ascii="宋体" w:hAnsi="宋体" w:cs="宋体"/>
                        <w:b/>
                        <w:bCs/>
                      </w:rPr>
                      <w:t>61</w:t>
                    </w:r>
                    <w:r>
                      <w:rPr>
                        <w:rFonts w:hint="eastAsia" w:ascii="宋体" w:hAnsi="宋体" w:cs="宋体"/>
                        <w:b/>
                        <w:bCs/>
                      </w:rPr>
                      <w:fldChar w:fldCharType="end"/>
                    </w:r>
                    <w:r>
                      <w:rPr>
                        <w:rFonts w:hint="eastAsia" w:ascii="宋体" w:hAnsi="宋体" w:cs="宋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1509">
    <w:pPr>
      <w:pStyle w:val="26"/>
      <w:tabs>
        <w:tab w:val="center" w:pos="4873"/>
        <w:tab w:val="clear" w:pos="4153"/>
      </w:tabs>
      <w:spacing w:line="240" w:lineRule="auto"/>
      <w:ind w:firstLine="0" w:firstLineChars="0"/>
    </w:pPr>
    <w:r>
      <mc:AlternateContent>
        <mc:Choice Requires="wps">
          <w:drawing>
            <wp:anchor distT="0" distB="0" distL="114300" distR="114300" simplePos="0" relativeHeight="251661312" behindDoc="0" locked="0" layoutInCell="1" allowOverlap="1">
              <wp:simplePos x="0" y="0"/>
              <wp:positionH relativeFrom="margin">
                <wp:posOffset>2309495</wp:posOffset>
              </wp:positionH>
              <wp:positionV relativeFrom="paragraph">
                <wp:posOffset>-172720</wp:posOffset>
              </wp:positionV>
              <wp:extent cx="1569085" cy="7442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569085" cy="744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2C35C">
                          <w:pPr>
                            <w:pStyle w:val="26"/>
                            <w:ind w:firstLine="361"/>
                            <w:rPr>
                              <w:rFonts w:hint="eastAsia" w:ascii="宋体" w:hAnsi="宋体" w:cs="宋体"/>
                              <w:b/>
                              <w:bCs/>
                            </w:rPr>
                          </w:pPr>
                          <w:r>
                            <w:rPr>
                              <w:rFonts w:ascii="宋体" w:hAnsi="宋体" w:cs="宋体"/>
                              <w:b/>
                              <w:bCs/>
                            </w:rPr>
                            <w:t xml:space="preserve">第 </w:t>
                          </w:r>
                          <w:r>
                            <w:rPr>
                              <w:rFonts w:ascii="宋体" w:hAnsi="宋体" w:cs="宋体"/>
                              <w:b/>
                              <w:bCs/>
                            </w:rPr>
                            <w:fldChar w:fldCharType="begin"/>
                          </w:r>
                          <w:r>
                            <w:rPr>
                              <w:rFonts w:ascii="宋体" w:hAnsi="宋体" w:cs="宋体"/>
                              <w:b/>
                              <w:bCs/>
                            </w:rPr>
                            <w:instrText xml:space="preserve"> PAGE  \* MERGEFORMAT </w:instrText>
                          </w:r>
                          <w:r>
                            <w:rPr>
                              <w:rFonts w:ascii="宋体" w:hAnsi="宋体" w:cs="宋体"/>
                              <w:b/>
                              <w:bCs/>
                            </w:rPr>
                            <w:fldChar w:fldCharType="separate"/>
                          </w:r>
                          <w:r>
                            <w:rPr>
                              <w:rFonts w:ascii="宋体" w:hAnsi="宋体" w:cs="宋体"/>
                              <w:b/>
                              <w:bCs/>
                            </w:rPr>
                            <w:t>49</w:t>
                          </w:r>
                          <w:r>
                            <w:rPr>
                              <w:rFonts w:ascii="宋体" w:hAnsi="宋体" w:cs="宋体"/>
                              <w:b/>
                              <w:bCs/>
                            </w:rPr>
                            <w:fldChar w:fldCharType="end"/>
                          </w:r>
                          <w:r>
                            <w:rPr>
                              <w:rFonts w:ascii="宋体" w:hAnsi="宋体" w:cs="宋体"/>
                              <w:b/>
                              <w:bCs/>
                            </w:rPr>
                            <w:t xml:space="preserve"> 页 共 </w:t>
                          </w:r>
                          <w:r>
                            <w:rPr>
                              <w:rFonts w:ascii="宋体" w:hAnsi="宋体" w:cs="宋体"/>
                              <w:b/>
                              <w:bCs/>
                            </w:rPr>
                            <w:fldChar w:fldCharType="begin"/>
                          </w:r>
                          <w:r>
                            <w:rPr>
                              <w:rFonts w:ascii="宋体" w:hAnsi="宋体" w:cs="宋体"/>
                              <w:b/>
                              <w:bCs/>
                            </w:rPr>
                            <w:instrText xml:space="preserve"> NUMPAGES  \* MERGEFORMAT </w:instrText>
                          </w:r>
                          <w:r>
                            <w:rPr>
                              <w:rFonts w:ascii="宋体" w:hAnsi="宋体" w:cs="宋体"/>
                              <w:b/>
                              <w:bCs/>
                            </w:rPr>
                            <w:fldChar w:fldCharType="separate"/>
                          </w:r>
                          <w:r>
                            <w:rPr>
                              <w:rFonts w:ascii="宋体" w:hAnsi="宋体" w:cs="宋体"/>
                              <w:b/>
                              <w:bCs/>
                            </w:rPr>
                            <w:t>61</w:t>
                          </w:r>
                          <w:r>
                            <w:rPr>
                              <w:rFonts w:ascii="宋体" w:hAnsi="宋体" w:cs="宋体"/>
                              <w:b/>
                              <w:bCs/>
                            </w:rPr>
                            <w:fldChar w:fldCharType="end"/>
                          </w:r>
                          <w:r>
                            <w:rPr>
                              <w:rFonts w:ascii="宋体" w:hAnsi="宋体" w:cs="宋体"/>
                              <w:b/>
                              <w:bCs/>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1.85pt;margin-top:-13.6pt;height:58.6pt;width:123.55pt;mso-position-horizontal-relative:margin;z-index:251661312;mso-width-relative:page;mso-height-relative:page;" filled="f" stroked="f" coordsize="21600,21600" o:gfxdata="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0Q6g2QAAAAoBAAAPAAAAAAAAAAEAIAAAACIAAABkcnMvZG93bnJldi54&#10;bWxQSwECFAAUAAAACACHTuJAPNvywTICAABYBAAADgAAAAAAAAABACAAAAAoAQAAZHJzL2Uyb0Rv&#10;Yy54bWxQSwUGAAAAAAYABgBZAQAAzAUAAAAA&#10;">
              <v:fill on="f" focussize="0,0"/>
              <v:stroke on="f" weight="0.5pt"/>
              <v:imagedata o:title=""/>
              <o:lock v:ext="edit" aspectratio="f"/>
              <v:textbox inset="0mm,0mm,0mm,0mm">
                <w:txbxContent>
                  <w:p w14:paraId="74D2C35C">
                    <w:pPr>
                      <w:pStyle w:val="26"/>
                      <w:ind w:firstLine="361"/>
                      <w:rPr>
                        <w:rFonts w:hint="eastAsia" w:ascii="宋体" w:hAnsi="宋体" w:cs="宋体"/>
                        <w:b/>
                        <w:bCs/>
                      </w:rPr>
                    </w:pPr>
                    <w:r>
                      <w:rPr>
                        <w:rFonts w:ascii="宋体" w:hAnsi="宋体" w:cs="宋体"/>
                        <w:b/>
                        <w:bCs/>
                      </w:rPr>
                      <w:t xml:space="preserve">第 </w:t>
                    </w:r>
                    <w:r>
                      <w:rPr>
                        <w:rFonts w:ascii="宋体" w:hAnsi="宋体" w:cs="宋体"/>
                        <w:b/>
                        <w:bCs/>
                      </w:rPr>
                      <w:fldChar w:fldCharType="begin"/>
                    </w:r>
                    <w:r>
                      <w:rPr>
                        <w:rFonts w:ascii="宋体" w:hAnsi="宋体" w:cs="宋体"/>
                        <w:b/>
                        <w:bCs/>
                      </w:rPr>
                      <w:instrText xml:space="preserve"> PAGE  \* MERGEFORMAT </w:instrText>
                    </w:r>
                    <w:r>
                      <w:rPr>
                        <w:rFonts w:ascii="宋体" w:hAnsi="宋体" w:cs="宋体"/>
                        <w:b/>
                        <w:bCs/>
                      </w:rPr>
                      <w:fldChar w:fldCharType="separate"/>
                    </w:r>
                    <w:r>
                      <w:rPr>
                        <w:rFonts w:ascii="宋体" w:hAnsi="宋体" w:cs="宋体"/>
                        <w:b/>
                        <w:bCs/>
                      </w:rPr>
                      <w:t>49</w:t>
                    </w:r>
                    <w:r>
                      <w:rPr>
                        <w:rFonts w:ascii="宋体" w:hAnsi="宋体" w:cs="宋体"/>
                        <w:b/>
                        <w:bCs/>
                      </w:rPr>
                      <w:fldChar w:fldCharType="end"/>
                    </w:r>
                    <w:r>
                      <w:rPr>
                        <w:rFonts w:ascii="宋体" w:hAnsi="宋体" w:cs="宋体"/>
                        <w:b/>
                        <w:bCs/>
                      </w:rPr>
                      <w:t xml:space="preserve"> 页 共 </w:t>
                    </w:r>
                    <w:r>
                      <w:rPr>
                        <w:rFonts w:ascii="宋体" w:hAnsi="宋体" w:cs="宋体"/>
                        <w:b/>
                        <w:bCs/>
                      </w:rPr>
                      <w:fldChar w:fldCharType="begin"/>
                    </w:r>
                    <w:r>
                      <w:rPr>
                        <w:rFonts w:ascii="宋体" w:hAnsi="宋体" w:cs="宋体"/>
                        <w:b/>
                        <w:bCs/>
                      </w:rPr>
                      <w:instrText xml:space="preserve"> NUMPAGES  \* MERGEFORMAT </w:instrText>
                    </w:r>
                    <w:r>
                      <w:rPr>
                        <w:rFonts w:ascii="宋体" w:hAnsi="宋体" w:cs="宋体"/>
                        <w:b/>
                        <w:bCs/>
                      </w:rPr>
                      <w:fldChar w:fldCharType="separate"/>
                    </w:r>
                    <w:r>
                      <w:rPr>
                        <w:rFonts w:ascii="宋体" w:hAnsi="宋体" w:cs="宋体"/>
                        <w:b/>
                        <w:bCs/>
                      </w:rPr>
                      <w:t>61</w:t>
                    </w:r>
                    <w:r>
                      <w:rPr>
                        <w:rFonts w:ascii="宋体" w:hAnsi="宋体" w:cs="宋体"/>
                        <w:b/>
                        <w:bCs/>
                      </w:rPr>
                      <w:fldChar w:fldCharType="end"/>
                    </w:r>
                    <w:r>
                      <w:rPr>
                        <w:rFonts w:ascii="宋体" w:hAnsi="宋体" w:cs="宋体"/>
                        <w:b/>
                        <w:bCs/>
                      </w:rPr>
                      <w:t xml:space="preserve"> 页</w:t>
                    </w:r>
                  </w:p>
                </w:txbxContent>
              </v:textbox>
            </v:shape>
          </w:pict>
        </mc:Fallback>
      </mc:AlternateContent>
    </w:r>
    <w:r>
      <w:rPr>
        <w:rFonts w:ascii="宋体" w:hAnsi="宋体"/>
        <w:b/>
        <w:bCs/>
        <w:i/>
        <w:iCs/>
        <w:color w:val="00B050"/>
      </w:rPr>
      <w:drawing>
        <wp:anchor distT="0" distB="0" distL="114300" distR="114300" simplePos="0" relativeHeight="251662336" behindDoc="1" locked="0" layoutInCell="1" allowOverlap="1">
          <wp:simplePos x="0" y="0"/>
          <wp:positionH relativeFrom="column">
            <wp:posOffset>8890</wp:posOffset>
          </wp:positionH>
          <wp:positionV relativeFrom="page">
            <wp:posOffset>9935845</wp:posOffset>
          </wp:positionV>
          <wp:extent cx="927735" cy="191135"/>
          <wp:effectExtent l="0" t="0" r="5715" b="18415"/>
          <wp:wrapTight wrapText="bothSides">
            <wp:wrapPolygon>
              <wp:start x="0" y="0"/>
              <wp:lineTo x="0" y="19375"/>
              <wp:lineTo x="21290" y="19375"/>
              <wp:lineTo x="21290" y="0"/>
              <wp:lineTo x="0" y="0"/>
            </wp:wrapPolygon>
          </wp:wrapTight>
          <wp:docPr id="8" name="图片 8"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0788654(1)"/>
                  <pic:cNvPicPr>
                    <a:picLocks noChangeAspect="1"/>
                  </pic:cNvPicPr>
                </pic:nvPicPr>
                <pic:blipFill>
                  <a:blip r:embed="rId1"/>
                  <a:stretch>
                    <a:fillRect/>
                  </a:stretch>
                </pic:blipFill>
                <pic:spPr>
                  <a:xfrm>
                    <a:off x="0" y="0"/>
                    <a:ext cx="927735" cy="191135"/>
                  </a:xfrm>
                  <a:prstGeom prst="rect">
                    <a:avLst/>
                  </a:prstGeom>
                </pic:spPr>
              </pic:pic>
            </a:graphicData>
          </a:graphic>
        </wp:anchor>
      </w:drawing>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A402">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FA82">
    <w:pPr>
      <w:pStyle w:val="26"/>
      <w:ind w:firstLine="361"/>
    </w:pPr>
    <w:r>
      <w:rPr>
        <w:rFonts w:ascii="宋体" w:hAnsi="宋体"/>
        <w:b/>
        <w:bCs/>
        <w:i/>
        <w:iCs/>
        <w:color w:val="00B050"/>
      </w:rPr>
      <w:drawing>
        <wp:anchor distT="0" distB="0" distL="114300" distR="114300" simplePos="0" relativeHeight="251663360" behindDoc="1" locked="0" layoutInCell="1" allowOverlap="1">
          <wp:simplePos x="0" y="0"/>
          <wp:positionH relativeFrom="column">
            <wp:posOffset>8890</wp:posOffset>
          </wp:positionH>
          <wp:positionV relativeFrom="page">
            <wp:posOffset>9935845</wp:posOffset>
          </wp:positionV>
          <wp:extent cx="927735" cy="190500"/>
          <wp:effectExtent l="0" t="0" r="5715" b="0"/>
          <wp:wrapTight wrapText="bothSides">
            <wp:wrapPolygon>
              <wp:start x="0" y="0"/>
              <wp:lineTo x="0" y="21600"/>
              <wp:lineTo x="21600" y="21600"/>
              <wp:lineTo x="21600" y="0"/>
              <wp:lineTo x="0" y="0"/>
            </wp:wrapPolygon>
          </wp:wrapTight>
          <wp:docPr id="5" name="图片 5"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0788654(1)"/>
                  <pic:cNvPicPr>
                    <a:picLocks noChangeAspect="1"/>
                  </pic:cNvPicPr>
                </pic:nvPicPr>
                <pic:blipFill>
                  <a:blip r:embed="rId1"/>
                  <a:stretch>
                    <a:fillRect/>
                  </a:stretch>
                </pic:blipFill>
                <pic:spPr>
                  <a:xfrm>
                    <a:off x="0" y="0"/>
                    <a:ext cx="927735" cy="190500"/>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007B5">
    <w:pPr>
      <w:pStyle w:val="26"/>
      <w:ind w:firstLine="0" w:firstLineChars="0"/>
      <w:jc w:val="both"/>
      <w:rPr>
        <w:rFonts w:hint="eastAsia" w:ascii="微软雅黑" w:hAnsi="微软雅黑" w:cs="微软雅黑"/>
        <w:b/>
        <w:bCs/>
        <w:i/>
        <w:iCs/>
        <w:color w:val="00B050"/>
      </w:rPr>
    </w:pPr>
    <w:r>
      <w:rPr>
        <w:rFonts w:ascii="宋体" w:hAnsi="宋体" w:cs="宋体"/>
        <w:b/>
        <w:bCs/>
        <w:i/>
        <w:iCs/>
        <w:color w:val="00B050"/>
      </w:rPr>
      <mc:AlternateContent>
        <mc:Choice Requires="wps">
          <w:drawing>
            <wp:anchor distT="0" distB="0" distL="114300" distR="114300" simplePos="0" relativeHeight="251659264" behindDoc="0" locked="0" layoutInCell="1" allowOverlap="1">
              <wp:simplePos x="0" y="0"/>
              <wp:positionH relativeFrom="margin">
                <wp:posOffset>2432050</wp:posOffset>
              </wp:positionH>
              <wp:positionV relativeFrom="paragraph">
                <wp:posOffset>-12065</wp:posOffset>
              </wp:positionV>
              <wp:extent cx="1323975" cy="368300"/>
              <wp:effectExtent l="0" t="0" r="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1323975" cy="368300"/>
                      </a:xfrm>
                      <a:prstGeom prst="rect">
                        <a:avLst/>
                      </a:prstGeom>
                      <a:noFill/>
                      <a:ln>
                        <a:noFill/>
                      </a:ln>
                    </wps:spPr>
                    <wps:txbx>
                      <w:txbxContent>
                        <w:p w14:paraId="3E8F6737">
                          <w:pPr>
                            <w:pStyle w:val="26"/>
                            <w:ind w:firstLine="361"/>
                            <w:rPr>
                              <w:rFonts w:hint="eastAsia" w:ascii="宋体" w:hAnsi="宋体" w:cs="宋体"/>
                              <w:b/>
                              <w:bCs/>
                            </w:rPr>
                          </w:pPr>
                          <w:r>
                            <w:rPr>
                              <w:rFonts w:ascii="宋体" w:hAnsi="宋体" w:cs="宋体"/>
                              <w:b/>
                              <w:bCs/>
                            </w:rPr>
                            <w:t xml:space="preserve">第 </w:t>
                          </w:r>
                          <w:r>
                            <w:rPr>
                              <w:rFonts w:ascii="宋体" w:hAnsi="宋体" w:cs="宋体"/>
                              <w:b/>
                              <w:bCs/>
                            </w:rPr>
                            <w:fldChar w:fldCharType="begin"/>
                          </w:r>
                          <w:r>
                            <w:rPr>
                              <w:rFonts w:ascii="宋体" w:hAnsi="宋体" w:cs="宋体"/>
                              <w:b/>
                              <w:bCs/>
                            </w:rPr>
                            <w:instrText xml:space="preserve"> PAGE  \* MERGEFORMAT </w:instrText>
                          </w:r>
                          <w:r>
                            <w:rPr>
                              <w:rFonts w:ascii="宋体" w:hAnsi="宋体" w:cs="宋体"/>
                              <w:b/>
                              <w:bCs/>
                            </w:rPr>
                            <w:fldChar w:fldCharType="separate"/>
                          </w:r>
                          <w:r>
                            <w:rPr>
                              <w:rFonts w:ascii="宋体" w:hAnsi="宋体" w:cs="宋体"/>
                              <w:b/>
                              <w:bCs/>
                            </w:rPr>
                            <w:t>1</w:t>
                          </w:r>
                          <w:r>
                            <w:rPr>
                              <w:rFonts w:ascii="宋体" w:hAnsi="宋体" w:cs="宋体"/>
                              <w:b/>
                              <w:bCs/>
                            </w:rPr>
                            <w:fldChar w:fldCharType="end"/>
                          </w:r>
                          <w:r>
                            <w:rPr>
                              <w:rFonts w:ascii="宋体" w:hAnsi="宋体" w:cs="宋体"/>
                              <w:b/>
                              <w:bCs/>
                            </w:rPr>
                            <w:t xml:space="preserve"> 页 共 </w:t>
                          </w:r>
                          <w:r>
                            <w:rPr>
                              <w:rFonts w:ascii="宋体" w:hAnsi="宋体" w:cs="宋体"/>
                              <w:b/>
                              <w:bCs/>
                            </w:rPr>
                            <w:fldChar w:fldCharType="begin"/>
                          </w:r>
                          <w:r>
                            <w:rPr>
                              <w:rFonts w:ascii="宋体" w:hAnsi="宋体" w:cs="宋体"/>
                              <w:b/>
                              <w:bCs/>
                            </w:rPr>
                            <w:instrText xml:space="preserve"> NUMPAGES  \* MERGEFORMAT </w:instrText>
                          </w:r>
                          <w:r>
                            <w:rPr>
                              <w:rFonts w:ascii="宋体" w:hAnsi="宋体" w:cs="宋体"/>
                              <w:b/>
                              <w:bCs/>
                            </w:rPr>
                            <w:fldChar w:fldCharType="separate"/>
                          </w:r>
                          <w:r>
                            <w:rPr>
                              <w:rFonts w:ascii="宋体" w:hAnsi="宋体" w:cs="宋体"/>
                              <w:b/>
                              <w:bCs/>
                            </w:rPr>
                            <w:t>61</w:t>
                          </w:r>
                          <w:r>
                            <w:rPr>
                              <w:rFonts w:ascii="宋体" w:hAnsi="宋体" w:cs="宋体"/>
                              <w:b/>
                              <w:bCs/>
                            </w:rPr>
                            <w:fldChar w:fldCharType="end"/>
                          </w:r>
                          <w:r>
                            <w:rPr>
                              <w:rFonts w:ascii="宋体" w:hAnsi="宋体" w:cs="宋体"/>
                              <w:b/>
                              <w:bCs/>
                            </w:rPr>
                            <w:t xml:space="preserve"> 页</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191.5pt;margin-top:-0.95pt;height:29pt;width:104.25pt;mso-position-horizontal-relative:margin;z-index:251659264;mso-width-relative:page;mso-height-relative:page;" filled="f" stroked="f" coordsize="21600,21600" o:gfxdata="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Brw/dkAAAAJAQAADwAAAAAAAAABACAAAAAiAAAAZHJzL2Rvd25y&#10;ZXYueG1sUEsBAhQAFAAAAAgAh07iQLoSEqr9AQAABAQAAA4AAAAAAAAAAQAgAAAAKAEAAGRycy9l&#10;Mm9Eb2MueG1sUEsFBgAAAAAGAAYAWQEAAJcFAAAAAA==&#10;">
              <v:fill on="f" focussize="0,0"/>
              <v:stroke on="f"/>
              <v:imagedata o:title=""/>
              <o:lock v:ext="edit" aspectratio="f"/>
              <v:textbox inset="0mm,0mm,0mm,0mm">
                <w:txbxContent>
                  <w:p w14:paraId="3E8F6737">
                    <w:pPr>
                      <w:pStyle w:val="26"/>
                      <w:ind w:firstLine="361"/>
                      <w:rPr>
                        <w:rFonts w:hint="eastAsia" w:ascii="宋体" w:hAnsi="宋体" w:cs="宋体"/>
                        <w:b/>
                        <w:bCs/>
                      </w:rPr>
                    </w:pPr>
                    <w:r>
                      <w:rPr>
                        <w:rFonts w:ascii="宋体" w:hAnsi="宋体" w:cs="宋体"/>
                        <w:b/>
                        <w:bCs/>
                      </w:rPr>
                      <w:t xml:space="preserve">第 </w:t>
                    </w:r>
                    <w:r>
                      <w:rPr>
                        <w:rFonts w:ascii="宋体" w:hAnsi="宋体" w:cs="宋体"/>
                        <w:b/>
                        <w:bCs/>
                      </w:rPr>
                      <w:fldChar w:fldCharType="begin"/>
                    </w:r>
                    <w:r>
                      <w:rPr>
                        <w:rFonts w:ascii="宋体" w:hAnsi="宋体" w:cs="宋体"/>
                        <w:b/>
                        <w:bCs/>
                      </w:rPr>
                      <w:instrText xml:space="preserve"> PAGE  \* MERGEFORMAT </w:instrText>
                    </w:r>
                    <w:r>
                      <w:rPr>
                        <w:rFonts w:ascii="宋体" w:hAnsi="宋体" w:cs="宋体"/>
                        <w:b/>
                        <w:bCs/>
                      </w:rPr>
                      <w:fldChar w:fldCharType="separate"/>
                    </w:r>
                    <w:r>
                      <w:rPr>
                        <w:rFonts w:ascii="宋体" w:hAnsi="宋体" w:cs="宋体"/>
                        <w:b/>
                        <w:bCs/>
                      </w:rPr>
                      <w:t>1</w:t>
                    </w:r>
                    <w:r>
                      <w:rPr>
                        <w:rFonts w:ascii="宋体" w:hAnsi="宋体" w:cs="宋体"/>
                        <w:b/>
                        <w:bCs/>
                      </w:rPr>
                      <w:fldChar w:fldCharType="end"/>
                    </w:r>
                    <w:r>
                      <w:rPr>
                        <w:rFonts w:ascii="宋体" w:hAnsi="宋体" w:cs="宋体"/>
                        <w:b/>
                        <w:bCs/>
                      </w:rPr>
                      <w:t xml:space="preserve"> 页 共 </w:t>
                    </w:r>
                    <w:r>
                      <w:rPr>
                        <w:rFonts w:ascii="宋体" w:hAnsi="宋体" w:cs="宋体"/>
                        <w:b/>
                        <w:bCs/>
                      </w:rPr>
                      <w:fldChar w:fldCharType="begin"/>
                    </w:r>
                    <w:r>
                      <w:rPr>
                        <w:rFonts w:ascii="宋体" w:hAnsi="宋体" w:cs="宋体"/>
                        <w:b/>
                        <w:bCs/>
                      </w:rPr>
                      <w:instrText xml:space="preserve"> NUMPAGES  \* MERGEFORMAT </w:instrText>
                    </w:r>
                    <w:r>
                      <w:rPr>
                        <w:rFonts w:ascii="宋体" w:hAnsi="宋体" w:cs="宋体"/>
                        <w:b/>
                        <w:bCs/>
                      </w:rPr>
                      <w:fldChar w:fldCharType="separate"/>
                    </w:r>
                    <w:r>
                      <w:rPr>
                        <w:rFonts w:ascii="宋体" w:hAnsi="宋体" w:cs="宋体"/>
                        <w:b/>
                        <w:bCs/>
                      </w:rPr>
                      <w:t>61</w:t>
                    </w:r>
                    <w:r>
                      <w:rPr>
                        <w:rFonts w:ascii="宋体" w:hAnsi="宋体" w:cs="宋体"/>
                        <w:b/>
                        <w:bCs/>
                      </w:rPr>
                      <w:fldChar w:fldCharType="end"/>
                    </w:r>
                    <w:r>
                      <w:rPr>
                        <w:rFonts w:ascii="宋体" w:hAnsi="宋体" w:cs="宋体"/>
                        <w:b/>
                        <w:bCs/>
                      </w:rPr>
                      <w:t xml:space="preserve"> 页</w:t>
                    </w:r>
                  </w:p>
                </w:txbxContent>
              </v:textbox>
            </v:shape>
          </w:pict>
        </mc:Fallback>
      </mc:AlternateContent>
    </w:r>
    <w:r>
      <w:rPr>
        <w:rFonts w:ascii="宋体" w:hAnsi="宋体"/>
        <w:b/>
        <w:bCs/>
        <w:i/>
        <w:iCs/>
        <w:color w:val="00B050"/>
      </w:rPr>
      <w:drawing>
        <wp:anchor distT="0" distB="0" distL="114300" distR="114300" simplePos="0" relativeHeight="251660288" behindDoc="1" locked="0" layoutInCell="1" allowOverlap="1">
          <wp:simplePos x="0" y="0"/>
          <wp:positionH relativeFrom="column">
            <wp:posOffset>34290</wp:posOffset>
          </wp:positionH>
          <wp:positionV relativeFrom="page">
            <wp:posOffset>9953625</wp:posOffset>
          </wp:positionV>
          <wp:extent cx="927735" cy="159385"/>
          <wp:effectExtent l="0" t="0" r="5715" b="12065"/>
          <wp:wrapTight wrapText="bothSides">
            <wp:wrapPolygon>
              <wp:start x="0" y="0"/>
              <wp:lineTo x="0" y="18674"/>
              <wp:lineTo x="21290" y="18674"/>
              <wp:lineTo x="21290" y="0"/>
              <wp:lineTo x="0" y="0"/>
            </wp:wrapPolygon>
          </wp:wrapTight>
          <wp:docPr id="3" name="图片 3"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0788654(1)"/>
                  <pic:cNvPicPr>
                    <a:picLocks noChangeAspect="1"/>
                  </pic:cNvPicPr>
                </pic:nvPicPr>
                <pic:blipFill>
                  <a:blip r:embed="rId1"/>
                  <a:stretch>
                    <a:fillRect/>
                  </a:stretch>
                </pic:blipFill>
                <pic:spPr>
                  <a:xfrm>
                    <a:off x="0" y="0"/>
                    <a:ext cx="927735" cy="1593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A0446">
    <w:pPr>
      <w:pStyle w:val="27"/>
      <w:pBdr>
        <w:bottom w:val="none" w:color="auto" w:sz="0" w:space="0"/>
      </w:pBdr>
      <w:ind w:firstLine="0" w:firstLineChars="0"/>
      <w:jc w:val="left"/>
    </w:pPr>
    <w:r>
      <w:rPr>
        <w:rFonts w:hint="eastAsia" w:ascii="宋体" w:hAnsi="宋体" w:cs="宋体"/>
        <w:sz w:val="15"/>
        <w:szCs w:val="15"/>
      </w:rPr>
      <w:t xml:space="preserve"> </w:t>
    </w:r>
    <w:r>
      <w:rPr>
        <w:rFonts w:hint="eastAsia" w:ascii="宋体" w:hAnsi="宋体" w:cs="宋体"/>
        <w:sz w:val="15"/>
        <w:szCs w:val="15"/>
        <w:lang w:val="zh-CN"/>
      </w:rPr>
      <w:t>龙游县人民医院代120指挥中心采购救护车项目</w:t>
    </w:r>
    <w:r>
      <w:rPr>
        <w:rFonts w:hint="eastAsia" w:ascii="宋体" w:hAnsi="宋体" w:cs="宋体"/>
        <w:sz w:val="15"/>
        <w:szCs w:val="15"/>
      </w:rPr>
      <w:t xml:space="preserve">的公开招标文件                                                         LYCG2025YX-003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309B8">
    <w:pPr>
      <w:pStyle w:val="27"/>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A9B8">
    <w:pPr>
      <w:pStyle w:val="27"/>
      <w:pBdr>
        <w:bottom w:val="none" w:color="auto" w:sz="0" w:space="1"/>
      </w:pBdr>
      <w:ind w:firstLine="0" w:firstLineChars="0"/>
      <w:jc w:val="left"/>
    </w:pPr>
    <w:r>
      <w:rPr>
        <w:rFonts w:hint="eastAsia" w:ascii="宋体" w:hAnsi="宋体" w:cs="宋体"/>
        <w:sz w:val="15"/>
        <w:szCs w:val="15"/>
        <w:lang w:val="zh-CN"/>
      </w:rPr>
      <w:t>龙游县人民医院代120指挥中心采购救护车项目</w:t>
    </w:r>
    <w:r>
      <w:rPr>
        <w:rFonts w:hint="eastAsia" w:ascii="宋体" w:hAnsi="宋体" w:cs="宋体"/>
        <w:sz w:val="15"/>
        <w:szCs w:val="15"/>
      </w:rPr>
      <w:t xml:space="preserve">的公开招标文件                                                          LYCG2025YX-003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8B6EA">
    <w:pPr>
      <w:pStyle w:val="27"/>
      <w:ind w:firstLine="36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FB708">
    <w:pPr>
      <w:pStyle w:val="27"/>
      <w:pBdr>
        <w:bottom w:val="none" w:color="auto" w:sz="0" w:space="1"/>
      </w:pBdr>
      <w:ind w:firstLine="0" w:firstLineChars="0"/>
      <w:jc w:val="left"/>
    </w:pPr>
    <w:r>
      <w:rPr>
        <w:rFonts w:hint="eastAsia" w:ascii="宋体" w:hAnsi="宋体" w:cs="宋体"/>
        <w:sz w:val="15"/>
        <w:szCs w:val="15"/>
        <w:lang w:val="zh-CN"/>
      </w:rPr>
      <w:t>龙游县人民医院代120指挥中心采购救护车项目</w:t>
    </w:r>
    <w:r>
      <w:rPr>
        <w:rFonts w:hint="eastAsia" w:ascii="宋体" w:hAnsi="宋体" w:cs="宋体"/>
        <w:sz w:val="15"/>
        <w:szCs w:val="15"/>
      </w:rPr>
      <w:t>的公开招标文件                              LYCG2025YX-003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EDCC4">
    <w:pPr>
      <w:pStyle w:val="27"/>
      <w:pBdr>
        <w:bottom w:val="none" w:color="auto" w:sz="0" w:space="1"/>
      </w:pBdr>
      <w:ind w:firstLine="0" w:firstLineChars="0"/>
      <w:jc w:val="left"/>
    </w:pPr>
    <w:r>
      <w:rPr>
        <w:rFonts w:hint="eastAsia" w:ascii="宋体" w:hAnsi="宋体" w:cs="宋体"/>
        <w:sz w:val="15"/>
        <w:szCs w:val="15"/>
      </w:rPr>
      <w:t>龙游县人民医院代120指挥中心采购救护车项目的公开招标文件</w:t>
    </w:r>
    <w:r>
      <w:rPr>
        <w:rFonts w:hint="eastAsia" w:ascii="宋体" w:hAnsi="宋体" w:cs="宋体"/>
        <w:color w:val="FF0000"/>
        <w:sz w:val="15"/>
        <w:szCs w:val="15"/>
      </w:rPr>
      <w:t xml:space="preserve">   </w:t>
    </w:r>
    <w:r>
      <w:rPr>
        <w:rFonts w:hint="eastAsia" w:ascii="宋体" w:hAnsi="宋体" w:cs="宋体"/>
        <w:sz w:val="15"/>
        <w:szCs w:val="15"/>
      </w:rPr>
      <w:t xml:space="preserve">                                                       LYCG2025YX-003 </w:t>
    </w:r>
    <w:r>
      <w:rPr>
        <w:rFonts w:hint="eastAsia"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7B630"/>
    <w:multiLevelType w:val="singleLevel"/>
    <w:tmpl w:val="8F57B630"/>
    <w:lvl w:ilvl="0" w:tentative="0">
      <w:start w:val="3"/>
      <w:numFmt w:val="chineseCounting"/>
      <w:suff w:val="nothing"/>
      <w:lvlText w:val="%1、"/>
      <w:lvlJc w:val="left"/>
      <w:rPr>
        <w:rFonts w:hint="eastAsia"/>
      </w:rPr>
    </w:lvl>
  </w:abstractNum>
  <w:abstractNum w:abstractNumId="1">
    <w:nsid w:val="942E8E9C"/>
    <w:multiLevelType w:val="singleLevel"/>
    <w:tmpl w:val="942E8E9C"/>
    <w:lvl w:ilvl="0" w:tentative="0">
      <w:start w:val="1"/>
      <w:numFmt w:val="decimal"/>
      <w:suff w:val="nothing"/>
      <w:lvlText w:val="%1．"/>
      <w:lvlJc w:val="left"/>
      <w:pPr>
        <w:ind w:left="83" w:firstLine="397"/>
      </w:pPr>
      <w:rPr>
        <w:rFonts w:hint="default" w:ascii="宋体" w:hAnsi="宋体" w:eastAsia="宋体" w:cs="宋体"/>
        <w:b/>
        <w:bCs/>
      </w:rPr>
    </w:lvl>
  </w:abstractNum>
  <w:abstractNum w:abstractNumId="2">
    <w:nsid w:val="AD2A8FEE"/>
    <w:multiLevelType w:val="singleLevel"/>
    <w:tmpl w:val="AD2A8FEE"/>
    <w:lvl w:ilvl="0" w:tentative="0">
      <w:start w:val="3"/>
      <w:numFmt w:val="chineseCounting"/>
      <w:suff w:val="space"/>
      <w:lvlText w:val="第%1章"/>
      <w:lvlJc w:val="left"/>
      <w:rPr>
        <w:rFonts w:hint="eastAsia"/>
      </w:rPr>
    </w:lvl>
  </w:abstractNum>
  <w:abstractNum w:abstractNumId="3">
    <w:nsid w:val="DB5FE334"/>
    <w:multiLevelType w:val="multilevel"/>
    <w:tmpl w:val="DB5FE334"/>
    <w:lvl w:ilvl="0" w:tentative="0">
      <w:start w:val="1"/>
      <w:numFmt w:val="chineseCounting"/>
      <w:pStyle w:val="2"/>
      <w:suff w:val="nothing"/>
      <w:lvlText w:val="第%1章 "/>
      <w:lvlJc w:val="left"/>
      <w:pPr>
        <w:ind w:left="0" w:hanging="432"/>
      </w:pPr>
      <w:rPr>
        <w:rFonts w:hint="eastAsia"/>
      </w:rPr>
    </w:lvl>
    <w:lvl w:ilvl="1" w:tentative="0">
      <w:start w:val="1"/>
      <w:numFmt w:val="decimal"/>
      <w:pStyle w:val="3"/>
      <w:isLgl/>
      <w:lvlText w:val="%1.%2."/>
      <w:lvlJc w:val="left"/>
      <w:pPr>
        <w:ind w:left="2078"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379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4">
    <w:nsid w:val="F3F29C65"/>
    <w:multiLevelType w:val="singleLevel"/>
    <w:tmpl w:val="F3F29C65"/>
    <w:lvl w:ilvl="0" w:tentative="0">
      <w:start w:val="1"/>
      <w:numFmt w:val="decimal"/>
      <w:lvlText w:val="%1."/>
      <w:lvlJc w:val="left"/>
      <w:pPr>
        <w:tabs>
          <w:tab w:val="left" w:pos="312"/>
        </w:tabs>
        <w:ind w:left="825" w:firstLine="0"/>
      </w:pPr>
    </w:lvl>
  </w:abstractNum>
  <w:abstractNum w:abstractNumId="5">
    <w:nsid w:val="00000003"/>
    <w:multiLevelType w:val="multilevel"/>
    <w:tmpl w:val="00000003"/>
    <w:lvl w:ilvl="0" w:tentative="0">
      <w:start w:val="1"/>
      <w:numFmt w:val="decimal"/>
      <w:suff w:val="nothing"/>
      <w:lvlText w:val="%1."/>
      <w:lvlJc w:val="left"/>
      <w:pPr>
        <w:tabs>
          <w:tab w:val="left" w:pos="0"/>
        </w:tabs>
        <w:ind w:left="425" w:hanging="425"/>
      </w:pPr>
      <w:rPr>
        <w:rFonts w:hint="default" w:ascii="宋体" w:hAnsi="宋体" w:eastAsia="宋体" w:cs="宋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6">
    <w:nsid w:val="0000001C"/>
    <w:multiLevelType w:val="multilevel"/>
    <w:tmpl w:val="0000001C"/>
    <w:lvl w:ilvl="0" w:tentative="0">
      <w:start w:val="1"/>
      <w:numFmt w:val="decimal"/>
      <w:pStyle w:val="126"/>
      <w:lvlText w:val="(%1)"/>
      <w:lvlJc w:val="left"/>
      <w:pPr>
        <w:tabs>
          <w:tab w:val="left" w:pos="750"/>
        </w:tabs>
        <w:ind w:left="750" w:hanging="270"/>
      </w:pPr>
      <w:rPr>
        <w:rFonts w:hint="default" w:ascii="宋体" w:hAnsi="宋体" w:eastAsia="宋体" w:cs="宋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7">
    <w:nsid w:val="006B0AF9"/>
    <w:multiLevelType w:val="multilevel"/>
    <w:tmpl w:val="006B0AF9"/>
    <w:lvl w:ilvl="0" w:tentative="0">
      <w:start w:val="1"/>
      <w:numFmt w:val="decimal"/>
      <w:suff w:val="nothing"/>
      <w:lvlText w:val="%1."/>
      <w:lvlJc w:val="left"/>
      <w:pPr>
        <w:tabs>
          <w:tab w:val="left" w:pos="0"/>
        </w:tabs>
        <w:ind w:left="0" w:hanging="425"/>
      </w:pPr>
      <w:rPr>
        <w:rFonts w:hint="default" w:ascii="宋体" w:hAnsi="宋体" w:eastAsia="宋体" w:cs="宋体"/>
      </w:rPr>
    </w:lvl>
    <w:lvl w:ilvl="1" w:tentative="0">
      <w:start w:val="1"/>
      <w:numFmt w:val="decimal"/>
      <w:suff w:val="nothing"/>
      <w:lvlText w:val="%1.%2."/>
      <w:lvlJc w:val="left"/>
      <w:pPr>
        <w:tabs>
          <w:tab w:val="left" w:pos="420"/>
        </w:tabs>
        <w:ind w:left="142" w:hanging="567"/>
      </w:pPr>
      <w:rPr>
        <w:rFonts w:hint="default" w:ascii="黑体" w:hAnsi="黑体" w:eastAsia="黑体" w:cs="黑体"/>
      </w:rPr>
    </w:lvl>
    <w:lvl w:ilvl="2" w:tentative="0">
      <w:start w:val="1"/>
      <w:numFmt w:val="decimal"/>
      <w:suff w:val="nothing"/>
      <w:lvlText w:val="%1.%2.%3."/>
      <w:lvlJc w:val="left"/>
      <w:pPr>
        <w:tabs>
          <w:tab w:val="left" w:pos="420"/>
        </w:tabs>
        <w:ind w:left="284" w:hanging="709"/>
      </w:pPr>
      <w:rPr>
        <w:rFonts w:hint="default" w:ascii="黑体" w:hAnsi="黑体" w:eastAsia="黑体" w:cs="黑体"/>
      </w:rPr>
    </w:lvl>
    <w:lvl w:ilvl="3" w:tentative="0">
      <w:start w:val="1"/>
      <w:numFmt w:val="decimal"/>
      <w:lvlText w:val="%1.%2.%3.%4."/>
      <w:lvlJc w:val="left"/>
      <w:pPr>
        <w:tabs>
          <w:tab w:val="left" w:pos="0"/>
        </w:tabs>
        <w:ind w:left="425" w:hanging="850"/>
      </w:pPr>
      <w:rPr>
        <w:rFonts w:hint="default"/>
      </w:rPr>
    </w:lvl>
    <w:lvl w:ilvl="4" w:tentative="0">
      <w:start w:val="1"/>
      <w:numFmt w:val="decimal"/>
      <w:lvlText w:val="%1.%2.%3.%4.%5."/>
      <w:lvlJc w:val="left"/>
      <w:pPr>
        <w:tabs>
          <w:tab w:val="left" w:pos="0"/>
        </w:tabs>
        <w:ind w:left="566" w:hanging="991"/>
      </w:pPr>
      <w:rPr>
        <w:rFonts w:hint="default"/>
      </w:rPr>
    </w:lvl>
    <w:lvl w:ilvl="5" w:tentative="0">
      <w:start w:val="1"/>
      <w:numFmt w:val="decimal"/>
      <w:lvlText w:val="%1.%2.%3.%4.%5.%6."/>
      <w:lvlJc w:val="left"/>
      <w:pPr>
        <w:tabs>
          <w:tab w:val="left" w:pos="0"/>
        </w:tabs>
        <w:ind w:left="709" w:hanging="1134"/>
      </w:pPr>
      <w:rPr>
        <w:rFonts w:hint="default"/>
      </w:rPr>
    </w:lvl>
    <w:lvl w:ilvl="6" w:tentative="0">
      <w:start w:val="1"/>
      <w:numFmt w:val="decimal"/>
      <w:lvlText w:val="%1.%2.%3.%4.%5.%6.%7."/>
      <w:lvlJc w:val="left"/>
      <w:pPr>
        <w:tabs>
          <w:tab w:val="left" w:pos="0"/>
        </w:tabs>
        <w:ind w:left="850" w:hanging="1275"/>
      </w:pPr>
      <w:rPr>
        <w:rFonts w:hint="default"/>
      </w:rPr>
    </w:lvl>
    <w:lvl w:ilvl="7" w:tentative="0">
      <w:start w:val="1"/>
      <w:numFmt w:val="decimal"/>
      <w:lvlText w:val="%1.%2.%3.%4.%5.%6.%7.%8."/>
      <w:lvlJc w:val="left"/>
      <w:pPr>
        <w:tabs>
          <w:tab w:val="left" w:pos="0"/>
        </w:tabs>
        <w:ind w:left="993" w:hanging="1418"/>
      </w:pPr>
      <w:rPr>
        <w:rFonts w:hint="default"/>
      </w:rPr>
    </w:lvl>
    <w:lvl w:ilvl="8" w:tentative="0">
      <w:start w:val="1"/>
      <w:numFmt w:val="decimal"/>
      <w:lvlText w:val="%1.%2.%3.%4.%5.%6.%7.%8.%9."/>
      <w:lvlJc w:val="left"/>
      <w:pPr>
        <w:tabs>
          <w:tab w:val="left" w:pos="0"/>
        </w:tabs>
        <w:ind w:left="1133" w:hanging="1558"/>
      </w:pPr>
      <w:rPr>
        <w:rFonts w:hint="default"/>
      </w:rPr>
    </w:lvl>
  </w:abstractNum>
  <w:abstractNum w:abstractNumId="8">
    <w:nsid w:val="47F53821"/>
    <w:multiLevelType w:val="multilevel"/>
    <w:tmpl w:val="47F53821"/>
    <w:lvl w:ilvl="0" w:tentative="0">
      <w:start w:val="3"/>
      <w:numFmt w:val="chineseCountingThousand"/>
      <w:suff w:val="space"/>
      <w:lvlText w:val="%1"/>
      <w:lvlJc w:val="left"/>
      <w:pPr>
        <w:tabs>
          <w:tab w:val="left" w:pos="0"/>
        </w:tabs>
        <w:ind w:left="425" w:firstLine="142"/>
      </w:pPr>
      <w:rPr>
        <w:rFonts w:hint="eastAsia" w:cs="Times New Roman"/>
      </w:rPr>
    </w:lvl>
    <w:lvl w:ilvl="1" w:tentative="0">
      <w:start w:val="9"/>
      <w:numFmt w:val="decimal"/>
      <w:suff w:val="space"/>
      <w:lvlText w:val="%2."/>
      <w:lvlJc w:val="left"/>
      <w:pPr>
        <w:tabs>
          <w:tab w:val="left" w:pos="0"/>
        </w:tabs>
        <w:ind w:left="0" w:firstLine="567"/>
      </w:pPr>
      <w:rPr>
        <w:rFonts w:hint="eastAsia" w:cs="Times New Roman"/>
        <w:b w:val="0"/>
        <w:i w:val="0"/>
      </w:rPr>
    </w:lvl>
    <w:lvl w:ilvl="2" w:tentative="0">
      <w:start w:val="1"/>
      <w:numFmt w:val="decimal"/>
      <w:suff w:val="nothing"/>
      <w:lvlText w:val="%2.%3"/>
      <w:lvlJc w:val="left"/>
      <w:pPr>
        <w:tabs>
          <w:tab w:val="left" w:pos="0"/>
        </w:tabs>
        <w:ind w:left="0" w:firstLine="567"/>
      </w:pPr>
      <w:rPr>
        <w:rFonts w:hint="eastAsia" w:cs="Times New Roman"/>
      </w:rPr>
    </w:lvl>
    <w:lvl w:ilvl="3" w:tentative="0">
      <w:start w:val="1"/>
      <w:numFmt w:val="decimal"/>
      <w:suff w:val="nothing"/>
      <w:lvlText w:val="%2.%3.%4"/>
      <w:lvlJc w:val="left"/>
      <w:pPr>
        <w:tabs>
          <w:tab w:val="left" w:pos="0"/>
        </w:tabs>
        <w:ind w:left="63"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9">
    <w:nsid w:val="594B9240"/>
    <w:multiLevelType w:val="singleLevel"/>
    <w:tmpl w:val="594B9240"/>
    <w:lvl w:ilvl="0" w:tentative="0">
      <w:start w:val="1"/>
      <w:numFmt w:val="decimal"/>
      <w:suff w:val="nothing"/>
      <w:lvlText w:val="(%1)"/>
      <w:lvlJc w:val="left"/>
      <w:pPr>
        <w:tabs>
          <w:tab w:val="left" w:pos="397"/>
        </w:tabs>
        <w:ind w:left="454" w:hanging="454"/>
      </w:pPr>
      <w:rPr>
        <w:rFonts w:hint="default" w:ascii="黑体" w:hAnsi="黑体" w:eastAsia="黑体" w:cs="黑体"/>
      </w:rPr>
    </w:lvl>
  </w:abstractNum>
  <w:num w:numId="1">
    <w:abstractNumId w:val="3"/>
  </w:num>
  <w:num w:numId="2">
    <w:abstractNumId w:val="6"/>
  </w:num>
  <w:num w:numId="3">
    <w:abstractNumId w:val="4"/>
  </w:num>
  <w:num w:numId="4">
    <w:abstractNumId w:val="1"/>
  </w:num>
  <w:num w:numId="5">
    <w:abstractNumId w:val="8"/>
  </w:num>
  <w:num w:numId="6">
    <w:abstractNumId w:val="9"/>
  </w:num>
  <w:num w:numId="7">
    <w:abstractNumId w:val="2"/>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hZDBhZDQ5ZWM5NWUzMTM3YzBlMGYyYzM4ZDhlOTYifQ=="/>
  </w:docVars>
  <w:rsids>
    <w:rsidRoot w:val="00172A27"/>
    <w:rsid w:val="00001B86"/>
    <w:rsid w:val="0001574A"/>
    <w:rsid w:val="00030CA1"/>
    <w:rsid w:val="000677E8"/>
    <w:rsid w:val="000720FD"/>
    <w:rsid w:val="00075658"/>
    <w:rsid w:val="00087E9B"/>
    <w:rsid w:val="000919D5"/>
    <w:rsid w:val="00095BB3"/>
    <w:rsid w:val="000B12C4"/>
    <w:rsid w:val="000B4D49"/>
    <w:rsid w:val="000C1FF9"/>
    <w:rsid w:val="000E6CB8"/>
    <w:rsid w:val="000F4724"/>
    <w:rsid w:val="000F6652"/>
    <w:rsid w:val="00110020"/>
    <w:rsid w:val="001135EF"/>
    <w:rsid w:val="00131DED"/>
    <w:rsid w:val="00134482"/>
    <w:rsid w:val="0014486E"/>
    <w:rsid w:val="00160C00"/>
    <w:rsid w:val="00166B83"/>
    <w:rsid w:val="00172A27"/>
    <w:rsid w:val="00174D1F"/>
    <w:rsid w:val="001825B1"/>
    <w:rsid w:val="001B43B8"/>
    <w:rsid w:val="001B669C"/>
    <w:rsid w:val="001D2A2C"/>
    <w:rsid w:val="001D3AC9"/>
    <w:rsid w:val="001E3818"/>
    <w:rsid w:val="0023244A"/>
    <w:rsid w:val="00250784"/>
    <w:rsid w:val="00251B20"/>
    <w:rsid w:val="00264E69"/>
    <w:rsid w:val="00280EB2"/>
    <w:rsid w:val="00291118"/>
    <w:rsid w:val="002B5669"/>
    <w:rsid w:val="002C2150"/>
    <w:rsid w:val="002C296C"/>
    <w:rsid w:val="002C6DBF"/>
    <w:rsid w:val="002D0CD7"/>
    <w:rsid w:val="002D0E14"/>
    <w:rsid w:val="003206DB"/>
    <w:rsid w:val="00321511"/>
    <w:rsid w:val="0034086A"/>
    <w:rsid w:val="003532FE"/>
    <w:rsid w:val="00356D83"/>
    <w:rsid w:val="0036392B"/>
    <w:rsid w:val="003661AC"/>
    <w:rsid w:val="00372743"/>
    <w:rsid w:val="00377076"/>
    <w:rsid w:val="00393AC1"/>
    <w:rsid w:val="003A1C52"/>
    <w:rsid w:val="003D28DF"/>
    <w:rsid w:val="003E3AC5"/>
    <w:rsid w:val="003F163D"/>
    <w:rsid w:val="003F28D5"/>
    <w:rsid w:val="004256CC"/>
    <w:rsid w:val="00442E9B"/>
    <w:rsid w:val="00456C36"/>
    <w:rsid w:val="00464A79"/>
    <w:rsid w:val="004827F1"/>
    <w:rsid w:val="004A6B6E"/>
    <w:rsid w:val="004B29DF"/>
    <w:rsid w:val="004C0A9D"/>
    <w:rsid w:val="004C1068"/>
    <w:rsid w:val="004D68B1"/>
    <w:rsid w:val="004D6CFA"/>
    <w:rsid w:val="004E2821"/>
    <w:rsid w:val="0050444F"/>
    <w:rsid w:val="005067AA"/>
    <w:rsid w:val="00530FC5"/>
    <w:rsid w:val="005346EE"/>
    <w:rsid w:val="00570865"/>
    <w:rsid w:val="00585E51"/>
    <w:rsid w:val="005A5587"/>
    <w:rsid w:val="005A66C9"/>
    <w:rsid w:val="005D65F3"/>
    <w:rsid w:val="006257EE"/>
    <w:rsid w:val="00637F97"/>
    <w:rsid w:val="00641561"/>
    <w:rsid w:val="00656C7F"/>
    <w:rsid w:val="00681239"/>
    <w:rsid w:val="00682233"/>
    <w:rsid w:val="00687FD5"/>
    <w:rsid w:val="00691733"/>
    <w:rsid w:val="00695207"/>
    <w:rsid w:val="006D0E96"/>
    <w:rsid w:val="006D2E0A"/>
    <w:rsid w:val="006D5C1D"/>
    <w:rsid w:val="006F1760"/>
    <w:rsid w:val="006F7D98"/>
    <w:rsid w:val="00712D43"/>
    <w:rsid w:val="007170A5"/>
    <w:rsid w:val="00720531"/>
    <w:rsid w:val="007271D6"/>
    <w:rsid w:val="00732090"/>
    <w:rsid w:val="00741652"/>
    <w:rsid w:val="00741A6D"/>
    <w:rsid w:val="00745A51"/>
    <w:rsid w:val="00771A04"/>
    <w:rsid w:val="00794D0F"/>
    <w:rsid w:val="007A3406"/>
    <w:rsid w:val="007A53BE"/>
    <w:rsid w:val="007A7EC2"/>
    <w:rsid w:val="007B5D5A"/>
    <w:rsid w:val="007B6021"/>
    <w:rsid w:val="007D6C87"/>
    <w:rsid w:val="007E7C77"/>
    <w:rsid w:val="0081086A"/>
    <w:rsid w:val="00826550"/>
    <w:rsid w:val="00826647"/>
    <w:rsid w:val="008332A0"/>
    <w:rsid w:val="008A56F1"/>
    <w:rsid w:val="008A7D2D"/>
    <w:rsid w:val="008B1210"/>
    <w:rsid w:val="008F1686"/>
    <w:rsid w:val="00911744"/>
    <w:rsid w:val="00917F96"/>
    <w:rsid w:val="009301A9"/>
    <w:rsid w:val="00951D06"/>
    <w:rsid w:val="0095235D"/>
    <w:rsid w:val="00954876"/>
    <w:rsid w:val="00960603"/>
    <w:rsid w:val="00961809"/>
    <w:rsid w:val="009722FA"/>
    <w:rsid w:val="0099154C"/>
    <w:rsid w:val="009E7C52"/>
    <w:rsid w:val="009F1C84"/>
    <w:rsid w:val="00A04C1C"/>
    <w:rsid w:val="00A076A2"/>
    <w:rsid w:val="00A17AD8"/>
    <w:rsid w:val="00A37ED3"/>
    <w:rsid w:val="00A51BEB"/>
    <w:rsid w:val="00A73D7D"/>
    <w:rsid w:val="00A9539D"/>
    <w:rsid w:val="00AD217A"/>
    <w:rsid w:val="00AE043D"/>
    <w:rsid w:val="00B23941"/>
    <w:rsid w:val="00B25D5D"/>
    <w:rsid w:val="00B34E87"/>
    <w:rsid w:val="00B41252"/>
    <w:rsid w:val="00B451B3"/>
    <w:rsid w:val="00B61F45"/>
    <w:rsid w:val="00B9055E"/>
    <w:rsid w:val="00BA4C66"/>
    <w:rsid w:val="00C05CBB"/>
    <w:rsid w:val="00C25FE8"/>
    <w:rsid w:val="00C324D2"/>
    <w:rsid w:val="00C358F9"/>
    <w:rsid w:val="00C41BE3"/>
    <w:rsid w:val="00C5771C"/>
    <w:rsid w:val="00C65E39"/>
    <w:rsid w:val="00C77BA6"/>
    <w:rsid w:val="00C85511"/>
    <w:rsid w:val="00C95363"/>
    <w:rsid w:val="00D047D9"/>
    <w:rsid w:val="00D21566"/>
    <w:rsid w:val="00D27920"/>
    <w:rsid w:val="00D4030B"/>
    <w:rsid w:val="00D46B8D"/>
    <w:rsid w:val="00D553F0"/>
    <w:rsid w:val="00D735A6"/>
    <w:rsid w:val="00D82BEA"/>
    <w:rsid w:val="00DB32A1"/>
    <w:rsid w:val="00DC6BD3"/>
    <w:rsid w:val="00DD51F1"/>
    <w:rsid w:val="00DD5630"/>
    <w:rsid w:val="00DE3A1B"/>
    <w:rsid w:val="00DE7CE0"/>
    <w:rsid w:val="00DF0E7E"/>
    <w:rsid w:val="00DF4EE0"/>
    <w:rsid w:val="00E03919"/>
    <w:rsid w:val="00E12664"/>
    <w:rsid w:val="00E14CA4"/>
    <w:rsid w:val="00E27EAD"/>
    <w:rsid w:val="00E367D5"/>
    <w:rsid w:val="00E57A29"/>
    <w:rsid w:val="00E6702C"/>
    <w:rsid w:val="00E76D46"/>
    <w:rsid w:val="00E80E0C"/>
    <w:rsid w:val="00E92EA4"/>
    <w:rsid w:val="00EA263A"/>
    <w:rsid w:val="00EA78D6"/>
    <w:rsid w:val="00EB51E8"/>
    <w:rsid w:val="00ED68A7"/>
    <w:rsid w:val="00F05400"/>
    <w:rsid w:val="00F07B13"/>
    <w:rsid w:val="00F148F7"/>
    <w:rsid w:val="00F166FD"/>
    <w:rsid w:val="00F453C0"/>
    <w:rsid w:val="00F46DAC"/>
    <w:rsid w:val="00F8095F"/>
    <w:rsid w:val="00F85681"/>
    <w:rsid w:val="00F96F51"/>
    <w:rsid w:val="00F9798D"/>
    <w:rsid w:val="00FA7BB3"/>
    <w:rsid w:val="00FB3CEF"/>
    <w:rsid w:val="00FC6550"/>
    <w:rsid w:val="00FE4E96"/>
    <w:rsid w:val="01023BF0"/>
    <w:rsid w:val="0103164E"/>
    <w:rsid w:val="010333FC"/>
    <w:rsid w:val="010541E0"/>
    <w:rsid w:val="010B405F"/>
    <w:rsid w:val="01141165"/>
    <w:rsid w:val="011E7A06"/>
    <w:rsid w:val="012045F7"/>
    <w:rsid w:val="0134060D"/>
    <w:rsid w:val="0136616B"/>
    <w:rsid w:val="01457570"/>
    <w:rsid w:val="0150385C"/>
    <w:rsid w:val="015B4FE6"/>
    <w:rsid w:val="015D0C80"/>
    <w:rsid w:val="01610122"/>
    <w:rsid w:val="0167398B"/>
    <w:rsid w:val="016D4D19"/>
    <w:rsid w:val="01706634"/>
    <w:rsid w:val="01757B4B"/>
    <w:rsid w:val="017C5404"/>
    <w:rsid w:val="018620BC"/>
    <w:rsid w:val="018857CB"/>
    <w:rsid w:val="018D431C"/>
    <w:rsid w:val="01906A31"/>
    <w:rsid w:val="019329D2"/>
    <w:rsid w:val="019C2519"/>
    <w:rsid w:val="01A25893"/>
    <w:rsid w:val="01A802A3"/>
    <w:rsid w:val="01AD47CF"/>
    <w:rsid w:val="01B11310"/>
    <w:rsid w:val="01C15056"/>
    <w:rsid w:val="01C2347D"/>
    <w:rsid w:val="01CD7566"/>
    <w:rsid w:val="01CF32DE"/>
    <w:rsid w:val="01D42A2B"/>
    <w:rsid w:val="01E176EE"/>
    <w:rsid w:val="01E42F86"/>
    <w:rsid w:val="01E72785"/>
    <w:rsid w:val="01E84AF7"/>
    <w:rsid w:val="01ED1932"/>
    <w:rsid w:val="01F176F8"/>
    <w:rsid w:val="020B3367"/>
    <w:rsid w:val="021A0D6B"/>
    <w:rsid w:val="021C6A93"/>
    <w:rsid w:val="02300221"/>
    <w:rsid w:val="0234526F"/>
    <w:rsid w:val="023702FD"/>
    <w:rsid w:val="02385327"/>
    <w:rsid w:val="023D73FF"/>
    <w:rsid w:val="023F2212"/>
    <w:rsid w:val="02447828"/>
    <w:rsid w:val="024C71F6"/>
    <w:rsid w:val="024D47DA"/>
    <w:rsid w:val="025A0DEA"/>
    <w:rsid w:val="02632EF4"/>
    <w:rsid w:val="02923524"/>
    <w:rsid w:val="02987B74"/>
    <w:rsid w:val="0299656C"/>
    <w:rsid w:val="02A05AD0"/>
    <w:rsid w:val="02A4249C"/>
    <w:rsid w:val="02A93B2F"/>
    <w:rsid w:val="02B96C5E"/>
    <w:rsid w:val="02C754CF"/>
    <w:rsid w:val="02CD3CC1"/>
    <w:rsid w:val="02CE3596"/>
    <w:rsid w:val="02D07463"/>
    <w:rsid w:val="02D22B2F"/>
    <w:rsid w:val="02E96323"/>
    <w:rsid w:val="02EC044F"/>
    <w:rsid w:val="02EC3DA4"/>
    <w:rsid w:val="02FC6355"/>
    <w:rsid w:val="030F59F5"/>
    <w:rsid w:val="0311594C"/>
    <w:rsid w:val="03192AFC"/>
    <w:rsid w:val="03282B7E"/>
    <w:rsid w:val="03284B8C"/>
    <w:rsid w:val="032B0C60"/>
    <w:rsid w:val="0333397C"/>
    <w:rsid w:val="0339068B"/>
    <w:rsid w:val="034026E5"/>
    <w:rsid w:val="03430000"/>
    <w:rsid w:val="0353648E"/>
    <w:rsid w:val="03563CB7"/>
    <w:rsid w:val="035B4572"/>
    <w:rsid w:val="035C5C24"/>
    <w:rsid w:val="03676838"/>
    <w:rsid w:val="036D12B2"/>
    <w:rsid w:val="03906A9D"/>
    <w:rsid w:val="0394658D"/>
    <w:rsid w:val="039676A9"/>
    <w:rsid w:val="039B54A3"/>
    <w:rsid w:val="03A03184"/>
    <w:rsid w:val="03A42052"/>
    <w:rsid w:val="03A61BE5"/>
    <w:rsid w:val="03AD764F"/>
    <w:rsid w:val="03B33B11"/>
    <w:rsid w:val="03BB0082"/>
    <w:rsid w:val="03BF5757"/>
    <w:rsid w:val="03C20113"/>
    <w:rsid w:val="03CB00BA"/>
    <w:rsid w:val="03CE7CF1"/>
    <w:rsid w:val="03D35307"/>
    <w:rsid w:val="03EC0177"/>
    <w:rsid w:val="03F1578E"/>
    <w:rsid w:val="03F735B2"/>
    <w:rsid w:val="03FC232D"/>
    <w:rsid w:val="04164480"/>
    <w:rsid w:val="042518DB"/>
    <w:rsid w:val="043D484D"/>
    <w:rsid w:val="043D4E77"/>
    <w:rsid w:val="044127E2"/>
    <w:rsid w:val="045A77D7"/>
    <w:rsid w:val="045D7CA1"/>
    <w:rsid w:val="045F303F"/>
    <w:rsid w:val="04901171"/>
    <w:rsid w:val="04936A23"/>
    <w:rsid w:val="049B4192"/>
    <w:rsid w:val="049D08B8"/>
    <w:rsid w:val="049F168E"/>
    <w:rsid w:val="04A143E4"/>
    <w:rsid w:val="04A276AB"/>
    <w:rsid w:val="04AA470E"/>
    <w:rsid w:val="04B41B16"/>
    <w:rsid w:val="04B47F34"/>
    <w:rsid w:val="04B72CCE"/>
    <w:rsid w:val="04C9495C"/>
    <w:rsid w:val="04DA4474"/>
    <w:rsid w:val="04E15802"/>
    <w:rsid w:val="04E90B5B"/>
    <w:rsid w:val="04F05A45"/>
    <w:rsid w:val="04F90435"/>
    <w:rsid w:val="04FD7C2A"/>
    <w:rsid w:val="05080FE1"/>
    <w:rsid w:val="05112449"/>
    <w:rsid w:val="051712DA"/>
    <w:rsid w:val="051C1E78"/>
    <w:rsid w:val="051D78E1"/>
    <w:rsid w:val="05227E98"/>
    <w:rsid w:val="052C3B6E"/>
    <w:rsid w:val="052E77A1"/>
    <w:rsid w:val="053172CC"/>
    <w:rsid w:val="053D133D"/>
    <w:rsid w:val="053E1C91"/>
    <w:rsid w:val="05441FF6"/>
    <w:rsid w:val="05492F7F"/>
    <w:rsid w:val="05540C99"/>
    <w:rsid w:val="055A55B4"/>
    <w:rsid w:val="055B3C3D"/>
    <w:rsid w:val="055C36E7"/>
    <w:rsid w:val="056C0D1F"/>
    <w:rsid w:val="057234FD"/>
    <w:rsid w:val="057A17B3"/>
    <w:rsid w:val="057A4A8F"/>
    <w:rsid w:val="05827F45"/>
    <w:rsid w:val="058A5E99"/>
    <w:rsid w:val="058E5FA2"/>
    <w:rsid w:val="059648AF"/>
    <w:rsid w:val="0599432F"/>
    <w:rsid w:val="059B3313"/>
    <w:rsid w:val="059E28D3"/>
    <w:rsid w:val="05A01370"/>
    <w:rsid w:val="05A44B94"/>
    <w:rsid w:val="05AD1B88"/>
    <w:rsid w:val="05AE18D3"/>
    <w:rsid w:val="05B147D4"/>
    <w:rsid w:val="05B72A07"/>
    <w:rsid w:val="05BC7ADE"/>
    <w:rsid w:val="05BF2D2D"/>
    <w:rsid w:val="05C8457A"/>
    <w:rsid w:val="05D52B2A"/>
    <w:rsid w:val="05E34DA7"/>
    <w:rsid w:val="05E41A4E"/>
    <w:rsid w:val="05E530D0"/>
    <w:rsid w:val="05E77162"/>
    <w:rsid w:val="05F4123A"/>
    <w:rsid w:val="05F41565"/>
    <w:rsid w:val="05F9301F"/>
    <w:rsid w:val="06094F71"/>
    <w:rsid w:val="061609DC"/>
    <w:rsid w:val="061F6226"/>
    <w:rsid w:val="061F6FD3"/>
    <w:rsid w:val="06222576"/>
    <w:rsid w:val="062430A3"/>
    <w:rsid w:val="06270B33"/>
    <w:rsid w:val="062E2CC9"/>
    <w:rsid w:val="06541E3A"/>
    <w:rsid w:val="06603A00"/>
    <w:rsid w:val="0661460E"/>
    <w:rsid w:val="06614E5B"/>
    <w:rsid w:val="066849C1"/>
    <w:rsid w:val="06690716"/>
    <w:rsid w:val="06731BEF"/>
    <w:rsid w:val="06782196"/>
    <w:rsid w:val="067B6D2E"/>
    <w:rsid w:val="06815AFC"/>
    <w:rsid w:val="068663E4"/>
    <w:rsid w:val="068D7C64"/>
    <w:rsid w:val="06952D48"/>
    <w:rsid w:val="069B03E5"/>
    <w:rsid w:val="06A7132C"/>
    <w:rsid w:val="06B31420"/>
    <w:rsid w:val="06B50CF4"/>
    <w:rsid w:val="06BA470B"/>
    <w:rsid w:val="06BD5D71"/>
    <w:rsid w:val="06C07699"/>
    <w:rsid w:val="06D8039E"/>
    <w:rsid w:val="06DB2355"/>
    <w:rsid w:val="06F400A7"/>
    <w:rsid w:val="06F7212D"/>
    <w:rsid w:val="06F86E33"/>
    <w:rsid w:val="06FF4174"/>
    <w:rsid w:val="07093827"/>
    <w:rsid w:val="071C0D73"/>
    <w:rsid w:val="073F2733"/>
    <w:rsid w:val="074104B4"/>
    <w:rsid w:val="074602F4"/>
    <w:rsid w:val="074B4CEF"/>
    <w:rsid w:val="074C6649"/>
    <w:rsid w:val="074F1149"/>
    <w:rsid w:val="07511973"/>
    <w:rsid w:val="075168E0"/>
    <w:rsid w:val="075F5104"/>
    <w:rsid w:val="076A5F83"/>
    <w:rsid w:val="07741E75"/>
    <w:rsid w:val="07794418"/>
    <w:rsid w:val="078608BC"/>
    <w:rsid w:val="078C71BF"/>
    <w:rsid w:val="0797489E"/>
    <w:rsid w:val="07993F2A"/>
    <w:rsid w:val="07A95C73"/>
    <w:rsid w:val="07AB7DE9"/>
    <w:rsid w:val="07B214E9"/>
    <w:rsid w:val="07B60678"/>
    <w:rsid w:val="07C5140B"/>
    <w:rsid w:val="07CF2B0E"/>
    <w:rsid w:val="07DA303C"/>
    <w:rsid w:val="07DE69F8"/>
    <w:rsid w:val="07E775D3"/>
    <w:rsid w:val="07F24573"/>
    <w:rsid w:val="07F7358F"/>
    <w:rsid w:val="07F8458B"/>
    <w:rsid w:val="07FB3286"/>
    <w:rsid w:val="08075E2A"/>
    <w:rsid w:val="080C1275"/>
    <w:rsid w:val="080D6D7E"/>
    <w:rsid w:val="080F2EBC"/>
    <w:rsid w:val="080F30D9"/>
    <w:rsid w:val="08275C22"/>
    <w:rsid w:val="08306989"/>
    <w:rsid w:val="083A2D5C"/>
    <w:rsid w:val="083E54A1"/>
    <w:rsid w:val="08406CE4"/>
    <w:rsid w:val="084B2667"/>
    <w:rsid w:val="08512AD9"/>
    <w:rsid w:val="08560F6B"/>
    <w:rsid w:val="08564759"/>
    <w:rsid w:val="0863080D"/>
    <w:rsid w:val="08722947"/>
    <w:rsid w:val="0878647D"/>
    <w:rsid w:val="08812363"/>
    <w:rsid w:val="088C71AD"/>
    <w:rsid w:val="089474E5"/>
    <w:rsid w:val="08A2174C"/>
    <w:rsid w:val="08AC4379"/>
    <w:rsid w:val="08AF79C5"/>
    <w:rsid w:val="08BA6A96"/>
    <w:rsid w:val="08C37475"/>
    <w:rsid w:val="08CC463A"/>
    <w:rsid w:val="08D06CD2"/>
    <w:rsid w:val="08DD09D6"/>
    <w:rsid w:val="08DD4532"/>
    <w:rsid w:val="08EA14B6"/>
    <w:rsid w:val="08EB1612"/>
    <w:rsid w:val="08EE3262"/>
    <w:rsid w:val="08EF5980"/>
    <w:rsid w:val="08F20C25"/>
    <w:rsid w:val="090D60CD"/>
    <w:rsid w:val="09154475"/>
    <w:rsid w:val="091F0D16"/>
    <w:rsid w:val="09377229"/>
    <w:rsid w:val="093D0405"/>
    <w:rsid w:val="09455276"/>
    <w:rsid w:val="09497839"/>
    <w:rsid w:val="09540C99"/>
    <w:rsid w:val="09722120"/>
    <w:rsid w:val="09727BA4"/>
    <w:rsid w:val="097C3D4B"/>
    <w:rsid w:val="098D7D07"/>
    <w:rsid w:val="09931921"/>
    <w:rsid w:val="0994504E"/>
    <w:rsid w:val="09951BEF"/>
    <w:rsid w:val="09AF5771"/>
    <w:rsid w:val="09C33728"/>
    <w:rsid w:val="09C46E19"/>
    <w:rsid w:val="09CC2D1E"/>
    <w:rsid w:val="09D46050"/>
    <w:rsid w:val="09DA6E2A"/>
    <w:rsid w:val="09E33DCA"/>
    <w:rsid w:val="09E5446B"/>
    <w:rsid w:val="09E702DD"/>
    <w:rsid w:val="09F7266F"/>
    <w:rsid w:val="0A067AB9"/>
    <w:rsid w:val="0A110938"/>
    <w:rsid w:val="0A242C6D"/>
    <w:rsid w:val="0A290CFF"/>
    <w:rsid w:val="0A2A5EEF"/>
    <w:rsid w:val="0A4347C8"/>
    <w:rsid w:val="0A454634"/>
    <w:rsid w:val="0A5A4272"/>
    <w:rsid w:val="0A605E9D"/>
    <w:rsid w:val="0A613063"/>
    <w:rsid w:val="0A652A31"/>
    <w:rsid w:val="0A694687"/>
    <w:rsid w:val="0A6F38B0"/>
    <w:rsid w:val="0A723725"/>
    <w:rsid w:val="0A771892"/>
    <w:rsid w:val="0A785488"/>
    <w:rsid w:val="0A7B2E0A"/>
    <w:rsid w:val="0A8448A0"/>
    <w:rsid w:val="0A883255"/>
    <w:rsid w:val="0A8E4115"/>
    <w:rsid w:val="0A91199F"/>
    <w:rsid w:val="0A913826"/>
    <w:rsid w:val="0A986B90"/>
    <w:rsid w:val="0A9F0EAA"/>
    <w:rsid w:val="0A9F3102"/>
    <w:rsid w:val="0AAB0D8C"/>
    <w:rsid w:val="0AAC48A7"/>
    <w:rsid w:val="0ABA506A"/>
    <w:rsid w:val="0ABF0C3B"/>
    <w:rsid w:val="0AC1204C"/>
    <w:rsid w:val="0ACC6B3A"/>
    <w:rsid w:val="0AD81455"/>
    <w:rsid w:val="0AEB73DB"/>
    <w:rsid w:val="0AEC0FF3"/>
    <w:rsid w:val="0AEC4D30"/>
    <w:rsid w:val="0AEE5CC9"/>
    <w:rsid w:val="0AEF7E7E"/>
    <w:rsid w:val="0AF26D60"/>
    <w:rsid w:val="0AF85654"/>
    <w:rsid w:val="0B00170D"/>
    <w:rsid w:val="0B0D6165"/>
    <w:rsid w:val="0B195DEC"/>
    <w:rsid w:val="0B375A37"/>
    <w:rsid w:val="0B37608B"/>
    <w:rsid w:val="0B491D94"/>
    <w:rsid w:val="0B6131F9"/>
    <w:rsid w:val="0B6B4077"/>
    <w:rsid w:val="0B7D5340"/>
    <w:rsid w:val="0B87039C"/>
    <w:rsid w:val="0B976B50"/>
    <w:rsid w:val="0B9B695E"/>
    <w:rsid w:val="0BA92DF2"/>
    <w:rsid w:val="0BAB69EC"/>
    <w:rsid w:val="0BB03234"/>
    <w:rsid w:val="0BB2614A"/>
    <w:rsid w:val="0BB26C0D"/>
    <w:rsid w:val="0BCA23AB"/>
    <w:rsid w:val="0BCD11A6"/>
    <w:rsid w:val="0BD240F7"/>
    <w:rsid w:val="0BD54AC1"/>
    <w:rsid w:val="0BD56F10"/>
    <w:rsid w:val="0BDF124C"/>
    <w:rsid w:val="0BDF2CAC"/>
    <w:rsid w:val="0BE66D02"/>
    <w:rsid w:val="0BF2478A"/>
    <w:rsid w:val="0BF60CFA"/>
    <w:rsid w:val="0BF75417"/>
    <w:rsid w:val="0BF87C3C"/>
    <w:rsid w:val="0BF93A5E"/>
    <w:rsid w:val="0C075659"/>
    <w:rsid w:val="0C0A5DFC"/>
    <w:rsid w:val="0C1F7219"/>
    <w:rsid w:val="0C2F1549"/>
    <w:rsid w:val="0C332F3F"/>
    <w:rsid w:val="0C3A0624"/>
    <w:rsid w:val="0C3A4DF1"/>
    <w:rsid w:val="0C4F16A1"/>
    <w:rsid w:val="0C4F67E2"/>
    <w:rsid w:val="0C522348"/>
    <w:rsid w:val="0C5516A8"/>
    <w:rsid w:val="0C61547A"/>
    <w:rsid w:val="0C654F6B"/>
    <w:rsid w:val="0C6E2563"/>
    <w:rsid w:val="0C741AD6"/>
    <w:rsid w:val="0C8B4B82"/>
    <w:rsid w:val="0C8C4C5A"/>
    <w:rsid w:val="0C9E4EF0"/>
    <w:rsid w:val="0CA84E57"/>
    <w:rsid w:val="0CB01370"/>
    <w:rsid w:val="0CB101B0"/>
    <w:rsid w:val="0CB25637"/>
    <w:rsid w:val="0CBD6B55"/>
    <w:rsid w:val="0CBF36BB"/>
    <w:rsid w:val="0CEE78D1"/>
    <w:rsid w:val="0CF100B4"/>
    <w:rsid w:val="0CF35DAA"/>
    <w:rsid w:val="0CFD3AB8"/>
    <w:rsid w:val="0D01119E"/>
    <w:rsid w:val="0D054058"/>
    <w:rsid w:val="0D0B3AEB"/>
    <w:rsid w:val="0D0B3D64"/>
    <w:rsid w:val="0D0D6F08"/>
    <w:rsid w:val="0D1C7D1F"/>
    <w:rsid w:val="0D21323C"/>
    <w:rsid w:val="0D2C5A88"/>
    <w:rsid w:val="0D2F4203"/>
    <w:rsid w:val="0D3E2F48"/>
    <w:rsid w:val="0D430FD0"/>
    <w:rsid w:val="0D440F4F"/>
    <w:rsid w:val="0D533015"/>
    <w:rsid w:val="0D554FDF"/>
    <w:rsid w:val="0D556D8D"/>
    <w:rsid w:val="0D58062B"/>
    <w:rsid w:val="0D5A43A4"/>
    <w:rsid w:val="0D692839"/>
    <w:rsid w:val="0D6A65BF"/>
    <w:rsid w:val="0D6B5D0D"/>
    <w:rsid w:val="0D72790F"/>
    <w:rsid w:val="0D806089"/>
    <w:rsid w:val="0D902199"/>
    <w:rsid w:val="0D955A73"/>
    <w:rsid w:val="0D986425"/>
    <w:rsid w:val="0D995086"/>
    <w:rsid w:val="0DA3593E"/>
    <w:rsid w:val="0DAB4895"/>
    <w:rsid w:val="0DAF2891"/>
    <w:rsid w:val="0DAF2FA5"/>
    <w:rsid w:val="0DB1664B"/>
    <w:rsid w:val="0DBD4932"/>
    <w:rsid w:val="0DC141F2"/>
    <w:rsid w:val="0DC51A08"/>
    <w:rsid w:val="0DCD4F6C"/>
    <w:rsid w:val="0DD02F0F"/>
    <w:rsid w:val="0DD4472D"/>
    <w:rsid w:val="0DE501A0"/>
    <w:rsid w:val="0DF27A86"/>
    <w:rsid w:val="0DF376DD"/>
    <w:rsid w:val="0E0A401C"/>
    <w:rsid w:val="0E0E45D2"/>
    <w:rsid w:val="0E19425F"/>
    <w:rsid w:val="0E237841"/>
    <w:rsid w:val="0E29730F"/>
    <w:rsid w:val="0E2D7BE3"/>
    <w:rsid w:val="0E342E47"/>
    <w:rsid w:val="0E3D06A0"/>
    <w:rsid w:val="0E4137B5"/>
    <w:rsid w:val="0E462C4C"/>
    <w:rsid w:val="0E4B1A1C"/>
    <w:rsid w:val="0E4D215A"/>
    <w:rsid w:val="0E504189"/>
    <w:rsid w:val="0E527771"/>
    <w:rsid w:val="0E5556B2"/>
    <w:rsid w:val="0E561CB2"/>
    <w:rsid w:val="0E583303"/>
    <w:rsid w:val="0E5C693D"/>
    <w:rsid w:val="0E6010A8"/>
    <w:rsid w:val="0E680D42"/>
    <w:rsid w:val="0E792F4F"/>
    <w:rsid w:val="0E8012D9"/>
    <w:rsid w:val="0E833B53"/>
    <w:rsid w:val="0E8C1749"/>
    <w:rsid w:val="0E9059C9"/>
    <w:rsid w:val="0E972E44"/>
    <w:rsid w:val="0EA33B28"/>
    <w:rsid w:val="0EA7314F"/>
    <w:rsid w:val="0EAE0E4B"/>
    <w:rsid w:val="0EB02638"/>
    <w:rsid w:val="0EB9334C"/>
    <w:rsid w:val="0EC3752D"/>
    <w:rsid w:val="0ECC307F"/>
    <w:rsid w:val="0ECE4A09"/>
    <w:rsid w:val="0ED57430"/>
    <w:rsid w:val="0ED729EE"/>
    <w:rsid w:val="0EDC5E02"/>
    <w:rsid w:val="0EDF706C"/>
    <w:rsid w:val="0EE72CEE"/>
    <w:rsid w:val="0EE85CDA"/>
    <w:rsid w:val="0EEA79A9"/>
    <w:rsid w:val="0EF146A7"/>
    <w:rsid w:val="0EF31966"/>
    <w:rsid w:val="0EF34AB0"/>
    <w:rsid w:val="0EFA4090"/>
    <w:rsid w:val="0F037A1F"/>
    <w:rsid w:val="0F0A1DF9"/>
    <w:rsid w:val="0F1133CB"/>
    <w:rsid w:val="0F1173AD"/>
    <w:rsid w:val="0F244060"/>
    <w:rsid w:val="0F350296"/>
    <w:rsid w:val="0F405BCB"/>
    <w:rsid w:val="0F4438D5"/>
    <w:rsid w:val="0F4E5368"/>
    <w:rsid w:val="0F5D63CD"/>
    <w:rsid w:val="0F5D698D"/>
    <w:rsid w:val="0F5F5CA1"/>
    <w:rsid w:val="0F6A68A1"/>
    <w:rsid w:val="0F7D4811"/>
    <w:rsid w:val="0F827BE2"/>
    <w:rsid w:val="0F847DFE"/>
    <w:rsid w:val="0F871FA7"/>
    <w:rsid w:val="0F881ACB"/>
    <w:rsid w:val="0F8C5688"/>
    <w:rsid w:val="0F915CF4"/>
    <w:rsid w:val="0F93489A"/>
    <w:rsid w:val="0F9B4410"/>
    <w:rsid w:val="0F9D0EBF"/>
    <w:rsid w:val="0FA21996"/>
    <w:rsid w:val="0FAC06D9"/>
    <w:rsid w:val="0FAD016D"/>
    <w:rsid w:val="0FAF0058"/>
    <w:rsid w:val="0FBB78EB"/>
    <w:rsid w:val="0FBD5F7F"/>
    <w:rsid w:val="0FC63BDB"/>
    <w:rsid w:val="0FC64AEA"/>
    <w:rsid w:val="0FD41D0C"/>
    <w:rsid w:val="0FE66BBE"/>
    <w:rsid w:val="0FED0C0B"/>
    <w:rsid w:val="0FEF5F5D"/>
    <w:rsid w:val="0FF02D9D"/>
    <w:rsid w:val="0FF0673A"/>
    <w:rsid w:val="0FF42037"/>
    <w:rsid w:val="0FF4353B"/>
    <w:rsid w:val="0FF65639"/>
    <w:rsid w:val="0FF7412C"/>
    <w:rsid w:val="101565F4"/>
    <w:rsid w:val="101A3E7C"/>
    <w:rsid w:val="101B45B3"/>
    <w:rsid w:val="102041B0"/>
    <w:rsid w:val="1025642B"/>
    <w:rsid w:val="1027514F"/>
    <w:rsid w:val="102B29FC"/>
    <w:rsid w:val="102D1D40"/>
    <w:rsid w:val="10304C1F"/>
    <w:rsid w:val="10305890"/>
    <w:rsid w:val="10497F6A"/>
    <w:rsid w:val="104F6378"/>
    <w:rsid w:val="105552F6"/>
    <w:rsid w:val="105B0B5E"/>
    <w:rsid w:val="105B5D70"/>
    <w:rsid w:val="105C0433"/>
    <w:rsid w:val="105C7C29"/>
    <w:rsid w:val="10615A49"/>
    <w:rsid w:val="10627D00"/>
    <w:rsid w:val="106D4B78"/>
    <w:rsid w:val="1072039F"/>
    <w:rsid w:val="107700EF"/>
    <w:rsid w:val="10855BDB"/>
    <w:rsid w:val="10867E54"/>
    <w:rsid w:val="1088747A"/>
    <w:rsid w:val="109113BA"/>
    <w:rsid w:val="10976E01"/>
    <w:rsid w:val="109802C9"/>
    <w:rsid w:val="10A122E9"/>
    <w:rsid w:val="10A15A4A"/>
    <w:rsid w:val="10A2678D"/>
    <w:rsid w:val="10A670E3"/>
    <w:rsid w:val="10B448AF"/>
    <w:rsid w:val="10B77B5F"/>
    <w:rsid w:val="10BA0065"/>
    <w:rsid w:val="10BA6FC7"/>
    <w:rsid w:val="10C03740"/>
    <w:rsid w:val="10C34956"/>
    <w:rsid w:val="10C62793"/>
    <w:rsid w:val="10E137BD"/>
    <w:rsid w:val="10E51C43"/>
    <w:rsid w:val="10F31B33"/>
    <w:rsid w:val="10F878E1"/>
    <w:rsid w:val="10FB1CFE"/>
    <w:rsid w:val="10FB57F0"/>
    <w:rsid w:val="110F7B9B"/>
    <w:rsid w:val="11161E06"/>
    <w:rsid w:val="111B4847"/>
    <w:rsid w:val="11221ADC"/>
    <w:rsid w:val="11241AA9"/>
    <w:rsid w:val="11266649"/>
    <w:rsid w:val="11297EC9"/>
    <w:rsid w:val="11381CFF"/>
    <w:rsid w:val="113E2E5F"/>
    <w:rsid w:val="113E3FDC"/>
    <w:rsid w:val="11402E0F"/>
    <w:rsid w:val="114333A1"/>
    <w:rsid w:val="114430CC"/>
    <w:rsid w:val="11553800"/>
    <w:rsid w:val="115630D4"/>
    <w:rsid w:val="11586E4C"/>
    <w:rsid w:val="11687794"/>
    <w:rsid w:val="116C6D9B"/>
    <w:rsid w:val="11761FC4"/>
    <w:rsid w:val="11776A7F"/>
    <w:rsid w:val="11777E64"/>
    <w:rsid w:val="11795660"/>
    <w:rsid w:val="117A14B8"/>
    <w:rsid w:val="117B268D"/>
    <w:rsid w:val="117B2B3A"/>
    <w:rsid w:val="118529A6"/>
    <w:rsid w:val="11867E5D"/>
    <w:rsid w:val="11880F61"/>
    <w:rsid w:val="11902A8A"/>
    <w:rsid w:val="11913A5E"/>
    <w:rsid w:val="119202C7"/>
    <w:rsid w:val="11A07623"/>
    <w:rsid w:val="11A55E09"/>
    <w:rsid w:val="11A7392F"/>
    <w:rsid w:val="11AB3900"/>
    <w:rsid w:val="11B52B07"/>
    <w:rsid w:val="11B62E1B"/>
    <w:rsid w:val="11BA71FD"/>
    <w:rsid w:val="11BF7BE1"/>
    <w:rsid w:val="11E4195E"/>
    <w:rsid w:val="11E44B84"/>
    <w:rsid w:val="11EB7CC0"/>
    <w:rsid w:val="11F500D0"/>
    <w:rsid w:val="1207193D"/>
    <w:rsid w:val="120A52F6"/>
    <w:rsid w:val="120A5FBD"/>
    <w:rsid w:val="120E5971"/>
    <w:rsid w:val="120F1501"/>
    <w:rsid w:val="121012A0"/>
    <w:rsid w:val="121511E1"/>
    <w:rsid w:val="121D56EB"/>
    <w:rsid w:val="12211934"/>
    <w:rsid w:val="12282E23"/>
    <w:rsid w:val="123632B2"/>
    <w:rsid w:val="12366443"/>
    <w:rsid w:val="123D0690"/>
    <w:rsid w:val="123D3724"/>
    <w:rsid w:val="124878CD"/>
    <w:rsid w:val="124C3DA0"/>
    <w:rsid w:val="125B6724"/>
    <w:rsid w:val="12641E84"/>
    <w:rsid w:val="12646C00"/>
    <w:rsid w:val="126924BD"/>
    <w:rsid w:val="126D63D9"/>
    <w:rsid w:val="127E28A6"/>
    <w:rsid w:val="127F754C"/>
    <w:rsid w:val="12986019"/>
    <w:rsid w:val="12993BC0"/>
    <w:rsid w:val="129A025D"/>
    <w:rsid w:val="12AC3A9D"/>
    <w:rsid w:val="12BD412E"/>
    <w:rsid w:val="12BE3627"/>
    <w:rsid w:val="12C61325"/>
    <w:rsid w:val="12CF38C9"/>
    <w:rsid w:val="12D05FEA"/>
    <w:rsid w:val="12D40754"/>
    <w:rsid w:val="12D96F24"/>
    <w:rsid w:val="12DD6110"/>
    <w:rsid w:val="12DE5A77"/>
    <w:rsid w:val="12E43A46"/>
    <w:rsid w:val="12E52961"/>
    <w:rsid w:val="12E55783"/>
    <w:rsid w:val="12E806A4"/>
    <w:rsid w:val="12F217F1"/>
    <w:rsid w:val="12F2327E"/>
    <w:rsid w:val="12FE7EC7"/>
    <w:rsid w:val="1303728B"/>
    <w:rsid w:val="130628D8"/>
    <w:rsid w:val="130A100F"/>
    <w:rsid w:val="131A6229"/>
    <w:rsid w:val="13205400"/>
    <w:rsid w:val="13207E3D"/>
    <w:rsid w:val="13262314"/>
    <w:rsid w:val="132971BE"/>
    <w:rsid w:val="132A0CBC"/>
    <w:rsid w:val="1332514D"/>
    <w:rsid w:val="133425B1"/>
    <w:rsid w:val="133905DA"/>
    <w:rsid w:val="133D454B"/>
    <w:rsid w:val="133E2072"/>
    <w:rsid w:val="134E7BAB"/>
    <w:rsid w:val="13552C80"/>
    <w:rsid w:val="135936B5"/>
    <w:rsid w:val="135B7C44"/>
    <w:rsid w:val="135C4646"/>
    <w:rsid w:val="1367622C"/>
    <w:rsid w:val="136D70D1"/>
    <w:rsid w:val="13751FD7"/>
    <w:rsid w:val="13865F49"/>
    <w:rsid w:val="138C4596"/>
    <w:rsid w:val="13A0077C"/>
    <w:rsid w:val="13AA7707"/>
    <w:rsid w:val="13B231DF"/>
    <w:rsid w:val="13B42D6D"/>
    <w:rsid w:val="13BB36C2"/>
    <w:rsid w:val="13BF593A"/>
    <w:rsid w:val="13C36B5C"/>
    <w:rsid w:val="13C509A3"/>
    <w:rsid w:val="13C70B45"/>
    <w:rsid w:val="13CC5951"/>
    <w:rsid w:val="13D252E0"/>
    <w:rsid w:val="13D84274"/>
    <w:rsid w:val="13DD18EF"/>
    <w:rsid w:val="13E0137B"/>
    <w:rsid w:val="13EE2074"/>
    <w:rsid w:val="13F416E5"/>
    <w:rsid w:val="13FB15C8"/>
    <w:rsid w:val="1404577A"/>
    <w:rsid w:val="1416601D"/>
    <w:rsid w:val="141A2ADF"/>
    <w:rsid w:val="1423576F"/>
    <w:rsid w:val="1427164E"/>
    <w:rsid w:val="143D7C6D"/>
    <w:rsid w:val="14426230"/>
    <w:rsid w:val="14450686"/>
    <w:rsid w:val="14465682"/>
    <w:rsid w:val="145062A0"/>
    <w:rsid w:val="14526751"/>
    <w:rsid w:val="14554F87"/>
    <w:rsid w:val="145767D9"/>
    <w:rsid w:val="14643764"/>
    <w:rsid w:val="146A3560"/>
    <w:rsid w:val="146C5A05"/>
    <w:rsid w:val="14702016"/>
    <w:rsid w:val="14765768"/>
    <w:rsid w:val="14795A57"/>
    <w:rsid w:val="147B7480"/>
    <w:rsid w:val="147E74D6"/>
    <w:rsid w:val="14804E7E"/>
    <w:rsid w:val="148D26ED"/>
    <w:rsid w:val="14901E99"/>
    <w:rsid w:val="14943B26"/>
    <w:rsid w:val="149B5BB4"/>
    <w:rsid w:val="149D34E2"/>
    <w:rsid w:val="14A625C4"/>
    <w:rsid w:val="14A62D61"/>
    <w:rsid w:val="14AE6DF5"/>
    <w:rsid w:val="14BE70A5"/>
    <w:rsid w:val="14CC6EAC"/>
    <w:rsid w:val="14D26F15"/>
    <w:rsid w:val="14D34889"/>
    <w:rsid w:val="14F670A8"/>
    <w:rsid w:val="14F7137E"/>
    <w:rsid w:val="14FC0436"/>
    <w:rsid w:val="1501324B"/>
    <w:rsid w:val="15035321"/>
    <w:rsid w:val="15136330"/>
    <w:rsid w:val="151529B4"/>
    <w:rsid w:val="15233018"/>
    <w:rsid w:val="152359C3"/>
    <w:rsid w:val="152509D7"/>
    <w:rsid w:val="152B6F63"/>
    <w:rsid w:val="15314A2C"/>
    <w:rsid w:val="1534197E"/>
    <w:rsid w:val="1537146E"/>
    <w:rsid w:val="1558225D"/>
    <w:rsid w:val="155E69FB"/>
    <w:rsid w:val="155F58F6"/>
    <w:rsid w:val="15602773"/>
    <w:rsid w:val="156B65E2"/>
    <w:rsid w:val="1571257F"/>
    <w:rsid w:val="157524F2"/>
    <w:rsid w:val="157D3325"/>
    <w:rsid w:val="15820E68"/>
    <w:rsid w:val="15836BFD"/>
    <w:rsid w:val="15852C95"/>
    <w:rsid w:val="158D5AFE"/>
    <w:rsid w:val="159D14F7"/>
    <w:rsid w:val="15A0604A"/>
    <w:rsid w:val="15AA1C40"/>
    <w:rsid w:val="15B45973"/>
    <w:rsid w:val="15B64EC7"/>
    <w:rsid w:val="15B74140"/>
    <w:rsid w:val="15BC293A"/>
    <w:rsid w:val="15C90318"/>
    <w:rsid w:val="15CA0E7F"/>
    <w:rsid w:val="15D078F9"/>
    <w:rsid w:val="15DA4014"/>
    <w:rsid w:val="15DD3DC4"/>
    <w:rsid w:val="15DE174F"/>
    <w:rsid w:val="15E3366A"/>
    <w:rsid w:val="16041350"/>
    <w:rsid w:val="16063AA0"/>
    <w:rsid w:val="16066CA6"/>
    <w:rsid w:val="16092E0B"/>
    <w:rsid w:val="16134D55"/>
    <w:rsid w:val="161B07E5"/>
    <w:rsid w:val="162B4B2F"/>
    <w:rsid w:val="16322361"/>
    <w:rsid w:val="16347871"/>
    <w:rsid w:val="163C065A"/>
    <w:rsid w:val="163D73D7"/>
    <w:rsid w:val="16405AB5"/>
    <w:rsid w:val="164901B2"/>
    <w:rsid w:val="164E394B"/>
    <w:rsid w:val="166813E7"/>
    <w:rsid w:val="16687394"/>
    <w:rsid w:val="166938A9"/>
    <w:rsid w:val="16711794"/>
    <w:rsid w:val="167A2727"/>
    <w:rsid w:val="167A6959"/>
    <w:rsid w:val="168240D2"/>
    <w:rsid w:val="1686191E"/>
    <w:rsid w:val="168D3A3C"/>
    <w:rsid w:val="168E4F39"/>
    <w:rsid w:val="16976668"/>
    <w:rsid w:val="16AB6DCA"/>
    <w:rsid w:val="16B35DA1"/>
    <w:rsid w:val="16B56757"/>
    <w:rsid w:val="16B9038D"/>
    <w:rsid w:val="16BF2C26"/>
    <w:rsid w:val="16C65FA2"/>
    <w:rsid w:val="16C808CD"/>
    <w:rsid w:val="16C91141"/>
    <w:rsid w:val="16D30323"/>
    <w:rsid w:val="16D90A2F"/>
    <w:rsid w:val="16DD1801"/>
    <w:rsid w:val="16DE20A4"/>
    <w:rsid w:val="16E42F30"/>
    <w:rsid w:val="16EC15B1"/>
    <w:rsid w:val="16ED44DA"/>
    <w:rsid w:val="16EF791E"/>
    <w:rsid w:val="16F54E7E"/>
    <w:rsid w:val="16F64EA3"/>
    <w:rsid w:val="1703785A"/>
    <w:rsid w:val="172004E9"/>
    <w:rsid w:val="173D00AC"/>
    <w:rsid w:val="175517FF"/>
    <w:rsid w:val="17600040"/>
    <w:rsid w:val="17671DD7"/>
    <w:rsid w:val="176C5A33"/>
    <w:rsid w:val="178C3191"/>
    <w:rsid w:val="179235A8"/>
    <w:rsid w:val="17926D92"/>
    <w:rsid w:val="17932454"/>
    <w:rsid w:val="17973558"/>
    <w:rsid w:val="179A1852"/>
    <w:rsid w:val="17A141F6"/>
    <w:rsid w:val="17A20C6B"/>
    <w:rsid w:val="17AC1A7D"/>
    <w:rsid w:val="17AC33BB"/>
    <w:rsid w:val="17B747D9"/>
    <w:rsid w:val="17C37A7E"/>
    <w:rsid w:val="17DA1C7A"/>
    <w:rsid w:val="17DB3497"/>
    <w:rsid w:val="17DF7A9B"/>
    <w:rsid w:val="17EA27C8"/>
    <w:rsid w:val="17EF6030"/>
    <w:rsid w:val="17F00EC8"/>
    <w:rsid w:val="17F35B20"/>
    <w:rsid w:val="17F92A0B"/>
    <w:rsid w:val="17FB10E8"/>
    <w:rsid w:val="18007FB7"/>
    <w:rsid w:val="18041ADC"/>
    <w:rsid w:val="180514C3"/>
    <w:rsid w:val="18057779"/>
    <w:rsid w:val="180E582C"/>
    <w:rsid w:val="181250C7"/>
    <w:rsid w:val="181B0BD3"/>
    <w:rsid w:val="18221F62"/>
    <w:rsid w:val="182A7068"/>
    <w:rsid w:val="18300B23"/>
    <w:rsid w:val="183415C3"/>
    <w:rsid w:val="1840063A"/>
    <w:rsid w:val="1853036D"/>
    <w:rsid w:val="188B645A"/>
    <w:rsid w:val="189152F2"/>
    <w:rsid w:val="189C1D14"/>
    <w:rsid w:val="18A83CA4"/>
    <w:rsid w:val="18A84204"/>
    <w:rsid w:val="18AB4F78"/>
    <w:rsid w:val="18AF6E69"/>
    <w:rsid w:val="18B51CE9"/>
    <w:rsid w:val="18B6097D"/>
    <w:rsid w:val="18B90B18"/>
    <w:rsid w:val="18C96988"/>
    <w:rsid w:val="18E47167"/>
    <w:rsid w:val="18E831AB"/>
    <w:rsid w:val="18EC510F"/>
    <w:rsid w:val="18ED2570"/>
    <w:rsid w:val="18F2402A"/>
    <w:rsid w:val="18F75BB9"/>
    <w:rsid w:val="19103F29"/>
    <w:rsid w:val="1912647A"/>
    <w:rsid w:val="19177273"/>
    <w:rsid w:val="19185113"/>
    <w:rsid w:val="1919248B"/>
    <w:rsid w:val="191C2E55"/>
    <w:rsid w:val="192352E4"/>
    <w:rsid w:val="192455D8"/>
    <w:rsid w:val="192A633A"/>
    <w:rsid w:val="192F0DDA"/>
    <w:rsid w:val="19346A48"/>
    <w:rsid w:val="194523AD"/>
    <w:rsid w:val="19481E9C"/>
    <w:rsid w:val="19487EBC"/>
    <w:rsid w:val="194B654D"/>
    <w:rsid w:val="194E0E5A"/>
    <w:rsid w:val="19502B47"/>
    <w:rsid w:val="19597772"/>
    <w:rsid w:val="195B1BCF"/>
    <w:rsid w:val="196A4428"/>
    <w:rsid w:val="1970644A"/>
    <w:rsid w:val="19754608"/>
    <w:rsid w:val="197C0D71"/>
    <w:rsid w:val="19805192"/>
    <w:rsid w:val="198C1D89"/>
    <w:rsid w:val="19A25590"/>
    <w:rsid w:val="19AC1A4C"/>
    <w:rsid w:val="19B227D3"/>
    <w:rsid w:val="19B3365C"/>
    <w:rsid w:val="19B55912"/>
    <w:rsid w:val="19BC195B"/>
    <w:rsid w:val="19C72DC1"/>
    <w:rsid w:val="19CB567A"/>
    <w:rsid w:val="19D86F64"/>
    <w:rsid w:val="19E96456"/>
    <w:rsid w:val="19EB7A42"/>
    <w:rsid w:val="19EC0A79"/>
    <w:rsid w:val="19F32962"/>
    <w:rsid w:val="19F32E2F"/>
    <w:rsid w:val="19FD1C49"/>
    <w:rsid w:val="1A010C96"/>
    <w:rsid w:val="1A0F5222"/>
    <w:rsid w:val="1A111A09"/>
    <w:rsid w:val="1A1621C7"/>
    <w:rsid w:val="1A1A6026"/>
    <w:rsid w:val="1A1C2C19"/>
    <w:rsid w:val="1A24540D"/>
    <w:rsid w:val="1A2A59B6"/>
    <w:rsid w:val="1A3A17E5"/>
    <w:rsid w:val="1A3E71FD"/>
    <w:rsid w:val="1A422994"/>
    <w:rsid w:val="1A4563DB"/>
    <w:rsid w:val="1A495ECC"/>
    <w:rsid w:val="1A542310"/>
    <w:rsid w:val="1A5959E3"/>
    <w:rsid w:val="1A642D06"/>
    <w:rsid w:val="1A651146"/>
    <w:rsid w:val="1A6E23B6"/>
    <w:rsid w:val="1A7E3DE6"/>
    <w:rsid w:val="1A8018D6"/>
    <w:rsid w:val="1AB34603"/>
    <w:rsid w:val="1AB86F6A"/>
    <w:rsid w:val="1ABC2E59"/>
    <w:rsid w:val="1AC56101"/>
    <w:rsid w:val="1AD67034"/>
    <w:rsid w:val="1AD90B28"/>
    <w:rsid w:val="1ADA2FC8"/>
    <w:rsid w:val="1ADD2699"/>
    <w:rsid w:val="1AE5074D"/>
    <w:rsid w:val="1AE94B9D"/>
    <w:rsid w:val="1AED6CFA"/>
    <w:rsid w:val="1AEF729B"/>
    <w:rsid w:val="1AFA54C9"/>
    <w:rsid w:val="1AFC4CEC"/>
    <w:rsid w:val="1B0422FF"/>
    <w:rsid w:val="1B067919"/>
    <w:rsid w:val="1B102545"/>
    <w:rsid w:val="1B134833"/>
    <w:rsid w:val="1B170CA1"/>
    <w:rsid w:val="1B1D009E"/>
    <w:rsid w:val="1B2B3823"/>
    <w:rsid w:val="1B3A53E7"/>
    <w:rsid w:val="1B44346C"/>
    <w:rsid w:val="1B467DB8"/>
    <w:rsid w:val="1B5543FC"/>
    <w:rsid w:val="1B555DD3"/>
    <w:rsid w:val="1B5F3E2D"/>
    <w:rsid w:val="1B713592"/>
    <w:rsid w:val="1B7156DA"/>
    <w:rsid w:val="1B7818DE"/>
    <w:rsid w:val="1B80591D"/>
    <w:rsid w:val="1B9A6B18"/>
    <w:rsid w:val="1BA96CA8"/>
    <w:rsid w:val="1BAA7852"/>
    <w:rsid w:val="1BAB226E"/>
    <w:rsid w:val="1BC44079"/>
    <w:rsid w:val="1BC72207"/>
    <w:rsid w:val="1BC76857"/>
    <w:rsid w:val="1BCA4F7A"/>
    <w:rsid w:val="1BD45C69"/>
    <w:rsid w:val="1BD605F3"/>
    <w:rsid w:val="1BD6553D"/>
    <w:rsid w:val="1BE13EE2"/>
    <w:rsid w:val="1BE37C5A"/>
    <w:rsid w:val="1BE75189"/>
    <w:rsid w:val="1BF01FFA"/>
    <w:rsid w:val="1BF115FF"/>
    <w:rsid w:val="1C0D72D6"/>
    <w:rsid w:val="1C194EA0"/>
    <w:rsid w:val="1C4454C3"/>
    <w:rsid w:val="1C4671C1"/>
    <w:rsid w:val="1C4B6499"/>
    <w:rsid w:val="1C521ECE"/>
    <w:rsid w:val="1C5446B4"/>
    <w:rsid w:val="1C551849"/>
    <w:rsid w:val="1C5A0D60"/>
    <w:rsid w:val="1C5F6D67"/>
    <w:rsid w:val="1C654AED"/>
    <w:rsid w:val="1C7C60E2"/>
    <w:rsid w:val="1C931680"/>
    <w:rsid w:val="1CAF6A61"/>
    <w:rsid w:val="1CB12E70"/>
    <w:rsid w:val="1CB54FBC"/>
    <w:rsid w:val="1CB67720"/>
    <w:rsid w:val="1CB7443F"/>
    <w:rsid w:val="1CBD04AB"/>
    <w:rsid w:val="1CBD1B01"/>
    <w:rsid w:val="1CBF4223"/>
    <w:rsid w:val="1CCB2BC8"/>
    <w:rsid w:val="1CCE2454"/>
    <w:rsid w:val="1CD31210"/>
    <w:rsid w:val="1CDA5429"/>
    <w:rsid w:val="1CDC4D20"/>
    <w:rsid w:val="1CDF5444"/>
    <w:rsid w:val="1CE26164"/>
    <w:rsid w:val="1CE33463"/>
    <w:rsid w:val="1CFE7CC5"/>
    <w:rsid w:val="1CFF32CC"/>
    <w:rsid w:val="1D0428D1"/>
    <w:rsid w:val="1D042F44"/>
    <w:rsid w:val="1D0F39CD"/>
    <w:rsid w:val="1D1628DD"/>
    <w:rsid w:val="1D187DD7"/>
    <w:rsid w:val="1D1C78C7"/>
    <w:rsid w:val="1D1D0F4A"/>
    <w:rsid w:val="1D247B2E"/>
    <w:rsid w:val="1D320E99"/>
    <w:rsid w:val="1D352737"/>
    <w:rsid w:val="1D3D6E21"/>
    <w:rsid w:val="1D4A104F"/>
    <w:rsid w:val="1D5105FE"/>
    <w:rsid w:val="1D553369"/>
    <w:rsid w:val="1D566256"/>
    <w:rsid w:val="1D5E2B68"/>
    <w:rsid w:val="1D645145"/>
    <w:rsid w:val="1D682760"/>
    <w:rsid w:val="1D684BFF"/>
    <w:rsid w:val="1D7777EA"/>
    <w:rsid w:val="1D790876"/>
    <w:rsid w:val="1D862C10"/>
    <w:rsid w:val="1D8B7007"/>
    <w:rsid w:val="1D9317D5"/>
    <w:rsid w:val="1D96726F"/>
    <w:rsid w:val="1D990F18"/>
    <w:rsid w:val="1D994785"/>
    <w:rsid w:val="1D9C1C9E"/>
    <w:rsid w:val="1DA022A7"/>
    <w:rsid w:val="1DAE7300"/>
    <w:rsid w:val="1DB37F40"/>
    <w:rsid w:val="1DC13FCB"/>
    <w:rsid w:val="1DC33119"/>
    <w:rsid w:val="1DCF11AF"/>
    <w:rsid w:val="1DDF6990"/>
    <w:rsid w:val="1DE57C15"/>
    <w:rsid w:val="1DE71932"/>
    <w:rsid w:val="1DF52C4F"/>
    <w:rsid w:val="1DF70DA7"/>
    <w:rsid w:val="1DF779ED"/>
    <w:rsid w:val="1E067FD0"/>
    <w:rsid w:val="1E1C296E"/>
    <w:rsid w:val="1E2B296F"/>
    <w:rsid w:val="1E3B3DBE"/>
    <w:rsid w:val="1E455902"/>
    <w:rsid w:val="1E482113"/>
    <w:rsid w:val="1E4A0224"/>
    <w:rsid w:val="1E4A0464"/>
    <w:rsid w:val="1E566A9B"/>
    <w:rsid w:val="1E5933F2"/>
    <w:rsid w:val="1E5D33B2"/>
    <w:rsid w:val="1E604118"/>
    <w:rsid w:val="1E62130A"/>
    <w:rsid w:val="1E625BA4"/>
    <w:rsid w:val="1E742207"/>
    <w:rsid w:val="1E860D4B"/>
    <w:rsid w:val="1E872FCB"/>
    <w:rsid w:val="1E8B091C"/>
    <w:rsid w:val="1EA94266"/>
    <w:rsid w:val="1EAF2075"/>
    <w:rsid w:val="1EB1525C"/>
    <w:rsid w:val="1EB549B3"/>
    <w:rsid w:val="1EC21DA9"/>
    <w:rsid w:val="1EC732BD"/>
    <w:rsid w:val="1ECC0E79"/>
    <w:rsid w:val="1EE91A2B"/>
    <w:rsid w:val="1EE9292A"/>
    <w:rsid w:val="1EEC6E65"/>
    <w:rsid w:val="1EF328AA"/>
    <w:rsid w:val="1F053EED"/>
    <w:rsid w:val="1F0717E1"/>
    <w:rsid w:val="1F095C2A"/>
    <w:rsid w:val="1F0B6573"/>
    <w:rsid w:val="1F122490"/>
    <w:rsid w:val="1F274071"/>
    <w:rsid w:val="1F2904D8"/>
    <w:rsid w:val="1F2C1C7F"/>
    <w:rsid w:val="1F2D3EE7"/>
    <w:rsid w:val="1F3429E6"/>
    <w:rsid w:val="1F394761"/>
    <w:rsid w:val="1F453CAA"/>
    <w:rsid w:val="1F510CDC"/>
    <w:rsid w:val="1F537DE4"/>
    <w:rsid w:val="1F566EB8"/>
    <w:rsid w:val="1F58672D"/>
    <w:rsid w:val="1F5F3A9B"/>
    <w:rsid w:val="1F69460B"/>
    <w:rsid w:val="1F7E03C6"/>
    <w:rsid w:val="1F7F116C"/>
    <w:rsid w:val="1F811CDE"/>
    <w:rsid w:val="1F837CBF"/>
    <w:rsid w:val="1F8F4381"/>
    <w:rsid w:val="1F975732"/>
    <w:rsid w:val="1F9A2CFD"/>
    <w:rsid w:val="1F9C1C18"/>
    <w:rsid w:val="1F9C64CE"/>
    <w:rsid w:val="1F9E2816"/>
    <w:rsid w:val="1FA40111"/>
    <w:rsid w:val="1FA82BC2"/>
    <w:rsid w:val="1FB137B2"/>
    <w:rsid w:val="1FB45C7C"/>
    <w:rsid w:val="1FB71404"/>
    <w:rsid w:val="1FBF0C01"/>
    <w:rsid w:val="1FBF6C2C"/>
    <w:rsid w:val="1FC73B9A"/>
    <w:rsid w:val="1FD20DA4"/>
    <w:rsid w:val="1FD8770A"/>
    <w:rsid w:val="1FDB2A7E"/>
    <w:rsid w:val="1FE44B36"/>
    <w:rsid w:val="1FEF26C4"/>
    <w:rsid w:val="1FF316FB"/>
    <w:rsid w:val="1FF56E00"/>
    <w:rsid w:val="1FF959D3"/>
    <w:rsid w:val="20005BAF"/>
    <w:rsid w:val="20022A1A"/>
    <w:rsid w:val="200310FC"/>
    <w:rsid w:val="200770BD"/>
    <w:rsid w:val="200C67DD"/>
    <w:rsid w:val="20120B0E"/>
    <w:rsid w:val="20124FB2"/>
    <w:rsid w:val="20127FCD"/>
    <w:rsid w:val="20157DC4"/>
    <w:rsid w:val="20174D0D"/>
    <w:rsid w:val="20182154"/>
    <w:rsid w:val="201A0C7D"/>
    <w:rsid w:val="201C7BDE"/>
    <w:rsid w:val="201F2DDD"/>
    <w:rsid w:val="202069BA"/>
    <w:rsid w:val="20246E3B"/>
    <w:rsid w:val="202F2518"/>
    <w:rsid w:val="2030379D"/>
    <w:rsid w:val="204A3926"/>
    <w:rsid w:val="20522205"/>
    <w:rsid w:val="205D090C"/>
    <w:rsid w:val="20682939"/>
    <w:rsid w:val="20721DF5"/>
    <w:rsid w:val="207C0588"/>
    <w:rsid w:val="20806F83"/>
    <w:rsid w:val="20856C7D"/>
    <w:rsid w:val="20863935"/>
    <w:rsid w:val="20927A47"/>
    <w:rsid w:val="209617EF"/>
    <w:rsid w:val="20971013"/>
    <w:rsid w:val="20B816B5"/>
    <w:rsid w:val="20B97912"/>
    <w:rsid w:val="20BA4E89"/>
    <w:rsid w:val="20BB11A5"/>
    <w:rsid w:val="20BD1908"/>
    <w:rsid w:val="20BD4F1E"/>
    <w:rsid w:val="20BF6FF2"/>
    <w:rsid w:val="20C742D6"/>
    <w:rsid w:val="20CA7F82"/>
    <w:rsid w:val="20E029BA"/>
    <w:rsid w:val="20EA01C4"/>
    <w:rsid w:val="20EB02CA"/>
    <w:rsid w:val="20EB4E1A"/>
    <w:rsid w:val="20EF35E8"/>
    <w:rsid w:val="20EF4493"/>
    <w:rsid w:val="20F67E1D"/>
    <w:rsid w:val="210A7749"/>
    <w:rsid w:val="21121E38"/>
    <w:rsid w:val="2112799E"/>
    <w:rsid w:val="21132D8F"/>
    <w:rsid w:val="2113462E"/>
    <w:rsid w:val="211A0471"/>
    <w:rsid w:val="211A411E"/>
    <w:rsid w:val="21323553"/>
    <w:rsid w:val="2136082C"/>
    <w:rsid w:val="213663E1"/>
    <w:rsid w:val="21386872"/>
    <w:rsid w:val="213960B7"/>
    <w:rsid w:val="213C47A6"/>
    <w:rsid w:val="213C6869"/>
    <w:rsid w:val="213D197A"/>
    <w:rsid w:val="213F5F9C"/>
    <w:rsid w:val="214B42B4"/>
    <w:rsid w:val="214B6D4C"/>
    <w:rsid w:val="215277DE"/>
    <w:rsid w:val="21547189"/>
    <w:rsid w:val="21576A6A"/>
    <w:rsid w:val="21594B94"/>
    <w:rsid w:val="21630741"/>
    <w:rsid w:val="217016BE"/>
    <w:rsid w:val="217961F5"/>
    <w:rsid w:val="217A2887"/>
    <w:rsid w:val="21804E5D"/>
    <w:rsid w:val="218A7CDE"/>
    <w:rsid w:val="218B39F0"/>
    <w:rsid w:val="21902632"/>
    <w:rsid w:val="219B4CCB"/>
    <w:rsid w:val="21AB4A3D"/>
    <w:rsid w:val="21AE6F25"/>
    <w:rsid w:val="21BA4448"/>
    <w:rsid w:val="21CB366A"/>
    <w:rsid w:val="21CE1561"/>
    <w:rsid w:val="21D50045"/>
    <w:rsid w:val="21D56297"/>
    <w:rsid w:val="21D94524"/>
    <w:rsid w:val="21E21860"/>
    <w:rsid w:val="21EF7359"/>
    <w:rsid w:val="21F22A09"/>
    <w:rsid w:val="21FB3E29"/>
    <w:rsid w:val="22065492"/>
    <w:rsid w:val="220D5A31"/>
    <w:rsid w:val="220D77DF"/>
    <w:rsid w:val="22127D94"/>
    <w:rsid w:val="221756CB"/>
    <w:rsid w:val="2219008B"/>
    <w:rsid w:val="22197164"/>
    <w:rsid w:val="2220229D"/>
    <w:rsid w:val="222734EC"/>
    <w:rsid w:val="22391127"/>
    <w:rsid w:val="224C47AB"/>
    <w:rsid w:val="22525B39"/>
    <w:rsid w:val="22576CAC"/>
    <w:rsid w:val="22577E9D"/>
    <w:rsid w:val="225A171B"/>
    <w:rsid w:val="225A547C"/>
    <w:rsid w:val="225B5797"/>
    <w:rsid w:val="225B70B1"/>
    <w:rsid w:val="225C1B8B"/>
    <w:rsid w:val="22650C04"/>
    <w:rsid w:val="22680EB9"/>
    <w:rsid w:val="226B29C3"/>
    <w:rsid w:val="226B2C78"/>
    <w:rsid w:val="226F3A30"/>
    <w:rsid w:val="226F45A0"/>
    <w:rsid w:val="22791318"/>
    <w:rsid w:val="227D1357"/>
    <w:rsid w:val="227E242A"/>
    <w:rsid w:val="227E42BE"/>
    <w:rsid w:val="227F5DD8"/>
    <w:rsid w:val="228D6B72"/>
    <w:rsid w:val="22971DEB"/>
    <w:rsid w:val="22993768"/>
    <w:rsid w:val="229D5613"/>
    <w:rsid w:val="229E5854"/>
    <w:rsid w:val="229F30BB"/>
    <w:rsid w:val="229F6964"/>
    <w:rsid w:val="22AA1450"/>
    <w:rsid w:val="22AA7E1E"/>
    <w:rsid w:val="22AD4BEF"/>
    <w:rsid w:val="22B45EAC"/>
    <w:rsid w:val="22CF3CDA"/>
    <w:rsid w:val="22D629CA"/>
    <w:rsid w:val="22DE117B"/>
    <w:rsid w:val="22E5075C"/>
    <w:rsid w:val="22E92FB8"/>
    <w:rsid w:val="22EC6B17"/>
    <w:rsid w:val="230445FC"/>
    <w:rsid w:val="230D7B6D"/>
    <w:rsid w:val="23183019"/>
    <w:rsid w:val="231F5A1C"/>
    <w:rsid w:val="231F5D2B"/>
    <w:rsid w:val="23321A81"/>
    <w:rsid w:val="23490CEA"/>
    <w:rsid w:val="235012F5"/>
    <w:rsid w:val="235B7624"/>
    <w:rsid w:val="23623B5A"/>
    <w:rsid w:val="23636E2B"/>
    <w:rsid w:val="236A6CF0"/>
    <w:rsid w:val="236B4CA2"/>
    <w:rsid w:val="23704BA9"/>
    <w:rsid w:val="237678AA"/>
    <w:rsid w:val="237D06A2"/>
    <w:rsid w:val="238E7207"/>
    <w:rsid w:val="238F24D8"/>
    <w:rsid w:val="239947B9"/>
    <w:rsid w:val="23B148E2"/>
    <w:rsid w:val="23BB79C9"/>
    <w:rsid w:val="23C349EF"/>
    <w:rsid w:val="23D82812"/>
    <w:rsid w:val="23D8346C"/>
    <w:rsid w:val="23D84773"/>
    <w:rsid w:val="23E85E15"/>
    <w:rsid w:val="23EA6463"/>
    <w:rsid w:val="23F016A2"/>
    <w:rsid w:val="23FA07D1"/>
    <w:rsid w:val="23FD2161"/>
    <w:rsid w:val="23FD6E50"/>
    <w:rsid w:val="240F5C1B"/>
    <w:rsid w:val="240F5CB6"/>
    <w:rsid w:val="241D402C"/>
    <w:rsid w:val="242B1FEF"/>
    <w:rsid w:val="244140D2"/>
    <w:rsid w:val="24465AD5"/>
    <w:rsid w:val="24467E41"/>
    <w:rsid w:val="244D480A"/>
    <w:rsid w:val="245B3B5C"/>
    <w:rsid w:val="245C67FB"/>
    <w:rsid w:val="24633930"/>
    <w:rsid w:val="246456B0"/>
    <w:rsid w:val="24696133"/>
    <w:rsid w:val="246C3480"/>
    <w:rsid w:val="24733DEA"/>
    <w:rsid w:val="247E6772"/>
    <w:rsid w:val="24985DA7"/>
    <w:rsid w:val="249A1A6B"/>
    <w:rsid w:val="24A551E3"/>
    <w:rsid w:val="24A969C4"/>
    <w:rsid w:val="24BB1FD8"/>
    <w:rsid w:val="24BC54EC"/>
    <w:rsid w:val="24C05D6D"/>
    <w:rsid w:val="24C22B02"/>
    <w:rsid w:val="24C30629"/>
    <w:rsid w:val="24D23C9C"/>
    <w:rsid w:val="24ED6857"/>
    <w:rsid w:val="24F001C4"/>
    <w:rsid w:val="24FA4BE3"/>
    <w:rsid w:val="24FB6014"/>
    <w:rsid w:val="24FB7DC2"/>
    <w:rsid w:val="2501017D"/>
    <w:rsid w:val="2501732F"/>
    <w:rsid w:val="2503311B"/>
    <w:rsid w:val="25042435"/>
    <w:rsid w:val="25070F12"/>
    <w:rsid w:val="250A5532"/>
    <w:rsid w:val="25195BF6"/>
    <w:rsid w:val="252B78BE"/>
    <w:rsid w:val="252F0691"/>
    <w:rsid w:val="25315EDA"/>
    <w:rsid w:val="253C2302"/>
    <w:rsid w:val="253D662D"/>
    <w:rsid w:val="254B4E37"/>
    <w:rsid w:val="254E1C62"/>
    <w:rsid w:val="254E25E8"/>
    <w:rsid w:val="25537674"/>
    <w:rsid w:val="255676EF"/>
    <w:rsid w:val="25666E08"/>
    <w:rsid w:val="256736AA"/>
    <w:rsid w:val="25673A5B"/>
    <w:rsid w:val="25756A10"/>
    <w:rsid w:val="257768A5"/>
    <w:rsid w:val="258904E5"/>
    <w:rsid w:val="259A494D"/>
    <w:rsid w:val="25A05602"/>
    <w:rsid w:val="25AA2900"/>
    <w:rsid w:val="25AF6479"/>
    <w:rsid w:val="25B368C0"/>
    <w:rsid w:val="25B82B80"/>
    <w:rsid w:val="25BB35C5"/>
    <w:rsid w:val="25BC1D3A"/>
    <w:rsid w:val="25C1499B"/>
    <w:rsid w:val="25C1725E"/>
    <w:rsid w:val="25C56630"/>
    <w:rsid w:val="25CE08CA"/>
    <w:rsid w:val="25DB5394"/>
    <w:rsid w:val="25E919A9"/>
    <w:rsid w:val="25ED5E58"/>
    <w:rsid w:val="25F077EA"/>
    <w:rsid w:val="25F47529"/>
    <w:rsid w:val="26026E9C"/>
    <w:rsid w:val="2604539D"/>
    <w:rsid w:val="260C722F"/>
    <w:rsid w:val="260D4251"/>
    <w:rsid w:val="260F68D2"/>
    <w:rsid w:val="2616406B"/>
    <w:rsid w:val="26192BF6"/>
    <w:rsid w:val="261E3E24"/>
    <w:rsid w:val="26241C37"/>
    <w:rsid w:val="262553CE"/>
    <w:rsid w:val="26296BB1"/>
    <w:rsid w:val="26297314"/>
    <w:rsid w:val="263E265D"/>
    <w:rsid w:val="26451C3D"/>
    <w:rsid w:val="264634D2"/>
    <w:rsid w:val="26530E12"/>
    <w:rsid w:val="26695200"/>
    <w:rsid w:val="266A5EAB"/>
    <w:rsid w:val="267017DF"/>
    <w:rsid w:val="267243CA"/>
    <w:rsid w:val="2677489A"/>
    <w:rsid w:val="267B07EE"/>
    <w:rsid w:val="267C13D7"/>
    <w:rsid w:val="267E514F"/>
    <w:rsid w:val="267E5188"/>
    <w:rsid w:val="26887D7C"/>
    <w:rsid w:val="26942CC6"/>
    <w:rsid w:val="2698180C"/>
    <w:rsid w:val="269B6CA4"/>
    <w:rsid w:val="269F0C21"/>
    <w:rsid w:val="26A1728F"/>
    <w:rsid w:val="26B2676D"/>
    <w:rsid w:val="26B474A7"/>
    <w:rsid w:val="26B7240F"/>
    <w:rsid w:val="26BB2FF0"/>
    <w:rsid w:val="26CC6DAE"/>
    <w:rsid w:val="26DB1108"/>
    <w:rsid w:val="26DB434F"/>
    <w:rsid w:val="26DD1E76"/>
    <w:rsid w:val="26E03714"/>
    <w:rsid w:val="26E07A13"/>
    <w:rsid w:val="26E77D2A"/>
    <w:rsid w:val="26FB7E82"/>
    <w:rsid w:val="270278E7"/>
    <w:rsid w:val="27062D33"/>
    <w:rsid w:val="27230737"/>
    <w:rsid w:val="27247AA4"/>
    <w:rsid w:val="27264508"/>
    <w:rsid w:val="27275308"/>
    <w:rsid w:val="272B69DA"/>
    <w:rsid w:val="27300FF9"/>
    <w:rsid w:val="27306961"/>
    <w:rsid w:val="27346B8F"/>
    <w:rsid w:val="27452AAD"/>
    <w:rsid w:val="275D2FB6"/>
    <w:rsid w:val="276471EB"/>
    <w:rsid w:val="276A122F"/>
    <w:rsid w:val="276C6AAD"/>
    <w:rsid w:val="276E2ACE"/>
    <w:rsid w:val="276F1C0A"/>
    <w:rsid w:val="27734588"/>
    <w:rsid w:val="27897032"/>
    <w:rsid w:val="278A18D2"/>
    <w:rsid w:val="279B3ADF"/>
    <w:rsid w:val="27A635DC"/>
    <w:rsid w:val="27B11893"/>
    <w:rsid w:val="27B301F5"/>
    <w:rsid w:val="27B343EB"/>
    <w:rsid w:val="27B917D9"/>
    <w:rsid w:val="27BB67F2"/>
    <w:rsid w:val="27C052F3"/>
    <w:rsid w:val="27C260E2"/>
    <w:rsid w:val="27CE17BE"/>
    <w:rsid w:val="27D112AE"/>
    <w:rsid w:val="27D52B4D"/>
    <w:rsid w:val="27D75C67"/>
    <w:rsid w:val="27DD3E45"/>
    <w:rsid w:val="27E03472"/>
    <w:rsid w:val="27E7741F"/>
    <w:rsid w:val="27EE38FE"/>
    <w:rsid w:val="27EE440B"/>
    <w:rsid w:val="27F0062F"/>
    <w:rsid w:val="27F33EE4"/>
    <w:rsid w:val="27F409D5"/>
    <w:rsid w:val="28017DE6"/>
    <w:rsid w:val="280612FE"/>
    <w:rsid w:val="280A6C77"/>
    <w:rsid w:val="280C5045"/>
    <w:rsid w:val="280D0DD8"/>
    <w:rsid w:val="280D43ED"/>
    <w:rsid w:val="280E42B1"/>
    <w:rsid w:val="281774F5"/>
    <w:rsid w:val="282F2BE6"/>
    <w:rsid w:val="28342F2F"/>
    <w:rsid w:val="284515A8"/>
    <w:rsid w:val="284964C8"/>
    <w:rsid w:val="284B2E0F"/>
    <w:rsid w:val="284C629E"/>
    <w:rsid w:val="285409FA"/>
    <w:rsid w:val="28575C58"/>
    <w:rsid w:val="285A12A4"/>
    <w:rsid w:val="285D1191"/>
    <w:rsid w:val="285F1FD2"/>
    <w:rsid w:val="286345FC"/>
    <w:rsid w:val="28690923"/>
    <w:rsid w:val="286B1A6F"/>
    <w:rsid w:val="286C1CD2"/>
    <w:rsid w:val="28771E56"/>
    <w:rsid w:val="287E4F92"/>
    <w:rsid w:val="287F70C8"/>
    <w:rsid w:val="28822F06"/>
    <w:rsid w:val="28836A4D"/>
    <w:rsid w:val="2885273C"/>
    <w:rsid w:val="28877B07"/>
    <w:rsid w:val="28880DF6"/>
    <w:rsid w:val="28921CDC"/>
    <w:rsid w:val="289D1D9F"/>
    <w:rsid w:val="289E0BE5"/>
    <w:rsid w:val="28AA4330"/>
    <w:rsid w:val="28B041DE"/>
    <w:rsid w:val="28B41765"/>
    <w:rsid w:val="28B96D7F"/>
    <w:rsid w:val="28C4446D"/>
    <w:rsid w:val="28C976D2"/>
    <w:rsid w:val="28CD36A6"/>
    <w:rsid w:val="28D21782"/>
    <w:rsid w:val="28E8569A"/>
    <w:rsid w:val="28E868B0"/>
    <w:rsid w:val="28EA2628"/>
    <w:rsid w:val="28EF49A4"/>
    <w:rsid w:val="28F25980"/>
    <w:rsid w:val="28F507E0"/>
    <w:rsid w:val="28F74D45"/>
    <w:rsid w:val="28F95257"/>
    <w:rsid w:val="28FD67FF"/>
    <w:rsid w:val="28FF1471"/>
    <w:rsid w:val="28FF3418"/>
    <w:rsid w:val="29035317"/>
    <w:rsid w:val="290424DB"/>
    <w:rsid w:val="29053906"/>
    <w:rsid w:val="290C43B0"/>
    <w:rsid w:val="291612ED"/>
    <w:rsid w:val="29180602"/>
    <w:rsid w:val="292178F6"/>
    <w:rsid w:val="292264E0"/>
    <w:rsid w:val="29286333"/>
    <w:rsid w:val="292D5FDC"/>
    <w:rsid w:val="292F2731"/>
    <w:rsid w:val="29306638"/>
    <w:rsid w:val="29386107"/>
    <w:rsid w:val="29394CEC"/>
    <w:rsid w:val="29501316"/>
    <w:rsid w:val="29531B28"/>
    <w:rsid w:val="29613FA7"/>
    <w:rsid w:val="29614488"/>
    <w:rsid w:val="296C74E1"/>
    <w:rsid w:val="29720F92"/>
    <w:rsid w:val="29725FA9"/>
    <w:rsid w:val="297D16EE"/>
    <w:rsid w:val="29905D8B"/>
    <w:rsid w:val="2991644E"/>
    <w:rsid w:val="2992006A"/>
    <w:rsid w:val="29964799"/>
    <w:rsid w:val="2999687A"/>
    <w:rsid w:val="29AF6A79"/>
    <w:rsid w:val="29B15C29"/>
    <w:rsid w:val="29C53C70"/>
    <w:rsid w:val="29C966E1"/>
    <w:rsid w:val="29CC63E6"/>
    <w:rsid w:val="29CE2227"/>
    <w:rsid w:val="29D42826"/>
    <w:rsid w:val="29DC49F4"/>
    <w:rsid w:val="29E17ECF"/>
    <w:rsid w:val="29E928DF"/>
    <w:rsid w:val="29EB19A2"/>
    <w:rsid w:val="29EC7864"/>
    <w:rsid w:val="29ED4A29"/>
    <w:rsid w:val="29EF7509"/>
    <w:rsid w:val="29F06E6F"/>
    <w:rsid w:val="29F174B1"/>
    <w:rsid w:val="2A047719"/>
    <w:rsid w:val="2A0A6E59"/>
    <w:rsid w:val="2A106F1F"/>
    <w:rsid w:val="2A1F176D"/>
    <w:rsid w:val="2A1F27A5"/>
    <w:rsid w:val="2A2C5E20"/>
    <w:rsid w:val="2A2D63B5"/>
    <w:rsid w:val="2A2F1F1E"/>
    <w:rsid w:val="2A391AB9"/>
    <w:rsid w:val="2A3D4927"/>
    <w:rsid w:val="2A401D9D"/>
    <w:rsid w:val="2A5E426D"/>
    <w:rsid w:val="2A6660C1"/>
    <w:rsid w:val="2A69053B"/>
    <w:rsid w:val="2A706C7F"/>
    <w:rsid w:val="2A713C7F"/>
    <w:rsid w:val="2A7147D9"/>
    <w:rsid w:val="2A78126D"/>
    <w:rsid w:val="2A816DE6"/>
    <w:rsid w:val="2A8947DB"/>
    <w:rsid w:val="2A8D1AFD"/>
    <w:rsid w:val="2A9271E7"/>
    <w:rsid w:val="2A965385"/>
    <w:rsid w:val="2A97233B"/>
    <w:rsid w:val="2A972457"/>
    <w:rsid w:val="2AA66A22"/>
    <w:rsid w:val="2ABB7304"/>
    <w:rsid w:val="2AC817FF"/>
    <w:rsid w:val="2ACE1AD5"/>
    <w:rsid w:val="2AD510B6"/>
    <w:rsid w:val="2AE72064"/>
    <w:rsid w:val="2AE729DA"/>
    <w:rsid w:val="2AF1047D"/>
    <w:rsid w:val="2AF81DD8"/>
    <w:rsid w:val="2AF91248"/>
    <w:rsid w:val="2AFE060C"/>
    <w:rsid w:val="2AFE7F0C"/>
    <w:rsid w:val="2B0A3ECC"/>
    <w:rsid w:val="2B294DB1"/>
    <w:rsid w:val="2B33447D"/>
    <w:rsid w:val="2B3E4EAD"/>
    <w:rsid w:val="2B3E5D0E"/>
    <w:rsid w:val="2B3E7934"/>
    <w:rsid w:val="2B536BAA"/>
    <w:rsid w:val="2B567AF0"/>
    <w:rsid w:val="2B610732"/>
    <w:rsid w:val="2B6C7C6C"/>
    <w:rsid w:val="2B7D025F"/>
    <w:rsid w:val="2B886128"/>
    <w:rsid w:val="2B8D4158"/>
    <w:rsid w:val="2B9335DC"/>
    <w:rsid w:val="2B942D1F"/>
    <w:rsid w:val="2B983ECA"/>
    <w:rsid w:val="2B9B22FF"/>
    <w:rsid w:val="2BA75ECB"/>
    <w:rsid w:val="2BB138D1"/>
    <w:rsid w:val="2BB62C95"/>
    <w:rsid w:val="2BB72D43"/>
    <w:rsid w:val="2BBD71D9"/>
    <w:rsid w:val="2BC445B9"/>
    <w:rsid w:val="2BCB64AE"/>
    <w:rsid w:val="2BEB6DE3"/>
    <w:rsid w:val="2BF01C4F"/>
    <w:rsid w:val="2BF612E4"/>
    <w:rsid w:val="2BF71D69"/>
    <w:rsid w:val="2BFB575E"/>
    <w:rsid w:val="2BFD08C4"/>
    <w:rsid w:val="2C002162"/>
    <w:rsid w:val="2C035777"/>
    <w:rsid w:val="2C0E6DA4"/>
    <w:rsid w:val="2C0E70A9"/>
    <w:rsid w:val="2C1A6EB9"/>
    <w:rsid w:val="2C1F1AC9"/>
    <w:rsid w:val="2C2A243C"/>
    <w:rsid w:val="2C2A71DF"/>
    <w:rsid w:val="2C2C2F57"/>
    <w:rsid w:val="2C302A48"/>
    <w:rsid w:val="2C4040EE"/>
    <w:rsid w:val="2C477D91"/>
    <w:rsid w:val="2C4A10B5"/>
    <w:rsid w:val="2C4A329A"/>
    <w:rsid w:val="2C4A407F"/>
    <w:rsid w:val="2C4B0C83"/>
    <w:rsid w:val="2C4B162F"/>
    <w:rsid w:val="2C4E1904"/>
    <w:rsid w:val="2C4F180B"/>
    <w:rsid w:val="2C5016D4"/>
    <w:rsid w:val="2C51605B"/>
    <w:rsid w:val="2C623873"/>
    <w:rsid w:val="2C626979"/>
    <w:rsid w:val="2C673F8F"/>
    <w:rsid w:val="2C817F6A"/>
    <w:rsid w:val="2C82199F"/>
    <w:rsid w:val="2C822C4A"/>
    <w:rsid w:val="2C8479B6"/>
    <w:rsid w:val="2C855915"/>
    <w:rsid w:val="2C8949FE"/>
    <w:rsid w:val="2CAA1BF4"/>
    <w:rsid w:val="2CC1414B"/>
    <w:rsid w:val="2CC31B0E"/>
    <w:rsid w:val="2CD63A16"/>
    <w:rsid w:val="2CE64BA5"/>
    <w:rsid w:val="2D045C82"/>
    <w:rsid w:val="2D0C1B61"/>
    <w:rsid w:val="2D0D0FDB"/>
    <w:rsid w:val="2D0D2D89"/>
    <w:rsid w:val="2D186DEB"/>
    <w:rsid w:val="2D1E19DF"/>
    <w:rsid w:val="2D1E6D44"/>
    <w:rsid w:val="2D216834"/>
    <w:rsid w:val="2D320D31"/>
    <w:rsid w:val="2D354363"/>
    <w:rsid w:val="2D3E1194"/>
    <w:rsid w:val="2D3E73E6"/>
    <w:rsid w:val="2D3F044C"/>
    <w:rsid w:val="2D47136C"/>
    <w:rsid w:val="2D4744ED"/>
    <w:rsid w:val="2D4A5D8B"/>
    <w:rsid w:val="2D5504D7"/>
    <w:rsid w:val="2D5664DE"/>
    <w:rsid w:val="2D5B3E67"/>
    <w:rsid w:val="2D626C0E"/>
    <w:rsid w:val="2D6410DD"/>
    <w:rsid w:val="2D6918FE"/>
    <w:rsid w:val="2D7163A4"/>
    <w:rsid w:val="2D7B7CF2"/>
    <w:rsid w:val="2D7D7839"/>
    <w:rsid w:val="2D875713"/>
    <w:rsid w:val="2D8C01F5"/>
    <w:rsid w:val="2D8D245B"/>
    <w:rsid w:val="2D937732"/>
    <w:rsid w:val="2D9A6AF9"/>
    <w:rsid w:val="2D9B7F27"/>
    <w:rsid w:val="2DA34CD8"/>
    <w:rsid w:val="2DB17BB8"/>
    <w:rsid w:val="2DB96405"/>
    <w:rsid w:val="2DBB08D7"/>
    <w:rsid w:val="2DC62405"/>
    <w:rsid w:val="2DCA69B9"/>
    <w:rsid w:val="2DD9710F"/>
    <w:rsid w:val="2DE93825"/>
    <w:rsid w:val="2DEC6E42"/>
    <w:rsid w:val="2DF94BAE"/>
    <w:rsid w:val="2DFA6269"/>
    <w:rsid w:val="2E03257A"/>
    <w:rsid w:val="2E0C560D"/>
    <w:rsid w:val="2E0E6DB8"/>
    <w:rsid w:val="2E0F1BDF"/>
    <w:rsid w:val="2E0F5C61"/>
    <w:rsid w:val="2E142036"/>
    <w:rsid w:val="2E2268D1"/>
    <w:rsid w:val="2E290D28"/>
    <w:rsid w:val="2E352597"/>
    <w:rsid w:val="2E3D4AF1"/>
    <w:rsid w:val="2E496D0A"/>
    <w:rsid w:val="2E4D2C29"/>
    <w:rsid w:val="2E501652"/>
    <w:rsid w:val="2E514DC3"/>
    <w:rsid w:val="2E520D92"/>
    <w:rsid w:val="2E692241"/>
    <w:rsid w:val="2E770CDA"/>
    <w:rsid w:val="2E7A6325"/>
    <w:rsid w:val="2E7D5CEC"/>
    <w:rsid w:val="2E80471D"/>
    <w:rsid w:val="2E8452CD"/>
    <w:rsid w:val="2E8C5F2F"/>
    <w:rsid w:val="2E924F48"/>
    <w:rsid w:val="2E951288"/>
    <w:rsid w:val="2E9B0AC6"/>
    <w:rsid w:val="2EAB0AAB"/>
    <w:rsid w:val="2EB401C1"/>
    <w:rsid w:val="2EC13E2B"/>
    <w:rsid w:val="2EC753D2"/>
    <w:rsid w:val="2ECE6548"/>
    <w:rsid w:val="2ED26BAD"/>
    <w:rsid w:val="2EDA40AD"/>
    <w:rsid w:val="2EE87609"/>
    <w:rsid w:val="2EEA497C"/>
    <w:rsid w:val="2EEB0EA8"/>
    <w:rsid w:val="2EF444CA"/>
    <w:rsid w:val="2EFB298B"/>
    <w:rsid w:val="2F01691D"/>
    <w:rsid w:val="2F0A4903"/>
    <w:rsid w:val="2F0B0FAD"/>
    <w:rsid w:val="2F0E4F72"/>
    <w:rsid w:val="2F1679A2"/>
    <w:rsid w:val="2F174C3D"/>
    <w:rsid w:val="2F206E4A"/>
    <w:rsid w:val="2F250E3B"/>
    <w:rsid w:val="2F2B1E8F"/>
    <w:rsid w:val="2F3F2610"/>
    <w:rsid w:val="2F451C2D"/>
    <w:rsid w:val="2F4B5DEA"/>
    <w:rsid w:val="2F541C99"/>
    <w:rsid w:val="2F57046A"/>
    <w:rsid w:val="2F590507"/>
    <w:rsid w:val="2F5A089B"/>
    <w:rsid w:val="2F612A17"/>
    <w:rsid w:val="2F633134"/>
    <w:rsid w:val="2F672985"/>
    <w:rsid w:val="2F682106"/>
    <w:rsid w:val="2F692858"/>
    <w:rsid w:val="2F6D5D61"/>
    <w:rsid w:val="2F7B66D0"/>
    <w:rsid w:val="2F7E7F6E"/>
    <w:rsid w:val="2F89769B"/>
    <w:rsid w:val="2F8F20DF"/>
    <w:rsid w:val="2F917956"/>
    <w:rsid w:val="2F921E6A"/>
    <w:rsid w:val="2F940399"/>
    <w:rsid w:val="2F990913"/>
    <w:rsid w:val="2F9C21A2"/>
    <w:rsid w:val="2FB61F4F"/>
    <w:rsid w:val="2FC0489B"/>
    <w:rsid w:val="2FC46619"/>
    <w:rsid w:val="2FCF694B"/>
    <w:rsid w:val="2FD3653B"/>
    <w:rsid w:val="2FD472F4"/>
    <w:rsid w:val="2FDA5E67"/>
    <w:rsid w:val="2FDD1780"/>
    <w:rsid w:val="2FE126DD"/>
    <w:rsid w:val="2FE9706B"/>
    <w:rsid w:val="2FE975F0"/>
    <w:rsid w:val="2FF95846"/>
    <w:rsid w:val="2FFB1A6A"/>
    <w:rsid w:val="30000983"/>
    <w:rsid w:val="30055990"/>
    <w:rsid w:val="300B6158"/>
    <w:rsid w:val="300D700E"/>
    <w:rsid w:val="30126B4E"/>
    <w:rsid w:val="301277B1"/>
    <w:rsid w:val="30152D2F"/>
    <w:rsid w:val="30153346"/>
    <w:rsid w:val="30156353"/>
    <w:rsid w:val="301C0738"/>
    <w:rsid w:val="30233B2A"/>
    <w:rsid w:val="302A1EA4"/>
    <w:rsid w:val="302C1778"/>
    <w:rsid w:val="302D2B26"/>
    <w:rsid w:val="302D30A6"/>
    <w:rsid w:val="30403C29"/>
    <w:rsid w:val="3042421D"/>
    <w:rsid w:val="304A55B1"/>
    <w:rsid w:val="305807BF"/>
    <w:rsid w:val="30644772"/>
    <w:rsid w:val="306F52A8"/>
    <w:rsid w:val="307032E8"/>
    <w:rsid w:val="30704CC6"/>
    <w:rsid w:val="307B25E8"/>
    <w:rsid w:val="308642B3"/>
    <w:rsid w:val="309E246E"/>
    <w:rsid w:val="30AA3658"/>
    <w:rsid w:val="30AE2286"/>
    <w:rsid w:val="30AE6631"/>
    <w:rsid w:val="30AF6BC4"/>
    <w:rsid w:val="30B644A3"/>
    <w:rsid w:val="30CE166B"/>
    <w:rsid w:val="30CE55C8"/>
    <w:rsid w:val="30D140CD"/>
    <w:rsid w:val="30DB50D5"/>
    <w:rsid w:val="30DD3F27"/>
    <w:rsid w:val="30DE489E"/>
    <w:rsid w:val="30EC089E"/>
    <w:rsid w:val="30EE2ED1"/>
    <w:rsid w:val="30F304E8"/>
    <w:rsid w:val="30F52CFA"/>
    <w:rsid w:val="30FA7AC8"/>
    <w:rsid w:val="31017ADC"/>
    <w:rsid w:val="310B6B56"/>
    <w:rsid w:val="310E68AD"/>
    <w:rsid w:val="31126BC0"/>
    <w:rsid w:val="3118459C"/>
    <w:rsid w:val="311917B6"/>
    <w:rsid w:val="311C17EC"/>
    <w:rsid w:val="31231DD2"/>
    <w:rsid w:val="312863E3"/>
    <w:rsid w:val="31295CB7"/>
    <w:rsid w:val="312F5B44"/>
    <w:rsid w:val="3131279D"/>
    <w:rsid w:val="3135465C"/>
    <w:rsid w:val="313905F0"/>
    <w:rsid w:val="314B257E"/>
    <w:rsid w:val="314B328A"/>
    <w:rsid w:val="315045FA"/>
    <w:rsid w:val="31523460"/>
    <w:rsid w:val="315630E8"/>
    <w:rsid w:val="31574285"/>
    <w:rsid w:val="315E3A28"/>
    <w:rsid w:val="3160383C"/>
    <w:rsid w:val="31666F0B"/>
    <w:rsid w:val="316A2F37"/>
    <w:rsid w:val="316B62D0"/>
    <w:rsid w:val="31705C7D"/>
    <w:rsid w:val="317062B6"/>
    <w:rsid w:val="31725D9D"/>
    <w:rsid w:val="317433D6"/>
    <w:rsid w:val="3179289B"/>
    <w:rsid w:val="31795FC2"/>
    <w:rsid w:val="317F50EB"/>
    <w:rsid w:val="3185606E"/>
    <w:rsid w:val="318642D2"/>
    <w:rsid w:val="31864FFD"/>
    <w:rsid w:val="318869AB"/>
    <w:rsid w:val="319B5AB3"/>
    <w:rsid w:val="319C4A3C"/>
    <w:rsid w:val="319D59C2"/>
    <w:rsid w:val="31BB24EE"/>
    <w:rsid w:val="31C27FA8"/>
    <w:rsid w:val="31C64FD3"/>
    <w:rsid w:val="31D57C0E"/>
    <w:rsid w:val="31D641D8"/>
    <w:rsid w:val="31DD71CE"/>
    <w:rsid w:val="31E61640"/>
    <w:rsid w:val="31F57241"/>
    <w:rsid w:val="31F91B2E"/>
    <w:rsid w:val="31FD161E"/>
    <w:rsid w:val="3201418F"/>
    <w:rsid w:val="3203418B"/>
    <w:rsid w:val="320F4EAD"/>
    <w:rsid w:val="3216630D"/>
    <w:rsid w:val="32191325"/>
    <w:rsid w:val="322842EF"/>
    <w:rsid w:val="32342B66"/>
    <w:rsid w:val="32351D9D"/>
    <w:rsid w:val="323B62CA"/>
    <w:rsid w:val="32430E48"/>
    <w:rsid w:val="3246000F"/>
    <w:rsid w:val="32503088"/>
    <w:rsid w:val="32516877"/>
    <w:rsid w:val="32546D64"/>
    <w:rsid w:val="325D3E6B"/>
    <w:rsid w:val="32634ED6"/>
    <w:rsid w:val="326A47D9"/>
    <w:rsid w:val="326E42CA"/>
    <w:rsid w:val="32736509"/>
    <w:rsid w:val="327B181C"/>
    <w:rsid w:val="32823DDB"/>
    <w:rsid w:val="328626B9"/>
    <w:rsid w:val="32874C14"/>
    <w:rsid w:val="32904380"/>
    <w:rsid w:val="32976BE6"/>
    <w:rsid w:val="32981347"/>
    <w:rsid w:val="32A71F93"/>
    <w:rsid w:val="32AB773A"/>
    <w:rsid w:val="32AF7100"/>
    <w:rsid w:val="32B50A5D"/>
    <w:rsid w:val="32B954BB"/>
    <w:rsid w:val="32BE6D38"/>
    <w:rsid w:val="32C947BB"/>
    <w:rsid w:val="32CD72CC"/>
    <w:rsid w:val="32CE034A"/>
    <w:rsid w:val="32CE3F9C"/>
    <w:rsid w:val="32D103B5"/>
    <w:rsid w:val="32D14ADB"/>
    <w:rsid w:val="32DC56D7"/>
    <w:rsid w:val="32DF2BCE"/>
    <w:rsid w:val="32E35176"/>
    <w:rsid w:val="32E427DE"/>
    <w:rsid w:val="32FE0237"/>
    <w:rsid w:val="33016D23"/>
    <w:rsid w:val="330771D2"/>
    <w:rsid w:val="330B463D"/>
    <w:rsid w:val="33155ECA"/>
    <w:rsid w:val="33182487"/>
    <w:rsid w:val="331B463D"/>
    <w:rsid w:val="33224DA6"/>
    <w:rsid w:val="3323216C"/>
    <w:rsid w:val="33245355"/>
    <w:rsid w:val="33270F22"/>
    <w:rsid w:val="3333106F"/>
    <w:rsid w:val="333371F3"/>
    <w:rsid w:val="33360887"/>
    <w:rsid w:val="333D0637"/>
    <w:rsid w:val="333D0CEC"/>
    <w:rsid w:val="333F17C2"/>
    <w:rsid w:val="334A3A91"/>
    <w:rsid w:val="334A46FB"/>
    <w:rsid w:val="334C5311"/>
    <w:rsid w:val="334E5EA9"/>
    <w:rsid w:val="3350065B"/>
    <w:rsid w:val="33547F33"/>
    <w:rsid w:val="3358439F"/>
    <w:rsid w:val="33631E0B"/>
    <w:rsid w:val="33641F81"/>
    <w:rsid w:val="336A13A5"/>
    <w:rsid w:val="336A4256"/>
    <w:rsid w:val="33872C3D"/>
    <w:rsid w:val="339A78CE"/>
    <w:rsid w:val="33A32227"/>
    <w:rsid w:val="33A361F5"/>
    <w:rsid w:val="33A67108"/>
    <w:rsid w:val="33AB3DCC"/>
    <w:rsid w:val="33B37F5C"/>
    <w:rsid w:val="33B7481C"/>
    <w:rsid w:val="33B95251"/>
    <w:rsid w:val="33BB5540"/>
    <w:rsid w:val="33C32FB0"/>
    <w:rsid w:val="33C50529"/>
    <w:rsid w:val="33C7731C"/>
    <w:rsid w:val="33D04B10"/>
    <w:rsid w:val="33D75164"/>
    <w:rsid w:val="33D94875"/>
    <w:rsid w:val="33E83C08"/>
    <w:rsid w:val="33EF3432"/>
    <w:rsid w:val="33FA5772"/>
    <w:rsid w:val="340547BA"/>
    <w:rsid w:val="34067514"/>
    <w:rsid w:val="34086C8B"/>
    <w:rsid w:val="341E4DC2"/>
    <w:rsid w:val="3423623B"/>
    <w:rsid w:val="342A5F2C"/>
    <w:rsid w:val="342F7DEC"/>
    <w:rsid w:val="343126B5"/>
    <w:rsid w:val="34346E4D"/>
    <w:rsid w:val="34385DC7"/>
    <w:rsid w:val="344233E9"/>
    <w:rsid w:val="34476B80"/>
    <w:rsid w:val="34623692"/>
    <w:rsid w:val="34665642"/>
    <w:rsid w:val="346D124D"/>
    <w:rsid w:val="34711390"/>
    <w:rsid w:val="34757B91"/>
    <w:rsid w:val="3480243A"/>
    <w:rsid w:val="34853B4C"/>
    <w:rsid w:val="3486019B"/>
    <w:rsid w:val="34931A96"/>
    <w:rsid w:val="349561DB"/>
    <w:rsid w:val="349D086A"/>
    <w:rsid w:val="349F7FDC"/>
    <w:rsid w:val="34A03348"/>
    <w:rsid w:val="34A87F6D"/>
    <w:rsid w:val="34AF629B"/>
    <w:rsid w:val="34B02D58"/>
    <w:rsid w:val="34CF0F0F"/>
    <w:rsid w:val="34D649FE"/>
    <w:rsid w:val="34DB5BDC"/>
    <w:rsid w:val="34E206E1"/>
    <w:rsid w:val="34E263DB"/>
    <w:rsid w:val="34E4026A"/>
    <w:rsid w:val="34EC3AC9"/>
    <w:rsid w:val="34F2533E"/>
    <w:rsid w:val="34FB4A36"/>
    <w:rsid w:val="35143970"/>
    <w:rsid w:val="351533ED"/>
    <w:rsid w:val="351D7AE8"/>
    <w:rsid w:val="35301EC3"/>
    <w:rsid w:val="35393682"/>
    <w:rsid w:val="3541200A"/>
    <w:rsid w:val="354168C4"/>
    <w:rsid w:val="35472BB0"/>
    <w:rsid w:val="3548790C"/>
    <w:rsid w:val="354D6418"/>
    <w:rsid w:val="35555B4E"/>
    <w:rsid w:val="355D42E6"/>
    <w:rsid w:val="356279EA"/>
    <w:rsid w:val="35654127"/>
    <w:rsid w:val="357557F7"/>
    <w:rsid w:val="357A4D33"/>
    <w:rsid w:val="357D1B56"/>
    <w:rsid w:val="357F56BE"/>
    <w:rsid w:val="358149EF"/>
    <w:rsid w:val="359258CF"/>
    <w:rsid w:val="35941EE4"/>
    <w:rsid w:val="359779FE"/>
    <w:rsid w:val="35984047"/>
    <w:rsid w:val="35996A01"/>
    <w:rsid w:val="35A3159E"/>
    <w:rsid w:val="35B57271"/>
    <w:rsid w:val="35B6181A"/>
    <w:rsid w:val="35BD7658"/>
    <w:rsid w:val="35BE11A8"/>
    <w:rsid w:val="35C9607E"/>
    <w:rsid w:val="35CD3B05"/>
    <w:rsid w:val="35CE07E8"/>
    <w:rsid w:val="35D24B6F"/>
    <w:rsid w:val="35D723E7"/>
    <w:rsid w:val="35DA5DB0"/>
    <w:rsid w:val="35DB5EC1"/>
    <w:rsid w:val="35E23E2E"/>
    <w:rsid w:val="35E7439C"/>
    <w:rsid w:val="35ED2F28"/>
    <w:rsid w:val="35F11419"/>
    <w:rsid w:val="35F418C0"/>
    <w:rsid w:val="35F5085E"/>
    <w:rsid w:val="36025A84"/>
    <w:rsid w:val="36032F7B"/>
    <w:rsid w:val="3612647C"/>
    <w:rsid w:val="36147018"/>
    <w:rsid w:val="362128FE"/>
    <w:rsid w:val="36260A17"/>
    <w:rsid w:val="362A49AB"/>
    <w:rsid w:val="362A675A"/>
    <w:rsid w:val="36317AE8"/>
    <w:rsid w:val="363475D8"/>
    <w:rsid w:val="36360607"/>
    <w:rsid w:val="363C4DE7"/>
    <w:rsid w:val="363D2F83"/>
    <w:rsid w:val="36455341"/>
    <w:rsid w:val="364907A3"/>
    <w:rsid w:val="36571E8A"/>
    <w:rsid w:val="3667669B"/>
    <w:rsid w:val="366854D4"/>
    <w:rsid w:val="36706B22"/>
    <w:rsid w:val="367865FB"/>
    <w:rsid w:val="36835E6A"/>
    <w:rsid w:val="368A2F3E"/>
    <w:rsid w:val="368F480F"/>
    <w:rsid w:val="369333B7"/>
    <w:rsid w:val="369342FF"/>
    <w:rsid w:val="36965B9D"/>
    <w:rsid w:val="369F5C48"/>
    <w:rsid w:val="36A155A7"/>
    <w:rsid w:val="36A35C8D"/>
    <w:rsid w:val="36AC716F"/>
    <w:rsid w:val="36BE73B3"/>
    <w:rsid w:val="36BF714A"/>
    <w:rsid w:val="36C06A28"/>
    <w:rsid w:val="36C41988"/>
    <w:rsid w:val="36C871D4"/>
    <w:rsid w:val="36CC43AF"/>
    <w:rsid w:val="36D31D90"/>
    <w:rsid w:val="36DC35FA"/>
    <w:rsid w:val="36DD1A1E"/>
    <w:rsid w:val="36E0221D"/>
    <w:rsid w:val="36E0288E"/>
    <w:rsid w:val="36E345A3"/>
    <w:rsid w:val="36E67C80"/>
    <w:rsid w:val="36F2632E"/>
    <w:rsid w:val="370878A0"/>
    <w:rsid w:val="370B7204"/>
    <w:rsid w:val="370F5BF3"/>
    <w:rsid w:val="371F6FE6"/>
    <w:rsid w:val="372B776E"/>
    <w:rsid w:val="372C3876"/>
    <w:rsid w:val="37455673"/>
    <w:rsid w:val="375901B0"/>
    <w:rsid w:val="37592C62"/>
    <w:rsid w:val="376143FD"/>
    <w:rsid w:val="37621CCD"/>
    <w:rsid w:val="37672250"/>
    <w:rsid w:val="37695EFA"/>
    <w:rsid w:val="376A7405"/>
    <w:rsid w:val="376B527C"/>
    <w:rsid w:val="376B62D4"/>
    <w:rsid w:val="377063EE"/>
    <w:rsid w:val="37712166"/>
    <w:rsid w:val="37721846"/>
    <w:rsid w:val="377C4D93"/>
    <w:rsid w:val="377D6D5D"/>
    <w:rsid w:val="377E2FB7"/>
    <w:rsid w:val="378352D8"/>
    <w:rsid w:val="378656E9"/>
    <w:rsid w:val="378C0712"/>
    <w:rsid w:val="378C393B"/>
    <w:rsid w:val="378D61E4"/>
    <w:rsid w:val="37910951"/>
    <w:rsid w:val="379561F9"/>
    <w:rsid w:val="379E7954"/>
    <w:rsid w:val="37A54D04"/>
    <w:rsid w:val="37A75B88"/>
    <w:rsid w:val="37A974A4"/>
    <w:rsid w:val="37AF7D92"/>
    <w:rsid w:val="37AF7EE0"/>
    <w:rsid w:val="37B51B38"/>
    <w:rsid w:val="37BE08A2"/>
    <w:rsid w:val="37C87AAE"/>
    <w:rsid w:val="37CA01F4"/>
    <w:rsid w:val="37CD55EE"/>
    <w:rsid w:val="37CF1981"/>
    <w:rsid w:val="37D2440C"/>
    <w:rsid w:val="37D42E21"/>
    <w:rsid w:val="37DB599D"/>
    <w:rsid w:val="37F2136C"/>
    <w:rsid w:val="37F45271"/>
    <w:rsid w:val="37F561E6"/>
    <w:rsid w:val="37F60FE9"/>
    <w:rsid w:val="37FA274B"/>
    <w:rsid w:val="37FC04AB"/>
    <w:rsid w:val="38080218"/>
    <w:rsid w:val="380B1E16"/>
    <w:rsid w:val="380B6117"/>
    <w:rsid w:val="38105348"/>
    <w:rsid w:val="381D2CE6"/>
    <w:rsid w:val="38206AF7"/>
    <w:rsid w:val="3825731A"/>
    <w:rsid w:val="382A3096"/>
    <w:rsid w:val="382A6E0F"/>
    <w:rsid w:val="38397128"/>
    <w:rsid w:val="384344D3"/>
    <w:rsid w:val="3847495D"/>
    <w:rsid w:val="384818BA"/>
    <w:rsid w:val="385D0CEB"/>
    <w:rsid w:val="3866173D"/>
    <w:rsid w:val="386D6DD1"/>
    <w:rsid w:val="3870318F"/>
    <w:rsid w:val="387939C8"/>
    <w:rsid w:val="38877407"/>
    <w:rsid w:val="388B06CF"/>
    <w:rsid w:val="388B5B4D"/>
    <w:rsid w:val="388D4D7E"/>
    <w:rsid w:val="38931E37"/>
    <w:rsid w:val="38936CED"/>
    <w:rsid w:val="389F684B"/>
    <w:rsid w:val="38A32936"/>
    <w:rsid w:val="38AD5A5E"/>
    <w:rsid w:val="38B4055C"/>
    <w:rsid w:val="38B467AE"/>
    <w:rsid w:val="38B86BCD"/>
    <w:rsid w:val="38BD1242"/>
    <w:rsid w:val="38BD1B07"/>
    <w:rsid w:val="38C74734"/>
    <w:rsid w:val="38C81E6C"/>
    <w:rsid w:val="38C92DDF"/>
    <w:rsid w:val="38D66725"/>
    <w:rsid w:val="38D84F92"/>
    <w:rsid w:val="38DA28E3"/>
    <w:rsid w:val="38DE382B"/>
    <w:rsid w:val="38EA7D3C"/>
    <w:rsid w:val="38F92413"/>
    <w:rsid w:val="38FE2276"/>
    <w:rsid w:val="39043DB8"/>
    <w:rsid w:val="39047124"/>
    <w:rsid w:val="39051213"/>
    <w:rsid w:val="39113C01"/>
    <w:rsid w:val="391332F6"/>
    <w:rsid w:val="391667AB"/>
    <w:rsid w:val="391B05DB"/>
    <w:rsid w:val="391D4354"/>
    <w:rsid w:val="391E1AF1"/>
    <w:rsid w:val="39225AD9"/>
    <w:rsid w:val="3922727F"/>
    <w:rsid w:val="392F1402"/>
    <w:rsid w:val="3932023F"/>
    <w:rsid w:val="3934619F"/>
    <w:rsid w:val="394C69E7"/>
    <w:rsid w:val="394F0285"/>
    <w:rsid w:val="39512953"/>
    <w:rsid w:val="39516662"/>
    <w:rsid w:val="39561D2C"/>
    <w:rsid w:val="39644FDE"/>
    <w:rsid w:val="39660B6F"/>
    <w:rsid w:val="396B18F5"/>
    <w:rsid w:val="396E6BFE"/>
    <w:rsid w:val="397F31CA"/>
    <w:rsid w:val="39894B3E"/>
    <w:rsid w:val="398A2824"/>
    <w:rsid w:val="398E6FFF"/>
    <w:rsid w:val="39A20CFD"/>
    <w:rsid w:val="39A75E83"/>
    <w:rsid w:val="39B50A30"/>
    <w:rsid w:val="39B62978"/>
    <w:rsid w:val="39B747A8"/>
    <w:rsid w:val="39CC096E"/>
    <w:rsid w:val="39CC0F50"/>
    <w:rsid w:val="39D013C6"/>
    <w:rsid w:val="39E60BE9"/>
    <w:rsid w:val="39E73698"/>
    <w:rsid w:val="39F30880"/>
    <w:rsid w:val="39F72DF7"/>
    <w:rsid w:val="39FA49B1"/>
    <w:rsid w:val="39FB4D8F"/>
    <w:rsid w:val="39FE4EB6"/>
    <w:rsid w:val="39FF3A59"/>
    <w:rsid w:val="3A067163"/>
    <w:rsid w:val="3A080B60"/>
    <w:rsid w:val="3A0E43A9"/>
    <w:rsid w:val="3A131647"/>
    <w:rsid w:val="3A207BDC"/>
    <w:rsid w:val="3A296D8E"/>
    <w:rsid w:val="3A2B0CF2"/>
    <w:rsid w:val="3A2B5401"/>
    <w:rsid w:val="3A4756F3"/>
    <w:rsid w:val="3A4A561C"/>
    <w:rsid w:val="3A4E7A20"/>
    <w:rsid w:val="3A5262EA"/>
    <w:rsid w:val="3A5C62C1"/>
    <w:rsid w:val="3A5F7D57"/>
    <w:rsid w:val="3A6A7A6C"/>
    <w:rsid w:val="3A6B3DFF"/>
    <w:rsid w:val="3A6C1FFF"/>
    <w:rsid w:val="3A6D1460"/>
    <w:rsid w:val="3A6E37BE"/>
    <w:rsid w:val="3A7152A8"/>
    <w:rsid w:val="3A770D92"/>
    <w:rsid w:val="3A7B3A28"/>
    <w:rsid w:val="3A7F3C43"/>
    <w:rsid w:val="3A851A34"/>
    <w:rsid w:val="3A8C79E3"/>
    <w:rsid w:val="3A970136"/>
    <w:rsid w:val="3A9B5E78"/>
    <w:rsid w:val="3AA27206"/>
    <w:rsid w:val="3AA700A1"/>
    <w:rsid w:val="3AA8084F"/>
    <w:rsid w:val="3AAA6FAD"/>
    <w:rsid w:val="3AB947E1"/>
    <w:rsid w:val="3AC32CD9"/>
    <w:rsid w:val="3ADE5D64"/>
    <w:rsid w:val="3AE671D5"/>
    <w:rsid w:val="3AE72E6B"/>
    <w:rsid w:val="3AEA37F3"/>
    <w:rsid w:val="3AED1BBB"/>
    <w:rsid w:val="3AF21490"/>
    <w:rsid w:val="3AFA7DAE"/>
    <w:rsid w:val="3B044EA2"/>
    <w:rsid w:val="3B0752BB"/>
    <w:rsid w:val="3B1F0857"/>
    <w:rsid w:val="3B390A93"/>
    <w:rsid w:val="3B3A575C"/>
    <w:rsid w:val="3B3F4A55"/>
    <w:rsid w:val="3B3F7E3E"/>
    <w:rsid w:val="3B5A31DA"/>
    <w:rsid w:val="3B5D2003"/>
    <w:rsid w:val="3B614F1D"/>
    <w:rsid w:val="3B643511"/>
    <w:rsid w:val="3B6566A6"/>
    <w:rsid w:val="3B6A7123"/>
    <w:rsid w:val="3B73316E"/>
    <w:rsid w:val="3B7F30A4"/>
    <w:rsid w:val="3B8C1D59"/>
    <w:rsid w:val="3B9B15AF"/>
    <w:rsid w:val="3BA527DF"/>
    <w:rsid w:val="3BA63804"/>
    <w:rsid w:val="3BB6283D"/>
    <w:rsid w:val="3BBA0580"/>
    <w:rsid w:val="3BC44F5A"/>
    <w:rsid w:val="3BD3519D"/>
    <w:rsid w:val="3BD36B6B"/>
    <w:rsid w:val="3BDE524C"/>
    <w:rsid w:val="3BE26AE1"/>
    <w:rsid w:val="3BE439CC"/>
    <w:rsid w:val="3BF13876"/>
    <w:rsid w:val="3BF22375"/>
    <w:rsid w:val="3C0161AE"/>
    <w:rsid w:val="3C1F3E49"/>
    <w:rsid w:val="3C277DB9"/>
    <w:rsid w:val="3C410359"/>
    <w:rsid w:val="3C537E81"/>
    <w:rsid w:val="3C555A1E"/>
    <w:rsid w:val="3C5B317F"/>
    <w:rsid w:val="3C651580"/>
    <w:rsid w:val="3C770CF1"/>
    <w:rsid w:val="3C7C3A87"/>
    <w:rsid w:val="3C892371"/>
    <w:rsid w:val="3C8C25D2"/>
    <w:rsid w:val="3C95770C"/>
    <w:rsid w:val="3C987704"/>
    <w:rsid w:val="3CA32DC2"/>
    <w:rsid w:val="3CA619B1"/>
    <w:rsid w:val="3CAC611A"/>
    <w:rsid w:val="3CAF3139"/>
    <w:rsid w:val="3CB13731"/>
    <w:rsid w:val="3CC80C7F"/>
    <w:rsid w:val="3CD916F6"/>
    <w:rsid w:val="3CE70DB8"/>
    <w:rsid w:val="3CE83692"/>
    <w:rsid w:val="3CF17FD1"/>
    <w:rsid w:val="3CF35A94"/>
    <w:rsid w:val="3CF41400"/>
    <w:rsid w:val="3CF63839"/>
    <w:rsid w:val="3CFC17D0"/>
    <w:rsid w:val="3D09356D"/>
    <w:rsid w:val="3D0D2FB0"/>
    <w:rsid w:val="3D1513A5"/>
    <w:rsid w:val="3D163594"/>
    <w:rsid w:val="3D1825A2"/>
    <w:rsid w:val="3D191A51"/>
    <w:rsid w:val="3D22283E"/>
    <w:rsid w:val="3D2263DC"/>
    <w:rsid w:val="3D3103CE"/>
    <w:rsid w:val="3D3E226D"/>
    <w:rsid w:val="3D3F2217"/>
    <w:rsid w:val="3D4520CB"/>
    <w:rsid w:val="3D5134CB"/>
    <w:rsid w:val="3D55447E"/>
    <w:rsid w:val="3D600CB3"/>
    <w:rsid w:val="3D6179CB"/>
    <w:rsid w:val="3D6F73FC"/>
    <w:rsid w:val="3D7130B2"/>
    <w:rsid w:val="3D73400A"/>
    <w:rsid w:val="3D8E3A72"/>
    <w:rsid w:val="3D8F7BCA"/>
    <w:rsid w:val="3D9034BE"/>
    <w:rsid w:val="3D917CF4"/>
    <w:rsid w:val="3D9C187B"/>
    <w:rsid w:val="3DAA0180"/>
    <w:rsid w:val="3DAD45E9"/>
    <w:rsid w:val="3DB652AD"/>
    <w:rsid w:val="3DBE0321"/>
    <w:rsid w:val="3DC2196D"/>
    <w:rsid w:val="3DCF03F9"/>
    <w:rsid w:val="3DDA706A"/>
    <w:rsid w:val="3DDF423F"/>
    <w:rsid w:val="3DE939FC"/>
    <w:rsid w:val="3DEF41EA"/>
    <w:rsid w:val="3DF02037"/>
    <w:rsid w:val="3DF16CDF"/>
    <w:rsid w:val="3DF60BBB"/>
    <w:rsid w:val="3E014687"/>
    <w:rsid w:val="3E0D0E3B"/>
    <w:rsid w:val="3E1D08B5"/>
    <w:rsid w:val="3E2145FB"/>
    <w:rsid w:val="3E2239FA"/>
    <w:rsid w:val="3E247F32"/>
    <w:rsid w:val="3E3143FD"/>
    <w:rsid w:val="3E342DF1"/>
    <w:rsid w:val="3E3846C5"/>
    <w:rsid w:val="3E390643"/>
    <w:rsid w:val="3E3A0201"/>
    <w:rsid w:val="3E3A59A8"/>
    <w:rsid w:val="3E3B796C"/>
    <w:rsid w:val="3E3F21B1"/>
    <w:rsid w:val="3E4920FF"/>
    <w:rsid w:val="3E4A5B2A"/>
    <w:rsid w:val="3E523112"/>
    <w:rsid w:val="3E5C147A"/>
    <w:rsid w:val="3E5C392E"/>
    <w:rsid w:val="3E5C4D5B"/>
    <w:rsid w:val="3E647817"/>
    <w:rsid w:val="3E654263"/>
    <w:rsid w:val="3E7B46E8"/>
    <w:rsid w:val="3E7E66BF"/>
    <w:rsid w:val="3E813130"/>
    <w:rsid w:val="3E9514D0"/>
    <w:rsid w:val="3E9A368F"/>
    <w:rsid w:val="3E9E6530"/>
    <w:rsid w:val="3EAD30B6"/>
    <w:rsid w:val="3EB43064"/>
    <w:rsid w:val="3EB81A14"/>
    <w:rsid w:val="3EB85781"/>
    <w:rsid w:val="3EBA3015"/>
    <w:rsid w:val="3EBE72FD"/>
    <w:rsid w:val="3EBF0C71"/>
    <w:rsid w:val="3EC52C0E"/>
    <w:rsid w:val="3ECC2AA4"/>
    <w:rsid w:val="3ECC4F11"/>
    <w:rsid w:val="3ECF60F0"/>
    <w:rsid w:val="3ED90C96"/>
    <w:rsid w:val="3ED951C1"/>
    <w:rsid w:val="3EDE27D7"/>
    <w:rsid w:val="3EED47C8"/>
    <w:rsid w:val="3EF11F0E"/>
    <w:rsid w:val="3EF6342D"/>
    <w:rsid w:val="3EFB5E90"/>
    <w:rsid w:val="3F081602"/>
    <w:rsid w:val="3F104137"/>
    <w:rsid w:val="3F1400B3"/>
    <w:rsid w:val="3F140594"/>
    <w:rsid w:val="3F152851"/>
    <w:rsid w:val="3F1925D1"/>
    <w:rsid w:val="3F2006FA"/>
    <w:rsid w:val="3F2356B2"/>
    <w:rsid w:val="3F3A0789"/>
    <w:rsid w:val="3F454604"/>
    <w:rsid w:val="3F456272"/>
    <w:rsid w:val="3F4568C2"/>
    <w:rsid w:val="3F535B1A"/>
    <w:rsid w:val="3F544847"/>
    <w:rsid w:val="3F553CBB"/>
    <w:rsid w:val="3F6F2CA5"/>
    <w:rsid w:val="3F6F74A6"/>
    <w:rsid w:val="3F704041"/>
    <w:rsid w:val="3F7222FD"/>
    <w:rsid w:val="3F8142FF"/>
    <w:rsid w:val="3F88428B"/>
    <w:rsid w:val="3F8A23C9"/>
    <w:rsid w:val="3F9134F1"/>
    <w:rsid w:val="3F92608C"/>
    <w:rsid w:val="3F964FE0"/>
    <w:rsid w:val="3F997779"/>
    <w:rsid w:val="3FA26DC7"/>
    <w:rsid w:val="3FBD4CDE"/>
    <w:rsid w:val="3FBE71EB"/>
    <w:rsid w:val="3FC073EB"/>
    <w:rsid w:val="3FC40F33"/>
    <w:rsid w:val="3FC96FE3"/>
    <w:rsid w:val="3FCC5DA0"/>
    <w:rsid w:val="3FDE235C"/>
    <w:rsid w:val="3FDF6807"/>
    <w:rsid w:val="3FE07E89"/>
    <w:rsid w:val="3FEF50DC"/>
    <w:rsid w:val="3FF43FD3"/>
    <w:rsid w:val="400F2C87"/>
    <w:rsid w:val="401D04E8"/>
    <w:rsid w:val="401F09B1"/>
    <w:rsid w:val="40200374"/>
    <w:rsid w:val="40261ECE"/>
    <w:rsid w:val="402B1A4C"/>
    <w:rsid w:val="403673E9"/>
    <w:rsid w:val="40373AAA"/>
    <w:rsid w:val="403A57EB"/>
    <w:rsid w:val="403C641F"/>
    <w:rsid w:val="403C7AC4"/>
    <w:rsid w:val="40423D07"/>
    <w:rsid w:val="4044724F"/>
    <w:rsid w:val="40454AA0"/>
    <w:rsid w:val="40462F23"/>
    <w:rsid w:val="40464542"/>
    <w:rsid w:val="40480A89"/>
    <w:rsid w:val="40627D02"/>
    <w:rsid w:val="4067459F"/>
    <w:rsid w:val="4070615F"/>
    <w:rsid w:val="4090365D"/>
    <w:rsid w:val="40905D53"/>
    <w:rsid w:val="4092255F"/>
    <w:rsid w:val="40924E1B"/>
    <w:rsid w:val="40A04D80"/>
    <w:rsid w:val="40C003E6"/>
    <w:rsid w:val="40CA06EF"/>
    <w:rsid w:val="40D72FB1"/>
    <w:rsid w:val="40DC68A2"/>
    <w:rsid w:val="40DE2279"/>
    <w:rsid w:val="40E21AD4"/>
    <w:rsid w:val="40E83499"/>
    <w:rsid w:val="40EA121D"/>
    <w:rsid w:val="40EB0C8F"/>
    <w:rsid w:val="40F24318"/>
    <w:rsid w:val="40FA4F7A"/>
    <w:rsid w:val="40FC3E1B"/>
    <w:rsid w:val="41034E0B"/>
    <w:rsid w:val="41125455"/>
    <w:rsid w:val="411566A8"/>
    <w:rsid w:val="41173D7E"/>
    <w:rsid w:val="41202C33"/>
    <w:rsid w:val="41212130"/>
    <w:rsid w:val="41275362"/>
    <w:rsid w:val="412768C3"/>
    <w:rsid w:val="412828F9"/>
    <w:rsid w:val="41313092"/>
    <w:rsid w:val="41320F0C"/>
    <w:rsid w:val="413B567A"/>
    <w:rsid w:val="413E755D"/>
    <w:rsid w:val="413E7B2F"/>
    <w:rsid w:val="414B2885"/>
    <w:rsid w:val="414D154E"/>
    <w:rsid w:val="41581F02"/>
    <w:rsid w:val="415A48B5"/>
    <w:rsid w:val="415E18CC"/>
    <w:rsid w:val="415E375B"/>
    <w:rsid w:val="41605725"/>
    <w:rsid w:val="41646EE2"/>
    <w:rsid w:val="41651C42"/>
    <w:rsid w:val="4167521D"/>
    <w:rsid w:val="41681C6B"/>
    <w:rsid w:val="416A2100"/>
    <w:rsid w:val="416C134E"/>
    <w:rsid w:val="416E4340"/>
    <w:rsid w:val="416F4EB9"/>
    <w:rsid w:val="41752637"/>
    <w:rsid w:val="4176435E"/>
    <w:rsid w:val="417A606C"/>
    <w:rsid w:val="417C7023"/>
    <w:rsid w:val="41840C10"/>
    <w:rsid w:val="418A2804"/>
    <w:rsid w:val="418C2200"/>
    <w:rsid w:val="41906AC2"/>
    <w:rsid w:val="419F015A"/>
    <w:rsid w:val="41A01FC6"/>
    <w:rsid w:val="41A360B9"/>
    <w:rsid w:val="41B96BE3"/>
    <w:rsid w:val="41BE7E42"/>
    <w:rsid w:val="41BF069E"/>
    <w:rsid w:val="41BF3E63"/>
    <w:rsid w:val="41C21F3C"/>
    <w:rsid w:val="41C64634"/>
    <w:rsid w:val="41C95E74"/>
    <w:rsid w:val="41D63F61"/>
    <w:rsid w:val="41D971E6"/>
    <w:rsid w:val="41DC1B54"/>
    <w:rsid w:val="41DC7E80"/>
    <w:rsid w:val="41EA3241"/>
    <w:rsid w:val="41EE0F83"/>
    <w:rsid w:val="41F57B8B"/>
    <w:rsid w:val="42072A91"/>
    <w:rsid w:val="420A64CE"/>
    <w:rsid w:val="4217035F"/>
    <w:rsid w:val="42205707"/>
    <w:rsid w:val="42253C46"/>
    <w:rsid w:val="422E5823"/>
    <w:rsid w:val="42326E07"/>
    <w:rsid w:val="42330B56"/>
    <w:rsid w:val="42356728"/>
    <w:rsid w:val="42377799"/>
    <w:rsid w:val="42387954"/>
    <w:rsid w:val="424665ED"/>
    <w:rsid w:val="424E5BE4"/>
    <w:rsid w:val="42504945"/>
    <w:rsid w:val="42513B85"/>
    <w:rsid w:val="426254CD"/>
    <w:rsid w:val="42671DAC"/>
    <w:rsid w:val="42687EB7"/>
    <w:rsid w:val="42786A9F"/>
    <w:rsid w:val="427D161B"/>
    <w:rsid w:val="42882FE1"/>
    <w:rsid w:val="428D4F27"/>
    <w:rsid w:val="42911747"/>
    <w:rsid w:val="42945570"/>
    <w:rsid w:val="4299172F"/>
    <w:rsid w:val="42994B53"/>
    <w:rsid w:val="429B09F9"/>
    <w:rsid w:val="429C278D"/>
    <w:rsid w:val="42AB02FE"/>
    <w:rsid w:val="42B33603"/>
    <w:rsid w:val="42B77749"/>
    <w:rsid w:val="42C85330"/>
    <w:rsid w:val="42DE686E"/>
    <w:rsid w:val="42E47468"/>
    <w:rsid w:val="42E9367D"/>
    <w:rsid w:val="42FA7493"/>
    <w:rsid w:val="42FC155B"/>
    <w:rsid w:val="4304511C"/>
    <w:rsid w:val="430B02DB"/>
    <w:rsid w:val="43106935"/>
    <w:rsid w:val="431C567C"/>
    <w:rsid w:val="43237164"/>
    <w:rsid w:val="4324422F"/>
    <w:rsid w:val="432A3E57"/>
    <w:rsid w:val="432E3B57"/>
    <w:rsid w:val="43373E19"/>
    <w:rsid w:val="43374264"/>
    <w:rsid w:val="435172B7"/>
    <w:rsid w:val="436037BB"/>
    <w:rsid w:val="43607C5E"/>
    <w:rsid w:val="43617EE7"/>
    <w:rsid w:val="43653B74"/>
    <w:rsid w:val="437159C8"/>
    <w:rsid w:val="43792ACE"/>
    <w:rsid w:val="4379487C"/>
    <w:rsid w:val="43825A45"/>
    <w:rsid w:val="43860F87"/>
    <w:rsid w:val="43876962"/>
    <w:rsid w:val="438A6B52"/>
    <w:rsid w:val="438E177B"/>
    <w:rsid w:val="438E6981"/>
    <w:rsid w:val="43943464"/>
    <w:rsid w:val="43947908"/>
    <w:rsid w:val="4396542E"/>
    <w:rsid w:val="43A00155"/>
    <w:rsid w:val="43A455EE"/>
    <w:rsid w:val="43B47DBF"/>
    <w:rsid w:val="43B50C33"/>
    <w:rsid w:val="43B807E2"/>
    <w:rsid w:val="43C27FD1"/>
    <w:rsid w:val="43C567F0"/>
    <w:rsid w:val="43C6257E"/>
    <w:rsid w:val="43CE61F3"/>
    <w:rsid w:val="43D63A7D"/>
    <w:rsid w:val="43EA7BD7"/>
    <w:rsid w:val="43EC11EF"/>
    <w:rsid w:val="43FB1E56"/>
    <w:rsid w:val="43FE54AC"/>
    <w:rsid w:val="44067207"/>
    <w:rsid w:val="44077C63"/>
    <w:rsid w:val="44103433"/>
    <w:rsid w:val="44184F2E"/>
    <w:rsid w:val="442A5B77"/>
    <w:rsid w:val="442E2670"/>
    <w:rsid w:val="44313C40"/>
    <w:rsid w:val="4437765E"/>
    <w:rsid w:val="443D2B78"/>
    <w:rsid w:val="44466BA0"/>
    <w:rsid w:val="444F63D4"/>
    <w:rsid w:val="44587A26"/>
    <w:rsid w:val="44730537"/>
    <w:rsid w:val="44741875"/>
    <w:rsid w:val="4474734A"/>
    <w:rsid w:val="44770043"/>
    <w:rsid w:val="447D039C"/>
    <w:rsid w:val="44801C3A"/>
    <w:rsid w:val="44856A0F"/>
    <w:rsid w:val="44966287"/>
    <w:rsid w:val="449E610E"/>
    <w:rsid w:val="44A206D2"/>
    <w:rsid w:val="44A833B3"/>
    <w:rsid w:val="44AC72BB"/>
    <w:rsid w:val="44B31A22"/>
    <w:rsid w:val="44B8098A"/>
    <w:rsid w:val="44C775FA"/>
    <w:rsid w:val="44C85ABB"/>
    <w:rsid w:val="44D012CD"/>
    <w:rsid w:val="44E623E5"/>
    <w:rsid w:val="44F96329"/>
    <w:rsid w:val="44FD0994"/>
    <w:rsid w:val="45091C30"/>
    <w:rsid w:val="450D7972"/>
    <w:rsid w:val="45123D4D"/>
    <w:rsid w:val="45164116"/>
    <w:rsid w:val="451E392D"/>
    <w:rsid w:val="452B716C"/>
    <w:rsid w:val="45301F07"/>
    <w:rsid w:val="453B51F9"/>
    <w:rsid w:val="453E6E0B"/>
    <w:rsid w:val="453F236B"/>
    <w:rsid w:val="45454D35"/>
    <w:rsid w:val="45462260"/>
    <w:rsid w:val="45464C32"/>
    <w:rsid w:val="454C31E3"/>
    <w:rsid w:val="454C58BC"/>
    <w:rsid w:val="456A0921"/>
    <w:rsid w:val="456D40D6"/>
    <w:rsid w:val="4570237F"/>
    <w:rsid w:val="4571013B"/>
    <w:rsid w:val="457556F4"/>
    <w:rsid w:val="457C0654"/>
    <w:rsid w:val="457C0E68"/>
    <w:rsid w:val="459E4A6E"/>
    <w:rsid w:val="45A71B75"/>
    <w:rsid w:val="45B44292"/>
    <w:rsid w:val="45D22CCA"/>
    <w:rsid w:val="45E52D76"/>
    <w:rsid w:val="45F34DBA"/>
    <w:rsid w:val="45F56F89"/>
    <w:rsid w:val="46063770"/>
    <w:rsid w:val="460B2C30"/>
    <w:rsid w:val="46122350"/>
    <w:rsid w:val="461261E1"/>
    <w:rsid w:val="46132D66"/>
    <w:rsid w:val="46144678"/>
    <w:rsid w:val="4618037D"/>
    <w:rsid w:val="461C55D4"/>
    <w:rsid w:val="4620004A"/>
    <w:rsid w:val="462F3918"/>
    <w:rsid w:val="46301D24"/>
    <w:rsid w:val="463A1A05"/>
    <w:rsid w:val="46413BF9"/>
    <w:rsid w:val="464B1C3F"/>
    <w:rsid w:val="464F0520"/>
    <w:rsid w:val="465869CB"/>
    <w:rsid w:val="465A74D8"/>
    <w:rsid w:val="466261C9"/>
    <w:rsid w:val="46647A66"/>
    <w:rsid w:val="466510A1"/>
    <w:rsid w:val="466F1F67"/>
    <w:rsid w:val="46720F0E"/>
    <w:rsid w:val="4678706D"/>
    <w:rsid w:val="469638D6"/>
    <w:rsid w:val="469B3E0F"/>
    <w:rsid w:val="469C7CE9"/>
    <w:rsid w:val="46A71700"/>
    <w:rsid w:val="46A85FD1"/>
    <w:rsid w:val="46A911C0"/>
    <w:rsid w:val="46C422B2"/>
    <w:rsid w:val="46C50352"/>
    <w:rsid w:val="46D67E95"/>
    <w:rsid w:val="46E05A91"/>
    <w:rsid w:val="46E85CFA"/>
    <w:rsid w:val="46EA6C4B"/>
    <w:rsid w:val="46F247B0"/>
    <w:rsid w:val="46F75E38"/>
    <w:rsid w:val="46F96400"/>
    <w:rsid w:val="46FB611D"/>
    <w:rsid w:val="4700324F"/>
    <w:rsid w:val="470531BC"/>
    <w:rsid w:val="47084895"/>
    <w:rsid w:val="470C6BD5"/>
    <w:rsid w:val="470D474B"/>
    <w:rsid w:val="47197F94"/>
    <w:rsid w:val="471E1980"/>
    <w:rsid w:val="47257150"/>
    <w:rsid w:val="472E1965"/>
    <w:rsid w:val="472E3BD0"/>
    <w:rsid w:val="47325952"/>
    <w:rsid w:val="473311E6"/>
    <w:rsid w:val="47392CA0"/>
    <w:rsid w:val="473C62ED"/>
    <w:rsid w:val="4751080C"/>
    <w:rsid w:val="4754272C"/>
    <w:rsid w:val="4755472C"/>
    <w:rsid w:val="475950F1"/>
    <w:rsid w:val="475B0A29"/>
    <w:rsid w:val="47657CF1"/>
    <w:rsid w:val="477240C5"/>
    <w:rsid w:val="477564FB"/>
    <w:rsid w:val="47797FC1"/>
    <w:rsid w:val="478C70C4"/>
    <w:rsid w:val="47917A70"/>
    <w:rsid w:val="479B24DA"/>
    <w:rsid w:val="479F2D37"/>
    <w:rsid w:val="47AB5220"/>
    <w:rsid w:val="47B10A89"/>
    <w:rsid w:val="47B176A2"/>
    <w:rsid w:val="47C336F1"/>
    <w:rsid w:val="47D47AA7"/>
    <w:rsid w:val="47D96D05"/>
    <w:rsid w:val="47DB5B06"/>
    <w:rsid w:val="47DC7C21"/>
    <w:rsid w:val="47DE621E"/>
    <w:rsid w:val="47DF5582"/>
    <w:rsid w:val="47E623BE"/>
    <w:rsid w:val="47ED75E7"/>
    <w:rsid w:val="47F64CDE"/>
    <w:rsid w:val="47F96FE2"/>
    <w:rsid w:val="47FB6455"/>
    <w:rsid w:val="47FC06F6"/>
    <w:rsid w:val="48014FD9"/>
    <w:rsid w:val="4804261B"/>
    <w:rsid w:val="480A7EDF"/>
    <w:rsid w:val="481B05F8"/>
    <w:rsid w:val="48217D2F"/>
    <w:rsid w:val="482864D1"/>
    <w:rsid w:val="482C18D6"/>
    <w:rsid w:val="483314F5"/>
    <w:rsid w:val="48337643"/>
    <w:rsid w:val="48360F8E"/>
    <w:rsid w:val="483E64A8"/>
    <w:rsid w:val="484F4B2D"/>
    <w:rsid w:val="48507027"/>
    <w:rsid w:val="48517B76"/>
    <w:rsid w:val="48533A6B"/>
    <w:rsid w:val="48627FD5"/>
    <w:rsid w:val="486A6E89"/>
    <w:rsid w:val="486E3D03"/>
    <w:rsid w:val="487675DC"/>
    <w:rsid w:val="487B4BF3"/>
    <w:rsid w:val="488A12DA"/>
    <w:rsid w:val="488A3088"/>
    <w:rsid w:val="4893018E"/>
    <w:rsid w:val="48AC1250"/>
    <w:rsid w:val="48B33A52"/>
    <w:rsid w:val="48C7608A"/>
    <w:rsid w:val="48C87033"/>
    <w:rsid w:val="48CE297D"/>
    <w:rsid w:val="48D81613"/>
    <w:rsid w:val="48D9080D"/>
    <w:rsid w:val="48E94164"/>
    <w:rsid w:val="48EB30E5"/>
    <w:rsid w:val="48EC40CC"/>
    <w:rsid w:val="48EC71F7"/>
    <w:rsid w:val="48EE43F2"/>
    <w:rsid w:val="48F15CCF"/>
    <w:rsid w:val="48F30756"/>
    <w:rsid w:val="48FD385A"/>
    <w:rsid w:val="48FD5D41"/>
    <w:rsid w:val="49066BB2"/>
    <w:rsid w:val="49080B7C"/>
    <w:rsid w:val="490A460A"/>
    <w:rsid w:val="490C51FD"/>
    <w:rsid w:val="49103C02"/>
    <w:rsid w:val="491E5F31"/>
    <w:rsid w:val="493915B4"/>
    <w:rsid w:val="493C0826"/>
    <w:rsid w:val="49404E3D"/>
    <w:rsid w:val="494B3609"/>
    <w:rsid w:val="496436C2"/>
    <w:rsid w:val="496D072A"/>
    <w:rsid w:val="49720597"/>
    <w:rsid w:val="49731300"/>
    <w:rsid w:val="4977360C"/>
    <w:rsid w:val="497C50C6"/>
    <w:rsid w:val="498140E7"/>
    <w:rsid w:val="49871AC7"/>
    <w:rsid w:val="498C5EA9"/>
    <w:rsid w:val="498F4DFA"/>
    <w:rsid w:val="499833AA"/>
    <w:rsid w:val="49997FE4"/>
    <w:rsid w:val="49A563CB"/>
    <w:rsid w:val="49A65473"/>
    <w:rsid w:val="49A941EB"/>
    <w:rsid w:val="49AD05AC"/>
    <w:rsid w:val="49AF0FF8"/>
    <w:rsid w:val="49B02507"/>
    <w:rsid w:val="49B70B21"/>
    <w:rsid w:val="49BC1967"/>
    <w:rsid w:val="49BC23EF"/>
    <w:rsid w:val="49BF32E3"/>
    <w:rsid w:val="49C03205"/>
    <w:rsid w:val="49C23113"/>
    <w:rsid w:val="49C302EC"/>
    <w:rsid w:val="49D104C6"/>
    <w:rsid w:val="49D339AC"/>
    <w:rsid w:val="49E17E97"/>
    <w:rsid w:val="49E76045"/>
    <w:rsid w:val="49E92BC2"/>
    <w:rsid w:val="49ED7E45"/>
    <w:rsid w:val="49F16801"/>
    <w:rsid w:val="49FB7CC2"/>
    <w:rsid w:val="4A0045CB"/>
    <w:rsid w:val="4A023518"/>
    <w:rsid w:val="4A0B01F8"/>
    <w:rsid w:val="4A190449"/>
    <w:rsid w:val="4A19137E"/>
    <w:rsid w:val="4A19181B"/>
    <w:rsid w:val="4A1E7F2C"/>
    <w:rsid w:val="4A260D4B"/>
    <w:rsid w:val="4A275032"/>
    <w:rsid w:val="4A280DAA"/>
    <w:rsid w:val="4A3A0FE8"/>
    <w:rsid w:val="4A3E676A"/>
    <w:rsid w:val="4A3E794E"/>
    <w:rsid w:val="4A407FFE"/>
    <w:rsid w:val="4A45001D"/>
    <w:rsid w:val="4A4B42F8"/>
    <w:rsid w:val="4A4F6B22"/>
    <w:rsid w:val="4A5E7F48"/>
    <w:rsid w:val="4A607D77"/>
    <w:rsid w:val="4A6326F0"/>
    <w:rsid w:val="4A6609C3"/>
    <w:rsid w:val="4A6C59EA"/>
    <w:rsid w:val="4A6F0787"/>
    <w:rsid w:val="4A750DD0"/>
    <w:rsid w:val="4A816BF6"/>
    <w:rsid w:val="4A8A7705"/>
    <w:rsid w:val="4A915B36"/>
    <w:rsid w:val="4A926343"/>
    <w:rsid w:val="4A963F66"/>
    <w:rsid w:val="4A987CDE"/>
    <w:rsid w:val="4A9B1E46"/>
    <w:rsid w:val="4AA409BB"/>
    <w:rsid w:val="4AB663B6"/>
    <w:rsid w:val="4ABB58F0"/>
    <w:rsid w:val="4ABD1B22"/>
    <w:rsid w:val="4AC94B13"/>
    <w:rsid w:val="4ACF60CC"/>
    <w:rsid w:val="4AD468AE"/>
    <w:rsid w:val="4AE82413"/>
    <w:rsid w:val="4AE91D72"/>
    <w:rsid w:val="4AEF38E4"/>
    <w:rsid w:val="4AEF7CB9"/>
    <w:rsid w:val="4AFF792F"/>
    <w:rsid w:val="4B0E1D4E"/>
    <w:rsid w:val="4B0F211E"/>
    <w:rsid w:val="4B2C6678"/>
    <w:rsid w:val="4B3B68BB"/>
    <w:rsid w:val="4B400C48"/>
    <w:rsid w:val="4B4277BB"/>
    <w:rsid w:val="4B432E15"/>
    <w:rsid w:val="4B4734B2"/>
    <w:rsid w:val="4B5146DF"/>
    <w:rsid w:val="4B640C01"/>
    <w:rsid w:val="4B6840EF"/>
    <w:rsid w:val="4B793EB9"/>
    <w:rsid w:val="4B841097"/>
    <w:rsid w:val="4B8E0948"/>
    <w:rsid w:val="4B95421D"/>
    <w:rsid w:val="4B992311"/>
    <w:rsid w:val="4B9E1324"/>
    <w:rsid w:val="4BA26746"/>
    <w:rsid w:val="4BA43605"/>
    <w:rsid w:val="4BBC6F10"/>
    <w:rsid w:val="4BBC79FC"/>
    <w:rsid w:val="4BCB75EB"/>
    <w:rsid w:val="4BCC1001"/>
    <w:rsid w:val="4BD028C4"/>
    <w:rsid w:val="4BDC1831"/>
    <w:rsid w:val="4BE05D3B"/>
    <w:rsid w:val="4BE13907"/>
    <w:rsid w:val="4BE154E9"/>
    <w:rsid w:val="4BE62CCB"/>
    <w:rsid w:val="4BEA41FD"/>
    <w:rsid w:val="4BED6D03"/>
    <w:rsid w:val="4BF0670A"/>
    <w:rsid w:val="4BF13385"/>
    <w:rsid w:val="4BF6222F"/>
    <w:rsid w:val="4C03570B"/>
    <w:rsid w:val="4C1C049B"/>
    <w:rsid w:val="4C1F5620"/>
    <w:rsid w:val="4C282812"/>
    <w:rsid w:val="4C2D037B"/>
    <w:rsid w:val="4C2D08FA"/>
    <w:rsid w:val="4C3440CD"/>
    <w:rsid w:val="4C376897"/>
    <w:rsid w:val="4C3A68AE"/>
    <w:rsid w:val="4C404189"/>
    <w:rsid w:val="4C497E6E"/>
    <w:rsid w:val="4C561A87"/>
    <w:rsid w:val="4C5C21C4"/>
    <w:rsid w:val="4C616357"/>
    <w:rsid w:val="4C67500F"/>
    <w:rsid w:val="4C6F4A6E"/>
    <w:rsid w:val="4C785167"/>
    <w:rsid w:val="4C8853C2"/>
    <w:rsid w:val="4C8A3125"/>
    <w:rsid w:val="4C8C5620"/>
    <w:rsid w:val="4C8E7373"/>
    <w:rsid w:val="4C9046DD"/>
    <w:rsid w:val="4C9F3A4C"/>
    <w:rsid w:val="4CB73785"/>
    <w:rsid w:val="4CB74274"/>
    <w:rsid w:val="4CC63A4B"/>
    <w:rsid w:val="4CC81333"/>
    <w:rsid w:val="4CC92202"/>
    <w:rsid w:val="4CD11285"/>
    <w:rsid w:val="4CD77BB3"/>
    <w:rsid w:val="4CDB0356"/>
    <w:rsid w:val="4CDC27DA"/>
    <w:rsid w:val="4CDE7960"/>
    <w:rsid w:val="4CEC7A64"/>
    <w:rsid w:val="4CF0458E"/>
    <w:rsid w:val="4CF569C8"/>
    <w:rsid w:val="4CFF6B5B"/>
    <w:rsid w:val="4D0A3706"/>
    <w:rsid w:val="4D0F059F"/>
    <w:rsid w:val="4D111FCA"/>
    <w:rsid w:val="4D137AF0"/>
    <w:rsid w:val="4D1E1728"/>
    <w:rsid w:val="4D1F6804"/>
    <w:rsid w:val="4D2E492A"/>
    <w:rsid w:val="4D2E6AE0"/>
    <w:rsid w:val="4D31441A"/>
    <w:rsid w:val="4D34761C"/>
    <w:rsid w:val="4D5325E2"/>
    <w:rsid w:val="4D536117"/>
    <w:rsid w:val="4D53613E"/>
    <w:rsid w:val="4D5B3250"/>
    <w:rsid w:val="4D5F0F87"/>
    <w:rsid w:val="4D704F42"/>
    <w:rsid w:val="4D7215A8"/>
    <w:rsid w:val="4D765CAE"/>
    <w:rsid w:val="4D770AC3"/>
    <w:rsid w:val="4D784C61"/>
    <w:rsid w:val="4D79113C"/>
    <w:rsid w:val="4D7A4E0D"/>
    <w:rsid w:val="4D7B6D5F"/>
    <w:rsid w:val="4D8330FD"/>
    <w:rsid w:val="4D8602C2"/>
    <w:rsid w:val="4D8B58D8"/>
    <w:rsid w:val="4D8F614E"/>
    <w:rsid w:val="4D9A4ACC"/>
    <w:rsid w:val="4D9A7089"/>
    <w:rsid w:val="4DA16EA9"/>
    <w:rsid w:val="4DA65614"/>
    <w:rsid w:val="4DA84333"/>
    <w:rsid w:val="4DBC6F01"/>
    <w:rsid w:val="4DBD5EE2"/>
    <w:rsid w:val="4DBD6446"/>
    <w:rsid w:val="4DC25F02"/>
    <w:rsid w:val="4DC7118D"/>
    <w:rsid w:val="4DCC1EF1"/>
    <w:rsid w:val="4DD454D1"/>
    <w:rsid w:val="4DD92AE7"/>
    <w:rsid w:val="4DE02888"/>
    <w:rsid w:val="4DE53D67"/>
    <w:rsid w:val="4DE96862"/>
    <w:rsid w:val="4DEB15BA"/>
    <w:rsid w:val="4DEB281B"/>
    <w:rsid w:val="4DEC260A"/>
    <w:rsid w:val="4DEF7087"/>
    <w:rsid w:val="4DF13C53"/>
    <w:rsid w:val="4DF416CF"/>
    <w:rsid w:val="4DF7375A"/>
    <w:rsid w:val="4E0070AA"/>
    <w:rsid w:val="4E014AAF"/>
    <w:rsid w:val="4E037EC3"/>
    <w:rsid w:val="4E0F02B7"/>
    <w:rsid w:val="4E1213FF"/>
    <w:rsid w:val="4E151983"/>
    <w:rsid w:val="4E177259"/>
    <w:rsid w:val="4E192EE4"/>
    <w:rsid w:val="4E1B63C8"/>
    <w:rsid w:val="4E1C5480"/>
    <w:rsid w:val="4E1F4EB6"/>
    <w:rsid w:val="4E2A50F1"/>
    <w:rsid w:val="4E2F2698"/>
    <w:rsid w:val="4E31591A"/>
    <w:rsid w:val="4E3441C2"/>
    <w:rsid w:val="4E385522"/>
    <w:rsid w:val="4E396368"/>
    <w:rsid w:val="4E4116FB"/>
    <w:rsid w:val="4E4B32B9"/>
    <w:rsid w:val="4E5008D0"/>
    <w:rsid w:val="4E5F3359"/>
    <w:rsid w:val="4E685C19"/>
    <w:rsid w:val="4E7A3016"/>
    <w:rsid w:val="4E9133C2"/>
    <w:rsid w:val="4E915728"/>
    <w:rsid w:val="4E943B74"/>
    <w:rsid w:val="4E9514C2"/>
    <w:rsid w:val="4E971335"/>
    <w:rsid w:val="4E9904C8"/>
    <w:rsid w:val="4E9D7BB0"/>
    <w:rsid w:val="4E9E77F7"/>
    <w:rsid w:val="4E9F52F3"/>
    <w:rsid w:val="4E9F6CDA"/>
    <w:rsid w:val="4EA053B3"/>
    <w:rsid w:val="4EA65FA5"/>
    <w:rsid w:val="4EAA2AF5"/>
    <w:rsid w:val="4EAA6232"/>
    <w:rsid w:val="4EAD4A8B"/>
    <w:rsid w:val="4EB63D98"/>
    <w:rsid w:val="4EB653D7"/>
    <w:rsid w:val="4EC5306C"/>
    <w:rsid w:val="4EC7378F"/>
    <w:rsid w:val="4EC8490A"/>
    <w:rsid w:val="4ECE001C"/>
    <w:rsid w:val="4ECF54AB"/>
    <w:rsid w:val="4EFA0F67"/>
    <w:rsid w:val="4F0065C6"/>
    <w:rsid w:val="4F0C2A48"/>
    <w:rsid w:val="4F155DA1"/>
    <w:rsid w:val="4F1B20E2"/>
    <w:rsid w:val="4F2255BD"/>
    <w:rsid w:val="4F247867"/>
    <w:rsid w:val="4F2D0CF3"/>
    <w:rsid w:val="4F2E6E63"/>
    <w:rsid w:val="4F363A2B"/>
    <w:rsid w:val="4F400944"/>
    <w:rsid w:val="4F562E5E"/>
    <w:rsid w:val="4F586999"/>
    <w:rsid w:val="4F5D32A4"/>
    <w:rsid w:val="4F6102D1"/>
    <w:rsid w:val="4F665099"/>
    <w:rsid w:val="4F674073"/>
    <w:rsid w:val="4F786330"/>
    <w:rsid w:val="4F7C239F"/>
    <w:rsid w:val="4F7E1A87"/>
    <w:rsid w:val="4F8115BD"/>
    <w:rsid w:val="4F8D7575"/>
    <w:rsid w:val="4F974A08"/>
    <w:rsid w:val="4F9C4764"/>
    <w:rsid w:val="4FA00D06"/>
    <w:rsid w:val="4FAB09B6"/>
    <w:rsid w:val="4FB159EC"/>
    <w:rsid w:val="4FB23A3B"/>
    <w:rsid w:val="4FB57E74"/>
    <w:rsid w:val="4FBD09B0"/>
    <w:rsid w:val="4FBD1088"/>
    <w:rsid w:val="4FBD4BBB"/>
    <w:rsid w:val="4FC652ED"/>
    <w:rsid w:val="4FD16062"/>
    <w:rsid w:val="4FE22A38"/>
    <w:rsid w:val="4FE77CEF"/>
    <w:rsid w:val="4FF17B27"/>
    <w:rsid w:val="4FF21C3E"/>
    <w:rsid w:val="50041972"/>
    <w:rsid w:val="50046123"/>
    <w:rsid w:val="50050846"/>
    <w:rsid w:val="500C0B37"/>
    <w:rsid w:val="501655B7"/>
    <w:rsid w:val="501B2972"/>
    <w:rsid w:val="502412EE"/>
    <w:rsid w:val="502845FF"/>
    <w:rsid w:val="502B0C73"/>
    <w:rsid w:val="502D5D4B"/>
    <w:rsid w:val="50304F7E"/>
    <w:rsid w:val="5046350A"/>
    <w:rsid w:val="504B75A0"/>
    <w:rsid w:val="504F4A7B"/>
    <w:rsid w:val="50500713"/>
    <w:rsid w:val="505221CC"/>
    <w:rsid w:val="5066490D"/>
    <w:rsid w:val="50715259"/>
    <w:rsid w:val="50764D94"/>
    <w:rsid w:val="507D4E52"/>
    <w:rsid w:val="507E7976"/>
    <w:rsid w:val="507F0E7D"/>
    <w:rsid w:val="50817100"/>
    <w:rsid w:val="50845B41"/>
    <w:rsid w:val="508B0A34"/>
    <w:rsid w:val="509168AF"/>
    <w:rsid w:val="509349BC"/>
    <w:rsid w:val="509529A0"/>
    <w:rsid w:val="509C5AF8"/>
    <w:rsid w:val="50A8223C"/>
    <w:rsid w:val="50A96514"/>
    <w:rsid w:val="50AC5050"/>
    <w:rsid w:val="50BB64D4"/>
    <w:rsid w:val="50C21B20"/>
    <w:rsid w:val="50C35389"/>
    <w:rsid w:val="50C555A5"/>
    <w:rsid w:val="50C90D77"/>
    <w:rsid w:val="50D30C5F"/>
    <w:rsid w:val="50E83041"/>
    <w:rsid w:val="50ED0658"/>
    <w:rsid w:val="50F10148"/>
    <w:rsid w:val="50F145FC"/>
    <w:rsid w:val="50FA0581"/>
    <w:rsid w:val="50FA5805"/>
    <w:rsid w:val="50FB33AC"/>
    <w:rsid w:val="510F3979"/>
    <w:rsid w:val="511E7880"/>
    <w:rsid w:val="511F2F07"/>
    <w:rsid w:val="51230EC0"/>
    <w:rsid w:val="5129017C"/>
    <w:rsid w:val="51387B25"/>
    <w:rsid w:val="51452242"/>
    <w:rsid w:val="515A24AA"/>
    <w:rsid w:val="51646B6C"/>
    <w:rsid w:val="51694182"/>
    <w:rsid w:val="51696C3D"/>
    <w:rsid w:val="516B2E85"/>
    <w:rsid w:val="517111FF"/>
    <w:rsid w:val="51722E6E"/>
    <w:rsid w:val="517374E0"/>
    <w:rsid w:val="51750350"/>
    <w:rsid w:val="51793207"/>
    <w:rsid w:val="51955B7D"/>
    <w:rsid w:val="519568F3"/>
    <w:rsid w:val="51993FF5"/>
    <w:rsid w:val="519F1952"/>
    <w:rsid w:val="51AA02F7"/>
    <w:rsid w:val="51B86EB8"/>
    <w:rsid w:val="51BC2848"/>
    <w:rsid w:val="51BF54B2"/>
    <w:rsid w:val="51C3412D"/>
    <w:rsid w:val="51C63383"/>
    <w:rsid w:val="51CF3F45"/>
    <w:rsid w:val="51E406C2"/>
    <w:rsid w:val="51E47232"/>
    <w:rsid w:val="51E63A25"/>
    <w:rsid w:val="51ED15F6"/>
    <w:rsid w:val="51F41AF7"/>
    <w:rsid w:val="51F83758"/>
    <w:rsid w:val="51FC1391"/>
    <w:rsid w:val="52010CD8"/>
    <w:rsid w:val="52015F60"/>
    <w:rsid w:val="520B5239"/>
    <w:rsid w:val="520C4C6B"/>
    <w:rsid w:val="5226558C"/>
    <w:rsid w:val="522B7478"/>
    <w:rsid w:val="52326C6A"/>
    <w:rsid w:val="523302EC"/>
    <w:rsid w:val="524B3888"/>
    <w:rsid w:val="525077B8"/>
    <w:rsid w:val="525C7843"/>
    <w:rsid w:val="525E180D"/>
    <w:rsid w:val="52687C58"/>
    <w:rsid w:val="526A78D5"/>
    <w:rsid w:val="527C1C93"/>
    <w:rsid w:val="527E5EBE"/>
    <w:rsid w:val="52972F71"/>
    <w:rsid w:val="529B480F"/>
    <w:rsid w:val="52AD3580"/>
    <w:rsid w:val="52B04B3F"/>
    <w:rsid w:val="52B14033"/>
    <w:rsid w:val="52B40832"/>
    <w:rsid w:val="52B46657"/>
    <w:rsid w:val="52B61649"/>
    <w:rsid w:val="52B7716F"/>
    <w:rsid w:val="52BA3273"/>
    <w:rsid w:val="52BB31BE"/>
    <w:rsid w:val="52BC4786"/>
    <w:rsid w:val="52C131AC"/>
    <w:rsid w:val="52C13B4A"/>
    <w:rsid w:val="52C35B14"/>
    <w:rsid w:val="52CC06CD"/>
    <w:rsid w:val="52CD60C9"/>
    <w:rsid w:val="52D25F4F"/>
    <w:rsid w:val="52D816BB"/>
    <w:rsid w:val="52D834A1"/>
    <w:rsid w:val="52D86965"/>
    <w:rsid w:val="52D91DAE"/>
    <w:rsid w:val="52E6030C"/>
    <w:rsid w:val="52E873D0"/>
    <w:rsid w:val="52F33B89"/>
    <w:rsid w:val="52FA31DE"/>
    <w:rsid w:val="52FE1B35"/>
    <w:rsid w:val="52FE6B4C"/>
    <w:rsid w:val="5305283D"/>
    <w:rsid w:val="530F0C7B"/>
    <w:rsid w:val="531620E8"/>
    <w:rsid w:val="531719BC"/>
    <w:rsid w:val="531776E2"/>
    <w:rsid w:val="5326161A"/>
    <w:rsid w:val="53263C79"/>
    <w:rsid w:val="53275D9B"/>
    <w:rsid w:val="533F3014"/>
    <w:rsid w:val="53476745"/>
    <w:rsid w:val="534810C4"/>
    <w:rsid w:val="53530C46"/>
    <w:rsid w:val="535C6B19"/>
    <w:rsid w:val="536C7F5A"/>
    <w:rsid w:val="536D4A7F"/>
    <w:rsid w:val="537138C7"/>
    <w:rsid w:val="53761013"/>
    <w:rsid w:val="537B5AAA"/>
    <w:rsid w:val="53822C25"/>
    <w:rsid w:val="53861605"/>
    <w:rsid w:val="53876B42"/>
    <w:rsid w:val="538C4314"/>
    <w:rsid w:val="53966943"/>
    <w:rsid w:val="539F4F04"/>
    <w:rsid w:val="53A150D9"/>
    <w:rsid w:val="53A21BCD"/>
    <w:rsid w:val="53A27368"/>
    <w:rsid w:val="53AE142E"/>
    <w:rsid w:val="53B06098"/>
    <w:rsid w:val="53B645B0"/>
    <w:rsid w:val="53BB6616"/>
    <w:rsid w:val="53BC6E3E"/>
    <w:rsid w:val="53C30DAF"/>
    <w:rsid w:val="53C743DD"/>
    <w:rsid w:val="53D76D2B"/>
    <w:rsid w:val="53E421E6"/>
    <w:rsid w:val="53E43F94"/>
    <w:rsid w:val="53F4213D"/>
    <w:rsid w:val="54052F8F"/>
    <w:rsid w:val="542E16B3"/>
    <w:rsid w:val="54411FA2"/>
    <w:rsid w:val="544669FD"/>
    <w:rsid w:val="54487F8F"/>
    <w:rsid w:val="546213C7"/>
    <w:rsid w:val="54696247"/>
    <w:rsid w:val="546B52DA"/>
    <w:rsid w:val="546D21DB"/>
    <w:rsid w:val="5483293F"/>
    <w:rsid w:val="54976AF9"/>
    <w:rsid w:val="54AA25AD"/>
    <w:rsid w:val="54AE41A3"/>
    <w:rsid w:val="54B42CDF"/>
    <w:rsid w:val="54CB7CD3"/>
    <w:rsid w:val="54CF345E"/>
    <w:rsid w:val="54D975B7"/>
    <w:rsid w:val="54DD36E3"/>
    <w:rsid w:val="54DE7E84"/>
    <w:rsid w:val="54E824C4"/>
    <w:rsid w:val="54EA03CE"/>
    <w:rsid w:val="54FA797C"/>
    <w:rsid w:val="55017C9A"/>
    <w:rsid w:val="55021383"/>
    <w:rsid w:val="55083E20"/>
    <w:rsid w:val="550B6A5E"/>
    <w:rsid w:val="55160A03"/>
    <w:rsid w:val="55172B07"/>
    <w:rsid w:val="551B39E5"/>
    <w:rsid w:val="551F7930"/>
    <w:rsid w:val="55236D3E"/>
    <w:rsid w:val="552503C0"/>
    <w:rsid w:val="55274B8B"/>
    <w:rsid w:val="552A24B9"/>
    <w:rsid w:val="553920BD"/>
    <w:rsid w:val="553D7BAB"/>
    <w:rsid w:val="553E34B3"/>
    <w:rsid w:val="55484B22"/>
    <w:rsid w:val="554C3B9F"/>
    <w:rsid w:val="554D7917"/>
    <w:rsid w:val="55547B4D"/>
    <w:rsid w:val="55653051"/>
    <w:rsid w:val="556A7BF9"/>
    <w:rsid w:val="556F1F83"/>
    <w:rsid w:val="55722F24"/>
    <w:rsid w:val="55747E88"/>
    <w:rsid w:val="55766B43"/>
    <w:rsid w:val="55932E46"/>
    <w:rsid w:val="55987ECC"/>
    <w:rsid w:val="559E2882"/>
    <w:rsid w:val="55A25378"/>
    <w:rsid w:val="55A256E3"/>
    <w:rsid w:val="55AA0D8E"/>
    <w:rsid w:val="55AA1478"/>
    <w:rsid w:val="55B31E70"/>
    <w:rsid w:val="55B82787"/>
    <w:rsid w:val="55C025A8"/>
    <w:rsid w:val="55CE0A58"/>
    <w:rsid w:val="55E55DA1"/>
    <w:rsid w:val="55F10BEA"/>
    <w:rsid w:val="55F174E6"/>
    <w:rsid w:val="55F21B08"/>
    <w:rsid w:val="560E6B90"/>
    <w:rsid w:val="561B7A15"/>
    <w:rsid w:val="561D378D"/>
    <w:rsid w:val="56233F50"/>
    <w:rsid w:val="562B40FC"/>
    <w:rsid w:val="562C39D0"/>
    <w:rsid w:val="5632548A"/>
    <w:rsid w:val="56327239"/>
    <w:rsid w:val="56347138"/>
    <w:rsid w:val="563A5842"/>
    <w:rsid w:val="564330AF"/>
    <w:rsid w:val="56463D93"/>
    <w:rsid w:val="56495EF2"/>
    <w:rsid w:val="56510DF0"/>
    <w:rsid w:val="565841FF"/>
    <w:rsid w:val="56676126"/>
    <w:rsid w:val="567048C3"/>
    <w:rsid w:val="567404B7"/>
    <w:rsid w:val="56773959"/>
    <w:rsid w:val="567A7A0A"/>
    <w:rsid w:val="56842BED"/>
    <w:rsid w:val="56A570FE"/>
    <w:rsid w:val="56A63783"/>
    <w:rsid w:val="56AF3802"/>
    <w:rsid w:val="56B57101"/>
    <w:rsid w:val="56C25B6C"/>
    <w:rsid w:val="56C55F1E"/>
    <w:rsid w:val="56CD0598"/>
    <w:rsid w:val="56D20E7B"/>
    <w:rsid w:val="56D26FEF"/>
    <w:rsid w:val="56D504FC"/>
    <w:rsid w:val="56DF58C0"/>
    <w:rsid w:val="56E74337"/>
    <w:rsid w:val="56E9366F"/>
    <w:rsid w:val="56EE3F4E"/>
    <w:rsid w:val="56F13B6C"/>
    <w:rsid w:val="56F24197"/>
    <w:rsid w:val="56FE711B"/>
    <w:rsid w:val="57013134"/>
    <w:rsid w:val="570255EE"/>
    <w:rsid w:val="57047E91"/>
    <w:rsid w:val="57127841"/>
    <w:rsid w:val="57160E80"/>
    <w:rsid w:val="57280E28"/>
    <w:rsid w:val="572823EA"/>
    <w:rsid w:val="57284198"/>
    <w:rsid w:val="57384B5F"/>
    <w:rsid w:val="573A44C2"/>
    <w:rsid w:val="57482A8C"/>
    <w:rsid w:val="57492E02"/>
    <w:rsid w:val="574C257C"/>
    <w:rsid w:val="575539CF"/>
    <w:rsid w:val="575907F5"/>
    <w:rsid w:val="5759180F"/>
    <w:rsid w:val="575C2093"/>
    <w:rsid w:val="575C306E"/>
    <w:rsid w:val="575D64F8"/>
    <w:rsid w:val="5765363E"/>
    <w:rsid w:val="57734909"/>
    <w:rsid w:val="57783371"/>
    <w:rsid w:val="577E6D98"/>
    <w:rsid w:val="5780605D"/>
    <w:rsid w:val="57840BFE"/>
    <w:rsid w:val="5784697D"/>
    <w:rsid w:val="57AD449F"/>
    <w:rsid w:val="57BE4AFC"/>
    <w:rsid w:val="57BE68AA"/>
    <w:rsid w:val="57CC546B"/>
    <w:rsid w:val="57D12A81"/>
    <w:rsid w:val="57D24312"/>
    <w:rsid w:val="57D4682F"/>
    <w:rsid w:val="57E02CC4"/>
    <w:rsid w:val="57EB2F39"/>
    <w:rsid w:val="57EB5809"/>
    <w:rsid w:val="57EE53E1"/>
    <w:rsid w:val="57F45209"/>
    <w:rsid w:val="57F675D1"/>
    <w:rsid w:val="57FF1CF3"/>
    <w:rsid w:val="58005114"/>
    <w:rsid w:val="58030761"/>
    <w:rsid w:val="58092ACC"/>
    <w:rsid w:val="580B5F93"/>
    <w:rsid w:val="581229C3"/>
    <w:rsid w:val="58136982"/>
    <w:rsid w:val="58226D2A"/>
    <w:rsid w:val="582316B5"/>
    <w:rsid w:val="582368E1"/>
    <w:rsid w:val="582D4846"/>
    <w:rsid w:val="582F7907"/>
    <w:rsid w:val="58301D08"/>
    <w:rsid w:val="58346D28"/>
    <w:rsid w:val="5838762D"/>
    <w:rsid w:val="58405D82"/>
    <w:rsid w:val="58513CB5"/>
    <w:rsid w:val="58527FAB"/>
    <w:rsid w:val="585766E9"/>
    <w:rsid w:val="58585BE4"/>
    <w:rsid w:val="585D2255"/>
    <w:rsid w:val="58663BE5"/>
    <w:rsid w:val="5868282C"/>
    <w:rsid w:val="587B16F1"/>
    <w:rsid w:val="587E182B"/>
    <w:rsid w:val="5882708A"/>
    <w:rsid w:val="588C69A8"/>
    <w:rsid w:val="58937D37"/>
    <w:rsid w:val="589A10C5"/>
    <w:rsid w:val="58A339C9"/>
    <w:rsid w:val="58A52301"/>
    <w:rsid w:val="58AD02DF"/>
    <w:rsid w:val="58B17390"/>
    <w:rsid w:val="58B630F9"/>
    <w:rsid w:val="58BB2E28"/>
    <w:rsid w:val="58BF7AF2"/>
    <w:rsid w:val="58C8591B"/>
    <w:rsid w:val="58CF5213"/>
    <w:rsid w:val="58DE20A4"/>
    <w:rsid w:val="58DF354B"/>
    <w:rsid w:val="58E01F18"/>
    <w:rsid w:val="58E52DFC"/>
    <w:rsid w:val="58EA02AA"/>
    <w:rsid w:val="58EA13E1"/>
    <w:rsid w:val="58ED63F2"/>
    <w:rsid w:val="58F509F1"/>
    <w:rsid w:val="58FA005E"/>
    <w:rsid w:val="58FB4971"/>
    <w:rsid w:val="58FC1D80"/>
    <w:rsid w:val="590039E6"/>
    <w:rsid w:val="590315FB"/>
    <w:rsid w:val="5903310E"/>
    <w:rsid w:val="59103CDB"/>
    <w:rsid w:val="591231C6"/>
    <w:rsid w:val="59140E77"/>
    <w:rsid w:val="59190C7F"/>
    <w:rsid w:val="591F15CA"/>
    <w:rsid w:val="59223548"/>
    <w:rsid w:val="593244F7"/>
    <w:rsid w:val="59345076"/>
    <w:rsid w:val="59402C3A"/>
    <w:rsid w:val="594149BA"/>
    <w:rsid w:val="59471EFF"/>
    <w:rsid w:val="594B23BF"/>
    <w:rsid w:val="595125BE"/>
    <w:rsid w:val="59607878"/>
    <w:rsid w:val="59637709"/>
    <w:rsid w:val="59651CF5"/>
    <w:rsid w:val="596A13DB"/>
    <w:rsid w:val="596A685A"/>
    <w:rsid w:val="596B480F"/>
    <w:rsid w:val="596D0A4F"/>
    <w:rsid w:val="597B59E0"/>
    <w:rsid w:val="597C07CB"/>
    <w:rsid w:val="597E7CD2"/>
    <w:rsid w:val="598730EE"/>
    <w:rsid w:val="598D6AC3"/>
    <w:rsid w:val="59910483"/>
    <w:rsid w:val="59A07700"/>
    <w:rsid w:val="59A41DA7"/>
    <w:rsid w:val="59B60D7B"/>
    <w:rsid w:val="59B65BAF"/>
    <w:rsid w:val="59BB12F3"/>
    <w:rsid w:val="59C25EAF"/>
    <w:rsid w:val="59C469A8"/>
    <w:rsid w:val="59CA7788"/>
    <w:rsid w:val="59CA77EF"/>
    <w:rsid w:val="59D67CEC"/>
    <w:rsid w:val="59DA6D1C"/>
    <w:rsid w:val="59E036D4"/>
    <w:rsid w:val="59E07580"/>
    <w:rsid w:val="59E30A31"/>
    <w:rsid w:val="59E54492"/>
    <w:rsid w:val="59E5617B"/>
    <w:rsid w:val="59EA607C"/>
    <w:rsid w:val="59EF06CC"/>
    <w:rsid w:val="59EF71EF"/>
    <w:rsid w:val="5A105AE3"/>
    <w:rsid w:val="5A1B1453"/>
    <w:rsid w:val="5A1F0F30"/>
    <w:rsid w:val="5A223C3B"/>
    <w:rsid w:val="5A2C4C3D"/>
    <w:rsid w:val="5A2E64FD"/>
    <w:rsid w:val="5A32309C"/>
    <w:rsid w:val="5A487EB0"/>
    <w:rsid w:val="5A614E09"/>
    <w:rsid w:val="5A63069A"/>
    <w:rsid w:val="5A6B0F6B"/>
    <w:rsid w:val="5A6D4478"/>
    <w:rsid w:val="5A6E0A5B"/>
    <w:rsid w:val="5A75763A"/>
    <w:rsid w:val="5A7F67C4"/>
    <w:rsid w:val="5A897643"/>
    <w:rsid w:val="5A8C2C8F"/>
    <w:rsid w:val="5A915ACF"/>
    <w:rsid w:val="5A9234A3"/>
    <w:rsid w:val="5AA8188C"/>
    <w:rsid w:val="5AA91877"/>
    <w:rsid w:val="5AA92C2A"/>
    <w:rsid w:val="5AB346C0"/>
    <w:rsid w:val="5ABA15AB"/>
    <w:rsid w:val="5AC60A34"/>
    <w:rsid w:val="5AC97A40"/>
    <w:rsid w:val="5ACC3540"/>
    <w:rsid w:val="5AD67599"/>
    <w:rsid w:val="5AD924D5"/>
    <w:rsid w:val="5AE66958"/>
    <w:rsid w:val="5AE919DD"/>
    <w:rsid w:val="5AEE1A48"/>
    <w:rsid w:val="5B1F58B2"/>
    <w:rsid w:val="5B331248"/>
    <w:rsid w:val="5B3475AF"/>
    <w:rsid w:val="5B4578E7"/>
    <w:rsid w:val="5B5F03A4"/>
    <w:rsid w:val="5B69661C"/>
    <w:rsid w:val="5B6C0858"/>
    <w:rsid w:val="5B6E783F"/>
    <w:rsid w:val="5B7200D7"/>
    <w:rsid w:val="5B76271E"/>
    <w:rsid w:val="5B7B562E"/>
    <w:rsid w:val="5B7C04A8"/>
    <w:rsid w:val="5B7C71A8"/>
    <w:rsid w:val="5B7E6A7C"/>
    <w:rsid w:val="5B8147BE"/>
    <w:rsid w:val="5B8337E5"/>
    <w:rsid w:val="5B855579"/>
    <w:rsid w:val="5B867AC2"/>
    <w:rsid w:val="5B8743CF"/>
    <w:rsid w:val="5B8837FD"/>
    <w:rsid w:val="5B885B4D"/>
    <w:rsid w:val="5B8D4F11"/>
    <w:rsid w:val="5B90523D"/>
    <w:rsid w:val="5B9A18AC"/>
    <w:rsid w:val="5B9E4722"/>
    <w:rsid w:val="5B9F4434"/>
    <w:rsid w:val="5BA245F5"/>
    <w:rsid w:val="5BA81D4B"/>
    <w:rsid w:val="5BAB6D76"/>
    <w:rsid w:val="5BB25227"/>
    <w:rsid w:val="5BC03DE2"/>
    <w:rsid w:val="5BC36B85"/>
    <w:rsid w:val="5BCA73D9"/>
    <w:rsid w:val="5BE070DC"/>
    <w:rsid w:val="5BE15F8D"/>
    <w:rsid w:val="5BE7170C"/>
    <w:rsid w:val="5BEC5D3A"/>
    <w:rsid w:val="5BFE0FF6"/>
    <w:rsid w:val="5BFF7E6A"/>
    <w:rsid w:val="5C013209"/>
    <w:rsid w:val="5C04435B"/>
    <w:rsid w:val="5C11169E"/>
    <w:rsid w:val="5C1A6677"/>
    <w:rsid w:val="5C1B42CB"/>
    <w:rsid w:val="5C1F25FB"/>
    <w:rsid w:val="5C25514A"/>
    <w:rsid w:val="5C270EC2"/>
    <w:rsid w:val="5C3B671B"/>
    <w:rsid w:val="5C3D172A"/>
    <w:rsid w:val="5C4004DF"/>
    <w:rsid w:val="5C4C62B6"/>
    <w:rsid w:val="5C4F21B0"/>
    <w:rsid w:val="5C4F3ADB"/>
    <w:rsid w:val="5C51136D"/>
    <w:rsid w:val="5C552A3C"/>
    <w:rsid w:val="5C556EA6"/>
    <w:rsid w:val="5C650FB0"/>
    <w:rsid w:val="5C6519EA"/>
    <w:rsid w:val="5C683F2D"/>
    <w:rsid w:val="5C69130F"/>
    <w:rsid w:val="5C700ABB"/>
    <w:rsid w:val="5C79253A"/>
    <w:rsid w:val="5C797243"/>
    <w:rsid w:val="5C7A4279"/>
    <w:rsid w:val="5C7B5266"/>
    <w:rsid w:val="5C8E17F7"/>
    <w:rsid w:val="5CA16EC6"/>
    <w:rsid w:val="5CA354AC"/>
    <w:rsid w:val="5CB35584"/>
    <w:rsid w:val="5CB45F05"/>
    <w:rsid w:val="5CB55CD5"/>
    <w:rsid w:val="5CBA1D36"/>
    <w:rsid w:val="5CBC678C"/>
    <w:rsid w:val="5CBF3BEB"/>
    <w:rsid w:val="5CC77597"/>
    <w:rsid w:val="5CD50321"/>
    <w:rsid w:val="5CD50908"/>
    <w:rsid w:val="5CD56B70"/>
    <w:rsid w:val="5CE31D7E"/>
    <w:rsid w:val="5D0336DD"/>
    <w:rsid w:val="5D043BDE"/>
    <w:rsid w:val="5D0542DC"/>
    <w:rsid w:val="5D0638C7"/>
    <w:rsid w:val="5D064F7B"/>
    <w:rsid w:val="5D0B274A"/>
    <w:rsid w:val="5D135063"/>
    <w:rsid w:val="5D1D3956"/>
    <w:rsid w:val="5D2071FB"/>
    <w:rsid w:val="5D253F3F"/>
    <w:rsid w:val="5D2573D0"/>
    <w:rsid w:val="5D2A5237"/>
    <w:rsid w:val="5D2F06D3"/>
    <w:rsid w:val="5D380EAD"/>
    <w:rsid w:val="5D395FE0"/>
    <w:rsid w:val="5D453167"/>
    <w:rsid w:val="5D811D91"/>
    <w:rsid w:val="5D8331ED"/>
    <w:rsid w:val="5D84646B"/>
    <w:rsid w:val="5D8547EA"/>
    <w:rsid w:val="5D892330"/>
    <w:rsid w:val="5D8C1B29"/>
    <w:rsid w:val="5D92498E"/>
    <w:rsid w:val="5D92506F"/>
    <w:rsid w:val="5D940211"/>
    <w:rsid w:val="5D9A027D"/>
    <w:rsid w:val="5D9C39BB"/>
    <w:rsid w:val="5DA54437"/>
    <w:rsid w:val="5DA97B86"/>
    <w:rsid w:val="5DB873CE"/>
    <w:rsid w:val="5DC801B2"/>
    <w:rsid w:val="5DC92D73"/>
    <w:rsid w:val="5DCA54C2"/>
    <w:rsid w:val="5DCB1D21"/>
    <w:rsid w:val="5DDE1A54"/>
    <w:rsid w:val="5DE033F9"/>
    <w:rsid w:val="5DE62E9E"/>
    <w:rsid w:val="5DE66C20"/>
    <w:rsid w:val="5DE67F78"/>
    <w:rsid w:val="5DF10618"/>
    <w:rsid w:val="5E046A15"/>
    <w:rsid w:val="5E056147"/>
    <w:rsid w:val="5E0A45F7"/>
    <w:rsid w:val="5E0F1C0D"/>
    <w:rsid w:val="5E1E4A95"/>
    <w:rsid w:val="5E2A6BBC"/>
    <w:rsid w:val="5E3A3ABF"/>
    <w:rsid w:val="5E4107AB"/>
    <w:rsid w:val="5E45554E"/>
    <w:rsid w:val="5E573E48"/>
    <w:rsid w:val="5E597ADD"/>
    <w:rsid w:val="5E5D31AA"/>
    <w:rsid w:val="5E5F64F0"/>
    <w:rsid w:val="5E6C52B2"/>
    <w:rsid w:val="5E714AFD"/>
    <w:rsid w:val="5E785A05"/>
    <w:rsid w:val="5E792416"/>
    <w:rsid w:val="5E8817D8"/>
    <w:rsid w:val="5E882027"/>
    <w:rsid w:val="5E8F570F"/>
    <w:rsid w:val="5E9255DC"/>
    <w:rsid w:val="5E935F94"/>
    <w:rsid w:val="5E96029E"/>
    <w:rsid w:val="5E9622BA"/>
    <w:rsid w:val="5E9B254F"/>
    <w:rsid w:val="5E9D167A"/>
    <w:rsid w:val="5EA031AD"/>
    <w:rsid w:val="5EA7453C"/>
    <w:rsid w:val="5EAA4951"/>
    <w:rsid w:val="5EB50A07"/>
    <w:rsid w:val="5EB84053"/>
    <w:rsid w:val="5EC8397E"/>
    <w:rsid w:val="5ECB2990"/>
    <w:rsid w:val="5ED80DC1"/>
    <w:rsid w:val="5ED94E62"/>
    <w:rsid w:val="5EDF0ADA"/>
    <w:rsid w:val="5EE10235"/>
    <w:rsid w:val="5EED7FF0"/>
    <w:rsid w:val="5EFC7379"/>
    <w:rsid w:val="5EFC7E35"/>
    <w:rsid w:val="5F025C16"/>
    <w:rsid w:val="5F070A50"/>
    <w:rsid w:val="5F0F2476"/>
    <w:rsid w:val="5F131BD1"/>
    <w:rsid w:val="5F1B7866"/>
    <w:rsid w:val="5F221E14"/>
    <w:rsid w:val="5F2D3E82"/>
    <w:rsid w:val="5F2E680C"/>
    <w:rsid w:val="5F365651"/>
    <w:rsid w:val="5F3E6C4E"/>
    <w:rsid w:val="5F3F50D5"/>
    <w:rsid w:val="5F4678B1"/>
    <w:rsid w:val="5F471F31"/>
    <w:rsid w:val="5F481892"/>
    <w:rsid w:val="5F4959FC"/>
    <w:rsid w:val="5F4B136B"/>
    <w:rsid w:val="5F4B5F0B"/>
    <w:rsid w:val="5F52038F"/>
    <w:rsid w:val="5F6274AD"/>
    <w:rsid w:val="5F664883"/>
    <w:rsid w:val="5F7B08DC"/>
    <w:rsid w:val="5F903222"/>
    <w:rsid w:val="5F9638AD"/>
    <w:rsid w:val="5F9C45C2"/>
    <w:rsid w:val="5F9D2510"/>
    <w:rsid w:val="5FA12D39"/>
    <w:rsid w:val="5FA964C8"/>
    <w:rsid w:val="5FB05FBE"/>
    <w:rsid w:val="5FB16998"/>
    <w:rsid w:val="5FB310AE"/>
    <w:rsid w:val="5FB92779"/>
    <w:rsid w:val="5FBE06A9"/>
    <w:rsid w:val="5FC36ABF"/>
    <w:rsid w:val="5FC41A99"/>
    <w:rsid w:val="5FC86518"/>
    <w:rsid w:val="5FCB3F5F"/>
    <w:rsid w:val="5FCB59BA"/>
    <w:rsid w:val="5FCD2D18"/>
    <w:rsid w:val="5FD43F14"/>
    <w:rsid w:val="5FD82F7C"/>
    <w:rsid w:val="5FE002F9"/>
    <w:rsid w:val="5FEF4E02"/>
    <w:rsid w:val="5FF62290"/>
    <w:rsid w:val="5FFD062D"/>
    <w:rsid w:val="600129B9"/>
    <w:rsid w:val="600532C8"/>
    <w:rsid w:val="600734E4"/>
    <w:rsid w:val="60107EBF"/>
    <w:rsid w:val="601D1CCD"/>
    <w:rsid w:val="60237F71"/>
    <w:rsid w:val="60290E01"/>
    <w:rsid w:val="602B6AA7"/>
    <w:rsid w:val="602C19B8"/>
    <w:rsid w:val="602E3115"/>
    <w:rsid w:val="603911C4"/>
    <w:rsid w:val="60441670"/>
    <w:rsid w:val="60483AFC"/>
    <w:rsid w:val="604A35BC"/>
    <w:rsid w:val="604C2094"/>
    <w:rsid w:val="60522285"/>
    <w:rsid w:val="60535ED6"/>
    <w:rsid w:val="605D5DF1"/>
    <w:rsid w:val="607D1EBB"/>
    <w:rsid w:val="60824402"/>
    <w:rsid w:val="60904C36"/>
    <w:rsid w:val="60916139"/>
    <w:rsid w:val="60A109EB"/>
    <w:rsid w:val="60B46A9C"/>
    <w:rsid w:val="60B71F11"/>
    <w:rsid w:val="60B90EC4"/>
    <w:rsid w:val="60BC53FD"/>
    <w:rsid w:val="60C16719"/>
    <w:rsid w:val="60CC64DC"/>
    <w:rsid w:val="60DE6003"/>
    <w:rsid w:val="60E229A9"/>
    <w:rsid w:val="60ED166D"/>
    <w:rsid w:val="60F31D02"/>
    <w:rsid w:val="60F66586"/>
    <w:rsid w:val="60F831B7"/>
    <w:rsid w:val="61027F57"/>
    <w:rsid w:val="610B6D0D"/>
    <w:rsid w:val="610E47E7"/>
    <w:rsid w:val="61157B25"/>
    <w:rsid w:val="611A5DAC"/>
    <w:rsid w:val="61271964"/>
    <w:rsid w:val="613D7AC0"/>
    <w:rsid w:val="61412A26"/>
    <w:rsid w:val="614372F4"/>
    <w:rsid w:val="61440E6E"/>
    <w:rsid w:val="61457884"/>
    <w:rsid w:val="61461DEA"/>
    <w:rsid w:val="614740AD"/>
    <w:rsid w:val="614C0479"/>
    <w:rsid w:val="615D5386"/>
    <w:rsid w:val="6160135D"/>
    <w:rsid w:val="61736E11"/>
    <w:rsid w:val="61767CB3"/>
    <w:rsid w:val="617952FC"/>
    <w:rsid w:val="6190308F"/>
    <w:rsid w:val="61936D8B"/>
    <w:rsid w:val="61A415C7"/>
    <w:rsid w:val="61A56914"/>
    <w:rsid w:val="61A7403B"/>
    <w:rsid w:val="61A84853"/>
    <w:rsid w:val="61AA6062"/>
    <w:rsid w:val="61B27CA1"/>
    <w:rsid w:val="61B3707D"/>
    <w:rsid w:val="61C001CC"/>
    <w:rsid w:val="61C952DF"/>
    <w:rsid w:val="61FF27FC"/>
    <w:rsid w:val="620328F3"/>
    <w:rsid w:val="620C2033"/>
    <w:rsid w:val="620F48D2"/>
    <w:rsid w:val="620F6F18"/>
    <w:rsid w:val="62117EBD"/>
    <w:rsid w:val="621C0778"/>
    <w:rsid w:val="622C4470"/>
    <w:rsid w:val="623F2EA5"/>
    <w:rsid w:val="624256BF"/>
    <w:rsid w:val="624D42BE"/>
    <w:rsid w:val="625130FB"/>
    <w:rsid w:val="62556940"/>
    <w:rsid w:val="625C615E"/>
    <w:rsid w:val="625F7ED6"/>
    <w:rsid w:val="626C7D1C"/>
    <w:rsid w:val="6271444B"/>
    <w:rsid w:val="62830E1C"/>
    <w:rsid w:val="629870A2"/>
    <w:rsid w:val="62A72D5C"/>
    <w:rsid w:val="62A74B0A"/>
    <w:rsid w:val="62AE6250"/>
    <w:rsid w:val="62B45479"/>
    <w:rsid w:val="62BB05B6"/>
    <w:rsid w:val="62BF209A"/>
    <w:rsid w:val="62C422FA"/>
    <w:rsid w:val="62CA2184"/>
    <w:rsid w:val="62CF5E0F"/>
    <w:rsid w:val="62D43425"/>
    <w:rsid w:val="62D840D8"/>
    <w:rsid w:val="62FB6C04"/>
    <w:rsid w:val="630117D3"/>
    <w:rsid w:val="63011F0B"/>
    <w:rsid w:val="63012E32"/>
    <w:rsid w:val="63023CFD"/>
    <w:rsid w:val="63027F93"/>
    <w:rsid w:val="630D3399"/>
    <w:rsid w:val="630E7347"/>
    <w:rsid w:val="631101D6"/>
    <w:rsid w:val="63132F32"/>
    <w:rsid w:val="63163B80"/>
    <w:rsid w:val="63172135"/>
    <w:rsid w:val="631C57E4"/>
    <w:rsid w:val="631F28F3"/>
    <w:rsid w:val="632720A3"/>
    <w:rsid w:val="63367D3F"/>
    <w:rsid w:val="63384BF1"/>
    <w:rsid w:val="633F11E7"/>
    <w:rsid w:val="634D28B4"/>
    <w:rsid w:val="635E6E8C"/>
    <w:rsid w:val="635F6D2C"/>
    <w:rsid w:val="63624ED5"/>
    <w:rsid w:val="63693145"/>
    <w:rsid w:val="636F24BB"/>
    <w:rsid w:val="63890E28"/>
    <w:rsid w:val="639170EF"/>
    <w:rsid w:val="63A8695F"/>
    <w:rsid w:val="63BA169B"/>
    <w:rsid w:val="63C15836"/>
    <w:rsid w:val="63C67212"/>
    <w:rsid w:val="63D119F0"/>
    <w:rsid w:val="63D27BE3"/>
    <w:rsid w:val="63DC1055"/>
    <w:rsid w:val="63DD33CD"/>
    <w:rsid w:val="63E90FE0"/>
    <w:rsid w:val="63F749B9"/>
    <w:rsid w:val="63FB7C3B"/>
    <w:rsid w:val="63FE4BFE"/>
    <w:rsid w:val="64120C1E"/>
    <w:rsid w:val="64151F48"/>
    <w:rsid w:val="642632AF"/>
    <w:rsid w:val="64287ECD"/>
    <w:rsid w:val="64382901"/>
    <w:rsid w:val="643979E4"/>
    <w:rsid w:val="643A1643"/>
    <w:rsid w:val="643E2670"/>
    <w:rsid w:val="6445282D"/>
    <w:rsid w:val="6445778C"/>
    <w:rsid w:val="644C6871"/>
    <w:rsid w:val="64515ACD"/>
    <w:rsid w:val="64572560"/>
    <w:rsid w:val="645D7C18"/>
    <w:rsid w:val="645E390D"/>
    <w:rsid w:val="64604B5D"/>
    <w:rsid w:val="64722EF6"/>
    <w:rsid w:val="647A412F"/>
    <w:rsid w:val="64821C7A"/>
    <w:rsid w:val="649607A0"/>
    <w:rsid w:val="64966BE4"/>
    <w:rsid w:val="64A82548"/>
    <w:rsid w:val="64AF1213"/>
    <w:rsid w:val="64B477E8"/>
    <w:rsid w:val="64B61035"/>
    <w:rsid w:val="64B703EC"/>
    <w:rsid w:val="64B84F5C"/>
    <w:rsid w:val="64C431C0"/>
    <w:rsid w:val="64CF569C"/>
    <w:rsid w:val="64E47160"/>
    <w:rsid w:val="64E9096A"/>
    <w:rsid w:val="64E969EC"/>
    <w:rsid w:val="64EE6A20"/>
    <w:rsid w:val="64F728D5"/>
    <w:rsid w:val="6510709F"/>
    <w:rsid w:val="65150451"/>
    <w:rsid w:val="651641C9"/>
    <w:rsid w:val="65173519"/>
    <w:rsid w:val="65242D17"/>
    <w:rsid w:val="65586590"/>
    <w:rsid w:val="657049D2"/>
    <w:rsid w:val="657D21FF"/>
    <w:rsid w:val="65875458"/>
    <w:rsid w:val="658904F7"/>
    <w:rsid w:val="659A2AB0"/>
    <w:rsid w:val="659C51A1"/>
    <w:rsid w:val="659D508A"/>
    <w:rsid w:val="65A11CE5"/>
    <w:rsid w:val="65A83D81"/>
    <w:rsid w:val="65AD68DC"/>
    <w:rsid w:val="65AF597F"/>
    <w:rsid w:val="65BD3CE7"/>
    <w:rsid w:val="65BE0315"/>
    <w:rsid w:val="65C92FEA"/>
    <w:rsid w:val="65CC306E"/>
    <w:rsid w:val="65D025CA"/>
    <w:rsid w:val="65DD13E8"/>
    <w:rsid w:val="65E16585"/>
    <w:rsid w:val="65E21B63"/>
    <w:rsid w:val="65E41BD1"/>
    <w:rsid w:val="65E6592A"/>
    <w:rsid w:val="65EC3BB8"/>
    <w:rsid w:val="65EE2A50"/>
    <w:rsid w:val="65F35011"/>
    <w:rsid w:val="65F4293E"/>
    <w:rsid w:val="65F71905"/>
    <w:rsid w:val="65FA31A3"/>
    <w:rsid w:val="65FC7FFD"/>
    <w:rsid w:val="65FF605F"/>
    <w:rsid w:val="66091638"/>
    <w:rsid w:val="660F5F33"/>
    <w:rsid w:val="66154DA9"/>
    <w:rsid w:val="66246472"/>
    <w:rsid w:val="662A2DCE"/>
    <w:rsid w:val="662E541A"/>
    <w:rsid w:val="662F296E"/>
    <w:rsid w:val="66362D25"/>
    <w:rsid w:val="663A7A43"/>
    <w:rsid w:val="663B23F4"/>
    <w:rsid w:val="663C3275"/>
    <w:rsid w:val="663D12E2"/>
    <w:rsid w:val="66413EAD"/>
    <w:rsid w:val="664258E8"/>
    <w:rsid w:val="66476654"/>
    <w:rsid w:val="66490FDC"/>
    <w:rsid w:val="66503810"/>
    <w:rsid w:val="66555EDF"/>
    <w:rsid w:val="66652862"/>
    <w:rsid w:val="667239F8"/>
    <w:rsid w:val="667C2102"/>
    <w:rsid w:val="667E5D0C"/>
    <w:rsid w:val="667F4267"/>
    <w:rsid w:val="66884460"/>
    <w:rsid w:val="66932593"/>
    <w:rsid w:val="6697419B"/>
    <w:rsid w:val="6698362A"/>
    <w:rsid w:val="66A6332B"/>
    <w:rsid w:val="66A75B12"/>
    <w:rsid w:val="66AB4480"/>
    <w:rsid w:val="66BC66AA"/>
    <w:rsid w:val="66C537B1"/>
    <w:rsid w:val="66C71671"/>
    <w:rsid w:val="66DA57BF"/>
    <w:rsid w:val="66DE0D17"/>
    <w:rsid w:val="66E229A8"/>
    <w:rsid w:val="66E70059"/>
    <w:rsid w:val="66ED5DE6"/>
    <w:rsid w:val="66F8073F"/>
    <w:rsid w:val="66FB7F14"/>
    <w:rsid w:val="670267B3"/>
    <w:rsid w:val="67090533"/>
    <w:rsid w:val="670E6D38"/>
    <w:rsid w:val="67142208"/>
    <w:rsid w:val="671464E6"/>
    <w:rsid w:val="67156787"/>
    <w:rsid w:val="67172593"/>
    <w:rsid w:val="671868DB"/>
    <w:rsid w:val="6719585F"/>
    <w:rsid w:val="671A724E"/>
    <w:rsid w:val="672A7AB8"/>
    <w:rsid w:val="673F7A07"/>
    <w:rsid w:val="675237A4"/>
    <w:rsid w:val="675B4115"/>
    <w:rsid w:val="67601121"/>
    <w:rsid w:val="67621FD5"/>
    <w:rsid w:val="677218E4"/>
    <w:rsid w:val="677235F9"/>
    <w:rsid w:val="67923912"/>
    <w:rsid w:val="679A69EC"/>
    <w:rsid w:val="679E2FBD"/>
    <w:rsid w:val="679F2DEE"/>
    <w:rsid w:val="67A42D94"/>
    <w:rsid w:val="67A61B38"/>
    <w:rsid w:val="67A67F21"/>
    <w:rsid w:val="67A700E1"/>
    <w:rsid w:val="67B0377C"/>
    <w:rsid w:val="67B4741A"/>
    <w:rsid w:val="67B55E60"/>
    <w:rsid w:val="67C248FD"/>
    <w:rsid w:val="67CA1B05"/>
    <w:rsid w:val="67CE2EDF"/>
    <w:rsid w:val="67EA2533"/>
    <w:rsid w:val="67EA33CE"/>
    <w:rsid w:val="67EB3C17"/>
    <w:rsid w:val="67EC2FBF"/>
    <w:rsid w:val="67EF02A9"/>
    <w:rsid w:val="67F72090"/>
    <w:rsid w:val="67FB1A94"/>
    <w:rsid w:val="67FC44E7"/>
    <w:rsid w:val="67FF0F45"/>
    <w:rsid w:val="680203FF"/>
    <w:rsid w:val="68133A7A"/>
    <w:rsid w:val="68155ACD"/>
    <w:rsid w:val="68161920"/>
    <w:rsid w:val="68167D38"/>
    <w:rsid w:val="681F180F"/>
    <w:rsid w:val="68272B82"/>
    <w:rsid w:val="682736B4"/>
    <w:rsid w:val="68295FC1"/>
    <w:rsid w:val="6832311B"/>
    <w:rsid w:val="683426FB"/>
    <w:rsid w:val="683D4A7A"/>
    <w:rsid w:val="683D4DCE"/>
    <w:rsid w:val="684265A9"/>
    <w:rsid w:val="6843583A"/>
    <w:rsid w:val="68437083"/>
    <w:rsid w:val="68444BA9"/>
    <w:rsid w:val="68455962"/>
    <w:rsid w:val="68470F37"/>
    <w:rsid w:val="68471CFA"/>
    <w:rsid w:val="684E052E"/>
    <w:rsid w:val="684E1EF7"/>
    <w:rsid w:val="685355EC"/>
    <w:rsid w:val="685643E1"/>
    <w:rsid w:val="6858637B"/>
    <w:rsid w:val="68594929"/>
    <w:rsid w:val="686D4D23"/>
    <w:rsid w:val="68702277"/>
    <w:rsid w:val="68753642"/>
    <w:rsid w:val="687C27B3"/>
    <w:rsid w:val="687E630D"/>
    <w:rsid w:val="687F7C3A"/>
    <w:rsid w:val="68800282"/>
    <w:rsid w:val="68931CD5"/>
    <w:rsid w:val="68936434"/>
    <w:rsid w:val="689A6B90"/>
    <w:rsid w:val="689B0697"/>
    <w:rsid w:val="68A23436"/>
    <w:rsid w:val="68AC2A8E"/>
    <w:rsid w:val="68B9594A"/>
    <w:rsid w:val="68BE08B3"/>
    <w:rsid w:val="68DB4126"/>
    <w:rsid w:val="68E34AC6"/>
    <w:rsid w:val="68E56BBE"/>
    <w:rsid w:val="68E819D9"/>
    <w:rsid w:val="68EF4209"/>
    <w:rsid w:val="68F0088D"/>
    <w:rsid w:val="68F369E7"/>
    <w:rsid w:val="69034A64"/>
    <w:rsid w:val="690506DC"/>
    <w:rsid w:val="690523FE"/>
    <w:rsid w:val="690E58E3"/>
    <w:rsid w:val="6911105D"/>
    <w:rsid w:val="69117A34"/>
    <w:rsid w:val="6913359B"/>
    <w:rsid w:val="691935FF"/>
    <w:rsid w:val="69194288"/>
    <w:rsid w:val="69227F89"/>
    <w:rsid w:val="692844CB"/>
    <w:rsid w:val="69381564"/>
    <w:rsid w:val="69382960"/>
    <w:rsid w:val="693E2568"/>
    <w:rsid w:val="694D5CE0"/>
    <w:rsid w:val="69540E1C"/>
    <w:rsid w:val="695A4302"/>
    <w:rsid w:val="6965734D"/>
    <w:rsid w:val="696F6D2D"/>
    <w:rsid w:val="69717C20"/>
    <w:rsid w:val="69777C6C"/>
    <w:rsid w:val="69787200"/>
    <w:rsid w:val="69796AD5"/>
    <w:rsid w:val="69855479"/>
    <w:rsid w:val="698600A5"/>
    <w:rsid w:val="698641CF"/>
    <w:rsid w:val="699F3D19"/>
    <w:rsid w:val="699F5A0A"/>
    <w:rsid w:val="69A37450"/>
    <w:rsid w:val="69AC0C58"/>
    <w:rsid w:val="69B04C83"/>
    <w:rsid w:val="69B960E8"/>
    <w:rsid w:val="69BC044F"/>
    <w:rsid w:val="69BF520A"/>
    <w:rsid w:val="69C064B2"/>
    <w:rsid w:val="69C77FE8"/>
    <w:rsid w:val="69CE59BB"/>
    <w:rsid w:val="69DF2DDC"/>
    <w:rsid w:val="69DF5C48"/>
    <w:rsid w:val="69EC54F9"/>
    <w:rsid w:val="69F90ABF"/>
    <w:rsid w:val="6A014E78"/>
    <w:rsid w:val="6A09474F"/>
    <w:rsid w:val="6A0D2B94"/>
    <w:rsid w:val="6A0D5B9B"/>
    <w:rsid w:val="6A10568B"/>
    <w:rsid w:val="6A154A4F"/>
    <w:rsid w:val="6A1A62CD"/>
    <w:rsid w:val="6A1C0E4B"/>
    <w:rsid w:val="6A2140B2"/>
    <w:rsid w:val="6A2373AF"/>
    <w:rsid w:val="6A2F23AB"/>
    <w:rsid w:val="6A3972D0"/>
    <w:rsid w:val="6A3C67A6"/>
    <w:rsid w:val="6A3D7B02"/>
    <w:rsid w:val="6A405DAE"/>
    <w:rsid w:val="6A460A79"/>
    <w:rsid w:val="6A472B90"/>
    <w:rsid w:val="6A5006F6"/>
    <w:rsid w:val="6A553A32"/>
    <w:rsid w:val="6A560DAC"/>
    <w:rsid w:val="6A663538"/>
    <w:rsid w:val="6A694826"/>
    <w:rsid w:val="6A6962F1"/>
    <w:rsid w:val="6A85011B"/>
    <w:rsid w:val="6A8D304D"/>
    <w:rsid w:val="6A8E5EDF"/>
    <w:rsid w:val="6A994787"/>
    <w:rsid w:val="6A9C2A7B"/>
    <w:rsid w:val="6AA033E6"/>
    <w:rsid w:val="6AA803C3"/>
    <w:rsid w:val="6AAD49C9"/>
    <w:rsid w:val="6AAD5F0E"/>
    <w:rsid w:val="6AB019B8"/>
    <w:rsid w:val="6AB11F32"/>
    <w:rsid w:val="6AB77B14"/>
    <w:rsid w:val="6ABF6E0B"/>
    <w:rsid w:val="6AC12A16"/>
    <w:rsid w:val="6AC24B1C"/>
    <w:rsid w:val="6ACE4BFE"/>
    <w:rsid w:val="6AD10D9A"/>
    <w:rsid w:val="6AD71102"/>
    <w:rsid w:val="6AE61F48"/>
    <w:rsid w:val="6AEB2A78"/>
    <w:rsid w:val="6AF361D6"/>
    <w:rsid w:val="6AF96F3B"/>
    <w:rsid w:val="6B106C62"/>
    <w:rsid w:val="6B106FC5"/>
    <w:rsid w:val="6B1533AD"/>
    <w:rsid w:val="6B17611C"/>
    <w:rsid w:val="6B19231D"/>
    <w:rsid w:val="6B197A81"/>
    <w:rsid w:val="6B1F11E2"/>
    <w:rsid w:val="6B25797B"/>
    <w:rsid w:val="6B31378F"/>
    <w:rsid w:val="6B325BF7"/>
    <w:rsid w:val="6B3B484B"/>
    <w:rsid w:val="6B3C3C68"/>
    <w:rsid w:val="6B42603A"/>
    <w:rsid w:val="6B427FCD"/>
    <w:rsid w:val="6B431030"/>
    <w:rsid w:val="6B436A8D"/>
    <w:rsid w:val="6B4E5778"/>
    <w:rsid w:val="6B5C220A"/>
    <w:rsid w:val="6B5D5230"/>
    <w:rsid w:val="6B607E5C"/>
    <w:rsid w:val="6B684B2B"/>
    <w:rsid w:val="6B6C68F1"/>
    <w:rsid w:val="6B6D4417"/>
    <w:rsid w:val="6B713F07"/>
    <w:rsid w:val="6B7439F8"/>
    <w:rsid w:val="6B756B41"/>
    <w:rsid w:val="6B782B8D"/>
    <w:rsid w:val="6B98412E"/>
    <w:rsid w:val="6B9A628E"/>
    <w:rsid w:val="6BA81FC6"/>
    <w:rsid w:val="6BA972A1"/>
    <w:rsid w:val="6BAE5658"/>
    <w:rsid w:val="6BCB1032"/>
    <w:rsid w:val="6BCC676B"/>
    <w:rsid w:val="6BCD6965"/>
    <w:rsid w:val="6BD16ED3"/>
    <w:rsid w:val="6BD275B7"/>
    <w:rsid w:val="6BDB5825"/>
    <w:rsid w:val="6BDD7E70"/>
    <w:rsid w:val="6BEA6C23"/>
    <w:rsid w:val="6BEA7B51"/>
    <w:rsid w:val="6BF568E6"/>
    <w:rsid w:val="6BFC1155"/>
    <w:rsid w:val="6BFF25F4"/>
    <w:rsid w:val="6C0601F1"/>
    <w:rsid w:val="6C06177A"/>
    <w:rsid w:val="6C075B03"/>
    <w:rsid w:val="6C0D5B92"/>
    <w:rsid w:val="6C112B24"/>
    <w:rsid w:val="6C164AAF"/>
    <w:rsid w:val="6C1F5711"/>
    <w:rsid w:val="6C224F66"/>
    <w:rsid w:val="6C2B1798"/>
    <w:rsid w:val="6C311952"/>
    <w:rsid w:val="6C313697"/>
    <w:rsid w:val="6C3F24CA"/>
    <w:rsid w:val="6C4130C1"/>
    <w:rsid w:val="6C422159"/>
    <w:rsid w:val="6C47110C"/>
    <w:rsid w:val="6C4C4A8D"/>
    <w:rsid w:val="6C5147F6"/>
    <w:rsid w:val="6C5527E5"/>
    <w:rsid w:val="6C553EED"/>
    <w:rsid w:val="6C5B406F"/>
    <w:rsid w:val="6C6058A7"/>
    <w:rsid w:val="6C683B9C"/>
    <w:rsid w:val="6C697BBF"/>
    <w:rsid w:val="6C7520FA"/>
    <w:rsid w:val="6C7E1F8F"/>
    <w:rsid w:val="6C8C4686"/>
    <w:rsid w:val="6C9205D9"/>
    <w:rsid w:val="6C984236"/>
    <w:rsid w:val="6CA33918"/>
    <w:rsid w:val="6CAA08FF"/>
    <w:rsid w:val="6CB21A56"/>
    <w:rsid w:val="6CB86E80"/>
    <w:rsid w:val="6CD06CF5"/>
    <w:rsid w:val="6CD07B9A"/>
    <w:rsid w:val="6CD45945"/>
    <w:rsid w:val="6CDA60C2"/>
    <w:rsid w:val="6CDC3602"/>
    <w:rsid w:val="6CDC43E9"/>
    <w:rsid w:val="6CDF25C2"/>
    <w:rsid w:val="6CE63063"/>
    <w:rsid w:val="6CE7250C"/>
    <w:rsid w:val="6CE80A80"/>
    <w:rsid w:val="6CE8644B"/>
    <w:rsid w:val="6CEF77DA"/>
    <w:rsid w:val="6CF245FA"/>
    <w:rsid w:val="6D00090C"/>
    <w:rsid w:val="6D0428AB"/>
    <w:rsid w:val="6D1014FE"/>
    <w:rsid w:val="6D165E10"/>
    <w:rsid w:val="6D181281"/>
    <w:rsid w:val="6D2A08D5"/>
    <w:rsid w:val="6D47333A"/>
    <w:rsid w:val="6D517303"/>
    <w:rsid w:val="6D590593"/>
    <w:rsid w:val="6D594C53"/>
    <w:rsid w:val="6D5E6EBF"/>
    <w:rsid w:val="6D6209B3"/>
    <w:rsid w:val="6D6B416B"/>
    <w:rsid w:val="6D6D1B92"/>
    <w:rsid w:val="6D7133CC"/>
    <w:rsid w:val="6D720BA9"/>
    <w:rsid w:val="6D7B16CC"/>
    <w:rsid w:val="6D7C3DDB"/>
    <w:rsid w:val="6D7E7792"/>
    <w:rsid w:val="6D8E6624"/>
    <w:rsid w:val="6D925BDE"/>
    <w:rsid w:val="6DA01445"/>
    <w:rsid w:val="6DA22D00"/>
    <w:rsid w:val="6DB04CB2"/>
    <w:rsid w:val="6DB4178C"/>
    <w:rsid w:val="6DC01B3D"/>
    <w:rsid w:val="6DC03450"/>
    <w:rsid w:val="6DD17D62"/>
    <w:rsid w:val="6DD2529F"/>
    <w:rsid w:val="6DDE4298"/>
    <w:rsid w:val="6DF05E3F"/>
    <w:rsid w:val="6DF61D70"/>
    <w:rsid w:val="6DF7425E"/>
    <w:rsid w:val="6DFA03C4"/>
    <w:rsid w:val="6E054DDB"/>
    <w:rsid w:val="6E076D34"/>
    <w:rsid w:val="6E0A1325"/>
    <w:rsid w:val="6E1A7B10"/>
    <w:rsid w:val="6E276AFF"/>
    <w:rsid w:val="6E3B3B2D"/>
    <w:rsid w:val="6E3D0A6D"/>
    <w:rsid w:val="6E4848D8"/>
    <w:rsid w:val="6E4A5328"/>
    <w:rsid w:val="6E533D98"/>
    <w:rsid w:val="6E565D07"/>
    <w:rsid w:val="6E5C03A9"/>
    <w:rsid w:val="6E5C7B73"/>
    <w:rsid w:val="6E6C478D"/>
    <w:rsid w:val="6E757270"/>
    <w:rsid w:val="6E884778"/>
    <w:rsid w:val="6E891A4E"/>
    <w:rsid w:val="6E8A4814"/>
    <w:rsid w:val="6E932533"/>
    <w:rsid w:val="6E940421"/>
    <w:rsid w:val="6E9A4FA5"/>
    <w:rsid w:val="6EA16191"/>
    <w:rsid w:val="6EA90FDE"/>
    <w:rsid w:val="6EB34837"/>
    <w:rsid w:val="6EB96D3E"/>
    <w:rsid w:val="6EBD1C57"/>
    <w:rsid w:val="6EC30F1E"/>
    <w:rsid w:val="6EC64922"/>
    <w:rsid w:val="6ECB55B8"/>
    <w:rsid w:val="6ED24951"/>
    <w:rsid w:val="6ED43694"/>
    <w:rsid w:val="6ED87E74"/>
    <w:rsid w:val="6EED40D9"/>
    <w:rsid w:val="6EFA2466"/>
    <w:rsid w:val="6F0B5CC5"/>
    <w:rsid w:val="6F0F3FB5"/>
    <w:rsid w:val="6F1418CC"/>
    <w:rsid w:val="6F1E2296"/>
    <w:rsid w:val="6F23498B"/>
    <w:rsid w:val="6F3040D9"/>
    <w:rsid w:val="6F36229B"/>
    <w:rsid w:val="6F3659D8"/>
    <w:rsid w:val="6F392F8E"/>
    <w:rsid w:val="6F427577"/>
    <w:rsid w:val="6F466612"/>
    <w:rsid w:val="6F5002D8"/>
    <w:rsid w:val="6F5C7A75"/>
    <w:rsid w:val="6F5E0C47"/>
    <w:rsid w:val="6F6048FE"/>
    <w:rsid w:val="6F6124E5"/>
    <w:rsid w:val="6F633146"/>
    <w:rsid w:val="6F655B31"/>
    <w:rsid w:val="6F6C691B"/>
    <w:rsid w:val="6F6F1085"/>
    <w:rsid w:val="6F806E0F"/>
    <w:rsid w:val="6F9208F0"/>
    <w:rsid w:val="6FB27708"/>
    <w:rsid w:val="6FB478B7"/>
    <w:rsid w:val="6FBF4BFE"/>
    <w:rsid w:val="6FC8448B"/>
    <w:rsid w:val="6FD35191"/>
    <w:rsid w:val="6FD827A7"/>
    <w:rsid w:val="6FD83771"/>
    <w:rsid w:val="6FD900B8"/>
    <w:rsid w:val="6FDE202A"/>
    <w:rsid w:val="6FE43C35"/>
    <w:rsid w:val="6FE4739E"/>
    <w:rsid w:val="6FE52CEE"/>
    <w:rsid w:val="6FEA5A1C"/>
    <w:rsid w:val="6FEB253B"/>
    <w:rsid w:val="6FED3D79"/>
    <w:rsid w:val="6FFE09D9"/>
    <w:rsid w:val="70041B6B"/>
    <w:rsid w:val="700E7FC4"/>
    <w:rsid w:val="7012558D"/>
    <w:rsid w:val="701B5335"/>
    <w:rsid w:val="702A2886"/>
    <w:rsid w:val="703379DD"/>
    <w:rsid w:val="703674CE"/>
    <w:rsid w:val="703951EF"/>
    <w:rsid w:val="703B0129"/>
    <w:rsid w:val="703C27F4"/>
    <w:rsid w:val="70423C64"/>
    <w:rsid w:val="705A0D9A"/>
    <w:rsid w:val="705F2162"/>
    <w:rsid w:val="70630383"/>
    <w:rsid w:val="70696A50"/>
    <w:rsid w:val="707C4965"/>
    <w:rsid w:val="70866B41"/>
    <w:rsid w:val="709B5583"/>
    <w:rsid w:val="709F3B54"/>
    <w:rsid w:val="70A83FBF"/>
    <w:rsid w:val="70AB523A"/>
    <w:rsid w:val="70B36D70"/>
    <w:rsid w:val="70B74B36"/>
    <w:rsid w:val="70C26FB3"/>
    <w:rsid w:val="70CD23C0"/>
    <w:rsid w:val="70D32B61"/>
    <w:rsid w:val="70D36C12"/>
    <w:rsid w:val="70D85FC1"/>
    <w:rsid w:val="70F01C44"/>
    <w:rsid w:val="70F516CE"/>
    <w:rsid w:val="70FD0BC5"/>
    <w:rsid w:val="7114113C"/>
    <w:rsid w:val="711C0906"/>
    <w:rsid w:val="712437CA"/>
    <w:rsid w:val="7126679C"/>
    <w:rsid w:val="71292B19"/>
    <w:rsid w:val="712B2BDC"/>
    <w:rsid w:val="712C10F3"/>
    <w:rsid w:val="713C1844"/>
    <w:rsid w:val="71450BD3"/>
    <w:rsid w:val="7146355D"/>
    <w:rsid w:val="714D0F73"/>
    <w:rsid w:val="7151052E"/>
    <w:rsid w:val="71573B9F"/>
    <w:rsid w:val="7162419C"/>
    <w:rsid w:val="71643374"/>
    <w:rsid w:val="716A7B93"/>
    <w:rsid w:val="716B31A7"/>
    <w:rsid w:val="716F2C97"/>
    <w:rsid w:val="717474DC"/>
    <w:rsid w:val="718A6801"/>
    <w:rsid w:val="718E6353"/>
    <w:rsid w:val="71A01A9F"/>
    <w:rsid w:val="71AF5213"/>
    <w:rsid w:val="71BB71E6"/>
    <w:rsid w:val="71BE0B36"/>
    <w:rsid w:val="71C54FAD"/>
    <w:rsid w:val="71C81340"/>
    <w:rsid w:val="71C8398B"/>
    <w:rsid w:val="71CE65CD"/>
    <w:rsid w:val="71EE5577"/>
    <w:rsid w:val="71FE1AD4"/>
    <w:rsid w:val="72007BEE"/>
    <w:rsid w:val="72075D53"/>
    <w:rsid w:val="720B51B6"/>
    <w:rsid w:val="721E1F6F"/>
    <w:rsid w:val="72234D69"/>
    <w:rsid w:val="724759C2"/>
    <w:rsid w:val="7253713E"/>
    <w:rsid w:val="725D5379"/>
    <w:rsid w:val="726447C6"/>
    <w:rsid w:val="72737B82"/>
    <w:rsid w:val="727F0905"/>
    <w:rsid w:val="727F12F9"/>
    <w:rsid w:val="72895D82"/>
    <w:rsid w:val="72945E87"/>
    <w:rsid w:val="72953AC7"/>
    <w:rsid w:val="7296204E"/>
    <w:rsid w:val="72BA6194"/>
    <w:rsid w:val="72BE3825"/>
    <w:rsid w:val="72BF4F7D"/>
    <w:rsid w:val="72CC5BB9"/>
    <w:rsid w:val="72CF3B0D"/>
    <w:rsid w:val="72E871A5"/>
    <w:rsid w:val="72EA091E"/>
    <w:rsid w:val="72EB11D1"/>
    <w:rsid w:val="72F86CBC"/>
    <w:rsid w:val="72FB4772"/>
    <w:rsid w:val="72FD24F2"/>
    <w:rsid w:val="730423A2"/>
    <w:rsid w:val="73067B6A"/>
    <w:rsid w:val="73090EC9"/>
    <w:rsid w:val="732249A1"/>
    <w:rsid w:val="732950C8"/>
    <w:rsid w:val="73357F10"/>
    <w:rsid w:val="733C4DFB"/>
    <w:rsid w:val="73441807"/>
    <w:rsid w:val="734464A7"/>
    <w:rsid w:val="7347663E"/>
    <w:rsid w:val="734D3BC8"/>
    <w:rsid w:val="734E17EE"/>
    <w:rsid w:val="73504D4A"/>
    <w:rsid w:val="73506918"/>
    <w:rsid w:val="735230D5"/>
    <w:rsid w:val="73554010"/>
    <w:rsid w:val="73571C35"/>
    <w:rsid w:val="735D39B8"/>
    <w:rsid w:val="73711549"/>
    <w:rsid w:val="73786272"/>
    <w:rsid w:val="737C0FFA"/>
    <w:rsid w:val="738B5D82"/>
    <w:rsid w:val="739619CC"/>
    <w:rsid w:val="73992B41"/>
    <w:rsid w:val="739E08B8"/>
    <w:rsid w:val="73A111BE"/>
    <w:rsid w:val="73A25EFD"/>
    <w:rsid w:val="73A95B56"/>
    <w:rsid w:val="73B61051"/>
    <w:rsid w:val="73B9644B"/>
    <w:rsid w:val="73BB13AD"/>
    <w:rsid w:val="73BB5D6B"/>
    <w:rsid w:val="73BC1C0C"/>
    <w:rsid w:val="73C4268A"/>
    <w:rsid w:val="73CA2CA4"/>
    <w:rsid w:val="73CA314A"/>
    <w:rsid w:val="73CC3327"/>
    <w:rsid w:val="73F2319F"/>
    <w:rsid w:val="740775BE"/>
    <w:rsid w:val="74202640"/>
    <w:rsid w:val="743326A2"/>
    <w:rsid w:val="743401C8"/>
    <w:rsid w:val="74347F19"/>
    <w:rsid w:val="743E44FA"/>
    <w:rsid w:val="74414766"/>
    <w:rsid w:val="74453829"/>
    <w:rsid w:val="744568C7"/>
    <w:rsid w:val="747D1B6F"/>
    <w:rsid w:val="747F58E7"/>
    <w:rsid w:val="74803981"/>
    <w:rsid w:val="748E671C"/>
    <w:rsid w:val="74922AC0"/>
    <w:rsid w:val="749420F2"/>
    <w:rsid w:val="74A225EF"/>
    <w:rsid w:val="74B45395"/>
    <w:rsid w:val="74C87F16"/>
    <w:rsid w:val="74CB28DA"/>
    <w:rsid w:val="74D04DB6"/>
    <w:rsid w:val="74D90969"/>
    <w:rsid w:val="74DA48CB"/>
    <w:rsid w:val="74DE41A5"/>
    <w:rsid w:val="74E70CB8"/>
    <w:rsid w:val="74E92D60"/>
    <w:rsid w:val="74EC7067"/>
    <w:rsid w:val="74F5194B"/>
    <w:rsid w:val="74F72AF3"/>
    <w:rsid w:val="74F7365D"/>
    <w:rsid w:val="74F811F5"/>
    <w:rsid w:val="74F87C2C"/>
    <w:rsid w:val="74FA31C0"/>
    <w:rsid w:val="7501454E"/>
    <w:rsid w:val="75097D55"/>
    <w:rsid w:val="750A2CD7"/>
    <w:rsid w:val="750A5428"/>
    <w:rsid w:val="752437F8"/>
    <w:rsid w:val="752A12F1"/>
    <w:rsid w:val="753D404C"/>
    <w:rsid w:val="754378F0"/>
    <w:rsid w:val="754430F8"/>
    <w:rsid w:val="75454B54"/>
    <w:rsid w:val="75456373"/>
    <w:rsid w:val="75524368"/>
    <w:rsid w:val="755B7C0B"/>
    <w:rsid w:val="755D54FC"/>
    <w:rsid w:val="756019C9"/>
    <w:rsid w:val="756659DC"/>
    <w:rsid w:val="75680129"/>
    <w:rsid w:val="756D53EE"/>
    <w:rsid w:val="75792336"/>
    <w:rsid w:val="757F58D8"/>
    <w:rsid w:val="758104C3"/>
    <w:rsid w:val="75862CA5"/>
    <w:rsid w:val="758C51E5"/>
    <w:rsid w:val="759341F6"/>
    <w:rsid w:val="75A03342"/>
    <w:rsid w:val="75AA6994"/>
    <w:rsid w:val="75AB2B8A"/>
    <w:rsid w:val="75AF16E6"/>
    <w:rsid w:val="75AF3FAA"/>
    <w:rsid w:val="75B1318F"/>
    <w:rsid w:val="75BD3566"/>
    <w:rsid w:val="75D10E0C"/>
    <w:rsid w:val="75D4260F"/>
    <w:rsid w:val="75D75712"/>
    <w:rsid w:val="75DD0582"/>
    <w:rsid w:val="75EB3CEA"/>
    <w:rsid w:val="75ED2F23"/>
    <w:rsid w:val="75F11E61"/>
    <w:rsid w:val="75F220E9"/>
    <w:rsid w:val="75F428A6"/>
    <w:rsid w:val="75F52486"/>
    <w:rsid w:val="7602548E"/>
    <w:rsid w:val="760320FA"/>
    <w:rsid w:val="76110158"/>
    <w:rsid w:val="76126652"/>
    <w:rsid w:val="76182072"/>
    <w:rsid w:val="761B7D80"/>
    <w:rsid w:val="761C0A74"/>
    <w:rsid w:val="762B0D2A"/>
    <w:rsid w:val="76382F12"/>
    <w:rsid w:val="764F2B2D"/>
    <w:rsid w:val="765C5EC2"/>
    <w:rsid w:val="765D7381"/>
    <w:rsid w:val="76684159"/>
    <w:rsid w:val="76760624"/>
    <w:rsid w:val="768014A2"/>
    <w:rsid w:val="768A39BC"/>
    <w:rsid w:val="768F2D9D"/>
    <w:rsid w:val="769D02A6"/>
    <w:rsid w:val="76B000B8"/>
    <w:rsid w:val="76B57B1A"/>
    <w:rsid w:val="76B62E18"/>
    <w:rsid w:val="76B73919"/>
    <w:rsid w:val="76B8516C"/>
    <w:rsid w:val="76C92D0B"/>
    <w:rsid w:val="76D23B71"/>
    <w:rsid w:val="76D34B31"/>
    <w:rsid w:val="76D90BB3"/>
    <w:rsid w:val="76DC73B5"/>
    <w:rsid w:val="76E81C8A"/>
    <w:rsid w:val="77061685"/>
    <w:rsid w:val="770A73B3"/>
    <w:rsid w:val="770C3AED"/>
    <w:rsid w:val="770E74AA"/>
    <w:rsid w:val="77154480"/>
    <w:rsid w:val="77182CF2"/>
    <w:rsid w:val="771D4D4C"/>
    <w:rsid w:val="77206E17"/>
    <w:rsid w:val="77220638"/>
    <w:rsid w:val="77251B93"/>
    <w:rsid w:val="772B318E"/>
    <w:rsid w:val="772B3B04"/>
    <w:rsid w:val="772D2680"/>
    <w:rsid w:val="772E5490"/>
    <w:rsid w:val="77314F11"/>
    <w:rsid w:val="773B0D91"/>
    <w:rsid w:val="77470212"/>
    <w:rsid w:val="775C1F10"/>
    <w:rsid w:val="776042C2"/>
    <w:rsid w:val="77633E9B"/>
    <w:rsid w:val="77665300"/>
    <w:rsid w:val="776F6A13"/>
    <w:rsid w:val="77752FD1"/>
    <w:rsid w:val="777C3A99"/>
    <w:rsid w:val="77873058"/>
    <w:rsid w:val="778A6B73"/>
    <w:rsid w:val="778F321E"/>
    <w:rsid w:val="77A4357D"/>
    <w:rsid w:val="77AD62C7"/>
    <w:rsid w:val="77AE670B"/>
    <w:rsid w:val="77BF31C3"/>
    <w:rsid w:val="77C11D73"/>
    <w:rsid w:val="77C82ECA"/>
    <w:rsid w:val="77CB114B"/>
    <w:rsid w:val="77CB1A30"/>
    <w:rsid w:val="77DE1039"/>
    <w:rsid w:val="77E05069"/>
    <w:rsid w:val="77E108A2"/>
    <w:rsid w:val="77E20853"/>
    <w:rsid w:val="77F55D5D"/>
    <w:rsid w:val="77FC5C01"/>
    <w:rsid w:val="780138A2"/>
    <w:rsid w:val="780177FB"/>
    <w:rsid w:val="780974B2"/>
    <w:rsid w:val="783464A7"/>
    <w:rsid w:val="7839241C"/>
    <w:rsid w:val="783E33C3"/>
    <w:rsid w:val="78423D48"/>
    <w:rsid w:val="785D33E7"/>
    <w:rsid w:val="785D489D"/>
    <w:rsid w:val="785E5813"/>
    <w:rsid w:val="78614E88"/>
    <w:rsid w:val="78632C3D"/>
    <w:rsid w:val="7866720A"/>
    <w:rsid w:val="78686692"/>
    <w:rsid w:val="786C14C2"/>
    <w:rsid w:val="78774B27"/>
    <w:rsid w:val="7877762E"/>
    <w:rsid w:val="787A7E9F"/>
    <w:rsid w:val="788B1F02"/>
    <w:rsid w:val="788E5C50"/>
    <w:rsid w:val="789835B7"/>
    <w:rsid w:val="78A76272"/>
    <w:rsid w:val="78A8679B"/>
    <w:rsid w:val="78AC7D6F"/>
    <w:rsid w:val="78B83176"/>
    <w:rsid w:val="78B86684"/>
    <w:rsid w:val="78CA2E70"/>
    <w:rsid w:val="78CD15F4"/>
    <w:rsid w:val="78CF2423"/>
    <w:rsid w:val="78D83818"/>
    <w:rsid w:val="78E34B02"/>
    <w:rsid w:val="78E811D1"/>
    <w:rsid w:val="78E96C93"/>
    <w:rsid w:val="78F817C4"/>
    <w:rsid w:val="78FA0EF3"/>
    <w:rsid w:val="78FA7D70"/>
    <w:rsid w:val="78FD03CE"/>
    <w:rsid w:val="790A7005"/>
    <w:rsid w:val="790F5FD1"/>
    <w:rsid w:val="791B040F"/>
    <w:rsid w:val="79254583"/>
    <w:rsid w:val="79300AA4"/>
    <w:rsid w:val="793228FA"/>
    <w:rsid w:val="7932623C"/>
    <w:rsid w:val="793C51B2"/>
    <w:rsid w:val="794F0D9D"/>
    <w:rsid w:val="7954485D"/>
    <w:rsid w:val="79561AC8"/>
    <w:rsid w:val="79681A30"/>
    <w:rsid w:val="79711576"/>
    <w:rsid w:val="79733540"/>
    <w:rsid w:val="79782905"/>
    <w:rsid w:val="797F3C93"/>
    <w:rsid w:val="79844921"/>
    <w:rsid w:val="798B47E7"/>
    <w:rsid w:val="798E2A40"/>
    <w:rsid w:val="799314ED"/>
    <w:rsid w:val="799460F3"/>
    <w:rsid w:val="79951709"/>
    <w:rsid w:val="79C022DD"/>
    <w:rsid w:val="79C616A5"/>
    <w:rsid w:val="79D939C9"/>
    <w:rsid w:val="79E47F9A"/>
    <w:rsid w:val="79E61F64"/>
    <w:rsid w:val="79F20909"/>
    <w:rsid w:val="79F53FAD"/>
    <w:rsid w:val="7A044199"/>
    <w:rsid w:val="7A111D74"/>
    <w:rsid w:val="7A17211E"/>
    <w:rsid w:val="7A2B2B3C"/>
    <w:rsid w:val="7A326F58"/>
    <w:rsid w:val="7A392094"/>
    <w:rsid w:val="7A4602B8"/>
    <w:rsid w:val="7A495E80"/>
    <w:rsid w:val="7A4B2C37"/>
    <w:rsid w:val="7A4D15E8"/>
    <w:rsid w:val="7A505DAD"/>
    <w:rsid w:val="7A594895"/>
    <w:rsid w:val="7A637111"/>
    <w:rsid w:val="7A6A78DB"/>
    <w:rsid w:val="7A710BA7"/>
    <w:rsid w:val="7A754286"/>
    <w:rsid w:val="7A807F4C"/>
    <w:rsid w:val="7A8378C2"/>
    <w:rsid w:val="7A886B78"/>
    <w:rsid w:val="7A8D62FA"/>
    <w:rsid w:val="7AA40B0A"/>
    <w:rsid w:val="7AA833A4"/>
    <w:rsid w:val="7AAF67FA"/>
    <w:rsid w:val="7ABB3F96"/>
    <w:rsid w:val="7ABC24D7"/>
    <w:rsid w:val="7ABF6014"/>
    <w:rsid w:val="7ACF47A6"/>
    <w:rsid w:val="7ADD519D"/>
    <w:rsid w:val="7AEC4D72"/>
    <w:rsid w:val="7AF7106B"/>
    <w:rsid w:val="7AFE32DE"/>
    <w:rsid w:val="7AFF62DC"/>
    <w:rsid w:val="7AFF67A2"/>
    <w:rsid w:val="7B002BB2"/>
    <w:rsid w:val="7B05660A"/>
    <w:rsid w:val="7B18090F"/>
    <w:rsid w:val="7B193C15"/>
    <w:rsid w:val="7B2B077A"/>
    <w:rsid w:val="7B2C1BF9"/>
    <w:rsid w:val="7B396B7D"/>
    <w:rsid w:val="7B3D4676"/>
    <w:rsid w:val="7B42141C"/>
    <w:rsid w:val="7B537186"/>
    <w:rsid w:val="7B581AC3"/>
    <w:rsid w:val="7B6018A2"/>
    <w:rsid w:val="7B687B75"/>
    <w:rsid w:val="7B6B5B27"/>
    <w:rsid w:val="7B713AB0"/>
    <w:rsid w:val="7B831689"/>
    <w:rsid w:val="7B95779E"/>
    <w:rsid w:val="7B9C6D7F"/>
    <w:rsid w:val="7BA36DF4"/>
    <w:rsid w:val="7BA615A2"/>
    <w:rsid w:val="7BA67BFD"/>
    <w:rsid w:val="7BA9512D"/>
    <w:rsid w:val="7BBD6CF5"/>
    <w:rsid w:val="7BC254CF"/>
    <w:rsid w:val="7BC26C10"/>
    <w:rsid w:val="7BC9569A"/>
    <w:rsid w:val="7BE00B87"/>
    <w:rsid w:val="7BEC12EC"/>
    <w:rsid w:val="7BED75E5"/>
    <w:rsid w:val="7BEE728A"/>
    <w:rsid w:val="7BEF3120"/>
    <w:rsid w:val="7BEFF81C"/>
    <w:rsid w:val="7BF96898"/>
    <w:rsid w:val="7C021BFF"/>
    <w:rsid w:val="7C0972AA"/>
    <w:rsid w:val="7C136915"/>
    <w:rsid w:val="7C1B3D98"/>
    <w:rsid w:val="7C246D74"/>
    <w:rsid w:val="7C363418"/>
    <w:rsid w:val="7C377F58"/>
    <w:rsid w:val="7C3D3992"/>
    <w:rsid w:val="7C3F5D9E"/>
    <w:rsid w:val="7C4B2553"/>
    <w:rsid w:val="7C4C264F"/>
    <w:rsid w:val="7C4F3DF1"/>
    <w:rsid w:val="7C53272D"/>
    <w:rsid w:val="7C5C4760"/>
    <w:rsid w:val="7C624734"/>
    <w:rsid w:val="7C655B98"/>
    <w:rsid w:val="7C691019"/>
    <w:rsid w:val="7C760E26"/>
    <w:rsid w:val="7C7700A4"/>
    <w:rsid w:val="7C7750F6"/>
    <w:rsid w:val="7C7A6994"/>
    <w:rsid w:val="7C907F65"/>
    <w:rsid w:val="7C945CA8"/>
    <w:rsid w:val="7C97070F"/>
    <w:rsid w:val="7C9D177F"/>
    <w:rsid w:val="7C9F2371"/>
    <w:rsid w:val="7CA7192E"/>
    <w:rsid w:val="7CAD6D69"/>
    <w:rsid w:val="7CB24380"/>
    <w:rsid w:val="7CB34B68"/>
    <w:rsid w:val="7CB46824"/>
    <w:rsid w:val="7CBB1486"/>
    <w:rsid w:val="7CC66ACE"/>
    <w:rsid w:val="7CCA7F60"/>
    <w:rsid w:val="7CCC021E"/>
    <w:rsid w:val="7CD2057E"/>
    <w:rsid w:val="7CD4792B"/>
    <w:rsid w:val="7CD940D7"/>
    <w:rsid w:val="7CDE1088"/>
    <w:rsid w:val="7CE2710F"/>
    <w:rsid w:val="7CF3248A"/>
    <w:rsid w:val="7D0042EC"/>
    <w:rsid w:val="7D0F49D7"/>
    <w:rsid w:val="7D1053DC"/>
    <w:rsid w:val="7D1965EB"/>
    <w:rsid w:val="7D1D6273"/>
    <w:rsid w:val="7D281EBD"/>
    <w:rsid w:val="7D2C0EF9"/>
    <w:rsid w:val="7D3D1E9B"/>
    <w:rsid w:val="7D3F0770"/>
    <w:rsid w:val="7D4B43A1"/>
    <w:rsid w:val="7D592A4D"/>
    <w:rsid w:val="7D600C47"/>
    <w:rsid w:val="7D6334CD"/>
    <w:rsid w:val="7D6F401F"/>
    <w:rsid w:val="7D7358BD"/>
    <w:rsid w:val="7D751B04"/>
    <w:rsid w:val="7D7B492C"/>
    <w:rsid w:val="7D890844"/>
    <w:rsid w:val="7D8A1BBB"/>
    <w:rsid w:val="7D8D4178"/>
    <w:rsid w:val="7D9D285B"/>
    <w:rsid w:val="7DA15DA2"/>
    <w:rsid w:val="7DAE456B"/>
    <w:rsid w:val="7DAF3575"/>
    <w:rsid w:val="7DDD2456"/>
    <w:rsid w:val="7DE33C3D"/>
    <w:rsid w:val="7DEC58BF"/>
    <w:rsid w:val="7DF03033"/>
    <w:rsid w:val="7DF32EA2"/>
    <w:rsid w:val="7DF75355"/>
    <w:rsid w:val="7DFC0E51"/>
    <w:rsid w:val="7DFD20AA"/>
    <w:rsid w:val="7E0470FA"/>
    <w:rsid w:val="7E163E97"/>
    <w:rsid w:val="7E1739A0"/>
    <w:rsid w:val="7E1B24C9"/>
    <w:rsid w:val="7E1C4C96"/>
    <w:rsid w:val="7E244BDB"/>
    <w:rsid w:val="7E251AE0"/>
    <w:rsid w:val="7E265025"/>
    <w:rsid w:val="7E2819DD"/>
    <w:rsid w:val="7E293579"/>
    <w:rsid w:val="7E2B3DA2"/>
    <w:rsid w:val="7E3B692B"/>
    <w:rsid w:val="7E3C190F"/>
    <w:rsid w:val="7E5A648D"/>
    <w:rsid w:val="7E5F4740"/>
    <w:rsid w:val="7E6401F6"/>
    <w:rsid w:val="7E6416AA"/>
    <w:rsid w:val="7E663305"/>
    <w:rsid w:val="7E6D055E"/>
    <w:rsid w:val="7E6F077A"/>
    <w:rsid w:val="7E7074A7"/>
    <w:rsid w:val="7E720703"/>
    <w:rsid w:val="7E73476D"/>
    <w:rsid w:val="7E751B09"/>
    <w:rsid w:val="7E757ABD"/>
    <w:rsid w:val="7E7E1815"/>
    <w:rsid w:val="7E7F0FB4"/>
    <w:rsid w:val="7E8104AE"/>
    <w:rsid w:val="7E87442F"/>
    <w:rsid w:val="7E996E25"/>
    <w:rsid w:val="7E9F76F2"/>
    <w:rsid w:val="7EA12A16"/>
    <w:rsid w:val="7EA1645A"/>
    <w:rsid w:val="7EA321D2"/>
    <w:rsid w:val="7EA339B2"/>
    <w:rsid w:val="7EA46E9F"/>
    <w:rsid w:val="7EA94FED"/>
    <w:rsid w:val="7EBD3942"/>
    <w:rsid w:val="7EBE700C"/>
    <w:rsid w:val="7ECD225B"/>
    <w:rsid w:val="7ED17B3E"/>
    <w:rsid w:val="7EDF04BA"/>
    <w:rsid w:val="7EE23801"/>
    <w:rsid w:val="7EF300D6"/>
    <w:rsid w:val="7EF63574"/>
    <w:rsid w:val="7EF63E16"/>
    <w:rsid w:val="7EF73380"/>
    <w:rsid w:val="7EFFF654"/>
    <w:rsid w:val="7F036648"/>
    <w:rsid w:val="7F1EC1CF"/>
    <w:rsid w:val="7F236326"/>
    <w:rsid w:val="7F3207CA"/>
    <w:rsid w:val="7F376DBE"/>
    <w:rsid w:val="7F392B36"/>
    <w:rsid w:val="7F3F7EA3"/>
    <w:rsid w:val="7F403EC5"/>
    <w:rsid w:val="7F5B7CB9"/>
    <w:rsid w:val="7F663065"/>
    <w:rsid w:val="7F6B1BAD"/>
    <w:rsid w:val="7F701B3E"/>
    <w:rsid w:val="7F7741AE"/>
    <w:rsid w:val="7F7D5708"/>
    <w:rsid w:val="7F911DDB"/>
    <w:rsid w:val="7F9A7290"/>
    <w:rsid w:val="7FAD6F33"/>
    <w:rsid w:val="7FB923B7"/>
    <w:rsid w:val="7FC00703"/>
    <w:rsid w:val="7FC5261C"/>
    <w:rsid w:val="7FC543CA"/>
    <w:rsid w:val="7FD73216"/>
    <w:rsid w:val="7FD76069"/>
    <w:rsid w:val="7FDD34C2"/>
    <w:rsid w:val="7FE117F7"/>
    <w:rsid w:val="7FE57A5D"/>
    <w:rsid w:val="AB7E4BDD"/>
    <w:rsid w:val="B9391AD9"/>
    <w:rsid w:val="BDDDAB8D"/>
    <w:rsid w:val="DBFE9078"/>
    <w:rsid w:val="DFFDBBBE"/>
    <w:rsid w:val="EC7B858B"/>
    <w:rsid w:val="EDFF3B46"/>
    <w:rsid w:val="F27E1DE6"/>
    <w:rsid w:val="FBDF351C"/>
    <w:rsid w:val="FFDB3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0" w:semiHidden="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qFormat="1"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qFormat="1" w:unhideWhenUsed="0" w:uiPriority="99" w:semiHidden="0" w:name="endnote text"/>
    <w:lsdException w:qFormat="1"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36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118"/>
    <w:qFormat/>
    <w:uiPriority w:val="0"/>
    <w:pPr>
      <w:keepNext/>
      <w:numPr>
        <w:ilvl w:val="0"/>
        <w:numId w:val="1"/>
      </w:numPr>
      <w:tabs>
        <w:tab w:val="left" w:pos="480"/>
      </w:tabs>
      <w:spacing w:beforeLines="100" w:afterLines="100" w:line="240" w:lineRule="auto"/>
      <w:ind w:firstLine="0" w:firstLineChars="0"/>
      <w:jc w:val="center"/>
      <w:outlineLvl w:val="0"/>
    </w:pPr>
    <w:rPr>
      <w:b/>
      <w:sz w:val="36"/>
      <w:szCs w:val="20"/>
    </w:rPr>
  </w:style>
  <w:style w:type="paragraph" w:styleId="3">
    <w:name w:val="heading 2"/>
    <w:basedOn w:val="1"/>
    <w:next w:val="1"/>
    <w:link w:val="80"/>
    <w:unhideWhenUsed/>
    <w:qFormat/>
    <w:uiPriority w:val="0"/>
    <w:pPr>
      <w:keepNext/>
      <w:keepLines/>
      <w:numPr>
        <w:ilvl w:val="1"/>
        <w:numId w:val="1"/>
      </w:numPr>
      <w:tabs>
        <w:tab w:val="left" w:pos="480"/>
      </w:tabs>
      <w:spacing w:beforeLines="50" w:afterLines="50" w:line="240" w:lineRule="auto"/>
      <w:ind w:left="575" w:firstLine="0" w:firstLineChars="0"/>
      <w:jc w:val="center"/>
      <w:outlineLvl w:val="1"/>
    </w:pPr>
    <w:rPr>
      <w:rFonts w:ascii="Arial" w:hAnsi="Arial"/>
      <w:bCs/>
      <w:sz w:val="30"/>
      <w:szCs w:val="32"/>
    </w:rPr>
  </w:style>
  <w:style w:type="paragraph" w:styleId="4">
    <w:name w:val="heading 3"/>
    <w:basedOn w:val="1"/>
    <w:next w:val="1"/>
    <w:link w:val="97"/>
    <w:unhideWhenUsed/>
    <w:qFormat/>
    <w:uiPriority w:val="0"/>
    <w:pPr>
      <w:numPr>
        <w:ilvl w:val="2"/>
        <w:numId w:val="1"/>
      </w:numPr>
      <w:tabs>
        <w:tab w:val="left" w:pos="2651"/>
      </w:tabs>
      <w:ind w:firstLine="0" w:firstLineChars="0"/>
      <w:jc w:val="left"/>
      <w:outlineLvl w:val="2"/>
    </w:pPr>
    <w:rPr>
      <w:rFonts w:ascii="仿宋_GB2312" w:hAnsi="仿宋_GB2312"/>
      <w:b/>
      <w:kern w:val="0"/>
      <w:sz w:val="28"/>
      <w:szCs w:val="20"/>
    </w:rPr>
  </w:style>
  <w:style w:type="paragraph" w:styleId="5">
    <w:name w:val="heading 4"/>
    <w:basedOn w:val="1"/>
    <w:next w:val="1"/>
    <w:unhideWhenUsed/>
    <w:qFormat/>
    <w:uiPriority w:val="0"/>
    <w:pPr>
      <w:keepNext/>
      <w:keepLines/>
      <w:numPr>
        <w:ilvl w:val="3"/>
        <w:numId w:val="1"/>
      </w:numPr>
      <w:spacing w:line="372" w:lineRule="auto"/>
      <w:ind w:firstLine="0" w:firstLineChars="0"/>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spacing w:line="372" w:lineRule="auto"/>
      <w:ind w:firstLine="0" w:firstLineChars="0"/>
      <w:outlineLvl w:val="4"/>
    </w:pPr>
    <w:rPr>
      <w:b/>
      <w:sz w:val="28"/>
    </w:rPr>
  </w:style>
  <w:style w:type="paragraph" w:styleId="7">
    <w:name w:val="heading 6"/>
    <w:basedOn w:val="1"/>
    <w:next w:val="1"/>
    <w:qFormat/>
    <w:uiPriority w:val="0"/>
    <w:pPr>
      <w:keepNext/>
      <w:keepLines/>
      <w:widowControl/>
      <w:numPr>
        <w:ilvl w:val="5"/>
        <w:numId w:val="1"/>
      </w:numPr>
      <w:tabs>
        <w:tab w:val="left" w:pos="1440"/>
      </w:tabs>
      <w:spacing w:before="240" w:after="64" w:line="317" w:lineRule="auto"/>
      <w:ind w:firstLine="0" w:firstLineChars="0"/>
      <w:jc w:val="left"/>
      <w:outlineLvl w:val="5"/>
    </w:pPr>
    <w:rPr>
      <w:rFonts w:ascii="Arial" w:hAnsi="Arial" w:eastAsia="黑体"/>
      <w:b/>
      <w:kern w:val="0"/>
      <w:szCs w:val="20"/>
    </w:rPr>
  </w:style>
  <w:style w:type="paragraph" w:styleId="8">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9">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semiHidden/>
    <w:unhideWhenUsed/>
    <w:qFormat/>
    <w:uiPriority w:val="0"/>
    <w:pPr>
      <w:ind w:left="420" w:leftChars="200"/>
    </w:pPr>
    <w:rPr>
      <w:rFonts w:cs="Times New Roman"/>
    </w:rPr>
  </w:style>
  <w:style w:type="paragraph" w:styleId="12">
    <w:name w:val="Normal Indent"/>
    <w:basedOn w:val="1"/>
    <w:qFormat/>
    <w:uiPriority w:val="0"/>
    <w:pPr>
      <w:ind w:firstLine="420"/>
    </w:pPr>
    <w:rPr>
      <w:rFonts w:cs="Times New Roman"/>
    </w:rPr>
  </w:style>
  <w:style w:type="paragraph" w:styleId="13">
    <w:name w:val="caption"/>
    <w:basedOn w:val="1"/>
    <w:next w:val="1"/>
    <w:qFormat/>
    <w:uiPriority w:val="0"/>
    <w:rPr>
      <w:rFonts w:ascii="Arial" w:hAnsi="Arial" w:eastAsia="黑体" w:cs="Arial"/>
      <w:sz w:val="20"/>
      <w:szCs w:val="20"/>
    </w:rPr>
  </w:style>
  <w:style w:type="paragraph" w:styleId="14">
    <w:name w:val="annotation text"/>
    <w:basedOn w:val="1"/>
    <w:link w:val="165"/>
    <w:unhideWhenUsed/>
    <w:qFormat/>
    <w:uiPriority w:val="0"/>
    <w:pPr>
      <w:jc w:val="left"/>
    </w:pPr>
  </w:style>
  <w:style w:type="paragraph" w:styleId="15">
    <w:name w:val="Body Text 3"/>
    <w:basedOn w:val="1"/>
    <w:qFormat/>
    <w:uiPriority w:val="0"/>
    <w:pPr>
      <w:snapToGrid w:val="0"/>
    </w:pPr>
  </w:style>
  <w:style w:type="paragraph" w:styleId="16">
    <w:name w:val="Body Text"/>
    <w:basedOn w:val="1"/>
    <w:next w:val="17"/>
    <w:link w:val="69"/>
    <w:qFormat/>
    <w:uiPriority w:val="0"/>
    <w:pPr>
      <w:jc w:val="left"/>
    </w:pPr>
    <w:rPr>
      <w:bCs/>
    </w:rPr>
  </w:style>
  <w:style w:type="paragraph" w:styleId="17">
    <w:name w:val="Body Text First Indent"/>
    <w:basedOn w:val="16"/>
    <w:next w:val="1"/>
    <w:qFormat/>
    <w:uiPriority w:val="0"/>
    <w:pPr>
      <w:ind w:firstLine="420" w:firstLineChars="100"/>
    </w:pPr>
  </w:style>
  <w:style w:type="paragraph" w:styleId="18">
    <w:name w:val="Body Text Indent"/>
    <w:basedOn w:val="1"/>
    <w:next w:val="1"/>
    <w:link w:val="87"/>
    <w:qFormat/>
    <w:uiPriority w:val="0"/>
    <w:pPr>
      <w:ind w:left="420" w:leftChars="200"/>
    </w:pPr>
  </w:style>
  <w:style w:type="paragraph" w:styleId="19">
    <w:name w:val="List 2"/>
    <w:basedOn w:val="1"/>
    <w:qFormat/>
    <w:uiPriority w:val="99"/>
    <w:pPr>
      <w:ind w:left="100" w:leftChars="200" w:hanging="200" w:hangingChars="200"/>
      <w:contextualSpacing/>
    </w:pPr>
  </w:style>
  <w:style w:type="paragraph" w:styleId="20">
    <w:name w:val="toc 3"/>
    <w:basedOn w:val="1"/>
    <w:next w:val="1"/>
    <w:unhideWhenUsed/>
    <w:qFormat/>
    <w:uiPriority w:val="0"/>
    <w:pPr>
      <w:ind w:left="840" w:leftChars="400"/>
    </w:pPr>
  </w:style>
  <w:style w:type="paragraph" w:styleId="21">
    <w:name w:val="Plain Text"/>
    <w:basedOn w:val="1"/>
    <w:link w:val="167"/>
    <w:qFormat/>
    <w:uiPriority w:val="0"/>
    <w:rPr>
      <w:rFonts w:ascii="宋体" w:hAnsi="Courier New"/>
      <w:szCs w:val="20"/>
    </w:rPr>
  </w:style>
  <w:style w:type="paragraph" w:styleId="22">
    <w:name w:val="Date"/>
    <w:basedOn w:val="1"/>
    <w:next w:val="1"/>
    <w:qFormat/>
    <w:uiPriority w:val="0"/>
    <w:rPr>
      <w:rFonts w:ascii="楷体_GB2312" w:eastAsia="楷体_GB2312"/>
      <w:b/>
      <w:sz w:val="28"/>
    </w:rPr>
  </w:style>
  <w:style w:type="paragraph" w:styleId="23">
    <w:name w:val="Body Text Indent 2"/>
    <w:basedOn w:val="1"/>
    <w:qFormat/>
    <w:uiPriority w:val="0"/>
    <w:pPr>
      <w:spacing w:line="432" w:lineRule="auto"/>
      <w:ind w:firstLine="480"/>
    </w:pPr>
    <w:rPr>
      <w:szCs w:val="21"/>
    </w:rPr>
  </w:style>
  <w:style w:type="paragraph" w:styleId="24">
    <w:name w:val="endnote text"/>
    <w:basedOn w:val="1"/>
    <w:qFormat/>
    <w:uiPriority w:val="99"/>
    <w:pPr>
      <w:snapToGrid w:val="0"/>
      <w:jc w:val="left"/>
    </w:pPr>
  </w:style>
  <w:style w:type="paragraph" w:styleId="25">
    <w:name w:val="Balloon Text"/>
    <w:basedOn w:val="1"/>
    <w:link w:val="86"/>
    <w:qFormat/>
    <w:uiPriority w:val="0"/>
    <w:pPr>
      <w:spacing w:line="240" w:lineRule="auto"/>
    </w:pPr>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b/>
      <w:sz w:val="18"/>
      <w:szCs w:val="18"/>
    </w:rPr>
  </w:style>
  <w:style w:type="paragraph" w:styleId="28">
    <w:name w:val="toc 1"/>
    <w:basedOn w:val="1"/>
    <w:next w:val="1"/>
    <w:qFormat/>
    <w:uiPriority w:val="0"/>
    <w:pPr>
      <w:tabs>
        <w:tab w:val="right" w:leader="hyphen" w:pos="9628"/>
      </w:tabs>
      <w:spacing w:line="800" w:lineRule="exact"/>
      <w:jc w:val="left"/>
    </w:pPr>
    <w:rPr>
      <w:rFonts w:ascii="新宋体" w:hAnsi="新宋体" w:eastAsia="新宋体"/>
      <w:b/>
      <w:bCs/>
      <w:caps/>
      <w:sz w:val="28"/>
      <w:szCs w:val="28"/>
    </w:rPr>
  </w:style>
  <w:style w:type="paragraph" w:styleId="29">
    <w:name w:val="toc 4"/>
    <w:basedOn w:val="1"/>
    <w:next w:val="1"/>
    <w:qFormat/>
    <w:uiPriority w:val="0"/>
    <w:pPr>
      <w:ind w:left="630"/>
      <w:jc w:val="left"/>
    </w:pPr>
    <w:rPr>
      <w:sz w:val="18"/>
      <w:szCs w:val="18"/>
    </w:rPr>
  </w:style>
  <w:style w:type="paragraph" w:styleId="3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semiHidden/>
    <w:unhideWhenUsed/>
    <w:qFormat/>
    <w:uiPriority w:val="0"/>
    <w:pPr>
      <w:snapToGrid w:val="0"/>
      <w:jc w:val="left"/>
    </w:pPr>
    <w:rPr>
      <w:rFonts w:cs="Times New Roman"/>
      <w:sz w:val="18"/>
      <w:szCs w:val="18"/>
    </w:rPr>
  </w:style>
  <w:style w:type="paragraph" w:styleId="32">
    <w:name w:val="toc 6"/>
    <w:basedOn w:val="1"/>
    <w:next w:val="1"/>
    <w:unhideWhenUsed/>
    <w:qFormat/>
    <w:uiPriority w:val="39"/>
    <w:pPr>
      <w:spacing w:line="240" w:lineRule="auto"/>
      <w:ind w:left="1050" w:firstLine="0" w:firstLineChars="0"/>
      <w:jc w:val="left"/>
    </w:pPr>
    <w:rPr>
      <w:szCs w:val="21"/>
    </w:rPr>
  </w:style>
  <w:style w:type="paragraph" w:styleId="33">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34">
    <w:name w:val="toc 2"/>
    <w:basedOn w:val="1"/>
    <w:next w:val="1"/>
    <w:qFormat/>
    <w:uiPriority w:val="0"/>
    <w:pPr>
      <w:tabs>
        <w:tab w:val="right" w:leader="hyphen" w:pos="9628"/>
      </w:tabs>
      <w:spacing w:line="800" w:lineRule="exact"/>
      <w:ind w:left="420" w:leftChars="200"/>
      <w:jc w:val="left"/>
    </w:pPr>
    <w:rPr>
      <w:rFonts w:ascii="宋体" w:hAnsi="宋体"/>
      <w:b/>
      <w:smallCaps/>
    </w:rPr>
  </w:style>
  <w:style w:type="paragraph" w:styleId="35">
    <w:name w:val="Body Text 2"/>
    <w:basedOn w:val="1"/>
    <w:qFormat/>
    <w:uiPriority w:val="0"/>
    <w:pPr>
      <w:spacing w:after="120" w:line="480" w:lineRule="auto"/>
    </w:pPr>
  </w:style>
  <w:style w:type="paragraph" w:styleId="3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7">
    <w:name w:val="Normal (Web)"/>
    <w:basedOn w:val="1"/>
    <w:qFormat/>
    <w:uiPriority w:val="0"/>
    <w:pPr>
      <w:widowControl/>
      <w:spacing w:before="100" w:beforeAutospacing="1" w:after="100" w:afterAutospacing="1"/>
      <w:jc w:val="left"/>
    </w:pPr>
    <w:rPr>
      <w:rFonts w:ascii="宋体" w:hAnsi="宋体"/>
      <w:kern w:val="0"/>
    </w:rPr>
  </w:style>
  <w:style w:type="paragraph" w:styleId="38">
    <w:name w:val="Title"/>
    <w:basedOn w:val="1"/>
    <w:next w:val="1"/>
    <w:qFormat/>
    <w:uiPriority w:val="0"/>
    <w:pPr>
      <w:spacing w:before="240" w:after="60"/>
      <w:jc w:val="center"/>
      <w:outlineLvl w:val="0"/>
    </w:pPr>
    <w:rPr>
      <w:rFonts w:ascii="Arial" w:hAnsi="Arial" w:cs="Times New Roman"/>
      <w:b/>
      <w:bCs/>
      <w:sz w:val="32"/>
      <w:szCs w:val="32"/>
    </w:rPr>
  </w:style>
  <w:style w:type="paragraph" w:styleId="39">
    <w:name w:val="annotation subject"/>
    <w:basedOn w:val="14"/>
    <w:next w:val="14"/>
    <w:link w:val="166"/>
    <w:semiHidden/>
    <w:unhideWhenUsed/>
    <w:qFormat/>
    <w:uiPriority w:val="0"/>
    <w:rPr>
      <w:b/>
      <w:bCs/>
    </w:rPr>
  </w:style>
  <w:style w:type="paragraph" w:styleId="40">
    <w:name w:val="Body Text First Indent 2"/>
    <w:basedOn w:val="41"/>
    <w:next w:val="41"/>
    <w:qFormat/>
    <w:uiPriority w:val="0"/>
    <w:pPr>
      <w:snapToGrid w:val="0"/>
      <w:spacing w:after="120" w:line="240" w:lineRule="auto"/>
      <w:ind w:firstLine="420"/>
    </w:pPr>
    <w:rPr>
      <w:rFonts w:hint="eastAsia" w:ascii="宋体"/>
      <w:kern w:val="0"/>
      <w:sz w:val="21"/>
      <w:szCs w:val="21"/>
    </w:rPr>
  </w:style>
  <w:style w:type="paragraph" w:customStyle="1" w:styleId="41">
    <w:name w:val="文章正文"/>
    <w:basedOn w:val="1"/>
    <w:next w:val="42"/>
    <w:qFormat/>
    <w:uiPriority w:val="0"/>
    <w:pPr>
      <w:spacing w:line="360" w:lineRule="auto"/>
      <w:ind w:firstLine="200"/>
    </w:pPr>
    <w:rPr>
      <w:rFonts w:ascii="Calibri" w:hAnsi="Calibri" w:cs="Times New Roman"/>
    </w:rPr>
  </w:style>
  <w:style w:type="paragraph" w:customStyle="1" w:styleId="42">
    <w:name w:val="公式样式 变量"/>
    <w:qFormat/>
    <w:uiPriority w:val="0"/>
    <w:rPr>
      <w:rFonts w:ascii="Times New Roman" w:hAnsi="Times New Roman" w:eastAsia="宋体" w:cs="Times New Roman"/>
      <w:i/>
      <w:lang w:val="en-US" w:eastAsia="zh-CN" w:bidi="ar-SA"/>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46">
    <w:name w:val="Strong"/>
    <w:basedOn w:val="45"/>
    <w:qFormat/>
    <w:uiPriority w:val="0"/>
    <w:rPr>
      <w:b/>
      <w:bCs/>
    </w:rPr>
  </w:style>
  <w:style w:type="character" w:styleId="47">
    <w:name w:val="page number"/>
    <w:basedOn w:val="45"/>
    <w:unhideWhenUsed/>
    <w:qFormat/>
    <w:uiPriority w:val="99"/>
  </w:style>
  <w:style w:type="character" w:styleId="48">
    <w:name w:val="Hyperlink"/>
    <w:basedOn w:val="45"/>
    <w:qFormat/>
    <w:uiPriority w:val="0"/>
    <w:rPr>
      <w:color w:val="0000FF"/>
      <w:u w:val="single"/>
    </w:rPr>
  </w:style>
  <w:style w:type="character" w:styleId="49">
    <w:name w:val="annotation reference"/>
    <w:basedOn w:val="45"/>
    <w:qFormat/>
    <w:uiPriority w:val="0"/>
    <w:rPr>
      <w:sz w:val="21"/>
      <w:szCs w:val="21"/>
    </w:rPr>
  </w:style>
  <w:style w:type="paragraph" w:customStyle="1" w:styleId="50">
    <w:name w:val="样式 表格正文 + 两端对齐"/>
    <w:basedOn w:val="1"/>
    <w:next w:val="51"/>
    <w:qFormat/>
    <w:uiPriority w:val="0"/>
    <w:pPr>
      <w:spacing w:line="300" w:lineRule="auto"/>
      <w:ind w:firstLine="0"/>
    </w:pPr>
  </w:style>
  <w:style w:type="paragraph" w:customStyle="1" w:styleId="51">
    <w:name w:val="正文1"/>
    <w:basedOn w:val="20"/>
    <w:next w:val="52"/>
    <w:qFormat/>
    <w:uiPriority w:val="0"/>
    <w:pPr>
      <w:widowControl/>
      <w:snapToGrid w:val="0"/>
      <w:ind w:firstLine="567"/>
    </w:pPr>
    <w:rPr>
      <w:rFonts w:ascii="楷体_GB2312" w:eastAsia="楷体_GB2312"/>
      <w:kern w:val="0"/>
      <w:sz w:val="28"/>
      <w:szCs w:val="20"/>
    </w:rPr>
  </w:style>
  <w:style w:type="paragraph" w:customStyle="1" w:styleId="52">
    <w:name w:val="自动更正"/>
    <w:next w:val="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xl39"/>
    <w:basedOn w:val="1"/>
    <w:next w:val="54"/>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54">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55">
    <w:name w:val="目录 33"/>
    <w:next w:val="1"/>
    <w:qFormat/>
    <w:uiPriority w:val="0"/>
    <w:pPr>
      <w:wordWrap w:val="0"/>
      <w:ind w:left="425"/>
      <w:jc w:val="both"/>
    </w:pPr>
    <w:rPr>
      <w:rFonts w:ascii="Calibri" w:hAnsi="Calibri" w:eastAsia="宋体" w:cs="Times New Roman"/>
      <w:sz w:val="21"/>
      <w:lang w:val="en-US" w:eastAsia="zh-CN" w:bidi="ar-SA"/>
    </w:rPr>
  </w:style>
  <w:style w:type="paragraph" w:customStyle="1" w:styleId="56">
    <w:name w:val="[Normal]"/>
    <w:qFormat/>
    <w:uiPriority w:val="99"/>
    <w:rPr>
      <w:rFonts w:ascii="宋体" w:hAnsi="宋体" w:eastAsia="宋体" w:cs="Times New Roman"/>
      <w:sz w:val="24"/>
      <w:szCs w:val="22"/>
      <w:lang w:val="zh-CN" w:eastAsia="zh-CN" w:bidi="ar-SA"/>
    </w:rPr>
  </w:style>
  <w:style w:type="paragraph" w:customStyle="1" w:styleId="57">
    <w:name w:val="Heading2"/>
    <w:basedOn w:val="1"/>
    <w:next w:val="1"/>
    <w:qFormat/>
    <w:uiPriority w:val="0"/>
    <w:pPr>
      <w:keepNext/>
      <w:keepLines/>
      <w:spacing w:before="260" w:after="260" w:line="416" w:lineRule="auto"/>
    </w:pPr>
    <w:rPr>
      <w:rFonts w:ascii="Cambria" w:hAnsi="Cambria"/>
      <w:sz w:val="32"/>
      <w:szCs w:val="32"/>
    </w:rPr>
  </w:style>
  <w:style w:type="paragraph" w:customStyle="1" w:styleId="58">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9">
    <w:name w:val="Body Text First Indent1"/>
    <w:basedOn w:val="16"/>
    <w:next w:val="32"/>
    <w:qFormat/>
    <w:uiPriority w:val="0"/>
    <w:pPr>
      <w:spacing w:after="120"/>
      <w:ind w:firstLine="420" w:firstLineChars="100"/>
      <w:jc w:val="both"/>
    </w:pPr>
    <w:rPr>
      <w:rFonts w:ascii="Calibri" w:hAnsi="Calibri" w:cs="Calibri"/>
      <w:sz w:val="21"/>
      <w:szCs w:val="21"/>
    </w:rPr>
  </w:style>
  <w:style w:type="paragraph" w:customStyle="1" w:styleId="60">
    <w:name w:val="BodyText1I"/>
    <w:basedOn w:val="61"/>
    <w:qFormat/>
    <w:uiPriority w:val="0"/>
    <w:pPr>
      <w:spacing w:after="120"/>
      <w:ind w:firstLine="420"/>
    </w:pPr>
    <w:rPr>
      <w:rFonts w:ascii="仿宋_GB2312" w:hAnsi="Times New Roman" w:eastAsia="仿宋_GB2312"/>
      <w:sz w:val="28"/>
      <w:lang w:bidi="ar-SA"/>
    </w:rPr>
  </w:style>
  <w:style w:type="paragraph" w:customStyle="1" w:styleId="61">
    <w:name w:val="BodyText"/>
    <w:basedOn w:val="1"/>
    <w:qFormat/>
    <w:uiPriority w:val="0"/>
    <w:pPr>
      <w:textAlignment w:val="baseline"/>
    </w:pPr>
    <w:rPr>
      <w:rFonts w:ascii="仿宋" w:hAnsi="仿宋" w:eastAsia="仿宋"/>
      <w:lang w:val="zh-CN" w:bidi="zh-CN"/>
    </w:rPr>
  </w:style>
  <w:style w:type="paragraph" w:customStyle="1" w:styleId="62">
    <w:name w:val="标准正文"/>
    <w:basedOn w:val="1"/>
    <w:qFormat/>
    <w:uiPriority w:val="0"/>
    <w:pPr>
      <w:spacing w:line="360" w:lineRule="auto"/>
      <w:ind w:firstLine="200"/>
    </w:pPr>
    <w:rPr>
      <w:szCs w:val="20"/>
    </w:rPr>
  </w:style>
  <w:style w:type="paragraph" w:customStyle="1" w:styleId="63">
    <w:name w:val="章正文"/>
    <w:basedOn w:val="1"/>
    <w:qFormat/>
    <w:uiPriority w:val="0"/>
    <w:pPr>
      <w:spacing w:before="156" w:beforeLines="50" w:after="120" w:line="300" w:lineRule="auto"/>
      <w:ind w:firstLine="480"/>
    </w:pPr>
    <w:rPr>
      <w:rFonts w:ascii="Helvetica" w:hAnsi="Helvetica"/>
      <w:kern w:val="0"/>
    </w:rPr>
  </w:style>
  <w:style w:type="paragraph" w:customStyle="1" w:styleId="64">
    <w:name w:val="正文文本 31"/>
    <w:basedOn w:val="1"/>
    <w:qFormat/>
    <w:uiPriority w:val="0"/>
    <w:rPr>
      <w:sz w:val="16"/>
      <w:szCs w:val="16"/>
    </w:rPr>
  </w:style>
  <w:style w:type="paragraph" w:customStyle="1" w:styleId="65">
    <w:name w:val="Char Char1 Char"/>
    <w:basedOn w:val="1"/>
    <w:qFormat/>
    <w:uiPriority w:val="0"/>
  </w:style>
  <w:style w:type="character" w:customStyle="1" w:styleId="66">
    <w:name w:val="标题 2 Char"/>
    <w:basedOn w:val="45"/>
    <w:qFormat/>
    <w:uiPriority w:val="0"/>
    <w:rPr>
      <w:rFonts w:ascii="Arial" w:hAnsi="Arial" w:eastAsia="宋体" w:cstheme="minorBidi"/>
      <w:b/>
      <w:bCs/>
      <w:sz w:val="28"/>
      <w:szCs w:val="32"/>
    </w:rPr>
  </w:style>
  <w:style w:type="character" w:customStyle="1" w:styleId="67">
    <w:name w:val="标题 3 Char"/>
    <w:qFormat/>
    <w:uiPriority w:val="9"/>
    <w:rPr>
      <w:rFonts w:ascii="仿宋_GB2312" w:hAnsi="仿宋_GB2312" w:eastAsia="宋体" w:cstheme="minorBidi"/>
      <w:b/>
      <w:bCs/>
      <w:sz w:val="28"/>
      <w:szCs w:val="20"/>
    </w:rPr>
  </w:style>
  <w:style w:type="character" w:customStyle="1" w:styleId="68">
    <w:name w:val="标题 1 Char"/>
    <w:qFormat/>
    <w:locked/>
    <w:uiPriority w:val="99"/>
    <w:rPr>
      <w:rFonts w:ascii="Times New Roman" w:hAnsi="Times New Roman" w:eastAsia="宋体" w:cstheme="minorBidi"/>
      <w:b/>
      <w:sz w:val="36"/>
      <w:szCs w:val="20"/>
    </w:rPr>
  </w:style>
  <w:style w:type="character" w:customStyle="1" w:styleId="69">
    <w:name w:val="正文文本 字符"/>
    <w:basedOn w:val="45"/>
    <w:link w:val="16"/>
    <w:semiHidden/>
    <w:qFormat/>
    <w:locked/>
    <w:uiPriority w:val="99"/>
    <w:rPr>
      <w:rFonts w:ascii="Calibri" w:hAnsi="Calibri" w:eastAsia="仿宋" w:cs="Times New Roman"/>
      <w:sz w:val="24"/>
    </w:rPr>
  </w:style>
  <w:style w:type="paragraph" w:customStyle="1" w:styleId="70">
    <w:name w:val="普通(网站)1"/>
    <w:basedOn w:val="1"/>
    <w:qFormat/>
    <w:uiPriority w:val="0"/>
    <w:pPr>
      <w:widowControl/>
      <w:spacing w:beforeAutospacing="1" w:afterAutospacing="1"/>
      <w:jc w:val="left"/>
    </w:pPr>
    <w:rPr>
      <w:rFonts w:ascii="宋体" w:hAnsi="宋体"/>
      <w:kern w:val="0"/>
      <w:szCs w:val="20"/>
    </w:rPr>
  </w:style>
  <w:style w:type="paragraph" w:customStyle="1" w:styleId="71">
    <w:name w:val="索引 11"/>
    <w:basedOn w:val="1"/>
    <w:next w:val="1"/>
    <w:qFormat/>
    <w:uiPriority w:val="0"/>
    <w:pPr>
      <w:snapToGrid w:val="0"/>
    </w:pPr>
    <w:rPr>
      <w:szCs w:val="21"/>
    </w:rPr>
  </w:style>
  <w:style w:type="character" w:customStyle="1" w:styleId="72">
    <w:name w:val="large1"/>
    <w:qFormat/>
    <w:uiPriority w:val="0"/>
    <w:rPr>
      <w:rFonts w:hint="eastAsia" w:ascii="宋体" w:hAnsi="宋体" w:eastAsia="宋体"/>
      <w:sz w:val="21"/>
      <w:szCs w:val="21"/>
    </w:rPr>
  </w:style>
  <w:style w:type="paragraph" w:customStyle="1" w:styleId="73">
    <w:name w:val="List Paragraph1"/>
    <w:basedOn w:val="1"/>
    <w:qFormat/>
    <w:uiPriority w:val="0"/>
    <w:pPr>
      <w:widowControl/>
      <w:ind w:firstLine="420"/>
      <w:jc w:val="left"/>
    </w:pPr>
    <w:rPr>
      <w:rFonts w:ascii="Calibri" w:hAnsi="Calibri"/>
      <w:szCs w:val="22"/>
    </w:rPr>
  </w:style>
  <w:style w:type="paragraph" w:customStyle="1" w:styleId="74">
    <w:name w:val="Default"/>
    <w:next w:val="7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6">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77">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
    <w:name w:val="DG正文"/>
    <w:basedOn w:val="1"/>
    <w:qFormat/>
    <w:uiPriority w:val="0"/>
    <w:pPr>
      <w:widowControl/>
      <w:spacing w:line="360" w:lineRule="auto"/>
      <w:ind w:right="142" w:firstLine="640"/>
      <w:jc w:val="left"/>
    </w:pPr>
    <w:rPr>
      <w:rFonts w:ascii="Calibri" w:hAnsi="Calibri" w:cs="Calibri"/>
    </w:rPr>
  </w:style>
  <w:style w:type="paragraph" w:customStyle="1" w:styleId="79">
    <w:name w:val="正文 A"/>
    <w:qFormat/>
    <w:uiPriority w:val="0"/>
    <w:rPr>
      <w:rFonts w:ascii="Times New Roman" w:hAnsi="Times New Roman" w:eastAsia="ヒラギノ角ゴ Pro W3" w:cs="Times New Roman"/>
      <w:color w:val="000000"/>
      <w:sz w:val="24"/>
      <w:szCs w:val="22"/>
      <w:lang w:val="en-US" w:eastAsia="zh-CN" w:bidi="ar-SA"/>
    </w:rPr>
  </w:style>
  <w:style w:type="character" w:customStyle="1" w:styleId="80">
    <w:name w:val="标题 2 字符"/>
    <w:basedOn w:val="45"/>
    <w:link w:val="3"/>
    <w:qFormat/>
    <w:uiPriority w:val="0"/>
    <w:rPr>
      <w:rFonts w:ascii="Arial" w:hAnsi="Arial" w:eastAsia="宋体"/>
      <w:bCs/>
      <w:kern w:val="2"/>
      <w:sz w:val="30"/>
      <w:szCs w:val="32"/>
      <w:lang w:val="en-US" w:eastAsia="zh-CN" w:bidi="ar-SA"/>
    </w:rPr>
  </w:style>
  <w:style w:type="paragraph" w:customStyle="1" w:styleId="81">
    <w:name w:val="Proposals body"/>
    <w:basedOn w:val="1"/>
    <w:next w:val="1"/>
    <w:qFormat/>
    <w:uiPriority w:val="0"/>
    <w:pPr>
      <w:widowControl/>
      <w:spacing w:line="360" w:lineRule="auto"/>
      <w:jc w:val="left"/>
    </w:pPr>
    <w:rPr>
      <w:rFonts w:ascii="宋体" w:eastAsia="仿宋_GB2312"/>
      <w:snapToGrid w:val="0"/>
      <w:color w:val="000000"/>
      <w:kern w:val="0"/>
      <w:szCs w:val="20"/>
    </w:rPr>
  </w:style>
  <w:style w:type="paragraph" w:customStyle="1" w:styleId="82">
    <w:name w:val="列出段落1"/>
    <w:basedOn w:val="1"/>
    <w:qFormat/>
    <w:uiPriority w:val="34"/>
    <w:pPr>
      <w:ind w:firstLine="420"/>
    </w:pPr>
  </w:style>
  <w:style w:type="paragraph" w:customStyle="1" w:styleId="83">
    <w:name w:val="L正文"/>
    <w:basedOn w:val="1"/>
    <w:qFormat/>
    <w:uiPriority w:val="0"/>
    <w:pPr>
      <w:spacing w:afterLines="50" w:line="240" w:lineRule="auto"/>
      <w:ind w:left="160" w:leftChars="160"/>
    </w:pPr>
    <w:rPr>
      <w:rFonts w:cs="Times New Roman"/>
      <w:sz w:val="21"/>
    </w:rPr>
  </w:style>
  <w:style w:type="paragraph" w:customStyle="1" w:styleId="84">
    <w:name w:val="列出段落11"/>
    <w:basedOn w:val="1"/>
    <w:qFormat/>
    <w:uiPriority w:val="34"/>
    <w:pPr>
      <w:spacing w:line="240" w:lineRule="auto"/>
      <w:ind w:firstLine="420"/>
    </w:pPr>
    <w:rPr>
      <w:rFonts w:cs="宋体"/>
      <w:sz w:val="21"/>
      <w:szCs w:val="21"/>
    </w:rPr>
  </w:style>
  <w:style w:type="paragraph" w:customStyle="1" w:styleId="85">
    <w:name w:val="Char"/>
    <w:basedOn w:val="1"/>
    <w:next w:val="1"/>
    <w:qFormat/>
    <w:uiPriority w:val="0"/>
    <w:rPr>
      <w:rFonts w:ascii="Tahoma" w:hAnsi="Tahoma"/>
      <w:szCs w:val="20"/>
    </w:rPr>
  </w:style>
  <w:style w:type="character" w:customStyle="1" w:styleId="86">
    <w:name w:val="批注框文本 字符"/>
    <w:basedOn w:val="45"/>
    <w:link w:val="25"/>
    <w:qFormat/>
    <w:uiPriority w:val="0"/>
    <w:rPr>
      <w:rFonts w:ascii="Times New Roman" w:hAnsi="Times New Roman" w:cstheme="minorBidi"/>
      <w:kern w:val="2"/>
      <w:sz w:val="18"/>
      <w:szCs w:val="18"/>
    </w:rPr>
  </w:style>
  <w:style w:type="character" w:customStyle="1" w:styleId="87">
    <w:name w:val="正文文本缩进 字符"/>
    <w:basedOn w:val="45"/>
    <w:link w:val="18"/>
    <w:qFormat/>
    <w:uiPriority w:val="0"/>
    <w:rPr>
      <w:rFonts w:ascii="Times New Roman" w:hAnsi="Times New Roman" w:cstheme="minorBidi"/>
      <w:kern w:val="2"/>
      <w:sz w:val="24"/>
      <w:szCs w:val="24"/>
    </w:rPr>
  </w:style>
  <w:style w:type="character" w:customStyle="1" w:styleId="88">
    <w:name w:val="未命名4"/>
    <w:basedOn w:val="45"/>
    <w:qFormat/>
    <w:uiPriority w:val="0"/>
  </w:style>
  <w:style w:type="paragraph" w:customStyle="1" w:styleId="89">
    <w:name w:val="表格文字"/>
    <w:basedOn w:val="21"/>
    <w:next w:val="16"/>
    <w:qFormat/>
    <w:uiPriority w:val="0"/>
    <w:pPr>
      <w:adjustRightInd w:val="0"/>
      <w:spacing w:line="420" w:lineRule="atLeast"/>
      <w:jc w:val="left"/>
      <w:textAlignment w:val="baseline"/>
    </w:pPr>
    <w:rPr>
      <w:kern w:val="0"/>
    </w:rPr>
  </w:style>
  <w:style w:type="paragraph" w:customStyle="1" w:styleId="90">
    <w:name w:val="reader-word-layer reader-word-s27-4"/>
    <w:basedOn w:val="1"/>
    <w:qFormat/>
    <w:uiPriority w:val="99"/>
    <w:pPr>
      <w:widowControl/>
      <w:spacing w:before="100" w:beforeAutospacing="1" w:after="100" w:afterAutospacing="1" w:line="440" w:lineRule="exact"/>
      <w:ind w:firstLine="1040"/>
      <w:jc w:val="left"/>
    </w:pPr>
    <w:rPr>
      <w:rFonts w:ascii="宋体" w:hAnsi="宋体" w:eastAsia="微软雅黑" w:cs="宋体"/>
      <w:kern w:val="0"/>
    </w:rPr>
  </w:style>
  <w:style w:type="character" w:customStyle="1" w:styleId="91">
    <w:name w:val="font81"/>
    <w:basedOn w:val="45"/>
    <w:qFormat/>
    <w:uiPriority w:val="0"/>
    <w:rPr>
      <w:rFonts w:hint="default" w:ascii="Times New Roman" w:hAnsi="Times New Roman" w:cs="Times New Roman"/>
      <w:color w:val="000000"/>
      <w:sz w:val="24"/>
      <w:szCs w:val="24"/>
      <w:u w:val="none"/>
    </w:rPr>
  </w:style>
  <w:style w:type="paragraph" w:customStyle="1" w:styleId="92">
    <w:name w:val="WPSOffice手动目录 1"/>
    <w:qFormat/>
    <w:uiPriority w:val="0"/>
    <w:rPr>
      <w:rFonts w:ascii="Times New Roman" w:hAnsi="Times New Roman" w:eastAsia="宋体" w:cs="Times New Roman"/>
      <w:lang w:val="en-US" w:eastAsia="zh-CN" w:bidi="ar-SA"/>
    </w:rPr>
  </w:style>
  <w:style w:type="paragraph" w:customStyle="1" w:styleId="9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4">
    <w:name w:val="普通(网站)2"/>
    <w:basedOn w:val="1"/>
    <w:qFormat/>
    <w:uiPriority w:val="0"/>
    <w:pPr>
      <w:widowControl/>
      <w:spacing w:before="100" w:beforeAutospacing="1" w:after="100" w:afterAutospacing="1"/>
      <w:jc w:val="left"/>
    </w:pPr>
    <w:rPr>
      <w:rFonts w:ascii="宋体" w:hAnsi="宋体"/>
      <w:kern w:val="0"/>
      <w:szCs w:val="20"/>
    </w:rPr>
  </w:style>
  <w:style w:type="paragraph" w:customStyle="1" w:styleId="95">
    <w:name w:val="保留正文"/>
    <w:basedOn w:val="16"/>
    <w:qFormat/>
    <w:uiPriority w:val="0"/>
    <w:pPr>
      <w:keepNext/>
      <w:spacing w:after="160"/>
    </w:pPr>
    <w:rPr>
      <w:sz w:val="21"/>
    </w:rPr>
  </w:style>
  <w:style w:type="paragraph" w:customStyle="1" w:styleId="96">
    <w:name w:val="首行缩进"/>
    <w:basedOn w:val="1"/>
    <w:qFormat/>
    <w:uiPriority w:val="0"/>
    <w:pPr>
      <w:spacing w:line="360" w:lineRule="auto"/>
      <w:ind w:firstLine="420"/>
    </w:pPr>
    <w:rPr>
      <w:rFonts w:ascii="宋体" w:hAnsi="宋体"/>
    </w:rPr>
  </w:style>
  <w:style w:type="character" w:customStyle="1" w:styleId="97">
    <w:name w:val="标题 3 字符"/>
    <w:link w:val="4"/>
    <w:qFormat/>
    <w:uiPriority w:val="9"/>
    <w:rPr>
      <w:rFonts w:ascii="仿宋_GB2312" w:hAnsi="仿宋_GB2312" w:eastAsia="仿宋" w:cs="Times New Roman"/>
      <w:b/>
      <w:bCs/>
      <w:sz w:val="24"/>
      <w:szCs w:val="20"/>
    </w:rPr>
  </w:style>
  <w:style w:type="paragraph" w:customStyle="1" w:styleId="9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9">
    <w:name w:val="font31"/>
    <w:basedOn w:val="45"/>
    <w:qFormat/>
    <w:uiPriority w:val="0"/>
    <w:rPr>
      <w:rFonts w:hint="eastAsia" w:ascii="微软雅黑" w:hAnsi="微软雅黑" w:eastAsia="微软雅黑" w:cs="微软雅黑"/>
      <w:color w:val="000000"/>
      <w:sz w:val="22"/>
      <w:szCs w:val="22"/>
      <w:u w:val="none"/>
    </w:rPr>
  </w:style>
  <w:style w:type="character" w:customStyle="1" w:styleId="100">
    <w:name w:val="font71"/>
    <w:basedOn w:val="45"/>
    <w:qFormat/>
    <w:uiPriority w:val="0"/>
    <w:rPr>
      <w:rFonts w:hint="eastAsia" w:ascii="微软雅黑" w:hAnsi="微软雅黑" w:eastAsia="微软雅黑" w:cs="微软雅黑"/>
      <w:color w:val="000000"/>
      <w:sz w:val="22"/>
      <w:szCs w:val="22"/>
      <w:u w:val="none"/>
      <w:vertAlign w:val="superscript"/>
    </w:rPr>
  </w:style>
  <w:style w:type="character" w:customStyle="1" w:styleId="101">
    <w:name w:val="font21"/>
    <w:basedOn w:val="45"/>
    <w:qFormat/>
    <w:uiPriority w:val="0"/>
    <w:rPr>
      <w:rFonts w:hint="eastAsia" w:ascii="微软雅黑" w:hAnsi="微软雅黑" w:eastAsia="微软雅黑" w:cs="微软雅黑"/>
      <w:color w:val="000000"/>
      <w:sz w:val="22"/>
      <w:szCs w:val="22"/>
      <w:u w:val="none"/>
    </w:rPr>
  </w:style>
  <w:style w:type="character" w:customStyle="1" w:styleId="102">
    <w:name w:val="font61"/>
    <w:basedOn w:val="45"/>
    <w:qFormat/>
    <w:uiPriority w:val="0"/>
    <w:rPr>
      <w:rFonts w:hint="eastAsia" w:ascii="微软雅黑" w:hAnsi="微软雅黑" w:eastAsia="微软雅黑" w:cs="微软雅黑"/>
      <w:color w:val="000000"/>
      <w:sz w:val="22"/>
      <w:szCs w:val="22"/>
      <w:u w:val="none"/>
      <w:vertAlign w:val="superscript"/>
    </w:rPr>
  </w:style>
  <w:style w:type="character" w:customStyle="1" w:styleId="103">
    <w:name w:val="font01"/>
    <w:basedOn w:val="45"/>
    <w:qFormat/>
    <w:uiPriority w:val="0"/>
    <w:rPr>
      <w:rFonts w:hint="eastAsia" w:ascii="宋体" w:hAnsi="宋体" w:eastAsia="宋体" w:cs="宋体"/>
      <w:color w:val="000000"/>
      <w:sz w:val="22"/>
      <w:szCs w:val="22"/>
      <w:u w:val="none"/>
    </w:rPr>
  </w:style>
  <w:style w:type="paragraph" w:customStyle="1" w:styleId="104">
    <w:name w:val="p0"/>
    <w:basedOn w:val="1"/>
    <w:qFormat/>
    <w:uiPriority w:val="0"/>
    <w:pPr>
      <w:widowControl/>
    </w:pPr>
    <w:rPr>
      <w:kern w:val="0"/>
      <w:szCs w:val="21"/>
    </w:rPr>
  </w:style>
  <w:style w:type="paragraph" w:customStyle="1" w:styleId="105">
    <w:name w:val="表头文字"/>
    <w:basedOn w:val="1"/>
    <w:qFormat/>
    <w:uiPriority w:val="0"/>
    <w:pPr>
      <w:widowControl/>
      <w:jc w:val="left"/>
    </w:pPr>
    <w:rPr>
      <w:rFonts w:eastAsia="仿宋" w:cs="宋体"/>
      <w:b/>
      <w:kern w:val="0"/>
      <w:szCs w:val="21"/>
    </w:rPr>
  </w:style>
  <w:style w:type="character" w:customStyle="1" w:styleId="106">
    <w:name w:val="font41"/>
    <w:basedOn w:val="45"/>
    <w:qFormat/>
    <w:uiPriority w:val="0"/>
    <w:rPr>
      <w:rFonts w:hint="eastAsia" w:ascii="微软雅黑" w:hAnsi="微软雅黑" w:eastAsia="微软雅黑" w:cs="微软雅黑"/>
      <w:color w:val="000000"/>
      <w:sz w:val="20"/>
      <w:szCs w:val="20"/>
      <w:u w:val="none"/>
    </w:rPr>
  </w:style>
  <w:style w:type="character" w:customStyle="1" w:styleId="107">
    <w:name w:val="font111"/>
    <w:basedOn w:val="45"/>
    <w:qFormat/>
    <w:uiPriority w:val="0"/>
    <w:rPr>
      <w:rFonts w:hint="eastAsia" w:ascii="微软雅黑" w:hAnsi="微软雅黑" w:eastAsia="微软雅黑" w:cs="微软雅黑"/>
      <w:color w:val="000000"/>
      <w:sz w:val="20"/>
      <w:szCs w:val="20"/>
      <w:u w:val="none"/>
      <w:vertAlign w:val="superscript"/>
    </w:rPr>
  </w:style>
  <w:style w:type="character" w:customStyle="1" w:styleId="108">
    <w:name w:val="font101"/>
    <w:basedOn w:val="45"/>
    <w:qFormat/>
    <w:uiPriority w:val="0"/>
    <w:rPr>
      <w:rFonts w:hint="eastAsia" w:ascii="微软雅黑" w:hAnsi="微软雅黑" w:eastAsia="微软雅黑" w:cs="微软雅黑"/>
      <w:color w:val="000000"/>
      <w:sz w:val="20"/>
      <w:szCs w:val="20"/>
      <w:u w:val="none"/>
      <w:vertAlign w:val="superscript"/>
    </w:rPr>
  </w:style>
  <w:style w:type="character" w:customStyle="1" w:styleId="109">
    <w:name w:val="font122"/>
    <w:basedOn w:val="45"/>
    <w:qFormat/>
    <w:uiPriority w:val="0"/>
    <w:rPr>
      <w:rFonts w:hint="eastAsia" w:ascii="宋体" w:hAnsi="宋体" w:eastAsia="宋体" w:cs="宋体"/>
      <w:b/>
      <w:bCs/>
      <w:color w:val="FF0000"/>
      <w:sz w:val="22"/>
      <w:szCs w:val="22"/>
      <w:u w:val="none"/>
    </w:rPr>
  </w:style>
  <w:style w:type="character" w:customStyle="1" w:styleId="110">
    <w:name w:val="font91"/>
    <w:basedOn w:val="45"/>
    <w:qFormat/>
    <w:uiPriority w:val="0"/>
    <w:rPr>
      <w:rFonts w:hint="eastAsia" w:ascii="宋体" w:hAnsi="宋体" w:eastAsia="宋体" w:cs="宋体"/>
      <w:color w:val="000000"/>
      <w:sz w:val="22"/>
      <w:szCs w:val="22"/>
      <w:u w:val="none"/>
    </w:rPr>
  </w:style>
  <w:style w:type="character" w:customStyle="1" w:styleId="111">
    <w:name w:val="font51"/>
    <w:basedOn w:val="45"/>
    <w:qFormat/>
    <w:uiPriority w:val="0"/>
    <w:rPr>
      <w:rFonts w:hint="eastAsia" w:ascii="微软雅黑" w:hAnsi="微软雅黑" w:eastAsia="微软雅黑" w:cs="微软雅黑"/>
      <w:color w:val="000000"/>
      <w:sz w:val="20"/>
      <w:szCs w:val="20"/>
      <w:u w:val="none"/>
      <w:vertAlign w:val="superscript"/>
    </w:rPr>
  </w:style>
  <w:style w:type="character" w:customStyle="1" w:styleId="112">
    <w:name w:val="font112"/>
    <w:basedOn w:val="45"/>
    <w:qFormat/>
    <w:uiPriority w:val="0"/>
    <w:rPr>
      <w:rFonts w:hint="eastAsia" w:ascii="宋体" w:hAnsi="宋体" w:eastAsia="宋体" w:cs="宋体"/>
      <w:color w:val="000000"/>
      <w:sz w:val="24"/>
      <w:szCs w:val="24"/>
      <w:u w:val="none"/>
    </w:rPr>
  </w:style>
  <w:style w:type="paragraph" w:customStyle="1" w:styleId="113">
    <w:name w:val="样式1"/>
    <w:basedOn w:val="1"/>
    <w:qFormat/>
    <w:uiPriority w:val="0"/>
    <w:pPr>
      <w:spacing w:line="360" w:lineRule="exact"/>
      <w:ind w:firstLine="200"/>
    </w:pPr>
    <w:rPr>
      <w:rFonts w:ascii="Arial" w:hAnsi="Arial"/>
    </w:rPr>
  </w:style>
  <w:style w:type="paragraph" w:customStyle="1" w:styleId="114">
    <w:name w:val="无间隔2"/>
    <w:qFormat/>
    <w:uiPriority w:val="1"/>
    <w:rPr>
      <w:rFonts w:ascii="Times New Roman" w:hAnsi="Times New Roman" w:eastAsia="宋体" w:cs="Times New Roman"/>
      <w:sz w:val="22"/>
      <w:szCs w:val="22"/>
      <w:lang w:val="en-US" w:eastAsia="en-US" w:bidi="en-US"/>
    </w:rPr>
  </w:style>
  <w:style w:type="paragraph" w:customStyle="1" w:styleId="115">
    <w:name w:val="_Style 1"/>
    <w:basedOn w:val="1"/>
    <w:link w:val="124"/>
    <w:qFormat/>
    <w:uiPriority w:val="0"/>
    <w:pPr>
      <w:widowControl/>
      <w:jc w:val="left"/>
    </w:pPr>
    <w:rPr>
      <w:rFonts w:ascii="Calibri" w:hAnsi="Calibri" w:cs="Times New Roman"/>
      <w:sz w:val="28"/>
      <w:szCs w:val="28"/>
    </w:rPr>
  </w:style>
  <w:style w:type="paragraph" w:customStyle="1" w:styleId="116">
    <w:name w:val="Table Paragraph"/>
    <w:basedOn w:val="1"/>
    <w:qFormat/>
    <w:uiPriority w:val="99"/>
    <w:rPr>
      <w:rFonts w:ascii="宋体" w:hAnsi="宋体" w:cs="宋体"/>
      <w:lang w:val="zh-CN"/>
    </w:rPr>
  </w:style>
  <w:style w:type="character" w:customStyle="1" w:styleId="117">
    <w:name w:val="NormalCharacter"/>
    <w:qFormat/>
    <w:uiPriority w:val="0"/>
  </w:style>
  <w:style w:type="character" w:customStyle="1" w:styleId="118">
    <w:name w:val="标题 1 字符"/>
    <w:basedOn w:val="45"/>
    <w:link w:val="2"/>
    <w:qFormat/>
    <w:locked/>
    <w:uiPriority w:val="99"/>
    <w:rPr>
      <w:rFonts w:ascii="宋体" w:hAnsi="宋体" w:eastAsia="宋体" w:cs="宋体"/>
      <w:b/>
      <w:bCs/>
      <w:kern w:val="36"/>
      <w:sz w:val="48"/>
      <w:szCs w:val="48"/>
    </w:rPr>
  </w:style>
  <w:style w:type="paragraph" w:customStyle="1" w:styleId="119">
    <w:name w:val="正文首行缩进两字符"/>
    <w:basedOn w:val="1"/>
    <w:qFormat/>
    <w:uiPriority w:val="0"/>
    <w:pPr>
      <w:spacing w:line="360" w:lineRule="auto"/>
      <w:ind w:firstLine="200"/>
    </w:pPr>
  </w:style>
  <w:style w:type="paragraph" w:customStyle="1" w:styleId="120">
    <w:name w:val="正文（文章）"/>
    <w:basedOn w:val="1"/>
    <w:qFormat/>
    <w:uiPriority w:val="0"/>
    <w:pPr>
      <w:ind w:firstLine="560"/>
    </w:pPr>
    <w:rPr>
      <w:rFonts w:cs="宋体"/>
      <w:szCs w:val="20"/>
    </w:rPr>
  </w:style>
  <w:style w:type="paragraph" w:styleId="121">
    <w:name w:val="List Paragraph"/>
    <w:basedOn w:val="1"/>
    <w:qFormat/>
    <w:uiPriority w:val="34"/>
    <w:pPr>
      <w:ind w:firstLine="420"/>
    </w:pPr>
  </w:style>
  <w:style w:type="paragraph" w:customStyle="1" w:styleId="122">
    <w:name w:val="正文缩进1"/>
    <w:basedOn w:val="1"/>
    <w:qFormat/>
    <w:uiPriority w:val="0"/>
    <w:pPr>
      <w:ind w:firstLine="420"/>
    </w:pPr>
  </w:style>
  <w:style w:type="paragraph" w:customStyle="1" w:styleId="123">
    <w:name w:val="Heading #2|1"/>
    <w:basedOn w:val="1"/>
    <w:qFormat/>
    <w:uiPriority w:val="0"/>
    <w:pPr>
      <w:spacing w:after="5580"/>
      <w:jc w:val="center"/>
      <w:outlineLvl w:val="1"/>
    </w:pPr>
    <w:rPr>
      <w:b/>
      <w:bCs/>
      <w:sz w:val="44"/>
      <w:szCs w:val="44"/>
      <w:lang w:val="zh-TW" w:eastAsia="zh-TW" w:bidi="zh-TW"/>
    </w:rPr>
  </w:style>
  <w:style w:type="character" w:customStyle="1" w:styleId="124">
    <w:name w:val="_Style 1 Char"/>
    <w:link w:val="115"/>
    <w:qFormat/>
    <w:uiPriority w:val="0"/>
    <w:rPr>
      <w:rFonts w:ascii="Calibri" w:hAnsi="Calibri" w:cs="Times New Roman"/>
      <w:sz w:val="28"/>
      <w:szCs w:val="28"/>
    </w:rPr>
  </w:style>
  <w:style w:type="paragraph" w:customStyle="1" w:styleId="125">
    <w:name w:val="+正文 Char Char"/>
    <w:basedOn w:val="1"/>
    <w:qFormat/>
    <w:uiPriority w:val="0"/>
    <w:pPr>
      <w:spacing w:line="360" w:lineRule="auto"/>
      <w:ind w:firstLine="200"/>
    </w:pPr>
    <w:rPr>
      <w:szCs w:val="28"/>
    </w:rPr>
  </w:style>
  <w:style w:type="paragraph" w:customStyle="1" w:styleId="126">
    <w:name w:val="+●"/>
    <w:qFormat/>
    <w:uiPriority w:val="0"/>
    <w:pPr>
      <w:numPr>
        <w:ilvl w:val="0"/>
        <w:numId w:val="2"/>
      </w:numPr>
      <w:tabs>
        <w:tab w:val="left" w:pos="900"/>
        <w:tab w:val="left" w:pos="958"/>
      </w:tabs>
      <w:ind w:firstLine="0"/>
    </w:pPr>
    <w:rPr>
      <w:rFonts w:ascii="Times New Roman" w:hAnsi="Times New Roman" w:eastAsia="宋体" w:cs="Times New Roman"/>
      <w:lang w:val="en-US" w:eastAsia="zh-CN" w:bidi="ar-SA"/>
    </w:rPr>
  </w:style>
  <w:style w:type="paragraph" w:customStyle="1" w:styleId="127">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128">
    <w:name w:val="_正文"/>
    <w:basedOn w:val="1"/>
    <w:qFormat/>
    <w:uiPriority w:val="0"/>
    <w:pPr>
      <w:tabs>
        <w:tab w:val="left" w:pos="540"/>
      </w:tabs>
    </w:pPr>
    <w:rPr>
      <w:rFonts w:cs="Arial"/>
    </w:rPr>
  </w:style>
  <w:style w:type="paragraph" w:customStyle="1" w:styleId="129">
    <w:name w:val="+正文"/>
    <w:basedOn w:val="1"/>
    <w:qFormat/>
    <w:uiPriority w:val="0"/>
    <w:pPr>
      <w:spacing w:line="360" w:lineRule="auto"/>
      <w:ind w:firstLine="200"/>
    </w:pPr>
  </w:style>
  <w:style w:type="character" w:customStyle="1" w:styleId="130">
    <w:name w:val="fontstyle01"/>
    <w:qFormat/>
    <w:uiPriority w:val="0"/>
    <w:rPr>
      <w:rFonts w:hint="eastAsia" w:ascii="宋体" w:hAnsi="宋体" w:eastAsia="宋体"/>
      <w:color w:val="000000"/>
      <w:sz w:val="22"/>
      <w:szCs w:val="22"/>
    </w:rPr>
  </w:style>
  <w:style w:type="paragraph" w:customStyle="1" w:styleId="131">
    <w:name w:val="标题4"/>
    <w:basedOn w:val="1"/>
    <w:qFormat/>
    <w:uiPriority w:val="0"/>
    <w:rPr>
      <w:rFonts w:eastAsia="仿宋_GB2312"/>
      <w:sz w:val="32"/>
      <w:szCs w:val="20"/>
    </w:rPr>
  </w:style>
  <w:style w:type="character" w:customStyle="1" w:styleId="132">
    <w:name w:val="标题 4 Char"/>
    <w:qFormat/>
    <w:uiPriority w:val="0"/>
    <w:rPr>
      <w:rFonts w:eastAsia="黑体"/>
      <w:b/>
      <w:bCs/>
      <w:kern w:val="2"/>
      <w:sz w:val="30"/>
      <w:szCs w:val="30"/>
      <w:lang w:val="en-US" w:eastAsia="zh-CN" w:bidi="ar-SA"/>
    </w:rPr>
  </w:style>
  <w:style w:type="paragraph" w:customStyle="1" w:styleId="133">
    <w:name w:val="reader-word-layer reader-word-s1-7"/>
    <w:basedOn w:val="1"/>
    <w:qFormat/>
    <w:uiPriority w:val="0"/>
    <w:pPr>
      <w:widowControl/>
      <w:spacing w:before="100" w:beforeAutospacing="1" w:after="100" w:afterAutospacing="1"/>
      <w:jc w:val="left"/>
    </w:pPr>
    <w:rPr>
      <w:rFonts w:ascii="宋体" w:hAnsi="宋体" w:cs="宋体"/>
      <w:kern w:val="0"/>
    </w:rPr>
  </w:style>
  <w:style w:type="character" w:customStyle="1" w:styleId="134">
    <w:name w:val="font11"/>
    <w:basedOn w:val="45"/>
    <w:qFormat/>
    <w:uiPriority w:val="0"/>
    <w:rPr>
      <w:rFonts w:hint="eastAsia" w:ascii="宋体" w:hAnsi="宋体" w:eastAsia="宋体" w:cs="宋体"/>
      <w:color w:val="000000"/>
      <w:sz w:val="20"/>
      <w:szCs w:val="20"/>
      <w:u w:val="none"/>
    </w:rPr>
  </w:style>
  <w:style w:type="character" w:customStyle="1" w:styleId="135">
    <w:name w:val="10"/>
    <w:qFormat/>
    <w:uiPriority w:val="0"/>
    <w:rPr>
      <w:rFonts w:hint="default" w:ascii="Times New Roman" w:hAnsi="Times New Roman" w:cs="Times New Roman"/>
    </w:rPr>
  </w:style>
  <w:style w:type="paragraph" w:customStyle="1" w:styleId="136">
    <w:name w:val="blockquote"/>
    <w:basedOn w:val="1"/>
    <w:qFormat/>
    <w:uiPriority w:val="0"/>
    <w:pPr>
      <w:widowControl/>
      <w:spacing w:before="100" w:beforeAutospacing="1" w:after="100" w:afterAutospacing="1"/>
      <w:jc w:val="left"/>
    </w:pPr>
    <w:rPr>
      <w:rFonts w:ascii="宋体" w:hAnsi="宋体"/>
      <w:kern w:val="0"/>
    </w:rPr>
  </w:style>
  <w:style w:type="paragraph" w:customStyle="1" w:styleId="137">
    <w:name w:val="无间隔3"/>
    <w:qFormat/>
    <w:uiPriority w:val="1"/>
    <w:rPr>
      <w:rFonts w:ascii="Times New Roman" w:hAnsi="Times New Roman" w:eastAsia="宋体" w:cs="Times New Roman"/>
      <w:sz w:val="22"/>
      <w:szCs w:val="22"/>
      <w:lang w:val="en-US" w:eastAsia="en-US" w:bidi="en-US"/>
    </w:rPr>
  </w:style>
  <w:style w:type="paragraph" w:customStyle="1" w:styleId="138">
    <w:name w:val="正文文本缩进1"/>
    <w:basedOn w:val="1"/>
    <w:qFormat/>
    <w:uiPriority w:val="0"/>
    <w:pPr>
      <w:spacing w:line="360" w:lineRule="auto"/>
      <w:ind w:firstLine="435"/>
    </w:pPr>
    <w:rPr>
      <w:sz w:val="28"/>
    </w:rPr>
  </w:style>
  <w:style w:type="paragraph" w:customStyle="1" w:styleId="139">
    <w:name w:val="No Spacing_7e509324-65a2-4ed7-bf10-9eaa9c0383f4"/>
    <w:qFormat/>
    <w:uiPriority w:val="1"/>
    <w:rPr>
      <w:rFonts w:ascii="Times New Roman" w:hAnsi="Times New Roman" w:eastAsia="宋体" w:cs="Times New Roman"/>
      <w:sz w:val="22"/>
      <w:szCs w:val="22"/>
      <w:lang w:val="en-US" w:eastAsia="en-US" w:bidi="en-US"/>
    </w:rPr>
  </w:style>
  <w:style w:type="paragraph" w:customStyle="1" w:styleId="14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41">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42">
    <w:name w:val="正文（缩进）"/>
    <w:qFormat/>
    <w:uiPriority w:val="0"/>
    <w:pPr>
      <w:widowControl w:val="0"/>
      <w:spacing w:before="156" w:after="156"/>
      <w:ind w:firstLine="480" w:firstLineChars="200"/>
      <w:jc w:val="both"/>
    </w:pPr>
    <w:rPr>
      <w:rFonts w:ascii="Times New Roman" w:hAnsi="Times New Roman" w:eastAsia="宋体" w:cs="Times New Roman"/>
      <w:kern w:val="2"/>
      <w:sz w:val="21"/>
      <w:szCs w:val="24"/>
      <w:lang w:val="en-US" w:eastAsia="zh-CN" w:bidi="ar-SA"/>
    </w:rPr>
  </w:style>
  <w:style w:type="paragraph" w:customStyle="1" w:styleId="143">
    <w:name w:val="_正文段落"/>
    <w:basedOn w:val="1"/>
    <w:qFormat/>
    <w:uiPriority w:val="0"/>
    <w:pPr>
      <w:spacing w:beforeLines="15" w:afterLines="15" w:line="360" w:lineRule="auto"/>
      <w:ind w:firstLine="560"/>
    </w:pPr>
    <w:rPr>
      <w:rFonts w:eastAsia="仿宋"/>
      <w:sz w:val="28"/>
    </w:rPr>
  </w:style>
  <w:style w:type="paragraph" w:customStyle="1" w:styleId="144">
    <w:name w:val="正文_0_0_0"/>
    <w:basedOn w:val="1"/>
    <w:qFormat/>
    <w:uiPriority w:val="0"/>
    <w:pPr>
      <w:spacing w:line="240" w:lineRule="auto"/>
      <w:ind w:firstLine="0" w:firstLineChars="0"/>
    </w:pPr>
    <w:rPr>
      <w:rFonts w:cs="Times New Roman"/>
      <w:sz w:val="21"/>
      <w:szCs w:val="21"/>
    </w:rPr>
  </w:style>
  <w:style w:type="character" w:customStyle="1" w:styleId="145">
    <w:name w:val="15"/>
    <w:basedOn w:val="45"/>
    <w:qFormat/>
    <w:uiPriority w:val="0"/>
    <w:rPr>
      <w:rFonts w:hint="default" w:ascii="Times New Roman" w:hAnsi="Times New Roman" w:cs="Times New Roman"/>
    </w:rPr>
  </w:style>
  <w:style w:type="paragraph" w:customStyle="1" w:styleId="146">
    <w:name w:val="列表段落1"/>
    <w:basedOn w:val="1"/>
    <w:qFormat/>
    <w:uiPriority w:val="34"/>
    <w:pPr>
      <w:spacing w:line="360" w:lineRule="auto"/>
      <w:ind w:firstLine="200"/>
    </w:pPr>
    <w:rPr>
      <w:rFonts w:eastAsia="楷体_GB2312" w:cs="Lucida Sans"/>
    </w:rPr>
  </w:style>
  <w:style w:type="paragraph" w:styleId="14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8">
    <w:name w:val="正文2"/>
    <w:basedOn w:val="1"/>
    <w:next w:val="28"/>
    <w:qFormat/>
    <w:uiPriority w:val="0"/>
    <w:pPr>
      <w:spacing w:before="156" w:line="360" w:lineRule="auto"/>
      <w:ind w:firstLine="510"/>
    </w:pPr>
  </w:style>
  <w:style w:type="paragraph" w:customStyle="1" w:styleId="149">
    <w:name w:val="纯文本3"/>
    <w:basedOn w:val="1"/>
    <w:qFormat/>
    <w:uiPriority w:val="0"/>
    <w:rPr>
      <w:rFonts w:ascii="宋体" w:hAnsi="Courier New"/>
    </w:rPr>
  </w:style>
  <w:style w:type="paragraph" w:customStyle="1" w:styleId="150">
    <w:name w:val="text-tag"/>
    <w:basedOn w:val="1"/>
    <w:qFormat/>
    <w:uiPriority w:val="0"/>
    <w:pPr>
      <w:widowControl/>
      <w:spacing w:beforeAutospacing="1" w:afterAutospacing="1"/>
      <w:jc w:val="left"/>
    </w:pPr>
    <w:rPr>
      <w:rFonts w:hint="eastAsia" w:ascii="宋体" w:hAnsi="宋体" w:cs="Times New Roman"/>
      <w:kern w:val="0"/>
    </w:rPr>
  </w:style>
  <w:style w:type="paragraph" w:customStyle="1" w:styleId="151">
    <w:name w:val="纯文本1"/>
    <w:basedOn w:val="1"/>
    <w:qFormat/>
    <w:uiPriority w:val="0"/>
    <w:rPr>
      <w:rFonts w:hint="eastAsia" w:ascii="宋体" w:hAnsi="Courier New" w:cs="Times New Roman"/>
      <w:kern w:val="0"/>
      <w:sz w:val="20"/>
      <w:szCs w:val="20"/>
    </w:rPr>
  </w:style>
  <w:style w:type="paragraph" w:customStyle="1" w:styleId="152">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153">
    <w:name w:val="Other|1"/>
    <w:basedOn w:val="1"/>
    <w:qFormat/>
    <w:uiPriority w:val="0"/>
    <w:pPr>
      <w:spacing w:line="399" w:lineRule="exact"/>
    </w:pPr>
    <w:rPr>
      <w:rFonts w:ascii="宋体" w:hAnsi="宋体" w:cs="宋体"/>
      <w:sz w:val="22"/>
      <w:szCs w:val="22"/>
      <w:lang w:val="zh-TW" w:eastAsia="zh-TW" w:bidi="zh-TW"/>
    </w:rPr>
  </w:style>
  <w:style w:type="paragraph" w:customStyle="1" w:styleId="154">
    <w:name w:val="正文文本首行缩进1"/>
    <w:basedOn w:val="16"/>
    <w:next w:val="32"/>
    <w:qFormat/>
    <w:uiPriority w:val="0"/>
    <w:pPr>
      <w:spacing w:after="120"/>
      <w:ind w:firstLine="420" w:firstLineChars="100"/>
      <w:jc w:val="both"/>
    </w:pPr>
    <w:rPr>
      <w:rFonts w:ascii="Calibri" w:hAnsi="Calibri" w:cs="Calibri"/>
      <w:sz w:val="21"/>
      <w:szCs w:val="21"/>
    </w:rPr>
  </w:style>
  <w:style w:type="paragraph" w:customStyle="1" w:styleId="155">
    <w:name w:val="表格2"/>
    <w:basedOn w:val="1"/>
    <w:qFormat/>
    <w:uiPriority w:val="0"/>
    <w:pPr>
      <w:spacing w:line="240" w:lineRule="auto"/>
      <w:ind w:firstLine="0" w:firstLineChars="0"/>
    </w:pPr>
    <w:rPr>
      <w:rFonts w:ascii="宋体" w:hAnsi="宋体"/>
      <w:szCs w:val="32"/>
      <w:lang w:val="zh-CN"/>
    </w:rPr>
  </w:style>
  <w:style w:type="table" w:customStyle="1" w:styleId="156">
    <w:name w:val="TableGrid"/>
    <w:qFormat/>
    <w:uiPriority w:val="0"/>
    <w:tblPr>
      <w:tblCellMar>
        <w:top w:w="0" w:type="dxa"/>
        <w:left w:w="0" w:type="dxa"/>
        <w:bottom w:w="0" w:type="dxa"/>
        <w:right w:w="0" w:type="dxa"/>
      </w:tblCellMar>
    </w:tblPr>
  </w:style>
  <w:style w:type="paragraph" w:customStyle="1" w:styleId="157">
    <w:name w:val="正文段"/>
    <w:basedOn w:val="1"/>
    <w:qFormat/>
    <w:uiPriority w:val="0"/>
    <w:pPr>
      <w:widowControl/>
      <w:snapToGrid w:val="0"/>
      <w:spacing w:afterLines="50"/>
      <w:ind w:firstLine="200"/>
    </w:pPr>
    <w:rPr>
      <w:rFonts w:cs="Times New Roman"/>
      <w:kern w:val="0"/>
    </w:rPr>
  </w:style>
  <w:style w:type="paragraph" w:customStyle="1" w:styleId="158">
    <w:name w:val="正文文本首行缩进 21"/>
    <w:basedOn w:val="159"/>
    <w:qFormat/>
    <w:uiPriority w:val="0"/>
    <w:pPr>
      <w:snapToGrid w:val="0"/>
      <w:spacing w:after="120" w:line="240" w:lineRule="auto"/>
      <w:ind w:firstLine="420"/>
    </w:pPr>
    <w:rPr>
      <w:rFonts w:hint="eastAsia" w:ascii="宋体" w:cs="Times New Roman"/>
      <w:kern w:val="0"/>
      <w:sz w:val="21"/>
      <w:szCs w:val="21"/>
    </w:rPr>
  </w:style>
  <w:style w:type="paragraph" w:customStyle="1" w:styleId="159">
    <w:name w:val="正文文本缩进2"/>
    <w:basedOn w:val="1"/>
    <w:qFormat/>
    <w:uiPriority w:val="0"/>
    <w:pPr>
      <w:ind w:left="420" w:leftChars="200"/>
    </w:pPr>
    <w:rPr>
      <w:rFonts w:cs="黑体"/>
    </w:rPr>
  </w:style>
  <w:style w:type="paragraph" w:customStyle="1" w:styleId="160">
    <w:name w:val="[基本段落]"/>
    <w:basedOn w:val="161"/>
    <w:unhideWhenUsed/>
    <w:qFormat/>
    <w:uiPriority w:val="99"/>
  </w:style>
  <w:style w:type="paragraph" w:customStyle="1" w:styleId="161">
    <w:name w:val="[无段落样式]"/>
    <w:unhideWhenUsed/>
    <w:qFormat/>
    <w:uiPriority w:val="99"/>
    <w:pPr>
      <w:widowControl w:val="0"/>
      <w:autoSpaceDE w:val="0"/>
      <w:autoSpaceDN w:val="0"/>
      <w:adjustRightInd w:val="0"/>
      <w:spacing w:line="288" w:lineRule="auto"/>
      <w:jc w:val="both"/>
      <w:textAlignment w:val="center"/>
    </w:pPr>
    <w:rPr>
      <w:rFonts w:hint="eastAsia" w:ascii="AdobeSongStd-Light" w:hAnsi="AdobeSongStd-Light" w:eastAsia="AdobeSongStd-Light" w:cstheme="minorBidi"/>
      <w:color w:val="000000"/>
      <w:sz w:val="24"/>
      <w:szCs w:val="24"/>
      <w:lang w:val="zh-CN" w:eastAsia="zh-CN" w:bidi="ar-SA"/>
    </w:rPr>
  </w:style>
  <w:style w:type="paragraph" w:customStyle="1" w:styleId="162">
    <w:name w:val="样式 标题 2 + Times New Roman 四号 非加粗 段前: 5 磅 段后: 0 磅 行距: 固定值 20..."/>
    <w:basedOn w:val="3"/>
    <w:qFormat/>
    <w:uiPriority w:val="0"/>
    <w:pPr>
      <w:spacing w:before="100" w:line="400" w:lineRule="exact"/>
    </w:pPr>
    <w:rPr>
      <w:rFonts w:ascii="Times New Roman" w:hAnsi="Times New Roman" w:cs="宋体"/>
      <w:bCs w:val="0"/>
      <w:sz w:val="28"/>
      <w:szCs w:val="20"/>
    </w:rPr>
  </w:style>
  <w:style w:type="paragraph" w:customStyle="1" w:styleId="163">
    <w:name w:val="List Paragraph_41d0cc91-dce1-4733-b767-3adef058dad0"/>
    <w:basedOn w:val="1"/>
    <w:qFormat/>
    <w:uiPriority w:val="34"/>
    <w:pPr>
      <w:ind w:firstLine="420"/>
    </w:pPr>
  </w:style>
  <w:style w:type="paragraph" w:customStyle="1" w:styleId="164">
    <w:name w:val="Revision"/>
    <w:hidden/>
    <w:unhideWhenUsed/>
    <w:qFormat/>
    <w:uiPriority w:val="99"/>
    <w:rPr>
      <w:rFonts w:ascii="Times New Roman" w:hAnsi="Times New Roman" w:eastAsia="宋体" w:cstheme="minorBidi"/>
      <w:kern w:val="2"/>
      <w:sz w:val="24"/>
      <w:szCs w:val="24"/>
      <w:lang w:val="en-US" w:eastAsia="zh-CN" w:bidi="ar-SA"/>
    </w:rPr>
  </w:style>
  <w:style w:type="character" w:customStyle="1" w:styleId="165">
    <w:name w:val="批注文字 字符"/>
    <w:basedOn w:val="45"/>
    <w:link w:val="14"/>
    <w:qFormat/>
    <w:uiPriority w:val="0"/>
    <w:rPr>
      <w:rFonts w:cstheme="minorBidi"/>
      <w:kern w:val="2"/>
      <w:sz w:val="24"/>
      <w:szCs w:val="24"/>
    </w:rPr>
  </w:style>
  <w:style w:type="character" w:customStyle="1" w:styleId="166">
    <w:name w:val="批注主题 字符"/>
    <w:basedOn w:val="165"/>
    <w:link w:val="39"/>
    <w:semiHidden/>
    <w:qFormat/>
    <w:uiPriority w:val="0"/>
    <w:rPr>
      <w:rFonts w:cstheme="minorBidi"/>
      <w:b/>
      <w:bCs/>
      <w:kern w:val="2"/>
      <w:sz w:val="24"/>
      <w:szCs w:val="24"/>
    </w:rPr>
  </w:style>
  <w:style w:type="character" w:customStyle="1" w:styleId="167">
    <w:name w:val="纯文本 字符"/>
    <w:basedOn w:val="45"/>
    <w:link w:val="21"/>
    <w:qFormat/>
    <w:uiPriority w:val="0"/>
    <w:rPr>
      <w:rFonts w:ascii="宋体" w:hAnsi="Courier New" w:cstheme="minorBidi"/>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12949</Words>
  <Characters>14040</Characters>
  <Lines>341</Lines>
  <Paragraphs>96</Paragraphs>
  <TotalTime>2</TotalTime>
  <ScaleCrop>false</ScaleCrop>
  <LinksUpToDate>false</LinksUpToDate>
  <CharactersWithSpaces>14315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2022-10-01T17:36:00Z</dcterms:created>
  <dc:creator>宇正-王</dc:creator>
  <cp:lastModifiedBy>Administrator</cp:lastModifiedBy>
  <cp:lastPrinted>2023-11-24T08:59:00Z</cp:lastPrinted>
  <dcterms:modified xsi:type="dcterms:W3CDTF">2025-01-21T06:58:51Z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82A03B287B0D44D6A3E4E05CB88239FD_13</vt:lpwstr>
  </property>
  <property fmtid="{D5CDD505-2E9C-101B-9397-08002B2CF9AE}" pid="4" name="KSOTemplateDocerSaveRecord">
    <vt:lpwstr>eyJoZGlkIjoiYmNhZDBhZDQ5ZWM5NWUzMTM3YzBlMGYyYzM4ZDhlOTYiLCJ1c2VySWQiOiIxMTU5NDcwNzk3In0=</vt:lpwstr>
  </property>
</Properties>
</file>